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F2F" w:rsidRPr="009D5921" w:rsidP="00456F2F" w14:paraId="30C6BDB3" w14:textId="5E315835">
      <w:pPr>
        <w:autoSpaceDE w:val="0"/>
        <w:autoSpaceDN w:val="0"/>
        <w:adjustRightInd w:val="0"/>
        <w:spacing w:after="0" w:line="240" w:lineRule="auto"/>
        <w:rPr>
          <w:rFonts w:ascii="Times New Roman" w:eastAsia="MS Mincho" w:hAnsi="Times New Roman"/>
          <w:color w:val="000000"/>
          <w:sz w:val="24"/>
          <w:szCs w:val="24"/>
          <w:lang w:eastAsia="ja-JP"/>
        </w:rPr>
      </w:pPr>
    </w:p>
    <w:p w:rsidR="00456F2F" w:rsidRPr="009D5921" w:rsidP="00456F2F" w14:paraId="53684C5A" w14:textId="77777777">
      <w:pPr>
        <w:autoSpaceDE w:val="0"/>
        <w:autoSpaceDN w:val="0"/>
        <w:adjustRightInd w:val="0"/>
        <w:spacing w:after="0" w:line="240" w:lineRule="auto"/>
        <w:rPr>
          <w:rFonts w:ascii="Times New Roman" w:eastAsia="MS Mincho" w:hAnsi="Times New Roman"/>
          <w:color w:val="000000"/>
          <w:sz w:val="24"/>
          <w:szCs w:val="24"/>
          <w:lang w:eastAsia="ja-JP"/>
        </w:rPr>
      </w:pPr>
      <w:r w:rsidRPr="009D5921">
        <w:rPr>
          <w:rFonts w:ascii="Times New Roman" w:eastAsia="MS Mincho" w:hAnsi="Times New Roman"/>
          <w:color w:val="000000"/>
          <w:sz w:val="24"/>
          <w:szCs w:val="24"/>
          <w:lang w:eastAsia="ja-JP"/>
        </w:rPr>
        <w:t xml:space="preserve">DEPARTMENT OF HEALTH AND HUMAN SERVICES </w:t>
      </w:r>
    </w:p>
    <w:p w:rsidR="00456F2F" w:rsidRPr="009D5921" w:rsidP="00456F2F" w14:paraId="6345E7BE" w14:textId="77777777">
      <w:pPr>
        <w:autoSpaceDE w:val="0"/>
        <w:autoSpaceDN w:val="0"/>
        <w:adjustRightInd w:val="0"/>
        <w:spacing w:after="0" w:line="240" w:lineRule="auto"/>
        <w:rPr>
          <w:rFonts w:ascii="Times New Roman" w:eastAsia="MS Mincho" w:hAnsi="Times New Roman"/>
          <w:color w:val="000000"/>
          <w:sz w:val="24"/>
          <w:szCs w:val="24"/>
          <w:lang w:eastAsia="ja-JP"/>
        </w:rPr>
      </w:pPr>
      <w:r w:rsidRPr="009D5921">
        <w:rPr>
          <w:rFonts w:ascii="Times New Roman" w:eastAsia="MS Mincho" w:hAnsi="Times New Roman"/>
          <w:color w:val="000000"/>
          <w:sz w:val="24"/>
          <w:szCs w:val="24"/>
          <w:lang w:eastAsia="ja-JP"/>
        </w:rPr>
        <w:t xml:space="preserve">Food and Drug Administration </w:t>
      </w:r>
    </w:p>
    <w:p w:rsidR="00456F2F" w:rsidRPr="009D5921" w:rsidP="00456F2F" w14:paraId="0BD85611"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056A8F30"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6403E313"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042B4A6A"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0BD27750" w14:textId="77777777">
      <w:pPr>
        <w:kinsoku w:val="0"/>
        <w:overflowPunct w:val="0"/>
        <w:autoSpaceDE w:val="0"/>
        <w:autoSpaceDN w:val="0"/>
        <w:adjustRightInd w:val="0"/>
        <w:spacing w:after="0" w:line="240" w:lineRule="auto"/>
        <w:ind w:hanging="4"/>
        <w:jc w:val="center"/>
        <w:rPr>
          <w:rFonts w:ascii="Times New Roman" w:eastAsia="MS Mincho" w:hAnsi="Times New Roman"/>
          <w:spacing w:val="-1"/>
          <w:sz w:val="40"/>
          <w:szCs w:val="40"/>
          <w:lang w:eastAsia="ja-JP"/>
        </w:rPr>
      </w:pPr>
      <w:r w:rsidRPr="009D5921">
        <w:rPr>
          <w:rFonts w:ascii="Times New Roman" w:eastAsia="MS Mincho" w:hAnsi="Times New Roman"/>
          <w:spacing w:val="-1"/>
          <w:sz w:val="40"/>
          <w:szCs w:val="40"/>
          <w:lang w:eastAsia="ja-JP"/>
        </w:rPr>
        <w:t>Institutional Review Board Waiver or Alteration of Informed Consent for Minimal Risk Clinical Investigations</w:t>
      </w:r>
    </w:p>
    <w:p w:rsidR="00456F2F" w:rsidRPr="009D5921" w:rsidP="00456F2F" w14:paraId="2437F162" w14:textId="77777777">
      <w:pPr>
        <w:kinsoku w:val="0"/>
        <w:overflowPunct w:val="0"/>
        <w:autoSpaceDE w:val="0"/>
        <w:autoSpaceDN w:val="0"/>
        <w:adjustRightInd w:val="0"/>
        <w:spacing w:after="0" w:line="240" w:lineRule="auto"/>
        <w:ind w:hanging="4"/>
        <w:jc w:val="center"/>
        <w:rPr>
          <w:rFonts w:ascii="Times New Roman" w:eastAsia="MS Mincho" w:hAnsi="Times New Roman"/>
          <w:spacing w:val="-1"/>
          <w:sz w:val="40"/>
          <w:szCs w:val="40"/>
          <w:lang w:eastAsia="ja-JP"/>
        </w:rPr>
      </w:pPr>
    </w:p>
    <w:p w:rsidR="00456F2F" w:rsidRPr="009D5921" w:rsidP="00456F2F" w14:paraId="113414B8"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160BA1B3" w14:textId="77777777">
      <w:pPr>
        <w:autoSpaceDE w:val="0"/>
        <w:autoSpaceDN w:val="0"/>
        <w:adjustRightInd w:val="0"/>
        <w:spacing w:after="0" w:line="240" w:lineRule="auto"/>
        <w:jc w:val="center"/>
        <w:rPr>
          <w:rFonts w:ascii="Times New Roman" w:eastAsia="MS Mincho" w:hAnsi="Times New Roman"/>
          <w:color w:val="000000"/>
          <w:sz w:val="48"/>
          <w:szCs w:val="48"/>
          <w:lang w:eastAsia="ja-JP"/>
        </w:rPr>
      </w:pPr>
    </w:p>
    <w:p w:rsidR="00456F2F" w:rsidRPr="009D5921" w:rsidP="00456F2F" w14:paraId="5747151C" w14:textId="45216194">
      <w:pPr>
        <w:autoSpaceDE w:val="0"/>
        <w:autoSpaceDN w:val="0"/>
        <w:adjustRightInd w:val="0"/>
        <w:spacing w:after="0" w:line="240" w:lineRule="auto"/>
        <w:jc w:val="center"/>
        <w:rPr>
          <w:rFonts w:ascii="Times New Roman" w:eastAsia="MS Mincho" w:hAnsi="Times New Roman"/>
          <w:color w:val="000000"/>
          <w:sz w:val="24"/>
          <w:szCs w:val="24"/>
          <w:lang w:eastAsia="ja-JP"/>
        </w:rPr>
      </w:pPr>
      <w:r w:rsidRPr="009D5921">
        <w:rPr>
          <w:rFonts w:ascii="Times New Roman" w:eastAsia="MS Mincho" w:hAnsi="Times New Roman"/>
          <w:color w:val="000000"/>
          <w:sz w:val="24"/>
          <w:szCs w:val="24"/>
          <w:lang w:eastAsia="ja-JP"/>
        </w:rPr>
        <w:t xml:space="preserve">Docket No. </w:t>
      </w:r>
      <w:r w:rsidRPr="00515D74" w:rsidR="00880E63">
        <w:rPr>
          <w:rFonts w:ascii="Times New Roman" w:hAnsi="Times New Roman"/>
          <w:sz w:val="24"/>
        </w:rPr>
        <w:t>FDA-2018-N-</w:t>
      </w:r>
      <w:r w:rsidRPr="0038783A" w:rsidR="0038783A">
        <w:rPr>
          <w:rFonts w:ascii="Times New Roman" w:eastAsia="MS Mincho" w:hAnsi="Times New Roman"/>
          <w:color w:val="000000"/>
          <w:sz w:val="24"/>
          <w:szCs w:val="24"/>
          <w:lang w:eastAsia="ja-JP"/>
        </w:rPr>
        <w:t>2727</w:t>
      </w:r>
    </w:p>
    <w:p w:rsidR="00456F2F" w:rsidRPr="009D5921" w:rsidP="00456F2F" w14:paraId="5D01BF24" w14:textId="77777777">
      <w:pPr>
        <w:autoSpaceDE w:val="0"/>
        <w:autoSpaceDN w:val="0"/>
        <w:adjustRightInd w:val="0"/>
        <w:spacing w:after="0" w:line="240" w:lineRule="auto"/>
        <w:jc w:val="center"/>
        <w:rPr>
          <w:rFonts w:ascii="Times New Roman" w:eastAsia="MS Mincho" w:hAnsi="Times New Roman"/>
          <w:color w:val="000000"/>
          <w:sz w:val="40"/>
          <w:szCs w:val="40"/>
          <w:lang w:eastAsia="ja-JP"/>
        </w:rPr>
      </w:pPr>
    </w:p>
    <w:p w:rsidR="00456F2F" w:rsidRPr="009D5921" w:rsidP="00456F2F" w14:paraId="270EBE77" w14:textId="77777777">
      <w:pPr>
        <w:autoSpaceDE w:val="0"/>
        <w:autoSpaceDN w:val="0"/>
        <w:adjustRightInd w:val="0"/>
        <w:spacing w:after="0" w:line="240" w:lineRule="auto"/>
        <w:jc w:val="center"/>
        <w:rPr>
          <w:rFonts w:ascii="Times New Roman" w:eastAsia="MS Mincho" w:hAnsi="Times New Roman"/>
          <w:color w:val="000000"/>
          <w:sz w:val="40"/>
          <w:szCs w:val="40"/>
          <w:lang w:eastAsia="ja-JP"/>
        </w:rPr>
      </w:pPr>
    </w:p>
    <w:p w:rsidR="00456F2F" w:rsidRPr="009D5921" w:rsidP="00456F2F" w14:paraId="7BADB4C4" w14:textId="77777777">
      <w:pPr>
        <w:autoSpaceDE w:val="0"/>
        <w:autoSpaceDN w:val="0"/>
        <w:adjustRightInd w:val="0"/>
        <w:spacing w:after="0" w:line="240" w:lineRule="auto"/>
        <w:jc w:val="center"/>
        <w:rPr>
          <w:rFonts w:ascii="Times New Roman" w:eastAsia="MS Mincho" w:hAnsi="Times New Roman"/>
          <w:color w:val="000000"/>
          <w:sz w:val="40"/>
          <w:szCs w:val="40"/>
          <w:lang w:eastAsia="ja-JP"/>
        </w:rPr>
      </w:pPr>
    </w:p>
    <w:p w:rsidR="00456F2F" w:rsidRPr="009D5921" w:rsidP="00456F2F" w14:paraId="51FCC5BA" w14:textId="77777777">
      <w:pPr>
        <w:autoSpaceDE w:val="0"/>
        <w:autoSpaceDN w:val="0"/>
        <w:adjustRightInd w:val="0"/>
        <w:spacing w:after="0" w:line="240" w:lineRule="auto"/>
        <w:jc w:val="center"/>
        <w:rPr>
          <w:rFonts w:ascii="Times New Roman" w:eastAsia="MS Mincho" w:hAnsi="Times New Roman"/>
          <w:color w:val="000000"/>
          <w:sz w:val="40"/>
          <w:szCs w:val="40"/>
          <w:lang w:eastAsia="ja-JP"/>
        </w:rPr>
      </w:pPr>
    </w:p>
    <w:p w:rsidR="00456F2F" w:rsidRPr="009D5921" w:rsidP="00456F2F" w14:paraId="693A5A97" w14:textId="77777777">
      <w:pPr>
        <w:autoSpaceDE w:val="0"/>
        <w:autoSpaceDN w:val="0"/>
        <w:adjustRightInd w:val="0"/>
        <w:spacing w:after="0" w:line="240" w:lineRule="auto"/>
        <w:jc w:val="center"/>
        <w:rPr>
          <w:rFonts w:ascii="Times New Roman" w:eastAsia="MS Mincho" w:hAnsi="Times New Roman"/>
          <w:color w:val="000000"/>
          <w:sz w:val="40"/>
          <w:szCs w:val="40"/>
          <w:lang w:eastAsia="ja-JP"/>
        </w:rPr>
      </w:pPr>
    </w:p>
    <w:p w:rsidR="00456F2F" w:rsidRPr="009D5921" w:rsidP="00456F2F" w14:paraId="7EB253E1" w14:textId="2A893A40">
      <w:pPr>
        <w:autoSpaceDE w:val="0"/>
        <w:autoSpaceDN w:val="0"/>
        <w:adjustRightInd w:val="0"/>
        <w:spacing w:after="0" w:line="240" w:lineRule="auto"/>
        <w:jc w:val="center"/>
        <w:rPr>
          <w:rFonts w:ascii="Times New Roman" w:eastAsia="MS Mincho" w:hAnsi="Times New Roman"/>
          <w:color w:val="000000"/>
          <w:sz w:val="36"/>
          <w:szCs w:val="36"/>
          <w:lang w:eastAsia="ja-JP"/>
        </w:rPr>
      </w:pPr>
      <w:r>
        <w:rPr>
          <w:rFonts w:ascii="Times New Roman" w:eastAsia="MS Mincho" w:hAnsi="Times New Roman"/>
          <w:color w:val="000000"/>
          <w:sz w:val="36"/>
          <w:szCs w:val="36"/>
          <w:lang w:eastAsia="ja-JP"/>
        </w:rPr>
        <w:t xml:space="preserve">Final </w:t>
      </w:r>
      <w:r w:rsidRPr="009D5921">
        <w:rPr>
          <w:rFonts w:ascii="Times New Roman" w:eastAsia="MS Mincho" w:hAnsi="Times New Roman"/>
          <w:color w:val="000000"/>
          <w:sz w:val="36"/>
          <w:szCs w:val="36"/>
          <w:lang w:eastAsia="ja-JP"/>
        </w:rPr>
        <w:t xml:space="preserve">Regulatory Impact Analysis </w:t>
      </w:r>
    </w:p>
    <w:p w:rsidR="00456F2F" w:rsidRPr="009D5921" w:rsidP="00456F2F" w14:paraId="1A48D6B3" w14:textId="2243825F">
      <w:pPr>
        <w:autoSpaceDE w:val="0"/>
        <w:autoSpaceDN w:val="0"/>
        <w:adjustRightInd w:val="0"/>
        <w:spacing w:after="0" w:line="240" w:lineRule="auto"/>
        <w:jc w:val="center"/>
        <w:rPr>
          <w:rFonts w:ascii="Times New Roman" w:eastAsia="MS Mincho" w:hAnsi="Times New Roman"/>
          <w:color w:val="000000"/>
          <w:sz w:val="36"/>
          <w:szCs w:val="36"/>
          <w:lang w:eastAsia="ja-JP"/>
        </w:rPr>
      </w:pPr>
      <w:r>
        <w:rPr>
          <w:rFonts w:ascii="Times New Roman" w:eastAsia="MS Mincho" w:hAnsi="Times New Roman"/>
          <w:color w:val="000000"/>
          <w:sz w:val="36"/>
          <w:szCs w:val="36"/>
          <w:lang w:eastAsia="ja-JP"/>
        </w:rPr>
        <w:t xml:space="preserve">Final </w:t>
      </w:r>
      <w:r w:rsidRPr="009D5921">
        <w:rPr>
          <w:rFonts w:ascii="Times New Roman" w:eastAsia="MS Mincho" w:hAnsi="Times New Roman"/>
          <w:color w:val="000000"/>
          <w:sz w:val="36"/>
          <w:szCs w:val="36"/>
          <w:lang w:eastAsia="ja-JP"/>
        </w:rPr>
        <w:t>Regulatory Flexibility Analysis</w:t>
      </w:r>
    </w:p>
    <w:p w:rsidR="00456F2F" w:rsidRPr="009D5921" w:rsidP="00456F2F" w14:paraId="77616385" w14:textId="77777777">
      <w:pPr>
        <w:autoSpaceDE w:val="0"/>
        <w:autoSpaceDN w:val="0"/>
        <w:adjustRightInd w:val="0"/>
        <w:spacing w:after="0" w:line="240" w:lineRule="auto"/>
        <w:jc w:val="center"/>
        <w:rPr>
          <w:rFonts w:ascii="Times New Roman" w:eastAsia="MS Mincho" w:hAnsi="Times New Roman"/>
          <w:color w:val="000000"/>
          <w:sz w:val="36"/>
          <w:szCs w:val="36"/>
          <w:lang w:eastAsia="ja-JP"/>
        </w:rPr>
      </w:pPr>
      <w:r w:rsidRPr="009D5921">
        <w:rPr>
          <w:rFonts w:ascii="Times New Roman" w:eastAsia="MS Mincho" w:hAnsi="Times New Roman"/>
          <w:color w:val="000000"/>
          <w:sz w:val="36"/>
          <w:szCs w:val="36"/>
          <w:lang w:eastAsia="ja-JP"/>
        </w:rPr>
        <w:t>Unfunded Mandates Reform Act Analysis</w:t>
      </w:r>
    </w:p>
    <w:p w:rsidR="00456F2F" w:rsidRPr="009D5921" w:rsidP="00456F2F" w14:paraId="6E33E4FE"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p>
    <w:p w:rsidR="00456F2F" w:rsidRPr="009D5921" w:rsidP="00456F2F" w14:paraId="57E4D1E4"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p>
    <w:p w:rsidR="00456F2F" w:rsidRPr="009D5921" w:rsidP="00456F2F" w14:paraId="00550E25"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p>
    <w:p w:rsidR="00456F2F" w:rsidRPr="009D5921" w:rsidP="00456F2F" w14:paraId="5A0C4DA6" w14:textId="77777777">
      <w:pPr>
        <w:tabs>
          <w:tab w:val="left" w:pos="2490"/>
        </w:tabs>
        <w:autoSpaceDE w:val="0"/>
        <w:autoSpaceDN w:val="0"/>
        <w:adjustRightInd w:val="0"/>
        <w:spacing w:after="0" w:line="240" w:lineRule="auto"/>
        <w:rPr>
          <w:rFonts w:ascii="Times New Roman" w:eastAsia="MS Mincho" w:hAnsi="Times New Roman"/>
          <w:color w:val="000000"/>
          <w:sz w:val="28"/>
          <w:szCs w:val="28"/>
          <w:lang w:eastAsia="ja-JP"/>
        </w:rPr>
      </w:pPr>
      <w:r w:rsidRPr="009D5921">
        <w:rPr>
          <w:rFonts w:ascii="Times New Roman" w:eastAsia="MS Mincho" w:hAnsi="Times New Roman"/>
          <w:color w:val="000000"/>
          <w:sz w:val="28"/>
          <w:szCs w:val="28"/>
          <w:lang w:eastAsia="ja-JP"/>
        </w:rPr>
        <w:tab/>
      </w:r>
    </w:p>
    <w:p w:rsidR="00456F2F" w:rsidRPr="009D5921" w:rsidP="00456F2F" w14:paraId="250BB997"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p>
    <w:p w:rsidR="00456F2F" w:rsidRPr="009D5921" w:rsidP="00456F2F" w14:paraId="4DDBA760"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r w:rsidRPr="009D5921">
        <w:rPr>
          <w:rFonts w:ascii="Times New Roman" w:eastAsia="MS Mincho" w:hAnsi="Times New Roman"/>
          <w:color w:val="000000"/>
          <w:sz w:val="28"/>
          <w:szCs w:val="28"/>
          <w:lang w:eastAsia="ja-JP"/>
        </w:rPr>
        <w:t>Economics Staff</w:t>
      </w:r>
    </w:p>
    <w:p w:rsidR="00456F2F" w:rsidRPr="009D5921" w:rsidP="00456F2F" w14:paraId="7EB0FFB0"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r w:rsidRPr="009D5921">
        <w:rPr>
          <w:rFonts w:ascii="Times New Roman" w:eastAsia="MS Mincho" w:hAnsi="Times New Roman"/>
          <w:color w:val="000000"/>
          <w:sz w:val="28"/>
          <w:szCs w:val="28"/>
          <w:lang w:eastAsia="ja-JP"/>
        </w:rPr>
        <w:t>Office of Planning</w:t>
      </w:r>
    </w:p>
    <w:p w:rsidR="00456F2F" w:rsidRPr="009D5921" w:rsidP="00456F2F" w14:paraId="674DFFC4"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r w:rsidRPr="009D5921">
        <w:rPr>
          <w:rFonts w:ascii="Times New Roman" w:eastAsia="MS Mincho" w:hAnsi="Times New Roman"/>
          <w:color w:val="000000"/>
          <w:sz w:val="28"/>
          <w:szCs w:val="28"/>
          <w:lang w:eastAsia="ja-JP"/>
        </w:rPr>
        <w:t xml:space="preserve"> Office of Policy, Planning, Legislation and Analysis </w:t>
      </w:r>
    </w:p>
    <w:p w:rsidR="00456F2F" w:rsidP="00456F2F" w14:paraId="3659F3B8" w14:textId="56AA78BF">
      <w:pPr>
        <w:autoSpaceDE w:val="0"/>
        <w:autoSpaceDN w:val="0"/>
        <w:adjustRightInd w:val="0"/>
        <w:spacing w:after="0" w:line="240" w:lineRule="auto"/>
        <w:jc w:val="center"/>
        <w:rPr>
          <w:rFonts w:ascii="Times New Roman" w:eastAsia="MS Mincho" w:hAnsi="Times New Roman"/>
          <w:color w:val="000000"/>
          <w:sz w:val="28"/>
          <w:szCs w:val="28"/>
          <w:lang w:eastAsia="ja-JP"/>
        </w:rPr>
      </w:pPr>
      <w:r w:rsidRPr="009D5921">
        <w:rPr>
          <w:rFonts w:ascii="Times New Roman" w:eastAsia="MS Mincho" w:hAnsi="Times New Roman"/>
          <w:color w:val="000000"/>
          <w:sz w:val="28"/>
          <w:szCs w:val="28"/>
          <w:lang w:eastAsia="ja-JP"/>
        </w:rPr>
        <w:t>Office of the Commissioner</w:t>
      </w:r>
    </w:p>
    <w:p w:rsidR="00456F2F" w:rsidRPr="009D5921" w:rsidP="00456F2F" w14:paraId="2158015A" w14:textId="77777777">
      <w:pPr>
        <w:spacing w:after="0" w:line="240" w:lineRule="auto"/>
        <w:jc w:val="center"/>
        <w:rPr>
          <w:rFonts w:ascii="Times New Roman" w:eastAsia="Times New Roman" w:hAnsi="Times New Roman"/>
          <w:b/>
          <w:sz w:val="24"/>
          <w:szCs w:val="24"/>
        </w:rPr>
      </w:pPr>
      <w:r w:rsidRPr="009D5921">
        <w:rPr>
          <w:rFonts w:ascii="Times New Roman" w:eastAsia="Times New Roman" w:hAnsi="Times New Roman"/>
          <w:b/>
          <w:sz w:val="24"/>
          <w:szCs w:val="24"/>
        </w:rPr>
        <w:t>Table of Contents</w:t>
      </w:r>
    </w:p>
    <w:p w:rsidR="00456F2F" w:rsidRPr="009D5921" w:rsidP="00456F2F" w14:paraId="48389A6F" w14:textId="77777777">
      <w:pPr>
        <w:spacing w:after="0" w:line="240" w:lineRule="auto"/>
        <w:rPr>
          <w:rFonts w:ascii="Times New Roman" w:eastAsia="Times New Roman" w:hAnsi="Times New Roman"/>
          <w:sz w:val="24"/>
          <w:szCs w:val="24"/>
        </w:rPr>
      </w:pPr>
    </w:p>
    <w:p w:rsidR="00456F2F" w:rsidRPr="009D5921" w:rsidP="00456F2F" w14:paraId="3E896BC4" w14:textId="4E96E3EF">
      <w:pPr>
        <w:spacing w:after="0" w:line="240" w:lineRule="auto"/>
        <w:rPr>
          <w:rFonts w:ascii="Times New Roman" w:eastAsia="Times New Roman" w:hAnsi="Times New Roman"/>
          <w:sz w:val="24"/>
          <w:szCs w:val="24"/>
        </w:rPr>
      </w:pPr>
      <w:r w:rsidRPr="009D5921">
        <w:rPr>
          <w:rFonts w:ascii="Times New Roman" w:eastAsia="Times New Roman" w:hAnsi="Times New Roman"/>
          <w:sz w:val="24"/>
          <w:szCs w:val="24"/>
        </w:rPr>
        <w:t xml:space="preserve">I. </w:t>
      </w:r>
      <w:r>
        <w:rPr>
          <w:rFonts w:ascii="Times New Roman" w:eastAsia="Times New Roman" w:hAnsi="Times New Roman"/>
          <w:sz w:val="24"/>
          <w:szCs w:val="24"/>
        </w:rPr>
        <w:t>Economic Analysis of Impacts</w:t>
      </w:r>
    </w:p>
    <w:p w:rsidR="00456F2F" w:rsidRPr="009D5921" w:rsidP="00456F2F" w14:paraId="38F81712" w14:textId="77777777">
      <w:pPr>
        <w:spacing w:after="0" w:line="240" w:lineRule="auto"/>
        <w:ind w:firstLine="360"/>
        <w:rPr>
          <w:rFonts w:ascii="Times New Roman" w:eastAsia="Times New Roman" w:hAnsi="Times New Roman"/>
          <w:sz w:val="24"/>
          <w:szCs w:val="24"/>
        </w:rPr>
      </w:pPr>
    </w:p>
    <w:p w:rsidR="00034B0C" w:rsidP="0062238B" w14:paraId="341E3D45" w14:textId="02A38CB4">
      <w:pPr>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Introduction</w:t>
      </w:r>
      <w:r w:rsidR="0062238B">
        <w:rPr>
          <w:rFonts w:ascii="Times New Roman" w:eastAsia="Times New Roman" w:hAnsi="Times New Roman"/>
          <w:sz w:val="24"/>
          <w:szCs w:val="24"/>
        </w:rPr>
        <w:t xml:space="preserve"> </w:t>
      </w:r>
    </w:p>
    <w:p w:rsidR="006D7162" w:rsidP="0062238B" w14:paraId="6B7506F2" w14:textId="5ACD4454">
      <w:pPr>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Summary of </w:t>
      </w:r>
      <w:r w:rsidR="003817B0">
        <w:rPr>
          <w:rFonts w:ascii="Times New Roman" w:eastAsia="Times New Roman" w:hAnsi="Times New Roman"/>
          <w:sz w:val="24"/>
          <w:szCs w:val="24"/>
        </w:rPr>
        <w:t>Changes</w:t>
      </w:r>
      <w:r w:rsidR="005B04F0">
        <w:rPr>
          <w:rFonts w:ascii="Times New Roman" w:eastAsia="Times New Roman" w:hAnsi="Times New Roman"/>
          <w:sz w:val="24"/>
          <w:szCs w:val="24"/>
        </w:rPr>
        <w:t xml:space="preserve"> </w:t>
      </w:r>
      <w:r w:rsidR="00C034C5">
        <w:rPr>
          <w:rFonts w:ascii="Times New Roman" w:eastAsia="Times New Roman" w:hAnsi="Times New Roman"/>
          <w:sz w:val="24"/>
          <w:szCs w:val="24"/>
        </w:rPr>
        <w:t>M</w:t>
      </w:r>
      <w:r w:rsidR="005B04F0">
        <w:rPr>
          <w:rFonts w:ascii="Times New Roman" w:eastAsia="Times New Roman" w:hAnsi="Times New Roman"/>
          <w:sz w:val="24"/>
          <w:szCs w:val="24"/>
        </w:rPr>
        <w:t xml:space="preserve">ade to the Preliminary </w:t>
      </w:r>
      <w:r w:rsidR="00C034C5">
        <w:rPr>
          <w:rFonts w:ascii="Times New Roman" w:eastAsia="Times New Roman" w:hAnsi="Times New Roman"/>
          <w:sz w:val="24"/>
          <w:szCs w:val="24"/>
        </w:rPr>
        <w:t>Regulatory Impact Analysis</w:t>
      </w:r>
    </w:p>
    <w:p w:rsidR="00456F2F" w:rsidRPr="0062238B" w:rsidP="0062238B" w14:paraId="48012BEF" w14:textId="70DD0E28">
      <w:pPr>
        <w:numPr>
          <w:ilvl w:val="0"/>
          <w:numId w:val="11"/>
        </w:numPr>
        <w:spacing w:after="0" w:line="240" w:lineRule="auto"/>
        <w:rPr>
          <w:rFonts w:ascii="Times New Roman" w:eastAsia="Times New Roman" w:hAnsi="Times New Roman"/>
          <w:sz w:val="24"/>
          <w:szCs w:val="24"/>
        </w:rPr>
      </w:pPr>
      <w:r w:rsidRPr="0062238B">
        <w:rPr>
          <w:rFonts w:ascii="Times New Roman" w:eastAsia="Times New Roman" w:hAnsi="Times New Roman"/>
          <w:sz w:val="24"/>
          <w:szCs w:val="24"/>
        </w:rPr>
        <w:t xml:space="preserve">Summary </w:t>
      </w:r>
      <w:r w:rsidR="00034B0C">
        <w:rPr>
          <w:rFonts w:ascii="Times New Roman" w:eastAsia="Times New Roman" w:hAnsi="Times New Roman"/>
          <w:sz w:val="24"/>
          <w:szCs w:val="24"/>
        </w:rPr>
        <w:t xml:space="preserve">of Costs </w:t>
      </w:r>
      <w:r w:rsidR="00424EBA">
        <w:rPr>
          <w:rFonts w:ascii="Times New Roman" w:eastAsia="Times New Roman" w:hAnsi="Times New Roman"/>
          <w:sz w:val="24"/>
          <w:szCs w:val="24"/>
        </w:rPr>
        <w:t xml:space="preserve">and </w:t>
      </w:r>
      <w:r w:rsidR="00261A17">
        <w:rPr>
          <w:rFonts w:ascii="Times New Roman" w:eastAsia="Times New Roman" w:hAnsi="Times New Roman"/>
          <w:sz w:val="24"/>
          <w:szCs w:val="24"/>
        </w:rPr>
        <w:t>Benefits</w:t>
      </w:r>
      <w:r w:rsidR="00034B0C">
        <w:rPr>
          <w:rFonts w:ascii="Times New Roman" w:eastAsia="Times New Roman" w:hAnsi="Times New Roman"/>
          <w:sz w:val="24"/>
          <w:szCs w:val="24"/>
        </w:rPr>
        <w:t xml:space="preserve"> </w:t>
      </w:r>
    </w:p>
    <w:p w:rsidR="00456F2F" w:rsidRPr="007909AF" w:rsidP="00456F2F" w14:paraId="2D416CE2" w14:textId="40F37335">
      <w:pPr>
        <w:numPr>
          <w:ilvl w:val="0"/>
          <w:numId w:val="11"/>
        </w:numPr>
        <w:spacing w:after="0" w:line="240" w:lineRule="auto"/>
        <w:rPr>
          <w:rFonts w:ascii="Times New Roman" w:eastAsia="MS Mincho" w:hAnsi="Times New Roman"/>
          <w:sz w:val="24"/>
          <w:szCs w:val="24"/>
          <w:lang w:eastAsia="ja-JP"/>
        </w:rPr>
      </w:pPr>
      <w:r>
        <w:rPr>
          <w:rFonts w:ascii="Times New Roman" w:eastAsia="Times New Roman" w:hAnsi="Times New Roman"/>
          <w:sz w:val="24"/>
          <w:szCs w:val="24"/>
        </w:rPr>
        <w:t>Cost</w:t>
      </w:r>
      <w:r w:rsidR="00645E63">
        <w:rPr>
          <w:rFonts w:ascii="Times New Roman" w:eastAsia="Times New Roman" w:hAnsi="Times New Roman"/>
          <w:sz w:val="24"/>
          <w:szCs w:val="24"/>
        </w:rPr>
        <w:t>s</w:t>
      </w:r>
      <w:r>
        <w:rPr>
          <w:rFonts w:ascii="Times New Roman" w:eastAsia="Times New Roman" w:hAnsi="Times New Roman"/>
          <w:sz w:val="24"/>
          <w:szCs w:val="24"/>
        </w:rPr>
        <w:t xml:space="preserve"> of the Rule</w:t>
      </w:r>
    </w:p>
    <w:p w:rsidR="00456F2F" w:rsidRPr="00232422" w:rsidP="00456F2F" w14:paraId="41FAE58E" w14:textId="65143105">
      <w:pPr>
        <w:numPr>
          <w:ilvl w:val="0"/>
          <w:numId w:val="11"/>
        </w:numPr>
        <w:spacing w:after="0" w:line="240" w:lineRule="auto"/>
        <w:rPr>
          <w:rFonts w:ascii="Times New Roman" w:hAnsi="Times New Roman"/>
          <w:sz w:val="24"/>
        </w:rPr>
      </w:pPr>
      <w:r>
        <w:rPr>
          <w:rFonts w:ascii="Times New Roman" w:eastAsia="Times New Roman" w:hAnsi="Times New Roman"/>
          <w:sz w:val="24"/>
          <w:szCs w:val="24"/>
        </w:rPr>
        <w:t xml:space="preserve">Costs </w:t>
      </w:r>
      <w:r w:rsidR="00645E63">
        <w:rPr>
          <w:rFonts w:ascii="Times New Roman" w:eastAsia="Times New Roman" w:hAnsi="Times New Roman"/>
          <w:sz w:val="24"/>
          <w:szCs w:val="24"/>
        </w:rPr>
        <w:t xml:space="preserve">Savings </w:t>
      </w:r>
      <w:r>
        <w:rPr>
          <w:rFonts w:ascii="Times New Roman" w:eastAsia="Times New Roman" w:hAnsi="Times New Roman"/>
          <w:sz w:val="24"/>
          <w:szCs w:val="24"/>
        </w:rPr>
        <w:t>of the Rule</w:t>
      </w:r>
    </w:p>
    <w:p w:rsidR="00424EBA" w:rsidRPr="00737C92" w:rsidP="00456F2F" w14:paraId="728584DC" w14:textId="2F861346">
      <w:pPr>
        <w:numPr>
          <w:ilvl w:val="0"/>
          <w:numId w:val="11"/>
        </w:numPr>
        <w:spacing w:after="0" w:line="240" w:lineRule="auto"/>
        <w:rPr>
          <w:rFonts w:ascii="Times New Roman" w:hAnsi="Times New Roman"/>
          <w:sz w:val="24"/>
        </w:rPr>
      </w:pPr>
      <w:r>
        <w:rPr>
          <w:rFonts w:ascii="Times New Roman" w:eastAsia="Times New Roman" w:hAnsi="Times New Roman"/>
          <w:sz w:val="24"/>
          <w:szCs w:val="24"/>
        </w:rPr>
        <w:t>Non-Quantified Benefits of the Rule</w:t>
      </w:r>
    </w:p>
    <w:p w:rsidR="00CB2EA2" w:rsidRPr="00CB2EA2" w:rsidP="00CB2EA2" w14:paraId="03B73F7F" w14:textId="3C775C23">
      <w:pPr>
        <w:pStyle w:val="ListParagraph"/>
        <w:numPr>
          <w:ilvl w:val="0"/>
          <w:numId w:val="11"/>
        </w:numPr>
        <w:spacing w:line="480" w:lineRule="auto"/>
        <w:rPr>
          <w:iCs/>
          <w:szCs w:val="24"/>
        </w:rPr>
      </w:pPr>
      <w:r>
        <w:rPr>
          <w:iCs/>
          <w:szCs w:val="24"/>
        </w:rPr>
        <w:t xml:space="preserve">Summary of </w:t>
      </w:r>
      <w:r w:rsidR="009F6844">
        <w:rPr>
          <w:iCs/>
          <w:szCs w:val="24"/>
        </w:rPr>
        <w:t>Net Cost Savings</w:t>
      </w:r>
    </w:p>
    <w:p w:rsidR="00CB2EA2" w:rsidRPr="007909AF" w:rsidP="00737C92" w14:paraId="7184838A" w14:textId="3434DA03">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II. Small Entity Analysis</w:t>
      </w:r>
    </w:p>
    <w:p w:rsidR="00456F2F" w:rsidRPr="009D5921" w:rsidP="00456F2F" w14:paraId="6AF69716" w14:textId="77777777">
      <w:pPr>
        <w:spacing w:after="0" w:line="240" w:lineRule="auto"/>
        <w:rPr>
          <w:rFonts w:ascii="Times New Roman" w:eastAsia="MS Mincho" w:hAnsi="Times New Roman"/>
          <w:bCs/>
          <w:color w:val="000000"/>
          <w:sz w:val="24"/>
          <w:szCs w:val="24"/>
          <w:lang w:eastAsia="ja-JP"/>
        </w:rPr>
      </w:pPr>
    </w:p>
    <w:p w:rsidR="00456F2F" w:rsidRPr="009D5921" w:rsidP="00456F2F" w14:paraId="110F2061" w14:textId="1424DC95">
      <w:pPr>
        <w:spacing w:after="0" w:line="240" w:lineRule="auto"/>
        <w:rPr>
          <w:rFonts w:ascii="Times New Roman" w:eastAsia="MS Mincho" w:hAnsi="Times New Roman"/>
          <w:bCs/>
          <w:color w:val="000000"/>
          <w:sz w:val="24"/>
          <w:szCs w:val="24"/>
          <w:lang w:eastAsia="ja-JP"/>
        </w:rPr>
      </w:pPr>
      <w:r>
        <w:rPr>
          <w:rFonts w:ascii="Times New Roman" w:eastAsia="MS Mincho" w:hAnsi="Times New Roman"/>
          <w:bCs/>
          <w:color w:val="000000"/>
          <w:sz w:val="24"/>
          <w:szCs w:val="24"/>
          <w:lang w:eastAsia="ja-JP"/>
        </w:rPr>
        <w:t>I</w:t>
      </w:r>
      <w:r w:rsidRPr="009D5921">
        <w:rPr>
          <w:rFonts w:ascii="Times New Roman" w:eastAsia="MS Mincho" w:hAnsi="Times New Roman"/>
          <w:bCs/>
          <w:color w:val="000000"/>
          <w:sz w:val="24"/>
          <w:szCs w:val="24"/>
          <w:lang w:eastAsia="ja-JP"/>
        </w:rPr>
        <w:t>I</w:t>
      </w:r>
      <w:r>
        <w:rPr>
          <w:rFonts w:ascii="Times New Roman" w:eastAsia="MS Mincho" w:hAnsi="Times New Roman"/>
          <w:bCs/>
          <w:color w:val="000000"/>
          <w:sz w:val="24"/>
          <w:szCs w:val="24"/>
          <w:lang w:eastAsia="ja-JP"/>
        </w:rPr>
        <w:t>I</w:t>
      </w:r>
      <w:r w:rsidRPr="009D5921">
        <w:rPr>
          <w:rFonts w:ascii="Times New Roman" w:eastAsia="MS Mincho" w:hAnsi="Times New Roman"/>
          <w:bCs/>
          <w:color w:val="000000"/>
          <w:sz w:val="24"/>
          <w:szCs w:val="24"/>
          <w:lang w:eastAsia="ja-JP"/>
        </w:rPr>
        <w:t>. References</w:t>
      </w:r>
    </w:p>
    <w:p w:rsidR="00456F2F" w14:paraId="64E70E87" w14:textId="77777777">
      <w:pPr>
        <w:spacing w:after="0" w:line="240" w:lineRule="auto"/>
        <w:rPr>
          <w:rFonts w:ascii="Times New Roman" w:eastAsia="MS Mincho" w:hAnsi="Times New Roman"/>
          <w:color w:val="000000"/>
          <w:sz w:val="28"/>
          <w:szCs w:val="28"/>
          <w:lang w:eastAsia="ja-JP"/>
        </w:rPr>
      </w:pPr>
    </w:p>
    <w:p w:rsidR="00456F2F" w:rsidRPr="009D5921" w:rsidP="00456F2F" w14:paraId="08E5102E" w14:textId="77777777">
      <w:pPr>
        <w:autoSpaceDE w:val="0"/>
        <w:autoSpaceDN w:val="0"/>
        <w:adjustRightInd w:val="0"/>
        <w:spacing w:after="0" w:line="240" w:lineRule="auto"/>
        <w:jc w:val="center"/>
        <w:rPr>
          <w:rFonts w:ascii="Times New Roman" w:eastAsia="MS Mincho" w:hAnsi="Times New Roman"/>
          <w:color w:val="000000"/>
          <w:sz w:val="28"/>
          <w:szCs w:val="28"/>
          <w:lang w:eastAsia="ja-JP"/>
        </w:rPr>
      </w:pPr>
    </w:p>
    <w:p w:rsidR="00B91C42" w14:paraId="7CDBDE30" w14:textId="77777777">
      <w:pPr>
        <w:spacing w:after="0" w:line="240" w:lineRule="auto"/>
        <w:rPr>
          <w:rFonts w:ascii="Times New Roman" w:hAnsi="Times New Roman"/>
          <w:sz w:val="24"/>
          <w:szCs w:val="24"/>
        </w:rPr>
      </w:pPr>
      <w:r>
        <w:rPr>
          <w:rFonts w:ascii="Times New Roman" w:hAnsi="Times New Roman"/>
          <w:sz w:val="24"/>
          <w:szCs w:val="24"/>
        </w:rPr>
        <w:br w:type="page"/>
      </w:r>
    </w:p>
    <w:p w:rsidR="00456F2F" w:rsidP="00DD5247" w14:paraId="4A292D1C" w14:textId="77777777">
      <w:pPr>
        <w:numPr>
          <w:ilvl w:val="0"/>
          <w:numId w:val="12"/>
        </w:numPr>
        <w:spacing w:line="480" w:lineRule="auto"/>
        <w:ind w:left="720" w:hanging="360"/>
        <w:jc w:val="center"/>
        <w:rPr>
          <w:rFonts w:ascii="Times New Roman" w:hAnsi="Times New Roman"/>
          <w:sz w:val="24"/>
          <w:szCs w:val="24"/>
        </w:rPr>
      </w:pPr>
      <w:r>
        <w:rPr>
          <w:rFonts w:ascii="Times New Roman" w:hAnsi="Times New Roman"/>
          <w:sz w:val="24"/>
          <w:szCs w:val="24"/>
        </w:rPr>
        <w:t xml:space="preserve">Economic </w:t>
      </w:r>
      <w:r w:rsidRPr="00FA0101">
        <w:rPr>
          <w:rFonts w:ascii="Times New Roman" w:hAnsi="Times New Roman"/>
          <w:sz w:val="24"/>
          <w:szCs w:val="24"/>
        </w:rPr>
        <w:t>Analysis of Impacts</w:t>
      </w:r>
      <w:r>
        <w:rPr>
          <w:rFonts w:ascii="Times New Roman" w:hAnsi="Times New Roman"/>
          <w:sz w:val="24"/>
          <w:szCs w:val="24"/>
        </w:rPr>
        <w:t xml:space="preserve"> </w:t>
      </w:r>
    </w:p>
    <w:p w:rsidR="00456F2F" w:rsidP="00456F2F" w14:paraId="28B46B88" w14:textId="77777777">
      <w:pPr>
        <w:spacing w:before="10" w:after="0" w:line="480" w:lineRule="auto"/>
        <w:ind w:left="360" w:right="55"/>
        <w:jc w:val="center"/>
        <w:rPr>
          <w:rFonts w:ascii="Times New Roman" w:hAnsi="Times New Roman"/>
          <w:sz w:val="24"/>
          <w:szCs w:val="24"/>
        </w:rPr>
      </w:pPr>
      <w:r>
        <w:rPr>
          <w:rFonts w:ascii="Times New Roman" w:eastAsia="Times New Roman" w:hAnsi="Times New Roman"/>
          <w:i/>
          <w:sz w:val="24"/>
          <w:szCs w:val="24"/>
        </w:rPr>
        <w:t>A. Introduction</w:t>
      </w:r>
    </w:p>
    <w:p w:rsidR="00541F96" w:rsidRPr="00541F96" w:rsidP="00541F96" w14:paraId="17580CA0" w14:textId="69ABF0DB">
      <w:pPr>
        <w:spacing w:before="29" w:after="0" w:line="480" w:lineRule="auto"/>
        <w:ind w:left="100" w:right="141" w:firstLine="720"/>
        <w:rPr>
          <w:rFonts w:ascii="Times New Roman" w:eastAsia="Times New Roman" w:hAnsi="Times New Roman"/>
          <w:spacing w:val="1"/>
          <w:sz w:val="24"/>
          <w:szCs w:val="24"/>
        </w:rPr>
      </w:pPr>
      <w:r w:rsidRPr="00541F96">
        <w:rPr>
          <w:rFonts w:ascii="Times New Roman" w:eastAsia="Times New Roman" w:hAnsi="Times New Roman"/>
          <w:spacing w:val="1"/>
          <w:sz w:val="24"/>
          <w:szCs w:val="24"/>
        </w:rPr>
        <w:t xml:space="preserve">We have examined the impacts of the final rule under Executive Order 12866, Executive Order 13563, Executive Order 14094, </w:t>
      </w:r>
      <w:r w:rsidRPr="00541F96" w:rsidR="00221E5E">
        <w:rPr>
          <w:rFonts w:ascii="Times New Roman" w:eastAsia="Times New Roman" w:hAnsi="Times New Roman"/>
          <w:spacing w:val="1"/>
          <w:sz w:val="24"/>
          <w:szCs w:val="24"/>
        </w:rPr>
        <w:t>the Congressional Review Act/Small Business Regulatory Enforcement Fairness Act (5 U.S.C. 801, Pub. L. 104-121)</w:t>
      </w:r>
      <w:r w:rsidR="00221E5E">
        <w:rPr>
          <w:rFonts w:ascii="Times New Roman" w:eastAsia="Times New Roman" w:hAnsi="Times New Roman"/>
          <w:spacing w:val="1"/>
          <w:sz w:val="24"/>
          <w:szCs w:val="24"/>
        </w:rPr>
        <w:t xml:space="preserve">, </w:t>
      </w:r>
      <w:r w:rsidRPr="00541F96">
        <w:rPr>
          <w:rFonts w:ascii="Times New Roman" w:eastAsia="Times New Roman" w:hAnsi="Times New Roman"/>
          <w:spacing w:val="1"/>
          <w:sz w:val="24"/>
          <w:szCs w:val="24"/>
        </w:rPr>
        <w:t>the Regulatory Flexibility Act (5 U.S.C. 601-612), and the Unfunded Mandates Reform Act of 1995 (Pub. L. 104-4).</w:t>
      </w:r>
    </w:p>
    <w:p w:rsidR="00811BC8" w:rsidP="00456F2F" w14:paraId="4B25E51A" w14:textId="6135E05F">
      <w:pPr>
        <w:spacing w:before="10" w:after="0" w:line="480" w:lineRule="auto"/>
        <w:ind w:left="101" w:right="-14" w:firstLine="619"/>
        <w:rPr>
          <w:rFonts w:ascii="Times New Roman" w:eastAsia="Times New Roman" w:hAnsi="Times New Roman"/>
          <w:spacing w:val="1"/>
          <w:sz w:val="24"/>
          <w:szCs w:val="24"/>
        </w:rPr>
      </w:pPr>
      <w:r w:rsidRPr="00541F96">
        <w:rPr>
          <w:rFonts w:ascii="Times New Roman" w:eastAsia="Times New Roman" w:hAnsi="Times New Roman"/>
          <w:spacing w:val="1"/>
          <w:sz w:val="24"/>
          <w:szCs w:val="24"/>
        </w:rPr>
        <w:t xml:space="preserve">Executive Orders 12866, 13563, and 14094 direct us to assess all benefits, costs, and transfers of available regulatory alternatives and, when regulation is necessary, to select regulatory approaches that maximize net benefits (including potential economic, environmental, public health and safety, and other advantages; distributive impacts; and equity). </w:t>
      </w:r>
      <w:r w:rsidR="00122C40">
        <w:rPr>
          <w:rFonts w:ascii="Times New Roman" w:eastAsia="Times New Roman" w:hAnsi="Times New Roman"/>
          <w:spacing w:val="1"/>
          <w:sz w:val="24"/>
          <w:szCs w:val="24"/>
        </w:rPr>
        <w:t xml:space="preserve"> </w:t>
      </w:r>
      <w:r w:rsidRPr="00541F96">
        <w:rPr>
          <w:rFonts w:ascii="Times New Roman" w:eastAsia="Times New Roman" w:hAnsi="Times New Roman"/>
          <w:spacing w:val="1"/>
          <w:sz w:val="24"/>
          <w:szCs w:val="24"/>
        </w:rPr>
        <w:t xml:space="preserve">Rules are significant under Executive Order 12866 Section 3(f)(1) (as amended by Executive Order 14094) if they “have an annual effect on the economy of $200 million or more (adjusted every 3 years by the Administrator of the Office of Information and Regulatory Affairs [OIRA] for changes in gross domestic product); or adversely affect in a material way the economy, a sector of the economy, productivity, competition, jobs, the environment, public health or safety, or State, local, territorial, or tribal governments or communities.” </w:t>
      </w:r>
      <w:r w:rsidR="00122C40">
        <w:rPr>
          <w:rFonts w:ascii="Times New Roman" w:eastAsia="Times New Roman" w:hAnsi="Times New Roman"/>
          <w:spacing w:val="1"/>
          <w:sz w:val="24"/>
          <w:szCs w:val="24"/>
        </w:rPr>
        <w:t xml:space="preserve"> </w:t>
      </w:r>
      <w:r w:rsidRPr="00541F96">
        <w:rPr>
          <w:rFonts w:ascii="Times New Roman" w:eastAsia="Times New Roman" w:hAnsi="Times New Roman"/>
          <w:spacing w:val="1"/>
          <w:sz w:val="24"/>
          <w:szCs w:val="24"/>
        </w:rPr>
        <w:t xml:space="preserve">OIRA has determined that this final rule is not a significant regulatory action under Section 3(f)(1). </w:t>
      </w:r>
    </w:p>
    <w:p w:rsidR="004421C8" w:rsidP="00811BC8" w14:paraId="4BF164A0" w14:textId="5EDC39CD">
      <w:pPr>
        <w:spacing w:before="10" w:after="0" w:line="480" w:lineRule="auto"/>
        <w:ind w:left="101" w:right="-14" w:firstLine="619"/>
        <w:rPr>
          <w:rFonts w:ascii="Times New Roman" w:eastAsia="Times New Roman" w:hAnsi="Times New Roman"/>
          <w:sz w:val="24"/>
          <w:szCs w:val="24"/>
        </w:rPr>
      </w:pPr>
      <w:r w:rsidRPr="004421C8">
        <w:rPr>
          <w:rFonts w:ascii="Times New Roman" w:eastAsia="Times New Roman" w:hAnsi="Times New Roman"/>
          <w:sz w:val="24"/>
          <w:szCs w:val="24"/>
        </w:rPr>
        <w:t xml:space="preserve">A rule is “major” under the Congressional Review Act/Small Business Regulatory Enforcement Fairness Act if it has resulted or is likely to result in an annual effect on the economy of $100 million or more or meets other criteria specified in the Congressional Review Act. </w:t>
      </w:r>
      <w:r w:rsidR="00122C40">
        <w:rPr>
          <w:rFonts w:ascii="Times New Roman" w:eastAsia="Times New Roman" w:hAnsi="Times New Roman"/>
          <w:sz w:val="24"/>
          <w:szCs w:val="24"/>
        </w:rPr>
        <w:t xml:space="preserve"> </w:t>
      </w:r>
      <w:r w:rsidRPr="004421C8">
        <w:rPr>
          <w:rFonts w:ascii="Times New Roman" w:eastAsia="Times New Roman" w:hAnsi="Times New Roman"/>
          <w:sz w:val="24"/>
          <w:szCs w:val="24"/>
        </w:rPr>
        <w:t xml:space="preserve">OIRA has determined that this final rule is not a major rule under the Congressional Review Act/Small Business Regulatory Enforcement Fairness Act.  </w:t>
      </w:r>
    </w:p>
    <w:p w:rsidR="00456F2F" w:rsidP="00456F2F" w14:paraId="60360FB7" w14:textId="1070A187">
      <w:pPr>
        <w:spacing w:before="10" w:after="0" w:line="480" w:lineRule="auto"/>
        <w:ind w:left="101" w:right="-14" w:firstLine="619"/>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to</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3"/>
          <w:sz w:val="24"/>
          <w:szCs w:val="24"/>
        </w:rPr>
        <w:t>l</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ibili</w:t>
      </w:r>
      <w:r>
        <w:rPr>
          <w:rFonts w:ascii="Times New Roman" w:eastAsia="Times New Roman" w:hAnsi="Times New Roman"/>
          <w:spacing w:val="-2"/>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 xml:space="preserve">t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s us to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3"/>
          <w:sz w:val="24"/>
          <w:szCs w:val="24"/>
        </w:rPr>
        <w:t>l</w:t>
      </w:r>
      <w:r>
        <w:rPr>
          <w:rFonts w:ascii="Times New Roman" w:eastAsia="Times New Roman" w:hAnsi="Times New Roman"/>
          <w:spacing w:val="-5"/>
          <w:sz w:val="24"/>
          <w:szCs w:val="24"/>
        </w:rPr>
        <w:t>y</w:t>
      </w:r>
      <w:r>
        <w:rPr>
          <w:rFonts w:ascii="Times New Roman" w:eastAsia="Times New Roman" w:hAnsi="Times New Roman"/>
          <w:spacing w:val="4"/>
          <w:sz w:val="24"/>
          <w:szCs w:val="24"/>
        </w:rPr>
        <w:t>z</w:t>
      </w:r>
      <w:r>
        <w:rPr>
          <w:rFonts w:ascii="Times New Roman" w:eastAsia="Times New Roman" w:hAnsi="Times New Roman"/>
          <w:sz w:val="24"/>
          <w:szCs w:val="24"/>
        </w:rPr>
        <w:t>e</w:t>
      </w:r>
      <w:r>
        <w:rPr>
          <w:rFonts w:ascii="Times New Roman" w:eastAsia="Times New Roman" w:hAnsi="Times New Roman"/>
          <w:spacing w:val="-1"/>
          <w:sz w:val="24"/>
          <w:szCs w:val="24"/>
        </w:rPr>
        <w:t xml:space="preserve"> 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to</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options th</w:t>
      </w:r>
      <w:r>
        <w:rPr>
          <w:rFonts w:ascii="Times New Roman" w:eastAsia="Times New Roman" w:hAnsi="Times New Roman"/>
          <w:spacing w:val="-1"/>
          <w:sz w:val="24"/>
          <w:szCs w:val="24"/>
        </w:rPr>
        <w:t>a</w:t>
      </w:r>
      <w:r>
        <w:rPr>
          <w:rFonts w:ascii="Times New Roman" w:eastAsia="Times New Roman" w:hAnsi="Times New Roman"/>
          <w:sz w:val="24"/>
          <w:szCs w:val="24"/>
        </w:rPr>
        <w:t>t would minim</w:t>
      </w:r>
      <w:r>
        <w:rPr>
          <w:rFonts w:ascii="Times New Roman" w:eastAsia="Times New Roman" w:hAnsi="Times New Roman"/>
          <w:spacing w:val="-2"/>
          <w:sz w:val="24"/>
          <w:szCs w:val="24"/>
        </w:rPr>
        <w:t>i</w:t>
      </w:r>
      <w:r>
        <w:rPr>
          <w:rFonts w:ascii="Times New Roman" w:eastAsia="Times New Roman" w:hAnsi="Times New Roman"/>
          <w:spacing w:val="1"/>
          <w:sz w:val="24"/>
          <w:szCs w:val="24"/>
        </w:rPr>
        <w:t>z</w:t>
      </w:r>
      <w:r>
        <w:rPr>
          <w:rFonts w:ascii="Times New Roman" w:eastAsia="Times New Roman" w:hAnsi="Times New Roman"/>
          <w:sz w:val="24"/>
          <w:szCs w:val="24"/>
        </w:rPr>
        <w:t>e</w:t>
      </w:r>
      <w:r>
        <w:rPr>
          <w:rFonts w:ascii="Times New Roman" w:eastAsia="Times New Roman" w:hAnsi="Times New Roman"/>
          <w:spacing w:val="-1"/>
          <w:sz w:val="24"/>
          <w:szCs w:val="24"/>
        </w:rPr>
        <w:t xml:space="preserve"> 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3"/>
          <w:sz w:val="24"/>
          <w:szCs w:val="24"/>
        </w:rPr>
        <w:t xml:space="preserve"> </w:t>
      </w:r>
      <w:r>
        <w:rPr>
          <w:rFonts w:ascii="Times New Roman" w:eastAsia="Times New Roman" w:hAnsi="Times New Roman"/>
          <w:sz w:val="24"/>
          <w:szCs w:val="24"/>
        </w:rPr>
        <w:t>imp</w:t>
      </w:r>
      <w:r>
        <w:rPr>
          <w:rFonts w:ascii="Times New Roman" w:eastAsia="Times New Roman" w:hAnsi="Times New Roman"/>
          <w:spacing w:val="-1"/>
          <w:sz w:val="24"/>
          <w:szCs w:val="24"/>
        </w:rPr>
        <w:t>ac</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r</w:t>
      </w:r>
      <w:r>
        <w:rPr>
          <w:rFonts w:ascii="Times New Roman" w:eastAsia="Times New Roman" w:hAnsi="Times New Roman"/>
          <w:sz w:val="24"/>
          <w:szCs w:val="24"/>
        </w:rPr>
        <w:t>ule</w:t>
      </w:r>
      <w:r>
        <w:rPr>
          <w:rFonts w:ascii="Times New Roman" w:eastAsia="Times New Roman" w:hAnsi="Times New Roman"/>
          <w:spacing w:val="-1"/>
          <w:sz w:val="24"/>
          <w:szCs w:val="24"/>
        </w:rPr>
        <w:t xml:space="preserve"> </w:t>
      </w:r>
      <w:r>
        <w:rPr>
          <w:rFonts w:ascii="Times New Roman" w:eastAsia="Times New Roman" w:hAnsi="Times New Roman"/>
          <w:sz w:val="24"/>
          <w:szCs w:val="24"/>
        </w:rPr>
        <w:t>on sm</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ntiti</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sidR="00C1093F">
        <w:rPr>
          <w:rFonts w:ascii="Times New Roman" w:eastAsia="Times New Roman" w:hAnsi="Times New Roman"/>
          <w:sz w:val="24"/>
          <w:szCs w:val="24"/>
        </w:rPr>
        <w:t xml:space="preserve">Because </w:t>
      </w:r>
      <w:r w:rsidR="00C70443">
        <w:rPr>
          <w:rFonts w:ascii="Times New Roman" w:eastAsia="Times New Roman" w:hAnsi="Times New Roman"/>
          <w:sz w:val="24"/>
          <w:szCs w:val="24"/>
        </w:rPr>
        <w:t>the final rule is</w:t>
      </w:r>
      <w:r w:rsidR="00C1093F">
        <w:rPr>
          <w:rFonts w:ascii="Times New Roman" w:eastAsia="Times New Roman" w:hAnsi="Times New Roman"/>
          <w:sz w:val="24"/>
          <w:szCs w:val="24"/>
        </w:rPr>
        <w:t xml:space="preserve"> unlikely to impose a substantial burden on the affected small entities, we </w:t>
      </w:r>
      <w:r>
        <w:rPr>
          <w:rFonts w:ascii="Times New Roman" w:eastAsia="Times New Roman" w:hAnsi="Times New Roman"/>
          <w:spacing w:val="-1"/>
          <w:sz w:val="24"/>
          <w:szCs w:val="24"/>
        </w:rPr>
        <w:t>cer</w:t>
      </w:r>
      <w:r>
        <w:rPr>
          <w:rFonts w:ascii="Times New Roman" w:eastAsia="Times New Roman" w:hAnsi="Times New Roman"/>
          <w:sz w:val="24"/>
          <w:szCs w:val="24"/>
        </w:rPr>
        <w:t>ti</w:t>
      </w:r>
      <w:r>
        <w:rPr>
          <w:rFonts w:ascii="Times New Roman" w:eastAsia="Times New Roman" w:hAnsi="Times New Roman"/>
          <w:spacing w:val="4"/>
          <w:sz w:val="24"/>
          <w:szCs w:val="24"/>
        </w:rPr>
        <w:t>f</w:t>
      </w:r>
      <w:r>
        <w:rPr>
          <w:rFonts w:ascii="Times New Roman" w:eastAsia="Times New Roman" w:hAnsi="Times New Roman"/>
          <w:spacing w:val="7"/>
          <w:sz w:val="24"/>
          <w:szCs w:val="24"/>
        </w:rPr>
        <w:t>y</w:t>
      </w:r>
      <w:r>
        <w:rPr>
          <w:rFonts w:ascii="Times New Roman" w:eastAsia="Times New Roman" w:hAnsi="Times New Roman"/>
          <w:spacing w:val="1"/>
          <w:position w:val="11"/>
          <w:sz w:val="16"/>
          <w:szCs w:val="16"/>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final </w:t>
      </w:r>
      <w:r>
        <w:rPr>
          <w:rFonts w:ascii="Times New Roman" w:eastAsia="Times New Roman" w:hAnsi="Times New Roman"/>
          <w:spacing w:val="-1"/>
          <w:sz w:val="24"/>
          <w:szCs w:val="24"/>
        </w:rPr>
        <w:t>r</w:t>
      </w:r>
      <w:r>
        <w:rPr>
          <w:rFonts w:ascii="Times New Roman" w:eastAsia="Times New Roman" w:hAnsi="Times New Roman"/>
          <w:sz w:val="24"/>
          <w:szCs w:val="24"/>
        </w:rPr>
        <w:t>ule</w:t>
      </w:r>
      <w:r>
        <w:rPr>
          <w:rFonts w:ascii="Times New Roman" w:eastAsia="Times New Roman" w:hAnsi="Times New Roman"/>
          <w:spacing w:val="-1"/>
          <w:sz w:val="24"/>
          <w:szCs w:val="24"/>
        </w:rPr>
        <w:t xml:space="preserve"> </w:t>
      </w:r>
      <w:r>
        <w:rPr>
          <w:rFonts w:ascii="Times New Roman" w:eastAsia="Times New Roman" w:hAnsi="Times New Roman"/>
          <w:sz w:val="24"/>
          <w:szCs w:val="24"/>
        </w:rPr>
        <w:t>will not</w:t>
      </w:r>
      <w:r>
        <w:rPr>
          <w:rFonts w:ascii="Times New Roman" w:eastAsia="Times New Roman" w:hAnsi="Times New Roman"/>
          <w:spacing w:val="2"/>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si</w:t>
      </w:r>
      <w:r>
        <w:rPr>
          <w:rFonts w:ascii="Times New Roman" w:eastAsia="Times New Roman" w:hAnsi="Times New Roman"/>
          <w:spacing w:val="-2"/>
          <w:sz w:val="24"/>
          <w:szCs w:val="24"/>
        </w:rPr>
        <w:t>g</w:t>
      </w:r>
      <w:r>
        <w:rPr>
          <w:rFonts w:ascii="Times New Roman" w:eastAsia="Times New Roman" w:hAnsi="Times New Roman"/>
          <w:sz w:val="24"/>
          <w:szCs w:val="24"/>
        </w:rPr>
        <w:t>ni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 xml:space="preserve">nt </w:t>
      </w:r>
      <w:r>
        <w:rPr>
          <w:rFonts w:ascii="Times New Roman" w:eastAsia="Times New Roman" w:hAnsi="Times New Roman"/>
          <w:spacing w:val="-1"/>
          <w:sz w:val="24"/>
          <w:szCs w:val="24"/>
        </w:rPr>
        <w:t>ec</w:t>
      </w:r>
      <w:r>
        <w:rPr>
          <w:rFonts w:ascii="Times New Roman" w:eastAsia="Times New Roman" w:hAnsi="Times New Roman"/>
          <w:sz w:val="24"/>
          <w:szCs w:val="24"/>
        </w:rPr>
        <w:t>onomic</w:t>
      </w:r>
      <w:r>
        <w:rPr>
          <w:rFonts w:ascii="Times New Roman" w:eastAsia="Times New Roman" w:hAnsi="Times New Roman"/>
          <w:spacing w:val="-1"/>
          <w:sz w:val="24"/>
          <w:szCs w:val="24"/>
        </w:rPr>
        <w:t xml:space="preserve"> </w:t>
      </w:r>
      <w:r>
        <w:rPr>
          <w:rFonts w:ascii="Times New Roman" w:eastAsia="Times New Roman" w:hAnsi="Times New Roman"/>
          <w:sz w:val="24"/>
          <w:szCs w:val="24"/>
        </w:rPr>
        <w:t>imp</w:t>
      </w:r>
      <w:r>
        <w:rPr>
          <w:rFonts w:ascii="Times New Roman" w:eastAsia="Times New Roman" w:hAnsi="Times New Roman"/>
          <w:spacing w:val="-1"/>
          <w:sz w:val="24"/>
          <w:szCs w:val="24"/>
        </w:rPr>
        <w:t>ac</w:t>
      </w:r>
      <w:r>
        <w:rPr>
          <w:rFonts w:ascii="Times New Roman" w:eastAsia="Times New Roman" w:hAnsi="Times New Roman"/>
          <w:sz w:val="24"/>
          <w:szCs w:val="24"/>
        </w:rPr>
        <w:t>t on a</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subst</w:t>
      </w:r>
      <w:r>
        <w:rPr>
          <w:rFonts w:ascii="Times New Roman" w:eastAsia="Times New Roman" w:hAnsi="Times New Roman"/>
          <w:spacing w:val="-1"/>
          <w:sz w:val="24"/>
          <w:szCs w:val="24"/>
        </w:rPr>
        <w:t>a</w:t>
      </w:r>
      <w:r>
        <w:rPr>
          <w:rFonts w:ascii="Times New Roman" w:eastAsia="Times New Roman" w:hAnsi="Times New Roman"/>
          <w:sz w:val="24"/>
          <w:szCs w:val="24"/>
        </w:rPr>
        <w:t>nti</w:t>
      </w:r>
      <w:r>
        <w:rPr>
          <w:rFonts w:ascii="Times New Roman" w:eastAsia="Times New Roman" w:hAnsi="Times New Roman"/>
          <w:spacing w:val="-1"/>
          <w:sz w:val="24"/>
          <w:szCs w:val="24"/>
        </w:rPr>
        <w:t>a</w:t>
      </w:r>
      <w:r>
        <w:rPr>
          <w:rFonts w:ascii="Times New Roman" w:eastAsia="Times New Roman" w:hAnsi="Times New Roman"/>
          <w:sz w:val="24"/>
          <w:szCs w:val="24"/>
        </w:rPr>
        <w:t>l numb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sm</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e</w:t>
      </w:r>
      <w:r>
        <w:rPr>
          <w:rFonts w:ascii="Times New Roman" w:eastAsia="Times New Roman" w:hAnsi="Times New Roman"/>
          <w:sz w:val="24"/>
          <w:szCs w:val="24"/>
        </w:rPr>
        <w:t>ntiti</w:t>
      </w:r>
      <w:r>
        <w:rPr>
          <w:rFonts w:ascii="Times New Roman" w:eastAsia="Times New Roman" w:hAnsi="Times New Roman"/>
          <w:spacing w:val="-1"/>
          <w:sz w:val="24"/>
          <w:szCs w:val="24"/>
        </w:rPr>
        <w:t>e</w:t>
      </w:r>
      <w:r>
        <w:rPr>
          <w:rFonts w:ascii="Times New Roman" w:eastAsia="Times New Roman" w:hAnsi="Times New Roman"/>
          <w:sz w:val="24"/>
          <w:szCs w:val="24"/>
        </w:rPr>
        <w:t>s.</w:t>
      </w:r>
    </w:p>
    <w:p w:rsidR="00456F2F" w:rsidP="00047208" w14:paraId="1AC82C41" w14:textId="36518D1A">
      <w:pPr>
        <w:spacing w:before="40" w:after="0" w:line="480" w:lineRule="auto"/>
        <w:ind w:left="90" w:right="410" w:firstLine="630"/>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Un</w:t>
      </w:r>
      <w:r>
        <w:rPr>
          <w:rFonts w:ascii="Times New Roman" w:eastAsia="Times New Roman" w:hAnsi="Times New Roman"/>
          <w:spacing w:val="-1"/>
          <w:sz w:val="24"/>
          <w:szCs w:val="24"/>
        </w:rPr>
        <w:t>f</w:t>
      </w:r>
      <w:r>
        <w:rPr>
          <w:rFonts w:ascii="Times New Roman" w:eastAsia="Times New Roman" w:hAnsi="Times New Roman"/>
          <w:sz w:val="24"/>
          <w:szCs w:val="24"/>
        </w:rPr>
        <w:t>und</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 A</w:t>
      </w:r>
      <w:r>
        <w:rPr>
          <w:rFonts w:ascii="Times New Roman" w:eastAsia="Times New Roman" w:hAnsi="Times New Roman"/>
          <w:spacing w:val="-1"/>
          <w:sz w:val="24"/>
          <w:szCs w:val="24"/>
        </w:rPr>
        <w:t>c</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1995</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pacing w:val="3"/>
          <w:sz w:val="24"/>
          <w:szCs w:val="24"/>
        </w:rPr>
        <w:t>t</w:t>
      </w:r>
      <w:r>
        <w:rPr>
          <w:rFonts w:ascii="Times New Roman" w:eastAsia="Times New Roman" w:hAnsi="Times New Roman"/>
          <w:sz w:val="24"/>
          <w:szCs w:val="24"/>
        </w:rPr>
        <w:t>ion 202</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s us to</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a w</w:t>
      </w:r>
      <w:r>
        <w:rPr>
          <w:rFonts w:ascii="Times New Roman" w:eastAsia="Times New Roman" w:hAnsi="Times New Roman"/>
          <w:spacing w:val="-1"/>
          <w:sz w:val="24"/>
          <w:szCs w:val="24"/>
        </w:rPr>
        <w:t>r</w:t>
      </w:r>
      <w:r>
        <w:rPr>
          <w:rFonts w:ascii="Times New Roman" w:eastAsia="Times New Roman" w:hAnsi="Times New Roman"/>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n 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 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lud</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e</w:t>
      </w:r>
      <w:r>
        <w:rPr>
          <w:rFonts w:ascii="Times New Roman" w:eastAsia="Times New Roman" w:hAnsi="Times New Roman"/>
          <w:sz w:val="24"/>
          <w:szCs w:val="24"/>
        </w:rPr>
        <w:t>ssm</w:t>
      </w:r>
      <w:r>
        <w:rPr>
          <w:rFonts w:ascii="Times New Roman" w:eastAsia="Times New Roman" w:hAnsi="Times New Roman"/>
          <w:spacing w:val="-1"/>
          <w:sz w:val="24"/>
          <w:szCs w:val="24"/>
        </w:rPr>
        <w:t>e</w:t>
      </w:r>
      <w:r>
        <w:rPr>
          <w:rFonts w:ascii="Times New Roman" w:eastAsia="Times New Roman" w:hAnsi="Times New Roman"/>
          <w:sz w:val="24"/>
          <w:szCs w:val="24"/>
        </w:rPr>
        <w:t xml:space="preserve">nt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
          <w:sz w:val="24"/>
          <w:szCs w:val="24"/>
        </w:rPr>
        <w:t xml:space="preserve"> a</w:t>
      </w:r>
      <w:r>
        <w:rPr>
          <w:rFonts w:ascii="Times New Roman" w:eastAsia="Times New Roman" w:hAnsi="Times New Roman"/>
          <w:sz w:val="24"/>
          <w:szCs w:val="24"/>
        </w:rPr>
        <w:t>nti</w:t>
      </w:r>
      <w:r>
        <w:rPr>
          <w:rFonts w:ascii="Times New Roman" w:eastAsia="Times New Roman" w:hAnsi="Times New Roman"/>
          <w:spacing w:val="-1"/>
          <w:sz w:val="24"/>
          <w:szCs w:val="24"/>
        </w:rPr>
        <w:t>c</w:t>
      </w:r>
      <w:r>
        <w:rPr>
          <w:rFonts w:ascii="Times New Roman" w:eastAsia="Times New Roman" w:hAnsi="Times New Roman"/>
          <w:sz w:val="24"/>
          <w:szCs w:val="24"/>
        </w:rPr>
        <w:t>ip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c</w:t>
      </w:r>
      <w:r>
        <w:rPr>
          <w:rFonts w:ascii="Times New Roman" w:eastAsia="Times New Roman" w:hAnsi="Times New Roman"/>
          <w:sz w:val="24"/>
          <w:szCs w:val="24"/>
        </w:rPr>
        <w:t xml:space="preserve">osts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2"/>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ef</w:t>
      </w:r>
      <w:r>
        <w:rPr>
          <w:rFonts w:ascii="Times New Roman" w:eastAsia="Times New Roman" w:hAnsi="Times New Roman"/>
          <w:sz w:val="24"/>
          <w:szCs w:val="24"/>
        </w:rPr>
        <w:t>its, b</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z w:val="24"/>
          <w:szCs w:val="24"/>
        </w:rPr>
        <w:t xml:space="preserve">e </w:t>
      </w:r>
      <w:r w:rsidR="002D27B3">
        <w:rPr>
          <w:rFonts w:ascii="Times New Roman" w:eastAsia="Times New Roman" w:hAnsi="Times New Roman"/>
          <w:sz w:val="24"/>
          <w:szCs w:val="24"/>
        </w:rPr>
        <w:t>issuing</w:t>
      </w:r>
      <w:r w:rsidR="00B847A2">
        <w:rPr>
          <w:rFonts w:ascii="Times New Roman" w:eastAsia="Times New Roman" w:hAnsi="Times New Roman"/>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ule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 in</w:t>
      </w:r>
      <w:r>
        <w:rPr>
          <w:rFonts w:ascii="Times New Roman" w:eastAsia="Times New Roman" w:hAnsi="Times New Roman"/>
          <w:spacing w:val="-1"/>
          <w:sz w:val="24"/>
          <w:szCs w:val="24"/>
        </w:rPr>
        <w:t>c</w:t>
      </w:r>
      <w:r>
        <w:rPr>
          <w:rFonts w:ascii="Times New Roman" w:eastAsia="Times New Roman" w:hAnsi="Times New Roman"/>
          <w:sz w:val="24"/>
          <w:szCs w:val="24"/>
        </w:rPr>
        <w:t>lud</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1"/>
          <w:sz w:val="24"/>
          <w:szCs w:val="24"/>
        </w:rPr>
        <w:t>ra</w:t>
      </w:r>
      <w:r>
        <w:rPr>
          <w:rFonts w:ascii="Times New Roman" w:eastAsia="Times New Roman" w:hAnsi="Times New Roman"/>
          <w:sz w:val="24"/>
          <w:szCs w:val="24"/>
        </w:rPr>
        <w:t>l m</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 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sult in the</w:t>
      </w:r>
      <w:r>
        <w:rPr>
          <w:rFonts w:ascii="Times New Roman" w:eastAsia="Times New Roman" w:hAnsi="Times New Roman"/>
          <w:spacing w:val="-1"/>
          <w:sz w:val="24"/>
          <w:szCs w:val="24"/>
        </w:rPr>
        <w:t xml:space="preserve"> e</w:t>
      </w:r>
      <w:r>
        <w:rPr>
          <w:rFonts w:ascii="Times New Roman" w:eastAsia="Times New Roman" w:hAnsi="Times New Roman"/>
          <w:spacing w:val="2"/>
          <w:sz w:val="24"/>
          <w:szCs w:val="24"/>
        </w:rPr>
        <w:t>x</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nditu</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w:t>
      </w:r>
      <w:r w:rsidR="00047208">
        <w:rPr>
          <w:rFonts w:ascii="Times New Roman" w:eastAsia="Times New Roman" w:hAnsi="Times New Roman"/>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lo</w:t>
      </w:r>
      <w:r>
        <w:rPr>
          <w:rFonts w:ascii="Times New Roman" w:eastAsia="Times New Roman" w:hAnsi="Times New Roman"/>
          <w:spacing w:val="-1"/>
          <w:sz w:val="24"/>
          <w:szCs w:val="24"/>
        </w:rPr>
        <w:t>ca</w:t>
      </w:r>
      <w:r>
        <w:rPr>
          <w:rFonts w:ascii="Times New Roman" w:eastAsia="Times New Roman" w:hAnsi="Times New Roman"/>
          <w:sz w:val="24"/>
          <w:szCs w:val="24"/>
        </w:rPr>
        <w:t xml:space="preserve">l, </w:t>
      </w:r>
      <w:r>
        <w:rPr>
          <w:rFonts w:ascii="Times New Roman" w:eastAsia="Times New Roman" w:hAnsi="Times New Roman"/>
          <w:spacing w:val="-1"/>
          <w:sz w:val="24"/>
          <w:szCs w:val="24"/>
        </w:rPr>
        <w:t>a</w:t>
      </w:r>
      <w:r>
        <w:rPr>
          <w:rFonts w:ascii="Times New Roman" w:eastAsia="Times New Roman" w:hAnsi="Times New Roman"/>
          <w:sz w:val="24"/>
          <w:szCs w:val="24"/>
        </w:rPr>
        <w:t>nd t</w:t>
      </w:r>
      <w:r>
        <w:rPr>
          <w:rFonts w:ascii="Times New Roman" w:eastAsia="Times New Roman" w:hAnsi="Times New Roman"/>
          <w:spacing w:val="-1"/>
          <w:sz w:val="24"/>
          <w:szCs w:val="24"/>
        </w:rPr>
        <w:t>r</w:t>
      </w:r>
      <w:r>
        <w:rPr>
          <w:rFonts w:ascii="Times New Roman" w:eastAsia="Times New Roman" w:hAnsi="Times New Roman"/>
          <w:sz w:val="24"/>
          <w:szCs w:val="24"/>
        </w:rPr>
        <w:t>ib</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2"/>
          <w:sz w:val="24"/>
          <w:szCs w:val="24"/>
        </w:rPr>
        <w:t>o</w:t>
      </w:r>
      <w:r>
        <w:rPr>
          <w:rFonts w:ascii="Times New Roman" w:eastAsia="Times New Roman" w:hAnsi="Times New Roman"/>
          <w:sz w:val="24"/>
          <w:szCs w:val="24"/>
        </w:rPr>
        <w:t>v</w:t>
      </w:r>
      <w:r>
        <w:rPr>
          <w:rFonts w:ascii="Times New Roman" w:eastAsia="Times New Roman" w:hAnsi="Times New Roman"/>
          <w:spacing w:val="-1"/>
          <w:sz w:val="24"/>
          <w:szCs w:val="24"/>
        </w:rPr>
        <w:t>er</w:t>
      </w:r>
      <w:r>
        <w:rPr>
          <w:rFonts w:ascii="Times New Roman" w:eastAsia="Times New Roman" w:hAnsi="Times New Roman"/>
          <w:sz w:val="24"/>
          <w:szCs w:val="24"/>
        </w:rPr>
        <w:t>nm</w:t>
      </w:r>
      <w:r>
        <w:rPr>
          <w:rFonts w:ascii="Times New Roman" w:eastAsia="Times New Roman" w:hAnsi="Times New Roman"/>
          <w:spacing w:val="-1"/>
          <w:sz w:val="24"/>
          <w:szCs w:val="24"/>
        </w:rPr>
        <w:t>e</w:t>
      </w:r>
      <w:r>
        <w:rPr>
          <w:rFonts w:ascii="Times New Roman" w:eastAsia="Times New Roman" w:hAnsi="Times New Roman"/>
          <w:sz w:val="24"/>
          <w:szCs w:val="24"/>
        </w:rPr>
        <w:t>nts, in 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g</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or</w:t>
      </w:r>
      <w:r>
        <w:rPr>
          <w:rFonts w:ascii="Times New Roman" w:eastAsia="Times New Roman" w:hAnsi="Times New Roman"/>
          <w:spacing w:val="-1"/>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pacing w:val="3"/>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$100,000,000 or mo</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(a</w:t>
      </w:r>
      <w:r>
        <w:rPr>
          <w:rFonts w:ascii="Times New Roman" w:eastAsia="Times New Roman" w:hAnsi="Times New Roman"/>
          <w:sz w:val="24"/>
          <w:szCs w:val="24"/>
        </w:rPr>
        <w:t>djust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a</w:t>
      </w:r>
      <w:r>
        <w:rPr>
          <w:rFonts w:ascii="Times New Roman" w:eastAsia="Times New Roman" w:hAnsi="Times New Roman"/>
          <w:sz w:val="24"/>
          <w:szCs w:val="24"/>
        </w:rPr>
        <w:t>nn</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f</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in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one</w:t>
      </w:r>
      <w:r>
        <w:rPr>
          <w:rFonts w:ascii="Times New Roman" w:eastAsia="Times New Roman" w:hAnsi="Times New Roman"/>
          <w:spacing w:val="1"/>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ea</w:t>
      </w:r>
      <w:r>
        <w:rPr>
          <w:rFonts w:ascii="Times New Roman" w:eastAsia="Times New Roman" w:hAnsi="Times New Roman"/>
          <w:spacing w:val="-1"/>
          <w:sz w:val="24"/>
          <w:szCs w:val="24"/>
        </w:rPr>
        <w:t>r</w:t>
      </w:r>
      <w:r>
        <w:rPr>
          <w:rFonts w:ascii="Times New Roman" w:eastAsia="Times New Roman" w:hAnsi="Times New Roman"/>
          <w:spacing w:val="2"/>
          <w:sz w:val="24"/>
          <w:szCs w:val="24"/>
        </w:rPr>
        <w:t>.</w:t>
      </w:r>
      <w:r>
        <w:rPr>
          <w:rFonts w:ascii="Times New Roman" w:eastAsia="Times New Roman" w:hAnsi="Times New Roman"/>
          <w:sz w:val="24"/>
          <w:szCs w:val="24"/>
        </w:rPr>
        <w:t>"</w:t>
      </w:r>
      <w:r w:rsidR="00253C7D">
        <w:rPr>
          <w:rFonts w:ascii="Times New Roman" w:eastAsia="Times New Roman" w:hAnsi="Times New Roman"/>
          <w:spacing w:val="58"/>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nt th</w:t>
      </w:r>
      <w:r>
        <w:rPr>
          <w:rFonts w:ascii="Times New Roman" w:eastAsia="Times New Roman" w:hAnsi="Times New Roman"/>
          <w:spacing w:val="-1"/>
          <w:sz w:val="24"/>
          <w:szCs w:val="24"/>
        </w:rPr>
        <w:t>re</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z w:val="24"/>
          <w:szCs w:val="24"/>
        </w:rPr>
        <w:t xml:space="preserve">old </w:t>
      </w:r>
      <w:r>
        <w:rPr>
          <w:rFonts w:ascii="Times New Roman" w:eastAsia="Times New Roman" w:hAnsi="Times New Roman"/>
          <w:spacing w:val="-1"/>
          <w:sz w:val="24"/>
          <w:szCs w:val="24"/>
        </w:rPr>
        <w:t>af</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a</w:t>
      </w:r>
      <w:r>
        <w:rPr>
          <w:rFonts w:ascii="Times New Roman" w:eastAsia="Times New Roman" w:hAnsi="Times New Roman"/>
          <w:sz w:val="24"/>
          <w:szCs w:val="24"/>
        </w:rPr>
        <w:t>djustm</w:t>
      </w:r>
      <w:r>
        <w:rPr>
          <w:rFonts w:ascii="Times New Roman" w:eastAsia="Times New Roman" w:hAnsi="Times New Roman"/>
          <w:spacing w:val="-1"/>
          <w:sz w:val="24"/>
          <w:szCs w:val="24"/>
        </w:rPr>
        <w:t>e</w:t>
      </w:r>
      <w:r>
        <w:rPr>
          <w:rFonts w:ascii="Times New Roman" w:eastAsia="Times New Roman" w:hAnsi="Times New Roman"/>
          <w:sz w:val="24"/>
          <w:szCs w:val="24"/>
        </w:rPr>
        <w:t xml:space="preserve">nt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f</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sidRPr="000024D8">
        <w:rPr>
          <w:rFonts w:ascii="Times New Roman" w:eastAsia="Times New Roman" w:hAnsi="Times New Roman"/>
          <w:sz w:val="24"/>
          <w:szCs w:val="24"/>
        </w:rPr>
        <w:t>is $</w:t>
      </w:r>
      <w:r w:rsidR="00627C02">
        <w:rPr>
          <w:rFonts w:ascii="Times New Roman" w:eastAsia="Times New Roman" w:hAnsi="Times New Roman"/>
          <w:sz w:val="24"/>
          <w:szCs w:val="24"/>
        </w:rPr>
        <w:t>177</w:t>
      </w:r>
      <w:r w:rsidRPr="000024D8" w:rsidR="00627C02">
        <w:rPr>
          <w:rFonts w:ascii="Times New Roman" w:eastAsia="Times New Roman" w:hAnsi="Times New Roman"/>
          <w:sz w:val="24"/>
          <w:szCs w:val="24"/>
        </w:rPr>
        <w:t xml:space="preserve"> </w:t>
      </w:r>
      <w:r w:rsidRPr="000024D8">
        <w:rPr>
          <w:rFonts w:ascii="Times New Roman" w:eastAsia="Times New Roman" w:hAnsi="Times New Roman"/>
          <w:sz w:val="24"/>
          <w:szCs w:val="24"/>
        </w:rPr>
        <w:t>mill</w:t>
      </w:r>
      <w:r w:rsidRPr="000024D8">
        <w:rPr>
          <w:rFonts w:ascii="Times New Roman" w:eastAsia="Times New Roman" w:hAnsi="Times New Roman"/>
          <w:spacing w:val="-2"/>
          <w:sz w:val="24"/>
          <w:szCs w:val="24"/>
        </w:rPr>
        <w:t>i</w:t>
      </w:r>
      <w:r w:rsidRPr="000024D8">
        <w:rPr>
          <w:rFonts w:ascii="Times New Roman" w:eastAsia="Times New Roman" w:hAnsi="Times New Roman"/>
          <w:sz w:val="24"/>
          <w:szCs w:val="24"/>
        </w:rPr>
        <w:t>on</w:t>
      </w:r>
      <w:r>
        <w:rPr>
          <w:rFonts w:ascii="Times New Roman" w:eastAsia="Times New Roman" w:hAnsi="Times New Roman"/>
          <w:sz w:val="24"/>
          <w:szCs w:val="24"/>
        </w:rPr>
        <w:t>, using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most </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 xml:space="preserve">t </w:t>
      </w:r>
      <w:r>
        <w:rPr>
          <w:rFonts w:ascii="Times New Roman" w:eastAsia="Times New Roman" w:hAnsi="Times New Roman"/>
          <w:spacing w:val="-1"/>
          <w:sz w:val="24"/>
          <w:szCs w:val="24"/>
        </w:rPr>
        <w:t>(</w:t>
      </w:r>
      <w:r>
        <w:rPr>
          <w:rFonts w:ascii="Times New Roman" w:eastAsia="Times New Roman" w:hAnsi="Times New Roman"/>
          <w:sz w:val="24"/>
          <w:szCs w:val="24"/>
        </w:rPr>
        <w:t>20</w:t>
      </w:r>
      <w:r w:rsidR="00DD5247">
        <w:rPr>
          <w:rFonts w:ascii="Times New Roman" w:eastAsia="Times New Roman" w:hAnsi="Times New Roman"/>
          <w:sz w:val="24"/>
          <w:szCs w:val="24"/>
        </w:rPr>
        <w:t>2</w:t>
      </w:r>
      <w:r w:rsidR="0014054D">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mpli</w:t>
      </w:r>
      <w:r>
        <w:rPr>
          <w:rFonts w:ascii="Times New Roman" w:eastAsia="Times New Roman" w:hAnsi="Times New Roman"/>
          <w:spacing w:val="-1"/>
          <w:sz w:val="24"/>
          <w:szCs w:val="24"/>
        </w:rPr>
        <w:t>c</w:t>
      </w:r>
      <w:r>
        <w:rPr>
          <w:rFonts w:ascii="Times New Roman" w:eastAsia="Times New Roman" w:hAnsi="Times New Roman"/>
          <w:sz w:val="24"/>
          <w:szCs w:val="24"/>
        </w:rPr>
        <w:t xml:space="preserve">it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pacing w:val="-1"/>
          <w:sz w:val="24"/>
          <w:szCs w:val="24"/>
        </w:rPr>
        <w:t>ef</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tor</w:t>
      </w:r>
      <w:r>
        <w:rPr>
          <w:rFonts w:ascii="Times New Roman" w:eastAsia="Times New Roman" w:hAnsi="Times New Roman"/>
          <w:spacing w:val="-1"/>
          <w:sz w:val="24"/>
          <w:szCs w:val="24"/>
        </w:rPr>
        <w:t xml:space="preserve"> 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w:t>
      </w:r>
      <w:r>
        <w:rPr>
          <w:rFonts w:ascii="Times New Roman" w:eastAsia="Times New Roman" w:hAnsi="Times New Roman"/>
          <w:sz w:val="24"/>
          <w:szCs w:val="24"/>
        </w:rPr>
        <w:t>oss Dom</w:t>
      </w:r>
      <w:r>
        <w:rPr>
          <w:rFonts w:ascii="Times New Roman" w:eastAsia="Times New Roman" w:hAnsi="Times New Roman"/>
          <w:spacing w:val="-1"/>
          <w:sz w:val="24"/>
          <w:szCs w:val="24"/>
        </w:rPr>
        <w:t>e</w:t>
      </w:r>
      <w:r>
        <w:rPr>
          <w:rFonts w:ascii="Times New Roman" w:eastAsia="Times New Roman" w:hAnsi="Times New Roman"/>
          <w:sz w:val="24"/>
          <w:szCs w:val="24"/>
        </w:rPr>
        <w:t>stic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odu</w:t>
      </w:r>
      <w:r>
        <w:rPr>
          <w:rFonts w:ascii="Times New Roman" w:eastAsia="Times New Roman" w:hAnsi="Times New Roman"/>
          <w:spacing w:val="-1"/>
          <w:sz w:val="24"/>
          <w:szCs w:val="24"/>
        </w:rPr>
        <w:t>c</w:t>
      </w:r>
      <w:r>
        <w:rPr>
          <w:rFonts w:ascii="Times New Roman" w:eastAsia="Times New Roman" w:hAnsi="Times New Roman"/>
          <w:sz w:val="24"/>
          <w:szCs w:val="24"/>
        </w:rPr>
        <w:t xml:space="preserve">t.  This </w:t>
      </w:r>
      <w:r>
        <w:rPr>
          <w:rFonts w:ascii="Times New Roman" w:eastAsia="Times New Roman" w:hAnsi="Times New Roman"/>
          <w:spacing w:val="-1"/>
          <w:sz w:val="24"/>
          <w:szCs w:val="24"/>
        </w:rPr>
        <w:t>r</w:t>
      </w:r>
      <w:r>
        <w:rPr>
          <w:rFonts w:ascii="Times New Roman" w:eastAsia="Times New Roman" w:hAnsi="Times New Roman"/>
          <w:sz w:val="24"/>
          <w:szCs w:val="24"/>
        </w:rPr>
        <w:t>ule</w:t>
      </w:r>
      <w:r>
        <w:rPr>
          <w:rFonts w:ascii="Times New Roman" w:eastAsia="Times New Roman" w:hAnsi="Times New Roman"/>
          <w:spacing w:val="-1"/>
          <w:sz w:val="24"/>
          <w:szCs w:val="24"/>
        </w:rPr>
        <w:t xml:space="preserve"> </w:t>
      </w:r>
      <w:r>
        <w:rPr>
          <w:rFonts w:ascii="Times New Roman" w:eastAsia="Times New Roman" w:hAnsi="Times New Roman"/>
          <w:sz w:val="24"/>
          <w:szCs w:val="24"/>
        </w:rPr>
        <w:t>would not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 xml:space="preserve">sult in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sidRPr="000D2021">
        <w:rPr>
          <w:rFonts w:ascii="Times New Roman" w:eastAsia="Times New Roman" w:hAnsi="Times New Roman"/>
          <w:spacing w:val="-1"/>
          <w:sz w:val="24"/>
          <w:szCs w:val="24"/>
        </w:rPr>
        <w:t>e</w:t>
      </w:r>
      <w:r w:rsidRPr="000D2021">
        <w:rPr>
          <w:rFonts w:ascii="Times New Roman" w:eastAsia="Times New Roman" w:hAnsi="Times New Roman"/>
          <w:spacing w:val="2"/>
          <w:sz w:val="24"/>
          <w:szCs w:val="24"/>
        </w:rPr>
        <w:t>x</w:t>
      </w:r>
      <w:r w:rsidRPr="000D2021">
        <w:rPr>
          <w:rFonts w:ascii="Times New Roman" w:eastAsia="Times New Roman" w:hAnsi="Times New Roman"/>
          <w:sz w:val="24"/>
          <w:szCs w:val="24"/>
        </w:rPr>
        <w:t>p</w:t>
      </w:r>
      <w:r w:rsidRPr="000D2021">
        <w:rPr>
          <w:rFonts w:ascii="Times New Roman" w:eastAsia="Times New Roman" w:hAnsi="Times New Roman"/>
          <w:spacing w:val="-1"/>
          <w:sz w:val="24"/>
          <w:szCs w:val="24"/>
        </w:rPr>
        <w:t>e</w:t>
      </w:r>
      <w:r w:rsidRPr="000D2021">
        <w:rPr>
          <w:rFonts w:ascii="Times New Roman" w:eastAsia="Times New Roman" w:hAnsi="Times New Roman"/>
          <w:sz w:val="24"/>
          <w:szCs w:val="24"/>
        </w:rPr>
        <w:t>nditu</w:t>
      </w:r>
      <w:r w:rsidRPr="000D2021">
        <w:rPr>
          <w:rFonts w:ascii="Times New Roman" w:eastAsia="Times New Roman" w:hAnsi="Times New Roman"/>
          <w:spacing w:val="-1"/>
          <w:sz w:val="24"/>
          <w:szCs w:val="24"/>
        </w:rPr>
        <w:t>r</w:t>
      </w:r>
      <w:r w:rsidRPr="000D2021">
        <w:rPr>
          <w:rFonts w:ascii="Times New Roman" w:eastAsia="Times New Roman" w:hAnsi="Times New Roman"/>
          <w:sz w:val="24"/>
          <w:szCs w:val="24"/>
        </w:rPr>
        <w:t>e</w:t>
      </w:r>
      <w:r w:rsidRPr="000D2021">
        <w:rPr>
          <w:rFonts w:ascii="Times New Roman" w:eastAsia="Times New Roman" w:hAnsi="Times New Roman"/>
          <w:spacing w:val="-1"/>
          <w:sz w:val="24"/>
          <w:szCs w:val="24"/>
        </w:rPr>
        <w:t xml:space="preserve"> </w:t>
      </w:r>
      <w:r w:rsidRPr="000D2021">
        <w:rPr>
          <w:rFonts w:ascii="Times New Roman" w:eastAsia="Times New Roman" w:hAnsi="Times New Roman"/>
          <w:sz w:val="24"/>
          <w:szCs w:val="24"/>
        </w:rPr>
        <w:t xml:space="preserve">in </w:t>
      </w:r>
      <w:r w:rsidRPr="000D2021">
        <w:rPr>
          <w:rFonts w:ascii="Times New Roman" w:eastAsia="Times New Roman" w:hAnsi="Times New Roman"/>
          <w:spacing w:val="-1"/>
          <w:sz w:val="24"/>
          <w:szCs w:val="24"/>
        </w:rPr>
        <w:t>a</w:t>
      </w:r>
      <w:r w:rsidRPr="000D2021">
        <w:rPr>
          <w:rFonts w:ascii="Times New Roman" w:eastAsia="Times New Roman" w:hAnsi="Times New Roman"/>
          <w:spacing w:val="2"/>
          <w:sz w:val="24"/>
          <w:szCs w:val="24"/>
        </w:rPr>
        <w:t>n</w:t>
      </w:r>
      <w:r w:rsidRPr="000D2021">
        <w:rPr>
          <w:rFonts w:ascii="Times New Roman" w:eastAsia="Times New Roman" w:hAnsi="Times New Roman"/>
          <w:sz w:val="24"/>
          <w:szCs w:val="24"/>
        </w:rPr>
        <w:t xml:space="preserve">y </w:t>
      </w:r>
      <w:r w:rsidRPr="000D2021">
        <w:rPr>
          <w:rFonts w:ascii="Times New Roman" w:eastAsia="Times New Roman" w:hAnsi="Times New Roman"/>
          <w:spacing w:val="-5"/>
          <w:sz w:val="24"/>
          <w:szCs w:val="24"/>
        </w:rPr>
        <w:t>y</w:t>
      </w:r>
      <w:r w:rsidRPr="000D2021">
        <w:rPr>
          <w:rFonts w:ascii="Times New Roman" w:eastAsia="Times New Roman" w:hAnsi="Times New Roman"/>
          <w:spacing w:val="1"/>
          <w:sz w:val="24"/>
          <w:szCs w:val="24"/>
        </w:rPr>
        <w:t>e</w:t>
      </w:r>
      <w:r w:rsidRPr="000D2021">
        <w:rPr>
          <w:rFonts w:ascii="Times New Roman" w:eastAsia="Times New Roman" w:hAnsi="Times New Roman"/>
          <w:spacing w:val="-1"/>
          <w:sz w:val="24"/>
          <w:szCs w:val="24"/>
        </w:rPr>
        <w:t>a</w:t>
      </w:r>
      <w:r w:rsidRPr="000D2021">
        <w:rPr>
          <w:rFonts w:ascii="Times New Roman" w:eastAsia="Times New Roman" w:hAnsi="Times New Roman"/>
          <w:sz w:val="24"/>
          <w:szCs w:val="24"/>
        </w:rPr>
        <w:t>r th</w:t>
      </w:r>
      <w:r w:rsidRPr="000D2021">
        <w:rPr>
          <w:rFonts w:ascii="Times New Roman" w:eastAsia="Times New Roman" w:hAnsi="Times New Roman"/>
          <w:spacing w:val="-1"/>
          <w:sz w:val="24"/>
          <w:szCs w:val="24"/>
        </w:rPr>
        <w:t>a</w:t>
      </w:r>
      <w:r w:rsidRPr="000D2021">
        <w:rPr>
          <w:rFonts w:ascii="Times New Roman" w:eastAsia="Times New Roman" w:hAnsi="Times New Roman"/>
          <w:sz w:val="24"/>
          <w:szCs w:val="24"/>
        </w:rPr>
        <w:t>t m</w:t>
      </w:r>
      <w:r w:rsidRPr="000D2021">
        <w:rPr>
          <w:rFonts w:ascii="Times New Roman" w:eastAsia="Times New Roman" w:hAnsi="Times New Roman"/>
          <w:spacing w:val="-1"/>
          <w:sz w:val="24"/>
          <w:szCs w:val="24"/>
        </w:rPr>
        <w:t>ee</w:t>
      </w:r>
      <w:r w:rsidRPr="000D2021">
        <w:rPr>
          <w:rFonts w:ascii="Times New Roman" w:eastAsia="Times New Roman" w:hAnsi="Times New Roman"/>
          <w:sz w:val="24"/>
          <w:szCs w:val="24"/>
        </w:rPr>
        <w:t>ts or</w:t>
      </w:r>
      <w:r w:rsidRPr="000D2021">
        <w:rPr>
          <w:rFonts w:ascii="Times New Roman" w:eastAsia="Times New Roman" w:hAnsi="Times New Roman"/>
          <w:spacing w:val="-1"/>
          <w:sz w:val="24"/>
          <w:szCs w:val="24"/>
        </w:rPr>
        <w:t xml:space="preserve"> e</w:t>
      </w:r>
      <w:r w:rsidRPr="000D2021">
        <w:rPr>
          <w:rFonts w:ascii="Times New Roman" w:eastAsia="Times New Roman" w:hAnsi="Times New Roman"/>
          <w:spacing w:val="2"/>
          <w:sz w:val="24"/>
          <w:szCs w:val="24"/>
        </w:rPr>
        <w:t>x</w:t>
      </w:r>
      <w:r w:rsidRPr="000D2021">
        <w:rPr>
          <w:rFonts w:ascii="Times New Roman" w:eastAsia="Times New Roman" w:hAnsi="Times New Roman"/>
          <w:spacing w:val="-1"/>
          <w:sz w:val="24"/>
          <w:szCs w:val="24"/>
        </w:rPr>
        <w:t>cee</w:t>
      </w:r>
      <w:r w:rsidRPr="000D2021">
        <w:rPr>
          <w:rFonts w:ascii="Times New Roman" w:eastAsia="Times New Roman" w:hAnsi="Times New Roman"/>
          <w:sz w:val="24"/>
          <w:szCs w:val="24"/>
        </w:rPr>
        <w:t>ds th</w:t>
      </w:r>
      <w:r w:rsidRPr="000D2021">
        <w:rPr>
          <w:rFonts w:ascii="Times New Roman" w:eastAsia="Times New Roman" w:hAnsi="Times New Roman"/>
          <w:spacing w:val="3"/>
          <w:sz w:val="24"/>
          <w:szCs w:val="24"/>
        </w:rPr>
        <w:t>i</w:t>
      </w:r>
      <w:r w:rsidRPr="000D2021">
        <w:rPr>
          <w:rFonts w:ascii="Times New Roman" w:eastAsia="Times New Roman" w:hAnsi="Times New Roman"/>
          <w:sz w:val="24"/>
          <w:szCs w:val="24"/>
        </w:rPr>
        <w:t xml:space="preserve">s </w:t>
      </w:r>
      <w:r w:rsidRPr="000D2021">
        <w:rPr>
          <w:rFonts w:ascii="Times New Roman" w:eastAsia="Times New Roman" w:hAnsi="Times New Roman"/>
          <w:spacing w:val="-1"/>
          <w:sz w:val="24"/>
          <w:szCs w:val="24"/>
        </w:rPr>
        <w:t>a</w:t>
      </w:r>
      <w:r w:rsidRPr="000D2021">
        <w:rPr>
          <w:rFonts w:ascii="Times New Roman" w:eastAsia="Times New Roman" w:hAnsi="Times New Roman"/>
          <w:sz w:val="24"/>
          <w:szCs w:val="24"/>
        </w:rPr>
        <w:t>mount.</w:t>
      </w:r>
    </w:p>
    <w:p w:rsidR="00523999" w:rsidRPr="000254EC" w:rsidP="000254EC" w14:paraId="57331249" w14:textId="6619A5B2">
      <w:pPr>
        <w:spacing w:after="0" w:line="240" w:lineRule="auto"/>
        <w:ind w:left="720"/>
        <w:rPr>
          <w:rFonts w:ascii="Times New Roman" w:eastAsia="Times New Roman" w:hAnsi="Times New Roman"/>
          <w:i/>
          <w:sz w:val="24"/>
          <w:szCs w:val="24"/>
        </w:rPr>
      </w:pPr>
      <w:r w:rsidRPr="000254EC">
        <w:rPr>
          <w:rFonts w:ascii="Times New Roman" w:eastAsia="Times New Roman" w:hAnsi="Times New Roman"/>
          <w:i/>
          <w:sz w:val="24"/>
          <w:szCs w:val="24"/>
        </w:rPr>
        <w:t>B</w:t>
      </w:r>
      <w:r w:rsidRPr="000254EC" w:rsidR="006F6744">
        <w:rPr>
          <w:rFonts w:ascii="Times New Roman" w:eastAsia="Times New Roman" w:hAnsi="Times New Roman"/>
          <w:i/>
          <w:sz w:val="24"/>
          <w:szCs w:val="24"/>
        </w:rPr>
        <w:t xml:space="preserve">.  </w:t>
      </w:r>
      <w:r w:rsidRPr="000254EC" w:rsidR="000254EC">
        <w:rPr>
          <w:rFonts w:ascii="Times New Roman" w:eastAsia="Times New Roman" w:hAnsi="Times New Roman"/>
          <w:i/>
          <w:sz w:val="24"/>
          <w:szCs w:val="24"/>
        </w:rPr>
        <w:t xml:space="preserve">Summary of Changes </w:t>
      </w:r>
      <w:r w:rsidR="00C034C5">
        <w:rPr>
          <w:rFonts w:ascii="Times New Roman" w:eastAsia="Times New Roman" w:hAnsi="Times New Roman"/>
          <w:i/>
          <w:sz w:val="24"/>
          <w:szCs w:val="24"/>
        </w:rPr>
        <w:t>M</w:t>
      </w:r>
      <w:r w:rsidRPr="000254EC" w:rsidR="000254EC">
        <w:rPr>
          <w:rFonts w:ascii="Times New Roman" w:eastAsia="Times New Roman" w:hAnsi="Times New Roman"/>
          <w:i/>
          <w:sz w:val="24"/>
          <w:szCs w:val="24"/>
        </w:rPr>
        <w:t xml:space="preserve">ade to the </w:t>
      </w:r>
      <w:r w:rsidRPr="0027373C" w:rsidR="000254EC">
        <w:rPr>
          <w:rFonts w:ascii="Times New Roman" w:eastAsia="Times New Roman" w:hAnsi="Times New Roman"/>
          <w:i/>
          <w:sz w:val="24"/>
          <w:szCs w:val="24"/>
        </w:rPr>
        <w:t>Preliminary</w:t>
      </w:r>
      <w:r w:rsidRPr="000254EC" w:rsidR="000254EC">
        <w:rPr>
          <w:rFonts w:ascii="Times New Roman" w:eastAsia="Times New Roman" w:hAnsi="Times New Roman"/>
          <w:i/>
          <w:sz w:val="24"/>
          <w:szCs w:val="24"/>
        </w:rPr>
        <w:t xml:space="preserve"> </w:t>
      </w:r>
      <w:r w:rsidR="00C034C5">
        <w:rPr>
          <w:rFonts w:ascii="Times New Roman" w:eastAsia="Times New Roman" w:hAnsi="Times New Roman"/>
          <w:i/>
          <w:sz w:val="24"/>
          <w:szCs w:val="24"/>
        </w:rPr>
        <w:t>Regulatory Impact Analysis</w:t>
      </w:r>
    </w:p>
    <w:p w:rsidR="000254EC" w:rsidRPr="000254EC" w:rsidP="000254EC" w14:paraId="77CCC2D3" w14:textId="77777777">
      <w:pPr>
        <w:spacing w:after="0" w:line="240" w:lineRule="auto"/>
        <w:ind w:left="720"/>
        <w:rPr>
          <w:rFonts w:ascii="Times New Roman" w:eastAsia="Times New Roman" w:hAnsi="Times New Roman"/>
          <w:sz w:val="24"/>
          <w:szCs w:val="24"/>
        </w:rPr>
      </w:pPr>
    </w:p>
    <w:p w:rsidR="008D0A2F" w:rsidP="00791910" w14:paraId="2A771E46" w14:textId="4DE4BA08">
      <w:pPr>
        <w:spacing w:before="40" w:after="0" w:line="480" w:lineRule="auto"/>
        <w:ind w:right="410" w:firstLine="720"/>
        <w:rPr>
          <w:rFonts w:ascii="Times New Roman" w:hAnsi="Times New Roman"/>
          <w:sz w:val="24"/>
          <w:szCs w:val="24"/>
        </w:rPr>
      </w:pPr>
      <w:r w:rsidRPr="00933C2B">
        <w:rPr>
          <w:rFonts w:ascii="Times New Roman" w:hAnsi="Times New Roman"/>
          <w:sz w:val="24"/>
          <w:szCs w:val="24"/>
        </w:rPr>
        <w:t>The final rule allow</w:t>
      </w:r>
      <w:r w:rsidR="00A22C57">
        <w:rPr>
          <w:rFonts w:ascii="Times New Roman" w:hAnsi="Times New Roman"/>
          <w:sz w:val="24"/>
          <w:szCs w:val="24"/>
        </w:rPr>
        <w:t>s</w:t>
      </w:r>
      <w:r w:rsidR="00100A44">
        <w:rPr>
          <w:rFonts w:ascii="Times New Roman" w:hAnsi="Times New Roman"/>
          <w:sz w:val="24"/>
          <w:szCs w:val="24"/>
        </w:rPr>
        <w:t xml:space="preserve"> an</w:t>
      </w:r>
      <w:r w:rsidRPr="00933C2B">
        <w:rPr>
          <w:rFonts w:ascii="Times New Roman" w:hAnsi="Times New Roman"/>
          <w:sz w:val="24"/>
          <w:szCs w:val="24"/>
        </w:rPr>
        <w:t xml:space="preserve"> </w:t>
      </w:r>
      <w:r w:rsidR="00481326">
        <w:rPr>
          <w:rFonts w:ascii="Times New Roman" w:hAnsi="Times New Roman"/>
          <w:sz w:val="24"/>
          <w:szCs w:val="24"/>
        </w:rPr>
        <w:t>Institutional Review Board (</w:t>
      </w:r>
      <w:r w:rsidRPr="00933C2B">
        <w:rPr>
          <w:rFonts w:ascii="Times New Roman" w:hAnsi="Times New Roman"/>
          <w:sz w:val="24"/>
          <w:szCs w:val="24"/>
        </w:rPr>
        <w:t>IRB</w:t>
      </w:r>
      <w:r w:rsidR="00481326">
        <w:rPr>
          <w:rFonts w:ascii="Times New Roman" w:hAnsi="Times New Roman"/>
          <w:sz w:val="24"/>
          <w:szCs w:val="24"/>
        </w:rPr>
        <w:t>)</w:t>
      </w:r>
      <w:r w:rsidRPr="00933C2B">
        <w:rPr>
          <w:rFonts w:ascii="Times New Roman" w:hAnsi="Times New Roman"/>
          <w:sz w:val="24"/>
          <w:szCs w:val="24"/>
        </w:rPr>
        <w:t xml:space="preserve"> responsible for the review, approval, and continuing review of clinical investigations to approve an informed consent procedure that does not include or that alters certain informed consent elements, or to waive the requirement to obtain informed consent, for certain minimal risk clinical investigations</w:t>
      </w:r>
      <w:r w:rsidR="00100A44">
        <w:rPr>
          <w:rFonts w:ascii="Times New Roman" w:hAnsi="Times New Roman"/>
          <w:sz w:val="24"/>
          <w:szCs w:val="24"/>
        </w:rPr>
        <w:t xml:space="preserve"> if the IRB finds and </w:t>
      </w:r>
      <w:r w:rsidRPr="00933C2B">
        <w:rPr>
          <w:rFonts w:ascii="Times New Roman" w:hAnsi="Times New Roman"/>
          <w:sz w:val="24"/>
          <w:szCs w:val="24"/>
        </w:rPr>
        <w:t>document</w:t>
      </w:r>
      <w:r w:rsidR="00100A44">
        <w:rPr>
          <w:rFonts w:ascii="Times New Roman" w:hAnsi="Times New Roman"/>
          <w:sz w:val="24"/>
          <w:szCs w:val="24"/>
        </w:rPr>
        <w:t>s</w:t>
      </w:r>
      <w:r w:rsidRPr="00933C2B">
        <w:rPr>
          <w:rFonts w:ascii="Times New Roman" w:hAnsi="Times New Roman"/>
          <w:sz w:val="24"/>
          <w:szCs w:val="24"/>
        </w:rPr>
        <w:t xml:space="preserve"> five criteria</w:t>
      </w:r>
      <w:r w:rsidR="00100A44">
        <w:rPr>
          <w:rFonts w:ascii="Times New Roman" w:hAnsi="Times New Roman"/>
          <w:sz w:val="24"/>
          <w:szCs w:val="24"/>
        </w:rPr>
        <w:t xml:space="preserve">. </w:t>
      </w:r>
      <w:r w:rsidRPr="00933C2B">
        <w:rPr>
          <w:rFonts w:ascii="Times New Roman" w:hAnsi="Times New Roman"/>
          <w:sz w:val="24"/>
          <w:szCs w:val="24"/>
        </w:rPr>
        <w:t xml:space="preserve"> </w:t>
      </w:r>
      <w:r w:rsidRPr="002D6F6C" w:rsidR="00EF448D">
        <w:rPr>
          <w:rFonts w:ascii="Times New Roman" w:hAnsi="Times New Roman"/>
          <w:sz w:val="24"/>
          <w:szCs w:val="24"/>
        </w:rPr>
        <w:t xml:space="preserve">The </w:t>
      </w:r>
      <w:r w:rsidRPr="002D6F6C" w:rsidR="00D10692">
        <w:rPr>
          <w:rFonts w:ascii="Times New Roman" w:hAnsi="Times New Roman"/>
          <w:sz w:val="24"/>
          <w:szCs w:val="24"/>
        </w:rPr>
        <w:t>proposed rule</w:t>
      </w:r>
      <w:r w:rsidR="00D74FB9">
        <w:rPr>
          <w:rFonts w:ascii="Times New Roman" w:hAnsi="Times New Roman"/>
          <w:sz w:val="24"/>
          <w:szCs w:val="24"/>
        </w:rPr>
        <w:t xml:space="preserve">’s </w:t>
      </w:r>
      <w:r w:rsidRPr="002D6F6C" w:rsidR="00D74FB9">
        <w:rPr>
          <w:rFonts w:ascii="Times New Roman" w:hAnsi="Times New Roman"/>
          <w:sz w:val="24"/>
          <w:szCs w:val="24"/>
        </w:rPr>
        <w:t>economic analysis of impacts</w:t>
      </w:r>
      <w:r w:rsidRPr="002D6F6C" w:rsidR="00D10692">
        <w:rPr>
          <w:rFonts w:ascii="Times New Roman" w:hAnsi="Times New Roman"/>
          <w:sz w:val="24"/>
          <w:szCs w:val="24"/>
        </w:rPr>
        <w:t xml:space="preserve"> </w:t>
      </w:r>
      <w:r w:rsidRPr="002D6F6C" w:rsidR="00625562">
        <w:rPr>
          <w:rFonts w:ascii="Times New Roman" w:hAnsi="Times New Roman"/>
          <w:sz w:val="24"/>
          <w:szCs w:val="24"/>
        </w:rPr>
        <w:t>did not anticipate additional costs associated with this</w:t>
      </w:r>
      <w:r w:rsidR="00820B63">
        <w:rPr>
          <w:rFonts w:ascii="Times New Roman" w:hAnsi="Times New Roman"/>
          <w:sz w:val="24"/>
          <w:szCs w:val="24"/>
        </w:rPr>
        <w:t xml:space="preserve"> rulemak</w:t>
      </w:r>
      <w:r w:rsidR="001F1A25">
        <w:rPr>
          <w:rFonts w:ascii="Times New Roman" w:hAnsi="Times New Roman"/>
          <w:sz w:val="24"/>
          <w:szCs w:val="24"/>
        </w:rPr>
        <w:t>ing</w:t>
      </w:r>
      <w:r w:rsidRPr="002D6F6C" w:rsidR="00625562">
        <w:rPr>
          <w:rFonts w:ascii="Times New Roman" w:hAnsi="Times New Roman"/>
          <w:sz w:val="24"/>
          <w:szCs w:val="24"/>
        </w:rPr>
        <w:t xml:space="preserve"> </w:t>
      </w:r>
      <w:r w:rsidR="001F1A25">
        <w:rPr>
          <w:rFonts w:ascii="Times New Roman" w:hAnsi="Times New Roman"/>
          <w:sz w:val="24"/>
          <w:szCs w:val="24"/>
        </w:rPr>
        <w:t xml:space="preserve">and </w:t>
      </w:r>
      <w:r w:rsidR="00F0609A">
        <w:rPr>
          <w:rFonts w:ascii="Times New Roman" w:hAnsi="Times New Roman"/>
          <w:sz w:val="24"/>
          <w:szCs w:val="24"/>
        </w:rPr>
        <w:t>estimated</w:t>
      </w:r>
      <w:r w:rsidRPr="002D6F6C" w:rsidR="00625562">
        <w:rPr>
          <w:rFonts w:ascii="Times New Roman" w:hAnsi="Times New Roman"/>
          <w:sz w:val="24"/>
          <w:szCs w:val="24"/>
        </w:rPr>
        <w:t xml:space="preserve"> small cost savings associated with </w:t>
      </w:r>
      <w:r w:rsidRPr="002D6F6C" w:rsidR="00C44691">
        <w:rPr>
          <w:rFonts w:ascii="Times New Roman" w:hAnsi="Times New Roman"/>
          <w:sz w:val="24"/>
          <w:szCs w:val="24"/>
        </w:rPr>
        <w:t xml:space="preserve">harmonization of FDA's informed consent regulations with the </w:t>
      </w:r>
      <w:r w:rsidR="00AF6028">
        <w:rPr>
          <w:rFonts w:ascii="Times New Roman" w:hAnsi="Times New Roman"/>
          <w:sz w:val="24"/>
          <w:szCs w:val="24"/>
        </w:rPr>
        <w:t>analogous</w:t>
      </w:r>
      <w:r w:rsidRPr="002D6F6C" w:rsidR="00C44691">
        <w:rPr>
          <w:rFonts w:ascii="Times New Roman" w:hAnsi="Times New Roman"/>
          <w:sz w:val="24"/>
          <w:szCs w:val="24"/>
        </w:rPr>
        <w:t xml:space="preserve"> provision for waiver </w:t>
      </w:r>
      <w:r w:rsidR="00AF6028">
        <w:rPr>
          <w:rFonts w:ascii="Times New Roman" w:hAnsi="Times New Roman"/>
          <w:sz w:val="24"/>
          <w:szCs w:val="24"/>
        </w:rPr>
        <w:t xml:space="preserve">or alteration </w:t>
      </w:r>
      <w:r w:rsidRPr="002D6F6C" w:rsidR="00C44691">
        <w:rPr>
          <w:rFonts w:ascii="Times New Roman" w:hAnsi="Times New Roman"/>
          <w:sz w:val="24"/>
          <w:szCs w:val="24"/>
        </w:rPr>
        <w:t>of informed consent for certain minimal risk research</w:t>
      </w:r>
      <w:r w:rsidR="00AF6028">
        <w:rPr>
          <w:rFonts w:ascii="Times New Roman" w:hAnsi="Times New Roman"/>
          <w:sz w:val="24"/>
          <w:szCs w:val="24"/>
        </w:rPr>
        <w:t xml:space="preserve"> under the </w:t>
      </w:r>
      <w:r w:rsidRPr="00AF6028" w:rsidR="00AF6028">
        <w:rPr>
          <w:rFonts w:ascii="Times New Roman" w:hAnsi="Times New Roman"/>
          <w:iCs/>
          <w:sz w:val="24"/>
          <w:szCs w:val="24"/>
        </w:rPr>
        <w:t xml:space="preserve">Federal Policy for the Protection of Human Subjects (codified by the Department of Health and Human Services (HHS) at 45 CFR part 46, </w:t>
      </w:r>
      <w:r w:rsidRPr="00AF6028" w:rsidR="00AF6028">
        <w:rPr>
          <w:rFonts w:ascii="Times New Roman" w:hAnsi="Times New Roman"/>
          <w:iCs/>
          <w:sz w:val="24"/>
          <w:szCs w:val="24"/>
        </w:rPr>
        <w:t>subpart A, and generally referred to as the Common Rule)</w:t>
      </w:r>
      <w:r w:rsidR="009D7953">
        <w:rPr>
          <w:rFonts w:ascii="Times New Roman" w:hAnsi="Times New Roman"/>
          <w:iCs/>
          <w:sz w:val="24"/>
          <w:szCs w:val="24"/>
        </w:rPr>
        <w:t>.</w:t>
      </w:r>
      <w:r w:rsidRPr="002D6F6C" w:rsidR="00C44691">
        <w:rPr>
          <w:rFonts w:ascii="Times New Roman" w:hAnsi="Times New Roman"/>
          <w:sz w:val="24"/>
          <w:szCs w:val="24"/>
        </w:rPr>
        <w:t xml:space="preserve"> </w:t>
      </w:r>
      <w:r w:rsidRPr="002D6F6C" w:rsidR="00D10692">
        <w:rPr>
          <w:rFonts w:ascii="Times New Roman" w:hAnsi="Times New Roman"/>
          <w:sz w:val="24"/>
          <w:szCs w:val="24"/>
        </w:rPr>
        <w:t>(</w:t>
      </w:r>
      <w:r w:rsidR="00682B3C">
        <w:rPr>
          <w:rFonts w:ascii="Times New Roman" w:hAnsi="Times New Roman"/>
          <w:sz w:val="24"/>
          <w:szCs w:val="24"/>
        </w:rPr>
        <w:t xml:space="preserve">See </w:t>
      </w:r>
      <w:r w:rsidRPr="002D6F6C" w:rsidR="002D6F6C">
        <w:rPr>
          <w:rFonts w:ascii="Times New Roman" w:hAnsi="Times New Roman"/>
          <w:sz w:val="24"/>
          <w:szCs w:val="24"/>
        </w:rPr>
        <w:t>83 FR 57378</w:t>
      </w:r>
      <w:r w:rsidR="00682B3C">
        <w:rPr>
          <w:rFonts w:ascii="Times New Roman" w:hAnsi="Times New Roman"/>
          <w:sz w:val="24"/>
          <w:szCs w:val="24"/>
        </w:rPr>
        <w:t xml:space="preserve">, </w:t>
      </w:r>
      <w:r w:rsidR="00A35D1D">
        <w:rPr>
          <w:rFonts w:ascii="Times New Roman" w:hAnsi="Times New Roman"/>
          <w:sz w:val="24"/>
          <w:szCs w:val="24"/>
        </w:rPr>
        <w:t xml:space="preserve">57383-57384, November </w:t>
      </w:r>
      <w:r w:rsidR="002F160C">
        <w:rPr>
          <w:rFonts w:ascii="Times New Roman" w:hAnsi="Times New Roman"/>
          <w:sz w:val="24"/>
          <w:szCs w:val="24"/>
        </w:rPr>
        <w:t>15, 2018</w:t>
      </w:r>
      <w:r w:rsidRPr="002D6F6C" w:rsidR="002D6F6C">
        <w:rPr>
          <w:rFonts w:ascii="Times New Roman" w:hAnsi="Times New Roman"/>
          <w:sz w:val="24"/>
          <w:szCs w:val="24"/>
        </w:rPr>
        <w:t>).</w:t>
      </w:r>
      <w:r w:rsidRPr="002D6F6C" w:rsidR="00EF448D">
        <w:rPr>
          <w:rFonts w:ascii="Times New Roman" w:hAnsi="Times New Roman"/>
          <w:sz w:val="24"/>
          <w:szCs w:val="24"/>
        </w:rPr>
        <w:t xml:space="preserve"> </w:t>
      </w:r>
      <w:r w:rsidRPr="002D6F6C" w:rsidR="002D6F6C">
        <w:rPr>
          <w:rFonts w:ascii="Times New Roman" w:hAnsi="Times New Roman"/>
          <w:sz w:val="24"/>
          <w:szCs w:val="24"/>
        </w:rPr>
        <w:t xml:space="preserve"> </w:t>
      </w:r>
      <w:r w:rsidR="00ED40E0">
        <w:rPr>
          <w:rFonts w:ascii="Times New Roman" w:hAnsi="Times New Roman"/>
          <w:sz w:val="24"/>
          <w:szCs w:val="24"/>
        </w:rPr>
        <w:t>As the proposed rule was deemed not significant</w:t>
      </w:r>
      <w:r w:rsidR="00A80576">
        <w:rPr>
          <w:rFonts w:ascii="Times New Roman" w:hAnsi="Times New Roman"/>
          <w:sz w:val="24"/>
          <w:szCs w:val="24"/>
        </w:rPr>
        <w:t>,</w:t>
      </w:r>
      <w:r w:rsidR="00DE7C10">
        <w:rPr>
          <w:rFonts w:ascii="Times New Roman" w:hAnsi="Times New Roman"/>
          <w:sz w:val="24"/>
          <w:szCs w:val="24"/>
        </w:rPr>
        <w:t xml:space="preserve"> t</w:t>
      </w:r>
      <w:r w:rsidR="00287627">
        <w:rPr>
          <w:rFonts w:ascii="Times New Roman" w:hAnsi="Times New Roman"/>
          <w:sz w:val="24"/>
          <w:szCs w:val="24"/>
        </w:rPr>
        <w:t xml:space="preserve">hat analysis was not submitted to OIRA for review under E.O. 12866. </w:t>
      </w:r>
      <w:r w:rsidRPr="002D6F6C" w:rsidR="002D6F6C">
        <w:rPr>
          <w:rFonts w:ascii="Times New Roman" w:hAnsi="Times New Roman"/>
          <w:sz w:val="24"/>
          <w:szCs w:val="24"/>
        </w:rPr>
        <w:t>Of the</w:t>
      </w:r>
      <w:r w:rsidRPr="002D6F6C" w:rsidR="006D7162">
        <w:rPr>
          <w:rFonts w:ascii="Times New Roman" w:hAnsi="Times New Roman"/>
          <w:sz w:val="24"/>
          <w:szCs w:val="24"/>
        </w:rPr>
        <w:t xml:space="preserve"> 46 </w:t>
      </w:r>
      <w:r w:rsidRPr="002D6F6C" w:rsidR="002D6F6C">
        <w:rPr>
          <w:rFonts w:ascii="Times New Roman" w:hAnsi="Times New Roman"/>
          <w:sz w:val="24"/>
          <w:szCs w:val="24"/>
        </w:rPr>
        <w:t xml:space="preserve">public </w:t>
      </w:r>
      <w:r w:rsidRPr="002D6F6C" w:rsidR="006D7162">
        <w:rPr>
          <w:rFonts w:ascii="Times New Roman" w:hAnsi="Times New Roman"/>
          <w:sz w:val="24"/>
          <w:szCs w:val="24"/>
        </w:rPr>
        <w:t xml:space="preserve">comments </w:t>
      </w:r>
      <w:r w:rsidRPr="002D6F6C" w:rsidR="002D6F6C">
        <w:rPr>
          <w:rFonts w:ascii="Times New Roman" w:hAnsi="Times New Roman"/>
          <w:sz w:val="24"/>
          <w:szCs w:val="24"/>
        </w:rPr>
        <w:t xml:space="preserve">received </w:t>
      </w:r>
      <w:r w:rsidRPr="002D6F6C" w:rsidR="006D7162">
        <w:rPr>
          <w:rFonts w:ascii="Times New Roman" w:hAnsi="Times New Roman"/>
          <w:sz w:val="24"/>
          <w:szCs w:val="24"/>
        </w:rPr>
        <w:t>on the proposed rule, none commented directly on the economic analysis of impacts</w:t>
      </w:r>
      <w:r w:rsidRPr="002D6F6C" w:rsidR="000254EC">
        <w:rPr>
          <w:rFonts w:ascii="Times New Roman" w:hAnsi="Times New Roman"/>
          <w:sz w:val="24"/>
          <w:szCs w:val="24"/>
        </w:rPr>
        <w:t xml:space="preserve"> (</w:t>
      </w:r>
      <w:r w:rsidRPr="002D6F6C" w:rsidR="006D7162">
        <w:rPr>
          <w:rFonts w:ascii="Times New Roman" w:hAnsi="Times New Roman"/>
          <w:sz w:val="24"/>
          <w:szCs w:val="24"/>
        </w:rPr>
        <w:t xml:space="preserve">FDA responds to </w:t>
      </w:r>
      <w:r w:rsidR="001F1A25">
        <w:rPr>
          <w:rFonts w:ascii="Times New Roman" w:hAnsi="Times New Roman"/>
          <w:sz w:val="24"/>
          <w:szCs w:val="24"/>
        </w:rPr>
        <w:t>the</w:t>
      </w:r>
      <w:r w:rsidRPr="002D6F6C" w:rsidR="002D6F6C">
        <w:rPr>
          <w:rFonts w:ascii="Times New Roman" w:hAnsi="Times New Roman"/>
          <w:sz w:val="24"/>
          <w:szCs w:val="24"/>
        </w:rPr>
        <w:t xml:space="preserve"> </w:t>
      </w:r>
      <w:r w:rsidRPr="002D6F6C" w:rsidR="006D7162">
        <w:rPr>
          <w:rFonts w:ascii="Times New Roman" w:hAnsi="Times New Roman"/>
          <w:sz w:val="24"/>
          <w:szCs w:val="24"/>
        </w:rPr>
        <w:t>comments received in the preamble to th</w:t>
      </w:r>
      <w:r w:rsidR="001F1A25">
        <w:rPr>
          <w:rFonts w:ascii="Times New Roman" w:hAnsi="Times New Roman"/>
          <w:sz w:val="24"/>
          <w:szCs w:val="24"/>
        </w:rPr>
        <w:t>e</w:t>
      </w:r>
      <w:r w:rsidRPr="002D6F6C" w:rsidR="006D7162">
        <w:rPr>
          <w:rFonts w:ascii="Times New Roman" w:hAnsi="Times New Roman"/>
          <w:sz w:val="24"/>
          <w:szCs w:val="24"/>
        </w:rPr>
        <w:t xml:space="preserve"> final rule)</w:t>
      </w:r>
      <w:r w:rsidRPr="002D6F6C" w:rsidR="000254EC">
        <w:rPr>
          <w:rFonts w:ascii="Times New Roman" w:hAnsi="Times New Roman"/>
          <w:sz w:val="24"/>
          <w:szCs w:val="24"/>
        </w:rPr>
        <w:t>.</w:t>
      </w:r>
      <w:r w:rsidRPr="002D6F6C" w:rsidR="006D7162">
        <w:rPr>
          <w:rFonts w:ascii="Times New Roman" w:hAnsi="Times New Roman"/>
          <w:sz w:val="24"/>
          <w:szCs w:val="24"/>
        </w:rPr>
        <w:t xml:space="preserve"> </w:t>
      </w:r>
      <w:r w:rsidRPr="002D6F6C" w:rsidR="000254EC">
        <w:rPr>
          <w:rFonts w:ascii="Times New Roman" w:hAnsi="Times New Roman"/>
          <w:sz w:val="24"/>
          <w:szCs w:val="24"/>
        </w:rPr>
        <w:t>However</w:t>
      </w:r>
      <w:r w:rsidRPr="002D6F6C" w:rsidR="006D7162">
        <w:rPr>
          <w:rFonts w:ascii="Times New Roman" w:hAnsi="Times New Roman"/>
          <w:sz w:val="24"/>
          <w:szCs w:val="24"/>
        </w:rPr>
        <w:t xml:space="preserve">, </w:t>
      </w:r>
      <w:r w:rsidR="00F66455">
        <w:rPr>
          <w:rFonts w:ascii="Times New Roman" w:hAnsi="Times New Roman"/>
          <w:sz w:val="24"/>
          <w:szCs w:val="24"/>
        </w:rPr>
        <w:t xml:space="preserve">as part of developing a </w:t>
      </w:r>
      <w:r w:rsidRPr="002D6F6C" w:rsidR="0092586F">
        <w:rPr>
          <w:rFonts w:ascii="Times New Roman" w:hAnsi="Times New Roman"/>
          <w:sz w:val="24"/>
          <w:szCs w:val="24"/>
        </w:rPr>
        <w:t>response to one public comment requesting an additional description of the</w:t>
      </w:r>
      <w:r w:rsidRPr="0092586F" w:rsidR="0092586F">
        <w:rPr>
          <w:rFonts w:ascii="Times New Roman" w:hAnsi="Times New Roman"/>
          <w:sz w:val="24"/>
          <w:szCs w:val="24"/>
        </w:rPr>
        <w:t xml:space="preserve"> potential drawbacks of the rule,</w:t>
      </w:r>
      <w:r w:rsidR="0092586F">
        <w:rPr>
          <w:rFonts w:ascii="Times New Roman" w:hAnsi="Times New Roman"/>
          <w:sz w:val="24"/>
          <w:szCs w:val="24"/>
        </w:rPr>
        <w:t xml:space="preserve"> </w:t>
      </w:r>
      <w:r w:rsidR="00CF5272">
        <w:rPr>
          <w:rFonts w:ascii="Times New Roman" w:hAnsi="Times New Roman"/>
          <w:sz w:val="24"/>
          <w:szCs w:val="24"/>
        </w:rPr>
        <w:t>we</w:t>
      </w:r>
      <w:r w:rsidRPr="0092586F" w:rsidR="0092586F">
        <w:rPr>
          <w:rFonts w:ascii="Times New Roman" w:hAnsi="Times New Roman"/>
          <w:sz w:val="24"/>
          <w:szCs w:val="24"/>
        </w:rPr>
        <w:t xml:space="preserve"> </w:t>
      </w:r>
      <w:r w:rsidR="001B474D">
        <w:rPr>
          <w:rFonts w:ascii="Times New Roman" w:hAnsi="Times New Roman"/>
          <w:sz w:val="24"/>
          <w:szCs w:val="24"/>
        </w:rPr>
        <w:t>re</w:t>
      </w:r>
      <w:r w:rsidRPr="0092586F" w:rsidR="0092586F">
        <w:rPr>
          <w:rFonts w:ascii="Times New Roman" w:hAnsi="Times New Roman"/>
          <w:sz w:val="24"/>
          <w:szCs w:val="24"/>
        </w:rPr>
        <w:t>considered potential costs and re</w:t>
      </w:r>
      <w:r w:rsidR="001B474D">
        <w:rPr>
          <w:rFonts w:ascii="Times New Roman" w:hAnsi="Times New Roman"/>
          <w:sz w:val="24"/>
          <w:szCs w:val="24"/>
        </w:rPr>
        <w:t xml:space="preserve">viewed </w:t>
      </w:r>
      <w:r w:rsidRPr="0092586F" w:rsidR="0092586F">
        <w:rPr>
          <w:rFonts w:ascii="Times New Roman" w:hAnsi="Times New Roman"/>
          <w:sz w:val="24"/>
          <w:szCs w:val="24"/>
        </w:rPr>
        <w:t xml:space="preserve">the steps that the </w:t>
      </w:r>
      <w:r w:rsidR="00107A67">
        <w:rPr>
          <w:rFonts w:ascii="Times New Roman" w:hAnsi="Times New Roman"/>
          <w:sz w:val="24"/>
          <w:szCs w:val="24"/>
        </w:rPr>
        <w:t>affected entities</w:t>
      </w:r>
      <w:r w:rsidRPr="0092586F" w:rsidR="0092586F">
        <w:rPr>
          <w:rFonts w:ascii="Times New Roman" w:hAnsi="Times New Roman"/>
          <w:sz w:val="24"/>
          <w:szCs w:val="24"/>
        </w:rPr>
        <w:t xml:space="preserve"> will need to take </w:t>
      </w:r>
      <w:r w:rsidR="008C352E">
        <w:rPr>
          <w:rFonts w:ascii="Times New Roman" w:hAnsi="Times New Roman"/>
          <w:sz w:val="24"/>
          <w:szCs w:val="24"/>
        </w:rPr>
        <w:t>to</w:t>
      </w:r>
      <w:r w:rsidRPr="0092586F" w:rsidR="0092586F">
        <w:rPr>
          <w:rFonts w:ascii="Times New Roman" w:hAnsi="Times New Roman"/>
          <w:sz w:val="24"/>
          <w:szCs w:val="24"/>
        </w:rPr>
        <w:t xml:space="preserve"> request or review a waiver or alteration of consent as permitted by this rule</w:t>
      </w:r>
      <w:r w:rsidR="00EF448D">
        <w:rPr>
          <w:rFonts w:ascii="Times New Roman" w:hAnsi="Times New Roman"/>
          <w:sz w:val="24"/>
          <w:szCs w:val="24"/>
        </w:rPr>
        <w:t xml:space="preserve">. </w:t>
      </w:r>
      <w:r w:rsidR="001B474D">
        <w:rPr>
          <w:rFonts w:ascii="Times New Roman" w:hAnsi="Times New Roman"/>
          <w:sz w:val="24"/>
          <w:szCs w:val="24"/>
        </w:rPr>
        <w:t>We</w:t>
      </w:r>
      <w:r w:rsidRPr="00B91699" w:rsidR="001B474D">
        <w:rPr>
          <w:rFonts w:ascii="Times New Roman" w:hAnsi="Times New Roman"/>
          <w:sz w:val="24"/>
          <w:szCs w:val="24"/>
        </w:rPr>
        <w:t xml:space="preserve"> </w:t>
      </w:r>
      <w:r w:rsidR="001B474D">
        <w:rPr>
          <w:rFonts w:ascii="Times New Roman" w:hAnsi="Times New Roman"/>
          <w:sz w:val="24"/>
          <w:szCs w:val="24"/>
        </w:rPr>
        <w:t xml:space="preserve">identify </w:t>
      </w:r>
      <w:r w:rsidR="00B729D5">
        <w:rPr>
          <w:rFonts w:ascii="Times New Roman" w:hAnsi="Times New Roman"/>
          <w:sz w:val="24"/>
          <w:szCs w:val="24"/>
        </w:rPr>
        <w:t xml:space="preserve">one-time </w:t>
      </w:r>
      <w:r w:rsidRPr="00B91699" w:rsidR="005F0EF5">
        <w:rPr>
          <w:rFonts w:ascii="Times New Roman" w:hAnsi="Times New Roman"/>
          <w:sz w:val="24"/>
          <w:szCs w:val="24"/>
        </w:rPr>
        <w:t>costs associated with reading and implementing the rule</w:t>
      </w:r>
      <w:r w:rsidR="00107A67">
        <w:rPr>
          <w:rFonts w:ascii="Times New Roman" w:hAnsi="Times New Roman"/>
          <w:sz w:val="24"/>
          <w:szCs w:val="24"/>
        </w:rPr>
        <w:t xml:space="preserve"> </w:t>
      </w:r>
      <w:r w:rsidR="008C352E">
        <w:rPr>
          <w:rFonts w:ascii="Times New Roman" w:hAnsi="Times New Roman"/>
          <w:sz w:val="24"/>
          <w:szCs w:val="24"/>
        </w:rPr>
        <w:t>and</w:t>
      </w:r>
      <w:r w:rsidRPr="00B91699" w:rsidR="005F0EF5">
        <w:rPr>
          <w:rFonts w:ascii="Times New Roman" w:hAnsi="Times New Roman"/>
          <w:sz w:val="24"/>
          <w:szCs w:val="24"/>
        </w:rPr>
        <w:t xml:space="preserve"> annual costs associated with drafting and reviewing requests for a waiver or alteration of </w:t>
      </w:r>
      <w:r w:rsidR="0061774E">
        <w:rPr>
          <w:rFonts w:ascii="Times New Roman" w:hAnsi="Times New Roman"/>
          <w:sz w:val="24"/>
          <w:szCs w:val="24"/>
        </w:rPr>
        <w:t xml:space="preserve">informed </w:t>
      </w:r>
      <w:r w:rsidRPr="00B91699" w:rsidR="005F0EF5">
        <w:rPr>
          <w:rFonts w:ascii="Times New Roman" w:hAnsi="Times New Roman"/>
          <w:sz w:val="24"/>
          <w:szCs w:val="24"/>
        </w:rPr>
        <w:t>consent</w:t>
      </w:r>
      <w:r w:rsidR="0061774E">
        <w:rPr>
          <w:rFonts w:ascii="Times New Roman" w:hAnsi="Times New Roman"/>
          <w:sz w:val="24"/>
          <w:szCs w:val="24"/>
        </w:rPr>
        <w:t xml:space="preserve"> under the final rule</w:t>
      </w:r>
      <w:r w:rsidRPr="00B91699" w:rsidR="005F0EF5">
        <w:rPr>
          <w:rFonts w:ascii="Times New Roman" w:hAnsi="Times New Roman"/>
          <w:sz w:val="24"/>
          <w:szCs w:val="24"/>
        </w:rPr>
        <w:t xml:space="preserve">. </w:t>
      </w:r>
      <w:r w:rsidR="005F0EF5">
        <w:rPr>
          <w:rFonts w:ascii="Times New Roman" w:hAnsi="Times New Roman"/>
          <w:sz w:val="24"/>
          <w:szCs w:val="24"/>
        </w:rPr>
        <w:t xml:space="preserve"> </w:t>
      </w:r>
      <w:r w:rsidR="001B474D">
        <w:rPr>
          <w:rFonts w:ascii="Times New Roman" w:hAnsi="Times New Roman"/>
          <w:sz w:val="24"/>
          <w:szCs w:val="24"/>
        </w:rPr>
        <w:t>W</w:t>
      </w:r>
      <w:r w:rsidRPr="00B91699" w:rsidR="005F0EF5">
        <w:rPr>
          <w:rFonts w:ascii="Times New Roman" w:hAnsi="Times New Roman"/>
          <w:sz w:val="24"/>
          <w:szCs w:val="24"/>
        </w:rPr>
        <w:t>e include a revised analysis of cost</w:t>
      </w:r>
      <w:r w:rsidR="000F3FB6">
        <w:rPr>
          <w:rFonts w:ascii="Times New Roman" w:hAnsi="Times New Roman"/>
          <w:sz w:val="24"/>
          <w:szCs w:val="24"/>
        </w:rPr>
        <w:t>s</w:t>
      </w:r>
      <w:r w:rsidRPr="00B91699" w:rsidR="005F0EF5">
        <w:rPr>
          <w:rFonts w:ascii="Times New Roman" w:hAnsi="Times New Roman"/>
          <w:sz w:val="24"/>
          <w:szCs w:val="24"/>
        </w:rPr>
        <w:t xml:space="preserve"> and cost savings in the Economic Analysis of Impacts</w:t>
      </w:r>
      <w:r w:rsidR="00C5612B">
        <w:rPr>
          <w:rFonts w:ascii="Times New Roman" w:hAnsi="Times New Roman"/>
          <w:sz w:val="24"/>
          <w:szCs w:val="24"/>
        </w:rPr>
        <w:t xml:space="preserve"> (see Sections </w:t>
      </w:r>
      <w:r w:rsidR="0066395C">
        <w:rPr>
          <w:rFonts w:ascii="Times New Roman" w:hAnsi="Times New Roman"/>
          <w:sz w:val="24"/>
          <w:szCs w:val="24"/>
        </w:rPr>
        <w:t>E</w:t>
      </w:r>
      <w:r w:rsidR="00C5612B">
        <w:rPr>
          <w:rFonts w:ascii="Times New Roman" w:hAnsi="Times New Roman"/>
          <w:sz w:val="24"/>
          <w:szCs w:val="24"/>
        </w:rPr>
        <w:t>-</w:t>
      </w:r>
      <w:r w:rsidR="0066395C">
        <w:rPr>
          <w:rFonts w:ascii="Times New Roman" w:hAnsi="Times New Roman"/>
          <w:sz w:val="24"/>
          <w:szCs w:val="24"/>
        </w:rPr>
        <w:t>G</w:t>
      </w:r>
      <w:r w:rsidR="00C5612B">
        <w:rPr>
          <w:rFonts w:ascii="Times New Roman" w:hAnsi="Times New Roman"/>
          <w:sz w:val="24"/>
          <w:szCs w:val="24"/>
        </w:rPr>
        <w:t xml:space="preserve"> on the revised costs and costs savings analysis).</w:t>
      </w:r>
    </w:p>
    <w:p w:rsidR="001706D8" w:rsidRPr="00DE4277" w:rsidP="00DE4277" w14:paraId="42D48482" w14:textId="3E0AC358">
      <w:pPr>
        <w:pStyle w:val="paragraph"/>
        <w:spacing w:before="0" w:beforeAutospacing="0" w:after="0" w:afterAutospacing="0" w:line="480" w:lineRule="auto"/>
        <w:ind w:firstLine="720"/>
        <w:textAlignment w:val="baseline"/>
      </w:pPr>
      <w:r>
        <w:t>Additionally, t</w:t>
      </w:r>
      <w:r w:rsidR="002D2DA3">
        <w:rPr>
          <w:rStyle w:val="normaltextrun"/>
        </w:rPr>
        <w:t xml:space="preserve">he proposed rule put forward four criteria </w:t>
      </w:r>
      <w:r w:rsidR="00CF6CC1">
        <w:rPr>
          <w:rStyle w:val="normaltextrun"/>
        </w:rPr>
        <w:t>that an</w:t>
      </w:r>
      <w:r w:rsidR="00E6001F">
        <w:rPr>
          <w:rStyle w:val="normaltextrun"/>
        </w:rPr>
        <w:t xml:space="preserve"> IRB </w:t>
      </w:r>
      <w:r w:rsidR="00CF6CC1">
        <w:rPr>
          <w:rStyle w:val="normaltextrun"/>
        </w:rPr>
        <w:t xml:space="preserve">would </w:t>
      </w:r>
      <w:r w:rsidR="00053A89">
        <w:rPr>
          <w:rStyle w:val="normaltextrun"/>
        </w:rPr>
        <w:t>have to find and document to grant a waiver or alteration of informed consent</w:t>
      </w:r>
      <w:r w:rsidR="00E6001F">
        <w:rPr>
          <w:rStyle w:val="normaltextrun"/>
        </w:rPr>
        <w:t xml:space="preserve"> </w:t>
      </w:r>
      <w:r w:rsidR="004D25AF">
        <w:t xml:space="preserve">and </w:t>
      </w:r>
      <w:r w:rsidR="004D25AF">
        <w:rPr>
          <w:rStyle w:val="normaltextrun"/>
        </w:rPr>
        <w:t xml:space="preserve">sought public comment on whether to include </w:t>
      </w:r>
      <w:r w:rsidR="004D25AF">
        <w:rPr>
          <w:rStyle w:val="spellingerror"/>
        </w:rPr>
        <w:t>a fifth criterion</w:t>
      </w:r>
      <w:r w:rsidR="004D25AF">
        <w:rPr>
          <w:rStyle w:val="normaltextrun"/>
        </w:rPr>
        <w:t xml:space="preserve"> </w:t>
      </w:r>
      <w:r w:rsidR="003A28BE">
        <w:rPr>
          <w:rStyle w:val="normaltextrun"/>
        </w:rPr>
        <w:t xml:space="preserve">that </w:t>
      </w:r>
      <w:r w:rsidR="00A90355">
        <w:rPr>
          <w:rStyle w:val="normaltextrun"/>
        </w:rPr>
        <w:t>is included in</w:t>
      </w:r>
      <w:r w:rsidR="003A28BE">
        <w:rPr>
          <w:rStyle w:val="normaltextrun"/>
        </w:rPr>
        <w:t xml:space="preserve"> </w:t>
      </w:r>
      <w:r w:rsidR="004D25AF">
        <w:rPr>
          <w:rStyle w:val="normaltextrun"/>
        </w:rPr>
        <w:t>the Common Rule</w:t>
      </w:r>
      <w:r w:rsidR="004D25AF">
        <w:t xml:space="preserve">.  </w:t>
      </w:r>
      <w:r w:rsidR="004D25AF">
        <w:rPr>
          <w:rStyle w:val="normaltextrun"/>
        </w:rPr>
        <w:t xml:space="preserve">Based on public comment, the final rule adopts </w:t>
      </w:r>
      <w:r w:rsidR="007319BC">
        <w:rPr>
          <w:rStyle w:val="normaltextrun"/>
        </w:rPr>
        <w:t>the fifth criterion</w:t>
      </w:r>
      <w:r w:rsidR="004D25AF">
        <w:rPr>
          <w:rStyle w:val="normaltextrun"/>
        </w:rPr>
        <w:t xml:space="preserve"> </w:t>
      </w:r>
      <w:r w:rsidR="004637EF">
        <w:rPr>
          <w:rStyle w:val="normaltextrun"/>
        </w:rPr>
        <w:t xml:space="preserve">and </w:t>
      </w:r>
      <w:r w:rsidR="004D25AF">
        <w:rPr>
          <w:rStyle w:val="normaltextrun"/>
        </w:rPr>
        <w:t>harmonize</w:t>
      </w:r>
      <w:r w:rsidR="004637EF">
        <w:rPr>
          <w:rStyle w:val="normaltextrun"/>
        </w:rPr>
        <w:t>s</w:t>
      </w:r>
      <w:r w:rsidR="004D25AF">
        <w:rPr>
          <w:rStyle w:val="normaltextrun"/>
        </w:rPr>
        <w:t xml:space="preserve"> with the Common Rule</w:t>
      </w:r>
      <w:r w:rsidR="004637EF">
        <w:rPr>
          <w:rStyle w:val="normaltextrun"/>
        </w:rPr>
        <w:t>’s</w:t>
      </w:r>
      <w:r w:rsidR="004D25AF">
        <w:rPr>
          <w:rStyle w:val="normaltextrun"/>
        </w:rPr>
        <w:t xml:space="preserve"> </w:t>
      </w:r>
      <w:r w:rsidR="006F167F">
        <w:rPr>
          <w:rStyle w:val="normaltextrun"/>
        </w:rPr>
        <w:t>provision</w:t>
      </w:r>
      <w:r w:rsidR="004D25AF">
        <w:rPr>
          <w:rStyle w:val="normaltextrun"/>
        </w:rPr>
        <w:t xml:space="preserve"> for waiver or alteration of consent for minimal risk research</w:t>
      </w:r>
      <w:r w:rsidR="006F167F">
        <w:rPr>
          <w:rStyle w:val="normaltextrun"/>
        </w:rPr>
        <w:t xml:space="preserve"> at 45 CFR 46.116(f)</w:t>
      </w:r>
      <w:r w:rsidR="004D25AF">
        <w:rPr>
          <w:rStyle w:val="normaltextrun"/>
        </w:rPr>
        <w:t>.</w:t>
      </w:r>
      <w:r w:rsidR="00AC431A">
        <w:rPr>
          <w:rStyle w:val="normaltextrun"/>
        </w:rPr>
        <w:t xml:space="preserve"> </w:t>
      </w:r>
      <w:r w:rsidR="006236F6">
        <w:rPr>
          <w:rStyle w:val="normaltextrun"/>
        </w:rPr>
        <w:t xml:space="preserve"> </w:t>
      </w:r>
      <w:r w:rsidR="00FE598C">
        <w:rPr>
          <w:rStyle w:val="eop"/>
        </w:rPr>
        <w:t xml:space="preserve">We do not </w:t>
      </w:r>
      <w:r w:rsidR="000C25A4">
        <w:rPr>
          <w:rStyle w:val="eop"/>
        </w:rPr>
        <w:t>expect</w:t>
      </w:r>
      <w:r w:rsidR="00FE598C">
        <w:rPr>
          <w:rStyle w:val="eop"/>
        </w:rPr>
        <w:t xml:space="preserve"> that </w:t>
      </w:r>
      <w:r w:rsidR="004637EF">
        <w:rPr>
          <w:rStyle w:val="eop"/>
        </w:rPr>
        <w:t>this</w:t>
      </w:r>
      <w:r w:rsidR="00FE598C">
        <w:rPr>
          <w:rStyle w:val="eop"/>
        </w:rPr>
        <w:t xml:space="preserve"> additional criterion </w:t>
      </w:r>
      <w:r w:rsidR="006F5B6A">
        <w:rPr>
          <w:rStyle w:val="eop"/>
        </w:rPr>
        <w:t>contribute</w:t>
      </w:r>
      <w:r w:rsidR="00D84D44">
        <w:rPr>
          <w:rStyle w:val="eop"/>
        </w:rPr>
        <w:t>s</w:t>
      </w:r>
      <w:r w:rsidR="006F5B6A">
        <w:rPr>
          <w:rStyle w:val="eop"/>
        </w:rPr>
        <w:t xml:space="preserve"> </w:t>
      </w:r>
      <w:r w:rsidR="00FB7EDC">
        <w:rPr>
          <w:rStyle w:val="eop"/>
        </w:rPr>
        <w:t>significan</w:t>
      </w:r>
      <w:r w:rsidR="00A93E17">
        <w:rPr>
          <w:rStyle w:val="eop"/>
        </w:rPr>
        <w:t xml:space="preserve">tly </w:t>
      </w:r>
      <w:r w:rsidR="006F5B6A">
        <w:rPr>
          <w:rStyle w:val="eop"/>
        </w:rPr>
        <w:t xml:space="preserve">to the </w:t>
      </w:r>
      <w:r w:rsidR="00267B03">
        <w:rPr>
          <w:rStyle w:val="eop"/>
        </w:rPr>
        <w:t xml:space="preserve">overall costs of the </w:t>
      </w:r>
      <w:r w:rsidR="008B68B0">
        <w:rPr>
          <w:rStyle w:val="eop"/>
        </w:rPr>
        <w:t xml:space="preserve">final </w:t>
      </w:r>
      <w:r w:rsidR="00267B03">
        <w:rPr>
          <w:rStyle w:val="eop"/>
        </w:rPr>
        <w:t xml:space="preserve">rule </w:t>
      </w:r>
      <w:r w:rsidR="007E0322">
        <w:t>(see section D – Costs of the Rule)</w:t>
      </w:r>
      <w:r w:rsidR="00387A1F">
        <w:t xml:space="preserve">.  This </w:t>
      </w:r>
      <w:r w:rsidR="00D73FED">
        <w:t>expectation</w:t>
      </w:r>
      <w:r w:rsidR="00387A1F">
        <w:t xml:space="preserve"> is </w:t>
      </w:r>
      <w:r w:rsidR="00E44BA0">
        <w:t xml:space="preserve">based on </w:t>
      </w:r>
      <w:r w:rsidR="00AB1C14">
        <w:t>our review of</w:t>
      </w:r>
      <w:r w:rsidR="00E44BA0">
        <w:t xml:space="preserve"> </w:t>
      </w:r>
      <w:r w:rsidR="006D00BA">
        <w:t>publicly available materials, such as</w:t>
      </w:r>
      <w:r w:rsidR="005500F3">
        <w:t xml:space="preserve"> </w:t>
      </w:r>
      <w:r w:rsidR="0062400B">
        <w:t>information provided on IRB website</w:t>
      </w:r>
      <w:r w:rsidR="00AB1C14">
        <w:t>s,</w:t>
      </w:r>
      <w:r>
        <w:rPr>
          <w:rStyle w:val="FootnoteReference"/>
        </w:rPr>
        <w:footnoteReference w:id="3"/>
      </w:r>
      <w:r w:rsidR="0062400B">
        <w:t xml:space="preserve"> </w:t>
      </w:r>
      <w:r w:rsidR="00A85A65">
        <w:t xml:space="preserve">suggesting that </w:t>
      </w:r>
      <w:r w:rsidR="00D73FED">
        <w:t xml:space="preserve">a </w:t>
      </w:r>
      <w:r w:rsidR="00A85A65">
        <w:t xml:space="preserve">total </w:t>
      </w:r>
      <w:r w:rsidR="00D73FED">
        <w:t>of 2-3 hours is needed</w:t>
      </w:r>
      <w:r w:rsidR="00A85A65">
        <w:t xml:space="preserve"> for IRB</w:t>
      </w:r>
      <w:r w:rsidR="00D82AD7">
        <w:t xml:space="preserve"> </w:t>
      </w:r>
      <w:r w:rsidR="00A85A65">
        <w:t xml:space="preserve">review </w:t>
      </w:r>
      <w:r w:rsidR="00387A1F">
        <w:t xml:space="preserve">and discussion </w:t>
      </w:r>
      <w:r w:rsidR="00244533">
        <w:t>of a study (including study protocol,</w:t>
      </w:r>
      <w:r w:rsidR="00A85A65">
        <w:t xml:space="preserve"> </w:t>
      </w:r>
      <w:r w:rsidR="00387A1F">
        <w:t>participant materials, etc.)</w:t>
      </w:r>
      <w:r w:rsidR="00D73FED">
        <w:t xml:space="preserve">.  </w:t>
      </w:r>
      <w:r w:rsidR="00E2406A">
        <w:t>We</w:t>
      </w:r>
      <w:r w:rsidR="00417911">
        <w:t xml:space="preserve"> </w:t>
      </w:r>
      <w:r w:rsidR="00733FD8">
        <w:t>estimate</w:t>
      </w:r>
      <w:r w:rsidR="00E2406A">
        <w:t xml:space="preserve"> that r</w:t>
      </w:r>
      <w:r w:rsidR="00067317">
        <w:t xml:space="preserve">eview and discussion of </w:t>
      </w:r>
      <w:r w:rsidR="00EB732F">
        <w:t xml:space="preserve">whether </w:t>
      </w:r>
      <w:r w:rsidR="00067317">
        <w:t>to approve</w:t>
      </w:r>
      <w:r w:rsidR="00EB732F">
        <w:t xml:space="preserve"> a </w:t>
      </w:r>
      <w:r w:rsidR="00174AE9">
        <w:t xml:space="preserve">request for </w:t>
      </w:r>
      <w:r w:rsidR="00EB732F">
        <w:t xml:space="preserve">a waiver or alteration of consent </w:t>
      </w:r>
      <w:r w:rsidR="00067317">
        <w:t>for a study</w:t>
      </w:r>
      <w:r w:rsidR="00733FD8">
        <w:t xml:space="preserve"> </w:t>
      </w:r>
      <w:r w:rsidR="00874874">
        <w:t xml:space="preserve">will </w:t>
      </w:r>
      <w:r w:rsidR="005A1C18">
        <w:t xml:space="preserve">take </w:t>
      </w:r>
      <w:r w:rsidR="00874874">
        <w:t xml:space="preserve">up to </w:t>
      </w:r>
      <w:r w:rsidR="00E13DFC">
        <w:t xml:space="preserve">one hour </w:t>
      </w:r>
      <w:r w:rsidR="004838A9">
        <w:t xml:space="preserve">total </w:t>
      </w:r>
      <w:r w:rsidR="005A1C18">
        <w:t>IRB</w:t>
      </w:r>
      <w:r w:rsidR="004838A9">
        <w:t xml:space="preserve"> review</w:t>
      </w:r>
      <w:r w:rsidR="006104D1">
        <w:t xml:space="preserve"> time, </w:t>
      </w:r>
      <w:r w:rsidR="00173315">
        <w:t xml:space="preserve">with that time </w:t>
      </w:r>
      <w:r w:rsidR="005E312B">
        <w:t>including</w:t>
      </w:r>
      <w:r w:rsidR="009D06D1">
        <w:t xml:space="preserve"> </w:t>
      </w:r>
      <w:r w:rsidR="005859E1">
        <w:t xml:space="preserve">discrete </w:t>
      </w:r>
      <w:r w:rsidR="00173315">
        <w:t xml:space="preserve">discussion of </w:t>
      </w:r>
      <w:r w:rsidR="00907ED4">
        <w:t>each criterion</w:t>
      </w:r>
      <w:r w:rsidR="00123DC5">
        <w:t>,</w:t>
      </w:r>
      <w:r w:rsidR="00712084">
        <w:t xml:space="preserve"> as well as consideration of the waiver as a whole</w:t>
      </w:r>
      <w:r w:rsidR="00907ED4">
        <w:t>.</w:t>
      </w:r>
      <w:r w:rsidR="00173315">
        <w:t xml:space="preserve"> </w:t>
      </w:r>
      <w:r w:rsidR="005859E1">
        <w:t>W</w:t>
      </w:r>
      <w:r w:rsidR="00173315">
        <w:t xml:space="preserve">e </w:t>
      </w:r>
      <w:r w:rsidR="00324D73">
        <w:t xml:space="preserve">consider the additional time to discuss </w:t>
      </w:r>
      <w:r w:rsidR="00B32F90">
        <w:t xml:space="preserve">this </w:t>
      </w:r>
      <w:r w:rsidR="00324D73">
        <w:t>one waiver criterion</w:t>
      </w:r>
      <w:r w:rsidR="00B32F90">
        <w:t>, where applicable</w:t>
      </w:r>
      <w:r w:rsidR="00BC6031">
        <w:t xml:space="preserve">, </w:t>
      </w:r>
      <w:r w:rsidR="005A331E">
        <w:t>to be small in comparison to</w:t>
      </w:r>
      <w:r w:rsidR="00324D73">
        <w:t xml:space="preserve"> </w:t>
      </w:r>
      <w:r w:rsidR="00CA611B">
        <w:t>the t</w:t>
      </w:r>
      <w:r w:rsidR="00324D73">
        <w:t>otal time</w:t>
      </w:r>
      <w:r w:rsidR="00CA611B">
        <w:t xml:space="preserve"> for the IRB</w:t>
      </w:r>
      <w:r w:rsidR="00324D73">
        <w:t xml:space="preserve"> to review and discuss</w:t>
      </w:r>
      <w:r w:rsidR="00324D73">
        <w:t xml:space="preserve"> </w:t>
      </w:r>
      <w:r w:rsidR="00324D73">
        <w:t xml:space="preserve">the </w:t>
      </w:r>
      <w:r w:rsidR="009F731A">
        <w:t>study</w:t>
      </w:r>
      <w:r w:rsidR="009D6F5B">
        <w:t>.</w:t>
      </w:r>
      <w:r w:rsidR="008F68D1">
        <w:t xml:space="preserve"> </w:t>
      </w:r>
      <w:r w:rsidR="00A15EF1">
        <w:t>Accordingly</w:t>
      </w:r>
      <w:r w:rsidRPr="00267B03" w:rsidR="00AC431A">
        <w:t xml:space="preserve">, </w:t>
      </w:r>
      <w:r w:rsidRPr="00267B03" w:rsidR="00AC431A">
        <w:t xml:space="preserve">we </w:t>
      </w:r>
      <w:r w:rsidR="007C7FEA">
        <w:t>estimate</w:t>
      </w:r>
      <w:r w:rsidRPr="00267B03" w:rsidR="007C7FEA">
        <w:t xml:space="preserve"> </w:t>
      </w:r>
      <w:r w:rsidR="008B68B0">
        <w:t xml:space="preserve">the </w:t>
      </w:r>
      <w:r w:rsidRPr="00267B03" w:rsidR="00AC431A">
        <w:t xml:space="preserve">overall added cost of the addition of the </w:t>
      </w:r>
      <w:r w:rsidR="006178FE">
        <w:t>fifth</w:t>
      </w:r>
      <w:r w:rsidRPr="00267B03" w:rsidR="00AC431A">
        <w:t xml:space="preserve"> criterion to be </w:t>
      </w:r>
      <w:r w:rsidR="003A3E02">
        <w:t>de minimis</w:t>
      </w:r>
      <w:r w:rsidR="008B68B0">
        <w:t xml:space="preserve">. Further, </w:t>
      </w:r>
      <w:r w:rsidR="00F907B8">
        <w:t>any</w:t>
      </w:r>
      <w:r w:rsidR="008B68B0">
        <w:t xml:space="preserve"> added cost </w:t>
      </w:r>
      <w:r w:rsidR="00F907B8">
        <w:t>would be</w:t>
      </w:r>
      <w:r w:rsidR="008B68B0">
        <w:t xml:space="preserve"> </w:t>
      </w:r>
      <w:r w:rsidR="00921D39">
        <w:t xml:space="preserve">outweighed by </w:t>
      </w:r>
      <w:r w:rsidR="00176B68">
        <w:t>the</w:t>
      </w:r>
      <w:r w:rsidR="00921D39">
        <w:t xml:space="preserve"> cost</w:t>
      </w:r>
      <w:r w:rsidR="00CE4E88">
        <w:t xml:space="preserve"> </w:t>
      </w:r>
      <w:r w:rsidR="00921D39">
        <w:t xml:space="preserve">savings of </w:t>
      </w:r>
      <w:r w:rsidR="00CE4E88">
        <w:t xml:space="preserve">harmonization between </w:t>
      </w:r>
      <w:r w:rsidR="00726892">
        <w:t xml:space="preserve">FDA regulations and the </w:t>
      </w:r>
      <w:r w:rsidR="0042085E">
        <w:t xml:space="preserve">Common Rule’s provision for </w:t>
      </w:r>
      <w:r w:rsidR="00726892">
        <w:t xml:space="preserve">waiver </w:t>
      </w:r>
      <w:r w:rsidR="0042085E">
        <w:t>or alteration of informed consent</w:t>
      </w:r>
      <w:r w:rsidR="00726892">
        <w:t xml:space="preserve"> for minimal risk research (</w:t>
      </w:r>
      <w:r w:rsidR="0066395C">
        <w:t>see section E – Cost Savings of the Rule)</w:t>
      </w:r>
      <w:r w:rsidR="00896551">
        <w:t xml:space="preserve"> </w:t>
      </w:r>
      <w:r w:rsidR="00767C7B">
        <w:t xml:space="preserve">and by the non-quantitative benefits in the form of healthcare advances stemming from </w:t>
      </w:r>
      <w:r w:rsidR="000C6468">
        <w:t xml:space="preserve">FDA-regulated </w:t>
      </w:r>
      <w:r w:rsidR="00767C7B">
        <w:t xml:space="preserve">minimal risk clinical investigations that </w:t>
      </w:r>
      <w:r w:rsidR="00463EE7">
        <w:t xml:space="preserve">may now </w:t>
      </w:r>
      <w:r w:rsidR="00767C7B">
        <w:t xml:space="preserve">proceed using a waiver or alteration of informed consent </w:t>
      </w:r>
      <w:r w:rsidR="00B52949">
        <w:t>under the final rule</w:t>
      </w:r>
      <w:r w:rsidR="00767C7B">
        <w:t xml:space="preserve"> (see Section F – Non-quantified Benefits of the Rule).</w:t>
      </w:r>
    </w:p>
    <w:p w:rsidR="00456F2F" w:rsidP="00456F2F" w14:paraId="0C5669A5" w14:textId="78001D77">
      <w:pPr>
        <w:spacing w:before="10" w:after="0" w:line="480" w:lineRule="auto"/>
        <w:ind w:left="360" w:right="55"/>
        <w:jc w:val="center"/>
        <w:rPr>
          <w:rFonts w:ascii="Times New Roman" w:eastAsia="Times New Roman" w:hAnsi="Times New Roman"/>
          <w:sz w:val="24"/>
          <w:szCs w:val="24"/>
        </w:rPr>
      </w:pPr>
      <w:r>
        <w:rPr>
          <w:rFonts w:ascii="Times New Roman" w:eastAsia="Times New Roman" w:hAnsi="Times New Roman"/>
          <w:i/>
          <w:sz w:val="24"/>
          <w:szCs w:val="24"/>
        </w:rPr>
        <w:t>C. Summary of Costs</w:t>
      </w:r>
      <w:r w:rsidR="00034B0C">
        <w:rPr>
          <w:rFonts w:ascii="Times New Roman" w:eastAsia="Times New Roman" w:hAnsi="Times New Roman"/>
          <w:i/>
          <w:sz w:val="24"/>
          <w:szCs w:val="24"/>
        </w:rPr>
        <w:t xml:space="preserve"> and Benefits</w:t>
      </w:r>
    </w:p>
    <w:p w:rsidR="00761336" w:rsidP="00F60DA4" w14:paraId="70FF5853" w14:textId="7AC698C2">
      <w:pPr>
        <w:spacing w:after="0" w:line="480" w:lineRule="auto"/>
        <w:ind w:firstLine="720"/>
        <w:contextualSpacing/>
        <w:rPr>
          <w:rFonts w:ascii="Times New Roman" w:hAnsi="Times New Roman"/>
          <w:iCs/>
          <w:sz w:val="24"/>
          <w:szCs w:val="24"/>
        </w:rPr>
      </w:pPr>
      <w:r>
        <w:rPr>
          <w:rFonts w:ascii="Times New Roman" w:hAnsi="Times New Roman"/>
          <w:iCs/>
          <w:sz w:val="24"/>
          <w:szCs w:val="24"/>
        </w:rPr>
        <w:t>The rule does not require any IRB</w:t>
      </w:r>
      <w:r w:rsidR="00B00B88">
        <w:rPr>
          <w:rFonts w:ascii="Times New Roman" w:hAnsi="Times New Roman"/>
          <w:iCs/>
          <w:sz w:val="24"/>
          <w:szCs w:val="24"/>
        </w:rPr>
        <w:t xml:space="preserve"> </w:t>
      </w:r>
      <w:r>
        <w:rPr>
          <w:rFonts w:ascii="Times New Roman" w:hAnsi="Times New Roman"/>
          <w:iCs/>
          <w:sz w:val="24"/>
          <w:szCs w:val="24"/>
        </w:rPr>
        <w:t>to waive or alter informed consent, nor does it require any person to request such a waiver or alteration.</w:t>
      </w:r>
      <w:r w:rsidR="00253C7D">
        <w:rPr>
          <w:rFonts w:ascii="Times New Roman" w:hAnsi="Times New Roman"/>
          <w:iCs/>
          <w:sz w:val="24"/>
          <w:szCs w:val="24"/>
        </w:rPr>
        <w:t xml:space="preserve">  </w:t>
      </w:r>
      <w:r>
        <w:rPr>
          <w:rFonts w:ascii="Times New Roman" w:hAnsi="Times New Roman"/>
          <w:iCs/>
          <w:sz w:val="24"/>
          <w:szCs w:val="24"/>
        </w:rPr>
        <w:t>However, w</w:t>
      </w:r>
      <w:r w:rsidR="008F53AD">
        <w:rPr>
          <w:rFonts w:ascii="Times New Roman" w:hAnsi="Times New Roman"/>
          <w:iCs/>
          <w:sz w:val="24"/>
          <w:szCs w:val="24"/>
        </w:rPr>
        <w:t xml:space="preserve">e expect costs in the form of </w:t>
      </w:r>
      <w:r w:rsidR="00FB5A00">
        <w:rPr>
          <w:rFonts w:ascii="Times New Roman" w:hAnsi="Times New Roman"/>
          <w:iCs/>
          <w:sz w:val="24"/>
          <w:szCs w:val="24"/>
        </w:rPr>
        <w:t>affected IRBs</w:t>
      </w:r>
      <w:r w:rsidR="00D27EDB">
        <w:rPr>
          <w:rFonts w:ascii="Times New Roman" w:hAnsi="Times New Roman"/>
          <w:iCs/>
          <w:sz w:val="24"/>
          <w:szCs w:val="24"/>
        </w:rPr>
        <w:t>,</w:t>
      </w:r>
      <w:r w:rsidR="005077E9">
        <w:rPr>
          <w:rFonts w:ascii="Times New Roman" w:hAnsi="Times New Roman"/>
          <w:iCs/>
          <w:sz w:val="24"/>
          <w:szCs w:val="24"/>
        </w:rPr>
        <w:t xml:space="preserve"> </w:t>
      </w:r>
      <w:r w:rsidR="00F95B90">
        <w:rPr>
          <w:rFonts w:ascii="Times New Roman" w:hAnsi="Times New Roman"/>
          <w:iCs/>
          <w:sz w:val="24"/>
          <w:szCs w:val="24"/>
        </w:rPr>
        <w:t>as well as</w:t>
      </w:r>
      <w:r w:rsidR="003A3A40">
        <w:rPr>
          <w:rFonts w:ascii="Times New Roman" w:hAnsi="Times New Roman"/>
          <w:iCs/>
          <w:sz w:val="24"/>
          <w:szCs w:val="24"/>
        </w:rPr>
        <w:t xml:space="preserve"> </w:t>
      </w:r>
      <w:r w:rsidR="00420A18">
        <w:rPr>
          <w:rFonts w:ascii="Times New Roman" w:hAnsi="Times New Roman"/>
          <w:iCs/>
          <w:sz w:val="24"/>
          <w:szCs w:val="24"/>
        </w:rPr>
        <w:t xml:space="preserve">investigators and </w:t>
      </w:r>
      <w:r w:rsidR="00534136">
        <w:rPr>
          <w:rFonts w:ascii="Times New Roman" w:hAnsi="Times New Roman"/>
          <w:iCs/>
          <w:sz w:val="24"/>
          <w:szCs w:val="24"/>
        </w:rPr>
        <w:t xml:space="preserve">sponsors of clinical </w:t>
      </w:r>
      <w:r w:rsidR="00FD1714">
        <w:rPr>
          <w:rFonts w:ascii="Times New Roman" w:hAnsi="Times New Roman"/>
          <w:iCs/>
          <w:sz w:val="24"/>
          <w:szCs w:val="24"/>
        </w:rPr>
        <w:t>investigation</w:t>
      </w:r>
      <w:r w:rsidR="00534136">
        <w:rPr>
          <w:rFonts w:ascii="Times New Roman" w:hAnsi="Times New Roman"/>
          <w:iCs/>
          <w:sz w:val="24"/>
          <w:szCs w:val="24"/>
        </w:rPr>
        <w:t>s</w:t>
      </w:r>
      <w:r w:rsidR="00D27EDB">
        <w:rPr>
          <w:rFonts w:ascii="Times New Roman" w:hAnsi="Times New Roman"/>
          <w:iCs/>
          <w:sz w:val="24"/>
          <w:szCs w:val="24"/>
        </w:rPr>
        <w:t xml:space="preserve">, </w:t>
      </w:r>
      <w:r w:rsidR="00FB5A00">
        <w:rPr>
          <w:rFonts w:ascii="Times New Roman" w:hAnsi="Times New Roman"/>
          <w:iCs/>
          <w:sz w:val="24"/>
          <w:szCs w:val="24"/>
        </w:rPr>
        <w:t>reading and learning the rule</w:t>
      </w:r>
      <w:r w:rsidR="00F95B90">
        <w:rPr>
          <w:rFonts w:ascii="Times New Roman" w:hAnsi="Times New Roman"/>
          <w:iCs/>
          <w:sz w:val="24"/>
          <w:szCs w:val="24"/>
        </w:rPr>
        <w:t xml:space="preserve">.  </w:t>
      </w:r>
      <w:r w:rsidRPr="007E52C3" w:rsidR="007E52C3">
        <w:rPr>
          <w:rFonts w:ascii="Times New Roman" w:hAnsi="Times New Roman"/>
          <w:iCs/>
          <w:sz w:val="24"/>
          <w:szCs w:val="24"/>
        </w:rPr>
        <w:t xml:space="preserve">We also expect costs in the form of drafting new waiver or alteration requests, and additional recordkeeping burdens associated with reviewing and documenting IRB decisions on waiver or alteration requests.  </w:t>
      </w:r>
      <w:r w:rsidRPr="009D76A5" w:rsidR="002D6905">
        <w:rPr>
          <w:rFonts w:ascii="Times New Roman" w:hAnsi="Times New Roman"/>
          <w:iCs/>
          <w:sz w:val="24"/>
          <w:szCs w:val="24"/>
        </w:rPr>
        <w:t>The net present value of the estimated costs of the rule are approximately $</w:t>
      </w:r>
      <w:r w:rsidR="00DB5742">
        <w:rPr>
          <w:rFonts w:ascii="Times New Roman" w:hAnsi="Times New Roman"/>
          <w:iCs/>
          <w:sz w:val="24"/>
          <w:szCs w:val="24"/>
        </w:rPr>
        <w:t>10.</w:t>
      </w:r>
      <w:r w:rsidR="00600ABF">
        <w:rPr>
          <w:rFonts w:ascii="Times New Roman" w:hAnsi="Times New Roman"/>
          <w:iCs/>
          <w:sz w:val="24"/>
          <w:szCs w:val="24"/>
        </w:rPr>
        <w:t>1</w:t>
      </w:r>
      <w:r w:rsidRPr="00DA0687" w:rsidR="009D3EF8">
        <w:rPr>
          <w:rFonts w:ascii="Times New Roman" w:hAnsi="Times New Roman"/>
          <w:iCs/>
          <w:sz w:val="24"/>
          <w:szCs w:val="24"/>
        </w:rPr>
        <w:t xml:space="preserve"> </w:t>
      </w:r>
      <w:r w:rsidRPr="005A7CE6" w:rsidR="002D6905">
        <w:rPr>
          <w:rFonts w:ascii="Times New Roman" w:hAnsi="Times New Roman"/>
          <w:iCs/>
          <w:sz w:val="24"/>
          <w:szCs w:val="24"/>
        </w:rPr>
        <w:t>million, with a lower bound of approximately $</w:t>
      </w:r>
      <w:r w:rsidR="00DB5742">
        <w:rPr>
          <w:rFonts w:ascii="Times New Roman" w:hAnsi="Times New Roman"/>
          <w:iCs/>
          <w:sz w:val="24"/>
          <w:szCs w:val="24"/>
        </w:rPr>
        <w:t>8.1</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 xml:space="preserve">million and an upper </w:t>
      </w:r>
      <w:r w:rsidRPr="005A7CE6" w:rsidR="002D6905">
        <w:rPr>
          <w:rFonts w:ascii="Times New Roman" w:hAnsi="Times New Roman"/>
          <w:iCs/>
          <w:sz w:val="24"/>
          <w:szCs w:val="24"/>
        </w:rPr>
        <w:t>bound of approximately $</w:t>
      </w:r>
      <w:r w:rsidR="00DB5742">
        <w:rPr>
          <w:rFonts w:ascii="Times New Roman" w:hAnsi="Times New Roman"/>
          <w:iCs/>
          <w:sz w:val="24"/>
          <w:szCs w:val="24"/>
        </w:rPr>
        <w:t>14.0</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w:t>
      </w:r>
      <w:r w:rsidR="002D6905">
        <w:rPr>
          <w:rFonts w:ascii="Times New Roman" w:hAnsi="Times New Roman"/>
          <w:iCs/>
          <w:sz w:val="24"/>
          <w:szCs w:val="24"/>
        </w:rPr>
        <w:t xml:space="preserve">, discounted at 3 percent over 10 years. </w:t>
      </w:r>
      <w:r w:rsidR="0090206B">
        <w:rPr>
          <w:rFonts w:ascii="Times New Roman" w:hAnsi="Times New Roman"/>
          <w:iCs/>
          <w:sz w:val="24"/>
          <w:szCs w:val="24"/>
        </w:rPr>
        <w:t xml:space="preserve"> </w:t>
      </w:r>
      <w:r w:rsidR="002D6905">
        <w:rPr>
          <w:rFonts w:ascii="Times New Roman" w:hAnsi="Times New Roman"/>
          <w:iCs/>
          <w:sz w:val="24"/>
          <w:szCs w:val="24"/>
        </w:rPr>
        <w:t xml:space="preserve">At a 7 percent discount rate, the estimated costs of the rule are </w:t>
      </w:r>
      <w:r w:rsidRPr="005A7CE6" w:rsidR="002D6905">
        <w:rPr>
          <w:rFonts w:ascii="Times New Roman" w:hAnsi="Times New Roman"/>
          <w:iCs/>
          <w:sz w:val="24"/>
          <w:szCs w:val="24"/>
        </w:rPr>
        <w:t>approximately $</w:t>
      </w:r>
      <w:r w:rsidR="00DB5742">
        <w:rPr>
          <w:rFonts w:ascii="Times New Roman" w:hAnsi="Times New Roman"/>
          <w:iCs/>
          <w:sz w:val="24"/>
          <w:szCs w:val="24"/>
        </w:rPr>
        <w:t>9.1</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with a lower bound of approximately $</w:t>
      </w:r>
      <w:r w:rsidR="00DB5742">
        <w:rPr>
          <w:rFonts w:ascii="Times New Roman" w:hAnsi="Times New Roman"/>
          <w:iCs/>
          <w:sz w:val="24"/>
          <w:szCs w:val="24"/>
        </w:rPr>
        <w:t>7.5</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and an upper bound of approximately $</w:t>
      </w:r>
      <w:r w:rsidR="00DB5742">
        <w:rPr>
          <w:rFonts w:ascii="Times New Roman" w:hAnsi="Times New Roman"/>
          <w:iCs/>
          <w:sz w:val="24"/>
          <w:szCs w:val="24"/>
        </w:rPr>
        <w:t>12.4</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w:t>
      </w:r>
      <w:r w:rsidR="0090206B">
        <w:rPr>
          <w:rFonts w:ascii="Times New Roman" w:hAnsi="Times New Roman"/>
          <w:iCs/>
          <w:sz w:val="24"/>
          <w:szCs w:val="24"/>
        </w:rPr>
        <w:t xml:space="preserve">  </w:t>
      </w:r>
      <w:r w:rsidRPr="005A7CE6" w:rsidR="002D6905">
        <w:rPr>
          <w:rFonts w:ascii="Times New Roman" w:hAnsi="Times New Roman"/>
          <w:iCs/>
          <w:sz w:val="24"/>
          <w:szCs w:val="24"/>
        </w:rPr>
        <w:t>The estimated annualized costs of the rule are approximately $</w:t>
      </w:r>
      <w:r w:rsidR="00807B34">
        <w:rPr>
          <w:rFonts w:ascii="Times New Roman" w:hAnsi="Times New Roman"/>
          <w:iCs/>
          <w:sz w:val="24"/>
          <w:szCs w:val="24"/>
        </w:rPr>
        <w:t>1.</w:t>
      </w:r>
      <w:r w:rsidR="00693FDA">
        <w:rPr>
          <w:rFonts w:ascii="Times New Roman" w:hAnsi="Times New Roman"/>
          <w:iCs/>
          <w:sz w:val="24"/>
          <w:szCs w:val="24"/>
        </w:rPr>
        <w:t>2</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with a lower bound of approximately $</w:t>
      </w:r>
      <w:r w:rsidR="00693FDA">
        <w:rPr>
          <w:rFonts w:ascii="Times New Roman" w:hAnsi="Times New Roman"/>
          <w:iCs/>
          <w:sz w:val="24"/>
          <w:szCs w:val="24"/>
        </w:rPr>
        <w:t>0.9</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and an upper bound of approximately $</w:t>
      </w:r>
      <w:r w:rsidR="00807B34">
        <w:rPr>
          <w:rFonts w:ascii="Times New Roman" w:hAnsi="Times New Roman"/>
          <w:iCs/>
          <w:sz w:val="24"/>
          <w:szCs w:val="24"/>
        </w:rPr>
        <w:t>1.</w:t>
      </w:r>
      <w:r w:rsidR="00693FDA">
        <w:rPr>
          <w:rFonts w:ascii="Times New Roman" w:hAnsi="Times New Roman"/>
          <w:iCs/>
          <w:sz w:val="24"/>
          <w:szCs w:val="24"/>
        </w:rPr>
        <w:t>6</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 xml:space="preserve">million, discounted at 3 percent over 10 years. </w:t>
      </w:r>
      <w:r w:rsidR="0090206B">
        <w:rPr>
          <w:rFonts w:ascii="Times New Roman" w:hAnsi="Times New Roman"/>
          <w:iCs/>
          <w:sz w:val="24"/>
          <w:szCs w:val="24"/>
        </w:rPr>
        <w:t xml:space="preserve"> </w:t>
      </w:r>
      <w:r w:rsidRPr="005A7CE6" w:rsidR="002D6905">
        <w:rPr>
          <w:rFonts w:ascii="Times New Roman" w:hAnsi="Times New Roman"/>
          <w:iCs/>
          <w:sz w:val="24"/>
          <w:szCs w:val="24"/>
        </w:rPr>
        <w:t>At a 7 percent discount rate, the estimated annualized costs of the rule are approximately $</w:t>
      </w:r>
      <w:r w:rsidR="00693FDA">
        <w:rPr>
          <w:rFonts w:ascii="Times New Roman" w:hAnsi="Times New Roman"/>
          <w:iCs/>
          <w:sz w:val="24"/>
          <w:szCs w:val="24"/>
        </w:rPr>
        <w:t>1.3</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with a lower bound of approximately $</w:t>
      </w:r>
      <w:r w:rsidR="00693FDA">
        <w:rPr>
          <w:rFonts w:ascii="Times New Roman" w:hAnsi="Times New Roman"/>
          <w:iCs/>
          <w:sz w:val="24"/>
          <w:szCs w:val="24"/>
        </w:rPr>
        <w:t>1.1</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 and an upper bound of approximately $</w:t>
      </w:r>
      <w:r w:rsidR="00693FDA">
        <w:rPr>
          <w:rFonts w:ascii="Times New Roman" w:hAnsi="Times New Roman"/>
          <w:iCs/>
          <w:sz w:val="24"/>
          <w:szCs w:val="24"/>
        </w:rPr>
        <w:t>1.8</w:t>
      </w:r>
      <w:r w:rsidRPr="00DA0687" w:rsidR="002D6905">
        <w:rPr>
          <w:rFonts w:ascii="Times New Roman" w:hAnsi="Times New Roman"/>
          <w:iCs/>
          <w:sz w:val="24"/>
          <w:szCs w:val="24"/>
        </w:rPr>
        <w:t xml:space="preserve"> </w:t>
      </w:r>
      <w:r w:rsidRPr="005A7CE6" w:rsidR="002D6905">
        <w:rPr>
          <w:rFonts w:ascii="Times New Roman" w:hAnsi="Times New Roman"/>
          <w:iCs/>
          <w:sz w:val="24"/>
          <w:szCs w:val="24"/>
        </w:rPr>
        <w:t>million</w:t>
      </w:r>
      <w:r w:rsidR="002D6905">
        <w:rPr>
          <w:rFonts w:ascii="Times New Roman" w:hAnsi="Times New Roman"/>
          <w:iCs/>
          <w:sz w:val="24"/>
          <w:szCs w:val="24"/>
        </w:rPr>
        <w:t xml:space="preserve">. </w:t>
      </w:r>
    </w:p>
    <w:p w:rsidR="001739BF" w:rsidP="00F60DA4" w14:paraId="645AA9DA" w14:textId="4A9736AA">
      <w:pPr>
        <w:spacing w:after="0" w:line="480" w:lineRule="auto"/>
        <w:ind w:firstLine="720"/>
        <w:contextualSpacing/>
        <w:rPr>
          <w:rFonts w:ascii="Times New Roman" w:hAnsi="Times New Roman"/>
          <w:iCs/>
          <w:sz w:val="24"/>
          <w:szCs w:val="24"/>
        </w:rPr>
      </w:pPr>
      <w:r>
        <w:rPr>
          <w:rFonts w:ascii="Times New Roman" w:hAnsi="Times New Roman"/>
          <w:iCs/>
          <w:sz w:val="24"/>
          <w:szCs w:val="24"/>
        </w:rPr>
        <w:t>We expect that there will be</w:t>
      </w:r>
      <w:r w:rsidR="00C2449F">
        <w:rPr>
          <w:rFonts w:ascii="Times New Roman" w:hAnsi="Times New Roman"/>
          <w:iCs/>
          <w:sz w:val="24"/>
          <w:szCs w:val="24"/>
        </w:rPr>
        <w:t xml:space="preserve"> cost savings </w:t>
      </w:r>
      <w:r w:rsidR="005276B6">
        <w:rPr>
          <w:rFonts w:ascii="Times New Roman" w:hAnsi="Times New Roman"/>
          <w:iCs/>
          <w:sz w:val="24"/>
          <w:szCs w:val="24"/>
        </w:rPr>
        <w:t xml:space="preserve">from harmonization of FDA’s informed consent regulations with the provision for waiver or alteration of informed consent for certain minimal risk research in the </w:t>
      </w:r>
      <w:bookmarkStart w:id="0" w:name="_Hlk143283072"/>
      <w:r w:rsidRPr="0029618C" w:rsidR="005276B6">
        <w:rPr>
          <w:rFonts w:ascii="Times New Roman" w:hAnsi="Times New Roman"/>
          <w:iCs/>
          <w:sz w:val="24"/>
          <w:szCs w:val="24"/>
        </w:rPr>
        <w:t>Common Rule</w:t>
      </w:r>
      <w:r w:rsidR="005E55CA">
        <w:rPr>
          <w:rFonts w:ascii="Times New Roman" w:hAnsi="Times New Roman"/>
          <w:iCs/>
          <w:sz w:val="24"/>
          <w:szCs w:val="24"/>
        </w:rPr>
        <w:t xml:space="preserve">. </w:t>
      </w:r>
      <w:r w:rsidR="008E5A83">
        <w:rPr>
          <w:rFonts w:ascii="Times New Roman" w:hAnsi="Times New Roman"/>
          <w:iCs/>
          <w:sz w:val="24"/>
          <w:szCs w:val="24"/>
        </w:rPr>
        <w:t xml:space="preserve"> </w:t>
      </w:r>
      <w:bookmarkEnd w:id="0"/>
      <w:r w:rsidR="00EF6610">
        <w:rPr>
          <w:rFonts w:ascii="Times New Roman" w:hAnsi="Times New Roman"/>
          <w:iCs/>
          <w:sz w:val="24"/>
          <w:szCs w:val="24"/>
        </w:rPr>
        <w:t xml:space="preserve">The estimated net present value of the cost savings of the rule are </w:t>
      </w:r>
      <w:r w:rsidRPr="005A7CE6" w:rsidR="00EF6610">
        <w:rPr>
          <w:rFonts w:ascii="Times New Roman" w:hAnsi="Times New Roman"/>
          <w:iCs/>
          <w:sz w:val="24"/>
          <w:szCs w:val="24"/>
        </w:rPr>
        <w:t>approximately $</w:t>
      </w:r>
      <w:r w:rsidR="00D37200">
        <w:rPr>
          <w:rFonts w:ascii="Times New Roman" w:hAnsi="Times New Roman"/>
          <w:iCs/>
          <w:sz w:val="24"/>
          <w:szCs w:val="24"/>
        </w:rPr>
        <w:t>1.7</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with a lower bound of approximately $</w:t>
      </w:r>
      <w:r w:rsidR="00D37200">
        <w:rPr>
          <w:rFonts w:ascii="Times New Roman" w:hAnsi="Times New Roman"/>
          <w:iCs/>
          <w:sz w:val="24"/>
          <w:szCs w:val="24"/>
        </w:rPr>
        <w:t>0.9</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and an upper bound of approximately $</w:t>
      </w:r>
      <w:r w:rsidR="00D37200">
        <w:rPr>
          <w:rFonts w:ascii="Times New Roman" w:hAnsi="Times New Roman"/>
          <w:iCs/>
          <w:sz w:val="24"/>
          <w:szCs w:val="24"/>
        </w:rPr>
        <w:t>3.5</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discounted at 3 percent over 10 years.  At a 7 percent discount rate, the estimated cost savings of the rule are approximately $</w:t>
      </w:r>
      <w:r w:rsidR="00D37200">
        <w:rPr>
          <w:rFonts w:ascii="Times New Roman" w:hAnsi="Times New Roman"/>
          <w:iCs/>
          <w:sz w:val="24"/>
          <w:szCs w:val="24"/>
        </w:rPr>
        <w:t>1.4</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with a lower bound of approximately $</w:t>
      </w:r>
      <w:r w:rsidR="00D37200">
        <w:rPr>
          <w:rFonts w:ascii="Times New Roman" w:hAnsi="Times New Roman"/>
          <w:iCs/>
          <w:sz w:val="24"/>
          <w:szCs w:val="24"/>
        </w:rPr>
        <w:t>0.7</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and an upper bound of approximately $</w:t>
      </w:r>
      <w:r w:rsidR="00D37200">
        <w:rPr>
          <w:rFonts w:ascii="Times New Roman" w:hAnsi="Times New Roman"/>
          <w:iCs/>
          <w:sz w:val="24"/>
          <w:szCs w:val="24"/>
        </w:rPr>
        <w:t>2.8</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 xml:space="preserve">million. </w:t>
      </w:r>
      <w:r w:rsidR="008E5A83">
        <w:rPr>
          <w:rFonts w:ascii="Times New Roman" w:hAnsi="Times New Roman"/>
          <w:iCs/>
          <w:sz w:val="24"/>
          <w:szCs w:val="24"/>
        </w:rPr>
        <w:t xml:space="preserve"> </w:t>
      </w:r>
      <w:r w:rsidRPr="005A7CE6" w:rsidR="00EF6610">
        <w:rPr>
          <w:rFonts w:ascii="Times New Roman" w:hAnsi="Times New Roman"/>
          <w:iCs/>
          <w:sz w:val="24"/>
          <w:szCs w:val="24"/>
        </w:rPr>
        <w:t>The estimated annualized cost savings of the rule are approximately $</w:t>
      </w:r>
      <w:r w:rsidR="00D37200">
        <w:rPr>
          <w:rFonts w:ascii="Times New Roman" w:hAnsi="Times New Roman"/>
          <w:iCs/>
          <w:sz w:val="24"/>
          <w:szCs w:val="24"/>
        </w:rPr>
        <w:t>0.2</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with a lower bound of approximately $</w:t>
      </w:r>
      <w:r w:rsidR="00D37200">
        <w:rPr>
          <w:rFonts w:ascii="Times New Roman" w:hAnsi="Times New Roman"/>
          <w:iCs/>
          <w:sz w:val="24"/>
          <w:szCs w:val="24"/>
        </w:rPr>
        <w:t>0.1 million</w:t>
      </w:r>
      <w:r w:rsidRPr="005A7CE6" w:rsidR="00EF6610">
        <w:rPr>
          <w:rFonts w:ascii="Times New Roman" w:hAnsi="Times New Roman"/>
          <w:iCs/>
          <w:sz w:val="24"/>
          <w:szCs w:val="24"/>
        </w:rPr>
        <w:t xml:space="preserve"> and an upper bound of approximately $</w:t>
      </w:r>
      <w:r w:rsidR="00D37200">
        <w:rPr>
          <w:rFonts w:ascii="Times New Roman" w:hAnsi="Times New Roman"/>
          <w:iCs/>
          <w:sz w:val="24"/>
          <w:szCs w:val="24"/>
        </w:rPr>
        <w:t>0.4</w:t>
      </w:r>
      <w:r w:rsidRPr="00DA0687" w:rsidR="00EF6610">
        <w:rPr>
          <w:rFonts w:ascii="Times New Roman" w:hAnsi="Times New Roman"/>
          <w:iCs/>
          <w:sz w:val="24"/>
          <w:szCs w:val="24"/>
        </w:rPr>
        <w:t xml:space="preserve"> </w:t>
      </w:r>
      <w:r w:rsidRPr="005A7CE6" w:rsidR="00EF6610">
        <w:rPr>
          <w:rFonts w:ascii="Times New Roman" w:hAnsi="Times New Roman"/>
          <w:iCs/>
          <w:sz w:val="24"/>
          <w:szCs w:val="24"/>
        </w:rPr>
        <w:t>million, discounted at 3 percent over 10 years</w:t>
      </w:r>
      <w:r w:rsidR="00EF6610">
        <w:rPr>
          <w:rFonts w:ascii="Times New Roman" w:hAnsi="Times New Roman"/>
          <w:iCs/>
          <w:sz w:val="24"/>
          <w:szCs w:val="24"/>
        </w:rPr>
        <w:t xml:space="preserve">.  At </w:t>
      </w:r>
      <w:r w:rsidRPr="0033159B" w:rsidR="00EF6610">
        <w:rPr>
          <w:rFonts w:ascii="Times New Roman" w:hAnsi="Times New Roman"/>
          <w:iCs/>
          <w:sz w:val="24"/>
          <w:szCs w:val="24"/>
        </w:rPr>
        <w:t>a 7 percent d</w:t>
      </w:r>
      <w:r w:rsidRPr="009D76A5" w:rsidR="00EF6610">
        <w:rPr>
          <w:rFonts w:ascii="Times New Roman" w:hAnsi="Times New Roman"/>
          <w:iCs/>
          <w:sz w:val="24"/>
          <w:szCs w:val="24"/>
        </w:rPr>
        <w:t>iscount rate, the estimated annualized costs savings of the rule are approximately $</w:t>
      </w:r>
      <w:r w:rsidR="00D37200">
        <w:rPr>
          <w:rFonts w:ascii="Times New Roman" w:hAnsi="Times New Roman"/>
          <w:iCs/>
          <w:sz w:val="24"/>
          <w:szCs w:val="24"/>
        </w:rPr>
        <w:t>0.2</w:t>
      </w:r>
      <w:r w:rsidRPr="00DA0687" w:rsidR="00EF6610">
        <w:rPr>
          <w:rFonts w:ascii="Times New Roman" w:hAnsi="Times New Roman"/>
          <w:iCs/>
          <w:sz w:val="24"/>
          <w:szCs w:val="24"/>
        </w:rPr>
        <w:t xml:space="preserve"> </w:t>
      </w:r>
      <w:r w:rsidRPr="0033159B" w:rsidR="00EF6610">
        <w:rPr>
          <w:rFonts w:ascii="Times New Roman" w:hAnsi="Times New Roman"/>
          <w:iCs/>
          <w:sz w:val="24"/>
          <w:szCs w:val="24"/>
        </w:rPr>
        <w:t>million, with a lower bound of approximately $</w:t>
      </w:r>
      <w:r w:rsidR="00D37200">
        <w:rPr>
          <w:rFonts w:ascii="Times New Roman" w:hAnsi="Times New Roman"/>
          <w:iCs/>
          <w:sz w:val="24"/>
          <w:szCs w:val="24"/>
        </w:rPr>
        <w:t>0.1 million</w:t>
      </w:r>
      <w:r w:rsidRPr="0033159B" w:rsidR="00EF6610">
        <w:rPr>
          <w:rFonts w:ascii="Times New Roman" w:hAnsi="Times New Roman"/>
          <w:iCs/>
          <w:sz w:val="24"/>
          <w:szCs w:val="24"/>
        </w:rPr>
        <w:t xml:space="preserve"> and an upper bound of approximately $</w:t>
      </w:r>
      <w:r w:rsidR="00D37200">
        <w:rPr>
          <w:rFonts w:ascii="Times New Roman" w:hAnsi="Times New Roman"/>
          <w:iCs/>
          <w:sz w:val="24"/>
          <w:szCs w:val="24"/>
        </w:rPr>
        <w:t>0.4</w:t>
      </w:r>
      <w:r w:rsidRPr="00DA0687" w:rsidR="00EF6610">
        <w:rPr>
          <w:rFonts w:ascii="Times New Roman" w:hAnsi="Times New Roman"/>
          <w:iCs/>
          <w:sz w:val="24"/>
          <w:szCs w:val="24"/>
        </w:rPr>
        <w:t xml:space="preserve"> </w:t>
      </w:r>
      <w:r w:rsidRPr="0033159B" w:rsidR="00EF6610">
        <w:rPr>
          <w:rFonts w:ascii="Times New Roman" w:hAnsi="Times New Roman"/>
          <w:iCs/>
          <w:sz w:val="24"/>
          <w:szCs w:val="24"/>
        </w:rPr>
        <w:t>million</w:t>
      </w:r>
      <w:r w:rsidRPr="00D61EFD" w:rsidR="00EF6610">
        <w:rPr>
          <w:rFonts w:ascii="Times New Roman" w:hAnsi="Times New Roman"/>
          <w:iCs/>
          <w:sz w:val="24"/>
          <w:szCs w:val="24"/>
        </w:rPr>
        <w:t xml:space="preserve">. </w:t>
      </w:r>
      <w:r w:rsidR="00EF6610">
        <w:rPr>
          <w:rFonts w:ascii="Times New Roman" w:hAnsi="Times New Roman"/>
          <w:iCs/>
          <w:sz w:val="24"/>
          <w:szCs w:val="24"/>
        </w:rPr>
        <w:t xml:space="preserve"> </w:t>
      </w:r>
    </w:p>
    <w:p w:rsidR="00F70AA9" w:rsidP="00F60DA4" w14:paraId="64296141" w14:textId="0A07EC20">
      <w:pPr>
        <w:spacing w:after="0" w:line="480" w:lineRule="auto"/>
        <w:ind w:firstLine="720"/>
        <w:contextualSpacing/>
        <w:rPr>
          <w:rFonts w:ascii="Times New Roman" w:eastAsia="Times New Roman" w:hAnsi="Times New Roman"/>
          <w:sz w:val="24"/>
          <w:szCs w:val="24"/>
        </w:rPr>
      </w:pPr>
      <w:r>
        <w:rPr>
          <w:rFonts w:ascii="Times New Roman" w:hAnsi="Times New Roman"/>
          <w:iCs/>
          <w:sz w:val="24"/>
          <w:szCs w:val="24"/>
        </w:rPr>
        <w:t xml:space="preserve">We </w:t>
      </w:r>
      <w:r w:rsidR="00E807C1">
        <w:rPr>
          <w:rFonts w:ascii="Times New Roman" w:hAnsi="Times New Roman"/>
          <w:iCs/>
          <w:sz w:val="24"/>
          <w:szCs w:val="24"/>
        </w:rPr>
        <w:t xml:space="preserve">also </w:t>
      </w:r>
      <w:r>
        <w:rPr>
          <w:rFonts w:ascii="Times New Roman" w:hAnsi="Times New Roman"/>
          <w:iCs/>
          <w:sz w:val="24"/>
          <w:szCs w:val="24"/>
        </w:rPr>
        <w:t>expect benefits in the form of healthcare advances from minimal risk clinical investigations</w:t>
      </w:r>
      <w:r w:rsidR="00A60D2A">
        <w:rPr>
          <w:rFonts w:ascii="Times New Roman" w:hAnsi="Times New Roman"/>
          <w:iCs/>
          <w:sz w:val="24"/>
          <w:szCs w:val="24"/>
        </w:rPr>
        <w:t xml:space="preserve"> for which the requirements for informed consent are waive</w:t>
      </w:r>
      <w:r w:rsidR="00E41B75">
        <w:rPr>
          <w:rFonts w:ascii="Times New Roman" w:hAnsi="Times New Roman"/>
          <w:iCs/>
          <w:sz w:val="24"/>
          <w:szCs w:val="24"/>
        </w:rPr>
        <w:t>d</w:t>
      </w:r>
      <w:r w:rsidR="00A60D2A">
        <w:rPr>
          <w:rFonts w:ascii="Times New Roman" w:hAnsi="Times New Roman"/>
          <w:iCs/>
          <w:sz w:val="24"/>
          <w:szCs w:val="24"/>
        </w:rPr>
        <w:t xml:space="preserve"> or altered under the final rule</w:t>
      </w:r>
      <w:r>
        <w:rPr>
          <w:rFonts w:ascii="Times New Roman" w:hAnsi="Times New Roman"/>
          <w:iCs/>
          <w:sz w:val="24"/>
          <w:szCs w:val="24"/>
        </w:rPr>
        <w:t>.  We cannot quantify all benefits because of the lack of relevant data available to FDA</w:t>
      </w:r>
      <w:r w:rsidR="005276B6">
        <w:rPr>
          <w:rFonts w:ascii="Times New Roman" w:hAnsi="Times New Roman"/>
          <w:iCs/>
          <w:sz w:val="24"/>
          <w:szCs w:val="24"/>
        </w:rPr>
        <w:t xml:space="preserve">, </w:t>
      </w:r>
      <w:r w:rsidR="005276B6">
        <w:rPr>
          <w:rFonts w:ascii="Times New Roman" w:hAnsi="Times New Roman"/>
          <w:iCs/>
          <w:sz w:val="24"/>
          <w:szCs w:val="24"/>
        </w:rPr>
        <w:t>but these benefits are described in Section I.E of this analysis</w:t>
      </w:r>
      <w:r>
        <w:rPr>
          <w:rFonts w:ascii="Times New Roman" w:hAnsi="Times New Roman"/>
          <w:iCs/>
          <w:sz w:val="24"/>
          <w:szCs w:val="24"/>
        </w:rPr>
        <w:t xml:space="preserve">.  </w:t>
      </w:r>
      <w:r w:rsidRPr="00502F0F" w:rsidR="00456F2F">
        <w:rPr>
          <w:rFonts w:ascii="Times New Roman" w:eastAsia="Times New Roman" w:hAnsi="Times New Roman"/>
          <w:sz w:val="24"/>
          <w:szCs w:val="24"/>
        </w:rPr>
        <w:t>The cost</w:t>
      </w:r>
      <w:r w:rsidR="00175693">
        <w:rPr>
          <w:rFonts w:ascii="Times New Roman" w:eastAsia="Times New Roman" w:hAnsi="Times New Roman"/>
          <w:sz w:val="24"/>
          <w:szCs w:val="24"/>
        </w:rPr>
        <w:t>s</w:t>
      </w:r>
      <w:r w:rsidRPr="00502F0F" w:rsidR="00456F2F">
        <w:rPr>
          <w:rFonts w:ascii="Times New Roman" w:eastAsia="Times New Roman" w:hAnsi="Times New Roman"/>
          <w:sz w:val="24"/>
          <w:szCs w:val="24"/>
        </w:rPr>
        <w:t xml:space="preserve"> and cost </w:t>
      </w:r>
      <w:r w:rsidRPr="00502F0F" w:rsidR="00175693">
        <w:rPr>
          <w:rFonts w:ascii="Times New Roman" w:eastAsia="Times New Roman" w:hAnsi="Times New Roman"/>
          <w:sz w:val="24"/>
          <w:szCs w:val="24"/>
        </w:rPr>
        <w:t xml:space="preserve">savings </w:t>
      </w:r>
      <w:r w:rsidRPr="00502F0F" w:rsidR="00456F2F">
        <w:rPr>
          <w:rFonts w:ascii="Times New Roman" w:eastAsia="Times New Roman" w:hAnsi="Times New Roman"/>
          <w:sz w:val="24"/>
          <w:szCs w:val="24"/>
        </w:rPr>
        <w:t xml:space="preserve">of the rule are summarized in </w:t>
      </w:r>
      <w:r w:rsidR="001E39D0">
        <w:rPr>
          <w:rFonts w:ascii="Times New Roman" w:eastAsia="Times New Roman" w:hAnsi="Times New Roman"/>
          <w:sz w:val="24"/>
          <w:szCs w:val="24"/>
        </w:rPr>
        <w:t>T</w:t>
      </w:r>
      <w:r w:rsidRPr="00502F0F" w:rsidR="001E39D0">
        <w:rPr>
          <w:rFonts w:ascii="Times New Roman" w:eastAsia="Times New Roman" w:hAnsi="Times New Roman"/>
          <w:sz w:val="24"/>
          <w:szCs w:val="24"/>
        </w:rPr>
        <w:t xml:space="preserve">able </w:t>
      </w:r>
      <w:r w:rsidRPr="00502F0F" w:rsidR="00456F2F">
        <w:rPr>
          <w:rFonts w:ascii="Times New Roman" w:eastAsia="Times New Roman" w:hAnsi="Times New Roman"/>
          <w:sz w:val="24"/>
          <w:szCs w:val="24"/>
        </w:rPr>
        <w:t>1.</w:t>
      </w:r>
    </w:p>
    <w:p w:rsidR="00E22735" w14:paraId="4D880F11" w14:textId="77777777">
      <w:pPr>
        <w:spacing w:after="0" w:line="480" w:lineRule="auto"/>
        <w:ind w:firstLine="720"/>
        <w:contextualSpacing/>
        <w:rPr>
          <w:rFonts w:ascii="Times New Roman" w:eastAsia="Times New Roman" w:hAnsi="Times New Roman"/>
          <w:sz w:val="24"/>
          <w:szCs w:val="24"/>
        </w:rPr>
      </w:pPr>
    </w:p>
    <w:p w:rsidR="00012ACB" w:rsidRPr="00F70AA9" w:rsidP="00E22735" w14:paraId="0F8CCDD2" w14:textId="4E94C020">
      <w:pPr>
        <w:spacing w:after="0" w:line="240" w:lineRule="auto"/>
        <w:jc w:val="center"/>
        <w:rPr>
          <w:rFonts w:ascii="Times New Roman" w:eastAsia="Times New Roman" w:hAnsi="Times New Roman"/>
          <w:sz w:val="24"/>
          <w:szCs w:val="24"/>
        </w:rPr>
      </w:pPr>
      <w:r w:rsidRPr="00F70AA9">
        <w:rPr>
          <w:rFonts w:ascii="Times New Roman" w:eastAsia="Times New Roman" w:hAnsi="Times New Roman"/>
          <w:b/>
          <w:bCs/>
          <w:color w:val="000000"/>
          <w:sz w:val="24"/>
          <w:szCs w:val="24"/>
        </w:rPr>
        <w:t>Table 1. Summary of Cost</w:t>
      </w:r>
      <w:r w:rsidR="00EF6610">
        <w:rPr>
          <w:rFonts w:ascii="Times New Roman" w:eastAsia="Times New Roman" w:hAnsi="Times New Roman"/>
          <w:b/>
          <w:bCs/>
          <w:color w:val="000000"/>
          <w:sz w:val="24"/>
          <w:szCs w:val="24"/>
        </w:rPr>
        <w:t>s</w:t>
      </w:r>
      <w:r w:rsidRPr="00F70AA9">
        <w:rPr>
          <w:rFonts w:ascii="Times New Roman" w:eastAsia="Times New Roman" w:hAnsi="Times New Roman"/>
          <w:b/>
          <w:bCs/>
          <w:color w:val="000000"/>
          <w:sz w:val="24"/>
          <w:szCs w:val="24"/>
        </w:rPr>
        <w:t xml:space="preserve">, Costs </w:t>
      </w:r>
      <w:r w:rsidRPr="00F70AA9" w:rsidR="00EF6610">
        <w:rPr>
          <w:rFonts w:ascii="Times New Roman" w:eastAsia="Times New Roman" w:hAnsi="Times New Roman"/>
          <w:b/>
          <w:bCs/>
          <w:color w:val="000000"/>
          <w:sz w:val="24"/>
          <w:szCs w:val="24"/>
        </w:rPr>
        <w:t>Savings</w:t>
      </w:r>
      <w:r w:rsidR="00EF6610">
        <w:rPr>
          <w:rFonts w:ascii="Times New Roman" w:eastAsia="Times New Roman" w:hAnsi="Times New Roman"/>
          <w:b/>
          <w:bCs/>
          <w:color w:val="000000"/>
          <w:sz w:val="24"/>
          <w:szCs w:val="24"/>
        </w:rPr>
        <w:t xml:space="preserve">, </w:t>
      </w:r>
      <w:r w:rsidRPr="00F70AA9">
        <w:rPr>
          <w:rFonts w:ascii="Times New Roman" w:eastAsia="Times New Roman" w:hAnsi="Times New Roman"/>
          <w:b/>
          <w:bCs/>
          <w:color w:val="000000"/>
          <w:sz w:val="24"/>
          <w:szCs w:val="24"/>
        </w:rPr>
        <w:t>and Distributional Effects of the Proposed Rule</w:t>
      </w:r>
      <w:r>
        <w:rPr>
          <w:rFonts w:ascii="Times New Roman" w:eastAsia="Times New Roman" w:hAnsi="Times New Roman"/>
          <w:b/>
          <w:bCs/>
          <w:color w:val="000000"/>
          <w:sz w:val="24"/>
          <w:szCs w:val="24"/>
        </w:rPr>
        <w:t xml:space="preserve"> (millions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978"/>
        <w:gridCol w:w="1017"/>
        <w:gridCol w:w="916"/>
        <w:gridCol w:w="1124"/>
        <w:gridCol w:w="827"/>
        <w:gridCol w:w="939"/>
        <w:gridCol w:w="894"/>
        <w:gridCol w:w="683"/>
      </w:tblGrid>
      <w:tr w14:paraId="04B0699E" w14:textId="77777777" w:rsidTr="00604A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1578" w:type="pct"/>
            <w:gridSpan w:val="2"/>
            <w:vMerge w:val="restart"/>
            <w:shd w:val="clear" w:color="auto" w:fill="auto"/>
            <w:vAlign w:val="center"/>
            <w:hideMark/>
          </w:tcPr>
          <w:p w:rsidR="00012ACB" w:rsidRPr="0053619D" w:rsidP="00D37C6D" w14:paraId="27C0A42B"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Category</w:t>
            </w:r>
          </w:p>
        </w:tc>
        <w:tc>
          <w:tcPr>
            <w:tcW w:w="544" w:type="pct"/>
            <w:vMerge w:val="restart"/>
            <w:shd w:val="clear" w:color="auto" w:fill="auto"/>
            <w:vAlign w:val="center"/>
            <w:hideMark/>
          </w:tcPr>
          <w:p w:rsidR="00012ACB" w:rsidRPr="0053619D" w:rsidP="00D37C6D" w14:paraId="2466C5E9"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Primary Estimate</w:t>
            </w:r>
          </w:p>
        </w:tc>
        <w:tc>
          <w:tcPr>
            <w:tcW w:w="490" w:type="pct"/>
            <w:vMerge w:val="restart"/>
            <w:shd w:val="clear" w:color="auto" w:fill="auto"/>
            <w:vAlign w:val="center"/>
            <w:hideMark/>
          </w:tcPr>
          <w:p w:rsidR="00012ACB" w:rsidRPr="0053619D" w:rsidP="00D37C6D" w14:paraId="15C34FA4"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Low Estimate</w:t>
            </w:r>
          </w:p>
        </w:tc>
        <w:tc>
          <w:tcPr>
            <w:tcW w:w="601" w:type="pct"/>
            <w:vMerge w:val="restart"/>
            <w:shd w:val="clear" w:color="auto" w:fill="auto"/>
            <w:vAlign w:val="center"/>
            <w:hideMark/>
          </w:tcPr>
          <w:p w:rsidR="00012ACB" w:rsidRPr="0053619D" w:rsidP="00D37C6D" w14:paraId="00D311CF"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High Estimate</w:t>
            </w:r>
          </w:p>
        </w:tc>
        <w:tc>
          <w:tcPr>
            <w:tcW w:w="1422" w:type="pct"/>
            <w:gridSpan w:val="3"/>
            <w:shd w:val="clear" w:color="auto" w:fill="auto"/>
            <w:vAlign w:val="center"/>
            <w:hideMark/>
          </w:tcPr>
          <w:p w:rsidR="00012ACB" w:rsidRPr="0053619D" w:rsidP="00D37C6D" w14:paraId="3C5EF3C3"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Units</w:t>
            </w:r>
          </w:p>
        </w:tc>
        <w:tc>
          <w:tcPr>
            <w:tcW w:w="365" w:type="pct"/>
            <w:vMerge w:val="restart"/>
            <w:shd w:val="clear" w:color="auto" w:fill="auto"/>
          </w:tcPr>
          <w:p w:rsidR="00012ACB" w:rsidRPr="0053619D" w:rsidP="00D37C6D" w14:paraId="21BA5736"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Notes</w:t>
            </w:r>
          </w:p>
        </w:tc>
      </w:tr>
      <w:tr w14:paraId="1740F8BE" w14:textId="77777777" w:rsidTr="00604AC6">
        <w:tblPrEx>
          <w:tblW w:w="5000" w:type="pct"/>
          <w:tblLook w:val="04A0"/>
        </w:tblPrEx>
        <w:trPr>
          <w:trHeight w:val="525"/>
        </w:trPr>
        <w:tc>
          <w:tcPr>
            <w:tcW w:w="1578" w:type="pct"/>
            <w:gridSpan w:val="2"/>
            <w:vMerge/>
            <w:vAlign w:val="center"/>
            <w:hideMark/>
          </w:tcPr>
          <w:p w:rsidR="00012ACB" w:rsidRPr="0053619D" w:rsidP="00D37C6D" w14:paraId="7ED0924F" w14:textId="77777777">
            <w:pPr>
              <w:spacing w:after="0" w:line="240" w:lineRule="auto"/>
              <w:rPr>
                <w:rFonts w:ascii="Times New Roman" w:eastAsia="Times New Roman" w:hAnsi="Times New Roman"/>
                <w:color w:val="000000"/>
                <w:sz w:val="20"/>
                <w:szCs w:val="20"/>
                <w:lang w:eastAsia="ja-JP"/>
              </w:rPr>
            </w:pPr>
          </w:p>
        </w:tc>
        <w:tc>
          <w:tcPr>
            <w:tcW w:w="544" w:type="pct"/>
            <w:vMerge/>
            <w:vAlign w:val="center"/>
            <w:hideMark/>
          </w:tcPr>
          <w:p w:rsidR="00012ACB" w:rsidRPr="0053619D" w:rsidP="00D37C6D" w14:paraId="2289DE95" w14:textId="77777777">
            <w:pPr>
              <w:spacing w:after="0" w:line="240" w:lineRule="auto"/>
              <w:rPr>
                <w:rFonts w:ascii="Times New Roman" w:eastAsia="Times New Roman" w:hAnsi="Times New Roman"/>
                <w:color w:val="000000"/>
                <w:sz w:val="20"/>
                <w:szCs w:val="20"/>
                <w:lang w:eastAsia="ja-JP"/>
              </w:rPr>
            </w:pPr>
          </w:p>
        </w:tc>
        <w:tc>
          <w:tcPr>
            <w:tcW w:w="490" w:type="pct"/>
            <w:vMerge/>
            <w:vAlign w:val="center"/>
            <w:hideMark/>
          </w:tcPr>
          <w:p w:rsidR="00012ACB" w:rsidRPr="0053619D" w:rsidP="00D37C6D" w14:paraId="1E2CB39A" w14:textId="77777777">
            <w:pPr>
              <w:spacing w:after="0" w:line="240" w:lineRule="auto"/>
              <w:rPr>
                <w:rFonts w:ascii="Times New Roman" w:eastAsia="Times New Roman" w:hAnsi="Times New Roman"/>
                <w:color w:val="000000"/>
                <w:sz w:val="20"/>
                <w:szCs w:val="20"/>
                <w:lang w:eastAsia="ja-JP"/>
              </w:rPr>
            </w:pPr>
          </w:p>
        </w:tc>
        <w:tc>
          <w:tcPr>
            <w:tcW w:w="601" w:type="pct"/>
            <w:vMerge/>
            <w:vAlign w:val="center"/>
            <w:hideMark/>
          </w:tcPr>
          <w:p w:rsidR="00012ACB" w:rsidRPr="0053619D" w:rsidP="00D37C6D" w14:paraId="33F2DAA3" w14:textId="77777777">
            <w:pPr>
              <w:spacing w:after="0" w:line="240" w:lineRule="auto"/>
              <w:rPr>
                <w:rFonts w:ascii="Times New Roman" w:eastAsia="Times New Roman" w:hAnsi="Times New Roman"/>
                <w:color w:val="000000"/>
                <w:sz w:val="20"/>
                <w:szCs w:val="20"/>
                <w:lang w:eastAsia="ja-JP"/>
              </w:rPr>
            </w:pPr>
          </w:p>
        </w:tc>
        <w:tc>
          <w:tcPr>
            <w:tcW w:w="442" w:type="pct"/>
            <w:shd w:val="clear" w:color="auto" w:fill="auto"/>
            <w:vAlign w:val="center"/>
            <w:hideMark/>
          </w:tcPr>
          <w:p w:rsidR="00012ACB" w:rsidRPr="0053619D" w:rsidP="00D37C6D" w14:paraId="06BA61D4"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Year Dollars</w:t>
            </w:r>
          </w:p>
        </w:tc>
        <w:tc>
          <w:tcPr>
            <w:tcW w:w="502" w:type="pct"/>
            <w:shd w:val="clear" w:color="auto" w:fill="auto"/>
            <w:vAlign w:val="center"/>
            <w:hideMark/>
          </w:tcPr>
          <w:p w:rsidR="00012ACB" w:rsidRPr="0053619D" w:rsidP="00D37C6D" w14:paraId="3747C7DA"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Discount Rate</w:t>
            </w:r>
          </w:p>
        </w:tc>
        <w:tc>
          <w:tcPr>
            <w:tcW w:w="478" w:type="pct"/>
            <w:shd w:val="clear" w:color="auto" w:fill="auto"/>
            <w:vAlign w:val="center"/>
            <w:hideMark/>
          </w:tcPr>
          <w:p w:rsidR="00012ACB" w:rsidRPr="0053619D" w:rsidP="00D37C6D" w14:paraId="57CAB4C2"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Period Covered</w:t>
            </w:r>
          </w:p>
        </w:tc>
        <w:tc>
          <w:tcPr>
            <w:tcW w:w="365" w:type="pct"/>
            <w:vMerge/>
          </w:tcPr>
          <w:p w:rsidR="00012ACB" w:rsidRPr="0053619D" w:rsidP="00D37C6D" w14:paraId="16856A05" w14:textId="77777777">
            <w:pPr>
              <w:spacing w:after="0" w:line="240" w:lineRule="auto"/>
              <w:jc w:val="center"/>
              <w:rPr>
                <w:rFonts w:ascii="Times New Roman" w:eastAsia="Times New Roman" w:hAnsi="Times New Roman"/>
                <w:color w:val="000000"/>
                <w:sz w:val="20"/>
                <w:szCs w:val="20"/>
                <w:lang w:eastAsia="ja-JP"/>
              </w:rPr>
            </w:pPr>
          </w:p>
        </w:tc>
      </w:tr>
      <w:tr w14:paraId="2CFAAEAD" w14:textId="77777777" w:rsidTr="00604AC6">
        <w:tblPrEx>
          <w:tblW w:w="5000" w:type="pct"/>
          <w:tblLook w:val="04A0"/>
        </w:tblPrEx>
        <w:trPr>
          <w:trHeight w:val="358"/>
        </w:trPr>
        <w:tc>
          <w:tcPr>
            <w:tcW w:w="520" w:type="pct"/>
            <w:vMerge w:val="restart"/>
            <w:shd w:val="clear" w:color="auto" w:fill="auto"/>
            <w:vAlign w:val="center"/>
            <w:hideMark/>
          </w:tcPr>
          <w:p w:rsidR="00012ACB" w:rsidRPr="0053619D" w:rsidP="00D37C6D" w14:paraId="329349F8" w14:textId="2404E918">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Cost</w:t>
            </w:r>
            <w:r w:rsidR="00EF6610">
              <w:rPr>
                <w:rFonts w:ascii="Times New Roman" w:eastAsia="Times New Roman" w:hAnsi="Times New Roman"/>
                <w:color w:val="000000"/>
                <w:sz w:val="20"/>
                <w:szCs w:val="20"/>
                <w:lang w:eastAsia="ja-JP"/>
              </w:rPr>
              <w:t>s</w:t>
            </w:r>
          </w:p>
          <w:p w:rsidR="00012ACB" w:rsidRPr="0053619D" w:rsidP="00D37C6D" w14:paraId="57898ABB" w14:textId="3B9B5F3F">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012ACB" w:rsidRPr="0053619D" w:rsidP="00D37C6D" w14:paraId="529C0764" w14:textId="2FDF3134">
            <w:pPr>
              <w:spacing w:after="0" w:line="240" w:lineRule="auto"/>
              <w:rPr>
                <w:rFonts w:ascii="Times New Roman" w:eastAsia="Times New Roman" w:hAnsi="Times New Roman"/>
                <w:color w:val="000000"/>
                <w:sz w:val="20"/>
                <w:szCs w:val="20"/>
                <w:lang w:eastAsia="ja-JP"/>
              </w:rPr>
            </w:pPr>
            <w:r w:rsidRPr="090D9F39">
              <w:rPr>
                <w:rFonts w:ascii="Times New Roman" w:eastAsia="Times New Roman" w:hAnsi="Times New Roman"/>
                <w:color w:val="000000" w:themeColor="text1"/>
                <w:sz w:val="20"/>
                <w:szCs w:val="20"/>
                <w:lang w:eastAsia="ja-JP"/>
              </w:rPr>
              <w:t>Annualized</w:t>
            </w:r>
            <w:r w:rsidRPr="090D9F39" w:rsidR="0052382B">
              <w:rPr>
                <w:rFonts w:ascii="Times New Roman" w:eastAsia="Times New Roman" w:hAnsi="Times New Roman"/>
                <w:color w:val="000000" w:themeColor="text1"/>
                <w:sz w:val="20"/>
                <w:szCs w:val="20"/>
                <w:lang w:eastAsia="ja-JP"/>
              </w:rPr>
              <w:t xml:space="preserve"> Monetized millions/year</w:t>
            </w:r>
          </w:p>
        </w:tc>
        <w:tc>
          <w:tcPr>
            <w:tcW w:w="544" w:type="pct"/>
            <w:shd w:val="clear" w:color="auto" w:fill="auto"/>
            <w:vAlign w:val="bottom"/>
            <w:hideMark/>
          </w:tcPr>
          <w:p w:rsidR="00012ACB" w:rsidRPr="0053619D" w:rsidP="00D37C6D" w14:paraId="46D470E7" w14:textId="77777777">
            <w:pPr>
              <w:spacing w:after="0" w:line="240" w:lineRule="auto"/>
              <w:jc w:val="center"/>
              <w:rPr>
                <w:rFonts w:ascii="Times New Roman" w:eastAsia="Times New Roman" w:hAnsi="Times New Roman"/>
                <w:color w:val="000000"/>
                <w:sz w:val="20"/>
                <w:szCs w:val="20"/>
                <w:lang w:eastAsia="ja-JP"/>
              </w:rPr>
            </w:pPr>
          </w:p>
        </w:tc>
        <w:tc>
          <w:tcPr>
            <w:tcW w:w="490" w:type="pct"/>
            <w:shd w:val="clear" w:color="auto" w:fill="auto"/>
            <w:vAlign w:val="bottom"/>
            <w:hideMark/>
          </w:tcPr>
          <w:p w:rsidR="00012ACB" w:rsidRPr="0053619D" w:rsidP="00D37C6D" w14:paraId="5EFC2522" w14:textId="77777777">
            <w:pPr>
              <w:spacing w:after="0" w:line="240" w:lineRule="auto"/>
              <w:jc w:val="center"/>
              <w:rPr>
                <w:rFonts w:ascii="Times New Roman" w:eastAsia="Times New Roman" w:hAnsi="Times New Roman"/>
                <w:color w:val="000000"/>
                <w:sz w:val="20"/>
                <w:szCs w:val="20"/>
                <w:lang w:eastAsia="ja-JP"/>
              </w:rPr>
            </w:pPr>
          </w:p>
        </w:tc>
        <w:tc>
          <w:tcPr>
            <w:tcW w:w="601" w:type="pct"/>
            <w:shd w:val="clear" w:color="auto" w:fill="auto"/>
            <w:vAlign w:val="bottom"/>
            <w:hideMark/>
          </w:tcPr>
          <w:p w:rsidR="00012ACB" w:rsidRPr="0053619D" w:rsidP="00D37C6D" w14:paraId="0A2973AE" w14:textId="77777777">
            <w:pPr>
              <w:spacing w:after="0" w:line="240" w:lineRule="auto"/>
              <w:jc w:val="center"/>
              <w:rPr>
                <w:rFonts w:ascii="Times New Roman" w:eastAsia="Times New Roman" w:hAnsi="Times New Roman"/>
                <w:color w:val="000000"/>
                <w:sz w:val="20"/>
                <w:szCs w:val="20"/>
                <w:lang w:eastAsia="ja-JP"/>
              </w:rPr>
            </w:pPr>
          </w:p>
        </w:tc>
        <w:tc>
          <w:tcPr>
            <w:tcW w:w="442" w:type="pct"/>
            <w:shd w:val="clear" w:color="auto" w:fill="auto"/>
            <w:vAlign w:val="center"/>
            <w:hideMark/>
          </w:tcPr>
          <w:p w:rsidR="00012ACB" w:rsidRPr="0053619D" w:rsidP="00D37C6D" w14:paraId="73478405" w14:textId="77777777">
            <w:pPr>
              <w:spacing w:after="0" w:line="240" w:lineRule="auto"/>
              <w:jc w:val="center"/>
              <w:rPr>
                <w:rFonts w:ascii="Times New Roman" w:eastAsia="Times New Roman" w:hAnsi="Times New Roman"/>
                <w:color w:val="000000"/>
                <w:sz w:val="20"/>
                <w:szCs w:val="20"/>
                <w:lang w:eastAsia="ja-JP"/>
              </w:rPr>
            </w:pPr>
          </w:p>
        </w:tc>
        <w:tc>
          <w:tcPr>
            <w:tcW w:w="502" w:type="pct"/>
            <w:shd w:val="clear" w:color="auto" w:fill="auto"/>
            <w:vAlign w:val="center"/>
          </w:tcPr>
          <w:p w:rsidR="00012ACB" w:rsidRPr="0053619D" w:rsidP="00D37C6D" w14:paraId="19A09B4C" w14:textId="77777777">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tcPr>
          <w:p w:rsidR="00012ACB" w:rsidRPr="0053619D" w:rsidP="00D37C6D" w14:paraId="4172603E" w14:textId="77777777">
            <w:pPr>
              <w:spacing w:after="0" w:line="240" w:lineRule="auto"/>
              <w:jc w:val="center"/>
              <w:rPr>
                <w:rFonts w:ascii="Times New Roman" w:eastAsia="Times New Roman" w:hAnsi="Times New Roman"/>
                <w:color w:val="000000"/>
                <w:sz w:val="20"/>
                <w:szCs w:val="20"/>
                <w:lang w:eastAsia="ja-JP"/>
              </w:rPr>
            </w:pPr>
          </w:p>
        </w:tc>
        <w:tc>
          <w:tcPr>
            <w:tcW w:w="365" w:type="pct"/>
            <w:shd w:val="clear" w:color="auto" w:fill="auto"/>
          </w:tcPr>
          <w:p w:rsidR="00012ACB" w:rsidRPr="0053619D" w:rsidP="00D37C6D" w14:paraId="5BE2F5C0" w14:textId="77777777">
            <w:pPr>
              <w:spacing w:after="0" w:line="240" w:lineRule="auto"/>
              <w:rPr>
                <w:rFonts w:ascii="Times New Roman" w:eastAsia="Times New Roman" w:hAnsi="Times New Roman"/>
                <w:color w:val="000000"/>
                <w:sz w:val="20"/>
                <w:szCs w:val="20"/>
                <w:lang w:eastAsia="ja-JP"/>
              </w:rPr>
            </w:pPr>
          </w:p>
        </w:tc>
      </w:tr>
      <w:tr w14:paraId="510E5FE3" w14:textId="77777777" w:rsidTr="00604AC6">
        <w:tblPrEx>
          <w:tblW w:w="5000" w:type="pct"/>
          <w:tblLook w:val="04A0"/>
        </w:tblPrEx>
        <w:trPr>
          <w:trHeight w:val="187"/>
        </w:trPr>
        <w:tc>
          <w:tcPr>
            <w:tcW w:w="520" w:type="pct"/>
            <w:vMerge/>
            <w:vAlign w:val="center"/>
            <w:hideMark/>
          </w:tcPr>
          <w:p w:rsidR="00EF6610" w:rsidRPr="0053619D" w:rsidP="00EF6610" w14:paraId="6390EFB6" w14:textId="77777777">
            <w:pPr>
              <w:spacing w:after="0" w:line="240" w:lineRule="auto"/>
              <w:rPr>
                <w:rFonts w:ascii="Times New Roman" w:eastAsia="Times New Roman" w:hAnsi="Times New Roman"/>
                <w:color w:val="000000"/>
                <w:sz w:val="20"/>
                <w:szCs w:val="20"/>
                <w:lang w:eastAsia="ja-JP"/>
              </w:rPr>
            </w:pPr>
          </w:p>
        </w:tc>
        <w:tc>
          <w:tcPr>
            <w:tcW w:w="1058" w:type="pct"/>
            <w:vMerge w:val="restart"/>
            <w:shd w:val="clear" w:color="auto" w:fill="auto"/>
            <w:vAlign w:val="center"/>
            <w:hideMark/>
          </w:tcPr>
          <w:p w:rsidR="00EF6610" w:rsidRPr="0053619D" w:rsidP="00EF6610" w14:paraId="4A48FD85" w14:textId="218E0DBD">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Annualized Quantified</w:t>
            </w:r>
          </w:p>
        </w:tc>
        <w:tc>
          <w:tcPr>
            <w:tcW w:w="544" w:type="pct"/>
            <w:shd w:val="clear" w:color="auto" w:fill="auto"/>
            <w:vAlign w:val="center"/>
          </w:tcPr>
          <w:p w:rsidR="00EF6610" w:rsidRPr="008537DD" w:rsidP="00EF6610" w14:paraId="6D32C070" w14:textId="45B09C81">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1.3</w:t>
            </w:r>
          </w:p>
        </w:tc>
        <w:tc>
          <w:tcPr>
            <w:tcW w:w="490" w:type="pct"/>
            <w:shd w:val="clear" w:color="auto" w:fill="auto"/>
            <w:vAlign w:val="center"/>
          </w:tcPr>
          <w:p w:rsidR="00EF6610" w:rsidRPr="008537DD" w:rsidP="00EF6610" w14:paraId="4F0D82D2" w14:textId="3E0C9FD6">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1.1</w:t>
            </w:r>
          </w:p>
        </w:tc>
        <w:tc>
          <w:tcPr>
            <w:tcW w:w="601" w:type="pct"/>
            <w:shd w:val="clear" w:color="auto" w:fill="auto"/>
            <w:vAlign w:val="center"/>
          </w:tcPr>
          <w:p w:rsidR="00EF6610" w:rsidRPr="008537DD" w:rsidP="00EF6610" w14:paraId="54608F20" w14:textId="055CA37F">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1.8</w:t>
            </w:r>
          </w:p>
        </w:tc>
        <w:tc>
          <w:tcPr>
            <w:tcW w:w="442" w:type="pct"/>
            <w:shd w:val="clear" w:color="auto" w:fill="auto"/>
            <w:vAlign w:val="center"/>
          </w:tcPr>
          <w:p w:rsidR="00EF6610" w:rsidRPr="00E3547D" w:rsidP="00EF6610" w14:paraId="175F9A7D" w14:textId="24E5946D">
            <w:pPr>
              <w:spacing w:after="0" w:line="240" w:lineRule="auto"/>
              <w:jc w:val="center"/>
              <w:rPr>
                <w:rFonts w:ascii="Times New Roman" w:eastAsia="Times New Roman" w:hAnsi="Times New Roman"/>
                <w:color w:val="000000"/>
                <w:sz w:val="20"/>
                <w:szCs w:val="20"/>
                <w:lang w:eastAsia="ja-JP"/>
              </w:rPr>
            </w:pPr>
            <w:r w:rsidRPr="00E3547D">
              <w:rPr>
                <w:rFonts w:ascii="Times New Roman" w:eastAsia="Times New Roman" w:hAnsi="Times New Roman"/>
                <w:color w:val="000000"/>
                <w:sz w:val="20"/>
                <w:szCs w:val="20"/>
                <w:lang w:eastAsia="ja-JP"/>
              </w:rPr>
              <w:t>2020</w:t>
            </w:r>
          </w:p>
        </w:tc>
        <w:tc>
          <w:tcPr>
            <w:tcW w:w="502" w:type="pct"/>
            <w:shd w:val="clear" w:color="auto" w:fill="auto"/>
            <w:vAlign w:val="center"/>
          </w:tcPr>
          <w:p w:rsidR="00EF6610" w:rsidRPr="0053619D" w:rsidP="00EF6610" w14:paraId="49B67B69" w14:textId="5CDEAFDA">
            <w:pPr>
              <w:spacing w:after="0" w:line="240" w:lineRule="auto"/>
              <w:jc w:val="center"/>
              <w:rPr>
                <w:rFonts w:ascii="Times New Roman" w:eastAsia="Times New Roman" w:hAnsi="Times New Roman"/>
                <w:color w:val="000000"/>
                <w:sz w:val="20"/>
                <w:szCs w:val="20"/>
                <w:lang w:eastAsia="ja-JP"/>
              </w:rPr>
            </w:pPr>
            <w:r>
              <w:rPr>
                <w:rFonts w:ascii="Times New Roman" w:eastAsia="Times New Roman" w:hAnsi="Times New Roman"/>
                <w:color w:val="000000"/>
                <w:sz w:val="20"/>
                <w:szCs w:val="20"/>
                <w:lang w:eastAsia="ja-JP"/>
              </w:rPr>
              <w:t>7%</w:t>
            </w:r>
          </w:p>
        </w:tc>
        <w:tc>
          <w:tcPr>
            <w:tcW w:w="478" w:type="pct"/>
            <w:shd w:val="clear" w:color="auto" w:fill="auto"/>
            <w:vAlign w:val="center"/>
          </w:tcPr>
          <w:p w:rsidR="00EF6610" w:rsidRPr="0053619D" w:rsidP="00EF6610" w14:paraId="78A9485A" w14:textId="660D19C1">
            <w:pPr>
              <w:spacing w:after="0" w:line="240" w:lineRule="auto"/>
              <w:jc w:val="center"/>
              <w:rPr>
                <w:rFonts w:ascii="Times New Roman" w:eastAsia="Times New Roman" w:hAnsi="Times New Roman"/>
                <w:color w:val="000000"/>
                <w:sz w:val="20"/>
                <w:szCs w:val="20"/>
                <w:lang w:eastAsia="ja-JP"/>
              </w:rPr>
            </w:pPr>
            <w:r>
              <w:rPr>
                <w:rFonts w:ascii="Times New Roman" w:eastAsia="Times New Roman" w:hAnsi="Times New Roman"/>
                <w:color w:val="000000"/>
                <w:sz w:val="20"/>
                <w:szCs w:val="20"/>
                <w:lang w:eastAsia="ja-JP"/>
              </w:rPr>
              <w:t>10 years</w:t>
            </w:r>
          </w:p>
        </w:tc>
        <w:tc>
          <w:tcPr>
            <w:tcW w:w="365" w:type="pct"/>
            <w:shd w:val="clear" w:color="auto" w:fill="auto"/>
          </w:tcPr>
          <w:p w:rsidR="00EF6610" w:rsidRPr="0053619D" w:rsidP="00EF6610" w14:paraId="1149A367" w14:textId="77777777">
            <w:pPr>
              <w:spacing w:after="0" w:line="240" w:lineRule="auto"/>
              <w:jc w:val="center"/>
              <w:rPr>
                <w:rFonts w:ascii="Times New Roman" w:eastAsia="Times New Roman" w:hAnsi="Times New Roman"/>
                <w:color w:val="000000"/>
                <w:sz w:val="20"/>
                <w:szCs w:val="20"/>
                <w:lang w:eastAsia="ja-JP"/>
              </w:rPr>
            </w:pPr>
          </w:p>
        </w:tc>
      </w:tr>
      <w:tr w14:paraId="56449C29" w14:textId="77777777" w:rsidTr="00604AC6">
        <w:tblPrEx>
          <w:tblW w:w="5000" w:type="pct"/>
          <w:tblLook w:val="04A0"/>
        </w:tblPrEx>
        <w:trPr>
          <w:trHeight w:val="160"/>
        </w:trPr>
        <w:tc>
          <w:tcPr>
            <w:tcW w:w="520" w:type="pct"/>
            <w:vMerge/>
            <w:vAlign w:val="center"/>
            <w:hideMark/>
          </w:tcPr>
          <w:p w:rsidR="00EF6610" w:rsidRPr="0053619D" w:rsidP="00EF6610" w14:paraId="2F816D85" w14:textId="77777777">
            <w:pPr>
              <w:spacing w:after="0" w:line="240" w:lineRule="auto"/>
              <w:rPr>
                <w:rFonts w:ascii="Times New Roman" w:eastAsia="Times New Roman" w:hAnsi="Times New Roman"/>
                <w:color w:val="000000"/>
                <w:sz w:val="20"/>
                <w:szCs w:val="20"/>
                <w:lang w:eastAsia="ja-JP"/>
              </w:rPr>
            </w:pPr>
          </w:p>
        </w:tc>
        <w:tc>
          <w:tcPr>
            <w:tcW w:w="1058" w:type="pct"/>
            <w:vMerge/>
            <w:vAlign w:val="center"/>
            <w:hideMark/>
          </w:tcPr>
          <w:p w:rsidR="00EF6610" w:rsidRPr="0053619D" w:rsidP="00EF6610" w14:paraId="135349EE" w14:textId="77777777">
            <w:pPr>
              <w:spacing w:after="0" w:line="240" w:lineRule="auto"/>
              <w:rPr>
                <w:rFonts w:ascii="Times New Roman" w:eastAsia="Times New Roman" w:hAnsi="Times New Roman"/>
                <w:color w:val="000000"/>
                <w:sz w:val="20"/>
                <w:szCs w:val="20"/>
                <w:lang w:eastAsia="ja-JP"/>
              </w:rPr>
            </w:pPr>
          </w:p>
        </w:tc>
        <w:tc>
          <w:tcPr>
            <w:tcW w:w="544" w:type="pct"/>
            <w:shd w:val="clear" w:color="auto" w:fill="auto"/>
            <w:vAlign w:val="center"/>
          </w:tcPr>
          <w:p w:rsidR="00EF6610" w:rsidRPr="008537DD" w:rsidP="00EF6610" w14:paraId="7D47F54A" w14:textId="4DF8EEF1">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1.2</w:t>
            </w:r>
          </w:p>
        </w:tc>
        <w:tc>
          <w:tcPr>
            <w:tcW w:w="490" w:type="pct"/>
            <w:shd w:val="clear" w:color="auto" w:fill="auto"/>
            <w:vAlign w:val="center"/>
          </w:tcPr>
          <w:p w:rsidR="00EF6610" w:rsidRPr="008537DD" w:rsidP="00EF6610" w14:paraId="4C9A232D" w14:textId="5211AE80">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0.9</w:t>
            </w:r>
          </w:p>
        </w:tc>
        <w:tc>
          <w:tcPr>
            <w:tcW w:w="601" w:type="pct"/>
            <w:shd w:val="clear" w:color="auto" w:fill="auto"/>
            <w:vAlign w:val="center"/>
          </w:tcPr>
          <w:p w:rsidR="00EF6610" w:rsidRPr="008537DD" w:rsidP="00EF6610" w14:paraId="50444299" w14:textId="0B6046BC">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w:t>
            </w:r>
            <w:r w:rsidRPr="008537DD" w:rsidR="00D37200">
              <w:rPr>
                <w:rFonts w:ascii="Times New Roman" w:eastAsia="Times New Roman" w:hAnsi="Times New Roman"/>
                <w:color w:val="000000"/>
                <w:sz w:val="20"/>
                <w:szCs w:val="20"/>
                <w:lang w:eastAsia="ja-JP"/>
              </w:rPr>
              <w:t>1.6</w:t>
            </w:r>
          </w:p>
        </w:tc>
        <w:tc>
          <w:tcPr>
            <w:tcW w:w="442" w:type="pct"/>
            <w:shd w:val="clear" w:color="auto" w:fill="auto"/>
            <w:vAlign w:val="center"/>
          </w:tcPr>
          <w:p w:rsidR="00EF6610" w:rsidRPr="00E3547D" w:rsidP="00EF6610" w14:paraId="65BBCBD6" w14:textId="167BF071">
            <w:pPr>
              <w:spacing w:after="0" w:line="240" w:lineRule="auto"/>
              <w:jc w:val="center"/>
              <w:rPr>
                <w:rFonts w:ascii="Times New Roman" w:eastAsia="Times New Roman" w:hAnsi="Times New Roman"/>
                <w:color w:val="000000"/>
                <w:sz w:val="20"/>
                <w:szCs w:val="20"/>
                <w:lang w:eastAsia="ja-JP"/>
              </w:rPr>
            </w:pPr>
            <w:r w:rsidRPr="00E3547D">
              <w:rPr>
                <w:rFonts w:ascii="Times New Roman" w:eastAsia="Times New Roman" w:hAnsi="Times New Roman"/>
                <w:color w:val="000000"/>
                <w:sz w:val="20"/>
                <w:szCs w:val="20"/>
                <w:lang w:eastAsia="ja-JP"/>
              </w:rPr>
              <w:t>2020</w:t>
            </w:r>
          </w:p>
        </w:tc>
        <w:tc>
          <w:tcPr>
            <w:tcW w:w="502" w:type="pct"/>
            <w:shd w:val="clear" w:color="auto" w:fill="auto"/>
            <w:vAlign w:val="center"/>
          </w:tcPr>
          <w:p w:rsidR="00EF6610" w:rsidRPr="0053619D" w:rsidP="00EF6610" w14:paraId="7087ABED" w14:textId="7756765F">
            <w:pPr>
              <w:spacing w:after="0" w:line="240" w:lineRule="auto"/>
              <w:jc w:val="center"/>
              <w:rPr>
                <w:rFonts w:ascii="Times New Roman" w:eastAsia="Times New Roman" w:hAnsi="Times New Roman"/>
                <w:color w:val="000000"/>
                <w:sz w:val="20"/>
                <w:szCs w:val="20"/>
                <w:lang w:eastAsia="ja-JP"/>
              </w:rPr>
            </w:pPr>
            <w:r>
              <w:rPr>
                <w:rFonts w:ascii="Times New Roman" w:eastAsia="Times New Roman" w:hAnsi="Times New Roman"/>
                <w:color w:val="000000"/>
                <w:sz w:val="20"/>
                <w:szCs w:val="20"/>
                <w:lang w:eastAsia="ja-JP"/>
              </w:rPr>
              <w:t>3%</w:t>
            </w:r>
          </w:p>
        </w:tc>
        <w:tc>
          <w:tcPr>
            <w:tcW w:w="478" w:type="pct"/>
            <w:shd w:val="clear" w:color="auto" w:fill="auto"/>
            <w:vAlign w:val="center"/>
          </w:tcPr>
          <w:p w:rsidR="00EF6610" w:rsidRPr="0053619D" w:rsidP="00EF6610" w14:paraId="1FDBA57A" w14:textId="1FA1FFF8">
            <w:pPr>
              <w:spacing w:after="0" w:line="240" w:lineRule="auto"/>
              <w:jc w:val="center"/>
              <w:rPr>
                <w:rFonts w:ascii="Times New Roman" w:eastAsia="Times New Roman" w:hAnsi="Times New Roman"/>
                <w:color w:val="000000"/>
                <w:sz w:val="20"/>
                <w:szCs w:val="20"/>
                <w:lang w:eastAsia="ja-JP"/>
              </w:rPr>
            </w:pPr>
            <w:r>
              <w:rPr>
                <w:rFonts w:ascii="Times New Roman" w:eastAsia="Times New Roman" w:hAnsi="Times New Roman"/>
                <w:color w:val="000000"/>
                <w:sz w:val="20"/>
                <w:szCs w:val="20"/>
                <w:lang w:eastAsia="ja-JP"/>
              </w:rPr>
              <w:t>10 years</w:t>
            </w:r>
          </w:p>
        </w:tc>
        <w:tc>
          <w:tcPr>
            <w:tcW w:w="365" w:type="pct"/>
            <w:shd w:val="clear" w:color="auto" w:fill="auto"/>
          </w:tcPr>
          <w:p w:rsidR="00EF6610" w:rsidRPr="0053619D" w:rsidP="00EF6610" w14:paraId="4867EEE5" w14:textId="77777777">
            <w:pPr>
              <w:spacing w:after="0" w:line="240" w:lineRule="auto"/>
              <w:jc w:val="center"/>
              <w:rPr>
                <w:rFonts w:ascii="Times New Roman" w:eastAsia="Times New Roman" w:hAnsi="Times New Roman"/>
                <w:color w:val="000000"/>
                <w:sz w:val="20"/>
                <w:szCs w:val="20"/>
                <w:lang w:eastAsia="ja-JP"/>
              </w:rPr>
            </w:pPr>
          </w:p>
        </w:tc>
      </w:tr>
      <w:tr w14:paraId="5847F30F" w14:textId="77777777" w:rsidTr="00604AC6">
        <w:tblPrEx>
          <w:tblW w:w="5000" w:type="pct"/>
          <w:tblLook w:val="04A0"/>
        </w:tblPrEx>
        <w:trPr>
          <w:trHeight w:val="287"/>
        </w:trPr>
        <w:tc>
          <w:tcPr>
            <w:tcW w:w="520" w:type="pct"/>
            <w:vMerge/>
            <w:vAlign w:val="center"/>
            <w:hideMark/>
          </w:tcPr>
          <w:p w:rsidR="00012ACB" w:rsidRPr="0053619D" w:rsidP="00D37C6D" w14:paraId="2127A9FD"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012ACB" w:rsidRPr="0053619D" w:rsidP="00D37C6D" w14:paraId="09B10144"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Qualitative</w:t>
            </w:r>
          </w:p>
        </w:tc>
        <w:tc>
          <w:tcPr>
            <w:tcW w:w="2077" w:type="pct"/>
            <w:gridSpan w:val="4"/>
            <w:shd w:val="clear" w:color="auto" w:fill="auto"/>
            <w:vAlign w:val="center"/>
            <w:hideMark/>
          </w:tcPr>
          <w:p w:rsidR="00012ACB" w:rsidRPr="00E3547D" w:rsidP="00D37C6D" w14:paraId="668A4393" w14:textId="77777777">
            <w:pPr>
              <w:spacing w:after="0" w:line="240" w:lineRule="auto"/>
              <w:rPr>
                <w:rFonts w:ascii="Times New Roman" w:eastAsia="Times New Roman" w:hAnsi="Times New Roman"/>
                <w:color w:val="000000"/>
                <w:sz w:val="20"/>
                <w:szCs w:val="20"/>
                <w:lang w:eastAsia="ja-JP"/>
              </w:rPr>
            </w:pPr>
          </w:p>
        </w:tc>
        <w:tc>
          <w:tcPr>
            <w:tcW w:w="502" w:type="pct"/>
            <w:shd w:val="clear" w:color="auto" w:fill="auto"/>
            <w:vAlign w:val="center"/>
            <w:hideMark/>
          </w:tcPr>
          <w:p w:rsidR="00012ACB" w:rsidRPr="0053619D" w:rsidP="00D37C6D" w14:paraId="614F4F3E"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78" w:type="pct"/>
            <w:shd w:val="clear" w:color="auto" w:fill="auto"/>
            <w:vAlign w:val="center"/>
            <w:hideMark/>
          </w:tcPr>
          <w:p w:rsidR="00012ACB" w:rsidRPr="0053619D" w:rsidP="00D37C6D" w14:paraId="3A9FEC7E"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365" w:type="pct"/>
          </w:tcPr>
          <w:p w:rsidR="00012ACB" w:rsidRPr="0053619D" w:rsidP="00D37C6D" w14:paraId="244077FD" w14:textId="77777777">
            <w:pPr>
              <w:spacing w:after="0" w:line="240" w:lineRule="auto"/>
              <w:rPr>
                <w:rFonts w:ascii="Times New Roman" w:eastAsia="Times New Roman" w:hAnsi="Times New Roman"/>
                <w:color w:val="000000"/>
                <w:sz w:val="20"/>
                <w:szCs w:val="20"/>
                <w:lang w:eastAsia="ja-JP"/>
              </w:rPr>
            </w:pPr>
          </w:p>
        </w:tc>
      </w:tr>
      <w:tr w14:paraId="3EB62E1B" w14:textId="77777777" w:rsidTr="00604AC6">
        <w:tblPrEx>
          <w:tblW w:w="5000" w:type="pct"/>
          <w:tblLook w:val="04A0"/>
        </w:tblPrEx>
        <w:trPr>
          <w:trHeight w:val="376"/>
        </w:trPr>
        <w:tc>
          <w:tcPr>
            <w:tcW w:w="520" w:type="pct"/>
            <w:vMerge/>
            <w:vAlign w:val="center"/>
            <w:hideMark/>
          </w:tcPr>
          <w:p w:rsidR="00EF6610" w:rsidRPr="0053619D" w:rsidP="00EF6610" w14:paraId="245A57AF"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EF6610" w:rsidRPr="0053619D" w:rsidP="00EF6610" w14:paraId="38E29C35" w14:textId="491B5EB6">
            <w:pPr>
              <w:spacing w:after="0" w:line="240" w:lineRule="auto"/>
              <w:rPr>
                <w:rFonts w:ascii="Times New Roman" w:eastAsia="Times New Roman" w:hAnsi="Times New Roman"/>
                <w:color w:val="000000"/>
                <w:sz w:val="20"/>
                <w:szCs w:val="20"/>
                <w:lang w:eastAsia="ja-JP"/>
              </w:rPr>
            </w:pPr>
            <w:r>
              <w:rPr>
                <w:rFonts w:ascii="Times New Roman" w:eastAsia="Times New Roman" w:hAnsi="Times New Roman"/>
                <w:color w:val="000000"/>
                <w:sz w:val="20"/>
                <w:szCs w:val="20"/>
                <w:lang w:eastAsia="ja-JP"/>
              </w:rPr>
              <w:t xml:space="preserve">Annualized </w:t>
            </w:r>
            <w:r w:rsidRPr="0053619D" w:rsidR="0052382B">
              <w:rPr>
                <w:rFonts w:ascii="Times New Roman" w:eastAsia="Times New Roman" w:hAnsi="Times New Roman"/>
                <w:color w:val="000000"/>
                <w:sz w:val="20"/>
                <w:szCs w:val="20"/>
                <w:lang w:eastAsia="ja-JP"/>
              </w:rPr>
              <w:t>Monetized millions/year</w:t>
            </w:r>
          </w:p>
        </w:tc>
        <w:tc>
          <w:tcPr>
            <w:tcW w:w="544" w:type="pct"/>
            <w:shd w:val="clear" w:color="auto" w:fill="auto"/>
            <w:vAlign w:val="center"/>
          </w:tcPr>
          <w:p w:rsidR="00EF6610" w:rsidRPr="00E3547D" w:rsidP="00EF6610" w14:paraId="688F699B" w14:textId="156BCA0A">
            <w:pPr>
              <w:spacing w:after="0" w:line="240" w:lineRule="auto"/>
              <w:jc w:val="center"/>
              <w:rPr>
                <w:rFonts w:ascii="Times New Roman" w:eastAsia="Times New Roman" w:hAnsi="Times New Roman"/>
                <w:color w:val="000000"/>
                <w:sz w:val="20"/>
                <w:szCs w:val="20"/>
                <w:lang w:eastAsia="ja-JP"/>
              </w:rPr>
            </w:pPr>
          </w:p>
        </w:tc>
        <w:tc>
          <w:tcPr>
            <w:tcW w:w="490" w:type="pct"/>
            <w:shd w:val="clear" w:color="auto" w:fill="auto"/>
            <w:noWrap/>
            <w:vAlign w:val="center"/>
          </w:tcPr>
          <w:p w:rsidR="00EF6610" w:rsidRPr="00E3547D" w:rsidP="00EF6610" w14:paraId="60D33CAB" w14:textId="30826DF0">
            <w:pPr>
              <w:spacing w:after="0" w:line="240" w:lineRule="auto"/>
              <w:jc w:val="center"/>
              <w:rPr>
                <w:rFonts w:ascii="Times New Roman" w:eastAsia="Times New Roman" w:hAnsi="Times New Roman"/>
                <w:color w:val="000000"/>
                <w:sz w:val="20"/>
                <w:szCs w:val="20"/>
                <w:lang w:eastAsia="ja-JP"/>
              </w:rPr>
            </w:pPr>
          </w:p>
        </w:tc>
        <w:tc>
          <w:tcPr>
            <w:tcW w:w="601" w:type="pct"/>
            <w:shd w:val="clear" w:color="auto" w:fill="auto"/>
            <w:noWrap/>
            <w:vAlign w:val="center"/>
          </w:tcPr>
          <w:p w:rsidR="00EF6610" w:rsidRPr="00E3547D" w:rsidP="00EF6610" w14:paraId="22CB5266" w14:textId="6FBD74FD">
            <w:pPr>
              <w:spacing w:after="0" w:line="240" w:lineRule="auto"/>
              <w:jc w:val="center"/>
              <w:rPr>
                <w:rFonts w:ascii="Times New Roman" w:eastAsia="Times New Roman" w:hAnsi="Times New Roman"/>
                <w:color w:val="000000"/>
                <w:sz w:val="20"/>
                <w:szCs w:val="20"/>
                <w:lang w:eastAsia="ja-JP"/>
              </w:rPr>
            </w:pPr>
          </w:p>
        </w:tc>
        <w:tc>
          <w:tcPr>
            <w:tcW w:w="442" w:type="pct"/>
            <w:shd w:val="clear" w:color="auto" w:fill="auto"/>
            <w:vAlign w:val="center"/>
          </w:tcPr>
          <w:p w:rsidR="00EF6610" w:rsidRPr="00E3547D" w:rsidP="00EF6610" w14:paraId="6D24EA92" w14:textId="1D8EFF46">
            <w:pPr>
              <w:spacing w:after="0" w:line="240" w:lineRule="auto"/>
              <w:jc w:val="center"/>
              <w:rPr>
                <w:rFonts w:ascii="Times New Roman" w:eastAsia="Times New Roman" w:hAnsi="Times New Roman"/>
                <w:color w:val="000000"/>
                <w:sz w:val="20"/>
                <w:szCs w:val="20"/>
                <w:lang w:eastAsia="ja-JP"/>
              </w:rPr>
            </w:pPr>
          </w:p>
        </w:tc>
        <w:tc>
          <w:tcPr>
            <w:tcW w:w="502" w:type="pct"/>
            <w:shd w:val="clear" w:color="auto" w:fill="auto"/>
            <w:vAlign w:val="center"/>
          </w:tcPr>
          <w:p w:rsidR="00EF6610" w:rsidRPr="0053619D" w:rsidP="00EF6610" w14:paraId="3C47C2DF" w14:textId="3B072E7B">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tcPr>
          <w:p w:rsidR="00EF6610" w:rsidRPr="0053619D" w:rsidP="00EF6610" w14:paraId="280BCB24" w14:textId="1E47940B">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677CEDA8" w14:textId="77777777">
            <w:pPr>
              <w:spacing w:after="0" w:line="240" w:lineRule="auto"/>
              <w:rPr>
                <w:rFonts w:ascii="Times New Roman" w:eastAsia="Times New Roman" w:hAnsi="Times New Roman"/>
                <w:color w:val="000000"/>
                <w:sz w:val="20"/>
                <w:szCs w:val="20"/>
                <w:lang w:eastAsia="ja-JP"/>
              </w:rPr>
            </w:pPr>
          </w:p>
        </w:tc>
      </w:tr>
      <w:tr w14:paraId="3543E98B" w14:textId="77777777" w:rsidTr="00604AC6">
        <w:tblPrEx>
          <w:tblW w:w="5000" w:type="pct"/>
          <w:tblLook w:val="04A0"/>
        </w:tblPrEx>
        <w:trPr>
          <w:trHeight w:val="315"/>
        </w:trPr>
        <w:tc>
          <w:tcPr>
            <w:tcW w:w="520" w:type="pct"/>
            <w:vMerge/>
            <w:vAlign w:val="center"/>
            <w:hideMark/>
          </w:tcPr>
          <w:p w:rsidR="00D37F56" w:rsidRPr="0053619D" w:rsidP="00EF6610" w14:paraId="6E13A71C" w14:textId="77777777">
            <w:pPr>
              <w:spacing w:after="0" w:line="240" w:lineRule="auto"/>
              <w:rPr>
                <w:rFonts w:ascii="Times New Roman" w:eastAsia="Times New Roman" w:hAnsi="Times New Roman"/>
                <w:color w:val="000000"/>
                <w:sz w:val="20"/>
                <w:szCs w:val="20"/>
                <w:lang w:eastAsia="ja-JP"/>
              </w:rPr>
            </w:pPr>
          </w:p>
        </w:tc>
        <w:tc>
          <w:tcPr>
            <w:tcW w:w="1058" w:type="pct"/>
            <w:vMerge w:val="restart"/>
            <w:shd w:val="clear" w:color="auto" w:fill="auto"/>
            <w:vAlign w:val="center"/>
            <w:hideMark/>
          </w:tcPr>
          <w:p w:rsidR="00D37F56" w:rsidRPr="0053619D" w:rsidP="00EF6610" w14:paraId="11C110C8"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xml:space="preserve">Annualized </w:t>
            </w:r>
          </w:p>
          <w:p w:rsidR="00D37F56" w:rsidRPr="0053619D" w:rsidP="00EF6610" w14:paraId="02FECD32" w14:textId="36AD843A">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Quantified</w:t>
            </w:r>
          </w:p>
        </w:tc>
        <w:tc>
          <w:tcPr>
            <w:tcW w:w="544" w:type="pct"/>
            <w:shd w:val="clear" w:color="auto" w:fill="auto"/>
            <w:vAlign w:val="center"/>
          </w:tcPr>
          <w:p w:rsidR="00D37F56" w:rsidRPr="008537DD" w:rsidP="00EF6610" w14:paraId="0412998F" w14:textId="47230DF0">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$0.2</w:t>
            </w:r>
          </w:p>
        </w:tc>
        <w:tc>
          <w:tcPr>
            <w:tcW w:w="490" w:type="pct"/>
            <w:shd w:val="clear" w:color="auto" w:fill="auto"/>
            <w:vAlign w:val="center"/>
          </w:tcPr>
          <w:p w:rsidR="00D37F56" w:rsidRPr="008537DD" w:rsidP="00EF6610" w14:paraId="5899C4BD" w14:textId="27BA6E0E">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$0.1</w:t>
            </w:r>
          </w:p>
        </w:tc>
        <w:tc>
          <w:tcPr>
            <w:tcW w:w="601" w:type="pct"/>
            <w:shd w:val="clear" w:color="auto" w:fill="auto"/>
            <w:vAlign w:val="center"/>
          </w:tcPr>
          <w:p w:rsidR="00D37F56" w:rsidRPr="008537DD" w:rsidP="00EF6610" w14:paraId="1E1D6390" w14:textId="361CD512">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$0.4</w:t>
            </w:r>
          </w:p>
        </w:tc>
        <w:tc>
          <w:tcPr>
            <w:tcW w:w="442" w:type="pct"/>
            <w:shd w:val="clear" w:color="auto" w:fill="auto"/>
            <w:vAlign w:val="center"/>
          </w:tcPr>
          <w:p w:rsidR="00D37F56" w:rsidRPr="00E3547D" w:rsidP="00EF6610" w14:paraId="68815EDB" w14:textId="2BC3E689">
            <w:pPr>
              <w:spacing w:after="0" w:line="240" w:lineRule="auto"/>
              <w:jc w:val="center"/>
              <w:rPr>
                <w:rFonts w:ascii="Times New Roman" w:eastAsia="Times New Roman" w:hAnsi="Times New Roman"/>
                <w:color w:val="000000"/>
                <w:sz w:val="20"/>
                <w:szCs w:val="20"/>
                <w:lang w:eastAsia="ja-JP"/>
              </w:rPr>
            </w:pPr>
            <w:r w:rsidRPr="00E3547D">
              <w:rPr>
                <w:rFonts w:ascii="Times New Roman" w:eastAsia="Times New Roman" w:hAnsi="Times New Roman"/>
                <w:color w:val="000000"/>
                <w:sz w:val="20"/>
                <w:szCs w:val="20"/>
                <w:lang w:eastAsia="ja-JP"/>
              </w:rPr>
              <w:t>2020</w:t>
            </w:r>
          </w:p>
        </w:tc>
        <w:tc>
          <w:tcPr>
            <w:tcW w:w="502" w:type="pct"/>
            <w:shd w:val="clear" w:color="auto" w:fill="auto"/>
            <w:vAlign w:val="center"/>
          </w:tcPr>
          <w:p w:rsidR="00D37F56" w:rsidRPr="0053619D" w:rsidP="00EF6610" w14:paraId="4620E5B4" w14:textId="156FD430">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7%</w:t>
            </w:r>
          </w:p>
        </w:tc>
        <w:tc>
          <w:tcPr>
            <w:tcW w:w="478" w:type="pct"/>
            <w:shd w:val="clear" w:color="auto" w:fill="auto"/>
            <w:vAlign w:val="center"/>
          </w:tcPr>
          <w:p w:rsidR="00D37F56" w:rsidRPr="0053619D" w:rsidP="00EF6610" w14:paraId="771904AD" w14:textId="11ADA7F4">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10 years</w:t>
            </w:r>
          </w:p>
        </w:tc>
        <w:tc>
          <w:tcPr>
            <w:tcW w:w="365" w:type="pct"/>
          </w:tcPr>
          <w:p w:rsidR="00D37F56" w:rsidRPr="0053619D" w:rsidP="00EF6610" w14:paraId="15D55C55" w14:textId="77777777">
            <w:pPr>
              <w:spacing w:after="0" w:line="240" w:lineRule="auto"/>
              <w:rPr>
                <w:rFonts w:ascii="Times New Roman" w:eastAsia="Times New Roman" w:hAnsi="Times New Roman"/>
                <w:color w:val="000000"/>
                <w:sz w:val="20"/>
                <w:szCs w:val="20"/>
                <w:lang w:eastAsia="ja-JP"/>
              </w:rPr>
            </w:pPr>
          </w:p>
        </w:tc>
      </w:tr>
      <w:tr w14:paraId="75F83E3D" w14:textId="77777777" w:rsidTr="090D9F39">
        <w:tblPrEx>
          <w:tblW w:w="5000" w:type="pct"/>
          <w:tblLook w:val="04A0"/>
        </w:tblPrEx>
        <w:trPr>
          <w:trHeight w:val="315"/>
        </w:trPr>
        <w:tc>
          <w:tcPr>
            <w:tcW w:w="520" w:type="pct"/>
            <w:vMerge/>
            <w:vAlign w:val="center"/>
            <w:hideMark/>
          </w:tcPr>
          <w:p w:rsidR="00D37F56" w:rsidRPr="0053619D" w:rsidP="00EF6610" w14:paraId="096349F9" w14:textId="77777777">
            <w:pPr>
              <w:spacing w:after="0" w:line="240" w:lineRule="auto"/>
              <w:rPr>
                <w:rFonts w:ascii="Times New Roman" w:eastAsia="Times New Roman" w:hAnsi="Times New Roman"/>
                <w:color w:val="000000"/>
                <w:sz w:val="20"/>
                <w:szCs w:val="20"/>
                <w:lang w:eastAsia="ja-JP"/>
              </w:rPr>
            </w:pPr>
          </w:p>
        </w:tc>
        <w:tc>
          <w:tcPr>
            <w:tcW w:w="1058" w:type="pct"/>
            <w:vMerge/>
            <w:vAlign w:val="center"/>
            <w:hideMark/>
          </w:tcPr>
          <w:p w:rsidR="00D37F56" w:rsidRPr="0053619D" w:rsidP="00EF6610" w14:paraId="41198C14" w14:textId="4E6D0DED">
            <w:pPr>
              <w:spacing w:after="0" w:line="240" w:lineRule="auto"/>
              <w:rPr>
                <w:rFonts w:ascii="Times New Roman" w:eastAsia="Times New Roman" w:hAnsi="Times New Roman"/>
                <w:color w:val="000000"/>
                <w:sz w:val="20"/>
                <w:szCs w:val="20"/>
                <w:lang w:eastAsia="ja-JP"/>
              </w:rPr>
            </w:pPr>
          </w:p>
        </w:tc>
        <w:tc>
          <w:tcPr>
            <w:tcW w:w="544" w:type="pct"/>
            <w:shd w:val="clear" w:color="auto" w:fill="auto"/>
            <w:vAlign w:val="center"/>
          </w:tcPr>
          <w:p w:rsidR="00D37F56" w:rsidRPr="008537DD" w:rsidP="00EF6610" w14:paraId="0C1FC511" w14:textId="0B26E00B">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$0.2</w:t>
            </w:r>
          </w:p>
        </w:tc>
        <w:tc>
          <w:tcPr>
            <w:tcW w:w="490" w:type="pct"/>
            <w:shd w:val="clear" w:color="auto" w:fill="auto"/>
            <w:vAlign w:val="center"/>
          </w:tcPr>
          <w:p w:rsidR="00D37F56" w:rsidRPr="008537DD" w:rsidP="00EF6610" w14:paraId="39D7E2EF" w14:textId="280EEA7F">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$0.1</w:t>
            </w:r>
          </w:p>
        </w:tc>
        <w:tc>
          <w:tcPr>
            <w:tcW w:w="601" w:type="pct"/>
            <w:shd w:val="clear" w:color="auto" w:fill="auto"/>
            <w:vAlign w:val="center"/>
          </w:tcPr>
          <w:p w:rsidR="00D37F56" w:rsidRPr="008537DD" w:rsidP="00EF6610" w14:paraId="2A29C8C9" w14:textId="5F46E27A">
            <w:pPr>
              <w:spacing w:after="0" w:line="240" w:lineRule="auto"/>
              <w:jc w:val="center"/>
              <w:rPr>
                <w:rFonts w:ascii="Times New Roman" w:eastAsia="Times New Roman" w:hAnsi="Times New Roman"/>
                <w:color w:val="000000"/>
                <w:sz w:val="20"/>
                <w:szCs w:val="20"/>
                <w:lang w:eastAsia="ja-JP"/>
              </w:rPr>
            </w:pPr>
            <w:r w:rsidRPr="008537DD">
              <w:rPr>
                <w:rFonts w:ascii="Times New Roman" w:eastAsia="Times New Roman" w:hAnsi="Times New Roman"/>
                <w:color w:val="000000"/>
                <w:sz w:val="20"/>
                <w:szCs w:val="20"/>
                <w:lang w:eastAsia="ja-JP"/>
              </w:rPr>
              <w:t>$0.4</w:t>
            </w:r>
          </w:p>
        </w:tc>
        <w:tc>
          <w:tcPr>
            <w:tcW w:w="442" w:type="pct"/>
            <w:shd w:val="clear" w:color="auto" w:fill="auto"/>
            <w:vAlign w:val="center"/>
          </w:tcPr>
          <w:p w:rsidR="00D37F56" w:rsidRPr="00E3547D" w:rsidP="00EF6610" w14:paraId="20089852" w14:textId="57FBA0E8">
            <w:pPr>
              <w:spacing w:after="0" w:line="240" w:lineRule="auto"/>
              <w:jc w:val="center"/>
              <w:rPr>
                <w:rFonts w:ascii="Times New Roman" w:eastAsia="Times New Roman" w:hAnsi="Times New Roman"/>
                <w:color w:val="000000"/>
                <w:sz w:val="20"/>
                <w:szCs w:val="20"/>
                <w:lang w:eastAsia="ja-JP"/>
              </w:rPr>
            </w:pPr>
            <w:r w:rsidRPr="00E3547D">
              <w:rPr>
                <w:rFonts w:ascii="Times New Roman" w:eastAsia="Times New Roman" w:hAnsi="Times New Roman"/>
                <w:color w:val="000000"/>
                <w:sz w:val="20"/>
                <w:szCs w:val="20"/>
                <w:lang w:eastAsia="ja-JP"/>
              </w:rPr>
              <w:t>2020</w:t>
            </w:r>
          </w:p>
        </w:tc>
        <w:tc>
          <w:tcPr>
            <w:tcW w:w="502" w:type="pct"/>
            <w:shd w:val="clear" w:color="auto" w:fill="auto"/>
            <w:vAlign w:val="center"/>
          </w:tcPr>
          <w:p w:rsidR="00D37F56" w:rsidRPr="0053619D" w:rsidP="00EF6610" w14:paraId="04C83857" w14:textId="7E2BF4AC">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3%</w:t>
            </w:r>
          </w:p>
        </w:tc>
        <w:tc>
          <w:tcPr>
            <w:tcW w:w="478" w:type="pct"/>
            <w:shd w:val="clear" w:color="auto" w:fill="auto"/>
            <w:vAlign w:val="center"/>
          </w:tcPr>
          <w:p w:rsidR="00D37F56" w:rsidRPr="0053619D" w:rsidP="00EF6610" w14:paraId="10261E13" w14:textId="4B081F82">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10 years</w:t>
            </w:r>
          </w:p>
        </w:tc>
        <w:tc>
          <w:tcPr>
            <w:tcW w:w="365" w:type="pct"/>
          </w:tcPr>
          <w:p w:rsidR="00D37F56" w:rsidRPr="0053619D" w:rsidP="00EF6610" w14:paraId="215C88C9" w14:textId="77777777">
            <w:pPr>
              <w:spacing w:after="0" w:line="240" w:lineRule="auto"/>
              <w:rPr>
                <w:rFonts w:ascii="Times New Roman" w:eastAsia="Times New Roman" w:hAnsi="Times New Roman"/>
                <w:color w:val="000000"/>
                <w:sz w:val="20"/>
                <w:szCs w:val="20"/>
                <w:lang w:eastAsia="ja-JP"/>
              </w:rPr>
            </w:pPr>
          </w:p>
        </w:tc>
      </w:tr>
      <w:tr w14:paraId="09CE9831" w14:textId="77777777" w:rsidTr="00604AC6">
        <w:tblPrEx>
          <w:tblW w:w="5000" w:type="pct"/>
          <w:tblLook w:val="04A0"/>
        </w:tblPrEx>
        <w:trPr>
          <w:trHeight w:val="295"/>
        </w:trPr>
        <w:tc>
          <w:tcPr>
            <w:tcW w:w="520" w:type="pct"/>
            <w:vMerge/>
            <w:vAlign w:val="center"/>
            <w:hideMark/>
          </w:tcPr>
          <w:p w:rsidR="00EF6610" w:rsidRPr="0053619D" w:rsidP="00EF6610" w14:paraId="4F78A557"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EF6610" w:rsidRPr="0053619D" w:rsidP="00EF6610" w14:paraId="626BEC1F"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Qualitative</w:t>
            </w:r>
          </w:p>
        </w:tc>
        <w:tc>
          <w:tcPr>
            <w:tcW w:w="1635" w:type="pct"/>
            <w:gridSpan w:val="3"/>
            <w:shd w:val="clear" w:color="auto" w:fill="auto"/>
            <w:vAlign w:val="center"/>
            <w:hideMark/>
          </w:tcPr>
          <w:p w:rsidR="00EF6610" w:rsidRPr="00E3547D" w:rsidP="00013EF4" w14:paraId="614E4238" w14:textId="06EA8518">
            <w:pPr>
              <w:spacing w:after="0" w:line="240" w:lineRule="auto"/>
              <w:rPr>
                <w:rFonts w:ascii="Times New Roman" w:eastAsia="Times New Roman" w:hAnsi="Times New Roman"/>
                <w:color w:val="000000"/>
                <w:sz w:val="20"/>
                <w:szCs w:val="20"/>
                <w:lang w:eastAsia="ja-JP"/>
              </w:rPr>
            </w:pPr>
            <w:r w:rsidRPr="00E3547D">
              <w:rPr>
                <w:rFonts w:ascii="Times New Roman" w:eastAsia="Times New Roman" w:hAnsi="Times New Roman"/>
                <w:sz w:val="20"/>
                <w:szCs w:val="20"/>
              </w:rPr>
              <w:t>Healthcare advances stemming from minimal risk clinical investigations that can proceed using a waiver or alteration of informed consent</w:t>
            </w:r>
            <w:r w:rsidR="00360C30">
              <w:rPr>
                <w:rFonts w:ascii="Times New Roman" w:eastAsia="Times New Roman" w:hAnsi="Times New Roman"/>
                <w:sz w:val="20"/>
                <w:szCs w:val="20"/>
              </w:rPr>
              <w:t xml:space="preserve"> </w:t>
            </w:r>
            <w:r w:rsidRPr="00360C30" w:rsidR="00360C30">
              <w:rPr>
                <w:rFonts w:ascii="Times New Roman" w:eastAsia="Times New Roman" w:hAnsi="Times New Roman"/>
                <w:iCs/>
                <w:sz w:val="20"/>
                <w:szCs w:val="20"/>
              </w:rPr>
              <w:t xml:space="preserve">and that otherwise would not </w:t>
            </w:r>
            <w:r w:rsidR="00360C30">
              <w:rPr>
                <w:rFonts w:ascii="Times New Roman" w:eastAsia="Times New Roman" w:hAnsi="Times New Roman"/>
                <w:iCs/>
                <w:sz w:val="20"/>
                <w:szCs w:val="20"/>
              </w:rPr>
              <w:t>have been</w:t>
            </w:r>
            <w:r w:rsidRPr="00360C30" w:rsidR="00360C30">
              <w:rPr>
                <w:rFonts w:ascii="Times New Roman" w:eastAsia="Times New Roman" w:hAnsi="Times New Roman"/>
                <w:iCs/>
                <w:sz w:val="20"/>
                <w:szCs w:val="20"/>
              </w:rPr>
              <w:t xml:space="preserve"> conducted</w:t>
            </w:r>
            <w:r w:rsidRPr="00E3547D" w:rsidR="00941440">
              <w:rPr>
                <w:rFonts w:ascii="Times New Roman" w:eastAsia="Times New Roman" w:hAnsi="Times New Roman"/>
                <w:sz w:val="20"/>
                <w:szCs w:val="20"/>
              </w:rPr>
              <w:t>.</w:t>
            </w:r>
          </w:p>
        </w:tc>
        <w:tc>
          <w:tcPr>
            <w:tcW w:w="442" w:type="pct"/>
            <w:shd w:val="clear" w:color="auto" w:fill="auto"/>
            <w:vAlign w:val="center"/>
            <w:hideMark/>
          </w:tcPr>
          <w:p w:rsidR="00EF6610" w:rsidRPr="00E3547D" w:rsidP="00EF6610" w14:paraId="124F39D6" w14:textId="77777777">
            <w:pPr>
              <w:spacing w:after="0" w:line="240" w:lineRule="auto"/>
              <w:rPr>
                <w:rFonts w:ascii="Times New Roman" w:eastAsia="Times New Roman" w:hAnsi="Times New Roman"/>
                <w:color w:val="000000"/>
                <w:sz w:val="20"/>
                <w:szCs w:val="20"/>
                <w:lang w:eastAsia="ja-JP"/>
              </w:rPr>
            </w:pPr>
          </w:p>
        </w:tc>
        <w:tc>
          <w:tcPr>
            <w:tcW w:w="502" w:type="pct"/>
            <w:shd w:val="clear" w:color="auto" w:fill="auto"/>
            <w:vAlign w:val="center"/>
            <w:hideMark/>
          </w:tcPr>
          <w:p w:rsidR="00EF6610" w:rsidRPr="0053619D" w:rsidP="00EF6610" w14:paraId="046A71E8" w14:textId="77777777">
            <w:pPr>
              <w:spacing w:after="0" w:line="240" w:lineRule="auto"/>
              <w:jc w:val="center"/>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78" w:type="pct"/>
            <w:shd w:val="clear" w:color="auto" w:fill="auto"/>
            <w:vAlign w:val="center"/>
            <w:hideMark/>
          </w:tcPr>
          <w:p w:rsidR="00EF6610" w:rsidRPr="0053619D" w:rsidP="00EF6610" w14:paraId="02A07660" w14:textId="77777777">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60E9F0FA" w14:textId="77777777">
            <w:pPr>
              <w:spacing w:after="0" w:line="240" w:lineRule="auto"/>
              <w:rPr>
                <w:rFonts w:ascii="Times New Roman" w:eastAsia="Times New Roman" w:hAnsi="Times New Roman"/>
                <w:color w:val="000000"/>
                <w:sz w:val="20"/>
                <w:szCs w:val="20"/>
                <w:lang w:eastAsia="ja-JP"/>
              </w:rPr>
            </w:pPr>
          </w:p>
        </w:tc>
      </w:tr>
      <w:tr w14:paraId="2F5FDD1C" w14:textId="77777777" w:rsidTr="00604AC6">
        <w:tblPrEx>
          <w:tblW w:w="5000" w:type="pct"/>
          <w:tblLook w:val="04A0"/>
        </w:tblPrEx>
        <w:trPr>
          <w:trHeight w:val="430"/>
        </w:trPr>
        <w:tc>
          <w:tcPr>
            <w:tcW w:w="520" w:type="pct"/>
            <w:vMerge w:val="restart"/>
            <w:shd w:val="clear" w:color="auto" w:fill="auto"/>
            <w:vAlign w:val="center"/>
            <w:hideMark/>
          </w:tcPr>
          <w:p w:rsidR="00EF6610" w:rsidRPr="0053619D" w:rsidP="00EF6610" w14:paraId="55B15376"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Transfers</w:t>
            </w:r>
          </w:p>
        </w:tc>
        <w:tc>
          <w:tcPr>
            <w:tcW w:w="1058" w:type="pct"/>
            <w:shd w:val="clear" w:color="auto" w:fill="auto"/>
            <w:vAlign w:val="center"/>
            <w:hideMark/>
          </w:tcPr>
          <w:p w:rsidR="00EF6610" w:rsidRPr="0053619D" w:rsidP="00EF6610" w14:paraId="0EDBB089"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xml:space="preserve">Federal Annualized </w:t>
            </w:r>
          </w:p>
        </w:tc>
        <w:tc>
          <w:tcPr>
            <w:tcW w:w="544" w:type="pct"/>
            <w:shd w:val="clear" w:color="auto" w:fill="auto"/>
            <w:vAlign w:val="center"/>
            <w:hideMark/>
          </w:tcPr>
          <w:p w:rsidR="00EF6610" w:rsidRPr="0053619D" w:rsidP="00EF6610" w14:paraId="1D102301"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90" w:type="pct"/>
            <w:shd w:val="clear" w:color="auto" w:fill="auto"/>
            <w:vAlign w:val="center"/>
            <w:hideMark/>
          </w:tcPr>
          <w:p w:rsidR="00EF6610" w:rsidRPr="0053619D" w:rsidP="00EF6610" w14:paraId="0F1BAFCA"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601" w:type="pct"/>
            <w:shd w:val="clear" w:color="auto" w:fill="auto"/>
            <w:vAlign w:val="center"/>
            <w:hideMark/>
          </w:tcPr>
          <w:p w:rsidR="00EF6610" w:rsidRPr="0053619D" w:rsidP="00EF6610" w14:paraId="3433845E"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42" w:type="pct"/>
            <w:shd w:val="clear" w:color="auto" w:fill="auto"/>
            <w:vAlign w:val="center"/>
            <w:hideMark/>
          </w:tcPr>
          <w:p w:rsidR="00EF6610" w:rsidRPr="0053619D" w:rsidP="00EF6610" w14:paraId="3769D587" w14:textId="77777777">
            <w:pPr>
              <w:spacing w:after="0" w:line="240" w:lineRule="auto"/>
              <w:jc w:val="right"/>
              <w:rPr>
                <w:rFonts w:ascii="Times New Roman" w:eastAsia="Times New Roman" w:hAnsi="Times New Roman"/>
                <w:color w:val="000000"/>
                <w:sz w:val="20"/>
                <w:szCs w:val="20"/>
                <w:lang w:eastAsia="ja-JP"/>
              </w:rPr>
            </w:pPr>
          </w:p>
        </w:tc>
        <w:tc>
          <w:tcPr>
            <w:tcW w:w="502" w:type="pct"/>
            <w:shd w:val="clear" w:color="auto" w:fill="auto"/>
            <w:vAlign w:val="center"/>
            <w:hideMark/>
          </w:tcPr>
          <w:p w:rsidR="00EF6610" w:rsidRPr="0053619D" w:rsidP="00EF6610" w14:paraId="72316B8A" w14:textId="77777777">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hideMark/>
          </w:tcPr>
          <w:p w:rsidR="00EF6610" w:rsidRPr="0053619D" w:rsidP="00EF6610" w14:paraId="6CF7829E" w14:textId="77777777">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6E5AE068" w14:textId="77777777">
            <w:pPr>
              <w:spacing w:after="0" w:line="240" w:lineRule="auto"/>
              <w:rPr>
                <w:rFonts w:ascii="Times New Roman" w:eastAsia="Times New Roman" w:hAnsi="Times New Roman"/>
                <w:color w:val="000000"/>
                <w:sz w:val="20"/>
                <w:szCs w:val="20"/>
                <w:lang w:eastAsia="ja-JP"/>
              </w:rPr>
            </w:pPr>
          </w:p>
        </w:tc>
      </w:tr>
      <w:tr w14:paraId="7F98D00F" w14:textId="77777777" w:rsidTr="00604AC6">
        <w:tblPrEx>
          <w:tblW w:w="5000" w:type="pct"/>
          <w:tblLook w:val="04A0"/>
        </w:tblPrEx>
        <w:trPr>
          <w:trHeight w:val="574"/>
        </w:trPr>
        <w:tc>
          <w:tcPr>
            <w:tcW w:w="520" w:type="pct"/>
            <w:vMerge/>
            <w:vAlign w:val="center"/>
            <w:hideMark/>
          </w:tcPr>
          <w:p w:rsidR="00EF6610" w:rsidRPr="0053619D" w:rsidP="00EF6610" w14:paraId="0BB2413C"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EF6610" w:rsidRPr="0053619D" w:rsidP="00EF6610" w14:paraId="507D47E7"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Monetized $millions/year</w:t>
            </w:r>
          </w:p>
        </w:tc>
        <w:tc>
          <w:tcPr>
            <w:tcW w:w="544" w:type="pct"/>
            <w:shd w:val="clear" w:color="auto" w:fill="auto"/>
            <w:vAlign w:val="center"/>
            <w:hideMark/>
          </w:tcPr>
          <w:p w:rsidR="00EF6610" w:rsidRPr="0053619D" w:rsidP="00EF6610" w14:paraId="713C5017"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90" w:type="pct"/>
            <w:shd w:val="clear" w:color="auto" w:fill="auto"/>
            <w:vAlign w:val="center"/>
            <w:hideMark/>
          </w:tcPr>
          <w:p w:rsidR="00EF6610" w:rsidRPr="0053619D" w:rsidP="00EF6610" w14:paraId="31D98721"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601" w:type="pct"/>
            <w:shd w:val="clear" w:color="auto" w:fill="auto"/>
            <w:vAlign w:val="center"/>
            <w:hideMark/>
          </w:tcPr>
          <w:p w:rsidR="00EF6610" w:rsidRPr="0053619D" w:rsidP="00EF6610" w14:paraId="0121D1BD"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42" w:type="pct"/>
            <w:shd w:val="clear" w:color="auto" w:fill="auto"/>
            <w:vAlign w:val="center"/>
            <w:hideMark/>
          </w:tcPr>
          <w:p w:rsidR="00EF6610" w:rsidRPr="0053619D" w:rsidP="00EF6610" w14:paraId="0977DD7C" w14:textId="77777777">
            <w:pPr>
              <w:spacing w:after="0" w:line="240" w:lineRule="auto"/>
              <w:jc w:val="right"/>
              <w:rPr>
                <w:rFonts w:ascii="Times New Roman" w:eastAsia="Times New Roman" w:hAnsi="Times New Roman"/>
                <w:color w:val="000000"/>
                <w:sz w:val="20"/>
                <w:szCs w:val="20"/>
                <w:lang w:eastAsia="ja-JP"/>
              </w:rPr>
            </w:pPr>
          </w:p>
        </w:tc>
        <w:tc>
          <w:tcPr>
            <w:tcW w:w="502" w:type="pct"/>
            <w:shd w:val="clear" w:color="auto" w:fill="auto"/>
            <w:vAlign w:val="center"/>
            <w:hideMark/>
          </w:tcPr>
          <w:p w:rsidR="00EF6610" w:rsidRPr="0053619D" w:rsidP="00EF6610" w14:paraId="56789CC3" w14:textId="77777777">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hideMark/>
          </w:tcPr>
          <w:p w:rsidR="00EF6610" w:rsidRPr="0053619D" w:rsidP="00EF6610" w14:paraId="6C22CB74" w14:textId="77777777">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0DE404CC" w14:textId="77777777">
            <w:pPr>
              <w:spacing w:after="0" w:line="240" w:lineRule="auto"/>
              <w:rPr>
                <w:rFonts w:ascii="Times New Roman" w:eastAsia="Times New Roman" w:hAnsi="Times New Roman"/>
                <w:color w:val="000000"/>
                <w:sz w:val="20"/>
                <w:szCs w:val="20"/>
                <w:lang w:eastAsia="ja-JP"/>
              </w:rPr>
            </w:pPr>
          </w:p>
        </w:tc>
      </w:tr>
      <w:tr w14:paraId="7507F081" w14:textId="77777777" w:rsidTr="00604AC6">
        <w:tblPrEx>
          <w:tblW w:w="5000" w:type="pct"/>
          <w:tblLook w:val="04A0"/>
        </w:tblPrEx>
        <w:trPr>
          <w:trHeight w:val="315"/>
        </w:trPr>
        <w:tc>
          <w:tcPr>
            <w:tcW w:w="520" w:type="pct"/>
            <w:vMerge/>
            <w:vAlign w:val="center"/>
            <w:hideMark/>
          </w:tcPr>
          <w:p w:rsidR="00EF6610" w:rsidRPr="0053619D" w:rsidP="00EF6610" w14:paraId="2472DA5E"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hideMark/>
          </w:tcPr>
          <w:p w:rsidR="00EF6610" w:rsidRPr="0053619D" w:rsidP="00EF6610" w14:paraId="653018FE"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1635" w:type="pct"/>
            <w:gridSpan w:val="3"/>
            <w:shd w:val="clear" w:color="auto" w:fill="auto"/>
            <w:vAlign w:val="center"/>
            <w:hideMark/>
          </w:tcPr>
          <w:p w:rsidR="00EF6610" w:rsidRPr="0053619D" w:rsidP="00EF6610" w14:paraId="013BC81B"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From:</w:t>
            </w:r>
          </w:p>
        </w:tc>
        <w:tc>
          <w:tcPr>
            <w:tcW w:w="1422" w:type="pct"/>
            <w:gridSpan w:val="3"/>
            <w:shd w:val="clear" w:color="auto" w:fill="auto"/>
            <w:vAlign w:val="center"/>
            <w:hideMark/>
          </w:tcPr>
          <w:p w:rsidR="00EF6610" w:rsidRPr="0053619D" w:rsidP="00EF6610" w14:paraId="6D7862A3"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To:</w:t>
            </w:r>
          </w:p>
        </w:tc>
        <w:tc>
          <w:tcPr>
            <w:tcW w:w="365" w:type="pct"/>
          </w:tcPr>
          <w:p w:rsidR="00EF6610" w:rsidRPr="0053619D" w:rsidP="00EF6610" w14:paraId="3E6CF536" w14:textId="77777777">
            <w:pPr>
              <w:spacing w:after="0" w:line="240" w:lineRule="auto"/>
              <w:rPr>
                <w:rFonts w:ascii="Times New Roman" w:eastAsia="Times New Roman" w:hAnsi="Times New Roman"/>
                <w:color w:val="000000"/>
                <w:sz w:val="20"/>
                <w:szCs w:val="20"/>
                <w:lang w:eastAsia="ja-JP"/>
              </w:rPr>
            </w:pPr>
          </w:p>
        </w:tc>
      </w:tr>
      <w:tr w14:paraId="054BC1AB" w14:textId="77777777" w:rsidTr="00604AC6">
        <w:tblPrEx>
          <w:tblW w:w="5000" w:type="pct"/>
          <w:tblLook w:val="04A0"/>
        </w:tblPrEx>
        <w:trPr>
          <w:trHeight w:val="367"/>
        </w:trPr>
        <w:tc>
          <w:tcPr>
            <w:tcW w:w="520" w:type="pct"/>
            <w:vMerge/>
            <w:vAlign w:val="center"/>
            <w:hideMark/>
          </w:tcPr>
          <w:p w:rsidR="00EF6610" w:rsidRPr="0053619D" w:rsidP="00EF6610" w14:paraId="4CA2878A"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EF6610" w:rsidRPr="0053619D" w:rsidP="00EF6610" w14:paraId="12368A95"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xml:space="preserve">Other Annualized </w:t>
            </w:r>
          </w:p>
        </w:tc>
        <w:tc>
          <w:tcPr>
            <w:tcW w:w="544" w:type="pct"/>
            <w:shd w:val="clear" w:color="auto" w:fill="auto"/>
            <w:vAlign w:val="center"/>
            <w:hideMark/>
          </w:tcPr>
          <w:p w:rsidR="00EF6610" w:rsidRPr="0053619D" w:rsidP="00EF6610" w14:paraId="516F3A9D"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90" w:type="pct"/>
            <w:shd w:val="clear" w:color="auto" w:fill="auto"/>
            <w:vAlign w:val="center"/>
            <w:hideMark/>
          </w:tcPr>
          <w:p w:rsidR="00EF6610" w:rsidRPr="0053619D" w:rsidP="00EF6610" w14:paraId="332873A0"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601" w:type="pct"/>
            <w:shd w:val="clear" w:color="auto" w:fill="auto"/>
            <w:vAlign w:val="center"/>
            <w:hideMark/>
          </w:tcPr>
          <w:p w:rsidR="00EF6610" w:rsidRPr="0053619D" w:rsidP="00EF6610" w14:paraId="31E88BC1"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42" w:type="pct"/>
            <w:shd w:val="clear" w:color="auto" w:fill="auto"/>
            <w:vAlign w:val="center"/>
            <w:hideMark/>
          </w:tcPr>
          <w:p w:rsidR="00EF6610" w:rsidRPr="0053619D" w:rsidP="00EF6610" w14:paraId="414641A8" w14:textId="77777777">
            <w:pPr>
              <w:spacing w:after="0" w:line="240" w:lineRule="auto"/>
              <w:jc w:val="right"/>
              <w:rPr>
                <w:rFonts w:ascii="Times New Roman" w:eastAsia="Times New Roman" w:hAnsi="Times New Roman"/>
                <w:color w:val="000000"/>
                <w:sz w:val="20"/>
                <w:szCs w:val="20"/>
                <w:lang w:eastAsia="ja-JP"/>
              </w:rPr>
            </w:pPr>
          </w:p>
        </w:tc>
        <w:tc>
          <w:tcPr>
            <w:tcW w:w="502" w:type="pct"/>
            <w:shd w:val="clear" w:color="auto" w:fill="auto"/>
            <w:vAlign w:val="center"/>
            <w:hideMark/>
          </w:tcPr>
          <w:p w:rsidR="00EF6610" w:rsidRPr="0053619D" w:rsidP="00EF6610" w14:paraId="3F519C01" w14:textId="77777777">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hideMark/>
          </w:tcPr>
          <w:p w:rsidR="00EF6610" w:rsidRPr="0053619D" w:rsidP="00EF6610" w14:paraId="38DAA143" w14:textId="77777777">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36696B72" w14:textId="77777777">
            <w:pPr>
              <w:spacing w:after="0" w:line="240" w:lineRule="auto"/>
              <w:rPr>
                <w:rFonts w:ascii="Times New Roman" w:eastAsia="Times New Roman" w:hAnsi="Times New Roman"/>
                <w:color w:val="000000"/>
                <w:sz w:val="20"/>
                <w:szCs w:val="20"/>
                <w:lang w:eastAsia="ja-JP"/>
              </w:rPr>
            </w:pPr>
          </w:p>
        </w:tc>
      </w:tr>
      <w:tr w14:paraId="316B0D56" w14:textId="77777777" w:rsidTr="00604AC6">
        <w:tblPrEx>
          <w:tblW w:w="5000" w:type="pct"/>
          <w:tblLook w:val="04A0"/>
        </w:tblPrEx>
        <w:trPr>
          <w:trHeight w:val="520"/>
        </w:trPr>
        <w:tc>
          <w:tcPr>
            <w:tcW w:w="520" w:type="pct"/>
            <w:vMerge/>
            <w:vAlign w:val="center"/>
            <w:hideMark/>
          </w:tcPr>
          <w:p w:rsidR="00EF6610" w:rsidRPr="0053619D" w:rsidP="00EF6610" w14:paraId="46517B03"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vAlign w:val="center"/>
            <w:hideMark/>
          </w:tcPr>
          <w:p w:rsidR="00EF6610" w:rsidRPr="0053619D" w:rsidP="00EF6610" w14:paraId="3EE8FD47"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Monetized $millions/year</w:t>
            </w:r>
          </w:p>
        </w:tc>
        <w:tc>
          <w:tcPr>
            <w:tcW w:w="544" w:type="pct"/>
            <w:shd w:val="clear" w:color="auto" w:fill="auto"/>
            <w:vAlign w:val="center"/>
            <w:hideMark/>
          </w:tcPr>
          <w:p w:rsidR="00EF6610" w:rsidRPr="0053619D" w:rsidP="00EF6610" w14:paraId="0B4968CF"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90" w:type="pct"/>
            <w:shd w:val="clear" w:color="auto" w:fill="auto"/>
            <w:vAlign w:val="center"/>
            <w:hideMark/>
          </w:tcPr>
          <w:p w:rsidR="00EF6610" w:rsidRPr="0053619D" w:rsidP="00EF6610" w14:paraId="1A4682C7"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601" w:type="pct"/>
            <w:shd w:val="clear" w:color="auto" w:fill="auto"/>
            <w:vAlign w:val="center"/>
            <w:hideMark/>
          </w:tcPr>
          <w:p w:rsidR="00EF6610" w:rsidRPr="0053619D" w:rsidP="00EF6610" w14:paraId="1E13BAE7"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442" w:type="pct"/>
            <w:shd w:val="clear" w:color="auto" w:fill="auto"/>
            <w:vAlign w:val="center"/>
            <w:hideMark/>
          </w:tcPr>
          <w:p w:rsidR="00EF6610" w:rsidRPr="0053619D" w:rsidP="00EF6610" w14:paraId="75F5E2A4" w14:textId="77777777">
            <w:pPr>
              <w:spacing w:after="0" w:line="240" w:lineRule="auto"/>
              <w:jc w:val="right"/>
              <w:rPr>
                <w:rFonts w:ascii="Times New Roman" w:eastAsia="Times New Roman" w:hAnsi="Times New Roman"/>
                <w:color w:val="000000"/>
                <w:sz w:val="20"/>
                <w:szCs w:val="20"/>
                <w:lang w:eastAsia="ja-JP"/>
              </w:rPr>
            </w:pPr>
          </w:p>
        </w:tc>
        <w:tc>
          <w:tcPr>
            <w:tcW w:w="502" w:type="pct"/>
            <w:shd w:val="clear" w:color="auto" w:fill="auto"/>
            <w:vAlign w:val="center"/>
            <w:hideMark/>
          </w:tcPr>
          <w:p w:rsidR="00EF6610" w:rsidRPr="0053619D" w:rsidP="00EF6610" w14:paraId="7504ACA7" w14:textId="77777777">
            <w:pPr>
              <w:spacing w:after="0" w:line="240" w:lineRule="auto"/>
              <w:jc w:val="center"/>
              <w:rPr>
                <w:rFonts w:ascii="Times New Roman" w:eastAsia="Times New Roman" w:hAnsi="Times New Roman"/>
                <w:color w:val="000000"/>
                <w:sz w:val="20"/>
                <w:szCs w:val="20"/>
                <w:lang w:eastAsia="ja-JP"/>
              </w:rPr>
            </w:pPr>
          </w:p>
        </w:tc>
        <w:tc>
          <w:tcPr>
            <w:tcW w:w="478" w:type="pct"/>
            <w:shd w:val="clear" w:color="auto" w:fill="auto"/>
            <w:vAlign w:val="center"/>
            <w:hideMark/>
          </w:tcPr>
          <w:p w:rsidR="00EF6610" w:rsidRPr="0053619D" w:rsidP="00EF6610" w14:paraId="4F608544" w14:textId="77777777">
            <w:pPr>
              <w:spacing w:after="0" w:line="240" w:lineRule="auto"/>
              <w:rPr>
                <w:rFonts w:ascii="Times New Roman" w:eastAsia="Times New Roman" w:hAnsi="Times New Roman"/>
                <w:color w:val="000000"/>
                <w:sz w:val="20"/>
                <w:szCs w:val="20"/>
                <w:lang w:eastAsia="ja-JP"/>
              </w:rPr>
            </w:pPr>
          </w:p>
        </w:tc>
        <w:tc>
          <w:tcPr>
            <w:tcW w:w="365" w:type="pct"/>
          </w:tcPr>
          <w:p w:rsidR="00EF6610" w:rsidRPr="0053619D" w:rsidP="00EF6610" w14:paraId="44E5729F" w14:textId="77777777">
            <w:pPr>
              <w:spacing w:after="0" w:line="240" w:lineRule="auto"/>
              <w:rPr>
                <w:rFonts w:ascii="Times New Roman" w:eastAsia="Times New Roman" w:hAnsi="Times New Roman"/>
                <w:color w:val="000000"/>
                <w:sz w:val="20"/>
                <w:szCs w:val="20"/>
                <w:lang w:eastAsia="ja-JP"/>
              </w:rPr>
            </w:pPr>
          </w:p>
        </w:tc>
      </w:tr>
      <w:tr w14:paraId="1F5CA120" w14:textId="77777777" w:rsidTr="00604AC6">
        <w:tblPrEx>
          <w:tblW w:w="5000" w:type="pct"/>
          <w:tblLook w:val="04A0"/>
        </w:tblPrEx>
        <w:trPr>
          <w:trHeight w:val="315"/>
        </w:trPr>
        <w:tc>
          <w:tcPr>
            <w:tcW w:w="520" w:type="pct"/>
            <w:vMerge/>
            <w:vAlign w:val="center"/>
            <w:hideMark/>
          </w:tcPr>
          <w:p w:rsidR="00EF6610" w:rsidRPr="0053619D" w:rsidP="00EF6610" w14:paraId="72EB7255" w14:textId="77777777">
            <w:pPr>
              <w:spacing w:after="0" w:line="240" w:lineRule="auto"/>
              <w:rPr>
                <w:rFonts w:ascii="Times New Roman" w:eastAsia="Times New Roman" w:hAnsi="Times New Roman"/>
                <w:color w:val="000000"/>
                <w:sz w:val="20"/>
                <w:szCs w:val="20"/>
                <w:lang w:eastAsia="ja-JP"/>
              </w:rPr>
            </w:pPr>
          </w:p>
        </w:tc>
        <w:tc>
          <w:tcPr>
            <w:tcW w:w="1058" w:type="pct"/>
            <w:shd w:val="clear" w:color="auto" w:fill="auto"/>
            <w:hideMark/>
          </w:tcPr>
          <w:p w:rsidR="00EF6610" w:rsidRPr="0053619D" w:rsidP="00EF6610" w14:paraId="4D8E1BC4"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w:t>
            </w:r>
          </w:p>
        </w:tc>
        <w:tc>
          <w:tcPr>
            <w:tcW w:w="1635" w:type="pct"/>
            <w:gridSpan w:val="3"/>
            <w:shd w:val="clear" w:color="auto" w:fill="auto"/>
            <w:vAlign w:val="center"/>
            <w:hideMark/>
          </w:tcPr>
          <w:p w:rsidR="00EF6610" w:rsidRPr="0053619D" w:rsidP="00EF6610" w14:paraId="5FCC15D4"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From:</w:t>
            </w:r>
          </w:p>
        </w:tc>
        <w:tc>
          <w:tcPr>
            <w:tcW w:w="1422" w:type="pct"/>
            <w:gridSpan w:val="3"/>
            <w:shd w:val="clear" w:color="auto" w:fill="auto"/>
            <w:vAlign w:val="center"/>
            <w:hideMark/>
          </w:tcPr>
          <w:p w:rsidR="00EF6610" w:rsidRPr="0053619D" w:rsidP="00EF6610" w14:paraId="336E47E0"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To:</w:t>
            </w:r>
          </w:p>
        </w:tc>
        <w:tc>
          <w:tcPr>
            <w:tcW w:w="365" w:type="pct"/>
          </w:tcPr>
          <w:p w:rsidR="00EF6610" w:rsidRPr="0053619D" w:rsidP="00EF6610" w14:paraId="28C81865" w14:textId="77777777">
            <w:pPr>
              <w:spacing w:after="0" w:line="240" w:lineRule="auto"/>
              <w:rPr>
                <w:rFonts w:ascii="Times New Roman" w:eastAsia="Times New Roman" w:hAnsi="Times New Roman"/>
                <w:color w:val="000000"/>
                <w:sz w:val="20"/>
                <w:szCs w:val="20"/>
                <w:lang w:eastAsia="ja-JP"/>
              </w:rPr>
            </w:pPr>
          </w:p>
        </w:tc>
      </w:tr>
      <w:tr w14:paraId="35E9DDBE" w14:textId="77777777" w:rsidTr="00EF6610">
        <w:tblPrEx>
          <w:tblW w:w="5000" w:type="pct"/>
          <w:tblLook w:val="04A0"/>
        </w:tblPrEx>
        <w:trPr>
          <w:trHeight w:val="300"/>
        </w:trPr>
        <w:tc>
          <w:tcPr>
            <w:tcW w:w="520" w:type="pct"/>
            <w:shd w:val="clear" w:color="auto" w:fill="auto"/>
            <w:vAlign w:val="center"/>
            <w:hideMark/>
          </w:tcPr>
          <w:p w:rsidR="00EF6610" w:rsidRPr="0053619D" w:rsidP="00EF6610" w14:paraId="3F9E1893"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Effects</w:t>
            </w:r>
          </w:p>
        </w:tc>
        <w:tc>
          <w:tcPr>
            <w:tcW w:w="4480" w:type="pct"/>
            <w:gridSpan w:val="8"/>
            <w:shd w:val="clear" w:color="auto" w:fill="auto"/>
            <w:vAlign w:val="center"/>
            <w:hideMark/>
          </w:tcPr>
          <w:p w:rsidR="00EF6610" w:rsidRPr="0053619D" w:rsidP="00EF6610" w14:paraId="2F2191FA" w14:textId="77777777">
            <w:pPr>
              <w:spacing w:after="0" w:line="240" w:lineRule="auto"/>
              <w:rPr>
                <w:rFonts w:ascii="Times New Roman" w:eastAsia="Times New Roman" w:hAnsi="Times New Roman"/>
                <w:color w:val="000000"/>
                <w:sz w:val="20"/>
                <w:szCs w:val="20"/>
                <w:lang w:eastAsia="ja-JP"/>
              </w:rPr>
            </w:pPr>
            <w:r w:rsidRPr="0053619D">
              <w:rPr>
                <w:rFonts w:ascii="Times New Roman" w:eastAsia="Times New Roman" w:hAnsi="Times New Roman"/>
                <w:color w:val="000000"/>
                <w:sz w:val="20"/>
                <w:szCs w:val="20"/>
                <w:lang w:eastAsia="ja-JP"/>
              </w:rPr>
              <w:t xml:space="preserve">State, Local or Tribal Government: </w:t>
            </w:r>
          </w:p>
        </w:tc>
      </w:tr>
    </w:tbl>
    <w:p w:rsidR="00634FFC" w:rsidP="00C2449F" w14:paraId="3F2708B7" w14:textId="77777777">
      <w:pPr>
        <w:spacing w:after="0" w:line="480" w:lineRule="auto"/>
        <w:contextualSpacing/>
        <w:jc w:val="center"/>
        <w:rPr>
          <w:rFonts w:ascii="Times New Roman" w:eastAsia="Times New Roman" w:hAnsi="Times New Roman"/>
          <w:i/>
          <w:sz w:val="24"/>
          <w:szCs w:val="24"/>
        </w:rPr>
      </w:pPr>
    </w:p>
    <w:p w:rsidR="00C2449F" w:rsidP="00C2449F" w14:paraId="52157785" w14:textId="2FEA00A2">
      <w:pPr>
        <w:spacing w:after="0" w:line="480" w:lineRule="auto"/>
        <w:contextualSpacing/>
        <w:jc w:val="center"/>
        <w:rPr>
          <w:rFonts w:ascii="Times New Roman" w:eastAsia="Times New Roman" w:hAnsi="Times New Roman"/>
          <w:i/>
          <w:sz w:val="24"/>
          <w:szCs w:val="24"/>
        </w:rPr>
      </w:pPr>
      <w:r>
        <w:rPr>
          <w:rFonts w:ascii="Times New Roman" w:eastAsia="Times New Roman" w:hAnsi="Times New Roman"/>
          <w:i/>
          <w:sz w:val="24"/>
          <w:szCs w:val="24"/>
        </w:rPr>
        <w:t>D.  Costs of the Rule</w:t>
      </w:r>
    </w:p>
    <w:p w:rsidR="00257E40" w:rsidP="20495A73" w14:paraId="7AD4841F" w14:textId="7A3785F2">
      <w:pPr>
        <w:spacing w:after="0" w:line="480" w:lineRule="auto"/>
        <w:ind w:firstLine="720"/>
        <w:contextualSpacing/>
        <w:rPr>
          <w:rFonts w:ascii="Times New Roman" w:hAnsi="Times New Roman"/>
          <w:sz w:val="24"/>
          <w:szCs w:val="24"/>
        </w:rPr>
      </w:pPr>
      <w:r w:rsidRPr="20495A73">
        <w:rPr>
          <w:rFonts w:ascii="Times New Roman" w:hAnsi="Times New Roman"/>
          <w:sz w:val="24"/>
          <w:szCs w:val="24"/>
        </w:rPr>
        <w:t xml:space="preserve">We anticipate that IRBs affected by this rule will incur costs associated with reading and </w:t>
      </w:r>
      <w:r w:rsidR="003D7FF7">
        <w:rPr>
          <w:rFonts w:ascii="Times New Roman" w:hAnsi="Times New Roman"/>
          <w:sz w:val="24"/>
          <w:szCs w:val="24"/>
        </w:rPr>
        <w:t>learning</w:t>
      </w:r>
      <w:r w:rsidRPr="20495A73" w:rsidR="003D7FF7">
        <w:rPr>
          <w:rFonts w:ascii="Times New Roman" w:hAnsi="Times New Roman"/>
          <w:sz w:val="24"/>
          <w:szCs w:val="24"/>
        </w:rPr>
        <w:t xml:space="preserve"> </w:t>
      </w:r>
      <w:r w:rsidRPr="20495A73">
        <w:rPr>
          <w:rFonts w:ascii="Times New Roman" w:hAnsi="Times New Roman"/>
          <w:sz w:val="24"/>
          <w:szCs w:val="24"/>
        </w:rPr>
        <w:t xml:space="preserve">the rule.  We estimate that IRB members, clinical investigators, and sponsors of </w:t>
      </w:r>
      <w:r w:rsidR="00587A6B">
        <w:rPr>
          <w:rFonts w:ascii="Times New Roman" w:hAnsi="Times New Roman"/>
          <w:sz w:val="24"/>
          <w:szCs w:val="24"/>
        </w:rPr>
        <w:t xml:space="preserve">FDA-regulated </w:t>
      </w:r>
      <w:r w:rsidRPr="20495A73">
        <w:rPr>
          <w:rFonts w:ascii="Times New Roman" w:hAnsi="Times New Roman"/>
          <w:sz w:val="24"/>
          <w:szCs w:val="24"/>
        </w:rPr>
        <w:t xml:space="preserve">clinical </w:t>
      </w:r>
      <w:r w:rsidRPr="20495A73" w:rsidR="00FD1714">
        <w:rPr>
          <w:rFonts w:ascii="Times New Roman" w:hAnsi="Times New Roman"/>
          <w:sz w:val="24"/>
          <w:szCs w:val="24"/>
        </w:rPr>
        <w:t>investigation</w:t>
      </w:r>
      <w:r w:rsidRPr="20495A73">
        <w:rPr>
          <w:rFonts w:ascii="Times New Roman" w:hAnsi="Times New Roman"/>
          <w:sz w:val="24"/>
          <w:szCs w:val="24"/>
        </w:rPr>
        <w:t xml:space="preserve">s will read the rule. </w:t>
      </w:r>
      <w:r w:rsidR="00F45386">
        <w:rPr>
          <w:rFonts w:ascii="Times New Roman" w:hAnsi="Times New Roman"/>
          <w:sz w:val="24"/>
          <w:szCs w:val="24"/>
        </w:rPr>
        <w:t xml:space="preserve"> </w:t>
      </w:r>
      <w:r w:rsidRPr="20495A73">
        <w:rPr>
          <w:rFonts w:ascii="Times New Roman" w:hAnsi="Times New Roman"/>
          <w:sz w:val="24"/>
          <w:szCs w:val="24"/>
        </w:rPr>
        <w:t xml:space="preserve">To estimate the associated </w:t>
      </w:r>
      <w:r w:rsidR="00A17445">
        <w:rPr>
          <w:rFonts w:ascii="Times New Roman" w:hAnsi="Times New Roman"/>
          <w:sz w:val="24"/>
          <w:szCs w:val="24"/>
        </w:rPr>
        <w:t xml:space="preserve">reading </w:t>
      </w:r>
      <w:r w:rsidRPr="20495A73">
        <w:rPr>
          <w:rFonts w:ascii="Times New Roman" w:hAnsi="Times New Roman"/>
          <w:sz w:val="24"/>
          <w:szCs w:val="24"/>
        </w:rPr>
        <w:t>costs</w:t>
      </w:r>
      <w:r w:rsidR="00342A5F">
        <w:rPr>
          <w:rFonts w:ascii="Times New Roman" w:hAnsi="Times New Roman"/>
          <w:sz w:val="24"/>
          <w:szCs w:val="24"/>
        </w:rPr>
        <w:t xml:space="preserve"> for </w:t>
      </w:r>
      <w:r w:rsidR="00342A5F">
        <w:rPr>
          <w:rFonts w:ascii="Times New Roman" w:hAnsi="Times New Roman"/>
          <w:sz w:val="24"/>
          <w:szCs w:val="24"/>
        </w:rPr>
        <w:t>IRBs</w:t>
      </w:r>
      <w:r w:rsidRPr="20495A73">
        <w:rPr>
          <w:rFonts w:ascii="Times New Roman" w:hAnsi="Times New Roman"/>
          <w:sz w:val="24"/>
          <w:szCs w:val="24"/>
        </w:rPr>
        <w:t xml:space="preserve">, </w:t>
      </w:r>
      <w:r w:rsidRPr="20495A73" w:rsidR="009C2061">
        <w:rPr>
          <w:rFonts w:ascii="Times New Roman" w:hAnsi="Times New Roman"/>
          <w:sz w:val="24"/>
          <w:szCs w:val="24"/>
        </w:rPr>
        <w:t xml:space="preserve">we </w:t>
      </w:r>
      <w:r w:rsidRPr="20495A73">
        <w:rPr>
          <w:rFonts w:ascii="Times New Roman" w:hAnsi="Times New Roman"/>
          <w:sz w:val="24"/>
          <w:szCs w:val="24"/>
        </w:rPr>
        <w:t xml:space="preserve">conducted a search for active IRBs regulated by both FDA and the </w:t>
      </w:r>
      <w:r w:rsidR="006B0DC5">
        <w:rPr>
          <w:rFonts w:ascii="Times New Roman" w:hAnsi="Times New Roman"/>
          <w:sz w:val="24"/>
          <w:szCs w:val="24"/>
        </w:rPr>
        <w:t xml:space="preserve">HHS </w:t>
      </w:r>
      <w:r w:rsidRPr="20495A73">
        <w:rPr>
          <w:rFonts w:ascii="Times New Roman" w:hAnsi="Times New Roman"/>
          <w:sz w:val="24"/>
          <w:szCs w:val="24"/>
        </w:rPr>
        <w:t xml:space="preserve">Office for Human Research Protections (OHRP) in the “Office for Human Research Protections (OHRP) Database for Registered IRB Organizations (IORGs) &amp; IRBs, Approved </w:t>
      </w:r>
      <w:r w:rsidRPr="20495A73">
        <w:rPr>
          <w:rFonts w:ascii="Times New Roman" w:hAnsi="Times New Roman"/>
          <w:sz w:val="24"/>
          <w:szCs w:val="24"/>
        </w:rPr>
        <w:t>Federalwide</w:t>
      </w:r>
      <w:r w:rsidRPr="20495A73">
        <w:rPr>
          <w:rFonts w:ascii="Times New Roman" w:hAnsi="Times New Roman"/>
          <w:sz w:val="24"/>
          <w:szCs w:val="24"/>
        </w:rPr>
        <w:t xml:space="preserve"> assurances (FWAs), and Documents Received in the Last 60 Days” (Ref. </w:t>
      </w:r>
      <w:r w:rsidRPr="20495A73" w:rsidR="00760F2A">
        <w:rPr>
          <w:rFonts w:ascii="Times New Roman" w:hAnsi="Times New Roman"/>
          <w:sz w:val="24"/>
          <w:szCs w:val="24"/>
        </w:rPr>
        <w:t>1</w:t>
      </w:r>
      <w:r w:rsidRPr="20495A73">
        <w:rPr>
          <w:rFonts w:ascii="Times New Roman" w:hAnsi="Times New Roman"/>
          <w:sz w:val="24"/>
          <w:szCs w:val="24"/>
        </w:rPr>
        <w:t xml:space="preserve">).  Using these data, </w:t>
      </w:r>
      <w:r w:rsidRPr="20495A73" w:rsidR="009C2061">
        <w:rPr>
          <w:rFonts w:ascii="Times New Roman" w:hAnsi="Times New Roman"/>
          <w:sz w:val="24"/>
          <w:szCs w:val="24"/>
        </w:rPr>
        <w:t>we</w:t>
      </w:r>
      <w:r w:rsidRPr="20495A73">
        <w:rPr>
          <w:rFonts w:ascii="Times New Roman" w:hAnsi="Times New Roman"/>
          <w:sz w:val="24"/>
          <w:szCs w:val="24"/>
        </w:rPr>
        <w:t xml:space="preserve"> estimate that there are 2,507 active IRBs regulated by both HHS and FDA, and 68 IRBs regulated exclusively by FDA, yielding 2,575 (= 2,507 + 68) IRBs affected by the rule.</w:t>
      </w:r>
      <w:r w:rsidR="00B52870">
        <w:rPr>
          <w:rFonts w:ascii="Times New Roman" w:hAnsi="Times New Roman"/>
          <w:sz w:val="24"/>
          <w:szCs w:val="24"/>
        </w:rPr>
        <w:t xml:space="preserve"> </w:t>
      </w:r>
      <w:r w:rsidRPr="20495A73">
        <w:rPr>
          <w:rFonts w:ascii="Times New Roman" w:hAnsi="Times New Roman"/>
          <w:sz w:val="24"/>
          <w:szCs w:val="24"/>
        </w:rPr>
        <w:t xml:space="preserve"> </w:t>
      </w:r>
      <w:r w:rsidR="006E6944">
        <w:rPr>
          <w:rFonts w:ascii="Times New Roman" w:hAnsi="Times New Roman"/>
          <w:sz w:val="24"/>
          <w:szCs w:val="24"/>
        </w:rPr>
        <w:t>We estimate that a</w:t>
      </w:r>
      <w:r w:rsidRPr="20495A73">
        <w:rPr>
          <w:rFonts w:ascii="Times New Roman" w:hAnsi="Times New Roman"/>
          <w:sz w:val="24"/>
          <w:szCs w:val="24"/>
        </w:rPr>
        <w:t xml:space="preserve">ll IRBs affected by this rule will incur a one-time cost in the form of time spent reading the rule.  We estimate that IRB </w:t>
      </w:r>
      <w:r w:rsidR="002F4612">
        <w:rPr>
          <w:rFonts w:ascii="Times New Roman" w:hAnsi="Times New Roman"/>
          <w:sz w:val="24"/>
          <w:szCs w:val="24"/>
        </w:rPr>
        <w:t>staff</w:t>
      </w:r>
      <w:r w:rsidRPr="20495A73" w:rsidR="002F4612">
        <w:rPr>
          <w:rFonts w:ascii="Times New Roman" w:hAnsi="Times New Roman"/>
          <w:sz w:val="24"/>
          <w:szCs w:val="24"/>
        </w:rPr>
        <w:t xml:space="preserve"> </w:t>
      </w:r>
      <w:r w:rsidRPr="20495A73">
        <w:rPr>
          <w:rFonts w:ascii="Times New Roman" w:hAnsi="Times New Roman"/>
          <w:sz w:val="24"/>
          <w:szCs w:val="24"/>
        </w:rPr>
        <w:t xml:space="preserve">(including IRB administrators, chairs, 10 voting members, and administrative staff) will read the rule, and that the rule contains approximately 21,500 words.  We follow HHS guidance on reading speed (Ref. </w:t>
      </w:r>
      <w:r w:rsidRPr="20495A73" w:rsidR="00191ED7">
        <w:rPr>
          <w:rFonts w:ascii="Times New Roman" w:hAnsi="Times New Roman"/>
          <w:sz w:val="24"/>
          <w:szCs w:val="24"/>
        </w:rPr>
        <w:t>2</w:t>
      </w:r>
      <w:r w:rsidRPr="20495A73">
        <w:rPr>
          <w:rFonts w:ascii="Times New Roman" w:hAnsi="Times New Roman"/>
          <w:sz w:val="24"/>
          <w:szCs w:val="24"/>
        </w:rPr>
        <w:t xml:space="preserve">) and estimate that affected individuals will read the rule at a speed of approximately 225 words per minute, the midpoint of 200 and 250 words per minute.  The per hour reading speed is approximately 13,500 words (= 225 x 60), yielding a time burden of approximately 1.59 hours (= 21,500 / 13,500).  </w:t>
      </w:r>
    </w:p>
    <w:p w:rsidR="008512B6" w:rsidRPr="003238BC" w:rsidP="008512B6" w14:paraId="786E4058" w14:textId="0A252EE8">
      <w:pPr>
        <w:spacing w:after="0" w:line="480" w:lineRule="auto"/>
        <w:ind w:firstLine="720"/>
        <w:rPr>
          <w:rFonts w:ascii="Times New Roman" w:hAnsi="Times New Roman"/>
          <w:sz w:val="24"/>
          <w:szCs w:val="24"/>
        </w:rPr>
      </w:pPr>
      <w:r>
        <w:rPr>
          <w:rFonts w:ascii="Times New Roman" w:hAnsi="Times New Roman"/>
          <w:sz w:val="24"/>
          <w:szCs w:val="24"/>
        </w:rPr>
        <w:t xml:space="preserve">To </w:t>
      </w:r>
      <w:r w:rsidR="00BE2400">
        <w:rPr>
          <w:rFonts w:ascii="Times New Roman" w:hAnsi="Times New Roman"/>
          <w:sz w:val="24"/>
          <w:szCs w:val="24"/>
        </w:rPr>
        <w:t>evaluate</w:t>
      </w:r>
      <w:r>
        <w:rPr>
          <w:rFonts w:ascii="Times New Roman" w:hAnsi="Times New Roman"/>
          <w:sz w:val="24"/>
          <w:szCs w:val="24"/>
        </w:rPr>
        <w:t xml:space="preserve"> associated costs for </w:t>
      </w:r>
      <w:r w:rsidR="00A17445">
        <w:rPr>
          <w:rFonts w:ascii="Times New Roman" w:hAnsi="Times New Roman"/>
          <w:sz w:val="24"/>
          <w:szCs w:val="24"/>
        </w:rPr>
        <w:t>investigators and sponsors</w:t>
      </w:r>
      <w:r w:rsidR="001C2B03">
        <w:rPr>
          <w:rFonts w:ascii="Times New Roman" w:hAnsi="Times New Roman"/>
          <w:sz w:val="24"/>
          <w:szCs w:val="24"/>
        </w:rPr>
        <w:t xml:space="preserve"> who </w:t>
      </w:r>
      <w:r w:rsidR="00936076">
        <w:rPr>
          <w:rFonts w:ascii="Times New Roman" w:hAnsi="Times New Roman"/>
          <w:sz w:val="24"/>
          <w:szCs w:val="24"/>
        </w:rPr>
        <w:t>will</w:t>
      </w:r>
      <w:r w:rsidR="002101DE">
        <w:rPr>
          <w:rFonts w:ascii="Times New Roman" w:hAnsi="Times New Roman"/>
          <w:sz w:val="24"/>
          <w:szCs w:val="24"/>
        </w:rPr>
        <w:t xml:space="preserve"> </w:t>
      </w:r>
      <w:r w:rsidR="001C2B03">
        <w:rPr>
          <w:rFonts w:ascii="Times New Roman" w:hAnsi="Times New Roman"/>
          <w:sz w:val="24"/>
          <w:szCs w:val="24"/>
        </w:rPr>
        <w:t xml:space="preserve">read </w:t>
      </w:r>
      <w:r w:rsidR="002101DE">
        <w:rPr>
          <w:rFonts w:ascii="Times New Roman" w:hAnsi="Times New Roman"/>
          <w:sz w:val="24"/>
          <w:szCs w:val="24"/>
        </w:rPr>
        <w:t xml:space="preserve">and learn </w:t>
      </w:r>
      <w:r w:rsidR="001C2B03">
        <w:rPr>
          <w:rFonts w:ascii="Times New Roman" w:hAnsi="Times New Roman"/>
          <w:sz w:val="24"/>
          <w:szCs w:val="24"/>
        </w:rPr>
        <w:t>this rule in order to draft a waiver or alteration request, we estimated the</w:t>
      </w:r>
      <w:r>
        <w:rPr>
          <w:rFonts w:ascii="Times New Roman" w:hAnsi="Times New Roman"/>
          <w:sz w:val="24"/>
          <w:szCs w:val="24"/>
        </w:rPr>
        <w:t xml:space="preserve"> number of studies that potentially qualify for a waiver or alteration of informed consent</w:t>
      </w:r>
      <w:r w:rsidR="001C2B03">
        <w:rPr>
          <w:rFonts w:ascii="Times New Roman" w:hAnsi="Times New Roman"/>
          <w:sz w:val="24"/>
          <w:szCs w:val="24"/>
        </w:rPr>
        <w:t>.  For this estimate,</w:t>
      </w:r>
      <w:r>
        <w:rPr>
          <w:rFonts w:ascii="Times New Roman" w:hAnsi="Times New Roman"/>
          <w:sz w:val="24"/>
          <w:szCs w:val="24"/>
        </w:rPr>
        <w:t xml:space="preserve"> we </w:t>
      </w:r>
      <w:r w:rsidR="009970BD">
        <w:rPr>
          <w:rFonts w:ascii="Times New Roman" w:hAnsi="Times New Roman"/>
          <w:sz w:val="24"/>
          <w:szCs w:val="24"/>
        </w:rPr>
        <w:t>selected</w:t>
      </w:r>
      <w:r>
        <w:rPr>
          <w:rFonts w:ascii="Times New Roman" w:hAnsi="Times New Roman"/>
          <w:sz w:val="24"/>
          <w:szCs w:val="24"/>
        </w:rPr>
        <w:t xml:space="preserve"> all studies </w:t>
      </w:r>
      <w:r w:rsidR="009970BD">
        <w:rPr>
          <w:rFonts w:ascii="Times New Roman" w:hAnsi="Times New Roman"/>
          <w:sz w:val="24"/>
          <w:szCs w:val="24"/>
        </w:rPr>
        <w:t xml:space="preserve">from ClinicalTrials.gov </w:t>
      </w:r>
      <w:r w:rsidR="004360E0">
        <w:rPr>
          <w:rFonts w:ascii="Times New Roman" w:hAnsi="Times New Roman"/>
          <w:sz w:val="24"/>
          <w:szCs w:val="24"/>
        </w:rPr>
        <w:t xml:space="preserve">registered as having </w:t>
      </w:r>
      <w:r>
        <w:rPr>
          <w:rFonts w:ascii="Times New Roman" w:hAnsi="Times New Roman"/>
          <w:sz w:val="24"/>
          <w:szCs w:val="24"/>
        </w:rPr>
        <w:t>start</w:t>
      </w:r>
      <w:r w:rsidR="004360E0">
        <w:rPr>
          <w:rFonts w:ascii="Times New Roman" w:hAnsi="Times New Roman"/>
          <w:sz w:val="24"/>
          <w:szCs w:val="24"/>
        </w:rPr>
        <w:t>ed</w:t>
      </w:r>
      <w:r>
        <w:rPr>
          <w:rFonts w:ascii="Times New Roman" w:hAnsi="Times New Roman"/>
          <w:sz w:val="24"/>
          <w:szCs w:val="24"/>
        </w:rPr>
        <w:t xml:space="preserve"> in calendar year 2021, </w:t>
      </w:r>
      <w:r w:rsidR="00A567DD">
        <w:rPr>
          <w:rFonts w:ascii="Times New Roman" w:hAnsi="Times New Roman"/>
          <w:sz w:val="24"/>
          <w:szCs w:val="24"/>
        </w:rPr>
        <w:t xml:space="preserve">applied </w:t>
      </w:r>
      <w:r>
        <w:rPr>
          <w:rFonts w:ascii="Times New Roman" w:hAnsi="Times New Roman"/>
          <w:sz w:val="24"/>
          <w:szCs w:val="24"/>
        </w:rPr>
        <w:t xml:space="preserve"> exclusion parameters,</w:t>
      </w:r>
      <w:r>
        <w:rPr>
          <w:rStyle w:val="FootnoteReference"/>
          <w:sz w:val="24"/>
          <w:szCs w:val="24"/>
        </w:rPr>
        <w:footnoteReference w:id="4"/>
      </w:r>
      <w:r w:rsidRPr="6E59E866" w:rsidR="0036584D">
        <w:rPr>
          <w:rFonts w:ascii="Times New Roman" w:hAnsi="Times New Roman"/>
          <w:sz w:val="24"/>
          <w:szCs w:val="24"/>
        </w:rPr>
        <w:t xml:space="preserve"> </w:t>
      </w:r>
      <w:r>
        <w:rPr>
          <w:rFonts w:ascii="Times New Roman" w:hAnsi="Times New Roman"/>
          <w:sz w:val="24"/>
          <w:szCs w:val="24"/>
        </w:rPr>
        <w:t>and ended with 2,201</w:t>
      </w:r>
      <w:r w:rsidRPr="6E59E866">
        <w:rPr>
          <w:rFonts w:ascii="Times New Roman" w:hAnsi="Times New Roman"/>
          <w:sz w:val="24"/>
          <w:szCs w:val="24"/>
        </w:rPr>
        <w:t xml:space="preserve"> </w:t>
      </w:r>
      <w:r>
        <w:rPr>
          <w:rFonts w:ascii="Times New Roman" w:hAnsi="Times New Roman"/>
          <w:sz w:val="24"/>
          <w:szCs w:val="24"/>
        </w:rPr>
        <w:t xml:space="preserve">studies from ClinicalTrials.gov </w:t>
      </w:r>
      <w:r w:rsidR="00870AD9">
        <w:rPr>
          <w:rFonts w:ascii="Times New Roman" w:hAnsi="Times New Roman"/>
          <w:sz w:val="24"/>
          <w:szCs w:val="24"/>
        </w:rPr>
        <w:t xml:space="preserve">that include </w:t>
      </w:r>
      <w:r w:rsidR="00481E9C">
        <w:rPr>
          <w:rFonts w:ascii="Times New Roman" w:hAnsi="Times New Roman"/>
          <w:sz w:val="24"/>
          <w:szCs w:val="24"/>
        </w:rPr>
        <w:t>those</w:t>
      </w:r>
      <w:r w:rsidR="00870AD9">
        <w:rPr>
          <w:rFonts w:ascii="Times New Roman" w:hAnsi="Times New Roman"/>
          <w:sz w:val="24"/>
          <w:szCs w:val="24"/>
        </w:rPr>
        <w:t xml:space="preserve"> </w:t>
      </w:r>
      <w:r w:rsidRPr="00C56B37">
        <w:rPr>
          <w:rFonts w:ascii="Times New Roman" w:hAnsi="Times New Roman"/>
          <w:sz w:val="24"/>
          <w:szCs w:val="24"/>
        </w:rPr>
        <w:t xml:space="preserve">most likely </w:t>
      </w:r>
      <w:r>
        <w:rPr>
          <w:rFonts w:ascii="Times New Roman" w:hAnsi="Times New Roman"/>
          <w:sz w:val="24"/>
          <w:szCs w:val="24"/>
        </w:rPr>
        <w:t>to be</w:t>
      </w:r>
      <w:r w:rsidRPr="00C56B37">
        <w:rPr>
          <w:rFonts w:ascii="Times New Roman" w:hAnsi="Times New Roman"/>
          <w:sz w:val="24"/>
          <w:szCs w:val="24"/>
        </w:rPr>
        <w:t xml:space="preserve"> minimal risk clinical investigation</w:t>
      </w:r>
      <w:r>
        <w:rPr>
          <w:rFonts w:ascii="Times New Roman" w:hAnsi="Times New Roman"/>
          <w:sz w:val="24"/>
          <w:szCs w:val="24"/>
        </w:rPr>
        <w:t>s</w:t>
      </w:r>
      <w:r w:rsidR="00870AD9">
        <w:rPr>
          <w:rFonts w:ascii="Times New Roman" w:hAnsi="Times New Roman"/>
          <w:sz w:val="24"/>
          <w:szCs w:val="24"/>
        </w:rPr>
        <w:t>,</w:t>
      </w:r>
      <w:r>
        <w:rPr>
          <w:rFonts w:ascii="Times New Roman" w:hAnsi="Times New Roman"/>
          <w:sz w:val="24"/>
          <w:szCs w:val="24"/>
        </w:rPr>
        <w:t xml:space="preserve"> but </w:t>
      </w:r>
      <w:r w:rsidR="00F64A85">
        <w:rPr>
          <w:rFonts w:ascii="Times New Roman" w:hAnsi="Times New Roman"/>
          <w:sz w:val="24"/>
          <w:szCs w:val="24"/>
        </w:rPr>
        <w:t>are</w:t>
      </w:r>
      <w:r>
        <w:rPr>
          <w:rFonts w:ascii="Times New Roman" w:hAnsi="Times New Roman"/>
          <w:sz w:val="24"/>
          <w:szCs w:val="24"/>
        </w:rPr>
        <w:t xml:space="preserve"> not limited to such clinical investigations.</w:t>
      </w:r>
      <w:r>
        <w:rPr>
          <w:rFonts w:ascii="Times New Roman" w:hAnsi="Times New Roman"/>
          <w:bCs/>
          <w:sz w:val="24"/>
          <w:szCs w:val="24"/>
        </w:rPr>
        <w:t xml:space="preserve">  For example, d</w:t>
      </w:r>
      <w:r w:rsidRPr="009A060F">
        <w:rPr>
          <w:rFonts w:ascii="Times New Roman" w:hAnsi="Times New Roman"/>
          <w:bCs/>
          <w:sz w:val="24"/>
          <w:szCs w:val="24"/>
        </w:rPr>
        <w:t xml:space="preserve">evice studies reported on ClinicalTrials.gov as not </w:t>
      </w:r>
      <w:r>
        <w:rPr>
          <w:rFonts w:ascii="Times New Roman" w:hAnsi="Times New Roman"/>
          <w:bCs/>
          <w:sz w:val="24"/>
          <w:szCs w:val="24"/>
        </w:rPr>
        <w:t>having</w:t>
      </w:r>
      <w:r w:rsidRPr="009A060F">
        <w:rPr>
          <w:rFonts w:ascii="Times New Roman" w:hAnsi="Times New Roman"/>
          <w:bCs/>
          <w:sz w:val="24"/>
          <w:szCs w:val="24"/>
        </w:rPr>
        <w:t xml:space="preserve"> an IDE </w:t>
      </w:r>
      <w:r>
        <w:rPr>
          <w:rFonts w:ascii="Times New Roman" w:hAnsi="Times New Roman"/>
          <w:bCs/>
          <w:sz w:val="24"/>
          <w:szCs w:val="24"/>
        </w:rPr>
        <w:t>would likely include</w:t>
      </w:r>
      <w:r w:rsidRPr="009A060F">
        <w:rPr>
          <w:rFonts w:ascii="Times New Roman" w:hAnsi="Times New Roman"/>
          <w:bCs/>
          <w:sz w:val="24"/>
          <w:szCs w:val="24"/>
        </w:rPr>
        <w:t xml:space="preserve"> </w:t>
      </w:r>
      <w:r>
        <w:rPr>
          <w:rFonts w:ascii="Times New Roman" w:hAnsi="Times New Roman"/>
          <w:bCs/>
          <w:sz w:val="24"/>
          <w:szCs w:val="24"/>
        </w:rPr>
        <w:t xml:space="preserve">studies of </w:t>
      </w:r>
      <w:r w:rsidRPr="009A060F">
        <w:rPr>
          <w:rFonts w:ascii="Times New Roman" w:hAnsi="Times New Roman"/>
          <w:bCs/>
          <w:sz w:val="24"/>
          <w:szCs w:val="24"/>
        </w:rPr>
        <w:t>“non</w:t>
      </w:r>
      <w:r>
        <w:rPr>
          <w:rFonts w:ascii="Times New Roman" w:hAnsi="Times New Roman"/>
          <w:bCs/>
          <w:sz w:val="24"/>
          <w:szCs w:val="24"/>
        </w:rPr>
        <w:t>-</w:t>
      </w:r>
      <w:r w:rsidRPr="009A060F">
        <w:rPr>
          <w:rFonts w:ascii="Times New Roman" w:hAnsi="Times New Roman"/>
          <w:bCs/>
          <w:sz w:val="24"/>
          <w:szCs w:val="24"/>
        </w:rPr>
        <w:t xml:space="preserve">significant risk” devices that are </w:t>
      </w:r>
      <w:r>
        <w:rPr>
          <w:rFonts w:ascii="Times New Roman" w:hAnsi="Times New Roman"/>
          <w:bCs/>
          <w:sz w:val="24"/>
          <w:szCs w:val="24"/>
        </w:rPr>
        <w:t>conducted under</w:t>
      </w:r>
      <w:r w:rsidRPr="009A060F">
        <w:rPr>
          <w:rFonts w:ascii="Times New Roman" w:hAnsi="Times New Roman"/>
          <w:bCs/>
          <w:sz w:val="24"/>
          <w:szCs w:val="24"/>
        </w:rPr>
        <w:t xml:space="preserve"> the abbreviated IDE requirements.</w:t>
      </w:r>
      <w:r>
        <w:rPr>
          <w:rStyle w:val="FootnoteReference"/>
          <w:bCs/>
          <w:sz w:val="24"/>
          <w:szCs w:val="24"/>
        </w:rPr>
        <w:footnoteReference w:id="5"/>
      </w:r>
      <w:r w:rsidRPr="009A060F">
        <w:rPr>
          <w:rFonts w:ascii="Times New Roman" w:hAnsi="Times New Roman"/>
          <w:bCs/>
          <w:sz w:val="24"/>
          <w:szCs w:val="24"/>
        </w:rPr>
        <w:t xml:space="preserve">  </w:t>
      </w:r>
      <w:r w:rsidRPr="00F40816">
        <w:rPr>
          <w:rFonts w:ascii="Times New Roman" w:hAnsi="Times New Roman"/>
          <w:bCs/>
          <w:sz w:val="24"/>
          <w:szCs w:val="24"/>
        </w:rPr>
        <w:t>As discussed in</w:t>
      </w:r>
      <w:r>
        <w:rPr>
          <w:rFonts w:ascii="Times New Roman" w:hAnsi="Times New Roman"/>
          <w:bCs/>
          <w:sz w:val="24"/>
          <w:szCs w:val="24"/>
        </w:rPr>
        <w:t xml:space="preserve"> </w:t>
      </w:r>
      <w:r w:rsidRPr="00F40816">
        <w:rPr>
          <w:rFonts w:ascii="Times New Roman" w:hAnsi="Times New Roman"/>
          <w:bCs/>
          <w:sz w:val="24"/>
          <w:szCs w:val="24"/>
        </w:rPr>
        <w:t xml:space="preserve">comment </w:t>
      </w:r>
      <w:r>
        <w:rPr>
          <w:rFonts w:ascii="Times New Roman" w:hAnsi="Times New Roman"/>
          <w:bCs/>
          <w:sz w:val="24"/>
          <w:szCs w:val="24"/>
        </w:rPr>
        <w:t xml:space="preserve">response </w:t>
      </w:r>
      <w:r w:rsidRPr="00F40816">
        <w:rPr>
          <w:rFonts w:ascii="Times New Roman" w:hAnsi="Times New Roman"/>
          <w:bCs/>
          <w:sz w:val="24"/>
          <w:szCs w:val="24"/>
        </w:rPr>
        <w:t>11</w:t>
      </w:r>
      <w:r>
        <w:rPr>
          <w:rFonts w:ascii="Times New Roman" w:hAnsi="Times New Roman"/>
          <w:bCs/>
          <w:sz w:val="24"/>
          <w:szCs w:val="24"/>
        </w:rPr>
        <w:t xml:space="preserve"> in the preamble to the final rule</w:t>
      </w:r>
      <w:r w:rsidRPr="00F40816">
        <w:rPr>
          <w:rFonts w:ascii="Times New Roman" w:hAnsi="Times New Roman"/>
          <w:bCs/>
          <w:sz w:val="24"/>
          <w:szCs w:val="24"/>
        </w:rPr>
        <w:t>, “non-significant risk” and “minimal risk” are different concepts that serve different regulatory purposes, so “non-significant risk</w:t>
      </w:r>
      <w:r w:rsidR="00F64A85">
        <w:rPr>
          <w:rFonts w:ascii="Times New Roman" w:hAnsi="Times New Roman"/>
          <w:bCs/>
          <w:sz w:val="24"/>
          <w:szCs w:val="24"/>
        </w:rPr>
        <w:t>”</w:t>
      </w:r>
      <w:r w:rsidRPr="00F40816">
        <w:rPr>
          <w:rFonts w:ascii="Times New Roman" w:hAnsi="Times New Roman"/>
          <w:bCs/>
          <w:sz w:val="24"/>
          <w:szCs w:val="24"/>
        </w:rPr>
        <w:t xml:space="preserve"> device studies </w:t>
      </w:r>
      <w:r>
        <w:rPr>
          <w:rFonts w:ascii="Times New Roman" w:hAnsi="Times New Roman"/>
          <w:bCs/>
          <w:sz w:val="24"/>
          <w:szCs w:val="24"/>
        </w:rPr>
        <w:t>captured</w:t>
      </w:r>
      <w:r w:rsidRPr="00F40816">
        <w:rPr>
          <w:rFonts w:ascii="Times New Roman" w:hAnsi="Times New Roman"/>
          <w:bCs/>
          <w:sz w:val="24"/>
          <w:szCs w:val="24"/>
        </w:rPr>
        <w:t xml:space="preserve"> in our </w:t>
      </w:r>
      <w:r>
        <w:rPr>
          <w:rFonts w:ascii="Times New Roman" w:hAnsi="Times New Roman"/>
          <w:bCs/>
          <w:sz w:val="24"/>
          <w:szCs w:val="24"/>
        </w:rPr>
        <w:t>C</w:t>
      </w:r>
      <w:r w:rsidRPr="00F40816">
        <w:rPr>
          <w:rFonts w:ascii="Times New Roman" w:hAnsi="Times New Roman"/>
          <w:bCs/>
          <w:sz w:val="24"/>
          <w:szCs w:val="24"/>
        </w:rPr>
        <w:t>linical</w:t>
      </w:r>
      <w:r>
        <w:rPr>
          <w:rFonts w:ascii="Times New Roman" w:hAnsi="Times New Roman"/>
          <w:bCs/>
          <w:sz w:val="24"/>
          <w:szCs w:val="24"/>
        </w:rPr>
        <w:t>T</w:t>
      </w:r>
      <w:r w:rsidRPr="00F40816">
        <w:rPr>
          <w:rFonts w:ascii="Times New Roman" w:hAnsi="Times New Roman"/>
          <w:bCs/>
          <w:sz w:val="24"/>
          <w:szCs w:val="24"/>
        </w:rPr>
        <w:t>rials.gov sample may not meet the minimal risk criteri</w:t>
      </w:r>
      <w:r>
        <w:rPr>
          <w:rFonts w:ascii="Times New Roman" w:hAnsi="Times New Roman"/>
          <w:bCs/>
          <w:sz w:val="24"/>
          <w:szCs w:val="24"/>
        </w:rPr>
        <w:t>on at § 50.22(a) for</w:t>
      </w:r>
      <w:r w:rsidRPr="00F40816">
        <w:rPr>
          <w:rFonts w:ascii="Times New Roman" w:hAnsi="Times New Roman"/>
          <w:bCs/>
          <w:sz w:val="24"/>
          <w:szCs w:val="24"/>
        </w:rPr>
        <w:t xml:space="preserve"> a waiver or alteration of consent. </w:t>
      </w:r>
      <w:r w:rsidRPr="00B170FE">
        <w:rPr>
          <w:rFonts w:ascii="Times New Roman" w:hAnsi="Times New Roman"/>
          <w:bCs/>
          <w:sz w:val="24"/>
          <w:szCs w:val="24"/>
        </w:rPr>
        <w:t xml:space="preserve"> </w:t>
      </w:r>
      <w:r w:rsidRPr="00F654BA">
        <w:rPr>
          <w:rFonts w:ascii="Times New Roman" w:hAnsi="Times New Roman"/>
          <w:sz w:val="24"/>
          <w:szCs w:val="24"/>
        </w:rPr>
        <w:t>In addition, not all drug studies that are exempt from the requirement to have an IND would qualify as minimal risk.</w:t>
      </w:r>
      <w:r w:rsidRPr="004736FC">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Cs/>
          <w:sz w:val="24"/>
          <w:szCs w:val="24"/>
        </w:rPr>
        <w:t xml:space="preserve">We therefore </w:t>
      </w:r>
      <w:r w:rsidRPr="00B170FE">
        <w:rPr>
          <w:rFonts w:ascii="Times New Roman" w:hAnsi="Times New Roman"/>
          <w:bCs/>
          <w:sz w:val="24"/>
          <w:szCs w:val="24"/>
        </w:rPr>
        <w:t xml:space="preserve">expect that the </w:t>
      </w:r>
      <w:r>
        <w:rPr>
          <w:rFonts w:ascii="Times New Roman" w:hAnsi="Times New Roman"/>
          <w:bCs/>
          <w:sz w:val="24"/>
          <w:szCs w:val="24"/>
        </w:rPr>
        <w:t xml:space="preserve">2,201 </w:t>
      </w:r>
      <w:r w:rsidRPr="00B170FE">
        <w:rPr>
          <w:rFonts w:ascii="Times New Roman" w:hAnsi="Times New Roman"/>
          <w:bCs/>
          <w:sz w:val="24"/>
          <w:szCs w:val="24"/>
        </w:rPr>
        <w:t>studies identified includes studies that are more than minimal risk</w:t>
      </w:r>
      <w:r>
        <w:rPr>
          <w:rFonts w:ascii="Times New Roman" w:hAnsi="Times New Roman"/>
          <w:bCs/>
          <w:sz w:val="24"/>
          <w:szCs w:val="24"/>
        </w:rPr>
        <w:t>.</w:t>
      </w:r>
      <w:r>
        <w:rPr>
          <w:rFonts w:ascii="Times New Roman" w:hAnsi="Times New Roman"/>
          <w:sz w:val="24"/>
          <w:szCs w:val="24"/>
        </w:rPr>
        <w:t xml:space="preserve">  T</w:t>
      </w:r>
      <w:r w:rsidR="003C5735">
        <w:rPr>
          <w:rFonts w:ascii="Times New Roman" w:hAnsi="Times New Roman"/>
          <w:sz w:val="24"/>
          <w:szCs w:val="24"/>
        </w:rPr>
        <w:t>hey</w:t>
      </w:r>
      <w:r>
        <w:rPr>
          <w:rFonts w:ascii="Times New Roman" w:hAnsi="Times New Roman"/>
          <w:sz w:val="24"/>
          <w:szCs w:val="24"/>
        </w:rPr>
        <w:t xml:space="preserve"> </w:t>
      </w:r>
      <w:r>
        <w:rPr>
          <w:rFonts w:ascii="Times New Roman" w:hAnsi="Times New Roman"/>
          <w:bCs/>
          <w:sz w:val="24"/>
          <w:szCs w:val="24"/>
        </w:rPr>
        <w:t xml:space="preserve">may also include studies that would not be FDA-regulated clinical investigations, as defined at 21 CFR 50.3(c). </w:t>
      </w:r>
    </w:p>
    <w:p w:rsidR="008512B6" w:rsidP="008512B6" w14:paraId="38A75BCB" w14:textId="1BEC940E">
      <w:pPr>
        <w:spacing w:after="0" w:line="480" w:lineRule="auto"/>
        <w:ind w:firstLine="720"/>
        <w:rPr>
          <w:rFonts w:ascii="Times New Roman" w:hAnsi="Times New Roman"/>
          <w:bCs/>
          <w:sz w:val="24"/>
          <w:szCs w:val="24"/>
        </w:rPr>
      </w:pPr>
      <w:r>
        <w:rPr>
          <w:rFonts w:ascii="Times New Roman" w:hAnsi="Times New Roman"/>
          <w:bCs/>
          <w:sz w:val="24"/>
          <w:szCs w:val="24"/>
        </w:rPr>
        <w:t xml:space="preserve">In addition, to qualify for a waiver, </w:t>
      </w:r>
      <w:r w:rsidR="00796B14">
        <w:rPr>
          <w:rFonts w:ascii="Times New Roman" w:hAnsi="Times New Roman"/>
          <w:bCs/>
          <w:sz w:val="24"/>
          <w:szCs w:val="24"/>
        </w:rPr>
        <w:t xml:space="preserve">the </w:t>
      </w:r>
      <w:r>
        <w:rPr>
          <w:rFonts w:ascii="Times New Roman" w:hAnsi="Times New Roman"/>
          <w:bCs/>
          <w:sz w:val="24"/>
          <w:szCs w:val="24"/>
        </w:rPr>
        <w:t xml:space="preserve">studies </w:t>
      </w:r>
      <w:r w:rsidR="00796B14">
        <w:rPr>
          <w:rFonts w:ascii="Times New Roman" w:hAnsi="Times New Roman"/>
          <w:bCs/>
          <w:sz w:val="24"/>
          <w:szCs w:val="24"/>
        </w:rPr>
        <w:t xml:space="preserve">identified </w:t>
      </w:r>
      <w:r w:rsidR="00914D81">
        <w:rPr>
          <w:rFonts w:ascii="Times New Roman" w:hAnsi="Times New Roman"/>
          <w:bCs/>
          <w:sz w:val="24"/>
          <w:szCs w:val="24"/>
        </w:rPr>
        <w:t>here</w:t>
      </w:r>
      <w:r>
        <w:rPr>
          <w:rFonts w:ascii="Times New Roman" w:hAnsi="Times New Roman"/>
          <w:bCs/>
          <w:sz w:val="24"/>
          <w:szCs w:val="24"/>
        </w:rPr>
        <w:t xml:space="preserve"> would need to meet all the requirements outlined in § 50.22, not just the “minimal risk” criterion.  Many of these potential minimal risk investigations may be practicable to conduct without a waiver or alteration of informed consent and thus investigators would be unlikely to request a waiver or alteration for those studies.  Clinical investigators and IRBs have implemented FDA’s general requirements for informed consent at Part 50 for decades; we do not expect clinical investigators to often propose, or for IRBs to often find, that it is impracticable to carry out a clinical investigation without a waiver or alteration of informed consent.  Given these additional considerations, we estimate that, at most, an investigator might request a waiver or alteration of informed consent under new § 50.22 for approximately 25 percent, or 551, of the </w:t>
      </w:r>
      <w:r w:rsidR="004F2000">
        <w:rPr>
          <w:rFonts w:ascii="Times New Roman" w:hAnsi="Times New Roman"/>
          <w:bCs/>
          <w:sz w:val="24"/>
          <w:szCs w:val="24"/>
        </w:rPr>
        <w:t xml:space="preserve">2,201 </w:t>
      </w:r>
      <w:r>
        <w:rPr>
          <w:rFonts w:ascii="Times New Roman" w:hAnsi="Times New Roman"/>
          <w:bCs/>
          <w:sz w:val="24"/>
          <w:szCs w:val="24"/>
        </w:rPr>
        <w:t>investigations identified.</w:t>
      </w:r>
      <w:r>
        <w:rPr>
          <w:rStyle w:val="FootnoteReference"/>
          <w:bCs/>
          <w:sz w:val="24"/>
          <w:szCs w:val="24"/>
        </w:rPr>
        <w:footnoteReference w:id="6"/>
      </w:r>
      <w:r>
        <w:rPr>
          <w:rFonts w:ascii="Times New Roman" w:hAnsi="Times New Roman"/>
          <w:bCs/>
          <w:sz w:val="24"/>
          <w:szCs w:val="24"/>
        </w:rPr>
        <w:t xml:space="preserve">  </w:t>
      </w:r>
      <w:r w:rsidR="00CE2FD3">
        <w:rPr>
          <w:rFonts w:ascii="Times New Roman" w:hAnsi="Times New Roman"/>
          <w:bCs/>
          <w:sz w:val="24"/>
          <w:szCs w:val="24"/>
        </w:rPr>
        <w:t>O</w:t>
      </w:r>
      <w:r>
        <w:rPr>
          <w:rFonts w:ascii="Times New Roman" w:hAnsi="Times New Roman"/>
          <w:bCs/>
          <w:sz w:val="24"/>
          <w:szCs w:val="24"/>
        </w:rPr>
        <w:t>ur estimate of approximately 551 investigations is a conservative estimate of the number of requests that will be developed and reviewed for this type of FDA-regulated research.</w:t>
      </w:r>
    </w:p>
    <w:p w:rsidR="00C2449F" w:rsidP="009858D6" w14:paraId="1C970F25" w14:textId="6EF4164F">
      <w:pPr>
        <w:spacing w:after="0" w:line="480" w:lineRule="auto"/>
        <w:ind w:firstLine="720"/>
        <w:contextualSpacing/>
        <w:rPr>
          <w:rFonts w:ascii="Times New Roman" w:hAnsi="Times New Roman"/>
          <w:iCs/>
          <w:sz w:val="24"/>
          <w:szCs w:val="24"/>
        </w:rPr>
      </w:pPr>
      <w:r>
        <w:rPr>
          <w:rFonts w:ascii="Times New Roman" w:hAnsi="Times New Roman"/>
          <w:sz w:val="24"/>
          <w:szCs w:val="24"/>
        </w:rPr>
        <w:t>For wage estimates, w</w:t>
      </w:r>
      <w:r w:rsidRPr="41B71B51" w:rsidR="0052382B">
        <w:rPr>
          <w:rFonts w:ascii="Times New Roman" w:hAnsi="Times New Roman"/>
          <w:sz w:val="24"/>
          <w:szCs w:val="24"/>
        </w:rPr>
        <w:t xml:space="preserve">e draw from </w:t>
      </w:r>
      <w:r w:rsidR="0052382B">
        <w:rPr>
          <w:rFonts w:ascii="Times New Roman" w:hAnsi="Times New Roman"/>
          <w:sz w:val="24"/>
          <w:szCs w:val="24"/>
        </w:rPr>
        <w:t xml:space="preserve">US Department of Labor, </w:t>
      </w:r>
      <w:r w:rsidRPr="41B71B51" w:rsidR="0052382B">
        <w:rPr>
          <w:rFonts w:ascii="Times New Roman" w:hAnsi="Times New Roman"/>
          <w:sz w:val="24"/>
          <w:szCs w:val="24"/>
        </w:rPr>
        <w:t xml:space="preserve">Bureau of Labor Statistics data to estimate hourly wage rates for IRB chairs, IRB voting members, and IRB administrative staff in 2020 dollars.  Based on an economic analysis of impacts of revisions to the Common Rule (Ref. </w:t>
      </w:r>
      <w:r w:rsidR="00191ED7">
        <w:rPr>
          <w:rFonts w:ascii="Times New Roman" w:hAnsi="Times New Roman"/>
          <w:sz w:val="24"/>
          <w:szCs w:val="24"/>
        </w:rPr>
        <w:t>3</w:t>
      </w:r>
      <w:r w:rsidRPr="41B71B51" w:rsidR="0052382B">
        <w:rPr>
          <w:rFonts w:ascii="Times New Roman" w:hAnsi="Times New Roman"/>
          <w:sz w:val="24"/>
          <w:szCs w:val="24"/>
        </w:rPr>
        <w:t>), we use wages for postsecondary education administrators to proxy for IRB administrator wages (Ref. 4), wages for office and administrative support workers to proxy for IRB administrative staff wages (Ref. 5), and wages for postsecondary health teachers (Ref. 6)</w:t>
      </w:r>
      <w:r w:rsidR="0052382B">
        <w:rPr>
          <w:rFonts w:ascii="Times New Roman" w:hAnsi="Times New Roman"/>
          <w:sz w:val="24"/>
          <w:szCs w:val="24"/>
        </w:rPr>
        <w:t xml:space="preserve"> </w:t>
      </w:r>
      <w:r w:rsidRPr="41B71B51" w:rsidR="0052382B">
        <w:rPr>
          <w:rFonts w:ascii="Times New Roman" w:hAnsi="Times New Roman"/>
          <w:sz w:val="24"/>
          <w:szCs w:val="24"/>
        </w:rPr>
        <w:t>to proxy for the wages of IRB chairs and IRB voting members.  We double each hourly wage to account for benefits and overhead, yielding wage rates of $110.76 for IRB administrators (= $55.38</w:t>
      </w:r>
      <w:r w:rsidR="0052382B">
        <w:rPr>
          <w:rFonts w:ascii="Times New Roman" w:hAnsi="Times New Roman"/>
          <w:sz w:val="24"/>
          <w:szCs w:val="24"/>
        </w:rPr>
        <w:t xml:space="preserve"> x 2</w:t>
      </w:r>
      <w:r w:rsidRPr="41B71B51" w:rsidR="0052382B">
        <w:rPr>
          <w:rFonts w:ascii="Times New Roman" w:hAnsi="Times New Roman"/>
          <w:sz w:val="24"/>
          <w:szCs w:val="24"/>
        </w:rPr>
        <w:t xml:space="preserve">), $40.76 for IRB administrative staff (= $20.38 </w:t>
      </w:r>
      <w:r w:rsidR="00AC46FA">
        <w:rPr>
          <w:rFonts w:ascii="Times New Roman" w:hAnsi="Times New Roman"/>
          <w:sz w:val="24"/>
          <w:szCs w:val="24"/>
        </w:rPr>
        <w:t>x</w:t>
      </w:r>
      <w:r w:rsidRPr="41B71B51" w:rsidR="00AC46FA">
        <w:rPr>
          <w:rFonts w:ascii="Times New Roman" w:hAnsi="Times New Roman"/>
          <w:sz w:val="24"/>
          <w:szCs w:val="24"/>
        </w:rPr>
        <w:t xml:space="preserve"> </w:t>
      </w:r>
      <w:r w:rsidRPr="41B71B51" w:rsidR="0052382B">
        <w:rPr>
          <w:rFonts w:ascii="Times New Roman" w:hAnsi="Times New Roman"/>
          <w:sz w:val="24"/>
          <w:szCs w:val="24"/>
        </w:rPr>
        <w:t xml:space="preserve">2), $120.08 for IRB chairs (= $60.04 </w:t>
      </w:r>
      <w:r w:rsidR="00AC46FA">
        <w:rPr>
          <w:rFonts w:ascii="Times New Roman" w:hAnsi="Times New Roman"/>
          <w:sz w:val="24"/>
          <w:szCs w:val="24"/>
        </w:rPr>
        <w:t>x</w:t>
      </w:r>
      <w:r w:rsidRPr="41B71B51" w:rsidR="00AC46FA">
        <w:rPr>
          <w:rFonts w:ascii="Times New Roman" w:hAnsi="Times New Roman"/>
          <w:sz w:val="24"/>
          <w:szCs w:val="24"/>
        </w:rPr>
        <w:t xml:space="preserve"> </w:t>
      </w:r>
      <w:r w:rsidRPr="41B71B51" w:rsidR="0052382B">
        <w:rPr>
          <w:rFonts w:ascii="Times New Roman" w:hAnsi="Times New Roman"/>
          <w:sz w:val="24"/>
          <w:szCs w:val="24"/>
        </w:rPr>
        <w:t xml:space="preserve">2), and $120.08 for IRB voting members (= $60.04 </w:t>
      </w:r>
      <w:r w:rsidR="00AC46FA">
        <w:rPr>
          <w:rFonts w:ascii="Times New Roman" w:hAnsi="Times New Roman"/>
          <w:sz w:val="24"/>
          <w:szCs w:val="24"/>
        </w:rPr>
        <w:t>x</w:t>
      </w:r>
      <w:r w:rsidRPr="41B71B51" w:rsidR="00AC46FA">
        <w:rPr>
          <w:rFonts w:ascii="Times New Roman" w:hAnsi="Times New Roman"/>
          <w:sz w:val="24"/>
          <w:szCs w:val="24"/>
        </w:rPr>
        <w:t xml:space="preserve"> </w:t>
      </w:r>
      <w:r w:rsidRPr="41B71B51" w:rsidR="0052382B">
        <w:rPr>
          <w:rFonts w:ascii="Times New Roman" w:hAnsi="Times New Roman"/>
          <w:sz w:val="24"/>
          <w:szCs w:val="24"/>
        </w:rPr>
        <w:t xml:space="preserve">2).  </w:t>
      </w:r>
      <w:r w:rsidR="0052382B">
        <w:rPr>
          <w:rFonts w:ascii="Times New Roman" w:hAnsi="Times New Roman"/>
          <w:iCs/>
          <w:sz w:val="24"/>
          <w:szCs w:val="24"/>
        </w:rPr>
        <w:t xml:space="preserve">We estimate that the costs of reading the rule to IRBs are approximately </w:t>
      </w:r>
      <w:r w:rsidRPr="005A7CE6" w:rsidR="0052382B">
        <w:rPr>
          <w:rFonts w:ascii="Times New Roman" w:hAnsi="Times New Roman"/>
          <w:iCs/>
          <w:sz w:val="24"/>
          <w:szCs w:val="24"/>
        </w:rPr>
        <w:t>$</w:t>
      </w:r>
      <w:r w:rsidRPr="005A7CE6" w:rsidR="000A59EE">
        <w:rPr>
          <w:rFonts w:ascii="Times New Roman" w:hAnsi="Times New Roman"/>
          <w:iCs/>
          <w:sz w:val="24"/>
          <w:szCs w:val="24"/>
        </w:rPr>
        <w:t>6.0</w:t>
      </w:r>
      <w:r w:rsidRPr="005A7CE6" w:rsidR="0052382B">
        <w:rPr>
          <w:rFonts w:ascii="Times New Roman" w:hAnsi="Times New Roman"/>
          <w:iCs/>
          <w:sz w:val="24"/>
          <w:szCs w:val="24"/>
        </w:rPr>
        <w:t xml:space="preserve"> million (= </w:t>
      </w:r>
      <w:r w:rsidRPr="005A7CE6" w:rsidR="005C415E">
        <w:rPr>
          <w:rFonts w:ascii="Times New Roman" w:hAnsi="Times New Roman"/>
          <w:iCs/>
          <w:sz w:val="24"/>
          <w:szCs w:val="24"/>
        </w:rPr>
        <w:t>2,575</w:t>
      </w:r>
      <w:r w:rsidRPr="005A7CE6" w:rsidR="0052382B">
        <w:rPr>
          <w:rFonts w:ascii="Times New Roman" w:hAnsi="Times New Roman"/>
          <w:iCs/>
          <w:sz w:val="24"/>
          <w:szCs w:val="24"/>
        </w:rPr>
        <w:t xml:space="preserve"> x 1.59 x ($110.7</w:t>
      </w:r>
      <w:r w:rsidR="0052382B">
        <w:rPr>
          <w:rFonts w:ascii="Times New Roman" w:hAnsi="Times New Roman"/>
          <w:iCs/>
          <w:sz w:val="24"/>
          <w:szCs w:val="24"/>
        </w:rPr>
        <w:t xml:space="preserve">6 + $120.08 + ($120.08 x 10) + $40.76)).  </w:t>
      </w:r>
    </w:p>
    <w:p w:rsidR="00C2449F" w:rsidRPr="00080669" w:rsidP="6E59E866" w14:paraId="6A2CD282" w14:textId="5F31F29B">
      <w:pPr>
        <w:spacing w:after="0" w:line="480" w:lineRule="auto"/>
        <w:ind w:firstLine="720"/>
        <w:contextualSpacing/>
        <w:rPr>
          <w:rFonts w:ascii="Times New Roman" w:hAnsi="Times New Roman"/>
          <w:sz w:val="24"/>
          <w:szCs w:val="24"/>
        </w:rPr>
      </w:pPr>
      <w:r>
        <w:rPr>
          <w:rFonts w:ascii="Times New Roman" w:hAnsi="Times New Roman"/>
          <w:sz w:val="24"/>
          <w:szCs w:val="24"/>
        </w:rPr>
        <w:t>We use BLS hourly wage data for physicians and surgeons (Ref. 7), doubled for benefits and overhead (= $10</w:t>
      </w:r>
      <w:r w:rsidR="00600ABF">
        <w:rPr>
          <w:rFonts w:ascii="Times New Roman" w:hAnsi="Times New Roman"/>
          <w:sz w:val="24"/>
          <w:szCs w:val="24"/>
        </w:rPr>
        <w:t>5.22</w:t>
      </w:r>
      <w:r>
        <w:rPr>
          <w:rFonts w:ascii="Times New Roman" w:hAnsi="Times New Roman"/>
          <w:sz w:val="24"/>
          <w:szCs w:val="24"/>
        </w:rPr>
        <w:t xml:space="preserve"> x 2) </w:t>
      </w:r>
      <w:r w:rsidR="00F60DA4">
        <w:rPr>
          <w:rFonts w:ascii="Times New Roman" w:hAnsi="Times New Roman"/>
          <w:sz w:val="24"/>
          <w:szCs w:val="24"/>
        </w:rPr>
        <w:t>for</w:t>
      </w:r>
      <w:r>
        <w:rPr>
          <w:rFonts w:ascii="Times New Roman" w:hAnsi="Times New Roman"/>
          <w:sz w:val="24"/>
          <w:szCs w:val="24"/>
        </w:rPr>
        <w:t xml:space="preserve"> the wage </w:t>
      </w:r>
      <w:r w:rsidRPr="00693FDA">
        <w:rPr>
          <w:rFonts w:ascii="Times New Roman" w:hAnsi="Times New Roman"/>
          <w:sz w:val="24"/>
          <w:szCs w:val="24"/>
        </w:rPr>
        <w:t xml:space="preserve">rate for clinical investigators. </w:t>
      </w:r>
      <w:r w:rsidR="008F7D27">
        <w:rPr>
          <w:rFonts w:ascii="Times New Roman" w:hAnsi="Times New Roman"/>
          <w:sz w:val="24"/>
          <w:szCs w:val="24"/>
        </w:rPr>
        <w:t xml:space="preserve"> </w:t>
      </w:r>
      <w:r w:rsidRPr="00693FDA">
        <w:rPr>
          <w:rFonts w:ascii="Times New Roman" w:hAnsi="Times New Roman"/>
          <w:sz w:val="24"/>
          <w:szCs w:val="24"/>
        </w:rPr>
        <w:t xml:space="preserve">We estimate that each </w:t>
      </w:r>
      <w:r w:rsidRPr="00693FDA" w:rsidR="00D06892">
        <w:rPr>
          <w:rFonts w:ascii="Times New Roman" w:hAnsi="Times New Roman"/>
          <w:sz w:val="24"/>
          <w:szCs w:val="24"/>
        </w:rPr>
        <w:t xml:space="preserve">potential minimal risk </w:t>
      </w:r>
      <w:r w:rsidRPr="00693FDA">
        <w:rPr>
          <w:rFonts w:ascii="Times New Roman" w:hAnsi="Times New Roman"/>
          <w:sz w:val="24"/>
          <w:szCs w:val="24"/>
        </w:rPr>
        <w:t xml:space="preserve">clinical </w:t>
      </w:r>
      <w:r w:rsidRPr="00693FDA" w:rsidR="00FD1714">
        <w:rPr>
          <w:rFonts w:ascii="Times New Roman" w:hAnsi="Times New Roman"/>
          <w:sz w:val="24"/>
          <w:szCs w:val="24"/>
        </w:rPr>
        <w:t>investigation</w:t>
      </w:r>
      <w:r w:rsidRPr="00693FDA">
        <w:rPr>
          <w:rFonts w:ascii="Times New Roman" w:hAnsi="Times New Roman"/>
          <w:sz w:val="24"/>
          <w:szCs w:val="24"/>
        </w:rPr>
        <w:t xml:space="preserve"> will include 1 investigator, yielding a clinical investigator reading cost of approximately $</w:t>
      </w:r>
      <w:r w:rsidR="00600ABF">
        <w:rPr>
          <w:rFonts w:ascii="Times New Roman" w:hAnsi="Times New Roman"/>
          <w:sz w:val="24"/>
          <w:szCs w:val="24"/>
        </w:rPr>
        <w:t>184.7</w:t>
      </w:r>
      <w:r w:rsidRPr="008104D3">
        <w:rPr>
          <w:rFonts w:ascii="Times New Roman" w:hAnsi="Times New Roman"/>
          <w:sz w:val="24"/>
          <w:szCs w:val="24"/>
        </w:rPr>
        <w:t xml:space="preserve"> thousand</w:t>
      </w:r>
      <w:r w:rsidRPr="00693FDA">
        <w:rPr>
          <w:rFonts w:ascii="Times New Roman" w:hAnsi="Times New Roman"/>
          <w:sz w:val="24"/>
          <w:szCs w:val="24"/>
        </w:rPr>
        <w:t xml:space="preserve"> (= </w:t>
      </w:r>
      <w:r w:rsidRPr="00693FDA" w:rsidR="00AB4461">
        <w:rPr>
          <w:rFonts w:ascii="Times New Roman" w:hAnsi="Times New Roman"/>
          <w:sz w:val="24"/>
          <w:szCs w:val="24"/>
        </w:rPr>
        <w:t xml:space="preserve">551 </w:t>
      </w:r>
      <w:r w:rsidRPr="00693FDA">
        <w:rPr>
          <w:rFonts w:ascii="Times New Roman" w:hAnsi="Times New Roman"/>
          <w:sz w:val="24"/>
          <w:szCs w:val="24"/>
        </w:rPr>
        <w:t>x $</w:t>
      </w:r>
      <w:r w:rsidR="00600ABF">
        <w:rPr>
          <w:rFonts w:ascii="Times New Roman" w:hAnsi="Times New Roman"/>
          <w:sz w:val="24"/>
          <w:szCs w:val="24"/>
        </w:rPr>
        <w:t>210.44</w:t>
      </w:r>
      <w:r w:rsidRPr="00693FDA" w:rsidR="00B2604F">
        <w:rPr>
          <w:rFonts w:ascii="Times New Roman" w:hAnsi="Times New Roman"/>
          <w:sz w:val="24"/>
          <w:szCs w:val="24"/>
        </w:rPr>
        <w:t xml:space="preserve"> </w:t>
      </w:r>
      <w:r w:rsidRPr="00693FDA">
        <w:rPr>
          <w:rFonts w:ascii="Times New Roman" w:hAnsi="Times New Roman"/>
          <w:sz w:val="24"/>
          <w:szCs w:val="24"/>
        </w:rPr>
        <w:t xml:space="preserve">x </w:t>
      </w:r>
      <w:r w:rsidRPr="00693FDA" w:rsidR="003A7B47">
        <w:rPr>
          <w:rFonts w:ascii="Times New Roman" w:hAnsi="Times New Roman"/>
          <w:sz w:val="24"/>
          <w:szCs w:val="24"/>
        </w:rPr>
        <w:t xml:space="preserve">1 </w:t>
      </w:r>
      <w:r w:rsidRPr="00693FDA">
        <w:rPr>
          <w:rFonts w:ascii="Times New Roman" w:hAnsi="Times New Roman"/>
          <w:sz w:val="24"/>
          <w:szCs w:val="24"/>
        </w:rPr>
        <w:t xml:space="preserve">x 1.59). </w:t>
      </w:r>
      <w:r w:rsidR="009C0296">
        <w:rPr>
          <w:rFonts w:ascii="Times New Roman" w:hAnsi="Times New Roman"/>
          <w:sz w:val="24"/>
          <w:szCs w:val="24"/>
        </w:rPr>
        <w:t xml:space="preserve"> </w:t>
      </w:r>
      <w:r w:rsidRPr="00693FDA">
        <w:rPr>
          <w:rFonts w:ascii="Times New Roman" w:hAnsi="Times New Roman"/>
          <w:sz w:val="24"/>
          <w:szCs w:val="24"/>
        </w:rPr>
        <w:t xml:space="preserve">We estimate the time burden of reading the rule associated with sponsors of clinical </w:t>
      </w:r>
      <w:r w:rsidRPr="00693FDA" w:rsidR="00FD1714">
        <w:rPr>
          <w:rFonts w:ascii="Times New Roman" w:hAnsi="Times New Roman"/>
          <w:sz w:val="24"/>
          <w:szCs w:val="24"/>
        </w:rPr>
        <w:t>investigation</w:t>
      </w:r>
      <w:r w:rsidR="00481F46">
        <w:rPr>
          <w:rFonts w:ascii="Times New Roman" w:hAnsi="Times New Roman"/>
          <w:sz w:val="24"/>
          <w:szCs w:val="24"/>
        </w:rPr>
        <w:t>s</w:t>
      </w:r>
      <w:r w:rsidRPr="00693FDA">
        <w:rPr>
          <w:rFonts w:ascii="Times New Roman" w:hAnsi="Times New Roman"/>
          <w:sz w:val="24"/>
          <w:szCs w:val="24"/>
        </w:rPr>
        <w:t xml:space="preserve"> will be incurred by </w:t>
      </w:r>
      <w:r w:rsidRPr="00693FDA" w:rsidR="00F60DA4">
        <w:rPr>
          <w:rFonts w:ascii="Times New Roman" w:hAnsi="Times New Roman"/>
          <w:sz w:val="24"/>
          <w:szCs w:val="24"/>
        </w:rPr>
        <w:t xml:space="preserve">1 </w:t>
      </w:r>
      <w:r w:rsidRPr="00693FDA" w:rsidR="0041108A">
        <w:rPr>
          <w:rFonts w:ascii="Times New Roman" w:hAnsi="Times New Roman"/>
          <w:sz w:val="24"/>
          <w:szCs w:val="24"/>
        </w:rPr>
        <w:t>scientist</w:t>
      </w:r>
      <w:r w:rsidRPr="00693FDA" w:rsidR="00DC0861">
        <w:rPr>
          <w:rFonts w:ascii="Times New Roman" w:hAnsi="Times New Roman"/>
          <w:sz w:val="24"/>
          <w:szCs w:val="24"/>
        </w:rPr>
        <w:t>;</w:t>
      </w:r>
      <w:r w:rsidRPr="00693FDA">
        <w:rPr>
          <w:rFonts w:ascii="Times New Roman" w:hAnsi="Times New Roman"/>
          <w:sz w:val="24"/>
          <w:szCs w:val="24"/>
        </w:rPr>
        <w:t xml:space="preserve"> </w:t>
      </w:r>
      <w:r w:rsidRPr="00693FDA" w:rsidR="00DC0861">
        <w:rPr>
          <w:rFonts w:ascii="Times New Roman" w:hAnsi="Times New Roman"/>
          <w:sz w:val="24"/>
          <w:szCs w:val="24"/>
        </w:rPr>
        <w:t xml:space="preserve">we use the </w:t>
      </w:r>
      <w:r w:rsidRPr="00693FDA" w:rsidR="006548C8">
        <w:rPr>
          <w:rFonts w:ascii="Times New Roman" w:hAnsi="Times New Roman"/>
          <w:sz w:val="24"/>
          <w:szCs w:val="24"/>
        </w:rPr>
        <w:t xml:space="preserve">mean </w:t>
      </w:r>
      <w:r w:rsidRPr="00693FDA" w:rsidR="00DC0861">
        <w:rPr>
          <w:rFonts w:ascii="Times New Roman" w:hAnsi="Times New Roman"/>
          <w:sz w:val="24"/>
          <w:szCs w:val="24"/>
        </w:rPr>
        <w:t xml:space="preserve">hourly wage rate for life scientists </w:t>
      </w:r>
      <w:r w:rsidRPr="00693FDA" w:rsidR="00586A50">
        <w:rPr>
          <w:rFonts w:ascii="Times New Roman" w:hAnsi="Times New Roman"/>
          <w:sz w:val="24"/>
          <w:szCs w:val="24"/>
        </w:rPr>
        <w:t xml:space="preserve">(Ref. </w:t>
      </w:r>
      <w:r w:rsidRPr="00693FDA" w:rsidR="00CB570E">
        <w:rPr>
          <w:rFonts w:ascii="Times New Roman" w:hAnsi="Times New Roman"/>
          <w:sz w:val="24"/>
          <w:szCs w:val="24"/>
        </w:rPr>
        <w:t>8</w:t>
      </w:r>
      <w:r w:rsidRPr="00693FDA" w:rsidR="006548C8">
        <w:rPr>
          <w:rFonts w:ascii="Times New Roman" w:hAnsi="Times New Roman"/>
          <w:sz w:val="24"/>
          <w:szCs w:val="24"/>
        </w:rPr>
        <w:t xml:space="preserve">) </w:t>
      </w:r>
      <w:r w:rsidRPr="00693FDA">
        <w:rPr>
          <w:rFonts w:ascii="Times New Roman" w:hAnsi="Times New Roman"/>
          <w:sz w:val="24"/>
          <w:szCs w:val="24"/>
        </w:rPr>
        <w:t>with an hourly wage rate of approximately $</w:t>
      </w:r>
      <w:r w:rsidRPr="00693FDA" w:rsidR="006548C8">
        <w:rPr>
          <w:rFonts w:ascii="Times New Roman" w:hAnsi="Times New Roman"/>
          <w:sz w:val="24"/>
          <w:szCs w:val="24"/>
        </w:rPr>
        <w:t>88.62 (= $44.31 x 2)</w:t>
      </w:r>
      <w:r w:rsidRPr="00693FDA">
        <w:rPr>
          <w:rFonts w:ascii="Times New Roman" w:hAnsi="Times New Roman"/>
          <w:sz w:val="24"/>
          <w:szCs w:val="24"/>
        </w:rPr>
        <w:t xml:space="preserve">. </w:t>
      </w:r>
      <w:r w:rsidR="009C0296">
        <w:rPr>
          <w:rFonts w:ascii="Times New Roman" w:hAnsi="Times New Roman"/>
          <w:sz w:val="24"/>
          <w:szCs w:val="24"/>
        </w:rPr>
        <w:t xml:space="preserve"> </w:t>
      </w:r>
      <w:r w:rsidRPr="00693FDA">
        <w:rPr>
          <w:rFonts w:ascii="Times New Roman" w:hAnsi="Times New Roman"/>
          <w:sz w:val="24"/>
          <w:szCs w:val="24"/>
        </w:rPr>
        <w:t>We multiply the nu</w:t>
      </w:r>
      <w:r w:rsidRPr="00693FDA" w:rsidR="00306686">
        <w:rPr>
          <w:rFonts w:ascii="Times New Roman" w:hAnsi="Times New Roman"/>
          <w:sz w:val="24"/>
          <w:szCs w:val="24"/>
        </w:rPr>
        <w:t xml:space="preserve">mber of </w:t>
      </w:r>
      <w:r w:rsidR="00481F46">
        <w:rPr>
          <w:rFonts w:ascii="Times New Roman" w:hAnsi="Times New Roman"/>
          <w:sz w:val="24"/>
          <w:szCs w:val="24"/>
        </w:rPr>
        <w:t xml:space="preserve">potential minimal risk </w:t>
      </w:r>
      <w:r w:rsidRPr="00693FDA">
        <w:rPr>
          <w:rFonts w:ascii="Times New Roman" w:hAnsi="Times New Roman"/>
          <w:sz w:val="24"/>
          <w:szCs w:val="24"/>
        </w:rPr>
        <w:t xml:space="preserve">clinical </w:t>
      </w:r>
      <w:r w:rsidRPr="00693FDA" w:rsidR="00FD1714">
        <w:rPr>
          <w:rFonts w:ascii="Times New Roman" w:hAnsi="Times New Roman"/>
          <w:sz w:val="24"/>
          <w:szCs w:val="24"/>
        </w:rPr>
        <w:t>investigation</w:t>
      </w:r>
      <w:r w:rsidRPr="00693FDA">
        <w:rPr>
          <w:rFonts w:ascii="Times New Roman" w:hAnsi="Times New Roman"/>
          <w:sz w:val="24"/>
          <w:szCs w:val="24"/>
        </w:rPr>
        <w:t>s by these wage rates and the estimated time burden of reading to yield a sponsor reading cost of approximately $</w:t>
      </w:r>
      <w:r w:rsidRPr="008104D3" w:rsidR="00055CB6">
        <w:rPr>
          <w:rFonts w:ascii="Times New Roman" w:hAnsi="Times New Roman"/>
          <w:sz w:val="24"/>
          <w:szCs w:val="24"/>
        </w:rPr>
        <w:t>77.</w:t>
      </w:r>
      <w:r w:rsidRPr="008104D3" w:rsidR="00DE2107">
        <w:rPr>
          <w:rFonts w:ascii="Times New Roman" w:hAnsi="Times New Roman"/>
          <w:sz w:val="24"/>
          <w:szCs w:val="24"/>
        </w:rPr>
        <w:t>8</w:t>
      </w:r>
      <w:r w:rsidRPr="008104D3">
        <w:rPr>
          <w:rFonts w:ascii="Times New Roman" w:hAnsi="Times New Roman"/>
          <w:sz w:val="24"/>
          <w:szCs w:val="24"/>
        </w:rPr>
        <w:t xml:space="preserve"> thousand</w:t>
      </w:r>
      <w:r w:rsidRPr="00693FDA">
        <w:rPr>
          <w:rFonts w:ascii="Times New Roman" w:hAnsi="Times New Roman"/>
          <w:sz w:val="24"/>
          <w:szCs w:val="24"/>
        </w:rPr>
        <w:t xml:space="preserve"> (= </w:t>
      </w:r>
      <w:r w:rsidRPr="006B473C" w:rsidR="00AB4461">
        <w:rPr>
          <w:rFonts w:ascii="Times New Roman" w:hAnsi="Times New Roman"/>
          <w:sz w:val="24"/>
          <w:szCs w:val="24"/>
        </w:rPr>
        <w:t>551</w:t>
      </w:r>
      <w:r w:rsidRPr="00693FDA" w:rsidR="00AB4461">
        <w:rPr>
          <w:rFonts w:ascii="Times New Roman" w:hAnsi="Times New Roman"/>
          <w:sz w:val="24"/>
          <w:szCs w:val="24"/>
        </w:rPr>
        <w:t xml:space="preserve"> </w:t>
      </w:r>
      <w:r w:rsidRPr="00693FDA">
        <w:rPr>
          <w:rFonts w:ascii="Times New Roman" w:hAnsi="Times New Roman"/>
          <w:sz w:val="24"/>
          <w:szCs w:val="24"/>
        </w:rPr>
        <w:t>x $</w:t>
      </w:r>
      <w:r w:rsidRPr="00693FDA" w:rsidR="00D834AE">
        <w:rPr>
          <w:rFonts w:ascii="Times New Roman" w:hAnsi="Times New Roman"/>
          <w:sz w:val="24"/>
          <w:szCs w:val="24"/>
        </w:rPr>
        <w:t>88.62</w:t>
      </w:r>
      <w:r w:rsidRPr="00693FDA">
        <w:rPr>
          <w:rFonts w:ascii="Times New Roman" w:hAnsi="Times New Roman"/>
          <w:sz w:val="24"/>
          <w:szCs w:val="24"/>
        </w:rPr>
        <w:t xml:space="preserve"> x </w:t>
      </w:r>
      <w:r w:rsidRPr="00693FDA" w:rsidR="00200A98">
        <w:rPr>
          <w:rFonts w:ascii="Times New Roman" w:hAnsi="Times New Roman"/>
          <w:sz w:val="24"/>
          <w:szCs w:val="24"/>
        </w:rPr>
        <w:t xml:space="preserve">1 x </w:t>
      </w:r>
      <w:r w:rsidRPr="00693FDA">
        <w:rPr>
          <w:rFonts w:ascii="Times New Roman" w:hAnsi="Times New Roman"/>
          <w:sz w:val="24"/>
          <w:szCs w:val="24"/>
        </w:rPr>
        <w:t xml:space="preserve">1.59). </w:t>
      </w:r>
      <w:r w:rsidR="009C0296">
        <w:rPr>
          <w:rFonts w:ascii="Times New Roman" w:hAnsi="Times New Roman"/>
          <w:sz w:val="24"/>
          <w:szCs w:val="24"/>
        </w:rPr>
        <w:t xml:space="preserve"> </w:t>
      </w:r>
      <w:r w:rsidRPr="00693FDA">
        <w:rPr>
          <w:rFonts w:ascii="Times New Roman" w:hAnsi="Times New Roman"/>
          <w:sz w:val="24"/>
          <w:szCs w:val="24"/>
        </w:rPr>
        <w:t>The total one-time cost of reading the rule to all affected entities is approximately $</w:t>
      </w:r>
      <w:r w:rsidRPr="008104D3" w:rsidR="007B517B">
        <w:rPr>
          <w:rFonts w:ascii="Times New Roman" w:hAnsi="Times New Roman"/>
          <w:sz w:val="24"/>
          <w:szCs w:val="24"/>
        </w:rPr>
        <w:t>6.3</w:t>
      </w:r>
      <w:r w:rsidRPr="008104D3" w:rsidR="00D834AE">
        <w:rPr>
          <w:rFonts w:ascii="Times New Roman" w:hAnsi="Times New Roman"/>
          <w:sz w:val="24"/>
          <w:szCs w:val="24"/>
        </w:rPr>
        <w:t xml:space="preserve"> </w:t>
      </w:r>
      <w:r w:rsidRPr="008104D3">
        <w:rPr>
          <w:rFonts w:ascii="Times New Roman" w:hAnsi="Times New Roman"/>
          <w:sz w:val="24"/>
          <w:szCs w:val="24"/>
        </w:rPr>
        <w:t>million</w:t>
      </w:r>
      <w:r w:rsidRPr="00693FDA">
        <w:rPr>
          <w:rFonts w:ascii="Times New Roman" w:hAnsi="Times New Roman"/>
          <w:sz w:val="24"/>
          <w:szCs w:val="24"/>
        </w:rPr>
        <w:t xml:space="preserve"> (= $</w:t>
      </w:r>
      <w:r w:rsidRPr="00693FDA" w:rsidR="00200A98">
        <w:rPr>
          <w:rFonts w:ascii="Times New Roman" w:hAnsi="Times New Roman"/>
          <w:sz w:val="24"/>
          <w:szCs w:val="24"/>
        </w:rPr>
        <w:t>6.0</w:t>
      </w:r>
      <w:r w:rsidRPr="00693FDA">
        <w:rPr>
          <w:rFonts w:ascii="Times New Roman" w:hAnsi="Times New Roman"/>
          <w:sz w:val="24"/>
          <w:szCs w:val="24"/>
        </w:rPr>
        <w:t xml:space="preserve"> million + $</w:t>
      </w:r>
      <w:r w:rsidR="00600ABF">
        <w:rPr>
          <w:rFonts w:ascii="Times New Roman" w:hAnsi="Times New Roman"/>
          <w:sz w:val="24"/>
          <w:szCs w:val="24"/>
        </w:rPr>
        <w:t>184.7</w:t>
      </w:r>
      <w:r w:rsidRPr="008104D3">
        <w:rPr>
          <w:rFonts w:ascii="Times New Roman" w:hAnsi="Times New Roman"/>
          <w:sz w:val="24"/>
          <w:szCs w:val="24"/>
        </w:rPr>
        <w:t xml:space="preserve"> thousand</w:t>
      </w:r>
      <w:r w:rsidRPr="00693FDA">
        <w:rPr>
          <w:rFonts w:ascii="Times New Roman" w:hAnsi="Times New Roman"/>
          <w:sz w:val="24"/>
          <w:szCs w:val="24"/>
        </w:rPr>
        <w:t xml:space="preserve"> + </w:t>
      </w:r>
      <w:r w:rsidRPr="008104D3">
        <w:rPr>
          <w:rFonts w:ascii="Times New Roman" w:hAnsi="Times New Roman"/>
          <w:sz w:val="24"/>
          <w:szCs w:val="24"/>
        </w:rPr>
        <w:t>$</w:t>
      </w:r>
      <w:r w:rsidRPr="008104D3" w:rsidR="005F1539">
        <w:rPr>
          <w:rFonts w:ascii="Times New Roman" w:hAnsi="Times New Roman"/>
          <w:sz w:val="24"/>
          <w:szCs w:val="24"/>
        </w:rPr>
        <w:t>77.</w:t>
      </w:r>
      <w:r w:rsidRPr="008104D3" w:rsidR="00C865C1">
        <w:rPr>
          <w:rFonts w:ascii="Times New Roman" w:hAnsi="Times New Roman"/>
          <w:sz w:val="24"/>
          <w:szCs w:val="24"/>
        </w:rPr>
        <w:t>8</w:t>
      </w:r>
      <w:r w:rsidRPr="008104D3">
        <w:rPr>
          <w:rFonts w:ascii="Times New Roman" w:hAnsi="Times New Roman"/>
          <w:sz w:val="24"/>
          <w:szCs w:val="24"/>
        </w:rPr>
        <w:t xml:space="preserve"> thousand</w:t>
      </w:r>
      <w:r w:rsidRPr="00693FDA">
        <w:rPr>
          <w:rFonts w:ascii="Times New Roman" w:hAnsi="Times New Roman"/>
          <w:sz w:val="24"/>
          <w:szCs w:val="24"/>
        </w:rPr>
        <w:t>).</w:t>
      </w:r>
    </w:p>
    <w:p w:rsidR="00C2449F" w:rsidP="00C2449F" w14:paraId="5494BDC9" w14:textId="28C8EB82">
      <w:pPr>
        <w:spacing w:after="0" w:line="480" w:lineRule="auto"/>
        <w:ind w:firstLine="720"/>
        <w:contextualSpacing/>
        <w:rPr>
          <w:rFonts w:ascii="Times New Roman" w:hAnsi="Times New Roman"/>
          <w:iCs/>
          <w:sz w:val="24"/>
          <w:szCs w:val="24"/>
        </w:rPr>
      </w:pPr>
      <w:r w:rsidRPr="00E923F8">
        <w:rPr>
          <w:rFonts w:ascii="Times New Roman" w:hAnsi="Times New Roman"/>
          <w:iCs/>
          <w:sz w:val="24"/>
          <w:szCs w:val="24"/>
        </w:rPr>
        <w:t>The net present value of the estimate</w:t>
      </w:r>
      <w:r w:rsidR="00255A17">
        <w:rPr>
          <w:rFonts w:ascii="Times New Roman" w:hAnsi="Times New Roman"/>
          <w:iCs/>
          <w:sz w:val="24"/>
          <w:szCs w:val="24"/>
        </w:rPr>
        <w:t>d</w:t>
      </w:r>
      <w:r w:rsidRPr="00E923F8">
        <w:rPr>
          <w:rFonts w:ascii="Times New Roman" w:hAnsi="Times New Roman"/>
          <w:iCs/>
          <w:sz w:val="24"/>
          <w:szCs w:val="24"/>
        </w:rPr>
        <w:t xml:space="preserve"> reading cost is </w:t>
      </w:r>
      <w:r w:rsidRPr="00693FDA">
        <w:rPr>
          <w:rFonts w:ascii="Times New Roman" w:hAnsi="Times New Roman"/>
          <w:iCs/>
          <w:sz w:val="24"/>
          <w:szCs w:val="24"/>
        </w:rPr>
        <w:t>approximately $</w:t>
      </w:r>
      <w:r w:rsidRPr="00693FDA" w:rsidR="00420D6B">
        <w:rPr>
          <w:rFonts w:ascii="Times New Roman" w:hAnsi="Times New Roman"/>
          <w:iCs/>
          <w:sz w:val="24"/>
          <w:szCs w:val="24"/>
        </w:rPr>
        <w:t>6.</w:t>
      </w:r>
      <w:r w:rsidRPr="00693FDA" w:rsidR="005635F9">
        <w:rPr>
          <w:rFonts w:ascii="Times New Roman" w:hAnsi="Times New Roman"/>
          <w:iCs/>
          <w:sz w:val="24"/>
          <w:szCs w:val="24"/>
        </w:rPr>
        <w:t xml:space="preserve">1 </w:t>
      </w:r>
      <w:r w:rsidRPr="00693FDA">
        <w:rPr>
          <w:rFonts w:ascii="Times New Roman" w:hAnsi="Times New Roman"/>
          <w:iCs/>
          <w:sz w:val="24"/>
          <w:szCs w:val="24"/>
        </w:rPr>
        <w:t>million, discounted at 3 percent over 10 years.  At a 7 percent discount rate, the net present value is approximately $</w:t>
      </w:r>
      <w:r w:rsidRPr="00B80671" w:rsidR="005635F9">
        <w:rPr>
          <w:rFonts w:ascii="Times New Roman" w:hAnsi="Times New Roman"/>
          <w:iCs/>
          <w:sz w:val="24"/>
          <w:szCs w:val="24"/>
        </w:rPr>
        <w:t>5.9</w:t>
      </w:r>
      <w:r w:rsidRPr="00B80671" w:rsidR="00A42DFA">
        <w:rPr>
          <w:rFonts w:ascii="Times New Roman" w:hAnsi="Times New Roman"/>
          <w:iCs/>
          <w:sz w:val="24"/>
          <w:szCs w:val="24"/>
        </w:rPr>
        <w:t xml:space="preserve"> </w:t>
      </w:r>
      <w:r w:rsidRPr="00B80671">
        <w:rPr>
          <w:rFonts w:ascii="Times New Roman" w:hAnsi="Times New Roman"/>
          <w:iCs/>
          <w:sz w:val="24"/>
          <w:szCs w:val="24"/>
        </w:rPr>
        <w:t>million</w:t>
      </w:r>
      <w:r w:rsidRPr="00693FDA">
        <w:rPr>
          <w:rFonts w:ascii="Times New Roman" w:hAnsi="Times New Roman"/>
          <w:iCs/>
          <w:sz w:val="24"/>
          <w:szCs w:val="24"/>
        </w:rPr>
        <w:t xml:space="preserve">. </w:t>
      </w:r>
      <w:r w:rsidR="009C0296">
        <w:rPr>
          <w:rFonts w:ascii="Times New Roman" w:hAnsi="Times New Roman"/>
          <w:iCs/>
          <w:sz w:val="24"/>
          <w:szCs w:val="24"/>
        </w:rPr>
        <w:t xml:space="preserve"> </w:t>
      </w:r>
      <w:r w:rsidRPr="00693FDA">
        <w:rPr>
          <w:rFonts w:ascii="Times New Roman" w:hAnsi="Times New Roman"/>
          <w:iCs/>
          <w:sz w:val="24"/>
          <w:szCs w:val="24"/>
        </w:rPr>
        <w:t>The annualized cost of reading the rule is approximately $</w:t>
      </w:r>
      <w:r w:rsidR="00600ABF">
        <w:rPr>
          <w:rFonts w:ascii="Times New Roman" w:hAnsi="Times New Roman"/>
          <w:iCs/>
          <w:sz w:val="24"/>
          <w:szCs w:val="24"/>
        </w:rPr>
        <w:t>717.1</w:t>
      </w:r>
      <w:r w:rsidRPr="00B80671">
        <w:rPr>
          <w:rFonts w:ascii="Times New Roman" w:hAnsi="Times New Roman"/>
          <w:iCs/>
          <w:sz w:val="24"/>
          <w:szCs w:val="24"/>
        </w:rPr>
        <w:t xml:space="preserve"> thousand</w:t>
      </w:r>
      <w:r w:rsidRPr="00693FDA">
        <w:rPr>
          <w:rFonts w:ascii="Times New Roman" w:hAnsi="Times New Roman"/>
          <w:iCs/>
          <w:sz w:val="24"/>
          <w:szCs w:val="24"/>
        </w:rPr>
        <w:t xml:space="preserve"> at a 3 percent discount rate and approximately $</w:t>
      </w:r>
      <w:r w:rsidR="00600ABF">
        <w:rPr>
          <w:rFonts w:ascii="Times New Roman" w:hAnsi="Times New Roman"/>
          <w:iCs/>
          <w:sz w:val="24"/>
          <w:szCs w:val="24"/>
        </w:rPr>
        <w:t>838.4</w:t>
      </w:r>
      <w:r w:rsidRPr="00B80671">
        <w:rPr>
          <w:rFonts w:ascii="Times New Roman" w:hAnsi="Times New Roman"/>
          <w:iCs/>
          <w:sz w:val="24"/>
          <w:szCs w:val="24"/>
        </w:rPr>
        <w:t xml:space="preserve"> thousand</w:t>
      </w:r>
      <w:r w:rsidRPr="00693FDA">
        <w:rPr>
          <w:rFonts w:ascii="Times New Roman" w:hAnsi="Times New Roman"/>
          <w:iCs/>
          <w:sz w:val="24"/>
          <w:szCs w:val="24"/>
        </w:rPr>
        <w:t xml:space="preserve"> at</w:t>
      </w:r>
      <w:r>
        <w:rPr>
          <w:rFonts w:ascii="Times New Roman" w:hAnsi="Times New Roman"/>
          <w:iCs/>
          <w:sz w:val="24"/>
          <w:szCs w:val="24"/>
        </w:rPr>
        <w:t xml:space="preserve"> a 7 percent discount rate.  The estimated costs of reading the rule are summarized in Table 3.</w:t>
      </w:r>
    </w:p>
    <w:p w:rsidR="00C70F4F" w:rsidP="00C2449F" w14:paraId="56850BB4" w14:textId="77777777">
      <w:pPr>
        <w:spacing w:after="0" w:line="480" w:lineRule="auto"/>
        <w:ind w:firstLine="720"/>
        <w:contextualSpacing/>
        <w:rPr>
          <w:rFonts w:ascii="Times New Roman" w:hAnsi="Times New Roman"/>
          <w:iCs/>
          <w:sz w:val="24"/>
          <w:szCs w:val="24"/>
        </w:rPr>
      </w:pPr>
    </w:p>
    <w:p w:rsidR="00C2449F" w:rsidP="00C2449F" w14:paraId="6941ABD2" w14:textId="77777777">
      <w:pPr>
        <w:spacing w:after="0" w:line="240" w:lineRule="auto"/>
        <w:ind w:firstLine="720"/>
        <w:contextualSpacing/>
        <w:jc w:val="center"/>
        <w:rPr>
          <w:rFonts w:ascii="Times New Roman" w:hAnsi="Times New Roman"/>
          <w:iCs/>
          <w:sz w:val="24"/>
          <w:szCs w:val="24"/>
        </w:rPr>
      </w:pPr>
      <w:r w:rsidRPr="007C08B8">
        <w:rPr>
          <w:rFonts w:ascii="Times New Roman" w:eastAsia="Times New Roman" w:hAnsi="Times New Roman"/>
          <w:b/>
          <w:bCs/>
          <w:color w:val="000000"/>
          <w:sz w:val="24"/>
          <w:szCs w:val="24"/>
        </w:rPr>
        <w:t xml:space="preserve">Table </w:t>
      </w:r>
      <w:r>
        <w:rPr>
          <w:rFonts w:ascii="Times New Roman" w:eastAsia="Times New Roman" w:hAnsi="Times New Roman"/>
          <w:b/>
          <w:bCs/>
          <w:color w:val="000000"/>
          <w:sz w:val="24"/>
          <w:szCs w:val="24"/>
        </w:rPr>
        <w:t>3</w:t>
      </w:r>
      <w:r w:rsidRPr="007C08B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FA1E94">
        <w:rPr>
          <w:rFonts w:ascii="Times New Roman" w:eastAsia="Times New Roman" w:hAnsi="Times New Roman"/>
          <w:b/>
          <w:bCs/>
          <w:color w:val="000000"/>
          <w:sz w:val="24"/>
          <w:szCs w:val="24"/>
        </w:rPr>
        <w:t>Cost</w:t>
      </w:r>
      <w:r>
        <w:rPr>
          <w:rFonts w:ascii="Times New Roman" w:eastAsia="Times New Roman" w:hAnsi="Times New Roman"/>
          <w:b/>
          <w:bCs/>
          <w:color w:val="000000"/>
          <w:sz w:val="24"/>
          <w:szCs w:val="24"/>
        </w:rPr>
        <w:t>s of Reading the Rule (2020$)</w:t>
      </w:r>
    </w:p>
    <w:tbl>
      <w:tblPr>
        <w:tblStyle w:val="TableGrid"/>
        <w:tblW w:w="5000" w:type="pct"/>
        <w:tblLook w:val="04A0"/>
      </w:tblPr>
      <w:tblGrid>
        <w:gridCol w:w="6294"/>
        <w:gridCol w:w="3056"/>
      </w:tblGrid>
      <w:tr w14:paraId="19E2EFDE" w14:textId="77777777" w:rsidTr="00516579">
        <w:tblPrEx>
          <w:tblW w:w="5000" w:type="pct"/>
          <w:tblLook w:val="04A0"/>
        </w:tblPrEx>
        <w:trPr>
          <w:trHeight w:val="288"/>
        </w:trPr>
        <w:tc>
          <w:tcPr>
            <w:tcW w:w="3366" w:type="pct"/>
            <w:vAlign w:val="center"/>
          </w:tcPr>
          <w:p w:rsidR="00C2449F" w:rsidRPr="009304B8" w:rsidP="00D37C6D" w14:paraId="17699565" w14:textId="6B654CBA">
            <w:pPr>
              <w:spacing w:after="0" w:line="240" w:lineRule="auto"/>
              <w:contextualSpacing/>
              <w:rPr>
                <w:rFonts w:ascii="Times New Roman" w:hAnsi="Times New Roman"/>
                <w:iCs/>
                <w:sz w:val="20"/>
                <w:szCs w:val="20"/>
              </w:rPr>
            </w:pPr>
            <w:r w:rsidRPr="003B088B">
              <w:rPr>
                <w:rFonts w:ascii="Times New Roman" w:hAnsi="Times New Roman"/>
                <w:color w:val="000000"/>
                <w:sz w:val="20"/>
                <w:szCs w:val="20"/>
              </w:rPr>
              <w:t>N</w:t>
            </w:r>
            <w:r w:rsidRPr="00E21BA6">
              <w:rPr>
                <w:rFonts w:ascii="Times New Roman" w:hAnsi="Times New Roman"/>
                <w:color w:val="000000"/>
                <w:sz w:val="20"/>
                <w:szCs w:val="20"/>
              </w:rPr>
              <w:t>umber</w:t>
            </w:r>
            <w:r w:rsidRPr="00910B49">
              <w:rPr>
                <w:rFonts w:ascii="Times New Roman" w:hAnsi="Times New Roman"/>
                <w:color w:val="000000"/>
                <w:sz w:val="20"/>
                <w:szCs w:val="20"/>
              </w:rPr>
              <w:t xml:space="preserve"> of active IRBs regulated by FDA and OHRP</w:t>
            </w:r>
            <w:r w:rsidR="00C26EB6">
              <w:rPr>
                <w:rFonts w:ascii="Times New Roman" w:hAnsi="Times New Roman"/>
                <w:color w:val="000000"/>
                <w:sz w:val="20"/>
                <w:szCs w:val="20"/>
              </w:rPr>
              <w:t xml:space="preserve"> or FDA only</w:t>
            </w:r>
          </w:p>
        </w:tc>
        <w:tc>
          <w:tcPr>
            <w:tcW w:w="1634" w:type="pct"/>
            <w:vAlign w:val="center"/>
          </w:tcPr>
          <w:p w:rsidR="00C2449F" w:rsidRPr="005A7CE6" w:rsidP="00D37C6D" w14:paraId="48951211" w14:textId="261DC150">
            <w:pPr>
              <w:spacing w:after="0" w:line="240" w:lineRule="auto"/>
              <w:contextualSpacing/>
              <w:jc w:val="right"/>
              <w:rPr>
                <w:rFonts w:ascii="Times New Roman" w:hAnsi="Times New Roman"/>
                <w:iCs/>
                <w:sz w:val="20"/>
                <w:szCs w:val="20"/>
              </w:rPr>
            </w:pPr>
            <w:r w:rsidRPr="00516579">
              <w:rPr>
                <w:rFonts w:ascii="Times New Roman" w:hAnsi="Times New Roman"/>
                <w:sz w:val="20"/>
                <w:szCs w:val="20"/>
              </w:rPr>
              <w:t>2</w:t>
            </w:r>
            <w:r w:rsidRPr="00516579" w:rsidR="005F4158">
              <w:rPr>
                <w:rFonts w:ascii="Times New Roman" w:hAnsi="Times New Roman"/>
                <w:sz w:val="20"/>
                <w:szCs w:val="20"/>
              </w:rPr>
              <w:t>,</w:t>
            </w:r>
            <w:r w:rsidRPr="00516579">
              <w:rPr>
                <w:rFonts w:ascii="Times New Roman" w:hAnsi="Times New Roman"/>
                <w:sz w:val="20"/>
                <w:szCs w:val="20"/>
              </w:rPr>
              <w:t>575</w:t>
            </w:r>
          </w:p>
        </w:tc>
      </w:tr>
      <w:tr w14:paraId="1FD26B46" w14:textId="77777777" w:rsidTr="00C26EB6">
        <w:tblPrEx>
          <w:tblW w:w="5000" w:type="pct"/>
          <w:tblLook w:val="04A0"/>
        </w:tblPrEx>
        <w:trPr>
          <w:trHeight w:val="288"/>
        </w:trPr>
        <w:tc>
          <w:tcPr>
            <w:tcW w:w="3366" w:type="pct"/>
            <w:vAlign w:val="center"/>
          </w:tcPr>
          <w:p w:rsidR="00C2449F" w:rsidRPr="009304B8" w:rsidP="00D37C6D" w14:paraId="3218DB63" w14:textId="77777777">
            <w:pPr>
              <w:spacing w:after="0" w:line="240" w:lineRule="auto"/>
              <w:contextualSpacing/>
              <w:rPr>
                <w:rFonts w:ascii="Times New Roman" w:hAnsi="Times New Roman"/>
                <w:iCs/>
                <w:sz w:val="20"/>
                <w:szCs w:val="20"/>
              </w:rPr>
            </w:pPr>
            <w:r w:rsidRPr="009304B8">
              <w:rPr>
                <w:rFonts w:ascii="Times New Roman" w:hAnsi="Times New Roman"/>
                <w:iCs/>
                <w:sz w:val="20"/>
                <w:szCs w:val="20"/>
              </w:rPr>
              <w:t>Words read per minute</w:t>
            </w:r>
          </w:p>
        </w:tc>
        <w:tc>
          <w:tcPr>
            <w:tcW w:w="1634" w:type="pct"/>
            <w:vAlign w:val="center"/>
          </w:tcPr>
          <w:p w:rsidR="00C2449F" w:rsidRPr="005A7CE6" w:rsidP="00D37C6D" w14:paraId="7EA5203B"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225</w:t>
            </w:r>
          </w:p>
        </w:tc>
      </w:tr>
      <w:tr w14:paraId="5E770C1B" w14:textId="77777777" w:rsidTr="00C26EB6">
        <w:tblPrEx>
          <w:tblW w:w="5000" w:type="pct"/>
          <w:tblLook w:val="04A0"/>
        </w:tblPrEx>
        <w:trPr>
          <w:trHeight w:val="288"/>
        </w:trPr>
        <w:tc>
          <w:tcPr>
            <w:tcW w:w="3366" w:type="pct"/>
            <w:vAlign w:val="center"/>
          </w:tcPr>
          <w:p w:rsidR="00C2449F" w:rsidRPr="009304B8" w:rsidP="00D37C6D" w14:paraId="666A2F60" w14:textId="77777777">
            <w:pPr>
              <w:spacing w:after="0" w:line="240" w:lineRule="auto"/>
              <w:contextualSpacing/>
              <w:rPr>
                <w:rFonts w:ascii="Times New Roman" w:hAnsi="Times New Roman"/>
                <w:iCs/>
                <w:sz w:val="20"/>
                <w:szCs w:val="20"/>
              </w:rPr>
            </w:pPr>
            <w:r w:rsidRPr="009304B8">
              <w:rPr>
                <w:rFonts w:ascii="Times New Roman" w:hAnsi="Times New Roman"/>
                <w:iCs/>
                <w:sz w:val="20"/>
                <w:szCs w:val="20"/>
              </w:rPr>
              <w:t>Words read per hour</w:t>
            </w:r>
          </w:p>
        </w:tc>
        <w:tc>
          <w:tcPr>
            <w:tcW w:w="1634" w:type="pct"/>
            <w:vAlign w:val="center"/>
          </w:tcPr>
          <w:p w:rsidR="00C2449F" w:rsidRPr="005A7CE6" w:rsidP="00D37C6D" w14:paraId="12A852A4"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13,500</w:t>
            </w:r>
          </w:p>
        </w:tc>
      </w:tr>
      <w:tr w14:paraId="10B0D37F" w14:textId="77777777" w:rsidTr="00C26EB6">
        <w:tblPrEx>
          <w:tblW w:w="5000" w:type="pct"/>
          <w:tblLook w:val="04A0"/>
        </w:tblPrEx>
        <w:trPr>
          <w:trHeight w:val="288"/>
        </w:trPr>
        <w:tc>
          <w:tcPr>
            <w:tcW w:w="3366" w:type="pct"/>
            <w:vAlign w:val="center"/>
          </w:tcPr>
          <w:p w:rsidR="00C2449F" w:rsidRPr="009304B8" w:rsidP="00D37C6D" w14:paraId="1818604C" w14:textId="77777777">
            <w:pPr>
              <w:spacing w:after="0" w:line="240" w:lineRule="auto"/>
              <w:contextualSpacing/>
              <w:rPr>
                <w:rFonts w:ascii="Times New Roman" w:hAnsi="Times New Roman"/>
                <w:iCs/>
                <w:sz w:val="20"/>
                <w:szCs w:val="20"/>
              </w:rPr>
            </w:pPr>
            <w:r w:rsidRPr="009304B8">
              <w:rPr>
                <w:rFonts w:ascii="Times New Roman" w:hAnsi="Times New Roman"/>
                <w:iCs/>
                <w:sz w:val="20"/>
                <w:szCs w:val="20"/>
              </w:rPr>
              <w:t>Number of words in rule</w:t>
            </w:r>
          </w:p>
        </w:tc>
        <w:tc>
          <w:tcPr>
            <w:tcW w:w="1634" w:type="pct"/>
            <w:vAlign w:val="center"/>
          </w:tcPr>
          <w:p w:rsidR="00C2449F" w:rsidRPr="005A7CE6" w:rsidP="00D37C6D" w14:paraId="7A32FA14"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21,500</w:t>
            </w:r>
          </w:p>
        </w:tc>
      </w:tr>
      <w:tr w14:paraId="48C85C33" w14:textId="77777777" w:rsidTr="00C26EB6">
        <w:tblPrEx>
          <w:tblW w:w="5000" w:type="pct"/>
          <w:tblLook w:val="04A0"/>
        </w:tblPrEx>
        <w:trPr>
          <w:trHeight w:val="288"/>
        </w:trPr>
        <w:tc>
          <w:tcPr>
            <w:tcW w:w="3366" w:type="pct"/>
            <w:vAlign w:val="center"/>
          </w:tcPr>
          <w:p w:rsidR="00C2449F" w:rsidRPr="009304B8" w:rsidP="00D37C6D" w14:paraId="6AAE56EC" w14:textId="77777777">
            <w:pPr>
              <w:spacing w:after="0" w:line="240" w:lineRule="auto"/>
              <w:contextualSpacing/>
              <w:rPr>
                <w:rFonts w:ascii="Times New Roman" w:hAnsi="Times New Roman"/>
                <w:iCs/>
                <w:sz w:val="20"/>
                <w:szCs w:val="20"/>
              </w:rPr>
            </w:pPr>
            <w:r w:rsidRPr="009304B8">
              <w:rPr>
                <w:rFonts w:ascii="Times New Roman" w:hAnsi="Times New Roman"/>
                <w:iCs/>
                <w:sz w:val="20"/>
                <w:szCs w:val="20"/>
              </w:rPr>
              <w:t xml:space="preserve">Time burden of reading </w:t>
            </w:r>
            <w:r>
              <w:rPr>
                <w:rFonts w:ascii="Times New Roman" w:hAnsi="Times New Roman"/>
                <w:iCs/>
                <w:sz w:val="20"/>
                <w:szCs w:val="20"/>
              </w:rPr>
              <w:t xml:space="preserve">the rule </w:t>
            </w:r>
            <w:r w:rsidRPr="009304B8">
              <w:rPr>
                <w:rFonts w:ascii="Times New Roman" w:hAnsi="Times New Roman"/>
                <w:iCs/>
                <w:sz w:val="20"/>
                <w:szCs w:val="20"/>
              </w:rPr>
              <w:t>(hours)</w:t>
            </w:r>
          </w:p>
        </w:tc>
        <w:tc>
          <w:tcPr>
            <w:tcW w:w="1634" w:type="pct"/>
            <w:vAlign w:val="center"/>
          </w:tcPr>
          <w:p w:rsidR="00C2449F" w:rsidRPr="005A7CE6" w:rsidP="00D37C6D" w14:paraId="3D4986E2"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1.59</w:t>
            </w:r>
          </w:p>
        </w:tc>
      </w:tr>
      <w:tr w14:paraId="769DC6F2" w14:textId="77777777" w:rsidTr="00C26EB6">
        <w:tblPrEx>
          <w:tblW w:w="5000" w:type="pct"/>
          <w:tblLook w:val="04A0"/>
        </w:tblPrEx>
        <w:trPr>
          <w:trHeight w:val="288"/>
        </w:trPr>
        <w:tc>
          <w:tcPr>
            <w:tcW w:w="3366" w:type="pct"/>
            <w:vAlign w:val="center"/>
          </w:tcPr>
          <w:p w:rsidR="00C2449F" w:rsidRPr="009304B8" w:rsidP="00D37C6D" w14:paraId="4985F109" w14:textId="77777777">
            <w:pPr>
              <w:spacing w:after="0" w:line="240" w:lineRule="auto"/>
              <w:contextualSpacing/>
              <w:rPr>
                <w:rFonts w:ascii="Times New Roman" w:hAnsi="Times New Roman"/>
                <w:iCs/>
                <w:sz w:val="20"/>
                <w:szCs w:val="20"/>
              </w:rPr>
            </w:pPr>
            <w:r w:rsidRPr="003B088B">
              <w:rPr>
                <w:rFonts w:ascii="Times New Roman" w:hAnsi="Times New Roman"/>
                <w:color w:val="000000"/>
                <w:sz w:val="20"/>
                <w:szCs w:val="20"/>
              </w:rPr>
              <w:t>Hourly wage, IRB administrator</w:t>
            </w:r>
          </w:p>
        </w:tc>
        <w:tc>
          <w:tcPr>
            <w:tcW w:w="1634" w:type="pct"/>
            <w:vAlign w:val="center"/>
          </w:tcPr>
          <w:p w:rsidR="00C2449F" w:rsidRPr="005A7CE6" w:rsidP="00D37C6D" w14:paraId="327CBE50"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$110.76</w:t>
            </w:r>
          </w:p>
        </w:tc>
      </w:tr>
      <w:tr w14:paraId="1BE71893" w14:textId="77777777" w:rsidTr="00C26EB6">
        <w:tblPrEx>
          <w:tblW w:w="5000" w:type="pct"/>
          <w:tblLook w:val="04A0"/>
        </w:tblPrEx>
        <w:trPr>
          <w:trHeight w:val="288"/>
        </w:trPr>
        <w:tc>
          <w:tcPr>
            <w:tcW w:w="3366" w:type="pct"/>
            <w:vAlign w:val="center"/>
          </w:tcPr>
          <w:p w:rsidR="00C2449F" w:rsidRPr="009304B8" w:rsidP="00D37C6D" w14:paraId="1DE6217C" w14:textId="77777777">
            <w:pPr>
              <w:spacing w:after="0" w:line="240" w:lineRule="auto"/>
              <w:contextualSpacing/>
              <w:rPr>
                <w:rFonts w:ascii="Times New Roman" w:hAnsi="Times New Roman"/>
                <w:iCs/>
                <w:sz w:val="20"/>
                <w:szCs w:val="20"/>
              </w:rPr>
            </w:pPr>
            <w:r w:rsidRPr="003B088B">
              <w:rPr>
                <w:rFonts w:ascii="Times New Roman" w:hAnsi="Times New Roman"/>
                <w:color w:val="000000"/>
                <w:sz w:val="20"/>
                <w:szCs w:val="20"/>
              </w:rPr>
              <w:t>Hourly wage, IRB administrative staff</w:t>
            </w:r>
          </w:p>
        </w:tc>
        <w:tc>
          <w:tcPr>
            <w:tcW w:w="1634" w:type="pct"/>
            <w:vAlign w:val="center"/>
          </w:tcPr>
          <w:p w:rsidR="00C2449F" w:rsidRPr="005A7CE6" w:rsidP="00D37C6D" w14:paraId="209F575C"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$40.76</w:t>
            </w:r>
          </w:p>
        </w:tc>
      </w:tr>
      <w:tr w14:paraId="049D34EC" w14:textId="77777777" w:rsidTr="00C26EB6">
        <w:tblPrEx>
          <w:tblW w:w="5000" w:type="pct"/>
          <w:tblLook w:val="04A0"/>
        </w:tblPrEx>
        <w:trPr>
          <w:trHeight w:val="288"/>
        </w:trPr>
        <w:tc>
          <w:tcPr>
            <w:tcW w:w="3366" w:type="pct"/>
            <w:vAlign w:val="center"/>
          </w:tcPr>
          <w:p w:rsidR="00C2449F" w:rsidRPr="009304B8" w:rsidP="00D37C6D" w14:paraId="0BA68311" w14:textId="77777777">
            <w:pPr>
              <w:spacing w:after="0" w:line="240" w:lineRule="auto"/>
              <w:contextualSpacing/>
              <w:rPr>
                <w:rFonts w:ascii="Times New Roman" w:hAnsi="Times New Roman"/>
                <w:iCs/>
                <w:sz w:val="20"/>
                <w:szCs w:val="20"/>
              </w:rPr>
            </w:pPr>
            <w:r w:rsidRPr="003B088B">
              <w:rPr>
                <w:rFonts w:ascii="Times New Roman" w:hAnsi="Times New Roman"/>
                <w:color w:val="000000"/>
                <w:sz w:val="20"/>
                <w:szCs w:val="20"/>
              </w:rPr>
              <w:t>Hourly wage, IRB chair</w:t>
            </w:r>
          </w:p>
        </w:tc>
        <w:tc>
          <w:tcPr>
            <w:tcW w:w="1634" w:type="pct"/>
            <w:vAlign w:val="center"/>
          </w:tcPr>
          <w:p w:rsidR="00C2449F" w:rsidRPr="005A7CE6" w:rsidP="00D37C6D" w14:paraId="0DFED77B"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$120.08</w:t>
            </w:r>
          </w:p>
        </w:tc>
      </w:tr>
      <w:tr w14:paraId="2F07FF19" w14:textId="77777777" w:rsidTr="00C26EB6">
        <w:tblPrEx>
          <w:tblW w:w="5000" w:type="pct"/>
          <w:tblLook w:val="04A0"/>
        </w:tblPrEx>
        <w:trPr>
          <w:trHeight w:val="288"/>
        </w:trPr>
        <w:tc>
          <w:tcPr>
            <w:tcW w:w="3366" w:type="pct"/>
            <w:vAlign w:val="center"/>
          </w:tcPr>
          <w:p w:rsidR="00C2449F" w:rsidRPr="009304B8" w:rsidP="00D37C6D" w14:paraId="1E03EDCB" w14:textId="77777777">
            <w:pPr>
              <w:spacing w:after="0" w:line="240" w:lineRule="auto"/>
              <w:contextualSpacing/>
              <w:rPr>
                <w:rFonts w:ascii="Times New Roman" w:hAnsi="Times New Roman"/>
                <w:iCs/>
                <w:sz w:val="20"/>
                <w:szCs w:val="20"/>
              </w:rPr>
            </w:pPr>
            <w:r w:rsidRPr="003B088B">
              <w:rPr>
                <w:rFonts w:ascii="Times New Roman" w:hAnsi="Times New Roman"/>
                <w:color w:val="000000"/>
                <w:sz w:val="20"/>
                <w:szCs w:val="20"/>
              </w:rPr>
              <w:t>Hourly wage, IRB voting member</w:t>
            </w:r>
            <w:r>
              <w:rPr>
                <w:rFonts w:ascii="Times New Roman" w:hAnsi="Times New Roman"/>
                <w:color w:val="000000"/>
                <w:sz w:val="20"/>
                <w:szCs w:val="20"/>
              </w:rPr>
              <w:t xml:space="preserve"> (10 members per IRB)</w:t>
            </w:r>
          </w:p>
        </w:tc>
        <w:tc>
          <w:tcPr>
            <w:tcW w:w="1634" w:type="pct"/>
            <w:vAlign w:val="center"/>
          </w:tcPr>
          <w:p w:rsidR="00C2449F" w:rsidRPr="005A7CE6" w:rsidP="00D37C6D" w14:paraId="17C65718"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$1,200.80</w:t>
            </w:r>
          </w:p>
        </w:tc>
      </w:tr>
      <w:tr w14:paraId="7041C042" w14:textId="77777777" w:rsidTr="00C26EB6">
        <w:tblPrEx>
          <w:tblW w:w="5000" w:type="pct"/>
          <w:tblLook w:val="04A0"/>
        </w:tblPrEx>
        <w:trPr>
          <w:trHeight w:val="288"/>
        </w:trPr>
        <w:tc>
          <w:tcPr>
            <w:tcW w:w="3366" w:type="pct"/>
            <w:vAlign w:val="center"/>
          </w:tcPr>
          <w:p w:rsidR="00C2449F" w:rsidRPr="009304B8" w:rsidP="00D37C6D" w14:paraId="60D23194" w14:textId="77777777">
            <w:pPr>
              <w:spacing w:after="0" w:line="240" w:lineRule="auto"/>
              <w:contextualSpacing/>
              <w:rPr>
                <w:rFonts w:ascii="Times New Roman" w:hAnsi="Times New Roman"/>
                <w:iCs/>
                <w:sz w:val="20"/>
                <w:szCs w:val="20"/>
              </w:rPr>
            </w:pPr>
            <w:r w:rsidRPr="009304B8">
              <w:rPr>
                <w:rFonts w:ascii="Times New Roman" w:hAnsi="Times New Roman"/>
                <w:iCs/>
                <w:sz w:val="20"/>
                <w:szCs w:val="20"/>
              </w:rPr>
              <w:t>Total reading cost</w:t>
            </w:r>
            <w:r>
              <w:rPr>
                <w:rFonts w:ascii="Times New Roman" w:hAnsi="Times New Roman"/>
                <w:iCs/>
                <w:sz w:val="20"/>
                <w:szCs w:val="20"/>
              </w:rPr>
              <w:t xml:space="preserve"> to IRBs (one-time)</w:t>
            </w:r>
          </w:p>
        </w:tc>
        <w:tc>
          <w:tcPr>
            <w:tcW w:w="1634" w:type="pct"/>
            <w:vAlign w:val="center"/>
          </w:tcPr>
          <w:p w:rsidR="00C2449F" w:rsidRPr="005A7CE6" w:rsidP="00D37C6D" w14:paraId="7AC4F040" w14:textId="2AB8BF55">
            <w:pPr>
              <w:spacing w:after="0" w:line="240" w:lineRule="auto"/>
              <w:contextualSpacing/>
              <w:jc w:val="right"/>
              <w:rPr>
                <w:rFonts w:ascii="Times New Roman" w:hAnsi="Times New Roman"/>
                <w:iCs/>
                <w:sz w:val="20"/>
                <w:szCs w:val="20"/>
              </w:rPr>
            </w:pPr>
            <w:r w:rsidRPr="00C26EB6">
              <w:rPr>
                <w:rFonts w:ascii="Times New Roman" w:hAnsi="Times New Roman"/>
                <w:iCs/>
                <w:sz w:val="20"/>
                <w:szCs w:val="20"/>
              </w:rPr>
              <w:t>$</w:t>
            </w:r>
            <w:r w:rsidR="005756BA">
              <w:rPr>
                <w:rFonts w:ascii="Times New Roman" w:hAnsi="Times New Roman"/>
                <w:iCs/>
                <w:sz w:val="20"/>
                <w:szCs w:val="20"/>
              </w:rPr>
              <w:t>6,038,203</w:t>
            </w:r>
          </w:p>
        </w:tc>
      </w:tr>
      <w:tr w14:paraId="718FF729" w14:textId="77777777" w:rsidTr="00C26EB6">
        <w:tblPrEx>
          <w:tblW w:w="5000" w:type="pct"/>
          <w:tblLook w:val="04A0"/>
        </w:tblPrEx>
        <w:trPr>
          <w:trHeight w:val="288"/>
        </w:trPr>
        <w:tc>
          <w:tcPr>
            <w:tcW w:w="3366" w:type="pct"/>
            <w:vAlign w:val="center"/>
          </w:tcPr>
          <w:p w:rsidR="00C2449F" w:rsidRPr="0014054D" w:rsidP="00D37C6D" w14:paraId="25798B4E" w14:textId="21AD06D4">
            <w:pPr>
              <w:spacing w:after="0" w:line="240" w:lineRule="auto"/>
              <w:contextualSpacing/>
              <w:rPr>
                <w:rFonts w:ascii="Times New Roman" w:hAnsi="Times New Roman"/>
                <w:iCs/>
                <w:sz w:val="20"/>
                <w:szCs w:val="20"/>
              </w:rPr>
            </w:pPr>
            <w:r>
              <w:rPr>
                <w:rFonts w:ascii="Times New Roman" w:hAnsi="Times New Roman"/>
                <w:iCs/>
                <w:sz w:val="20"/>
                <w:szCs w:val="20"/>
              </w:rPr>
              <w:t xml:space="preserve">Number of </w:t>
            </w:r>
            <w:r w:rsidR="00E81875">
              <w:rPr>
                <w:rFonts w:ascii="Times New Roman" w:hAnsi="Times New Roman"/>
                <w:iCs/>
                <w:sz w:val="20"/>
                <w:szCs w:val="20"/>
              </w:rPr>
              <w:t>potential</w:t>
            </w:r>
            <w:r w:rsidR="00841C3B">
              <w:rPr>
                <w:rFonts w:ascii="Times New Roman" w:hAnsi="Times New Roman"/>
                <w:iCs/>
                <w:sz w:val="20"/>
                <w:szCs w:val="20"/>
              </w:rPr>
              <w:t xml:space="preserve"> </w:t>
            </w:r>
            <w:r>
              <w:rPr>
                <w:rFonts w:ascii="Times New Roman" w:hAnsi="Times New Roman"/>
                <w:iCs/>
                <w:sz w:val="20"/>
                <w:szCs w:val="20"/>
              </w:rPr>
              <w:t xml:space="preserve">clinical </w:t>
            </w:r>
            <w:r w:rsidR="00FD1714">
              <w:rPr>
                <w:rFonts w:ascii="Times New Roman" w:hAnsi="Times New Roman"/>
                <w:iCs/>
                <w:sz w:val="20"/>
                <w:szCs w:val="20"/>
              </w:rPr>
              <w:t>investigation</w:t>
            </w:r>
            <w:r>
              <w:rPr>
                <w:rFonts w:ascii="Times New Roman" w:hAnsi="Times New Roman"/>
                <w:iCs/>
                <w:sz w:val="20"/>
                <w:szCs w:val="20"/>
              </w:rPr>
              <w:t>s</w:t>
            </w:r>
          </w:p>
        </w:tc>
        <w:tc>
          <w:tcPr>
            <w:tcW w:w="1634" w:type="pct"/>
            <w:vAlign w:val="center"/>
          </w:tcPr>
          <w:p w:rsidR="00C2449F" w:rsidRPr="005A7CE6" w:rsidP="00D37C6D" w14:paraId="42E1F565" w14:textId="05EBC49E">
            <w:pPr>
              <w:spacing w:after="0" w:line="240" w:lineRule="auto"/>
              <w:contextualSpacing/>
              <w:jc w:val="right"/>
              <w:rPr>
                <w:rFonts w:ascii="Times New Roman" w:hAnsi="Times New Roman"/>
                <w:iCs/>
                <w:sz w:val="20"/>
                <w:szCs w:val="20"/>
              </w:rPr>
            </w:pPr>
            <w:r>
              <w:rPr>
                <w:rFonts w:ascii="Times New Roman" w:hAnsi="Times New Roman"/>
                <w:iCs/>
                <w:sz w:val="20"/>
                <w:szCs w:val="20"/>
              </w:rPr>
              <w:t>551</w:t>
            </w:r>
          </w:p>
        </w:tc>
      </w:tr>
      <w:tr w14:paraId="4AD3ADE4" w14:textId="77777777" w:rsidTr="00C26EB6">
        <w:tblPrEx>
          <w:tblW w:w="5000" w:type="pct"/>
          <w:tblLook w:val="04A0"/>
        </w:tblPrEx>
        <w:trPr>
          <w:trHeight w:val="288"/>
        </w:trPr>
        <w:tc>
          <w:tcPr>
            <w:tcW w:w="3366" w:type="pct"/>
            <w:vAlign w:val="center"/>
          </w:tcPr>
          <w:p w:rsidR="00C2449F" w:rsidRPr="0014054D" w:rsidP="00D37C6D" w14:paraId="3B09C712" w14:textId="4599767A">
            <w:pPr>
              <w:spacing w:after="0" w:line="240" w:lineRule="auto"/>
              <w:contextualSpacing/>
              <w:rPr>
                <w:rFonts w:ascii="Times New Roman" w:hAnsi="Times New Roman"/>
                <w:iCs/>
                <w:sz w:val="20"/>
                <w:szCs w:val="20"/>
              </w:rPr>
            </w:pPr>
            <w:r>
              <w:rPr>
                <w:rFonts w:ascii="Times New Roman" w:hAnsi="Times New Roman"/>
                <w:iCs/>
                <w:sz w:val="20"/>
                <w:szCs w:val="20"/>
              </w:rPr>
              <w:t xml:space="preserve">Number of investigators per clinical </w:t>
            </w:r>
            <w:r w:rsidR="00FD1714">
              <w:rPr>
                <w:rFonts w:ascii="Times New Roman" w:hAnsi="Times New Roman"/>
                <w:iCs/>
                <w:sz w:val="20"/>
                <w:szCs w:val="20"/>
              </w:rPr>
              <w:t>investigation</w:t>
            </w:r>
          </w:p>
        </w:tc>
        <w:tc>
          <w:tcPr>
            <w:tcW w:w="1634" w:type="pct"/>
            <w:vAlign w:val="center"/>
          </w:tcPr>
          <w:p w:rsidR="00C2449F" w:rsidRPr="005A7CE6" w:rsidP="00D37C6D" w14:paraId="0126DC07"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w:t>
            </w:r>
          </w:p>
        </w:tc>
      </w:tr>
      <w:tr w14:paraId="02FE20FC" w14:textId="77777777" w:rsidTr="00C26EB6">
        <w:tblPrEx>
          <w:tblW w:w="5000" w:type="pct"/>
          <w:tblLook w:val="04A0"/>
        </w:tblPrEx>
        <w:trPr>
          <w:trHeight w:val="288"/>
        </w:trPr>
        <w:tc>
          <w:tcPr>
            <w:tcW w:w="3366" w:type="pct"/>
            <w:vAlign w:val="center"/>
          </w:tcPr>
          <w:p w:rsidR="00C2449F" w:rsidRPr="0014054D" w:rsidP="00D37C6D" w14:paraId="35C2EA42" w14:textId="77777777">
            <w:pPr>
              <w:spacing w:after="0" w:line="240" w:lineRule="auto"/>
              <w:contextualSpacing/>
              <w:rPr>
                <w:rFonts w:ascii="Times New Roman" w:hAnsi="Times New Roman"/>
                <w:iCs/>
                <w:sz w:val="20"/>
                <w:szCs w:val="20"/>
              </w:rPr>
            </w:pPr>
            <w:r>
              <w:rPr>
                <w:rFonts w:ascii="Times New Roman" w:hAnsi="Times New Roman"/>
                <w:iCs/>
                <w:sz w:val="20"/>
                <w:szCs w:val="20"/>
              </w:rPr>
              <w:t>Hourly wage, investigators</w:t>
            </w:r>
          </w:p>
        </w:tc>
        <w:tc>
          <w:tcPr>
            <w:tcW w:w="1634" w:type="pct"/>
            <w:vAlign w:val="center"/>
          </w:tcPr>
          <w:p w:rsidR="00C2449F" w:rsidRPr="005A7CE6" w:rsidP="00D37C6D" w14:paraId="11A1B089" w14:textId="628F7A58">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w:t>
            </w:r>
            <w:r w:rsidR="00600ABF">
              <w:rPr>
                <w:rFonts w:ascii="Times New Roman" w:hAnsi="Times New Roman"/>
                <w:iCs/>
                <w:sz w:val="20"/>
                <w:szCs w:val="20"/>
              </w:rPr>
              <w:t>210.44</w:t>
            </w:r>
          </w:p>
        </w:tc>
      </w:tr>
      <w:tr w14:paraId="4C03770E" w14:textId="77777777" w:rsidTr="00C26EB6">
        <w:tblPrEx>
          <w:tblW w:w="5000" w:type="pct"/>
          <w:tblLook w:val="04A0"/>
        </w:tblPrEx>
        <w:trPr>
          <w:trHeight w:val="288"/>
        </w:trPr>
        <w:tc>
          <w:tcPr>
            <w:tcW w:w="3366" w:type="pct"/>
            <w:vAlign w:val="center"/>
          </w:tcPr>
          <w:p w:rsidR="00C2449F" w:rsidRPr="0014054D" w:rsidP="00D37C6D" w14:paraId="6A441346" w14:textId="77777777">
            <w:pPr>
              <w:spacing w:after="0" w:line="240" w:lineRule="auto"/>
              <w:contextualSpacing/>
              <w:rPr>
                <w:rFonts w:ascii="Times New Roman" w:hAnsi="Times New Roman"/>
                <w:iCs/>
                <w:sz w:val="20"/>
                <w:szCs w:val="20"/>
              </w:rPr>
            </w:pPr>
            <w:r>
              <w:rPr>
                <w:rFonts w:ascii="Times New Roman" w:hAnsi="Times New Roman"/>
                <w:iCs/>
                <w:sz w:val="20"/>
                <w:szCs w:val="20"/>
              </w:rPr>
              <w:t>Time burden of reading the rule (hours)</w:t>
            </w:r>
          </w:p>
        </w:tc>
        <w:tc>
          <w:tcPr>
            <w:tcW w:w="1634" w:type="pct"/>
            <w:vAlign w:val="center"/>
          </w:tcPr>
          <w:p w:rsidR="00C2449F" w:rsidRPr="005A7CE6" w:rsidP="00D37C6D" w14:paraId="50A45952"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1.59</w:t>
            </w:r>
          </w:p>
        </w:tc>
      </w:tr>
      <w:tr w14:paraId="3BECCA7D" w14:textId="77777777" w:rsidTr="00C26EB6">
        <w:tblPrEx>
          <w:tblW w:w="5000" w:type="pct"/>
          <w:tblLook w:val="04A0"/>
        </w:tblPrEx>
        <w:trPr>
          <w:trHeight w:val="288"/>
        </w:trPr>
        <w:tc>
          <w:tcPr>
            <w:tcW w:w="3366" w:type="pct"/>
            <w:vAlign w:val="center"/>
          </w:tcPr>
          <w:p w:rsidR="00C2449F" w:rsidRPr="0014054D" w:rsidP="00D37C6D" w14:paraId="3BFB2CE0" w14:textId="5B6E4B70">
            <w:pPr>
              <w:spacing w:after="0" w:line="240" w:lineRule="auto"/>
              <w:contextualSpacing/>
              <w:rPr>
                <w:rFonts w:ascii="Times New Roman" w:hAnsi="Times New Roman"/>
                <w:iCs/>
                <w:sz w:val="20"/>
                <w:szCs w:val="20"/>
              </w:rPr>
            </w:pPr>
            <w:r>
              <w:rPr>
                <w:rFonts w:ascii="Times New Roman" w:hAnsi="Times New Roman"/>
                <w:iCs/>
                <w:sz w:val="20"/>
                <w:szCs w:val="20"/>
              </w:rPr>
              <w:t>Total reading cost to clinical investigators (one-time)</w:t>
            </w:r>
          </w:p>
        </w:tc>
        <w:tc>
          <w:tcPr>
            <w:tcW w:w="1634" w:type="pct"/>
            <w:vAlign w:val="center"/>
          </w:tcPr>
          <w:p w:rsidR="00C2449F" w:rsidRPr="005756BA" w:rsidP="00D37C6D" w14:paraId="2DF57095" w14:textId="3B31D3FA">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w:t>
            </w:r>
            <w:r w:rsidR="00600ABF">
              <w:rPr>
                <w:rFonts w:ascii="Times New Roman" w:hAnsi="Times New Roman"/>
                <w:iCs/>
                <w:sz w:val="20"/>
                <w:szCs w:val="20"/>
              </w:rPr>
              <w:t>184,665</w:t>
            </w:r>
          </w:p>
        </w:tc>
      </w:tr>
      <w:tr w14:paraId="491DDCB9" w14:textId="77777777" w:rsidTr="00C26EB6">
        <w:tblPrEx>
          <w:tblW w:w="5000" w:type="pct"/>
          <w:tblLook w:val="04A0"/>
        </w:tblPrEx>
        <w:trPr>
          <w:trHeight w:val="288"/>
        </w:trPr>
        <w:tc>
          <w:tcPr>
            <w:tcW w:w="3366" w:type="pct"/>
            <w:vAlign w:val="center"/>
          </w:tcPr>
          <w:p w:rsidR="00C2449F" w:rsidRPr="0014054D" w:rsidP="00D37C6D" w14:paraId="0620E665" w14:textId="143BD3D5">
            <w:pPr>
              <w:spacing w:after="0" w:line="240" w:lineRule="auto"/>
              <w:contextualSpacing/>
              <w:rPr>
                <w:rFonts w:ascii="Times New Roman" w:hAnsi="Times New Roman"/>
                <w:iCs/>
                <w:sz w:val="20"/>
                <w:szCs w:val="20"/>
              </w:rPr>
            </w:pPr>
            <w:r>
              <w:rPr>
                <w:rFonts w:ascii="Times New Roman" w:hAnsi="Times New Roman"/>
                <w:iCs/>
                <w:sz w:val="20"/>
                <w:szCs w:val="20"/>
              </w:rPr>
              <w:t xml:space="preserve">Number of affected clinical </w:t>
            </w:r>
            <w:r w:rsidR="00FD1714">
              <w:rPr>
                <w:rFonts w:ascii="Times New Roman" w:hAnsi="Times New Roman"/>
                <w:iCs/>
                <w:sz w:val="20"/>
                <w:szCs w:val="20"/>
              </w:rPr>
              <w:t>investigation</w:t>
            </w:r>
            <w:r>
              <w:rPr>
                <w:rFonts w:ascii="Times New Roman" w:hAnsi="Times New Roman"/>
                <w:iCs/>
                <w:sz w:val="20"/>
                <w:szCs w:val="20"/>
              </w:rPr>
              <w:t xml:space="preserve"> sponsors</w:t>
            </w:r>
          </w:p>
        </w:tc>
        <w:tc>
          <w:tcPr>
            <w:tcW w:w="1634" w:type="pct"/>
            <w:vAlign w:val="center"/>
          </w:tcPr>
          <w:p w:rsidR="00C2449F" w:rsidRPr="005A7CE6" w:rsidP="00D37C6D" w14:paraId="37336105" w14:textId="5D89DD92">
            <w:pPr>
              <w:spacing w:after="0" w:line="240" w:lineRule="auto"/>
              <w:contextualSpacing/>
              <w:jc w:val="right"/>
              <w:rPr>
                <w:rFonts w:ascii="Times New Roman" w:hAnsi="Times New Roman"/>
                <w:iCs/>
                <w:sz w:val="20"/>
                <w:szCs w:val="20"/>
              </w:rPr>
            </w:pPr>
            <w:r>
              <w:rPr>
                <w:rFonts w:ascii="Times New Roman" w:hAnsi="Times New Roman"/>
                <w:iCs/>
                <w:sz w:val="20"/>
                <w:szCs w:val="20"/>
              </w:rPr>
              <w:t>551</w:t>
            </w:r>
          </w:p>
        </w:tc>
      </w:tr>
      <w:tr w14:paraId="6B130D4E" w14:textId="77777777" w:rsidTr="00C26EB6">
        <w:tblPrEx>
          <w:tblW w:w="5000" w:type="pct"/>
          <w:tblLook w:val="04A0"/>
        </w:tblPrEx>
        <w:trPr>
          <w:trHeight w:val="288"/>
        </w:trPr>
        <w:tc>
          <w:tcPr>
            <w:tcW w:w="3366" w:type="pct"/>
            <w:vAlign w:val="center"/>
          </w:tcPr>
          <w:p w:rsidR="00C2449F" w:rsidRPr="0014054D" w:rsidP="00D37C6D" w14:paraId="19A9923B" w14:textId="48F5BD9C">
            <w:pPr>
              <w:spacing w:after="0" w:line="240" w:lineRule="auto"/>
              <w:contextualSpacing/>
              <w:rPr>
                <w:rFonts w:ascii="Times New Roman" w:hAnsi="Times New Roman"/>
                <w:iCs/>
                <w:sz w:val="20"/>
                <w:szCs w:val="20"/>
              </w:rPr>
            </w:pPr>
            <w:r>
              <w:rPr>
                <w:rFonts w:ascii="Times New Roman" w:hAnsi="Times New Roman"/>
                <w:iCs/>
                <w:sz w:val="20"/>
                <w:szCs w:val="20"/>
              </w:rPr>
              <w:t xml:space="preserve">Hourly wage, </w:t>
            </w:r>
            <w:r w:rsidR="00AC3BBC">
              <w:rPr>
                <w:rFonts w:ascii="Times New Roman" w:hAnsi="Times New Roman"/>
                <w:iCs/>
                <w:sz w:val="20"/>
                <w:szCs w:val="20"/>
              </w:rPr>
              <w:t xml:space="preserve">life scientists </w:t>
            </w:r>
          </w:p>
        </w:tc>
        <w:tc>
          <w:tcPr>
            <w:tcW w:w="1634" w:type="pct"/>
            <w:vAlign w:val="center"/>
          </w:tcPr>
          <w:p w:rsidR="00C2449F" w:rsidRPr="005A7CE6" w:rsidP="00D37C6D" w14:paraId="195B9FED" w14:textId="22E8ADA0">
            <w:pPr>
              <w:spacing w:after="0" w:line="240" w:lineRule="auto"/>
              <w:contextualSpacing/>
              <w:jc w:val="right"/>
              <w:rPr>
                <w:rFonts w:ascii="Times New Roman" w:hAnsi="Times New Roman"/>
                <w:iCs/>
                <w:sz w:val="20"/>
                <w:szCs w:val="20"/>
              </w:rPr>
            </w:pPr>
            <w:r>
              <w:rPr>
                <w:rFonts w:ascii="Times New Roman" w:hAnsi="Times New Roman"/>
                <w:iCs/>
                <w:sz w:val="20"/>
                <w:szCs w:val="20"/>
              </w:rPr>
              <w:t>$88.62</w:t>
            </w:r>
          </w:p>
        </w:tc>
      </w:tr>
      <w:tr w14:paraId="64FE4B29" w14:textId="77777777" w:rsidTr="00C26EB6">
        <w:tblPrEx>
          <w:tblW w:w="5000" w:type="pct"/>
          <w:tblLook w:val="04A0"/>
        </w:tblPrEx>
        <w:trPr>
          <w:trHeight w:val="288"/>
        </w:trPr>
        <w:tc>
          <w:tcPr>
            <w:tcW w:w="3366" w:type="pct"/>
            <w:vAlign w:val="center"/>
          </w:tcPr>
          <w:p w:rsidR="00C2449F" w:rsidRPr="0014054D" w:rsidP="00D37C6D" w14:paraId="54F24ABE" w14:textId="77777777">
            <w:pPr>
              <w:spacing w:after="0" w:line="240" w:lineRule="auto"/>
              <w:contextualSpacing/>
              <w:rPr>
                <w:rFonts w:ascii="Times New Roman" w:hAnsi="Times New Roman"/>
                <w:iCs/>
                <w:sz w:val="20"/>
                <w:szCs w:val="20"/>
              </w:rPr>
            </w:pPr>
            <w:r>
              <w:rPr>
                <w:rFonts w:ascii="Times New Roman" w:hAnsi="Times New Roman"/>
                <w:iCs/>
                <w:sz w:val="20"/>
                <w:szCs w:val="20"/>
              </w:rPr>
              <w:t>Time burden of reading the rule (hours)</w:t>
            </w:r>
          </w:p>
        </w:tc>
        <w:tc>
          <w:tcPr>
            <w:tcW w:w="1634" w:type="pct"/>
            <w:vAlign w:val="center"/>
          </w:tcPr>
          <w:p w:rsidR="00C2449F" w:rsidRPr="005A7CE6" w:rsidP="00D37C6D" w14:paraId="6E2A39F5" w14:textId="77777777">
            <w:pPr>
              <w:spacing w:after="0" w:line="240" w:lineRule="auto"/>
              <w:contextualSpacing/>
              <w:jc w:val="right"/>
              <w:rPr>
                <w:rFonts w:ascii="Times New Roman" w:hAnsi="Times New Roman"/>
                <w:iCs/>
                <w:sz w:val="20"/>
                <w:szCs w:val="20"/>
              </w:rPr>
            </w:pPr>
            <w:r w:rsidRPr="005A7CE6">
              <w:rPr>
                <w:rFonts w:ascii="Times New Roman" w:hAnsi="Times New Roman"/>
                <w:iCs/>
                <w:sz w:val="20"/>
                <w:szCs w:val="20"/>
              </w:rPr>
              <w:t>1.59</w:t>
            </w:r>
          </w:p>
        </w:tc>
      </w:tr>
      <w:tr w14:paraId="6D746AFF" w14:textId="77777777" w:rsidTr="00C26EB6">
        <w:tblPrEx>
          <w:tblW w:w="5000" w:type="pct"/>
          <w:tblLook w:val="04A0"/>
        </w:tblPrEx>
        <w:trPr>
          <w:trHeight w:val="288"/>
        </w:trPr>
        <w:tc>
          <w:tcPr>
            <w:tcW w:w="3366" w:type="pct"/>
            <w:vAlign w:val="center"/>
          </w:tcPr>
          <w:p w:rsidR="00C2449F" w:rsidRPr="0014054D" w:rsidP="00D37C6D" w14:paraId="0A96581D" w14:textId="16E9B976">
            <w:pPr>
              <w:spacing w:after="0" w:line="240" w:lineRule="auto"/>
              <w:contextualSpacing/>
              <w:rPr>
                <w:rFonts w:ascii="Times New Roman" w:hAnsi="Times New Roman"/>
                <w:iCs/>
                <w:sz w:val="20"/>
                <w:szCs w:val="20"/>
              </w:rPr>
            </w:pPr>
            <w:r>
              <w:rPr>
                <w:rFonts w:ascii="Times New Roman" w:hAnsi="Times New Roman"/>
                <w:iCs/>
                <w:sz w:val="20"/>
                <w:szCs w:val="20"/>
              </w:rPr>
              <w:t xml:space="preserve">Total reading cost to clinical </w:t>
            </w:r>
            <w:r w:rsidR="00FD1714">
              <w:rPr>
                <w:rFonts w:ascii="Times New Roman" w:hAnsi="Times New Roman"/>
                <w:iCs/>
                <w:sz w:val="20"/>
                <w:szCs w:val="20"/>
              </w:rPr>
              <w:t>investigation</w:t>
            </w:r>
            <w:r>
              <w:rPr>
                <w:rFonts w:ascii="Times New Roman" w:hAnsi="Times New Roman"/>
                <w:iCs/>
                <w:sz w:val="20"/>
                <w:szCs w:val="20"/>
              </w:rPr>
              <w:t xml:space="preserve"> sponsors (one-time)</w:t>
            </w:r>
          </w:p>
        </w:tc>
        <w:tc>
          <w:tcPr>
            <w:tcW w:w="1634" w:type="pct"/>
            <w:vAlign w:val="center"/>
          </w:tcPr>
          <w:p w:rsidR="00C2449F" w:rsidRPr="00EB62F6" w:rsidP="00D37C6D" w14:paraId="44BEF972" w14:textId="6CB5806A">
            <w:pPr>
              <w:spacing w:after="0" w:line="240" w:lineRule="auto"/>
              <w:contextualSpacing/>
              <w:jc w:val="right"/>
              <w:rPr>
                <w:rFonts w:ascii="Times New Roman" w:hAnsi="Times New Roman"/>
                <w:sz w:val="20"/>
              </w:rPr>
            </w:pPr>
            <w:r w:rsidRPr="00EB62F6">
              <w:rPr>
                <w:rFonts w:ascii="Times New Roman" w:hAnsi="Times New Roman"/>
                <w:sz w:val="20"/>
              </w:rPr>
              <w:t>$</w:t>
            </w:r>
            <w:r w:rsidRPr="00EB62F6" w:rsidR="00FF7B7F">
              <w:rPr>
                <w:rFonts w:ascii="Times New Roman" w:hAnsi="Times New Roman"/>
                <w:sz w:val="20"/>
              </w:rPr>
              <w:t>77,</w:t>
            </w:r>
            <w:r w:rsidRPr="00EB62F6" w:rsidR="008B3978">
              <w:rPr>
                <w:rFonts w:ascii="Times New Roman" w:hAnsi="Times New Roman"/>
                <w:sz w:val="20"/>
              </w:rPr>
              <w:t>76</w:t>
            </w:r>
            <w:r w:rsidRPr="00F24230" w:rsidR="00600ABF">
              <w:rPr>
                <w:rFonts w:ascii="Times New Roman" w:hAnsi="Times New Roman"/>
                <w:iCs/>
                <w:sz w:val="20"/>
                <w:szCs w:val="20"/>
              </w:rPr>
              <w:t>6</w:t>
            </w:r>
          </w:p>
        </w:tc>
      </w:tr>
      <w:tr w14:paraId="3E2D2B1E" w14:textId="77777777" w:rsidTr="00C26EB6">
        <w:tblPrEx>
          <w:tblW w:w="5000" w:type="pct"/>
          <w:tblLook w:val="04A0"/>
        </w:tblPrEx>
        <w:trPr>
          <w:trHeight w:val="288"/>
        </w:trPr>
        <w:tc>
          <w:tcPr>
            <w:tcW w:w="3366" w:type="pct"/>
            <w:vAlign w:val="center"/>
          </w:tcPr>
          <w:p w:rsidR="00C2449F" w:rsidRPr="0014054D" w:rsidP="00D37C6D" w14:paraId="263997A6" w14:textId="77777777">
            <w:pPr>
              <w:spacing w:after="0" w:line="240" w:lineRule="auto"/>
              <w:contextualSpacing/>
              <w:rPr>
                <w:rFonts w:ascii="Times New Roman" w:hAnsi="Times New Roman"/>
                <w:iCs/>
                <w:sz w:val="20"/>
                <w:szCs w:val="20"/>
              </w:rPr>
            </w:pPr>
            <w:r>
              <w:rPr>
                <w:rFonts w:ascii="Times New Roman" w:hAnsi="Times New Roman"/>
                <w:iCs/>
                <w:sz w:val="20"/>
                <w:szCs w:val="20"/>
              </w:rPr>
              <w:t>Total reading cost of the rule (one-time)</w:t>
            </w:r>
          </w:p>
        </w:tc>
        <w:tc>
          <w:tcPr>
            <w:tcW w:w="1634" w:type="pct"/>
            <w:vAlign w:val="center"/>
          </w:tcPr>
          <w:p w:rsidR="00C2449F" w:rsidRPr="00EB62F6" w:rsidP="00D37C6D" w14:paraId="0A7B7B12" w14:textId="64D81B99">
            <w:pPr>
              <w:spacing w:after="0" w:line="240" w:lineRule="auto"/>
              <w:contextualSpacing/>
              <w:jc w:val="right"/>
              <w:rPr>
                <w:rFonts w:ascii="Times New Roman" w:hAnsi="Times New Roman"/>
                <w:sz w:val="20"/>
              </w:rPr>
            </w:pPr>
            <w:r w:rsidRPr="00EB62F6">
              <w:rPr>
                <w:rFonts w:ascii="Times New Roman" w:hAnsi="Times New Roman"/>
                <w:sz w:val="20"/>
              </w:rPr>
              <w:t>$</w:t>
            </w:r>
            <w:r w:rsidRPr="00EB62F6" w:rsidR="008B3978">
              <w:rPr>
                <w:rFonts w:ascii="Times New Roman" w:hAnsi="Times New Roman"/>
                <w:sz w:val="20"/>
              </w:rPr>
              <w:t>6,</w:t>
            </w:r>
            <w:r w:rsidRPr="00F24230" w:rsidR="00600ABF">
              <w:rPr>
                <w:rFonts w:ascii="Times New Roman" w:hAnsi="Times New Roman"/>
                <w:iCs/>
                <w:sz w:val="20"/>
                <w:szCs w:val="20"/>
              </w:rPr>
              <w:t>300,634</w:t>
            </w:r>
          </w:p>
        </w:tc>
      </w:tr>
      <w:tr w14:paraId="14B6307F" w14:textId="77777777" w:rsidTr="00C26EB6">
        <w:tblPrEx>
          <w:tblW w:w="5000" w:type="pct"/>
          <w:tblLook w:val="04A0"/>
        </w:tblPrEx>
        <w:trPr>
          <w:trHeight w:val="288"/>
        </w:trPr>
        <w:tc>
          <w:tcPr>
            <w:tcW w:w="3366" w:type="pct"/>
            <w:vAlign w:val="center"/>
          </w:tcPr>
          <w:p w:rsidR="00C2449F" w:rsidRPr="009304B8" w:rsidP="00D37C6D" w14:paraId="65DC05F9" w14:textId="77777777">
            <w:pPr>
              <w:spacing w:after="0" w:line="240" w:lineRule="auto"/>
              <w:contextualSpacing/>
              <w:rPr>
                <w:rFonts w:ascii="Times New Roman" w:hAnsi="Times New Roman"/>
                <w:b/>
                <w:bCs/>
                <w:iCs/>
                <w:sz w:val="20"/>
                <w:szCs w:val="20"/>
              </w:rPr>
            </w:pPr>
            <w:r w:rsidRPr="009304B8">
              <w:rPr>
                <w:rFonts w:ascii="Times New Roman" w:hAnsi="Times New Roman"/>
                <w:b/>
                <w:bCs/>
                <w:iCs/>
                <w:sz w:val="20"/>
                <w:szCs w:val="20"/>
              </w:rPr>
              <w:t>Net present value of reading costs (10 years, 3%)</w:t>
            </w:r>
          </w:p>
        </w:tc>
        <w:tc>
          <w:tcPr>
            <w:tcW w:w="1634" w:type="pct"/>
            <w:vAlign w:val="center"/>
          </w:tcPr>
          <w:p w:rsidR="00C2449F" w:rsidRPr="00EB62F6" w:rsidP="00D37C6D" w14:paraId="44DE06C3" w14:textId="6A04B642">
            <w:pPr>
              <w:spacing w:after="0" w:line="240" w:lineRule="auto"/>
              <w:contextualSpacing/>
              <w:jc w:val="right"/>
              <w:rPr>
                <w:rFonts w:ascii="Times New Roman" w:hAnsi="Times New Roman"/>
                <w:b/>
                <w:sz w:val="20"/>
              </w:rPr>
            </w:pPr>
            <w:r w:rsidRPr="00EB62F6">
              <w:rPr>
                <w:rFonts w:ascii="Times New Roman" w:hAnsi="Times New Roman"/>
                <w:b/>
                <w:sz w:val="20"/>
              </w:rPr>
              <w:t>$</w:t>
            </w:r>
            <w:r w:rsidRPr="00EB62F6" w:rsidR="008B3978">
              <w:rPr>
                <w:rFonts w:ascii="Times New Roman" w:hAnsi="Times New Roman"/>
                <w:b/>
                <w:sz w:val="20"/>
              </w:rPr>
              <w:t>6,11</w:t>
            </w:r>
            <w:r w:rsidRPr="00F24230" w:rsidR="00600ABF">
              <w:rPr>
                <w:rFonts w:ascii="Times New Roman" w:hAnsi="Times New Roman"/>
                <w:b/>
                <w:bCs/>
                <w:iCs/>
                <w:sz w:val="20"/>
                <w:szCs w:val="20"/>
              </w:rPr>
              <w:t>7,120</w:t>
            </w:r>
          </w:p>
        </w:tc>
      </w:tr>
      <w:tr w14:paraId="4F4AC333" w14:textId="77777777" w:rsidTr="00C26EB6">
        <w:tblPrEx>
          <w:tblW w:w="5000" w:type="pct"/>
          <w:tblLook w:val="04A0"/>
        </w:tblPrEx>
        <w:trPr>
          <w:trHeight w:val="288"/>
        </w:trPr>
        <w:tc>
          <w:tcPr>
            <w:tcW w:w="3366" w:type="pct"/>
            <w:vAlign w:val="center"/>
          </w:tcPr>
          <w:p w:rsidR="00C2449F" w:rsidRPr="009304B8" w:rsidP="00D37C6D" w14:paraId="2C6F40D2" w14:textId="77777777">
            <w:pPr>
              <w:spacing w:after="0" w:line="240" w:lineRule="auto"/>
              <w:contextualSpacing/>
              <w:rPr>
                <w:rFonts w:ascii="Times New Roman" w:hAnsi="Times New Roman"/>
                <w:b/>
                <w:bCs/>
                <w:iCs/>
                <w:sz w:val="20"/>
                <w:szCs w:val="20"/>
              </w:rPr>
            </w:pPr>
            <w:r w:rsidRPr="009304B8">
              <w:rPr>
                <w:rFonts w:ascii="Times New Roman" w:hAnsi="Times New Roman"/>
                <w:b/>
                <w:bCs/>
                <w:iCs/>
                <w:sz w:val="20"/>
                <w:szCs w:val="20"/>
              </w:rPr>
              <w:t>Net present value of reading costs (10 years, 7%)</w:t>
            </w:r>
          </w:p>
        </w:tc>
        <w:tc>
          <w:tcPr>
            <w:tcW w:w="1634" w:type="pct"/>
            <w:vAlign w:val="center"/>
          </w:tcPr>
          <w:p w:rsidR="00C2449F" w:rsidRPr="00EB62F6" w:rsidP="00D37C6D" w14:paraId="4316731C" w14:textId="03DF6F0A">
            <w:pPr>
              <w:spacing w:after="0" w:line="240" w:lineRule="auto"/>
              <w:contextualSpacing/>
              <w:jc w:val="right"/>
              <w:rPr>
                <w:rFonts w:ascii="Times New Roman" w:hAnsi="Times New Roman"/>
                <w:b/>
                <w:sz w:val="20"/>
              </w:rPr>
            </w:pPr>
            <w:r w:rsidRPr="00EB62F6">
              <w:rPr>
                <w:rFonts w:ascii="Times New Roman" w:hAnsi="Times New Roman"/>
                <w:b/>
                <w:sz w:val="20"/>
              </w:rPr>
              <w:t>$</w:t>
            </w:r>
            <w:r w:rsidRPr="00EB62F6" w:rsidR="008B3978">
              <w:rPr>
                <w:rFonts w:ascii="Times New Roman" w:hAnsi="Times New Roman"/>
                <w:b/>
                <w:sz w:val="20"/>
              </w:rPr>
              <w:t>5,88</w:t>
            </w:r>
            <w:r w:rsidRPr="00F24230" w:rsidR="00600ABF">
              <w:rPr>
                <w:rFonts w:ascii="Times New Roman" w:hAnsi="Times New Roman"/>
                <w:b/>
                <w:bCs/>
                <w:iCs/>
                <w:sz w:val="20"/>
                <w:szCs w:val="20"/>
              </w:rPr>
              <w:t>8,443</w:t>
            </w:r>
          </w:p>
        </w:tc>
      </w:tr>
      <w:tr w14:paraId="2F1097E1" w14:textId="77777777" w:rsidTr="00C26EB6">
        <w:tblPrEx>
          <w:tblW w:w="5000" w:type="pct"/>
          <w:tblLook w:val="04A0"/>
        </w:tblPrEx>
        <w:trPr>
          <w:trHeight w:val="288"/>
        </w:trPr>
        <w:tc>
          <w:tcPr>
            <w:tcW w:w="3366" w:type="pct"/>
            <w:vAlign w:val="center"/>
          </w:tcPr>
          <w:p w:rsidR="00C2449F" w:rsidRPr="009304B8" w:rsidP="00D37C6D" w14:paraId="022F670E" w14:textId="77777777">
            <w:pPr>
              <w:spacing w:after="0" w:line="240" w:lineRule="auto"/>
              <w:contextualSpacing/>
              <w:rPr>
                <w:rFonts w:ascii="Times New Roman" w:hAnsi="Times New Roman"/>
                <w:b/>
                <w:bCs/>
                <w:iCs/>
                <w:sz w:val="20"/>
                <w:szCs w:val="20"/>
              </w:rPr>
            </w:pPr>
            <w:r w:rsidRPr="009304B8">
              <w:rPr>
                <w:rFonts w:ascii="Times New Roman" w:hAnsi="Times New Roman"/>
                <w:b/>
                <w:bCs/>
                <w:iCs/>
                <w:sz w:val="20"/>
                <w:szCs w:val="20"/>
              </w:rPr>
              <w:t>Annualized cost of reading the rule (3%)</w:t>
            </w:r>
          </w:p>
        </w:tc>
        <w:tc>
          <w:tcPr>
            <w:tcW w:w="1634" w:type="pct"/>
            <w:vAlign w:val="center"/>
          </w:tcPr>
          <w:p w:rsidR="00C2449F" w:rsidRPr="00EB62F6" w:rsidP="00D37C6D" w14:paraId="6F912A4C" w14:textId="7AA9A820">
            <w:pPr>
              <w:spacing w:after="0" w:line="240" w:lineRule="auto"/>
              <w:contextualSpacing/>
              <w:jc w:val="right"/>
              <w:rPr>
                <w:rFonts w:ascii="Times New Roman" w:hAnsi="Times New Roman"/>
                <w:b/>
                <w:sz w:val="20"/>
              </w:rPr>
            </w:pPr>
            <w:r w:rsidRPr="00EB62F6">
              <w:rPr>
                <w:rFonts w:ascii="Times New Roman" w:hAnsi="Times New Roman"/>
                <w:b/>
                <w:sz w:val="20"/>
              </w:rPr>
              <w:t>$</w:t>
            </w:r>
            <w:r w:rsidRPr="00EB62F6" w:rsidR="008B3978">
              <w:rPr>
                <w:rFonts w:ascii="Times New Roman" w:hAnsi="Times New Roman"/>
                <w:b/>
                <w:sz w:val="20"/>
              </w:rPr>
              <w:t>71</w:t>
            </w:r>
            <w:r w:rsidRPr="00F24230" w:rsidR="00600ABF">
              <w:rPr>
                <w:rFonts w:ascii="Times New Roman" w:hAnsi="Times New Roman"/>
                <w:b/>
                <w:bCs/>
                <w:iCs/>
                <w:sz w:val="20"/>
                <w:szCs w:val="20"/>
              </w:rPr>
              <w:t>7,113</w:t>
            </w:r>
          </w:p>
        </w:tc>
      </w:tr>
      <w:tr w14:paraId="0679AF63" w14:textId="77777777" w:rsidTr="00C26EB6">
        <w:tblPrEx>
          <w:tblW w:w="5000" w:type="pct"/>
          <w:tblLook w:val="04A0"/>
        </w:tblPrEx>
        <w:trPr>
          <w:trHeight w:val="288"/>
        </w:trPr>
        <w:tc>
          <w:tcPr>
            <w:tcW w:w="3366" w:type="pct"/>
            <w:vAlign w:val="center"/>
          </w:tcPr>
          <w:p w:rsidR="00C2449F" w:rsidRPr="005A7CE6" w:rsidP="00D37C6D" w14:paraId="2A9F5D4B" w14:textId="77777777">
            <w:pPr>
              <w:spacing w:after="0" w:line="240" w:lineRule="auto"/>
              <w:contextualSpacing/>
              <w:rPr>
                <w:rFonts w:ascii="Times New Roman" w:hAnsi="Times New Roman"/>
                <w:b/>
                <w:bCs/>
                <w:iCs/>
                <w:sz w:val="20"/>
                <w:szCs w:val="20"/>
              </w:rPr>
            </w:pPr>
            <w:r w:rsidRPr="005A7CE6">
              <w:rPr>
                <w:rFonts w:ascii="Times New Roman" w:hAnsi="Times New Roman"/>
                <w:b/>
                <w:bCs/>
                <w:iCs/>
                <w:sz w:val="20"/>
                <w:szCs w:val="20"/>
              </w:rPr>
              <w:t>Annualized cost of reading the rule (7%)</w:t>
            </w:r>
          </w:p>
        </w:tc>
        <w:tc>
          <w:tcPr>
            <w:tcW w:w="1634" w:type="pct"/>
            <w:vAlign w:val="center"/>
          </w:tcPr>
          <w:p w:rsidR="00C2449F" w:rsidRPr="00EB62F6" w:rsidP="00D37C6D" w14:paraId="3ECAD5D2" w14:textId="0A4B4AE8">
            <w:pPr>
              <w:spacing w:after="0" w:line="240" w:lineRule="auto"/>
              <w:contextualSpacing/>
              <w:jc w:val="right"/>
              <w:rPr>
                <w:rFonts w:ascii="Times New Roman" w:hAnsi="Times New Roman"/>
                <w:b/>
                <w:sz w:val="20"/>
              </w:rPr>
            </w:pPr>
            <w:r w:rsidRPr="00EB62F6">
              <w:rPr>
                <w:rFonts w:ascii="Times New Roman" w:hAnsi="Times New Roman"/>
                <w:b/>
                <w:sz w:val="20"/>
              </w:rPr>
              <w:t>$</w:t>
            </w:r>
            <w:r w:rsidRPr="00EB62F6" w:rsidR="008B3978">
              <w:rPr>
                <w:rFonts w:ascii="Times New Roman" w:hAnsi="Times New Roman"/>
                <w:b/>
                <w:sz w:val="20"/>
              </w:rPr>
              <w:t>83</w:t>
            </w:r>
            <w:r w:rsidRPr="00F24230" w:rsidR="00600ABF">
              <w:rPr>
                <w:rFonts w:ascii="Times New Roman" w:hAnsi="Times New Roman"/>
                <w:b/>
                <w:bCs/>
                <w:iCs/>
                <w:sz w:val="20"/>
                <w:szCs w:val="20"/>
              </w:rPr>
              <w:t>8,382</w:t>
            </w:r>
          </w:p>
        </w:tc>
      </w:tr>
    </w:tbl>
    <w:p w:rsidR="00C2449F" w:rsidP="00C2449F" w14:paraId="054A1121" w14:textId="77777777">
      <w:pPr>
        <w:spacing w:after="0" w:line="480" w:lineRule="auto"/>
        <w:contextualSpacing/>
        <w:rPr>
          <w:rFonts w:ascii="Times New Roman" w:hAnsi="Times New Roman"/>
          <w:iCs/>
          <w:sz w:val="24"/>
          <w:szCs w:val="24"/>
        </w:rPr>
      </w:pPr>
    </w:p>
    <w:p w:rsidR="00C2449F" w:rsidRPr="005A7CE6" w:rsidP="6E59E866" w14:paraId="15CAD91C" w14:textId="781A588E">
      <w:pPr>
        <w:spacing w:after="0" w:line="480" w:lineRule="auto"/>
        <w:ind w:firstLine="720"/>
        <w:contextualSpacing/>
        <w:rPr>
          <w:rFonts w:ascii="Times New Roman" w:hAnsi="Times New Roman"/>
          <w:sz w:val="24"/>
          <w:szCs w:val="24"/>
        </w:rPr>
      </w:pPr>
      <w:r w:rsidRPr="6E59E866">
        <w:rPr>
          <w:rFonts w:ascii="Times New Roman" w:hAnsi="Times New Roman"/>
          <w:sz w:val="24"/>
          <w:szCs w:val="24"/>
        </w:rPr>
        <w:t xml:space="preserve">The rule will </w:t>
      </w:r>
      <w:r w:rsidR="00B910D4">
        <w:rPr>
          <w:rFonts w:ascii="Times New Roman" w:hAnsi="Times New Roman"/>
          <w:sz w:val="24"/>
          <w:szCs w:val="24"/>
        </w:rPr>
        <w:t>likely result in</w:t>
      </w:r>
      <w:r w:rsidRPr="6E59E866">
        <w:rPr>
          <w:rFonts w:ascii="Times New Roman" w:hAnsi="Times New Roman"/>
          <w:sz w:val="24"/>
          <w:szCs w:val="24"/>
        </w:rPr>
        <w:t xml:space="preserve"> clinical investigators draft</w:t>
      </w:r>
      <w:r w:rsidR="00FC32EC">
        <w:rPr>
          <w:rFonts w:ascii="Times New Roman" w:hAnsi="Times New Roman"/>
          <w:sz w:val="24"/>
          <w:szCs w:val="24"/>
        </w:rPr>
        <w:t>ing</w:t>
      </w:r>
      <w:r w:rsidR="00481F46">
        <w:rPr>
          <w:rFonts w:ascii="Times New Roman" w:hAnsi="Times New Roman"/>
          <w:sz w:val="24"/>
          <w:szCs w:val="24"/>
        </w:rPr>
        <w:t xml:space="preserve"> requests for a waiver or alteration of informed consent under § 50.22 (</w:t>
      </w:r>
      <w:r w:rsidR="00BC4675">
        <w:rPr>
          <w:rFonts w:ascii="Times New Roman" w:hAnsi="Times New Roman"/>
          <w:sz w:val="24"/>
          <w:szCs w:val="24"/>
        </w:rPr>
        <w:t xml:space="preserve">waiver/alteration </w:t>
      </w:r>
      <w:r w:rsidRPr="6E59E866">
        <w:rPr>
          <w:rFonts w:ascii="Times New Roman" w:hAnsi="Times New Roman"/>
          <w:sz w:val="24"/>
          <w:szCs w:val="24"/>
        </w:rPr>
        <w:t>requests</w:t>
      </w:r>
      <w:r w:rsidR="00481F46">
        <w:rPr>
          <w:rFonts w:ascii="Times New Roman" w:hAnsi="Times New Roman"/>
          <w:sz w:val="24"/>
          <w:szCs w:val="24"/>
        </w:rPr>
        <w:t>)</w:t>
      </w:r>
      <w:r w:rsidRPr="6E59E866">
        <w:rPr>
          <w:rFonts w:ascii="Times New Roman" w:hAnsi="Times New Roman"/>
          <w:sz w:val="24"/>
          <w:szCs w:val="24"/>
        </w:rPr>
        <w:t xml:space="preserve">. </w:t>
      </w:r>
      <w:r w:rsidR="009C0296">
        <w:rPr>
          <w:rFonts w:ascii="Times New Roman" w:hAnsi="Times New Roman"/>
          <w:sz w:val="24"/>
          <w:szCs w:val="24"/>
        </w:rPr>
        <w:t xml:space="preserve"> </w:t>
      </w:r>
      <w:r w:rsidR="00A05229">
        <w:rPr>
          <w:rFonts w:ascii="Times New Roman" w:hAnsi="Times New Roman"/>
          <w:sz w:val="24"/>
          <w:szCs w:val="24"/>
        </w:rPr>
        <w:t>As described above, w</w:t>
      </w:r>
      <w:r w:rsidRPr="6E59E866">
        <w:rPr>
          <w:rFonts w:ascii="Times New Roman" w:hAnsi="Times New Roman"/>
          <w:sz w:val="24"/>
          <w:szCs w:val="24"/>
        </w:rPr>
        <w:t xml:space="preserve">e estimate that there are approximately </w:t>
      </w:r>
      <w:r w:rsidR="009B1F4B">
        <w:rPr>
          <w:rFonts w:ascii="Times New Roman" w:hAnsi="Times New Roman"/>
          <w:sz w:val="24"/>
          <w:szCs w:val="24"/>
        </w:rPr>
        <w:t>551</w:t>
      </w:r>
      <w:r w:rsidRPr="6E59E866">
        <w:rPr>
          <w:rFonts w:ascii="Times New Roman" w:hAnsi="Times New Roman"/>
          <w:sz w:val="24"/>
          <w:szCs w:val="24"/>
        </w:rPr>
        <w:t xml:space="preserve"> </w:t>
      </w:r>
      <w:r w:rsidR="009B1F4B">
        <w:rPr>
          <w:rFonts w:ascii="Times New Roman" w:hAnsi="Times New Roman"/>
          <w:sz w:val="24"/>
          <w:szCs w:val="24"/>
        </w:rPr>
        <w:t>potential minimal</w:t>
      </w:r>
      <w:r w:rsidRPr="6E59E866" w:rsidR="009B1F4B">
        <w:rPr>
          <w:rFonts w:ascii="Times New Roman" w:hAnsi="Times New Roman"/>
          <w:sz w:val="24"/>
          <w:szCs w:val="24"/>
        </w:rPr>
        <w:t xml:space="preserve"> </w:t>
      </w:r>
      <w:r w:rsidR="00A07783">
        <w:rPr>
          <w:rFonts w:ascii="Times New Roman" w:hAnsi="Times New Roman"/>
          <w:sz w:val="24"/>
          <w:szCs w:val="24"/>
        </w:rPr>
        <w:t xml:space="preserve">risk </w:t>
      </w:r>
      <w:r w:rsidRPr="6E59E866">
        <w:rPr>
          <w:rFonts w:ascii="Times New Roman" w:hAnsi="Times New Roman"/>
          <w:sz w:val="24"/>
          <w:szCs w:val="24"/>
        </w:rPr>
        <w:t xml:space="preserve">clinical </w:t>
      </w:r>
      <w:r w:rsidRPr="6E59E866" w:rsidR="00FD1714">
        <w:rPr>
          <w:rFonts w:ascii="Times New Roman" w:hAnsi="Times New Roman"/>
          <w:sz w:val="24"/>
          <w:szCs w:val="24"/>
        </w:rPr>
        <w:t>investigation</w:t>
      </w:r>
      <w:r w:rsidRPr="6E59E866">
        <w:rPr>
          <w:rFonts w:ascii="Times New Roman" w:hAnsi="Times New Roman"/>
          <w:sz w:val="24"/>
          <w:szCs w:val="24"/>
        </w:rPr>
        <w:t>s</w:t>
      </w:r>
      <w:r w:rsidR="009B1F4B">
        <w:rPr>
          <w:rFonts w:ascii="Times New Roman" w:hAnsi="Times New Roman"/>
          <w:sz w:val="24"/>
          <w:szCs w:val="24"/>
        </w:rPr>
        <w:t xml:space="preserve"> </w:t>
      </w:r>
      <w:r w:rsidR="00481F46">
        <w:rPr>
          <w:rFonts w:ascii="Times New Roman" w:hAnsi="Times New Roman"/>
          <w:sz w:val="24"/>
          <w:szCs w:val="24"/>
        </w:rPr>
        <w:t xml:space="preserve">for which a waiver/alteration request </w:t>
      </w:r>
      <w:r w:rsidR="00AC40E1">
        <w:rPr>
          <w:rFonts w:ascii="Times New Roman" w:hAnsi="Times New Roman"/>
          <w:sz w:val="24"/>
          <w:szCs w:val="24"/>
        </w:rPr>
        <w:t>may</w:t>
      </w:r>
      <w:r w:rsidR="009B1F4B">
        <w:rPr>
          <w:rFonts w:ascii="Times New Roman" w:hAnsi="Times New Roman"/>
          <w:sz w:val="24"/>
          <w:szCs w:val="24"/>
        </w:rPr>
        <w:t xml:space="preserve"> be submitted for IRB re</w:t>
      </w:r>
      <w:r w:rsidR="009D6D23">
        <w:rPr>
          <w:rFonts w:ascii="Times New Roman" w:hAnsi="Times New Roman"/>
          <w:sz w:val="24"/>
          <w:szCs w:val="24"/>
        </w:rPr>
        <w:t>v</w:t>
      </w:r>
      <w:r w:rsidR="009B1F4B">
        <w:rPr>
          <w:rFonts w:ascii="Times New Roman" w:hAnsi="Times New Roman"/>
          <w:sz w:val="24"/>
          <w:szCs w:val="24"/>
        </w:rPr>
        <w:t>iew</w:t>
      </w:r>
      <w:r w:rsidRPr="6E59E866">
        <w:rPr>
          <w:rFonts w:ascii="Times New Roman" w:hAnsi="Times New Roman"/>
          <w:sz w:val="24"/>
          <w:szCs w:val="24"/>
        </w:rPr>
        <w:t xml:space="preserve">, that the time burden of drafting waiver/alteration requests is approximately </w:t>
      </w:r>
      <w:r w:rsidRPr="6E59E866" w:rsidR="0062617B">
        <w:rPr>
          <w:rFonts w:ascii="Times New Roman" w:hAnsi="Times New Roman"/>
          <w:sz w:val="24"/>
          <w:szCs w:val="24"/>
        </w:rPr>
        <w:t>1</w:t>
      </w:r>
      <w:r w:rsidRPr="6E59E866">
        <w:rPr>
          <w:rFonts w:ascii="Times New Roman" w:hAnsi="Times New Roman"/>
          <w:sz w:val="24"/>
          <w:szCs w:val="24"/>
        </w:rPr>
        <w:t xml:space="preserve"> hour, and that approximately 1 investigator will draft </w:t>
      </w:r>
      <w:r w:rsidR="001C5FD7">
        <w:rPr>
          <w:rFonts w:ascii="Times New Roman" w:hAnsi="Times New Roman"/>
          <w:sz w:val="24"/>
          <w:szCs w:val="24"/>
        </w:rPr>
        <w:t xml:space="preserve">a </w:t>
      </w:r>
      <w:r w:rsidRPr="6E59E866">
        <w:rPr>
          <w:rFonts w:ascii="Times New Roman" w:hAnsi="Times New Roman"/>
          <w:sz w:val="24"/>
          <w:szCs w:val="24"/>
        </w:rPr>
        <w:t>request</w:t>
      </w:r>
      <w:r w:rsidR="001C5FD7">
        <w:rPr>
          <w:rFonts w:ascii="Times New Roman" w:hAnsi="Times New Roman"/>
          <w:sz w:val="24"/>
          <w:szCs w:val="24"/>
        </w:rPr>
        <w:t xml:space="preserve"> for each clinical inve</w:t>
      </w:r>
      <w:r w:rsidRPr="6E59E866">
        <w:rPr>
          <w:rFonts w:ascii="Times New Roman" w:hAnsi="Times New Roman"/>
          <w:sz w:val="24"/>
          <w:szCs w:val="24"/>
        </w:rPr>
        <w:t>s</w:t>
      </w:r>
      <w:r w:rsidR="001C5FD7">
        <w:rPr>
          <w:rFonts w:ascii="Times New Roman" w:hAnsi="Times New Roman"/>
          <w:sz w:val="24"/>
          <w:szCs w:val="24"/>
        </w:rPr>
        <w:t>tigation</w:t>
      </w:r>
      <w:r w:rsidRPr="6E59E866">
        <w:rPr>
          <w:rFonts w:ascii="Times New Roman" w:hAnsi="Times New Roman"/>
          <w:sz w:val="24"/>
          <w:szCs w:val="24"/>
        </w:rPr>
        <w:t xml:space="preserve">. </w:t>
      </w:r>
      <w:r w:rsidR="00E80EEA">
        <w:rPr>
          <w:rFonts w:ascii="Times New Roman" w:hAnsi="Times New Roman"/>
          <w:sz w:val="24"/>
          <w:szCs w:val="24"/>
        </w:rPr>
        <w:t xml:space="preserve"> </w:t>
      </w:r>
      <w:r w:rsidRPr="6E59E866">
        <w:rPr>
          <w:rFonts w:ascii="Times New Roman" w:hAnsi="Times New Roman"/>
          <w:sz w:val="24"/>
          <w:szCs w:val="24"/>
        </w:rPr>
        <w:t xml:space="preserve">We estimate that </w:t>
      </w:r>
      <w:r w:rsidR="00BC4675">
        <w:rPr>
          <w:rFonts w:ascii="Times New Roman" w:hAnsi="Times New Roman"/>
          <w:sz w:val="24"/>
          <w:szCs w:val="24"/>
        </w:rPr>
        <w:t xml:space="preserve">for </w:t>
      </w:r>
      <w:r w:rsidRPr="6E59E866">
        <w:rPr>
          <w:rFonts w:ascii="Times New Roman" w:hAnsi="Times New Roman"/>
          <w:sz w:val="24"/>
          <w:szCs w:val="24"/>
        </w:rPr>
        <w:t xml:space="preserve">approximately 50 percent of </w:t>
      </w:r>
      <w:r w:rsidR="00DC446A">
        <w:rPr>
          <w:rFonts w:ascii="Times New Roman" w:hAnsi="Times New Roman"/>
          <w:sz w:val="24"/>
          <w:szCs w:val="24"/>
        </w:rPr>
        <w:t>the</w:t>
      </w:r>
      <w:r w:rsidRPr="6E59E866" w:rsidR="005F3DE0">
        <w:rPr>
          <w:rFonts w:ascii="Times New Roman" w:hAnsi="Times New Roman"/>
          <w:sz w:val="24"/>
          <w:szCs w:val="24"/>
        </w:rPr>
        <w:t xml:space="preserve"> </w:t>
      </w:r>
      <w:r w:rsidR="00CC1E29">
        <w:rPr>
          <w:rFonts w:ascii="Times New Roman" w:hAnsi="Times New Roman"/>
          <w:sz w:val="24"/>
          <w:szCs w:val="24"/>
        </w:rPr>
        <w:t xml:space="preserve">potential minimal risk </w:t>
      </w:r>
      <w:r w:rsidRPr="6E59E866">
        <w:rPr>
          <w:rFonts w:ascii="Times New Roman" w:hAnsi="Times New Roman"/>
          <w:sz w:val="24"/>
          <w:szCs w:val="24"/>
        </w:rPr>
        <w:t xml:space="preserve">clinical </w:t>
      </w:r>
      <w:r w:rsidRPr="6E59E866" w:rsidR="00FD1714">
        <w:rPr>
          <w:rFonts w:ascii="Times New Roman" w:hAnsi="Times New Roman"/>
          <w:sz w:val="24"/>
          <w:szCs w:val="24"/>
        </w:rPr>
        <w:t>investigation</w:t>
      </w:r>
      <w:r w:rsidRPr="6E59E866">
        <w:rPr>
          <w:rFonts w:ascii="Times New Roman" w:hAnsi="Times New Roman"/>
          <w:sz w:val="24"/>
          <w:szCs w:val="24"/>
        </w:rPr>
        <w:t>s</w:t>
      </w:r>
      <w:r w:rsidR="00DC446A">
        <w:rPr>
          <w:rFonts w:ascii="Times New Roman" w:hAnsi="Times New Roman"/>
          <w:sz w:val="24"/>
          <w:szCs w:val="24"/>
        </w:rPr>
        <w:t xml:space="preserve"> </w:t>
      </w:r>
      <w:r w:rsidR="00481F46">
        <w:rPr>
          <w:rFonts w:ascii="Times New Roman" w:hAnsi="Times New Roman"/>
          <w:sz w:val="24"/>
          <w:szCs w:val="24"/>
        </w:rPr>
        <w:t>for which a waiver</w:t>
      </w:r>
      <w:r w:rsidR="00A009A5">
        <w:rPr>
          <w:rFonts w:ascii="Times New Roman" w:hAnsi="Times New Roman"/>
          <w:sz w:val="24"/>
          <w:szCs w:val="24"/>
        </w:rPr>
        <w:t>/alteration request</w:t>
      </w:r>
      <w:r w:rsidR="00CC1E29">
        <w:rPr>
          <w:rFonts w:ascii="Times New Roman" w:hAnsi="Times New Roman"/>
          <w:sz w:val="24"/>
          <w:szCs w:val="24"/>
        </w:rPr>
        <w:t xml:space="preserve"> may be submitted for review</w:t>
      </w:r>
      <w:r w:rsidR="00BC4675">
        <w:rPr>
          <w:rFonts w:ascii="Times New Roman" w:hAnsi="Times New Roman"/>
          <w:sz w:val="24"/>
          <w:szCs w:val="24"/>
        </w:rPr>
        <w:t>, investigators</w:t>
      </w:r>
      <w:r w:rsidRPr="6E59E866">
        <w:rPr>
          <w:rFonts w:ascii="Times New Roman" w:hAnsi="Times New Roman"/>
          <w:sz w:val="24"/>
          <w:szCs w:val="24"/>
        </w:rPr>
        <w:t xml:space="preserve"> will draft </w:t>
      </w:r>
      <w:r w:rsidR="00BC4675">
        <w:rPr>
          <w:rFonts w:ascii="Times New Roman" w:hAnsi="Times New Roman"/>
          <w:sz w:val="24"/>
          <w:szCs w:val="24"/>
        </w:rPr>
        <w:t xml:space="preserve">waiver/alteration </w:t>
      </w:r>
      <w:r w:rsidRPr="6E59E866">
        <w:rPr>
          <w:rFonts w:ascii="Times New Roman" w:hAnsi="Times New Roman"/>
          <w:sz w:val="24"/>
          <w:szCs w:val="24"/>
        </w:rPr>
        <w:t xml:space="preserve">requests, with a lower bound of approximately 25 percent and an upper bound of all </w:t>
      </w:r>
      <w:r w:rsidR="000128A1">
        <w:rPr>
          <w:rFonts w:ascii="Times New Roman" w:hAnsi="Times New Roman"/>
          <w:sz w:val="24"/>
          <w:szCs w:val="24"/>
        </w:rPr>
        <w:t>potential</w:t>
      </w:r>
      <w:r w:rsidRPr="6E59E866">
        <w:rPr>
          <w:rFonts w:ascii="Times New Roman" w:hAnsi="Times New Roman"/>
          <w:sz w:val="24"/>
          <w:szCs w:val="24"/>
        </w:rPr>
        <w:t xml:space="preserve"> </w:t>
      </w:r>
      <w:r w:rsidR="00A009A5">
        <w:rPr>
          <w:rFonts w:ascii="Times New Roman" w:hAnsi="Times New Roman"/>
          <w:sz w:val="24"/>
          <w:szCs w:val="24"/>
        </w:rPr>
        <w:t xml:space="preserve">minimal risk </w:t>
      </w:r>
      <w:r w:rsidRPr="6E59E866" w:rsidR="00FD1714">
        <w:rPr>
          <w:rFonts w:ascii="Times New Roman" w:hAnsi="Times New Roman"/>
          <w:sz w:val="24"/>
          <w:szCs w:val="24"/>
        </w:rPr>
        <w:t>investigation</w:t>
      </w:r>
      <w:r w:rsidRPr="6E59E866">
        <w:rPr>
          <w:rFonts w:ascii="Times New Roman" w:hAnsi="Times New Roman"/>
          <w:sz w:val="24"/>
          <w:szCs w:val="24"/>
        </w:rPr>
        <w:t xml:space="preserve">s. </w:t>
      </w:r>
      <w:r w:rsidR="009C0296">
        <w:rPr>
          <w:rFonts w:ascii="Times New Roman" w:hAnsi="Times New Roman"/>
          <w:sz w:val="24"/>
          <w:szCs w:val="24"/>
        </w:rPr>
        <w:t xml:space="preserve"> </w:t>
      </w:r>
      <w:r w:rsidRPr="6E59E866">
        <w:rPr>
          <w:rFonts w:ascii="Times New Roman" w:hAnsi="Times New Roman"/>
          <w:sz w:val="24"/>
          <w:szCs w:val="24"/>
        </w:rPr>
        <w:t>We multipl</w:t>
      </w:r>
      <w:r w:rsidR="001A5241">
        <w:rPr>
          <w:rFonts w:ascii="Times New Roman" w:hAnsi="Times New Roman"/>
          <w:sz w:val="24"/>
          <w:szCs w:val="24"/>
        </w:rPr>
        <w:t>y</w:t>
      </w:r>
      <w:r w:rsidRPr="6E59E866">
        <w:rPr>
          <w:rFonts w:ascii="Times New Roman" w:hAnsi="Times New Roman"/>
          <w:sz w:val="24"/>
          <w:szCs w:val="24"/>
        </w:rPr>
        <w:t xml:space="preserve"> the number of </w:t>
      </w:r>
      <w:r w:rsidR="007C6388">
        <w:rPr>
          <w:rFonts w:ascii="Times New Roman" w:hAnsi="Times New Roman"/>
          <w:sz w:val="24"/>
          <w:szCs w:val="24"/>
        </w:rPr>
        <w:t>potential</w:t>
      </w:r>
      <w:r w:rsidRPr="6E59E866" w:rsidR="007B322E">
        <w:rPr>
          <w:rFonts w:ascii="Times New Roman" w:hAnsi="Times New Roman"/>
          <w:sz w:val="24"/>
          <w:szCs w:val="24"/>
        </w:rPr>
        <w:t xml:space="preserve"> </w:t>
      </w:r>
      <w:r w:rsidR="00A009A5">
        <w:rPr>
          <w:rFonts w:ascii="Times New Roman" w:hAnsi="Times New Roman"/>
          <w:sz w:val="24"/>
          <w:szCs w:val="24"/>
        </w:rPr>
        <w:t xml:space="preserve">minimal risk </w:t>
      </w:r>
      <w:r w:rsidRPr="6E59E866">
        <w:rPr>
          <w:rFonts w:ascii="Times New Roman" w:hAnsi="Times New Roman"/>
          <w:sz w:val="24"/>
          <w:szCs w:val="24"/>
        </w:rPr>
        <w:t xml:space="preserve">clinical </w:t>
      </w:r>
      <w:r w:rsidRPr="6E59E866" w:rsidR="00FD1714">
        <w:rPr>
          <w:rFonts w:ascii="Times New Roman" w:hAnsi="Times New Roman"/>
          <w:sz w:val="24"/>
          <w:szCs w:val="24"/>
        </w:rPr>
        <w:t>investigation</w:t>
      </w:r>
      <w:r w:rsidRPr="6E59E866">
        <w:rPr>
          <w:rFonts w:ascii="Times New Roman" w:hAnsi="Times New Roman"/>
          <w:sz w:val="24"/>
          <w:szCs w:val="24"/>
        </w:rPr>
        <w:t>s by the number of investigators</w:t>
      </w:r>
      <w:r w:rsidRPr="6E59E866" w:rsidR="005F3DE0">
        <w:rPr>
          <w:rFonts w:ascii="Times New Roman" w:hAnsi="Times New Roman"/>
          <w:sz w:val="24"/>
          <w:szCs w:val="24"/>
        </w:rPr>
        <w:t xml:space="preserve"> </w:t>
      </w:r>
      <w:r w:rsidRPr="6E59E866">
        <w:rPr>
          <w:rFonts w:ascii="Times New Roman" w:hAnsi="Times New Roman"/>
          <w:sz w:val="24"/>
          <w:szCs w:val="24"/>
        </w:rPr>
        <w:t xml:space="preserve">associated with each clinical </w:t>
      </w:r>
      <w:r w:rsidRPr="6E59E866" w:rsidR="00FD1714">
        <w:rPr>
          <w:rFonts w:ascii="Times New Roman" w:hAnsi="Times New Roman"/>
          <w:sz w:val="24"/>
          <w:szCs w:val="24"/>
        </w:rPr>
        <w:t>investigation</w:t>
      </w:r>
      <w:r w:rsidRPr="6E59E866">
        <w:rPr>
          <w:rFonts w:ascii="Times New Roman" w:hAnsi="Times New Roman"/>
          <w:sz w:val="24"/>
          <w:szCs w:val="24"/>
        </w:rPr>
        <w:t xml:space="preserve"> and the hourly wage rate of investigators </w:t>
      </w:r>
      <w:r w:rsidR="002E654A">
        <w:rPr>
          <w:rFonts w:ascii="Times New Roman" w:hAnsi="Times New Roman"/>
          <w:sz w:val="24"/>
          <w:szCs w:val="24"/>
        </w:rPr>
        <w:t xml:space="preserve">(Ref. 7) </w:t>
      </w:r>
      <w:r w:rsidRPr="6E59E866">
        <w:rPr>
          <w:rFonts w:ascii="Times New Roman" w:hAnsi="Times New Roman"/>
          <w:sz w:val="24"/>
          <w:szCs w:val="24"/>
        </w:rPr>
        <w:t>to yield an annual waiver/alteration request drafting cost of approximately $</w:t>
      </w:r>
      <w:r w:rsidR="00663A0F">
        <w:rPr>
          <w:rFonts w:ascii="Times New Roman" w:hAnsi="Times New Roman"/>
          <w:sz w:val="24"/>
          <w:szCs w:val="24"/>
        </w:rPr>
        <w:t>57,976</w:t>
      </w:r>
      <w:r w:rsidRPr="6E59E866" w:rsidR="00142B3F">
        <w:rPr>
          <w:rFonts w:ascii="Times New Roman" w:hAnsi="Times New Roman"/>
          <w:sz w:val="24"/>
          <w:szCs w:val="24"/>
        </w:rPr>
        <w:t xml:space="preserve"> </w:t>
      </w:r>
      <w:r w:rsidRPr="6E59E866">
        <w:rPr>
          <w:rFonts w:ascii="Times New Roman" w:hAnsi="Times New Roman"/>
          <w:sz w:val="24"/>
          <w:szCs w:val="24"/>
        </w:rPr>
        <w:t xml:space="preserve">(= </w:t>
      </w:r>
      <w:r w:rsidR="00D024C3">
        <w:rPr>
          <w:rFonts w:ascii="Times New Roman" w:hAnsi="Times New Roman"/>
          <w:sz w:val="24"/>
          <w:szCs w:val="24"/>
        </w:rPr>
        <w:t>551</w:t>
      </w:r>
      <w:r w:rsidRPr="6E59E866">
        <w:rPr>
          <w:rFonts w:ascii="Times New Roman" w:hAnsi="Times New Roman"/>
          <w:sz w:val="24"/>
          <w:szCs w:val="24"/>
        </w:rPr>
        <w:t xml:space="preserve"> x </w:t>
      </w:r>
      <w:r w:rsidRPr="6E59E866" w:rsidR="005F3DE0">
        <w:rPr>
          <w:rFonts w:ascii="Times New Roman" w:hAnsi="Times New Roman"/>
          <w:sz w:val="24"/>
          <w:szCs w:val="24"/>
        </w:rPr>
        <w:t>1</w:t>
      </w:r>
      <w:r w:rsidRPr="6E59E866">
        <w:rPr>
          <w:rFonts w:ascii="Times New Roman" w:hAnsi="Times New Roman"/>
          <w:sz w:val="24"/>
          <w:szCs w:val="24"/>
        </w:rPr>
        <w:t xml:space="preserve"> x 1 x 0.5 x $</w:t>
      </w:r>
      <w:r w:rsidR="005E4600">
        <w:rPr>
          <w:rFonts w:ascii="Times New Roman" w:hAnsi="Times New Roman"/>
          <w:sz w:val="24"/>
          <w:szCs w:val="24"/>
        </w:rPr>
        <w:t>210.44</w:t>
      </w:r>
      <w:r w:rsidRPr="6E59E866">
        <w:rPr>
          <w:rFonts w:ascii="Times New Roman" w:hAnsi="Times New Roman"/>
          <w:sz w:val="24"/>
          <w:szCs w:val="24"/>
        </w:rPr>
        <w:t>), with a lower bound of approximately $</w:t>
      </w:r>
      <w:r w:rsidR="00663A0F">
        <w:rPr>
          <w:rFonts w:ascii="Times New Roman" w:hAnsi="Times New Roman"/>
          <w:sz w:val="24"/>
          <w:szCs w:val="24"/>
        </w:rPr>
        <w:t>28,988</w:t>
      </w:r>
      <w:r w:rsidRPr="6E59E866">
        <w:rPr>
          <w:rFonts w:ascii="Times New Roman" w:hAnsi="Times New Roman"/>
          <w:sz w:val="24"/>
          <w:szCs w:val="24"/>
        </w:rPr>
        <w:t xml:space="preserve"> (= </w:t>
      </w:r>
      <w:r w:rsidR="00D024C3">
        <w:rPr>
          <w:rFonts w:ascii="Times New Roman" w:hAnsi="Times New Roman"/>
          <w:sz w:val="24"/>
          <w:szCs w:val="24"/>
        </w:rPr>
        <w:t>551</w:t>
      </w:r>
      <w:r w:rsidRPr="6E59E866">
        <w:rPr>
          <w:rFonts w:ascii="Times New Roman" w:hAnsi="Times New Roman"/>
          <w:sz w:val="24"/>
          <w:szCs w:val="24"/>
        </w:rPr>
        <w:t xml:space="preserve"> x </w:t>
      </w:r>
      <w:r w:rsidRPr="6E59E866" w:rsidR="00B77F9E">
        <w:rPr>
          <w:rFonts w:ascii="Times New Roman" w:hAnsi="Times New Roman"/>
          <w:sz w:val="24"/>
          <w:szCs w:val="24"/>
        </w:rPr>
        <w:t>1</w:t>
      </w:r>
      <w:r w:rsidRPr="6E59E866">
        <w:rPr>
          <w:rFonts w:ascii="Times New Roman" w:hAnsi="Times New Roman"/>
          <w:sz w:val="24"/>
          <w:szCs w:val="24"/>
        </w:rPr>
        <w:t xml:space="preserve"> x 1 x 0.25 x $</w:t>
      </w:r>
      <w:r w:rsidR="005E4600">
        <w:rPr>
          <w:rFonts w:ascii="Times New Roman" w:hAnsi="Times New Roman"/>
          <w:sz w:val="24"/>
          <w:szCs w:val="24"/>
        </w:rPr>
        <w:t>210.</w:t>
      </w:r>
      <w:r w:rsidRPr="00814F45" w:rsidR="005E4600">
        <w:rPr>
          <w:rFonts w:ascii="Times New Roman" w:hAnsi="Times New Roman"/>
          <w:sz w:val="24"/>
          <w:szCs w:val="24"/>
        </w:rPr>
        <w:t>44</w:t>
      </w:r>
      <w:r w:rsidRPr="6E59E866">
        <w:rPr>
          <w:rFonts w:ascii="Times New Roman" w:hAnsi="Times New Roman"/>
          <w:sz w:val="24"/>
          <w:szCs w:val="24"/>
        </w:rPr>
        <w:t>) and an upper bound of approximately $</w:t>
      </w:r>
      <w:r w:rsidR="00663A0F">
        <w:rPr>
          <w:rFonts w:ascii="Times New Roman" w:hAnsi="Times New Roman"/>
          <w:sz w:val="24"/>
          <w:szCs w:val="24"/>
        </w:rPr>
        <w:t>115,952</w:t>
      </w:r>
      <w:r w:rsidRPr="6E59E866">
        <w:rPr>
          <w:rFonts w:ascii="Times New Roman" w:hAnsi="Times New Roman"/>
          <w:sz w:val="24"/>
          <w:szCs w:val="24"/>
        </w:rPr>
        <w:t xml:space="preserve"> (=</w:t>
      </w:r>
      <w:r w:rsidR="000128A1">
        <w:rPr>
          <w:rFonts w:ascii="Times New Roman" w:hAnsi="Times New Roman"/>
          <w:sz w:val="24"/>
          <w:szCs w:val="24"/>
        </w:rPr>
        <w:t xml:space="preserve"> </w:t>
      </w:r>
      <w:r w:rsidR="00D024C3">
        <w:rPr>
          <w:rFonts w:ascii="Times New Roman" w:hAnsi="Times New Roman"/>
          <w:sz w:val="24"/>
          <w:szCs w:val="24"/>
        </w:rPr>
        <w:t>551</w:t>
      </w:r>
      <w:r w:rsidRPr="6E59E866">
        <w:rPr>
          <w:rFonts w:ascii="Times New Roman" w:hAnsi="Times New Roman"/>
          <w:sz w:val="24"/>
          <w:szCs w:val="24"/>
        </w:rPr>
        <w:t xml:space="preserve"> x 1 x 1 x 1 x $</w:t>
      </w:r>
      <w:r w:rsidR="005E4600">
        <w:rPr>
          <w:rFonts w:ascii="Times New Roman" w:hAnsi="Times New Roman"/>
          <w:sz w:val="24"/>
          <w:szCs w:val="24"/>
        </w:rPr>
        <w:t>210.</w:t>
      </w:r>
      <w:r w:rsidRPr="00814F45" w:rsidR="005E4600">
        <w:rPr>
          <w:rFonts w:ascii="Times New Roman" w:hAnsi="Times New Roman"/>
          <w:sz w:val="24"/>
          <w:szCs w:val="24"/>
        </w:rPr>
        <w:t>44</w:t>
      </w:r>
      <w:r w:rsidRPr="6E59E866">
        <w:rPr>
          <w:rFonts w:ascii="Times New Roman" w:hAnsi="Times New Roman"/>
          <w:sz w:val="24"/>
          <w:szCs w:val="24"/>
        </w:rPr>
        <w:t>).</w:t>
      </w:r>
    </w:p>
    <w:p w:rsidR="00175937" w:rsidP="00160531" w14:paraId="4C873365" w14:textId="1477521F">
      <w:pPr>
        <w:spacing w:after="0" w:line="480" w:lineRule="auto"/>
        <w:ind w:firstLine="720"/>
        <w:contextualSpacing/>
        <w:rPr>
          <w:rFonts w:ascii="Times New Roman" w:hAnsi="Times New Roman"/>
          <w:iCs/>
          <w:sz w:val="24"/>
          <w:szCs w:val="24"/>
        </w:rPr>
      </w:pPr>
      <w:r w:rsidRPr="005A7CE6">
        <w:rPr>
          <w:rFonts w:ascii="Times New Roman" w:hAnsi="Times New Roman"/>
          <w:iCs/>
          <w:sz w:val="24"/>
          <w:szCs w:val="24"/>
        </w:rPr>
        <w:t>The estimated net present value of document drafting costs associated with the rule are approximately $</w:t>
      </w:r>
      <w:r w:rsidR="00663A0F">
        <w:rPr>
          <w:rFonts w:ascii="Times New Roman" w:hAnsi="Times New Roman"/>
          <w:iCs/>
          <w:sz w:val="24"/>
          <w:szCs w:val="24"/>
        </w:rPr>
        <w:t>494.5</w:t>
      </w:r>
      <w:r w:rsidR="00864024">
        <w:rPr>
          <w:rFonts w:ascii="Times New Roman" w:hAnsi="Times New Roman"/>
          <w:iCs/>
          <w:sz w:val="24"/>
          <w:szCs w:val="24"/>
        </w:rPr>
        <w:t xml:space="preserve"> thousand</w:t>
      </w:r>
      <w:r w:rsidRPr="005A7CE6">
        <w:rPr>
          <w:rFonts w:ascii="Times New Roman" w:hAnsi="Times New Roman"/>
          <w:iCs/>
          <w:sz w:val="24"/>
          <w:szCs w:val="24"/>
        </w:rPr>
        <w:t>, with a lower bound of approximately $</w:t>
      </w:r>
      <w:r w:rsidR="00663A0F">
        <w:rPr>
          <w:rFonts w:ascii="Times New Roman" w:hAnsi="Times New Roman"/>
          <w:iCs/>
          <w:sz w:val="24"/>
          <w:szCs w:val="24"/>
        </w:rPr>
        <w:t>247.3</w:t>
      </w:r>
      <w:r w:rsidR="00064AAD">
        <w:rPr>
          <w:rFonts w:ascii="Times New Roman" w:hAnsi="Times New Roman"/>
          <w:iCs/>
          <w:sz w:val="24"/>
          <w:szCs w:val="24"/>
        </w:rPr>
        <w:t xml:space="preserve"> thousand</w:t>
      </w:r>
      <w:r w:rsidRPr="005A7CE6">
        <w:rPr>
          <w:rFonts w:ascii="Times New Roman" w:hAnsi="Times New Roman"/>
          <w:iCs/>
          <w:sz w:val="24"/>
          <w:szCs w:val="24"/>
        </w:rPr>
        <w:t xml:space="preserve"> and an upper bound of approximately $</w:t>
      </w:r>
      <w:r w:rsidR="00663A0F">
        <w:rPr>
          <w:rFonts w:ascii="Times New Roman" w:hAnsi="Times New Roman"/>
          <w:iCs/>
          <w:sz w:val="24"/>
          <w:szCs w:val="24"/>
        </w:rPr>
        <w:t>989.1</w:t>
      </w:r>
      <w:r w:rsidR="00064AAD">
        <w:rPr>
          <w:rFonts w:ascii="Times New Roman" w:hAnsi="Times New Roman"/>
          <w:iCs/>
          <w:sz w:val="24"/>
          <w:szCs w:val="24"/>
        </w:rPr>
        <w:t xml:space="preserve"> thousand</w:t>
      </w:r>
      <w:r w:rsidRPr="005A7CE6">
        <w:rPr>
          <w:rFonts w:ascii="Times New Roman" w:hAnsi="Times New Roman"/>
          <w:iCs/>
          <w:sz w:val="24"/>
          <w:szCs w:val="24"/>
        </w:rPr>
        <w:t xml:space="preserve">, discounted at 3 percent over 10 years. </w:t>
      </w:r>
      <w:r w:rsidR="007E0B7D">
        <w:rPr>
          <w:rFonts w:ascii="Times New Roman" w:hAnsi="Times New Roman"/>
          <w:iCs/>
          <w:sz w:val="24"/>
          <w:szCs w:val="24"/>
        </w:rPr>
        <w:t xml:space="preserve"> </w:t>
      </w:r>
      <w:r w:rsidRPr="005A7CE6">
        <w:rPr>
          <w:rFonts w:ascii="Times New Roman" w:hAnsi="Times New Roman"/>
          <w:iCs/>
          <w:sz w:val="24"/>
          <w:szCs w:val="24"/>
        </w:rPr>
        <w:t>At a 7 percent discount rate, the estimated net present value of costs is approximately $</w:t>
      </w:r>
      <w:r w:rsidR="00137075">
        <w:rPr>
          <w:rFonts w:ascii="Times New Roman" w:hAnsi="Times New Roman"/>
          <w:iCs/>
          <w:sz w:val="24"/>
          <w:szCs w:val="24"/>
        </w:rPr>
        <w:t>407.2</w:t>
      </w:r>
      <w:r w:rsidR="00546577">
        <w:rPr>
          <w:rFonts w:ascii="Times New Roman" w:hAnsi="Times New Roman"/>
          <w:iCs/>
          <w:sz w:val="24"/>
          <w:szCs w:val="24"/>
        </w:rPr>
        <w:t xml:space="preserve"> thousand</w:t>
      </w:r>
      <w:r w:rsidRPr="005756BA">
        <w:rPr>
          <w:rFonts w:ascii="Times New Roman" w:hAnsi="Times New Roman"/>
          <w:iCs/>
          <w:sz w:val="24"/>
          <w:szCs w:val="24"/>
        </w:rPr>
        <w:t>, with a lower bound of approximately $</w:t>
      </w:r>
      <w:r w:rsidR="00137075">
        <w:rPr>
          <w:rFonts w:ascii="Times New Roman" w:hAnsi="Times New Roman"/>
          <w:iCs/>
          <w:sz w:val="24"/>
          <w:szCs w:val="24"/>
        </w:rPr>
        <w:t>203.6</w:t>
      </w:r>
      <w:r w:rsidR="00546577">
        <w:rPr>
          <w:rFonts w:ascii="Times New Roman" w:hAnsi="Times New Roman"/>
          <w:iCs/>
          <w:sz w:val="24"/>
          <w:szCs w:val="24"/>
        </w:rPr>
        <w:t xml:space="preserve"> thousand</w:t>
      </w:r>
      <w:r w:rsidRPr="005A7CE6">
        <w:rPr>
          <w:rFonts w:ascii="Times New Roman" w:hAnsi="Times New Roman"/>
          <w:iCs/>
          <w:sz w:val="24"/>
          <w:szCs w:val="24"/>
        </w:rPr>
        <w:t xml:space="preserve"> and an upper bound of approximately $</w:t>
      </w:r>
      <w:r w:rsidR="00137075">
        <w:rPr>
          <w:rFonts w:ascii="Times New Roman" w:hAnsi="Times New Roman"/>
          <w:iCs/>
          <w:sz w:val="24"/>
          <w:szCs w:val="24"/>
        </w:rPr>
        <w:t>814.4</w:t>
      </w:r>
      <w:r w:rsidR="00071662">
        <w:rPr>
          <w:rFonts w:ascii="Times New Roman" w:hAnsi="Times New Roman"/>
          <w:iCs/>
          <w:sz w:val="24"/>
          <w:szCs w:val="24"/>
        </w:rPr>
        <w:t xml:space="preserve"> thousand</w:t>
      </w:r>
      <w:r w:rsidRPr="005A7CE6">
        <w:rPr>
          <w:rFonts w:ascii="Times New Roman" w:hAnsi="Times New Roman"/>
          <w:iCs/>
          <w:sz w:val="24"/>
          <w:szCs w:val="24"/>
        </w:rPr>
        <w:t xml:space="preserve">. </w:t>
      </w:r>
      <w:r w:rsidR="00C05814">
        <w:rPr>
          <w:rFonts w:ascii="Times New Roman" w:hAnsi="Times New Roman"/>
          <w:iCs/>
          <w:sz w:val="24"/>
          <w:szCs w:val="24"/>
        </w:rPr>
        <w:t xml:space="preserve"> </w:t>
      </w:r>
      <w:r w:rsidR="002077DE">
        <w:rPr>
          <w:rFonts w:ascii="Times New Roman" w:hAnsi="Times New Roman"/>
          <w:iCs/>
          <w:sz w:val="24"/>
          <w:szCs w:val="24"/>
        </w:rPr>
        <w:t xml:space="preserve">The annualized </w:t>
      </w:r>
      <w:r w:rsidR="007A3BF6">
        <w:rPr>
          <w:rFonts w:ascii="Times New Roman" w:hAnsi="Times New Roman"/>
          <w:iCs/>
          <w:sz w:val="24"/>
          <w:szCs w:val="24"/>
        </w:rPr>
        <w:t>document</w:t>
      </w:r>
      <w:r w:rsidR="00B07EBA">
        <w:rPr>
          <w:rFonts w:ascii="Times New Roman" w:hAnsi="Times New Roman"/>
          <w:iCs/>
          <w:sz w:val="24"/>
          <w:szCs w:val="24"/>
        </w:rPr>
        <w:t xml:space="preserve"> drafting costs associated with the rule are approximately </w:t>
      </w:r>
      <w:r w:rsidR="00546B42">
        <w:rPr>
          <w:rFonts w:ascii="Times New Roman" w:hAnsi="Times New Roman"/>
          <w:iCs/>
          <w:sz w:val="24"/>
          <w:szCs w:val="24"/>
        </w:rPr>
        <w:t>$</w:t>
      </w:r>
      <w:r w:rsidR="00C83220">
        <w:rPr>
          <w:rFonts w:ascii="Times New Roman" w:hAnsi="Times New Roman"/>
          <w:iCs/>
          <w:sz w:val="24"/>
          <w:szCs w:val="24"/>
        </w:rPr>
        <w:t>58.0</w:t>
      </w:r>
      <w:r w:rsidR="00071662">
        <w:rPr>
          <w:rFonts w:ascii="Times New Roman" w:hAnsi="Times New Roman"/>
          <w:iCs/>
          <w:sz w:val="24"/>
          <w:szCs w:val="24"/>
        </w:rPr>
        <w:t xml:space="preserve"> </w:t>
      </w:r>
      <w:r w:rsidR="00546B42">
        <w:rPr>
          <w:rFonts w:ascii="Times New Roman" w:hAnsi="Times New Roman"/>
          <w:iCs/>
          <w:sz w:val="24"/>
          <w:szCs w:val="24"/>
        </w:rPr>
        <w:t>thousand at a 3 percent discount rate, with a lower bound of approximately $</w:t>
      </w:r>
      <w:r w:rsidR="00C83220">
        <w:rPr>
          <w:rFonts w:ascii="Times New Roman" w:hAnsi="Times New Roman"/>
          <w:iCs/>
          <w:sz w:val="24"/>
          <w:szCs w:val="24"/>
        </w:rPr>
        <w:t>29.0</w:t>
      </w:r>
      <w:r w:rsidR="009169B2">
        <w:rPr>
          <w:rFonts w:ascii="Times New Roman" w:hAnsi="Times New Roman"/>
          <w:iCs/>
          <w:sz w:val="24"/>
          <w:szCs w:val="24"/>
        </w:rPr>
        <w:t xml:space="preserve"> </w:t>
      </w:r>
      <w:r w:rsidR="00546B42">
        <w:rPr>
          <w:rFonts w:ascii="Times New Roman" w:hAnsi="Times New Roman"/>
          <w:iCs/>
          <w:sz w:val="24"/>
          <w:szCs w:val="24"/>
        </w:rPr>
        <w:t xml:space="preserve">thousand and an upper bound of approximately </w:t>
      </w:r>
      <w:r w:rsidR="0098667B">
        <w:rPr>
          <w:rFonts w:ascii="Times New Roman" w:hAnsi="Times New Roman"/>
          <w:iCs/>
          <w:sz w:val="24"/>
          <w:szCs w:val="24"/>
        </w:rPr>
        <w:t>$</w:t>
      </w:r>
      <w:r w:rsidR="009169B2">
        <w:rPr>
          <w:rFonts w:ascii="Times New Roman" w:hAnsi="Times New Roman"/>
          <w:iCs/>
          <w:sz w:val="24"/>
          <w:szCs w:val="24"/>
        </w:rPr>
        <w:t>11</w:t>
      </w:r>
      <w:r w:rsidR="00C83220">
        <w:rPr>
          <w:rFonts w:ascii="Times New Roman" w:hAnsi="Times New Roman"/>
          <w:iCs/>
          <w:sz w:val="24"/>
          <w:szCs w:val="24"/>
        </w:rPr>
        <w:t>6.0</w:t>
      </w:r>
      <w:r w:rsidR="009169B2">
        <w:rPr>
          <w:rFonts w:ascii="Times New Roman" w:hAnsi="Times New Roman"/>
          <w:iCs/>
          <w:sz w:val="24"/>
          <w:szCs w:val="24"/>
        </w:rPr>
        <w:t xml:space="preserve"> </w:t>
      </w:r>
      <w:r w:rsidR="0098667B">
        <w:rPr>
          <w:rFonts w:ascii="Times New Roman" w:hAnsi="Times New Roman"/>
          <w:iCs/>
          <w:sz w:val="24"/>
          <w:szCs w:val="24"/>
        </w:rPr>
        <w:t xml:space="preserve">thousand. </w:t>
      </w:r>
      <w:r w:rsidR="00C05814">
        <w:rPr>
          <w:rFonts w:ascii="Times New Roman" w:hAnsi="Times New Roman"/>
          <w:iCs/>
          <w:sz w:val="24"/>
          <w:szCs w:val="24"/>
        </w:rPr>
        <w:t xml:space="preserve"> </w:t>
      </w:r>
      <w:r w:rsidR="0098667B">
        <w:rPr>
          <w:rFonts w:ascii="Times New Roman" w:hAnsi="Times New Roman"/>
          <w:iCs/>
          <w:sz w:val="24"/>
          <w:szCs w:val="24"/>
        </w:rPr>
        <w:t>At a 7 percent discount rate, annualized costs are approximately $</w:t>
      </w:r>
      <w:r w:rsidR="00C83220">
        <w:rPr>
          <w:rFonts w:ascii="Times New Roman" w:hAnsi="Times New Roman"/>
          <w:iCs/>
          <w:sz w:val="24"/>
          <w:szCs w:val="24"/>
        </w:rPr>
        <w:t>58.0</w:t>
      </w:r>
      <w:r w:rsidR="000D3685">
        <w:rPr>
          <w:rFonts w:ascii="Times New Roman" w:hAnsi="Times New Roman"/>
          <w:iCs/>
          <w:sz w:val="24"/>
          <w:szCs w:val="24"/>
        </w:rPr>
        <w:t xml:space="preserve"> </w:t>
      </w:r>
      <w:r w:rsidR="0098667B">
        <w:rPr>
          <w:rFonts w:ascii="Times New Roman" w:hAnsi="Times New Roman"/>
          <w:iCs/>
          <w:sz w:val="24"/>
          <w:szCs w:val="24"/>
        </w:rPr>
        <w:t xml:space="preserve">thousand, with a lower bound of approximately </w:t>
      </w:r>
      <w:r w:rsidR="0098667B">
        <w:rPr>
          <w:rFonts w:ascii="Times New Roman" w:hAnsi="Times New Roman"/>
          <w:iCs/>
          <w:sz w:val="24"/>
          <w:szCs w:val="24"/>
        </w:rPr>
        <w:t>$</w:t>
      </w:r>
      <w:r w:rsidR="00C83220">
        <w:rPr>
          <w:rFonts w:ascii="Times New Roman" w:hAnsi="Times New Roman"/>
          <w:iCs/>
          <w:sz w:val="24"/>
          <w:szCs w:val="24"/>
        </w:rPr>
        <w:t>29.0</w:t>
      </w:r>
      <w:r w:rsidR="000D3685">
        <w:rPr>
          <w:rFonts w:ascii="Times New Roman" w:hAnsi="Times New Roman"/>
          <w:iCs/>
          <w:sz w:val="24"/>
          <w:szCs w:val="24"/>
        </w:rPr>
        <w:t xml:space="preserve"> thousand </w:t>
      </w:r>
      <w:r w:rsidR="00B06DB7">
        <w:rPr>
          <w:rFonts w:ascii="Times New Roman" w:hAnsi="Times New Roman"/>
          <w:iCs/>
          <w:sz w:val="24"/>
          <w:szCs w:val="24"/>
        </w:rPr>
        <w:t>and an upper bound of approximately $</w:t>
      </w:r>
      <w:r w:rsidR="00C83220">
        <w:rPr>
          <w:rFonts w:ascii="Times New Roman" w:hAnsi="Times New Roman"/>
          <w:iCs/>
          <w:sz w:val="24"/>
          <w:szCs w:val="24"/>
        </w:rPr>
        <w:t>116.0</w:t>
      </w:r>
      <w:r w:rsidR="009B2E57">
        <w:rPr>
          <w:rFonts w:ascii="Times New Roman" w:hAnsi="Times New Roman"/>
          <w:iCs/>
          <w:sz w:val="24"/>
          <w:szCs w:val="24"/>
        </w:rPr>
        <w:t xml:space="preserve"> </w:t>
      </w:r>
      <w:r w:rsidR="00B06DB7">
        <w:rPr>
          <w:rFonts w:ascii="Times New Roman" w:hAnsi="Times New Roman"/>
          <w:iCs/>
          <w:sz w:val="24"/>
          <w:szCs w:val="24"/>
        </w:rPr>
        <w:t xml:space="preserve">thousand. </w:t>
      </w:r>
      <w:r w:rsidR="00C05814">
        <w:rPr>
          <w:rFonts w:ascii="Times New Roman" w:hAnsi="Times New Roman"/>
          <w:iCs/>
          <w:sz w:val="24"/>
          <w:szCs w:val="24"/>
        </w:rPr>
        <w:t xml:space="preserve"> </w:t>
      </w:r>
      <w:r w:rsidRPr="005A7CE6">
        <w:rPr>
          <w:rFonts w:ascii="Times New Roman" w:hAnsi="Times New Roman"/>
          <w:iCs/>
          <w:sz w:val="24"/>
          <w:szCs w:val="24"/>
        </w:rPr>
        <w:t xml:space="preserve">The estimated costs of drafting new documents in accordance with the rule are summarized </w:t>
      </w:r>
      <w:r>
        <w:rPr>
          <w:rFonts w:ascii="Times New Roman" w:hAnsi="Times New Roman"/>
          <w:iCs/>
          <w:sz w:val="24"/>
          <w:szCs w:val="24"/>
        </w:rPr>
        <w:t xml:space="preserve">in Table 4. </w:t>
      </w:r>
    </w:p>
    <w:tbl>
      <w:tblPr>
        <w:tblW w:w="5000" w:type="pct"/>
        <w:tblLayout w:type="fixed"/>
        <w:tblLook w:val="04A0"/>
      </w:tblPr>
      <w:tblGrid>
        <w:gridCol w:w="5670"/>
        <w:gridCol w:w="1260"/>
        <w:gridCol w:w="1170"/>
        <w:gridCol w:w="1260"/>
      </w:tblGrid>
      <w:tr w14:paraId="20A347F6" w14:textId="77777777" w:rsidTr="00D37C6D">
        <w:tblPrEx>
          <w:tblW w:w="5000" w:type="pct"/>
          <w:tblLayout w:type="fixed"/>
          <w:tblLook w:val="04A0"/>
        </w:tblPrEx>
        <w:trPr>
          <w:trHeight w:val="288"/>
        </w:trPr>
        <w:tc>
          <w:tcPr>
            <w:tcW w:w="5000" w:type="pct"/>
            <w:gridSpan w:val="4"/>
            <w:shd w:val="clear" w:color="auto" w:fill="auto"/>
            <w:noWrap/>
            <w:vAlign w:val="center"/>
          </w:tcPr>
          <w:p w:rsidR="00C2449F" w:rsidRPr="001661E2" w:rsidP="00D37C6D" w14:paraId="0157CEC0" w14:textId="77777777">
            <w:pPr>
              <w:spacing w:after="0" w:line="240" w:lineRule="auto"/>
              <w:jc w:val="center"/>
              <w:rPr>
                <w:rFonts w:ascii="Times New Roman" w:hAnsi="Times New Roman"/>
                <w:b/>
                <w:bCs/>
                <w:sz w:val="24"/>
                <w:szCs w:val="24"/>
              </w:rPr>
            </w:pPr>
            <w:r w:rsidRPr="001661E2">
              <w:rPr>
                <w:rFonts w:ascii="Times New Roman" w:eastAsia="Times New Roman" w:hAnsi="Times New Roman"/>
                <w:b/>
                <w:bCs/>
                <w:sz w:val="24"/>
                <w:szCs w:val="24"/>
              </w:rPr>
              <w:t>Table 4. Costs of Drafting New Documents (2020$)</w:t>
            </w:r>
          </w:p>
        </w:tc>
      </w:tr>
      <w:tr w14:paraId="61ADF2B4" w14:textId="77777777" w:rsidTr="00175937">
        <w:tblPrEx>
          <w:tblW w:w="5000" w:type="pct"/>
          <w:tblLayout w:type="fixed"/>
          <w:tblLook w:val="04A0"/>
        </w:tblPrEx>
        <w:trPr>
          <w:trHeight w:val="288"/>
        </w:trPr>
        <w:tc>
          <w:tcPr>
            <w:tcW w:w="30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49F" w:rsidRPr="00952BDF" w:rsidP="00D37C6D" w14:paraId="330C624A" w14:textId="77777777">
            <w:pPr>
              <w:spacing w:after="0" w:line="240" w:lineRule="auto"/>
              <w:rPr>
                <w:rFonts w:ascii="Times New Roman" w:hAnsi="Times New Roman"/>
                <w:sz w:val="20"/>
                <w:szCs w:val="20"/>
              </w:rPr>
            </w:pPr>
            <w:r w:rsidRPr="00952BDF">
              <w:rPr>
                <w:rFonts w:ascii="Times New Roman" w:hAnsi="Times New Roman"/>
                <w:sz w:val="20"/>
                <w:szCs w:val="20"/>
              </w:rPr>
              <w:t> </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C2449F" w:rsidRPr="00952BDF" w:rsidP="00D37C6D" w14:paraId="7D237F84" w14:textId="77777777">
            <w:pPr>
              <w:spacing w:after="0" w:line="240" w:lineRule="auto"/>
              <w:jc w:val="center"/>
              <w:rPr>
                <w:rFonts w:ascii="Times New Roman" w:hAnsi="Times New Roman"/>
                <w:sz w:val="20"/>
                <w:szCs w:val="20"/>
              </w:rPr>
            </w:pPr>
            <w:r w:rsidRPr="00952BDF">
              <w:rPr>
                <w:rFonts w:ascii="Times New Roman" w:hAnsi="Times New Roman"/>
                <w:sz w:val="20"/>
                <w:szCs w:val="20"/>
              </w:rPr>
              <w:t>Low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C2449F" w:rsidRPr="00952BDF" w:rsidP="00D37C6D" w14:paraId="55DFF036" w14:textId="77777777">
            <w:pPr>
              <w:spacing w:after="0" w:line="240" w:lineRule="auto"/>
              <w:jc w:val="center"/>
              <w:rPr>
                <w:rFonts w:ascii="Times New Roman" w:hAnsi="Times New Roman"/>
                <w:sz w:val="20"/>
                <w:szCs w:val="20"/>
              </w:rPr>
            </w:pPr>
            <w:r w:rsidRPr="00952BDF">
              <w:rPr>
                <w:rFonts w:ascii="Times New Roman" w:hAnsi="Times New Roman"/>
                <w:sz w:val="20"/>
                <w:szCs w:val="20"/>
              </w:rPr>
              <w:t>Middle</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C2449F" w:rsidRPr="00952BDF" w:rsidP="00D37C6D" w14:paraId="0B0F3697" w14:textId="77777777">
            <w:pPr>
              <w:spacing w:after="0" w:line="240" w:lineRule="auto"/>
              <w:jc w:val="center"/>
              <w:rPr>
                <w:rFonts w:ascii="Times New Roman" w:hAnsi="Times New Roman"/>
                <w:sz w:val="20"/>
                <w:szCs w:val="20"/>
              </w:rPr>
            </w:pPr>
            <w:r w:rsidRPr="00952BDF">
              <w:rPr>
                <w:rFonts w:ascii="Times New Roman" w:hAnsi="Times New Roman"/>
                <w:sz w:val="20"/>
                <w:szCs w:val="20"/>
              </w:rPr>
              <w:t>High</w:t>
            </w:r>
          </w:p>
        </w:tc>
      </w:tr>
      <w:tr w14:paraId="628EE85D"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140F178E" w14:textId="26D3464C">
            <w:pPr>
              <w:spacing w:after="0" w:line="240" w:lineRule="auto"/>
              <w:rPr>
                <w:rFonts w:ascii="Times New Roman" w:hAnsi="Times New Roman"/>
                <w:sz w:val="20"/>
                <w:szCs w:val="20"/>
              </w:rPr>
            </w:pPr>
            <w:r w:rsidRPr="005A7CE6">
              <w:rPr>
                <w:rFonts w:ascii="Times New Roman" w:hAnsi="Times New Roman"/>
                <w:iCs/>
                <w:sz w:val="20"/>
                <w:szCs w:val="20"/>
              </w:rPr>
              <w:t xml:space="preserve">Number of </w:t>
            </w:r>
            <w:r w:rsidR="00C85D48">
              <w:rPr>
                <w:rFonts w:ascii="Times New Roman" w:hAnsi="Times New Roman"/>
                <w:iCs/>
                <w:sz w:val="20"/>
                <w:szCs w:val="20"/>
              </w:rPr>
              <w:t>potential minimal risk</w:t>
            </w:r>
            <w:r w:rsidRPr="005A7CE6" w:rsidR="00C85D48">
              <w:rPr>
                <w:rFonts w:ascii="Times New Roman" w:hAnsi="Times New Roman"/>
                <w:iCs/>
                <w:sz w:val="20"/>
                <w:szCs w:val="20"/>
              </w:rPr>
              <w:t xml:space="preserve"> </w:t>
            </w:r>
            <w:r w:rsidRPr="005A7CE6">
              <w:rPr>
                <w:rFonts w:ascii="Times New Roman" w:hAnsi="Times New Roman"/>
                <w:iCs/>
                <w:sz w:val="20"/>
                <w:szCs w:val="20"/>
              </w:rPr>
              <w:t>clinical investigations</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22076D24" w14:textId="492CF08A">
            <w:pPr>
              <w:spacing w:after="0" w:line="240" w:lineRule="auto"/>
              <w:jc w:val="right"/>
              <w:rPr>
                <w:rFonts w:ascii="Times New Roman" w:hAnsi="Times New Roman"/>
                <w:sz w:val="20"/>
                <w:szCs w:val="20"/>
              </w:rPr>
            </w:pPr>
            <w:r>
              <w:rPr>
                <w:rFonts w:ascii="Times New Roman" w:hAnsi="Times New Roman"/>
                <w:sz w:val="20"/>
                <w:szCs w:val="20"/>
              </w:rPr>
              <w:t>551</w:t>
            </w:r>
          </w:p>
        </w:tc>
        <w:tc>
          <w:tcPr>
            <w:tcW w:w="625" w:type="pct"/>
            <w:tcBorders>
              <w:top w:val="nil"/>
              <w:left w:val="nil"/>
              <w:bottom w:val="single" w:sz="4" w:space="0" w:color="auto"/>
              <w:right w:val="single" w:sz="4" w:space="0" w:color="auto"/>
            </w:tcBorders>
            <w:shd w:val="clear" w:color="auto" w:fill="auto"/>
            <w:noWrap/>
            <w:vAlign w:val="center"/>
          </w:tcPr>
          <w:p w:rsidR="00C2449F" w:rsidRPr="00E66194" w:rsidP="00D37C6D" w14:paraId="11F2CDA8" w14:textId="62EFD9AB">
            <w:pPr>
              <w:spacing w:after="0" w:line="240" w:lineRule="auto"/>
              <w:jc w:val="right"/>
              <w:rPr>
                <w:rFonts w:ascii="Times New Roman" w:hAnsi="Times New Roman"/>
                <w:sz w:val="20"/>
                <w:szCs w:val="20"/>
              </w:rPr>
            </w:pPr>
            <w:r>
              <w:rPr>
                <w:rFonts w:ascii="Times New Roman" w:hAnsi="Times New Roman"/>
                <w:sz w:val="20"/>
                <w:szCs w:val="20"/>
              </w:rPr>
              <w:t>551</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2AC855C3" w14:textId="2A81089A">
            <w:pPr>
              <w:spacing w:after="0" w:line="240" w:lineRule="auto"/>
              <w:jc w:val="right"/>
              <w:rPr>
                <w:rFonts w:ascii="Times New Roman" w:hAnsi="Times New Roman"/>
                <w:sz w:val="20"/>
                <w:szCs w:val="20"/>
              </w:rPr>
            </w:pPr>
            <w:r>
              <w:rPr>
                <w:rFonts w:ascii="Times New Roman" w:hAnsi="Times New Roman"/>
                <w:sz w:val="20"/>
                <w:szCs w:val="20"/>
              </w:rPr>
              <w:t>551</w:t>
            </w:r>
          </w:p>
        </w:tc>
      </w:tr>
      <w:tr w14:paraId="309CBE2A"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1F751F6A" w14:textId="6DDBD485">
            <w:pPr>
              <w:spacing w:after="0" w:line="240" w:lineRule="auto"/>
              <w:rPr>
                <w:rFonts w:ascii="Times New Roman" w:hAnsi="Times New Roman"/>
                <w:sz w:val="20"/>
                <w:szCs w:val="20"/>
              </w:rPr>
            </w:pPr>
            <w:r w:rsidRPr="00E66194">
              <w:rPr>
                <w:rFonts w:ascii="Times New Roman" w:hAnsi="Times New Roman"/>
                <w:sz w:val="20"/>
                <w:szCs w:val="20"/>
              </w:rPr>
              <w:t xml:space="preserve">Percentage of </w:t>
            </w:r>
            <w:r w:rsidR="000128A1">
              <w:rPr>
                <w:rFonts w:ascii="Times New Roman" w:hAnsi="Times New Roman"/>
                <w:sz w:val="20"/>
                <w:szCs w:val="20"/>
              </w:rPr>
              <w:t xml:space="preserve">potential </w:t>
            </w:r>
            <w:r w:rsidRPr="00E66194">
              <w:rPr>
                <w:rFonts w:ascii="Times New Roman" w:hAnsi="Times New Roman"/>
                <w:sz w:val="20"/>
                <w:szCs w:val="20"/>
              </w:rPr>
              <w:t>clinical investigations affected by the rule</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6B42E100" w14:textId="77777777">
            <w:pPr>
              <w:spacing w:after="0" w:line="240" w:lineRule="auto"/>
              <w:jc w:val="right"/>
              <w:rPr>
                <w:rFonts w:ascii="Times New Roman" w:hAnsi="Times New Roman"/>
                <w:sz w:val="20"/>
                <w:szCs w:val="20"/>
              </w:rPr>
            </w:pPr>
            <w:r w:rsidRPr="00E66194">
              <w:rPr>
                <w:rFonts w:ascii="Times New Roman" w:hAnsi="Times New Roman"/>
                <w:sz w:val="20"/>
                <w:szCs w:val="20"/>
              </w:rPr>
              <w:t>25%</w:t>
            </w:r>
          </w:p>
        </w:tc>
        <w:tc>
          <w:tcPr>
            <w:tcW w:w="625" w:type="pct"/>
            <w:tcBorders>
              <w:top w:val="nil"/>
              <w:left w:val="nil"/>
              <w:bottom w:val="single" w:sz="4" w:space="0" w:color="auto"/>
              <w:right w:val="single" w:sz="4" w:space="0" w:color="auto"/>
            </w:tcBorders>
            <w:shd w:val="clear" w:color="auto" w:fill="auto"/>
            <w:noWrap/>
            <w:vAlign w:val="center"/>
          </w:tcPr>
          <w:p w:rsidR="00C2449F" w:rsidRPr="00E66194" w:rsidP="00D37C6D" w14:paraId="7FBE9F61" w14:textId="77777777">
            <w:pPr>
              <w:spacing w:after="0" w:line="240" w:lineRule="auto"/>
              <w:jc w:val="right"/>
              <w:rPr>
                <w:rFonts w:ascii="Times New Roman" w:hAnsi="Times New Roman"/>
                <w:sz w:val="20"/>
                <w:szCs w:val="20"/>
              </w:rPr>
            </w:pPr>
            <w:r w:rsidRPr="00E66194">
              <w:rPr>
                <w:rFonts w:ascii="Times New Roman" w:hAnsi="Times New Roman"/>
                <w:sz w:val="20"/>
                <w:szCs w:val="20"/>
              </w:rPr>
              <w:t>50%</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4EF5391C" w14:textId="7211CACD">
            <w:pPr>
              <w:spacing w:after="0" w:line="240" w:lineRule="auto"/>
              <w:jc w:val="right"/>
              <w:rPr>
                <w:rFonts w:ascii="Times New Roman" w:hAnsi="Times New Roman"/>
                <w:sz w:val="20"/>
                <w:szCs w:val="20"/>
              </w:rPr>
            </w:pPr>
            <w:r w:rsidRPr="00E66194">
              <w:rPr>
                <w:rFonts w:ascii="Times New Roman" w:hAnsi="Times New Roman"/>
                <w:sz w:val="20"/>
                <w:szCs w:val="20"/>
              </w:rPr>
              <w:t>100%</w:t>
            </w:r>
          </w:p>
        </w:tc>
      </w:tr>
      <w:tr w14:paraId="301AAA28"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083826AE" w14:textId="6F286E6D">
            <w:pPr>
              <w:spacing w:after="0" w:line="240" w:lineRule="auto"/>
              <w:rPr>
                <w:rFonts w:ascii="Times New Roman" w:hAnsi="Times New Roman"/>
                <w:sz w:val="20"/>
                <w:szCs w:val="20"/>
              </w:rPr>
            </w:pPr>
            <w:r w:rsidRPr="00E66194">
              <w:rPr>
                <w:rFonts w:ascii="Times New Roman" w:hAnsi="Times New Roman"/>
                <w:sz w:val="20"/>
                <w:szCs w:val="20"/>
              </w:rPr>
              <w:t>Number of investigators</w:t>
            </w:r>
            <w:r w:rsidRPr="00E66194" w:rsidR="00CF5600">
              <w:rPr>
                <w:rFonts w:ascii="Times New Roman" w:hAnsi="Times New Roman"/>
                <w:sz w:val="20"/>
                <w:szCs w:val="20"/>
              </w:rPr>
              <w:t xml:space="preserve"> </w:t>
            </w:r>
            <w:r w:rsidRPr="00E66194">
              <w:rPr>
                <w:rFonts w:ascii="Times New Roman" w:hAnsi="Times New Roman"/>
                <w:sz w:val="20"/>
                <w:szCs w:val="20"/>
              </w:rPr>
              <w:t xml:space="preserve">per clinical </w:t>
            </w:r>
            <w:r w:rsidRPr="00E66194" w:rsidR="00FD1714">
              <w:rPr>
                <w:rFonts w:ascii="Times New Roman" w:hAnsi="Times New Roman"/>
                <w:sz w:val="20"/>
                <w:szCs w:val="20"/>
              </w:rPr>
              <w:t>investigation</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6D309762" w14:textId="77777777">
            <w:pPr>
              <w:spacing w:after="0" w:line="240" w:lineRule="auto"/>
              <w:jc w:val="right"/>
              <w:rPr>
                <w:rFonts w:ascii="Times New Roman" w:hAnsi="Times New Roman"/>
                <w:sz w:val="20"/>
                <w:szCs w:val="20"/>
              </w:rPr>
            </w:pPr>
            <w:r w:rsidRPr="00E66194">
              <w:rPr>
                <w:rFonts w:ascii="Times New Roman" w:hAnsi="Times New Roman"/>
                <w:sz w:val="20"/>
                <w:szCs w:val="20"/>
              </w:rPr>
              <w:t>1</w:t>
            </w:r>
          </w:p>
        </w:tc>
        <w:tc>
          <w:tcPr>
            <w:tcW w:w="625" w:type="pct"/>
            <w:tcBorders>
              <w:top w:val="nil"/>
              <w:left w:val="nil"/>
              <w:bottom w:val="single" w:sz="4" w:space="0" w:color="auto"/>
              <w:right w:val="single" w:sz="4" w:space="0" w:color="auto"/>
            </w:tcBorders>
            <w:shd w:val="clear" w:color="auto" w:fill="auto"/>
            <w:noWrap/>
            <w:vAlign w:val="center"/>
          </w:tcPr>
          <w:p w:rsidR="00C2449F" w:rsidRPr="00E66194" w:rsidP="00D37C6D" w14:paraId="7C2C70F3" w14:textId="77777777">
            <w:pPr>
              <w:spacing w:after="0" w:line="240" w:lineRule="auto"/>
              <w:jc w:val="right"/>
              <w:rPr>
                <w:rFonts w:ascii="Times New Roman" w:hAnsi="Times New Roman"/>
                <w:sz w:val="20"/>
                <w:szCs w:val="20"/>
              </w:rPr>
            </w:pPr>
            <w:r w:rsidRPr="00E66194">
              <w:rPr>
                <w:rFonts w:ascii="Times New Roman" w:hAnsi="Times New Roman"/>
                <w:sz w:val="20"/>
                <w:szCs w:val="20"/>
              </w:rPr>
              <w:t>1</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4FF61F46" w14:textId="77777777">
            <w:pPr>
              <w:spacing w:after="0" w:line="240" w:lineRule="auto"/>
              <w:jc w:val="right"/>
              <w:rPr>
                <w:rFonts w:ascii="Times New Roman" w:hAnsi="Times New Roman"/>
                <w:sz w:val="20"/>
                <w:szCs w:val="20"/>
              </w:rPr>
            </w:pPr>
            <w:r w:rsidRPr="00E66194">
              <w:rPr>
                <w:rFonts w:ascii="Times New Roman" w:hAnsi="Times New Roman"/>
                <w:sz w:val="20"/>
                <w:szCs w:val="20"/>
              </w:rPr>
              <w:t>1</w:t>
            </w:r>
          </w:p>
        </w:tc>
      </w:tr>
      <w:tr w14:paraId="43DCDB0D"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09FE7F53" w14:textId="77777777">
            <w:pPr>
              <w:spacing w:after="0" w:line="240" w:lineRule="auto"/>
              <w:rPr>
                <w:rFonts w:ascii="Times New Roman" w:hAnsi="Times New Roman"/>
                <w:sz w:val="20"/>
                <w:szCs w:val="20"/>
              </w:rPr>
            </w:pPr>
            <w:r w:rsidRPr="00E66194">
              <w:rPr>
                <w:rFonts w:ascii="Times New Roman" w:hAnsi="Times New Roman"/>
                <w:sz w:val="20"/>
                <w:szCs w:val="20"/>
              </w:rPr>
              <w:t>Time burden of drafting waiver requests (hours)</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03674EE0" w14:textId="3103EBF5">
            <w:pPr>
              <w:spacing w:after="0" w:line="240" w:lineRule="auto"/>
              <w:jc w:val="right"/>
              <w:rPr>
                <w:rFonts w:ascii="Times New Roman" w:hAnsi="Times New Roman"/>
                <w:sz w:val="20"/>
                <w:szCs w:val="20"/>
              </w:rPr>
            </w:pPr>
            <w:r w:rsidRPr="00E66194">
              <w:rPr>
                <w:rFonts w:ascii="Times New Roman" w:hAnsi="Times New Roman"/>
                <w:sz w:val="20"/>
                <w:szCs w:val="20"/>
              </w:rPr>
              <w:t>1</w:t>
            </w:r>
          </w:p>
        </w:tc>
        <w:tc>
          <w:tcPr>
            <w:tcW w:w="625" w:type="pct"/>
            <w:tcBorders>
              <w:top w:val="nil"/>
              <w:left w:val="nil"/>
              <w:bottom w:val="single" w:sz="4" w:space="0" w:color="auto"/>
              <w:right w:val="single" w:sz="4" w:space="0" w:color="auto"/>
            </w:tcBorders>
            <w:shd w:val="clear" w:color="auto" w:fill="auto"/>
            <w:noWrap/>
            <w:vAlign w:val="center"/>
          </w:tcPr>
          <w:p w:rsidR="00C2449F" w:rsidRPr="00E66194" w:rsidP="00D37C6D" w14:paraId="2D4991F0" w14:textId="7E7FD743">
            <w:pPr>
              <w:spacing w:after="0" w:line="240" w:lineRule="auto"/>
              <w:jc w:val="right"/>
              <w:rPr>
                <w:rFonts w:ascii="Times New Roman" w:hAnsi="Times New Roman"/>
                <w:sz w:val="20"/>
                <w:szCs w:val="20"/>
              </w:rPr>
            </w:pPr>
            <w:r w:rsidRPr="00E66194">
              <w:rPr>
                <w:rFonts w:ascii="Times New Roman" w:hAnsi="Times New Roman"/>
                <w:sz w:val="20"/>
                <w:szCs w:val="20"/>
              </w:rPr>
              <w:t>1</w:t>
            </w:r>
          </w:p>
        </w:tc>
        <w:tc>
          <w:tcPr>
            <w:tcW w:w="673" w:type="pct"/>
            <w:tcBorders>
              <w:top w:val="nil"/>
              <w:left w:val="nil"/>
              <w:bottom w:val="single" w:sz="4" w:space="0" w:color="auto"/>
              <w:right w:val="single" w:sz="4" w:space="0" w:color="auto"/>
            </w:tcBorders>
            <w:shd w:val="clear" w:color="auto" w:fill="auto"/>
            <w:noWrap/>
            <w:vAlign w:val="center"/>
          </w:tcPr>
          <w:p w:rsidR="00C2449F" w:rsidRPr="00E66194" w:rsidP="00D37C6D" w14:paraId="7A705E41" w14:textId="77777777">
            <w:pPr>
              <w:spacing w:after="0" w:line="240" w:lineRule="auto"/>
              <w:jc w:val="right"/>
              <w:rPr>
                <w:rFonts w:ascii="Times New Roman" w:hAnsi="Times New Roman"/>
                <w:sz w:val="20"/>
                <w:szCs w:val="20"/>
              </w:rPr>
            </w:pPr>
            <w:r w:rsidRPr="00E66194">
              <w:rPr>
                <w:rFonts w:ascii="Times New Roman" w:hAnsi="Times New Roman"/>
                <w:sz w:val="20"/>
                <w:szCs w:val="20"/>
              </w:rPr>
              <w:t>1</w:t>
            </w:r>
          </w:p>
        </w:tc>
      </w:tr>
      <w:tr w14:paraId="47BB742D"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0ACC49E2" w14:textId="7D21479A">
            <w:pPr>
              <w:spacing w:after="0" w:line="240" w:lineRule="auto"/>
              <w:rPr>
                <w:rFonts w:ascii="Times New Roman" w:hAnsi="Times New Roman"/>
                <w:sz w:val="20"/>
                <w:szCs w:val="20"/>
              </w:rPr>
            </w:pPr>
            <w:r w:rsidRPr="00E66194">
              <w:rPr>
                <w:rFonts w:ascii="Times New Roman" w:hAnsi="Times New Roman"/>
                <w:sz w:val="20"/>
                <w:szCs w:val="20"/>
              </w:rPr>
              <w:t>Hourly wage, clinical investigators</w:t>
            </w:r>
            <w:r w:rsidRPr="00E66194" w:rsidR="00CF5600">
              <w:rPr>
                <w:rFonts w:ascii="Times New Roman" w:hAnsi="Times New Roman"/>
                <w:sz w:val="20"/>
                <w:szCs w:val="20"/>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5A3B1381" w14:textId="0FB51D36">
            <w:pPr>
              <w:spacing w:after="0" w:line="240" w:lineRule="auto"/>
              <w:jc w:val="right"/>
              <w:rPr>
                <w:rFonts w:ascii="Times New Roman" w:hAnsi="Times New Roman"/>
                <w:sz w:val="20"/>
              </w:rPr>
            </w:pPr>
            <w:r w:rsidRPr="00EB62F6">
              <w:rPr>
                <w:rFonts w:ascii="Times New Roman" w:hAnsi="Times New Roman"/>
                <w:sz w:val="20"/>
              </w:rPr>
              <w:t>$</w:t>
            </w:r>
            <w:r w:rsidR="00456018">
              <w:rPr>
                <w:rFonts w:ascii="Times New Roman" w:hAnsi="Times New Roman"/>
                <w:sz w:val="20"/>
                <w:szCs w:val="20"/>
              </w:rPr>
              <w:t>210.44</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276822BE" w14:textId="5A8CD9DC">
            <w:pPr>
              <w:spacing w:after="0" w:line="240" w:lineRule="auto"/>
              <w:jc w:val="right"/>
              <w:rPr>
                <w:rFonts w:ascii="Times New Roman" w:hAnsi="Times New Roman"/>
                <w:sz w:val="20"/>
              </w:rPr>
            </w:pPr>
            <w:r w:rsidRPr="00EB62F6">
              <w:rPr>
                <w:rFonts w:ascii="Times New Roman" w:hAnsi="Times New Roman"/>
                <w:sz w:val="20"/>
              </w:rPr>
              <w:t>$</w:t>
            </w:r>
            <w:r w:rsidR="00456018">
              <w:rPr>
                <w:rFonts w:ascii="Times New Roman" w:hAnsi="Times New Roman"/>
                <w:sz w:val="20"/>
                <w:szCs w:val="20"/>
              </w:rPr>
              <w:t>210.44</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6109958F" w14:textId="616BA556">
            <w:pPr>
              <w:spacing w:after="0" w:line="240" w:lineRule="auto"/>
              <w:jc w:val="right"/>
              <w:rPr>
                <w:rFonts w:ascii="Times New Roman" w:hAnsi="Times New Roman"/>
                <w:sz w:val="20"/>
              </w:rPr>
            </w:pPr>
            <w:r w:rsidRPr="00EB62F6">
              <w:rPr>
                <w:rFonts w:ascii="Times New Roman" w:hAnsi="Times New Roman"/>
                <w:sz w:val="20"/>
              </w:rPr>
              <w:t>$</w:t>
            </w:r>
            <w:r w:rsidR="00572C61">
              <w:rPr>
                <w:rFonts w:ascii="Times New Roman" w:hAnsi="Times New Roman"/>
                <w:sz w:val="20"/>
                <w:szCs w:val="20"/>
              </w:rPr>
              <w:t>210.44</w:t>
            </w:r>
          </w:p>
        </w:tc>
      </w:tr>
      <w:tr w14:paraId="551A73AE"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7D64CB65" w14:textId="00C4D077">
            <w:pPr>
              <w:spacing w:after="0" w:line="240" w:lineRule="auto"/>
              <w:rPr>
                <w:rFonts w:ascii="Times New Roman" w:hAnsi="Times New Roman"/>
                <w:sz w:val="20"/>
                <w:szCs w:val="20"/>
              </w:rPr>
            </w:pPr>
            <w:r w:rsidRPr="00E66194">
              <w:rPr>
                <w:rFonts w:ascii="Times New Roman" w:hAnsi="Times New Roman"/>
                <w:sz w:val="20"/>
                <w:szCs w:val="20"/>
              </w:rPr>
              <w:t>Total annual cost to investigators of drafting waiver requests</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1EDBD4DC" w14:textId="09ACF32B">
            <w:pPr>
              <w:spacing w:after="0" w:line="240" w:lineRule="auto"/>
              <w:jc w:val="right"/>
              <w:rPr>
                <w:rFonts w:ascii="Times New Roman" w:hAnsi="Times New Roman"/>
                <w:sz w:val="20"/>
              </w:rPr>
            </w:pPr>
            <w:r w:rsidRPr="00EB62F6">
              <w:rPr>
                <w:rFonts w:ascii="Times New Roman" w:hAnsi="Times New Roman"/>
                <w:sz w:val="20"/>
              </w:rPr>
              <w:t>$</w:t>
            </w:r>
            <w:r w:rsidR="00792D24">
              <w:rPr>
                <w:rFonts w:ascii="Times New Roman" w:hAnsi="Times New Roman"/>
                <w:sz w:val="20"/>
                <w:szCs w:val="20"/>
              </w:rPr>
              <w:t>28,988</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7281B670" w14:textId="1073067B">
            <w:pPr>
              <w:spacing w:after="0" w:line="240" w:lineRule="auto"/>
              <w:jc w:val="right"/>
              <w:rPr>
                <w:rFonts w:ascii="Times New Roman" w:hAnsi="Times New Roman"/>
                <w:sz w:val="20"/>
              </w:rPr>
            </w:pPr>
            <w:r w:rsidRPr="00EB62F6">
              <w:rPr>
                <w:rFonts w:ascii="Times New Roman" w:hAnsi="Times New Roman"/>
                <w:sz w:val="20"/>
              </w:rPr>
              <w:t>$</w:t>
            </w:r>
            <w:r w:rsidR="00792D24">
              <w:rPr>
                <w:rFonts w:ascii="Times New Roman" w:hAnsi="Times New Roman"/>
                <w:sz w:val="20"/>
                <w:szCs w:val="20"/>
              </w:rPr>
              <w:t>57,976</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7540E191" w14:textId="1AD1193D">
            <w:pPr>
              <w:spacing w:after="0" w:line="240" w:lineRule="auto"/>
              <w:jc w:val="right"/>
              <w:rPr>
                <w:rFonts w:ascii="Times New Roman" w:hAnsi="Times New Roman"/>
                <w:sz w:val="20"/>
              </w:rPr>
            </w:pPr>
            <w:r w:rsidRPr="00EB62F6">
              <w:rPr>
                <w:rFonts w:ascii="Times New Roman" w:hAnsi="Times New Roman"/>
                <w:sz w:val="20"/>
              </w:rPr>
              <w:t xml:space="preserve"> </w:t>
            </w:r>
            <w:r w:rsidRPr="00EB62F6" w:rsidR="00175937">
              <w:rPr>
                <w:rFonts w:ascii="Times New Roman" w:hAnsi="Times New Roman"/>
                <w:sz w:val="20"/>
              </w:rPr>
              <w:t>$</w:t>
            </w:r>
            <w:r w:rsidR="00792D24">
              <w:rPr>
                <w:rFonts w:ascii="Times New Roman" w:hAnsi="Times New Roman"/>
                <w:sz w:val="20"/>
                <w:szCs w:val="20"/>
              </w:rPr>
              <w:t>115,952</w:t>
            </w:r>
          </w:p>
        </w:tc>
      </w:tr>
      <w:tr w14:paraId="3FA334B2"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72D4CBB9" w14:textId="77777777">
            <w:pPr>
              <w:spacing w:after="0" w:line="240" w:lineRule="auto"/>
              <w:rPr>
                <w:rFonts w:ascii="Times New Roman" w:hAnsi="Times New Roman"/>
                <w:b/>
                <w:bCs/>
                <w:sz w:val="20"/>
                <w:szCs w:val="20"/>
              </w:rPr>
            </w:pPr>
            <w:r w:rsidRPr="00E66194">
              <w:rPr>
                <w:rFonts w:ascii="Times New Roman" w:hAnsi="Times New Roman"/>
                <w:b/>
                <w:bCs/>
                <w:sz w:val="20"/>
                <w:szCs w:val="20"/>
              </w:rPr>
              <w:t>Net present value of document drafting costs (10 years, 3%)</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68987F86" w14:textId="4710D511">
            <w:pPr>
              <w:spacing w:after="0" w:line="240" w:lineRule="auto"/>
              <w:jc w:val="right"/>
              <w:rPr>
                <w:rFonts w:ascii="Times New Roman" w:hAnsi="Times New Roman"/>
                <w:b/>
                <w:sz w:val="20"/>
              </w:rPr>
            </w:pPr>
            <w:r w:rsidRPr="00EB62F6">
              <w:rPr>
                <w:rFonts w:ascii="Times New Roman" w:hAnsi="Times New Roman"/>
                <w:b/>
                <w:sz w:val="20"/>
              </w:rPr>
              <w:t>$</w:t>
            </w:r>
            <w:r w:rsidR="00792D24">
              <w:rPr>
                <w:rFonts w:ascii="Times New Roman" w:hAnsi="Times New Roman"/>
                <w:b/>
                <w:bCs/>
                <w:sz w:val="20"/>
                <w:szCs w:val="20"/>
              </w:rPr>
              <w:t>247,272</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3D6139AE" w14:textId="510DF528">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494,549</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55EEA7AB" w14:textId="2A538F1E">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989,098</w:t>
            </w:r>
          </w:p>
        </w:tc>
      </w:tr>
      <w:tr w14:paraId="7DE720FD"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732967E1" w14:textId="77777777">
            <w:pPr>
              <w:spacing w:after="0" w:line="240" w:lineRule="auto"/>
              <w:rPr>
                <w:rFonts w:ascii="Times New Roman" w:hAnsi="Times New Roman"/>
                <w:b/>
                <w:bCs/>
                <w:sz w:val="20"/>
                <w:szCs w:val="20"/>
              </w:rPr>
            </w:pPr>
            <w:r w:rsidRPr="00E66194">
              <w:rPr>
                <w:rFonts w:ascii="Times New Roman" w:hAnsi="Times New Roman"/>
                <w:b/>
                <w:bCs/>
                <w:sz w:val="20"/>
                <w:szCs w:val="20"/>
              </w:rPr>
              <w:t>Net present value of document drafting costs (10 years, 7%)</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16830D10" w14:textId="4C187632">
            <w:pPr>
              <w:spacing w:after="0" w:line="240" w:lineRule="auto"/>
              <w:jc w:val="right"/>
              <w:rPr>
                <w:rFonts w:ascii="Times New Roman" w:hAnsi="Times New Roman"/>
                <w:b/>
                <w:sz w:val="20"/>
              </w:rPr>
            </w:pPr>
            <w:r w:rsidRPr="00EB62F6">
              <w:rPr>
                <w:rFonts w:ascii="Times New Roman" w:hAnsi="Times New Roman"/>
                <w:b/>
                <w:sz w:val="20"/>
              </w:rPr>
              <w:t>$</w:t>
            </w:r>
            <w:r w:rsidR="00792D24">
              <w:rPr>
                <w:rFonts w:ascii="Times New Roman" w:hAnsi="Times New Roman"/>
                <w:b/>
                <w:bCs/>
                <w:sz w:val="20"/>
                <w:szCs w:val="20"/>
              </w:rPr>
              <w:t>203,600</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3C98EF10" w14:textId="7109DC06">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407,201</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521800E5" w14:textId="7CD7E2A4">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814,401</w:t>
            </w:r>
          </w:p>
        </w:tc>
      </w:tr>
      <w:tr w14:paraId="11E1A5F4"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26E974E9" w14:textId="77777777">
            <w:pPr>
              <w:spacing w:after="0" w:line="240" w:lineRule="auto"/>
              <w:rPr>
                <w:rFonts w:ascii="Times New Roman" w:hAnsi="Times New Roman"/>
                <w:b/>
                <w:bCs/>
                <w:sz w:val="20"/>
                <w:szCs w:val="20"/>
              </w:rPr>
            </w:pPr>
            <w:r w:rsidRPr="00E66194">
              <w:rPr>
                <w:rFonts w:ascii="Times New Roman" w:hAnsi="Times New Roman"/>
                <w:b/>
                <w:bCs/>
                <w:sz w:val="20"/>
                <w:szCs w:val="20"/>
              </w:rPr>
              <w:t>Annualized cost of drafting new documents (3%)</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6536D0CE" w14:textId="3E35EE64">
            <w:pPr>
              <w:spacing w:after="0" w:line="240" w:lineRule="auto"/>
              <w:jc w:val="right"/>
              <w:rPr>
                <w:rFonts w:ascii="Times New Roman" w:hAnsi="Times New Roman"/>
                <w:b/>
                <w:sz w:val="20"/>
              </w:rPr>
            </w:pPr>
            <w:r w:rsidRPr="00EB62F6">
              <w:rPr>
                <w:rFonts w:ascii="Times New Roman" w:hAnsi="Times New Roman"/>
                <w:b/>
                <w:sz w:val="20"/>
              </w:rPr>
              <w:t>$</w:t>
            </w:r>
            <w:r w:rsidR="00792D24">
              <w:rPr>
                <w:rFonts w:ascii="Times New Roman" w:hAnsi="Times New Roman"/>
                <w:b/>
                <w:bCs/>
                <w:sz w:val="20"/>
                <w:szCs w:val="20"/>
              </w:rPr>
              <w:t>28,988</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02F55797" w14:textId="0F4DE5AB">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57,976</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192DECC9" w14:textId="662494FE">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115,952</w:t>
            </w:r>
          </w:p>
        </w:tc>
      </w:tr>
      <w:tr w14:paraId="210E3894" w14:textId="77777777" w:rsidTr="000A6644">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E66194" w:rsidP="00D37C6D" w14:paraId="18A83E56" w14:textId="77777777">
            <w:pPr>
              <w:spacing w:after="0" w:line="240" w:lineRule="auto"/>
              <w:rPr>
                <w:rFonts w:ascii="Times New Roman" w:hAnsi="Times New Roman"/>
                <w:b/>
                <w:bCs/>
                <w:sz w:val="20"/>
                <w:szCs w:val="20"/>
              </w:rPr>
            </w:pPr>
            <w:r w:rsidRPr="00E66194">
              <w:rPr>
                <w:rFonts w:ascii="Times New Roman" w:hAnsi="Times New Roman"/>
                <w:b/>
                <w:bCs/>
                <w:sz w:val="20"/>
                <w:szCs w:val="20"/>
              </w:rPr>
              <w:t>Annualized cost of drafting new documents (7%)</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096C21AB" w14:textId="2474B2FC">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28,988</w:t>
            </w:r>
          </w:p>
        </w:tc>
        <w:tc>
          <w:tcPr>
            <w:tcW w:w="625" w:type="pct"/>
            <w:tcBorders>
              <w:top w:val="nil"/>
              <w:left w:val="nil"/>
              <w:bottom w:val="single" w:sz="4" w:space="0" w:color="auto"/>
              <w:right w:val="single" w:sz="4" w:space="0" w:color="auto"/>
            </w:tcBorders>
            <w:shd w:val="clear" w:color="auto" w:fill="auto"/>
            <w:noWrap/>
            <w:vAlign w:val="center"/>
          </w:tcPr>
          <w:p w:rsidR="00C2449F" w:rsidRPr="00EB62F6" w:rsidP="00D37C6D" w14:paraId="145447FC" w14:textId="65EFE3DD">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57,976</w:t>
            </w:r>
          </w:p>
        </w:tc>
        <w:tc>
          <w:tcPr>
            <w:tcW w:w="673" w:type="pct"/>
            <w:tcBorders>
              <w:top w:val="nil"/>
              <w:left w:val="nil"/>
              <w:bottom w:val="single" w:sz="4" w:space="0" w:color="auto"/>
              <w:right w:val="single" w:sz="4" w:space="0" w:color="auto"/>
            </w:tcBorders>
            <w:shd w:val="clear" w:color="auto" w:fill="auto"/>
            <w:noWrap/>
            <w:vAlign w:val="center"/>
          </w:tcPr>
          <w:p w:rsidR="00C2449F" w:rsidRPr="00EB62F6" w:rsidP="00D37C6D" w14:paraId="005A3E21" w14:textId="1E9EAEDB">
            <w:pPr>
              <w:spacing w:after="0" w:line="240" w:lineRule="auto"/>
              <w:jc w:val="right"/>
              <w:rPr>
                <w:rFonts w:ascii="Times New Roman" w:hAnsi="Times New Roman"/>
                <w:b/>
                <w:sz w:val="20"/>
              </w:rPr>
            </w:pPr>
            <w:r w:rsidRPr="00EB62F6">
              <w:rPr>
                <w:rFonts w:ascii="Times New Roman" w:hAnsi="Times New Roman"/>
                <w:b/>
                <w:sz w:val="20"/>
              </w:rPr>
              <w:t>$</w:t>
            </w:r>
            <w:r w:rsidR="00825DEF">
              <w:rPr>
                <w:rFonts w:ascii="Times New Roman" w:hAnsi="Times New Roman"/>
                <w:b/>
                <w:bCs/>
                <w:sz w:val="20"/>
                <w:szCs w:val="20"/>
              </w:rPr>
              <w:t>115,952</w:t>
            </w:r>
          </w:p>
        </w:tc>
      </w:tr>
    </w:tbl>
    <w:p w:rsidR="00C2449F" w:rsidRPr="005A7CE6" w:rsidP="00C2449F" w14:paraId="399D4F46" w14:textId="77777777">
      <w:pPr>
        <w:spacing w:after="0" w:line="480" w:lineRule="auto"/>
        <w:ind w:firstLine="720"/>
        <w:contextualSpacing/>
        <w:rPr>
          <w:rFonts w:ascii="Times New Roman" w:hAnsi="Times New Roman"/>
          <w:iCs/>
          <w:sz w:val="24"/>
          <w:szCs w:val="24"/>
        </w:rPr>
      </w:pPr>
    </w:p>
    <w:p w:rsidR="00C2449F" w:rsidRPr="005A7CE6" w:rsidP="00C2449F" w14:paraId="62F6F98F" w14:textId="5056A1E7">
      <w:pPr>
        <w:spacing w:after="0" w:line="480" w:lineRule="auto"/>
        <w:ind w:firstLine="720"/>
        <w:contextualSpacing/>
        <w:rPr>
          <w:rFonts w:ascii="Times New Roman" w:hAnsi="Times New Roman"/>
          <w:iCs/>
          <w:sz w:val="24"/>
          <w:szCs w:val="24"/>
        </w:rPr>
      </w:pPr>
      <w:r w:rsidRPr="005A7CE6">
        <w:rPr>
          <w:rFonts w:ascii="Times New Roman" w:hAnsi="Times New Roman"/>
          <w:iCs/>
          <w:sz w:val="24"/>
          <w:szCs w:val="24"/>
        </w:rPr>
        <w:t>We anticipate that affected IRBs will incur additional costs associated with the review of waiver</w:t>
      </w:r>
      <w:r w:rsidR="000910D1">
        <w:rPr>
          <w:rFonts w:ascii="Times New Roman" w:hAnsi="Times New Roman"/>
          <w:iCs/>
          <w:sz w:val="24"/>
          <w:szCs w:val="24"/>
        </w:rPr>
        <w:t>/alteration</w:t>
      </w:r>
      <w:r w:rsidRPr="005A7CE6">
        <w:rPr>
          <w:rFonts w:ascii="Times New Roman" w:hAnsi="Times New Roman"/>
          <w:iCs/>
          <w:sz w:val="24"/>
          <w:szCs w:val="24"/>
        </w:rPr>
        <w:t xml:space="preserve"> </w:t>
      </w:r>
      <w:r w:rsidR="000910D1">
        <w:rPr>
          <w:rFonts w:ascii="Times New Roman" w:hAnsi="Times New Roman"/>
          <w:iCs/>
          <w:sz w:val="24"/>
          <w:szCs w:val="24"/>
        </w:rPr>
        <w:t>request</w:t>
      </w:r>
      <w:r w:rsidRPr="005A7CE6" w:rsidR="000910D1">
        <w:rPr>
          <w:rFonts w:ascii="Times New Roman" w:hAnsi="Times New Roman"/>
          <w:iCs/>
          <w:sz w:val="24"/>
          <w:szCs w:val="24"/>
        </w:rPr>
        <w:t xml:space="preserve">s </w:t>
      </w:r>
      <w:r w:rsidRPr="005A7CE6">
        <w:rPr>
          <w:rFonts w:ascii="Times New Roman" w:hAnsi="Times New Roman"/>
          <w:iCs/>
          <w:sz w:val="24"/>
          <w:szCs w:val="24"/>
        </w:rPr>
        <w:t xml:space="preserve">and recordkeeping burdens pertaining to the rule.  </w:t>
      </w:r>
      <w:r w:rsidR="000910D1">
        <w:rPr>
          <w:rFonts w:ascii="Times New Roman" w:hAnsi="Times New Roman"/>
          <w:iCs/>
          <w:sz w:val="24"/>
          <w:szCs w:val="24"/>
        </w:rPr>
        <w:t>For purposes of estimating these costs, w</w:t>
      </w:r>
      <w:r w:rsidRPr="005A7CE6" w:rsidR="009D4F55">
        <w:rPr>
          <w:rFonts w:ascii="Times New Roman" w:hAnsi="Times New Roman"/>
          <w:iCs/>
          <w:sz w:val="24"/>
          <w:szCs w:val="24"/>
        </w:rPr>
        <w:t xml:space="preserve">e retain our estimate </w:t>
      </w:r>
      <w:r w:rsidRPr="00DA59E0">
        <w:rPr>
          <w:rFonts w:ascii="Times New Roman" w:hAnsi="Times New Roman"/>
          <w:iCs/>
          <w:sz w:val="24"/>
          <w:szCs w:val="24"/>
        </w:rPr>
        <w:t xml:space="preserve">that approximately 50 percent of </w:t>
      </w:r>
      <w:r w:rsidR="00171F96">
        <w:rPr>
          <w:rFonts w:ascii="Times New Roman" w:hAnsi="Times New Roman"/>
          <w:iCs/>
          <w:sz w:val="24"/>
          <w:szCs w:val="24"/>
        </w:rPr>
        <w:t>p</w:t>
      </w:r>
      <w:r w:rsidR="00822E2E">
        <w:rPr>
          <w:rFonts w:ascii="Times New Roman" w:hAnsi="Times New Roman"/>
          <w:iCs/>
          <w:sz w:val="24"/>
          <w:szCs w:val="24"/>
        </w:rPr>
        <w:t xml:space="preserve">otential </w:t>
      </w:r>
      <w:r w:rsidR="00C24A66">
        <w:rPr>
          <w:rFonts w:ascii="Times New Roman" w:hAnsi="Times New Roman"/>
          <w:iCs/>
          <w:sz w:val="24"/>
          <w:szCs w:val="24"/>
        </w:rPr>
        <w:t xml:space="preserve">minimal risk </w:t>
      </w:r>
      <w:r w:rsidRPr="005A7CE6" w:rsidR="003D5BA4">
        <w:rPr>
          <w:rFonts w:ascii="Times New Roman" w:hAnsi="Times New Roman"/>
          <w:iCs/>
          <w:sz w:val="24"/>
          <w:szCs w:val="24"/>
        </w:rPr>
        <w:t xml:space="preserve">clinical </w:t>
      </w:r>
      <w:r w:rsidRPr="005A7CE6" w:rsidR="00FD1714">
        <w:rPr>
          <w:rFonts w:ascii="Times New Roman" w:hAnsi="Times New Roman"/>
          <w:iCs/>
          <w:sz w:val="24"/>
          <w:szCs w:val="24"/>
        </w:rPr>
        <w:t>investigation</w:t>
      </w:r>
      <w:r w:rsidRPr="005A7CE6" w:rsidR="003D5BA4">
        <w:rPr>
          <w:rFonts w:ascii="Times New Roman" w:hAnsi="Times New Roman"/>
          <w:iCs/>
          <w:sz w:val="24"/>
          <w:szCs w:val="24"/>
        </w:rPr>
        <w:t>s</w:t>
      </w:r>
      <w:r w:rsidRPr="005A7CE6">
        <w:rPr>
          <w:rFonts w:ascii="Times New Roman" w:hAnsi="Times New Roman"/>
          <w:iCs/>
          <w:sz w:val="24"/>
          <w:szCs w:val="24"/>
        </w:rPr>
        <w:t xml:space="preserve"> will</w:t>
      </w:r>
      <w:r w:rsidR="000910D1">
        <w:rPr>
          <w:rFonts w:ascii="Times New Roman" w:hAnsi="Times New Roman"/>
          <w:iCs/>
          <w:sz w:val="24"/>
          <w:szCs w:val="24"/>
        </w:rPr>
        <w:t xml:space="preserve"> have a waiver/alteration request and, therefore,</w:t>
      </w:r>
      <w:r w:rsidRPr="005A7CE6">
        <w:rPr>
          <w:rFonts w:ascii="Times New Roman" w:hAnsi="Times New Roman"/>
          <w:iCs/>
          <w:sz w:val="24"/>
          <w:szCs w:val="24"/>
        </w:rPr>
        <w:t xml:space="preserve"> incur </w:t>
      </w:r>
      <w:r w:rsidR="000910D1">
        <w:rPr>
          <w:rFonts w:ascii="Times New Roman" w:hAnsi="Times New Roman"/>
          <w:iCs/>
          <w:sz w:val="24"/>
          <w:szCs w:val="24"/>
        </w:rPr>
        <w:t xml:space="preserve">related </w:t>
      </w:r>
      <w:r w:rsidRPr="005A7CE6" w:rsidR="003D5BA4">
        <w:rPr>
          <w:rFonts w:ascii="Times New Roman" w:hAnsi="Times New Roman"/>
          <w:iCs/>
          <w:sz w:val="24"/>
          <w:szCs w:val="24"/>
        </w:rPr>
        <w:t xml:space="preserve">IRB </w:t>
      </w:r>
      <w:r w:rsidRPr="005A7CE6">
        <w:rPr>
          <w:rFonts w:ascii="Times New Roman" w:hAnsi="Times New Roman"/>
          <w:iCs/>
          <w:sz w:val="24"/>
          <w:szCs w:val="24"/>
        </w:rPr>
        <w:t xml:space="preserve">review costs, with a lower bound of approximately 25 percent and an upper bound of 100 percent.  We estimate the time burden of </w:t>
      </w:r>
      <w:r w:rsidR="000910D1">
        <w:rPr>
          <w:rFonts w:ascii="Times New Roman" w:hAnsi="Times New Roman"/>
          <w:iCs/>
          <w:sz w:val="24"/>
          <w:szCs w:val="24"/>
        </w:rPr>
        <w:t xml:space="preserve">IRB </w:t>
      </w:r>
      <w:r w:rsidRPr="005A7CE6" w:rsidR="002B4C91">
        <w:rPr>
          <w:rFonts w:ascii="Times New Roman" w:hAnsi="Times New Roman"/>
          <w:iCs/>
          <w:sz w:val="24"/>
          <w:szCs w:val="24"/>
        </w:rPr>
        <w:t>review</w:t>
      </w:r>
      <w:r w:rsidRPr="005A7CE6">
        <w:rPr>
          <w:rFonts w:ascii="Times New Roman" w:hAnsi="Times New Roman"/>
          <w:iCs/>
          <w:sz w:val="24"/>
          <w:szCs w:val="24"/>
        </w:rPr>
        <w:t xml:space="preserve"> </w:t>
      </w:r>
      <w:r w:rsidR="00F2781A">
        <w:rPr>
          <w:rFonts w:ascii="Times New Roman" w:hAnsi="Times New Roman"/>
          <w:iCs/>
          <w:sz w:val="24"/>
          <w:szCs w:val="24"/>
        </w:rPr>
        <w:t xml:space="preserve">and recordkeeping </w:t>
      </w:r>
      <w:r w:rsidR="000910D1">
        <w:rPr>
          <w:rFonts w:ascii="Times New Roman" w:hAnsi="Times New Roman"/>
          <w:iCs/>
          <w:sz w:val="24"/>
          <w:szCs w:val="24"/>
        </w:rPr>
        <w:t>f</w:t>
      </w:r>
      <w:r w:rsidR="00A009A5">
        <w:rPr>
          <w:rFonts w:ascii="Times New Roman" w:hAnsi="Times New Roman"/>
          <w:iCs/>
          <w:sz w:val="24"/>
          <w:szCs w:val="24"/>
        </w:rPr>
        <w:t>or</w:t>
      </w:r>
      <w:r w:rsidR="000910D1">
        <w:rPr>
          <w:rFonts w:ascii="Times New Roman" w:hAnsi="Times New Roman"/>
          <w:iCs/>
          <w:sz w:val="24"/>
          <w:szCs w:val="24"/>
        </w:rPr>
        <w:t xml:space="preserve"> a waiver/alteration request </w:t>
      </w:r>
      <w:r w:rsidRPr="005A7CE6">
        <w:rPr>
          <w:rFonts w:ascii="Times New Roman" w:hAnsi="Times New Roman"/>
          <w:iCs/>
          <w:sz w:val="24"/>
          <w:szCs w:val="24"/>
        </w:rPr>
        <w:t xml:space="preserve">is approximately 1 hour per </w:t>
      </w:r>
      <w:r w:rsidRPr="005A7CE6" w:rsidR="00FD1714">
        <w:rPr>
          <w:rFonts w:ascii="Times New Roman" w:hAnsi="Times New Roman"/>
          <w:iCs/>
          <w:sz w:val="24"/>
          <w:szCs w:val="24"/>
        </w:rPr>
        <w:t>investigation</w:t>
      </w:r>
      <w:r w:rsidRPr="005A7CE6">
        <w:rPr>
          <w:rFonts w:ascii="Times New Roman" w:hAnsi="Times New Roman"/>
          <w:iCs/>
          <w:sz w:val="24"/>
          <w:szCs w:val="24"/>
        </w:rPr>
        <w:t xml:space="preserve">, </w:t>
      </w:r>
      <w:r w:rsidR="00BD570A">
        <w:rPr>
          <w:rFonts w:ascii="Times New Roman" w:hAnsi="Times New Roman"/>
          <w:iCs/>
          <w:sz w:val="24"/>
          <w:szCs w:val="24"/>
        </w:rPr>
        <w:t>including</w:t>
      </w:r>
      <w:r w:rsidR="00947BC7">
        <w:rPr>
          <w:rFonts w:ascii="Times New Roman" w:hAnsi="Times New Roman"/>
          <w:iCs/>
          <w:sz w:val="24"/>
          <w:szCs w:val="24"/>
        </w:rPr>
        <w:t xml:space="preserve"> 45 minutes to review the waiver/alteration request and 15 minutes to document the IRB’s determination regarding the </w:t>
      </w:r>
      <w:r w:rsidR="0051283A">
        <w:rPr>
          <w:rFonts w:ascii="Times New Roman" w:hAnsi="Times New Roman"/>
          <w:iCs/>
          <w:sz w:val="24"/>
          <w:szCs w:val="24"/>
        </w:rPr>
        <w:t>waiver/alteration request (</w:t>
      </w:r>
      <w:r w:rsidR="00BD570A">
        <w:rPr>
          <w:rFonts w:ascii="Times New Roman" w:hAnsi="Times New Roman"/>
          <w:iCs/>
          <w:sz w:val="24"/>
          <w:szCs w:val="24"/>
        </w:rPr>
        <w:t>i.e.,</w:t>
      </w:r>
      <w:r w:rsidR="0051283A">
        <w:rPr>
          <w:rFonts w:ascii="Times New Roman" w:hAnsi="Times New Roman"/>
          <w:iCs/>
          <w:sz w:val="24"/>
          <w:szCs w:val="24"/>
        </w:rPr>
        <w:t xml:space="preserve"> an IRB “recordkeeping” cost).  T</w:t>
      </w:r>
      <w:r w:rsidRPr="005A7CE6">
        <w:rPr>
          <w:rFonts w:ascii="Times New Roman" w:hAnsi="Times New Roman"/>
          <w:iCs/>
          <w:sz w:val="24"/>
          <w:szCs w:val="24"/>
        </w:rPr>
        <w:t>his cost will be incurred by IRB administrators, IRB administrative staff, IRB chairs, and IRB voting members (approximately 10 per IRB as in prior calculations).</w:t>
      </w:r>
      <w:r w:rsidR="00302A19">
        <w:rPr>
          <w:rFonts w:ascii="Times New Roman" w:hAnsi="Times New Roman"/>
          <w:iCs/>
          <w:sz w:val="24"/>
          <w:szCs w:val="24"/>
        </w:rPr>
        <w:t xml:space="preserve">  </w:t>
      </w:r>
      <w:r w:rsidRPr="005A7CE6">
        <w:rPr>
          <w:rFonts w:ascii="Times New Roman" w:hAnsi="Times New Roman"/>
          <w:iCs/>
          <w:sz w:val="24"/>
          <w:szCs w:val="24"/>
        </w:rPr>
        <w:t xml:space="preserve">We multiply the number of </w:t>
      </w:r>
      <w:r w:rsidR="00C562A9">
        <w:rPr>
          <w:rFonts w:ascii="Times New Roman" w:hAnsi="Times New Roman"/>
          <w:iCs/>
          <w:sz w:val="24"/>
          <w:szCs w:val="24"/>
        </w:rPr>
        <w:t>potential minimal risk</w:t>
      </w:r>
      <w:r w:rsidRPr="005A7CE6" w:rsidR="00314CB5">
        <w:rPr>
          <w:rFonts w:ascii="Times New Roman" w:hAnsi="Times New Roman"/>
          <w:iCs/>
          <w:sz w:val="24"/>
          <w:szCs w:val="24"/>
        </w:rPr>
        <w:t xml:space="preserve"> clinical </w:t>
      </w:r>
      <w:r w:rsidRPr="005A7CE6" w:rsidR="00FD1714">
        <w:rPr>
          <w:rFonts w:ascii="Times New Roman" w:hAnsi="Times New Roman"/>
          <w:iCs/>
          <w:sz w:val="24"/>
          <w:szCs w:val="24"/>
        </w:rPr>
        <w:t>investigation</w:t>
      </w:r>
      <w:r w:rsidRPr="005A7CE6" w:rsidR="00314CB5">
        <w:rPr>
          <w:rFonts w:ascii="Times New Roman" w:hAnsi="Times New Roman"/>
          <w:iCs/>
          <w:sz w:val="24"/>
          <w:szCs w:val="24"/>
        </w:rPr>
        <w:t>s</w:t>
      </w:r>
      <w:r w:rsidRPr="005A7CE6">
        <w:rPr>
          <w:rFonts w:ascii="Times New Roman" w:hAnsi="Times New Roman"/>
          <w:iCs/>
          <w:sz w:val="24"/>
          <w:szCs w:val="24"/>
        </w:rPr>
        <w:t xml:space="preserve"> by the wage rates for IRB administrators, IRB administrative staff, IRB chairs, and IRB voting members by the estimated time burden to yield a per waiver</w:t>
      </w:r>
      <w:r w:rsidR="000910D1">
        <w:rPr>
          <w:rFonts w:ascii="Times New Roman" w:hAnsi="Times New Roman"/>
          <w:iCs/>
          <w:sz w:val="24"/>
          <w:szCs w:val="24"/>
        </w:rPr>
        <w:t>/alteration</w:t>
      </w:r>
      <w:r w:rsidRPr="005A7CE6">
        <w:rPr>
          <w:rFonts w:ascii="Times New Roman" w:hAnsi="Times New Roman"/>
          <w:iCs/>
          <w:sz w:val="24"/>
          <w:szCs w:val="24"/>
        </w:rPr>
        <w:t xml:space="preserve"> request</w:t>
      </w:r>
      <w:r w:rsidR="000910D1">
        <w:rPr>
          <w:rFonts w:ascii="Times New Roman" w:hAnsi="Times New Roman"/>
          <w:iCs/>
          <w:sz w:val="24"/>
          <w:szCs w:val="24"/>
        </w:rPr>
        <w:t xml:space="preserve"> IRB</w:t>
      </w:r>
      <w:r w:rsidRPr="005A7CE6">
        <w:rPr>
          <w:rFonts w:ascii="Times New Roman" w:hAnsi="Times New Roman"/>
          <w:iCs/>
          <w:sz w:val="24"/>
          <w:szCs w:val="24"/>
        </w:rPr>
        <w:t xml:space="preserve"> review cost of approximately $</w:t>
      </w:r>
      <w:r w:rsidRPr="005A7CE6" w:rsidR="00B426DB">
        <w:rPr>
          <w:rFonts w:ascii="Times New Roman" w:hAnsi="Times New Roman"/>
          <w:iCs/>
          <w:sz w:val="24"/>
          <w:szCs w:val="24"/>
        </w:rPr>
        <w:t>1,472</w:t>
      </w:r>
      <w:r w:rsidRPr="005A7CE6" w:rsidR="00086754">
        <w:rPr>
          <w:rFonts w:ascii="Times New Roman" w:hAnsi="Times New Roman"/>
          <w:iCs/>
          <w:sz w:val="24"/>
          <w:szCs w:val="24"/>
        </w:rPr>
        <w:t>.40</w:t>
      </w:r>
      <w:r w:rsidRPr="005A7CE6">
        <w:rPr>
          <w:rFonts w:ascii="Times New Roman" w:hAnsi="Times New Roman"/>
          <w:iCs/>
          <w:sz w:val="24"/>
          <w:szCs w:val="24"/>
        </w:rPr>
        <w:t xml:space="preserve"> (= ($110.76 + $120.08 + ($120.08 x 10) + $40.76) x </w:t>
      </w:r>
      <w:r w:rsidRPr="005A7CE6" w:rsidR="00BB0BCB">
        <w:rPr>
          <w:rFonts w:ascii="Times New Roman" w:hAnsi="Times New Roman"/>
          <w:iCs/>
          <w:sz w:val="24"/>
          <w:szCs w:val="24"/>
        </w:rPr>
        <w:t>1.0</w:t>
      </w:r>
      <w:r w:rsidRPr="005A7CE6">
        <w:rPr>
          <w:rFonts w:ascii="Times New Roman" w:hAnsi="Times New Roman"/>
          <w:iCs/>
          <w:sz w:val="24"/>
          <w:szCs w:val="24"/>
        </w:rPr>
        <w:t xml:space="preserve">) </w:t>
      </w:r>
      <w:r w:rsidRPr="005A7CE6">
        <w:rPr>
          <w:rFonts w:ascii="Times New Roman" w:hAnsi="Times New Roman"/>
          <w:iCs/>
          <w:sz w:val="24"/>
          <w:szCs w:val="24"/>
        </w:rPr>
        <w:t xml:space="preserve">and multiply this cost by the number of </w:t>
      </w:r>
      <w:r w:rsidRPr="005A7CE6" w:rsidR="00FD1714">
        <w:rPr>
          <w:rFonts w:ascii="Times New Roman" w:hAnsi="Times New Roman"/>
          <w:iCs/>
          <w:sz w:val="24"/>
          <w:szCs w:val="24"/>
        </w:rPr>
        <w:t>investigation</w:t>
      </w:r>
      <w:r w:rsidRPr="005A7CE6" w:rsidR="00694E0D">
        <w:rPr>
          <w:rFonts w:ascii="Times New Roman" w:hAnsi="Times New Roman"/>
          <w:iCs/>
          <w:sz w:val="24"/>
          <w:szCs w:val="24"/>
        </w:rPr>
        <w:t>s</w:t>
      </w:r>
      <w:r w:rsidRPr="005A7CE6">
        <w:rPr>
          <w:rFonts w:ascii="Times New Roman" w:hAnsi="Times New Roman"/>
          <w:iCs/>
          <w:sz w:val="24"/>
          <w:szCs w:val="24"/>
        </w:rPr>
        <w:t xml:space="preserve"> to yield a </w:t>
      </w:r>
      <w:r w:rsidR="001E3096">
        <w:rPr>
          <w:rFonts w:ascii="Times New Roman" w:hAnsi="Times New Roman"/>
          <w:iCs/>
          <w:sz w:val="24"/>
          <w:szCs w:val="24"/>
        </w:rPr>
        <w:t xml:space="preserve">review and </w:t>
      </w:r>
      <w:r w:rsidRPr="005A7CE6">
        <w:rPr>
          <w:rFonts w:ascii="Times New Roman" w:hAnsi="Times New Roman"/>
          <w:iCs/>
          <w:sz w:val="24"/>
          <w:szCs w:val="24"/>
        </w:rPr>
        <w:t>recordkeeping cost of approximately $</w:t>
      </w:r>
      <w:r w:rsidR="00BD2C52">
        <w:rPr>
          <w:rFonts w:ascii="Times New Roman" w:hAnsi="Times New Roman"/>
          <w:iCs/>
          <w:sz w:val="24"/>
          <w:szCs w:val="24"/>
        </w:rPr>
        <w:t>405</w:t>
      </w:r>
      <w:r w:rsidR="000128A1">
        <w:rPr>
          <w:rFonts w:ascii="Times New Roman" w:hAnsi="Times New Roman"/>
          <w:iCs/>
          <w:sz w:val="24"/>
          <w:szCs w:val="24"/>
        </w:rPr>
        <w:t>.6 thousand</w:t>
      </w:r>
      <w:r w:rsidR="00D058AC">
        <w:rPr>
          <w:rFonts w:ascii="Times New Roman" w:hAnsi="Times New Roman"/>
          <w:iCs/>
          <w:sz w:val="24"/>
          <w:szCs w:val="24"/>
        </w:rPr>
        <w:t xml:space="preserve"> </w:t>
      </w:r>
      <w:r w:rsidRPr="005A7CE6">
        <w:rPr>
          <w:rFonts w:ascii="Times New Roman" w:hAnsi="Times New Roman"/>
          <w:iCs/>
          <w:sz w:val="24"/>
          <w:szCs w:val="24"/>
        </w:rPr>
        <w:t xml:space="preserve">(= </w:t>
      </w:r>
      <w:r w:rsidR="009D6D23">
        <w:rPr>
          <w:rFonts w:ascii="Times New Roman" w:hAnsi="Times New Roman"/>
          <w:iCs/>
          <w:sz w:val="24"/>
          <w:szCs w:val="24"/>
        </w:rPr>
        <w:t>551</w:t>
      </w:r>
      <w:r w:rsidR="000C0DCD">
        <w:rPr>
          <w:rFonts w:ascii="Times New Roman" w:hAnsi="Times New Roman"/>
          <w:iCs/>
          <w:sz w:val="24"/>
          <w:szCs w:val="24"/>
        </w:rPr>
        <w:t xml:space="preserve"> x 0.5</w:t>
      </w:r>
      <w:r w:rsidRPr="005A7CE6">
        <w:rPr>
          <w:rFonts w:ascii="Times New Roman" w:hAnsi="Times New Roman"/>
          <w:iCs/>
          <w:sz w:val="24"/>
          <w:szCs w:val="24"/>
        </w:rPr>
        <w:t xml:space="preserve"> x $</w:t>
      </w:r>
      <w:r w:rsidRPr="005A7CE6" w:rsidR="000C1FE2">
        <w:rPr>
          <w:rFonts w:ascii="Times New Roman" w:hAnsi="Times New Roman"/>
          <w:iCs/>
          <w:sz w:val="24"/>
          <w:szCs w:val="24"/>
        </w:rPr>
        <w:t>1,472.40</w:t>
      </w:r>
      <w:r w:rsidRPr="005A7CE6">
        <w:rPr>
          <w:rFonts w:ascii="Times New Roman" w:hAnsi="Times New Roman"/>
          <w:iCs/>
          <w:sz w:val="24"/>
          <w:szCs w:val="24"/>
        </w:rPr>
        <w:t>), with a lower bound of approximately $</w:t>
      </w:r>
      <w:r w:rsidR="00F86C4B">
        <w:rPr>
          <w:rFonts w:ascii="Times New Roman" w:hAnsi="Times New Roman"/>
          <w:iCs/>
          <w:sz w:val="24"/>
          <w:szCs w:val="24"/>
        </w:rPr>
        <w:t>202</w:t>
      </w:r>
      <w:r w:rsidR="000128A1">
        <w:rPr>
          <w:rFonts w:ascii="Times New Roman" w:hAnsi="Times New Roman"/>
          <w:iCs/>
          <w:sz w:val="24"/>
          <w:szCs w:val="24"/>
        </w:rPr>
        <w:t>.8 thousand</w:t>
      </w:r>
      <w:r w:rsidRPr="00DA59E0">
        <w:rPr>
          <w:rFonts w:ascii="Times New Roman" w:hAnsi="Times New Roman"/>
          <w:iCs/>
          <w:sz w:val="24"/>
          <w:szCs w:val="24"/>
        </w:rPr>
        <w:t xml:space="preserve"> (= </w:t>
      </w:r>
      <w:r w:rsidR="009D6D23">
        <w:rPr>
          <w:rFonts w:ascii="Times New Roman" w:hAnsi="Times New Roman"/>
          <w:iCs/>
          <w:sz w:val="24"/>
          <w:szCs w:val="24"/>
        </w:rPr>
        <w:t>551</w:t>
      </w:r>
      <w:r w:rsidR="00365D95">
        <w:rPr>
          <w:rFonts w:ascii="Times New Roman" w:hAnsi="Times New Roman"/>
          <w:iCs/>
          <w:sz w:val="24"/>
          <w:szCs w:val="24"/>
        </w:rPr>
        <w:t xml:space="preserve"> x 0.25</w:t>
      </w:r>
      <w:r w:rsidRPr="005A7CE6" w:rsidR="00501E82">
        <w:rPr>
          <w:rFonts w:ascii="Times New Roman" w:hAnsi="Times New Roman"/>
          <w:iCs/>
          <w:sz w:val="24"/>
          <w:szCs w:val="24"/>
        </w:rPr>
        <w:t xml:space="preserve"> </w:t>
      </w:r>
      <w:r w:rsidRPr="005A7CE6">
        <w:rPr>
          <w:rFonts w:ascii="Times New Roman" w:hAnsi="Times New Roman"/>
          <w:iCs/>
          <w:sz w:val="24"/>
          <w:szCs w:val="24"/>
        </w:rPr>
        <w:t>x $</w:t>
      </w:r>
      <w:r w:rsidRPr="005A7CE6" w:rsidR="009F246F">
        <w:rPr>
          <w:rFonts w:ascii="Times New Roman" w:hAnsi="Times New Roman"/>
          <w:iCs/>
          <w:sz w:val="24"/>
          <w:szCs w:val="24"/>
        </w:rPr>
        <w:t>1,472.40</w:t>
      </w:r>
      <w:r w:rsidRPr="005A7CE6">
        <w:rPr>
          <w:rFonts w:ascii="Times New Roman" w:hAnsi="Times New Roman"/>
          <w:iCs/>
          <w:sz w:val="24"/>
          <w:szCs w:val="24"/>
        </w:rPr>
        <w:t>) and an upper bound of approximately $</w:t>
      </w:r>
      <w:r w:rsidR="00F125C4">
        <w:rPr>
          <w:rFonts w:ascii="Times New Roman" w:hAnsi="Times New Roman"/>
          <w:iCs/>
          <w:sz w:val="24"/>
          <w:szCs w:val="24"/>
        </w:rPr>
        <w:t>811</w:t>
      </w:r>
      <w:r w:rsidR="000128A1">
        <w:rPr>
          <w:rFonts w:ascii="Times New Roman" w:hAnsi="Times New Roman"/>
          <w:iCs/>
          <w:sz w:val="24"/>
          <w:szCs w:val="24"/>
        </w:rPr>
        <w:t>.3 thousand</w:t>
      </w:r>
      <w:r w:rsidRPr="005A7CE6">
        <w:rPr>
          <w:rFonts w:ascii="Times New Roman" w:hAnsi="Times New Roman"/>
          <w:iCs/>
          <w:sz w:val="24"/>
          <w:szCs w:val="24"/>
        </w:rPr>
        <w:t xml:space="preserve"> (= </w:t>
      </w:r>
      <w:r w:rsidR="009D6D23">
        <w:rPr>
          <w:rFonts w:ascii="Times New Roman" w:hAnsi="Times New Roman"/>
          <w:iCs/>
          <w:sz w:val="24"/>
          <w:szCs w:val="24"/>
        </w:rPr>
        <w:t>551</w:t>
      </w:r>
      <w:r w:rsidRPr="005A7CE6">
        <w:rPr>
          <w:rFonts w:ascii="Times New Roman" w:hAnsi="Times New Roman"/>
          <w:iCs/>
          <w:sz w:val="24"/>
          <w:szCs w:val="24"/>
        </w:rPr>
        <w:t xml:space="preserve"> </w:t>
      </w:r>
      <w:r w:rsidR="00F94EB8">
        <w:rPr>
          <w:rFonts w:ascii="Times New Roman" w:hAnsi="Times New Roman"/>
          <w:iCs/>
          <w:sz w:val="24"/>
          <w:szCs w:val="24"/>
        </w:rPr>
        <w:t xml:space="preserve">x 1 </w:t>
      </w:r>
      <w:r w:rsidRPr="005A7CE6">
        <w:rPr>
          <w:rFonts w:ascii="Times New Roman" w:hAnsi="Times New Roman"/>
          <w:iCs/>
          <w:sz w:val="24"/>
          <w:szCs w:val="24"/>
        </w:rPr>
        <w:t>x $</w:t>
      </w:r>
      <w:r w:rsidRPr="005A7CE6" w:rsidR="009F246F">
        <w:rPr>
          <w:rFonts w:ascii="Times New Roman" w:hAnsi="Times New Roman"/>
          <w:iCs/>
          <w:sz w:val="24"/>
          <w:szCs w:val="24"/>
        </w:rPr>
        <w:t>1,472.40</w:t>
      </w:r>
      <w:r w:rsidRPr="005A7CE6">
        <w:rPr>
          <w:rFonts w:ascii="Times New Roman" w:hAnsi="Times New Roman"/>
          <w:iCs/>
          <w:sz w:val="24"/>
          <w:szCs w:val="24"/>
        </w:rPr>
        <w:t xml:space="preserve">).  </w:t>
      </w:r>
    </w:p>
    <w:p w:rsidR="00C2449F" w:rsidP="000128A1" w14:paraId="5F85506E" w14:textId="61B8460A">
      <w:pPr>
        <w:spacing w:after="0" w:line="480" w:lineRule="auto"/>
        <w:ind w:firstLine="720"/>
        <w:contextualSpacing/>
        <w:rPr>
          <w:rFonts w:ascii="Times New Roman" w:hAnsi="Times New Roman"/>
          <w:iCs/>
          <w:sz w:val="24"/>
          <w:szCs w:val="24"/>
        </w:rPr>
      </w:pPr>
      <w:r w:rsidRPr="005A7CE6">
        <w:rPr>
          <w:rFonts w:ascii="Times New Roman" w:hAnsi="Times New Roman"/>
          <w:iCs/>
          <w:sz w:val="24"/>
          <w:szCs w:val="24"/>
        </w:rPr>
        <w:t xml:space="preserve">The net present value of estimated </w:t>
      </w:r>
      <w:r w:rsidR="001E3096">
        <w:rPr>
          <w:rFonts w:ascii="Times New Roman" w:hAnsi="Times New Roman"/>
          <w:iCs/>
          <w:sz w:val="24"/>
          <w:szCs w:val="24"/>
        </w:rPr>
        <w:t xml:space="preserve">review and </w:t>
      </w:r>
      <w:r w:rsidRPr="005A7CE6">
        <w:rPr>
          <w:rFonts w:ascii="Times New Roman" w:hAnsi="Times New Roman"/>
          <w:iCs/>
          <w:sz w:val="24"/>
          <w:szCs w:val="24"/>
        </w:rPr>
        <w:t>recordkeeping costs is approximately $</w:t>
      </w:r>
      <w:r w:rsidR="001B2B78">
        <w:rPr>
          <w:rFonts w:ascii="Times New Roman" w:hAnsi="Times New Roman"/>
          <w:iCs/>
          <w:sz w:val="24"/>
          <w:szCs w:val="24"/>
        </w:rPr>
        <w:t xml:space="preserve">3.5 </w:t>
      </w:r>
      <w:r w:rsidRPr="005A7CE6">
        <w:rPr>
          <w:rFonts w:ascii="Times New Roman" w:hAnsi="Times New Roman"/>
          <w:iCs/>
          <w:sz w:val="24"/>
          <w:szCs w:val="24"/>
        </w:rPr>
        <w:t xml:space="preserve">million, </w:t>
      </w:r>
      <w:r>
        <w:rPr>
          <w:rFonts w:ascii="Times New Roman" w:hAnsi="Times New Roman"/>
          <w:iCs/>
          <w:sz w:val="24"/>
          <w:szCs w:val="24"/>
        </w:rPr>
        <w:t xml:space="preserve">with a lower bound </w:t>
      </w:r>
      <w:r w:rsidRPr="005A7CE6">
        <w:rPr>
          <w:rFonts w:ascii="Times New Roman" w:hAnsi="Times New Roman"/>
          <w:iCs/>
          <w:sz w:val="24"/>
          <w:szCs w:val="24"/>
        </w:rPr>
        <w:t>of approximately $</w:t>
      </w:r>
      <w:r w:rsidR="001B2B78">
        <w:rPr>
          <w:rFonts w:ascii="Times New Roman" w:hAnsi="Times New Roman"/>
          <w:iCs/>
          <w:sz w:val="24"/>
          <w:szCs w:val="24"/>
        </w:rPr>
        <w:t>1.7</w:t>
      </w:r>
      <w:r w:rsidRPr="00A222D6">
        <w:rPr>
          <w:rFonts w:ascii="Times New Roman" w:hAnsi="Times New Roman"/>
          <w:iCs/>
          <w:sz w:val="24"/>
          <w:szCs w:val="24"/>
        </w:rPr>
        <w:t xml:space="preserve"> </w:t>
      </w:r>
      <w:r w:rsidRPr="005A7CE6">
        <w:rPr>
          <w:rFonts w:ascii="Times New Roman" w:hAnsi="Times New Roman"/>
          <w:iCs/>
          <w:sz w:val="24"/>
          <w:szCs w:val="24"/>
        </w:rPr>
        <w:t>million and an upper bound of approximately $</w:t>
      </w:r>
      <w:r w:rsidR="001B2B78">
        <w:rPr>
          <w:rFonts w:ascii="Times New Roman" w:hAnsi="Times New Roman"/>
          <w:iCs/>
          <w:sz w:val="24"/>
          <w:szCs w:val="24"/>
        </w:rPr>
        <w:t>6.9</w:t>
      </w:r>
      <w:r w:rsidRPr="00866DA9">
        <w:rPr>
          <w:rFonts w:ascii="Times New Roman" w:hAnsi="Times New Roman"/>
          <w:iCs/>
          <w:sz w:val="24"/>
          <w:szCs w:val="24"/>
        </w:rPr>
        <w:t xml:space="preserve"> </w:t>
      </w:r>
      <w:r w:rsidRPr="005A7CE6">
        <w:rPr>
          <w:rFonts w:ascii="Times New Roman" w:hAnsi="Times New Roman"/>
          <w:iCs/>
          <w:sz w:val="24"/>
          <w:szCs w:val="24"/>
        </w:rPr>
        <w:t xml:space="preserve">million, discounted at 3 percent over 10 years. </w:t>
      </w:r>
      <w:r w:rsidR="00081854">
        <w:rPr>
          <w:rFonts w:ascii="Times New Roman" w:hAnsi="Times New Roman"/>
          <w:iCs/>
          <w:sz w:val="24"/>
          <w:szCs w:val="24"/>
        </w:rPr>
        <w:t xml:space="preserve"> </w:t>
      </w:r>
      <w:r w:rsidRPr="005A7CE6">
        <w:rPr>
          <w:rFonts w:ascii="Times New Roman" w:hAnsi="Times New Roman"/>
          <w:iCs/>
          <w:sz w:val="24"/>
          <w:szCs w:val="24"/>
        </w:rPr>
        <w:t>At a 7 percent discount rate, the net present value is approximately $</w:t>
      </w:r>
      <w:r w:rsidR="001B2B78">
        <w:rPr>
          <w:rFonts w:ascii="Times New Roman" w:hAnsi="Times New Roman"/>
          <w:iCs/>
          <w:sz w:val="24"/>
          <w:szCs w:val="24"/>
        </w:rPr>
        <w:t>2.8</w:t>
      </w:r>
      <w:r w:rsidRPr="00A222D6">
        <w:rPr>
          <w:rFonts w:ascii="Times New Roman" w:hAnsi="Times New Roman"/>
          <w:iCs/>
          <w:sz w:val="24"/>
          <w:szCs w:val="24"/>
        </w:rPr>
        <w:t xml:space="preserve"> </w:t>
      </w:r>
      <w:r w:rsidRPr="005A7CE6">
        <w:rPr>
          <w:rFonts w:ascii="Times New Roman" w:hAnsi="Times New Roman"/>
          <w:iCs/>
          <w:sz w:val="24"/>
          <w:szCs w:val="24"/>
        </w:rPr>
        <w:t>million, with a lower bound of a</w:t>
      </w:r>
      <w:r w:rsidRPr="005756BA">
        <w:rPr>
          <w:rFonts w:ascii="Times New Roman" w:hAnsi="Times New Roman"/>
          <w:iCs/>
          <w:sz w:val="24"/>
          <w:szCs w:val="24"/>
        </w:rPr>
        <w:t>pproximately $</w:t>
      </w:r>
      <w:r w:rsidR="001B2B78">
        <w:rPr>
          <w:rFonts w:ascii="Times New Roman" w:hAnsi="Times New Roman"/>
          <w:iCs/>
          <w:sz w:val="24"/>
          <w:szCs w:val="24"/>
        </w:rPr>
        <w:t>1.4</w:t>
      </w:r>
      <w:r w:rsidRPr="005756BA">
        <w:rPr>
          <w:rFonts w:ascii="Times New Roman" w:hAnsi="Times New Roman"/>
          <w:iCs/>
          <w:sz w:val="24"/>
          <w:szCs w:val="24"/>
        </w:rPr>
        <w:t xml:space="preserve"> million and an upper bound of approximately $</w:t>
      </w:r>
      <w:r w:rsidR="001B2B78">
        <w:rPr>
          <w:rFonts w:ascii="Times New Roman" w:hAnsi="Times New Roman"/>
          <w:iCs/>
          <w:sz w:val="24"/>
          <w:szCs w:val="24"/>
        </w:rPr>
        <w:t>5.7</w:t>
      </w:r>
      <w:r w:rsidRPr="00866DA9">
        <w:rPr>
          <w:rFonts w:ascii="Times New Roman" w:hAnsi="Times New Roman"/>
          <w:iCs/>
          <w:sz w:val="24"/>
          <w:szCs w:val="24"/>
        </w:rPr>
        <w:t xml:space="preserve"> </w:t>
      </w:r>
      <w:r w:rsidRPr="005A7CE6">
        <w:rPr>
          <w:rFonts w:ascii="Times New Roman" w:hAnsi="Times New Roman"/>
          <w:iCs/>
          <w:sz w:val="24"/>
          <w:szCs w:val="24"/>
        </w:rPr>
        <w:t xml:space="preserve">million.  Annualized </w:t>
      </w:r>
      <w:r w:rsidR="001E3096">
        <w:rPr>
          <w:rFonts w:ascii="Times New Roman" w:hAnsi="Times New Roman"/>
          <w:iCs/>
          <w:sz w:val="24"/>
          <w:szCs w:val="24"/>
        </w:rPr>
        <w:t xml:space="preserve">review and </w:t>
      </w:r>
      <w:r w:rsidRPr="005A7CE6">
        <w:rPr>
          <w:rFonts w:ascii="Times New Roman" w:hAnsi="Times New Roman"/>
          <w:iCs/>
          <w:sz w:val="24"/>
          <w:szCs w:val="24"/>
        </w:rPr>
        <w:t>recordkeeping costs are approximately $</w:t>
      </w:r>
      <w:r w:rsidR="002D740F">
        <w:rPr>
          <w:rFonts w:ascii="Times New Roman" w:hAnsi="Times New Roman"/>
          <w:iCs/>
          <w:sz w:val="24"/>
          <w:szCs w:val="24"/>
        </w:rPr>
        <w:t>405.6 thousand</w:t>
      </w:r>
      <w:r w:rsidRPr="005A7CE6">
        <w:rPr>
          <w:rFonts w:ascii="Times New Roman" w:hAnsi="Times New Roman"/>
          <w:iCs/>
          <w:sz w:val="24"/>
          <w:szCs w:val="24"/>
        </w:rPr>
        <w:t>, with a lower bound of approximately $</w:t>
      </w:r>
      <w:r w:rsidR="002D740F">
        <w:rPr>
          <w:rFonts w:ascii="Times New Roman" w:hAnsi="Times New Roman"/>
          <w:iCs/>
          <w:sz w:val="24"/>
          <w:szCs w:val="24"/>
        </w:rPr>
        <w:t xml:space="preserve">202.8 </w:t>
      </w:r>
      <w:r w:rsidRPr="005A7CE6">
        <w:rPr>
          <w:rFonts w:ascii="Times New Roman" w:hAnsi="Times New Roman"/>
          <w:iCs/>
          <w:sz w:val="24"/>
          <w:szCs w:val="24"/>
        </w:rPr>
        <w:t>thousand and an upper bound of approximately $</w:t>
      </w:r>
      <w:r w:rsidR="002D740F">
        <w:rPr>
          <w:rFonts w:ascii="Times New Roman" w:hAnsi="Times New Roman"/>
          <w:iCs/>
          <w:sz w:val="24"/>
          <w:szCs w:val="24"/>
        </w:rPr>
        <w:t xml:space="preserve">811.3 </w:t>
      </w:r>
      <w:r w:rsidR="004D369D">
        <w:rPr>
          <w:rFonts w:ascii="Times New Roman" w:hAnsi="Times New Roman"/>
          <w:iCs/>
          <w:sz w:val="24"/>
          <w:szCs w:val="24"/>
        </w:rPr>
        <w:t>thousand</w:t>
      </w:r>
      <w:r w:rsidRPr="005A7CE6">
        <w:rPr>
          <w:rFonts w:ascii="Times New Roman" w:hAnsi="Times New Roman"/>
          <w:iCs/>
          <w:sz w:val="24"/>
          <w:szCs w:val="24"/>
        </w:rPr>
        <w:t>, at 3 and 7 pe</w:t>
      </w:r>
      <w:r w:rsidRPr="005756BA">
        <w:rPr>
          <w:rFonts w:ascii="Times New Roman" w:hAnsi="Times New Roman"/>
          <w:iCs/>
          <w:sz w:val="24"/>
          <w:szCs w:val="24"/>
        </w:rPr>
        <w:t xml:space="preserve">rcent discount rates.  The estimated costs </w:t>
      </w:r>
      <w:r>
        <w:rPr>
          <w:rFonts w:ascii="Times New Roman" w:hAnsi="Times New Roman"/>
          <w:iCs/>
          <w:sz w:val="24"/>
          <w:szCs w:val="24"/>
        </w:rPr>
        <w:t>of additional review and recordkeeping requirements are summarized in Table 5.</w:t>
      </w:r>
    </w:p>
    <w:p w:rsidR="00081854" w:rsidP="000128A1" w14:paraId="64B8FD86" w14:textId="77777777">
      <w:pPr>
        <w:spacing w:after="0" w:line="480" w:lineRule="auto"/>
        <w:ind w:firstLine="720"/>
        <w:contextualSpacing/>
        <w:rPr>
          <w:rFonts w:ascii="Times New Roman" w:hAnsi="Times New Roman"/>
          <w:iCs/>
          <w:sz w:val="24"/>
          <w:szCs w:val="24"/>
        </w:rPr>
      </w:pPr>
    </w:p>
    <w:tbl>
      <w:tblPr>
        <w:tblW w:w="5000" w:type="pct"/>
        <w:tblLayout w:type="fixed"/>
        <w:tblLook w:val="04A0"/>
      </w:tblPr>
      <w:tblGrid>
        <w:gridCol w:w="5670"/>
        <w:gridCol w:w="1170"/>
        <w:gridCol w:w="1260"/>
        <w:gridCol w:w="1260"/>
      </w:tblGrid>
      <w:tr w14:paraId="6E29D8BE" w14:textId="77777777" w:rsidTr="00972765">
        <w:tblPrEx>
          <w:tblW w:w="5000" w:type="pct"/>
          <w:tblLayout w:type="fixed"/>
          <w:tblLook w:val="04A0"/>
        </w:tblPrEx>
        <w:trPr>
          <w:trHeight w:val="288"/>
        </w:trPr>
        <w:tc>
          <w:tcPr>
            <w:tcW w:w="5000" w:type="pct"/>
            <w:gridSpan w:val="4"/>
            <w:shd w:val="clear" w:color="auto" w:fill="auto"/>
            <w:noWrap/>
            <w:vAlign w:val="center"/>
          </w:tcPr>
          <w:p w:rsidR="00C2449F" w:rsidRPr="00936C08" w:rsidP="00D37C6D" w14:paraId="186B79BC" w14:textId="1D9E221A">
            <w:pPr>
              <w:spacing w:after="0" w:line="240" w:lineRule="auto"/>
              <w:jc w:val="center"/>
              <w:rPr>
                <w:rFonts w:ascii="Times New Roman" w:hAnsi="Times New Roman"/>
                <w:b/>
                <w:bCs/>
                <w:sz w:val="24"/>
                <w:szCs w:val="24"/>
              </w:rPr>
            </w:pPr>
            <w:r w:rsidRPr="00936C08">
              <w:rPr>
                <w:rFonts w:ascii="Times New Roman" w:eastAsia="Times New Roman" w:hAnsi="Times New Roman"/>
                <w:b/>
                <w:bCs/>
                <w:sz w:val="24"/>
                <w:szCs w:val="24"/>
              </w:rPr>
              <w:t>Table 5. Additional Review and Recordkeeping Costs to IRBs (2020$)</w:t>
            </w:r>
          </w:p>
        </w:tc>
      </w:tr>
      <w:tr w14:paraId="7763828D" w14:textId="77777777" w:rsidTr="00907277">
        <w:tblPrEx>
          <w:tblW w:w="5000" w:type="pct"/>
          <w:tblLayout w:type="fixed"/>
          <w:tblLook w:val="04A0"/>
        </w:tblPrEx>
        <w:trPr>
          <w:trHeight w:val="288"/>
        </w:trPr>
        <w:tc>
          <w:tcPr>
            <w:tcW w:w="30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49F" w:rsidRPr="00240C26" w:rsidP="00D37C6D" w14:paraId="566CDABF" w14:textId="77777777">
            <w:pPr>
              <w:spacing w:after="0" w:line="240" w:lineRule="auto"/>
              <w:rPr>
                <w:rFonts w:ascii="Times New Roman" w:hAnsi="Times New Roman"/>
                <w:sz w:val="20"/>
                <w:szCs w:val="20"/>
              </w:rPr>
            </w:pPr>
            <w:r w:rsidRPr="00240C26">
              <w:rPr>
                <w:rFonts w:ascii="Times New Roman" w:hAnsi="Times New Roman"/>
                <w:sz w:val="20"/>
                <w:szCs w:val="20"/>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C2449F" w:rsidRPr="00240C26" w:rsidP="00D37C6D" w14:paraId="2910B69E" w14:textId="77777777">
            <w:pPr>
              <w:spacing w:after="0" w:line="240" w:lineRule="auto"/>
              <w:jc w:val="center"/>
              <w:rPr>
                <w:rFonts w:ascii="Times New Roman" w:hAnsi="Times New Roman"/>
                <w:sz w:val="20"/>
                <w:szCs w:val="20"/>
              </w:rPr>
            </w:pPr>
            <w:r w:rsidRPr="00240C26">
              <w:rPr>
                <w:rFonts w:ascii="Times New Roman" w:hAnsi="Times New Roman"/>
                <w:sz w:val="20"/>
                <w:szCs w:val="20"/>
              </w:rPr>
              <w:t>Low</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C2449F" w:rsidRPr="00240C26" w:rsidP="00D37C6D" w14:paraId="013A8E17" w14:textId="77777777">
            <w:pPr>
              <w:spacing w:after="0" w:line="240" w:lineRule="auto"/>
              <w:jc w:val="center"/>
              <w:rPr>
                <w:rFonts w:ascii="Times New Roman" w:hAnsi="Times New Roman"/>
                <w:sz w:val="20"/>
                <w:szCs w:val="20"/>
              </w:rPr>
            </w:pPr>
            <w:r w:rsidRPr="00240C26">
              <w:rPr>
                <w:rFonts w:ascii="Times New Roman" w:hAnsi="Times New Roman"/>
                <w:sz w:val="20"/>
                <w:szCs w:val="20"/>
              </w:rPr>
              <w:t>Middle</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C2449F" w:rsidRPr="00240C26" w:rsidP="00D37C6D" w14:paraId="3E69AECB" w14:textId="77777777">
            <w:pPr>
              <w:spacing w:after="0" w:line="240" w:lineRule="auto"/>
              <w:jc w:val="center"/>
              <w:rPr>
                <w:rFonts w:ascii="Times New Roman" w:hAnsi="Times New Roman"/>
                <w:sz w:val="20"/>
                <w:szCs w:val="20"/>
              </w:rPr>
            </w:pPr>
            <w:r w:rsidRPr="00240C26">
              <w:rPr>
                <w:rFonts w:ascii="Times New Roman" w:hAnsi="Times New Roman"/>
                <w:sz w:val="20"/>
                <w:szCs w:val="20"/>
              </w:rPr>
              <w:t>High</w:t>
            </w:r>
          </w:p>
        </w:tc>
      </w:tr>
      <w:tr w14:paraId="1E1E0451"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694E0D" w:rsidRPr="00240C26" w:rsidP="00D37C6D" w14:paraId="57224D6E" w14:textId="737702C6">
            <w:pPr>
              <w:spacing w:after="0" w:line="240" w:lineRule="auto"/>
              <w:rPr>
                <w:rFonts w:ascii="Times New Roman" w:hAnsi="Times New Roman"/>
                <w:sz w:val="20"/>
                <w:szCs w:val="20"/>
              </w:rPr>
            </w:pPr>
            <w:r w:rsidRPr="00240C26">
              <w:rPr>
                <w:rFonts w:ascii="Times New Roman" w:hAnsi="Times New Roman"/>
                <w:sz w:val="20"/>
                <w:szCs w:val="20"/>
              </w:rPr>
              <w:t xml:space="preserve">Number of </w:t>
            </w:r>
            <w:r w:rsidR="006F2BD6">
              <w:rPr>
                <w:rFonts w:ascii="Times New Roman" w:hAnsi="Times New Roman"/>
                <w:sz w:val="20"/>
                <w:szCs w:val="20"/>
              </w:rPr>
              <w:t>potential minimal risk</w:t>
            </w:r>
            <w:r w:rsidRPr="00240C26" w:rsidR="006F2BD6">
              <w:rPr>
                <w:rFonts w:ascii="Times New Roman" w:hAnsi="Times New Roman"/>
                <w:sz w:val="20"/>
                <w:szCs w:val="20"/>
              </w:rPr>
              <w:t xml:space="preserve"> </w:t>
            </w:r>
            <w:r w:rsidRPr="00240C26">
              <w:rPr>
                <w:rFonts w:ascii="Times New Roman" w:hAnsi="Times New Roman"/>
                <w:sz w:val="20"/>
                <w:szCs w:val="20"/>
              </w:rPr>
              <w:t xml:space="preserve">clinical </w:t>
            </w:r>
            <w:r w:rsidRPr="00240C26" w:rsidR="00FD1714">
              <w:rPr>
                <w:rFonts w:ascii="Times New Roman" w:hAnsi="Times New Roman"/>
                <w:sz w:val="20"/>
                <w:szCs w:val="20"/>
              </w:rPr>
              <w:t>investigation</w:t>
            </w:r>
            <w:r w:rsidRPr="00240C26">
              <w:rPr>
                <w:rFonts w:ascii="Times New Roman" w:hAnsi="Times New Roman"/>
                <w:sz w:val="20"/>
                <w:szCs w:val="20"/>
              </w:rPr>
              <w:t>s</w:t>
            </w:r>
          </w:p>
        </w:tc>
        <w:tc>
          <w:tcPr>
            <w:tcW w:w="625" w:type="pct"/>
            <w:tcBorders>
              <w:top w:val="nil"/>
              <w:left w:val="nil"/>
              <w:bottom w:val="single" w:sz="4" w:space="0" w:color="auto"/>
              <w:right w:val="single" w:sz="4" w:space="0" w:color="auto"/>
            </w:tcBorders>
            <w:shd w:val="clear" w:color="auto" w:fill="auto"/>
            <w:noWrap/>
            <w:vAlign w:val="center"/>
          </w:tcPr>
          <w:p w:rsidR="00694E0D" w:rsidRPr="00240C26" w:rsidP="00D37C6D" w14:paraId="5A015731" w14:textId="2AE939D0">
            <w:pPr>
              <w:spacing w:after="0" w:line="240" w:lineRule="auto"/>
              <w:jc w:val="right"/>
              <w:rPr>
                <w:rFonts w:ascii="Times New Roman" w:hAnsi="Times New Roman"/>
                <w:sz w:val="20"/>
                <w:szCs w:val="20"/>
              </w:rPr>
            </w:pPr>
            <w:r>
              <w:rPr>
                <w:rFonts w:ascii="Times New Roman" w:hAnsi="Times New Roman"/>
                <w:sz w:val="20"/>
                <w:szCs w:val="20"/>
              </w:rPr>
              <w:t>551</w:t>
            </w:r>
          </w:p>
        </w:tc>
        <w:tc>
          <w:tcPr>
            <w:tcW w:w="673" w:type="pct"/>
            <w:tcBorders>
              <w:top w:val="nil"/>
              <w:left w:val="nil"/>
              <w:bottom w:val="single" w:sz="4" w:space="0" w:color="auto"/>
              <w:right w:val="single" w:sz="4" w:space="0" w:color="auto"/>
            </w:tcBorders>
            <w:shd w:val="clear" w:color="auto" w:fill="auto"/>
            <w:noWrap/>
            <w:vAlign w:val="center"/>
          </w:tcPr>
          <w:p w:rsidR="00694E0D" w:rsidRPr="00240C26" w:rsidP="00D37C6D" w14:paraId="007AD1AA" w14:textId="45CDEA49">
            <w:pPr>
              <w:spacing w:after="0" w:line="240" w:lineRule="auto"/>
              <w:jc w:val="right"/>
              <w:rPr>
                <w:rFonts w:ascii="Times New Roman" w:hAnsi="Times New Roman"/>
                <w:sz w:val="20"/>
                <w:szCs w:val="20"/>
              </w:rPr>
            </w:pPr>
            <w:r>
              <w:rPr>
                <w:rFonts w:ascii="Times New Roman" w:hAnsi="Times New Roman"/>
                <w:sz w:val="20"/>
                <w:szCs w:val="20"/>
              </w:rPr>
              <w:t>551</w:t>
            </w:r>
          </w:p>
        </w:tc>
        <w:tc>
          <w:tcPr>
            <w:tcW w:w="673" w:type="pct"/>
            <w:tcBorders>
              <w:top w:val="nil"/>
              <w:left w:val="nil"/>
              <w:bottom w:val="single" w:sz="4" w:space="0" w:color="auto"/>
              <w:right w:val="single" w:sz="4" w:space="0" w:color="auto"/>
            </w:tcBorders>
            <w:shd w:val="clear" w:color="auto" w:fill="auto"/>
            <w:noWrap/>
            <w:vAlign w:val="center"/>
          </w:tcPr>
          <w:p w:rsidR="00694E0D" w:rsidRPr="00240C26" w:rsidP="00D37C6D" w14:paraId="02CA1897" w14:textId="2766FE50">
            <w:pPr>
              <w:spacing w:after="0" w:line="240" w:lineRule="auto"/>
              <w:jc w:val="right"/>
              <w:rPr>
                <w:rFonts w:ascii="Times New Roman" w:hAnsi="Times New Roman"/>
                <w:sz w:val="20"/>
                <w:szCs w:val="20"/>
              </w:rPr>
            </w:pPr>
            <w:r>
              <w:rPr>
                <w:rFonts w:ascii="Times New Roman" w:hAnsi="Times New Roman"/>
                <w:sz w:val="20"/>
                <w:szCs w:val="20"/>
              </w:rPr>
              <w:t>551</w:t>
            </w:r>
          </w:p>
        </w:tc>
      </w:tr>
      <w:tr w14:paraId="4E181594"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1A0F59" w:rsidRPr="00DA59E0" w:rsidP="00D37C6D" w14:paraId="2AFF4484" w14:textId="09C3BD17">
            <w:pPr>
              <w:spacing w:after="0" w:line="240" w:lineRule="auto"/>
              <w:rPr>
                <w:rFonts w:ascii="Times New Roman" w:hAnsi="Times New Roman"/>
                <w:sz w:val="20"/>
                <w:szCs w:val="20"/>
              </w:rPr>
            </w:pPr>
            <w:r>
              <w:rPr>
                <w:rFonts w:ascii="Times New Roman" w:hAnsi="Times New Roman"/>
                <w:sz w:val="20"/>
                <w:szCs w:val="20"/>
              </w:rPr>
              <w:t>Percent of</w:t>
            </w:r>
            <w:r w:rsidR="006F2BD6">
              <w:rPr>
                <w:rFonts w:ascii="Times New Roman" w:hAnsi="Times New Roman"/>
                <w:sz w:val="20"/>
                <w:szCs w:val="20"/>
              </w:rPr>
              <w:t xml:space="preserve"> </w:t>
            </w:r>
            <w:r>
              <w:rPr>
                <w:rFonts w:ascii="Times New Roman" w:hAnsi="Times New Roman"/>
                <w:sz w:val="20"/>
                <w:szCs w:val="20"/>
              </w:rPr>
              <w:t xml:space="preserve">investigations that </w:t>
            </w:r>
            <w:r w:rsidR="0023570D">
              <w:rPr>
                <w:rFonts w:ascii="Times New Roman" w:hAnsi="Times New Roman"/>
                <w:sz w:val="20"/>
                <w:szCs w:val="20"/>
              </w:rPr>
              <w:t>will incur review</w:t>
            </w:r>
            <w:r w:rsidR="001E3096">
              <w:rPr>
                <w:rFonts w:ascii="Times New Roman" w:hAnsi="Times New Roman"/>
                <w:sz w:val="20"/>
                <w:szCs w:val="20"/>
              </w:rPr>
              <w:t>/recordkeeping</w:t>
            </w:r>
            <w:r w:rsidR="0023570D">
              <w:rPr>
                <w:rFonts w:ascii="Times New Roman" w:hAnsi="Times New Roman"/>
                <w:sz w:val="20"/>
                <w:szCs w:val="20"/>
              </w:rPr>
              <w:t xml:space="preserve"> costs</w:t>
            </w:r>
          </w:p>
        </w:tc>
        <w:tc>
          <w:tcPr>
            <w:tcW w:w="625" w:type="pct"/>
            <w:tcBorders>
              <w:top w:val="nil"/>
              <w:left w:val="nil"/>
              <w:bottom w:val="single" w:sz="4" w:space="0" w:color="auto"/>
              <w:right w:val="single" w:sz="4" w:space="0" w:color="auto"/>
            </w:tcBorders>
            <w:shd w:val="clear" w:color="auto" w:fill="auto"/>
            <w:noWrap/>
            <w:vAlign w:val="center"/>
          </w:tcPr>
          <w:p w:rsidR="001A0F59" w:rsidRPr="00DA59E0" w:rsidP="00D37C6D" w14:paraId="1DF445E9" w14:textId="3B3995CE">
            <w:pPr>
              <w:spacing w:after="0" w:line="240" w:lineRule="auto"/>
              <w:jc w:val="right"/>
              <w:rPr>
                <w:rFonts w:ascii="Times New Roman" w:hAnsi="Times New Roman"/>
                <w:sz w:val="20"/>
                <w:szCs w:val="20"/>
              </w:rPr>
            </w:pPr>
            <w:r>
              <w:rPr>
                <w:rFonts w:ascii="Times New Roman" w:hAnsi="Times New Roman"/>
                <w:sz w:val="20"/>
                <w:szCs w:val="20"/>
              </w:rPr>
              <w:t>25%</w:t>
            </w:r>
          </w:p>
        </w:tc>
        <w:tc>
          <w:tcPr>
            <w:tcW w:w="673" w:type="pct"/>
            <w:tcBorders>
              <w:top w:val="nil"/>
              <w:left w:val="nil"/>
              <w:bottom w:val="single" w:sz="4" w:space="0" w:color="auto"/>
              <w:right w:val="single" w:sz="4" w:space="0" w:color="auto"/>
            </w:tcBorders>
            <w:shd w:val="clear" w:color="auto" w:fill="auto"/>
            <w:noWrap/>
            <w:vAlign w:val="center"/>
          </w:tcPr>
          <w:p w:rsidR="001A0F59" w:rsidRPr="00DA59E0" w:rsidP="00D37C6D" w14:paraId="3F2AB9D6" w14:textId="2B34E5F7">
            <w:pPr>
              <w:spacing w:after="0" w:line="240" w:lineRule="auto"/>
              <w:jc w:val="right"/>
              <w:rPr>
                <w:rFonts w:ascii="Times New Roman" w:hAnsi="Times New Roman"/>
                <w:sz w:val="20"/>
                <w:szCs w:val="20"/>
              </w:rPr>
            </w:pPr>
            <w:r>
              <w:rPr>
                <w:rFonts w:ascii="Times New Roman" w:hAnsi="Times New Roman"/>
                <w:sz w:val="20"/>
                <w:szCs w:val="20"/>
              </w:rPr>
              <w:t>50%</w:t>
            </w:r>
          </w:p>
        </w:tc>
        <w:tc>
          <w:tcPr>
            <w:tcW w:w="673" w:type="pct"/>
            <w:tcBorders>
              <w:top w:val="nil"/>
              <w:left w:val="nil"/>
              <w:bottom w:val="single" w:sz="4" w:space="0" w:color="auto"/>
              <w:right w:val="single" w:sz="4" w:space="0" w:color="auto"/>
            </w:tcBorders>
            <w:shd w:val="clear" w:color="auto" w:fill="auto"/>
            <w:noWrap/>
            <w:vAlign w:val="center"/>
          </w:tcPr>
          <w:p w:rsidR="001A0F59" w:rsidRPr="00DA59E0" w:rsidP="00D37C6D" w14:paraId="65281770" w14:textId="6BCBA815">
            <w:pPr>
              <w:spacing w:after="0" w:line="240" w:lineRule="auto"/>
              <w:jc w:val="right"/>
              <w:rPr>
                <w:rFonts w:ascii="Times New Roman" w:hAnsi="Times New Roman"/>
                <w:sz w:val="20"/>
                <w:szCs w:val="20"/>
              </w:rPr>
            </w:pPr>
            <w:r>
              <w:rPr>
                <w:rFonts w:ascii="Times New Roman" w:hAnsi="Times New Roman"/>
                <w:sz w:val="20"/>
                <w:szCs w:val="20"/>
              </w:rPr>
              <w:t>100%</w:t>
            </w:r>
          </w:p>
        </w:tc>
      </w:tr>
      <w:tr w14:paraId="04DA0027" w14:textId="7E3021A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936C08" w:rsidP="00D37C6D" w14:paraId="4A5B6284" w14:textId="2BD8BCCF">
            <w:pPr>
              <w:spacing w:after="0" w:line="240" w:lineRule="auto"/>
              <w:rPr>
                <w:rFonts w:ascii="Times New Roman" w:hAnsi="Times New Roman"/>
                <w:sz w:val="20"/>
                <w:szCs w:val="20"/>
              </w:rPr>
            </w:pPr>
            <w:r w:rsidRPr="00936C08">
              <w:rPr>
                <w:rFonts w:ascii="Times New Roman" w:hAnsi="Times New Roman"/>
                <w:sz w:val="20"/>
                <w:szCs w:val="20"/>
              </w:rPr>
              <w:t xml:space="preserve">Number of </w:t>
            </w:r>
            <w:r w:rsidR="00240C26">
              <w:rPr>
                <w:rFonts w:ascii="Times New Roman" w:hAnsi="Times New Roman"/>
                <w:sz w:val="20"/>
                <w:szCs w:val="20"/>
              </w:rPr>
              <w:t>investigations that will incur review</w:t>
            </w:r>
            <w:r w:rsidR="001E3096">
              <w:rPr>
                <w:rFonts w:ascii="Times New Roman" w:hAnsi="Times New Roman"/>
                <w:sz w:val="20"/>
                <w:szCs w:val="20"/>
              </w:rPr>
              <w:t>/recordkeeping</w:t>
            </w:r>
            <w:r w:rsidR="00240C26">
              <w:rPr>
                <w:rFonts w:ascii="Times New Roman" w:hAnsi="Times New Roman"/>
                <w:sz w:val="20"/>
                <w:szCs w:val="20"/>
              </w:rPr>
              <w:t xml:space="preserve"> costs</w:t>
            </w:r>
            <w:r w:rsidRPr="00936C08">
              <w:rPr>
                <w:rFonts w:ascii="Times New Roman" w:hAnsi="Times New Roman"/>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tcPr>
          <w:p w:rsidR="00C2449F" w:rsidRPr="00936C08" w:rsidP="00D37C6D" w14:paraId="2EDF308E" w14:textId="7EFC169A">
            <w:pPr>
              <w:spacing w:after="0" w:line="240" w:lineRule="auto"/>
              <w:jc w:val="right"/>
              <w:rPr>
                <w:rFonts w:ascii="Times New Roman" w:hAnsi="Times New Roman"/>
                <w:sz w:val="20"/>
                <w:szCs w:val="20"/>
              </w:rPr>
            </w:pPr>
            <w:r>
              <w:rPr>
                <w:rFonts w:ascii="Times New Roman" w:hAnsi="Times New Roman"/>
                <w:sz w:val="20"/>
                <w:szCs w:val="20"/>
              </w:rPr>
              <w:t>138</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43567FD1" w14:textId="7CC447C6">
            <w:pPr>
              <w:spacing w:after="0" w:line="240" w:lineRule="auto"/>
              <w:jc w:val="right"/>
              <w:rPr>
                <w:rFonts w:ascii="Times New Roman" w:hAnsi="Times New Roman"/>
                <w:sz w:val="20"/>
                <w:szCs w:val="20"/>
              </w:rPr>
            </w:pPr>
            <w:r>
              <w:rPr>
                <w:rFonts w:ascii="Times New Roman" w:hAnsi="Times New Roman"/>
                <w:sz w:val="20"/>
                <w:szCs w:val="20"/>
              </w:rPr>
              <w:t>276</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687252A9" w14:textId="1AEC8D7A">
            <w:pPr>
              <w:spacing w:after="0" w:line="240" w:lineRule="auto"/>
              <w:jc w:val="right"/>
              <w:rPr>
                <w:rFonts w:ascii="Times New Roman" w:hAnsi="Times New Roman"/>
                <w:sz w:val="20"/>
                <w:szCs w:val="20"/>
              </w:rPr>
            </w:pPr>
            <w:r>
              <w:rPr>
                <w:rFonts w:ascii="Times New Roman" w:hAnsi="Times New Roman"/>
                <w:sz w:val="20"/>
                <w:szCs w:val="20"/>
              </w:rPr>
              <w:t>551</w:t>
            </w:r>
          </w:p>
        </w:tc>
      </w:tr>
      <w:tr w14:paraId="5B09E14A"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hideMark/>
          </w:tcPr>
          <w:p w:rsidR="00C2449F" w:rsidRPr="00936C08" w:rsidP="00D37C6D" w14:paraId="3A449B14" w14:textId="60943695">
            <w:pPr>
              <w:spacing w:after="0" w:line="240" w:lineRule="auto"/>
              <w:rPr>
                <w:rFonts w:ascii="Times New Roman" w:hAnsi="Times New Roman"/>
                <w:sz w:val="20"/>
                <w:szCs w:val="20"/>
              </w:rPr>
            </w:pPr>
            <w:r w:rsidRPr="00936C08">
              <w:rPr>
                <w:rFonts w:ascii="Times New Roman" w:hAnsi="Times New Roman"/>
                <w:sz w:val="20"/>
                <w:szCs w:val="20"/>
              </w:rPr>
              <w:t xml:space="preserve">Time burden of </w:t>
            </w:r>
            <w:r w:rsidRPr="00936C08" w:rsidR="00BB1249">
              <w:rPr>
                <w:rFonts w:ascii="Times New Roman" w:hAnsi="Times New Roman"/>
                <w:sz w:val="20"/>
                <w:szCs w:val="20"/>
              </w:rPr>
              <w:t>review</w:t>
            </w:r>
            <w:r w:rsidR="001E3096">
              <w:rPr>
                <w:rFonts w:ascii="Times New Roman" w:hAnsi="Times New Roman"/>
                <w:sz w:val="20"/>
                <w:szCs w:val="20"/>
              </w:rPr>
              <w:t>/recordkeeping</w:t>
            </w:r>
            <w:r w:rsidRPr="00936C08">
              <w:rPr>
                <w:rFonts w:ascii="Times New Roman" w:hAnsi="Times New Roman"/>
                <w:sz w:val="20"/>
                <w:szCs w:val="20"/>
              </w:rPr>
              <w:t xml:space="preserve"> (hours)</w:t>
            </w:r>
          </w:p>
        </w:tc>
        <w:tc>
          <w:tcPr>
            <w:tcW w:w="625" w:type="pct"/>
            <w:tcBorders>
              <w:top w:val="nil"/>
              <w:left w:val="nil"/>
              <w:bottom w:val="single" w:sz="4" w:space="0" w:color="auto"/>
              <w:right w:val="single" w:sz="4" w:space="0" w:color="auto"/>
            </w:tcBorders>
            <w:shd w:val="clear" w:color="auto" w:fill="auto"/>
            <w:noWrap/>
            <w:vAlign w:val="center"/>
            <w:hideMark/>
          </w:tcPr>
          <w:p w:rsidR="00C2449F" w:rsidRPr="00936C08" w:rsidP="00D37C6D" w14:paraId="74FE2FF8" w14:textId="244614FF">
            <w:pPr>
              <w:spacing w:after="0" w:line="240" w:lineRule="auto"/>
              <w:jc w:val="right"/>
              <w:rPr>
                <w:rFonts w:ascii="Times New Roman" w:hAnsi="Times New Roman"/>
                <w:sz w:val="20"/>
                <w:szCs w:val="20"/>
              </w:rPr>
            </w:pPr>
            <w:r w:rsidRPr="00936C08">
              <w:rPr>
                <w:rFonts w:ascii="Times New Roman" w:hAnsi="Times New Roman"/>
                <w:sz w:val="20"/>
                <w:szCs w:val="20"/>
              </w:rPr>
              <w:t>1</w:t>
            </w:r>
          </w:p>
        </w:tc>
        <w:tc>
          <w:tcPr>
            <w:tcW w:w="673" w:type="pct"/>
            <w:tcBorders>
              <w:top w:val="nil"/>
              <w:left w:val="nil"/>
              <w:bottom w:val="single" w:sz="4" w:space="0" w:color="auto"/>
              <w:right w:val="single" w:sz="4" w:space="0" w:color="auto"/>
            </w:tcBorders>
            <w:shd w:val="clear" w:color="auto" w:fill="auto"/>
            <w:noWrap/>
            <w:vAlign w:val="center"/>
            <w:hideMark/>
          </w:tcPr>
          <w:p w:rsidR="00C2449F" w:rsidRPr="00936C08" w:rsidP="00D37C6D" w14:paraId="568337E6" w14:textId="2FA052E7">
            <w:pPr>
              <w:spacing w:after="0" w:line="240" w:lineRule="auto"/>
              <w:jc w:val="right"/>
              <w:rPr>
                <w:rFonts w:ascii="Times New Roman" w:hAnsi="Times New Roman"/>
                <w:sz w:val="20"/>
                <w:szCs w:val="20"/>
              </w:rPr>
            </w:pPr>
            <w:r w:rsidRPr="00936C08">
              <w:rPr>
                <w:rFonts w:ascii="Times New Roman" w:hAnsi="Times New Roman"/>
                <w:sz w:val="20"/>
                <w:szCs w:val="20"/>
              </w:rPr>
              <w:t>1</w:t>
            </w:r>
          </w:p>
        </w:tc>
        <w:tc>
          <w:tcPr>
            <w:tcW w:w="673" w:type="pct"/>
            <w:tcBorders>
              <w:top w:val="nil"/>
              <w:left w:val="nil"/>
              <w:bottom w:val="single" w:sz="4" w:space="0" w:color="auto"/>
              <w:right w:val="single" w:sz="4" w:space="0" w:color="auto"/>
            </w:tcBorders>
            <w:shd w:val="clear" w:color="auto" w:fill="auto"/>
            <w:noWrap/>
            <w:vAlign w:val="center"/>
            <w:hideMark/>
          </w:tcPr>
          <w:p w:rsidR="00C2449F" w:rsidRPr="00936C08" w:rsidP="00D37C6D" w14:paraId="030467AC" w14:textId="349940B6">
            <w:pPr>
              <w:spacing w:after="0" w:line="240" w:lineRule="auto"/>
              <w:jc w:val="right"/>
              <w:rPr>
                <w:rFonts w:ascii="Times New Roman" w:hAnsi="Times New Roman"/>
                <w:sz w:val="20"/>
                <w:szCs w:val="20"/>
              </w:rPr>
            </w:pPr>
            <w:r w:rsidRPr="00936C08">
              <w:rPr>
                <w:rFonts w:ascii="Times New Roman" w:hAnsi="Times New Roman"/>
                <w:sz w:val="20"/>
                <w:szCs w:val="20"/>
              </w:rPr>
              <w:t>1</w:t>
            </w:r>
          </w:p>
        </w:tc>
      </w:tr>
      <w:tr w14:paraId="17CEF4A9"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936C08" w:rsidP="00D37C6D" w14:paraId="2514A961" w14:textId="77777777">
            <w:pPr>
              <w:spacing w:after="0" w:line="240" w:lineRule="auto"/>
              <w:rPr>
                <w:rFonts w:ascii="Times New Roman" w:hAnsi="Times New Roman"/>
                <w:sz w:val="20"/>
                <w:szCs w:val="20"/>
              </w:rPr>
            </w:pPr>
            <w:r w:rsidRPr="00936C08">
              <w:rPr>
                <w:rFonts w:ascii="Times New Roman" w:hAnsi="Times New Roman"/>
                <w:sz w:val="20"/>
                <w:szCs w:val="20"/>
              </w:rPr>
              <w:t>Hourly wage, IRB administrator</w:t>
            </w:r>
          </w:p>
        </w:tc>
        <w:tc>
          <w:tcPr>
            <w:tcW w:w="625" w:type="pct"/>
            <w:tcBorders>
              <w:top w:val="nil"/>
              <w:left w:val="nil"/>
              <w:bottom w:val="single" w:sz="4" w:space="0" w:color="auto"/>
              <w:right w:val="single" w:sz="4" w:space="0" w:color="auto"/>
            </w:tcBorders>
            <w:shd w:val="clear" w:color="auto" w:fill="auto"/>
            <w:noWrap/>
            <w:vAlign w:val="center"/>
          </w:tcPr>
          <w:p w:rsidR="00C2449F" w:rsidRPr="00936C08" w:rsidP="00D37C6D" w14:paraId="24B2C262" w14:textId="77777777">
            <w:pPr>
              <w:spacing w:after="0" w:line="240" w:lineRule="auto"/>
              <w:jc w:val="right"/>
              <w:rPr>
                <w:rFonts w:ascii="Times New Roman" w:hAnsi="Times New Roman"/>
                <w:sz w:val="20"/>
                <w:szCs w:val="20"/>
              </w:rPr>
            </w:pPr>
            <w:r w:rsidRPr="00936C08">
              <w:rPr>
                <w:rFonts w:ascii="Times New Roman" w:hAnsi="Times New Roman"/>
                <w:sz w:val="20"/>
                <w:szCs w:val="20"/>
              </w:rPr>
              <w:t>$110.76</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78D802C3" w14:textId="77777777">
            <w:pPr>
              <w:spacing w:after="0" w:line="240" w:lineRule="auto"/>
              <w:jc w:val="right"/>
              <w:rPr>
                <w:rFonts w:ascii="Times New Roman" w:hAnsi="Times New Roman"/>
                <w:sz w:val="20"/>
                <w:szCs w:val="20"/>
              </w:rPr>
            </w:pPr>
            <w:r w:rsidRPr="00936C08">
              <w:rPr>
                <w:rFonts w:ascii="Times New Roman" w:hAnsi="Times New Roman"/>
                <w:sz w:val="20"/>
                <w:szCs w:val="20"/>
              </w:rPr>
              <w:t>$110.76</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11EEF8E4" w14:textId="77777777">
            <w:pPr>
              <w:spacing w:after="0" w:line="240" w:lineRule="auto"/>
              <w:jc w:val="right"/>
              <w:rPr>
                <w:rFonts w:ascii="Times New Roman" w:hAnsi="Times New Roman"/>
                <w:sz w:val="20"/>
                <w:szCs w:val="20"/>
              </w:rPr>
            </w:pPr>
            <w:r w:rsidRPr="00936C08">
              <w:rPr>
                <w:rFonts w:ascii="Times New Roman" w:hAnsi="Times New Roman"/>
                <w:sz w:val="20"/>
                <w:szCs w:val="20"/>
              </w:rPr>
              <w:t>$110.76</w:t>
            </w:r>
          </w:p>
        </w:tc>
      </w:tr>
      <w:tr w14:paraId="5157ED2A"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936C08" w:rsidP="00D37C6D" w14:paraId="798CA2DA" w14:textId="77777777">
            <w:pPr>
              <w:spacing w:after="0" w:line="240" w:lineRule="auto"/>
              <w:rPr>
                <w:rFonts w:ascii="Times New Roman" w:hAnsi="Times New Roman"/>
                <w:sz w:val="20"/>
                <w:szCs w:val="20"/>
              </w:rPr>
            </w:pPr>
            <w:r w:rsidRPr="00936C08">
              <w:rPr>
                <w:rFonts w:ascii="Times New Roman" w:hAnsi="Times New Roman"/>
                <w:sz w:val="20"/>
                <w:szCs w:val="20"/>
              </w:rPr>
              <w:t>Hourly wage, IRB administrative staff</w:t>
            </w:r>
          </w:p>
        </w:tc>
        <w:tc>
          <w:tcPr>
            <w:tcW w:w="625" w:type="pct"/>
            <w:tcBorders>
              <w:top w:val="nil"/>
              <w:left w:val="nil"/>
              <w:bottom w:val="single" w:sz="4" w:space="0" w:color="auto"/>
              <w:right w:val="single" w:sz="4" w:space="0" w:color="auto"/>
            </w:tcBorders>
            <w:shd w:val="clear" w:color="auto" w:fill="auto"/>
            <w:noWrap/>
            <w:vAlign w:val="center"/>
          </w:tcPr>
          <w:p w:rsidR="00C2449F" w:rsidRPr="00936C08" w:rsidP="00D37C6D" w14:paraId="23506C86" w14:textId="77777777">
            <w:pPr>
              <w:spacing w:after="0" w:line="240" w:lineRule="auto"/>
              <w:jc w:val="right"/>
              <w:rPr>
                <w:rFonts w:ascii="Times New Roman" w:hAnsi="Times New Roman"/>
                <w:sz w:val="20"/>
                <w:szCs w:val="20"/>
              </w:rPr>
            </w:pPr>
            <w:r w:rsidRPr="00936C08">
              <w:rPr>
                <w:rFonts w:ascii="Times New Roman" w:hAnsi="Times New Roman"/>
                <w:sz w:val="20"/>
                <w:szCs w:val="20"/>
              </w:rPr>
              <w:t>$40.76</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5F6016BC" w14:textId="77777777">
            <w:pPr>
              <w:spacing w:after="0" w:line="240" w:lineRule="auto"/>
              <w:jc w:val="right"/>
              <w:rPr>
                <w:rFonts w:ascii="Times New Roman" w:hAnsi="Times New Roman"/>
                <w:sz w:val="20"/>
                <w:szCs w:val="20"/>
              </w:rPr>
            </w:pPr>
            <w:r w:rsidRPr="00936C08">
              <w:rPr>
                <w:rFonts w:ascii="Times New Roman" w:hAnsi="Times New Roman"/>
                <w:sz w:val="20"/>
                <w:szCs w:val="20"/>
              </w:rPr>
              <w:t>$40.76</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04552422" w14:textId="77777777">
            <w:pPr>
              <w:spacing w:after="0" w:line="240" w:lineRule="auto"/>
              <w:jc w:val="right"/>
              <w:rPr>
                <w:rFonts w:ascii="Times New Roman" w:hAnsi="Times New Roman"/>
                <w:sz w:val="20"/>
                <w:szCs w:val="20"/>
              </w:rPr>
            </w:pPr>
            <w:r w:rsidRPr="00936C08">
              <w:rPr>
                <w:rFonts w:ascii="Times New Roman" w:hAnsi="Times New Roman"/>
                <w:sz w:val="20"/>
                <w:szCs w:val="20"/>
              </w:rPr>
              <w:t>$40.76</w:t>
            </w:r>
          </w:p>
        </w:tc>
      </w:tr>
      <w:tr w14:paraId="0148619F"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936C08" w:rsidP="00D37C6D" w14:paraId="353242AB" w14:textId="77777777">
            <w:pPr>
              <w:spacing w:after="0" w:line="240" w:lineRule="auto"/>
              <w:rPr>
                <w:rFonts w:ascii="Times New Roman" w:hAnsi="Times New Roman"/>
                <w:sz w:val="20"/>
                <w:szCs w:val="20"/>
              </w:rPr>
            </w:pPr>
            <w:r w:rsidRPr="00936C08">
              <w:rPr>
                <w:rFonts w:ascii="Times New Roman" w:hAnsi="Times New Roman"/>
                <w:sz w:val="20"/>
                <w:szCs w:val="20"/>
              </w:rPr>
              <w:t>Hourly wage, IRB chair</w:t>
            </w:r>
          </w:p>
        </w:tc>
        <w:tc>
          <w:tcPr>
            <w:tcW w:w="625" w:type="pct"/>
            <w:tcBorders>
              <w:top w:val="nil"/>
              <w:left w:val="nil"/>
              <w:bottom w:val="single" w:sz="4" w:space="0" w:color="auto"/>
              <w:right w:val="single" w:sz="4" w:space="0" w:color="auto"/>
            </w:tcBorders>
            <w:shd w:val="clear" w:color="auto" w:fill="auto"/>
            <w:noWrap/>
            <w:vAlign w:val="center"/>
          </w:tcPr>
          <w:p w:rsidR="00C2449F" w:rsidRPr="00936C08" w:rsidP="00D37C6D" w14:paraId="64346EDD"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4A8DFED5"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44761675"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w:t>
            </w:r>
          </w:p>
        </w:tc>
      </w:tr>
      <w:tr w14:paraId="3ECD8128"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C2449F" w:rsidRPr="00936C08" w:rsidP="00D37C6D" w14:paraId="50D5BF71" w14:textId="77777777">
            <w:pPr>
              <w:spacing w:after="0" w:line="240" w:lineRule="auto"/>
              <w:rPr>
                <w:rFonts w:ascii="Times New Roman" w:hAnsi="Times New Roman"/>
                <w:sz w:val="20"/>
                <w:szCs w:val="20"/>
              </w:rPr>
            </w:pPr>
            <w:r w:rsidRPr="00936C08">
              <w:rPr>
                <w:rFonts w:ascii="Times New Roman" w:hAnsi="Times New Roman"/>
                <w:sz w:val="20"/>
                <w:szCs w:val="20"/>
              </w:rPr>
              <w:t>Hourly wage, IRB voting member (10 members per IRB)</w:t>
            </w:r>
          </w:p>
        </w:tc>
        <w:tc>
          <w:tcPr>
            <w:tcW w:w="625" w:type="pct"/>
            <w:tcBorders>
              <w:top w:val="nil"/>
              <w:left w:val="nil"/>
              <w:bottom w:val="single" w:sz="4" w:space="0" w:color="auto"/>
              <w:right w:val="single" w:sz="4" w:space="0" w:color="auto"/>
            </w:tcBorders>
            <w:shd w:val="clear" w:color="auto" w:fill="auto"/>
            <w:noWrap/>
            <w:vAlign w:val="center"/>
          </w:tcPr>
          <w:p w:rsidR="00C2449F" w:rsidRPr="00936C08" w:rsidP="00D37C6D" w14:paraId="331E321C"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$1,200.80</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28753C3B"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$1,200.80</w:t>
            </w:r>
          </w:p>
        </w:tc>
        <w:tc>
          <w:tcPr>
            <w:tcW w:w="673" w:type="pct"/>
            <w:tcBorders>
              <w:top w:val="nil"/>
              <w:left w:val="nil"/>
              <w:bottom w:val="single" w:sz="4" w:space="0" w:color="auto"/>
              <w:right w:val="single" w:sz="4" w:space="0" w:color="auto"/>
            </w:tcBorders>
            <w:shd w:val="clear" w:color="auto" w:fill="auto"/>
            <w:noWrap/>
            <w:vAlign w:val="center"/>
          </w:tcPr>
          <w:p w:rsidR="00C2449F" w:rsidRPr="00936C08" w:rsidP="00D37C6D" w14:paraId="34947807" w14:textId="77777777">
            <w:pPr>
              <w:spacing w:after="0" w:line="240" w:lineRule="auto"/>
              <w:jc w:val="right"/>
              <w:rPr>
                <w:rFonts w:ascii="Times New Roman" w:hAnsi="Times New Roman"/>
                <w:sz w:val="20"/>
                <w:szCs w:val="20"/>
              </w:rPr>
            </w:pPr>
            <w:r w:rsidRPr="00936C08">
              <w:rPr>
                <w:rFonts w:ascii="Times New Roman" w:hAnsi="Times New Roman"/>
                <w:sz w:val="20"/>
                <w:szCs w:val="20"/>
              </w:rPr>
              <w:t>$1,200.80</w:t>
            </w:r>
          </w:p>
        </w:tc>
      </w:tr>
      <w:tr w14:paraId="3C9711D4"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9F246F" w:rsidRPr="00D02FCD" w:rsidP="00D37C6D" w14:paraId="07D1A4F6" w14:textId="392B9CF3">
            <w:pPr>
              <w:spacing w:after="0" w:line="240" w:lineRule="auto"/>
              <w:rPr>
                <w:rFonts w:ascii="Times New Roman" w:hAnsi="Times New Roman"/>
                <w:sz w:val="20"/>
                <w:szCs w:val="20"/>
              </w:rPr>
            </w:pPr>
            <w:r w:rsidRPr="00D02FCD">
              <w:rPr>
                <w:rFonts w:ascii="Times New Roman" w:hAnsi="Times New Roman"/>
                <w:sz w:val="20"/>
                <w:szCs w:val="20"/>
              </w:rPr>
              <w:t>Total cost of review</w:t>
            </w:r>
            <w:r w:rsidR="001E3096">
              <w:rPr>
                <w:rFonts w:ascii="Times New Roman" w:hAnsi="Times New Roman"/>
                <w:sz w:val="20"/>
                <w:szCs w:val="20"/>
              </w:rPr>
              <w:t>/recordkeeping</w:t>
            </w:r>
          </w:p>
        </w:tc>
        <w:tc>
          <w:tcPr>
            <w:tcW w:w="625" w:type="pct"/>
            <w:tcBorders>
              <w:top w:val="nil"/>
              <w:left w:val="nil"/>
              <w:bottom w:val="single" w:sz="4" w:space="0" w:color="auto"/>
              <w:right w:val="single" w:sz="4" w:space="0" w:color="auto"/>
            </w:tcBorders>
            <w:shd w:val="clear" w:color="auto" w:fill="auto"/>
            <w:noWrap/>
            <w:vAlign w:val="center"/>
          </w:tcPr>
          <w:p w:rsidR="009F246F" w:rsidRPr="00D02FCD" w:rsidP="00D37C6D" w14:paraId="10B22FEF" w14:textId="07A1C817">
            <w:pPr>
              <w:spacing w:after="0" w:line="240" w:lineRule="auto"/>
              <w:jc w:val="right"/>
              <w:rPr>
                <w:rFonts w:ascii="Times New Roman" w:hAnsi="Times New Roman"/>
                <w:sz w:val="20"/>
                <w:szCs w:val="20"/>
              </w:rPr>
            </w:pPr>
            <w:r w:rsidRPr="00D02FCD">
              <w:rPr>
                <w:rFonts w:ascii="Times New Roman" w:hAnsi="Times New Roman"/>
                <w:sz w:val="20"/>
                <w:szCs w:val="20"/>
              </w:rPr>
              <w:t>$</w:t>
            </w:r>
            <w:r w:rsidR="00EB0048">
              <w:rPr>
                <w:rFonts w:ascii="Times New Roman" w:hAnsi="Times New Roman"/>
                <w:sz w:val="20"/>
                <w:szCs w:val="20"/>
              </w:rPr>
              <w:t>202,823</w:t>
            </w:r>
          </w:p>
        </w:tc>
        <w:tc>
          <w:tcPr>
            <w:tcW w:w="673" w:type="pct"/>
            <w:tcBorders>
              <w:top w:val="nil"/>
              <w:left w:val="nil"/>
              <w:bottom w:val="single" w:sz="4" w:space="0" w:color="auto"/>
              <w:right w:val="single" w:sz="4" w:space="0" w:color="auto"/>
            </w:tcBorders>
            <w:shd w:val="clear" w:color="auto" w:fill="auto"/>
            <w:noWrap/>
            <w:vAlign w:val="center"/>
          </w:tcPr>
          <w:p w:rsidR="009F246F" w:rsidRPr="00D02FCD" w:rsidP="00D37C6D" w14:paraId="1EE5B101" w14:textId="7BC20BA1">
            <w:pPr>
              <w:spacing w:after="0" w:line="240" w:lineRule="auto"/>
              <w:jc w:val="right"/>
              <w:rPr>
                <w:rFonts w:ascii="Times New Roman" w:hAnsi="Times New Roman"/>
                <w:sz w:val="20"/>
                <w:szCs w:val="20"/>
              </w:rPr>
            </w:pPr>
            <w:r w:rsidRPr="00D02FCD">
              <w:rPr>
                <w:rFonts w:ascii="Times New Roman" w:hAnsi="Times New Roman"/>
                <w:sz w:val="20"/>
                <w:szCs w:val="20"/>
              </w:rPr>
              <w:t>$</w:t>
            </w:r>
            <w:r w:rsidR="00695EC6">
              <w:rPr>
                <w:rFonts w:ascii="Times New Roman" w:hAnsi="Times New Roman"/>
                <w:sz w:val="20"/>
                <w:szCs w:val="20"/>
              </w:rPr>
              <w:t>405,646</w:t>
            </w:r>
          </w:p>
        </w:tc>
        <w:tc>
          <w:tcPr>
            <w:tcW w:w="673" w:type="pct"/>
            <w:tcBorders>
              <w:top w:val="nil"/>
              <w:left w:val="nil"/>
              <w:bottom w:val="single" w:sz="4" w:space="0" w:color="auto"/>
              <w:right w:val="single" w:sz="4" w:space="0" w:color="auto"/>
            </w:tcBorders>
            <w:shd w:val="clear" w:color="auto" w:fill="auto"/>
            <w:noWrap/>
            <w:vAlign w:val="center"/>
          </w:tcPr>
          <w:p w:rsidR="009F246F" w:rsidRPr="00D02FCD" w:rsidP="00D37C6D" w14:paraId="6CC42A49" w14:textId="75AEDA10">
            <w:pPr>
              <w:spacing w:after="0" w:line="240" w:lineRule="auto"/>
              <w:jc w:val="right"/>
              <w:rPr>
                <w:rFonts w:ascii="Times New Roman" w:hAnsi="Times New Roman"/>
                <w:sz w:val="20"/>
                <w:szCs w:val="20"/>
              </w:rPr>
            </w:pPr>
            <w:r w:rsidRPr="00D02FCD">
              <w:rPr>
                <w:rFonts w:ascii="Times New Roman" w:hAnsi="Times New Roman"/>
                <w:sz w:val="20"/>
                <w:szCs w:val="20"/>
              </w:rPr>
              <w:t>$</w:t>
            </w:r>
            <w:r w:rsidR="00ED53BB">
              <w:rPr>
                <w:rFonts w:ascii="Times New Roman" w:hAnsi="Times New Roman"/>
                <w:sz w:val="20"/>
                <w:szCs w:val="20"/>
              </w:rPr>
              <w:t>811,292</w:t>
            </w:r>
          </w:p>
        </w:tc>
      </w:tr>
      <w:tr w14:paraId="36C2C33D"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6B51FD" w:rsidRPr="00D02FCD" w:rsidP="006B51FD" w14:paraId="13F3E17C" w14:textId="23D9FBFB">
            <w:pPr>
              <w:spacing w:after="0" w:line="240" w:lineRule="auto"/>
              <w:rPr>
                <w:rFonts w:ascii="Times New Roman" w:hAnsi="Times New Roman"/>
                <w:sz w:val="20"/>
                <w:szCs w:val="20"/>
              </w:rPr>
            </w:pPr>
            <w:r w:rsidRPr="00D02FCD">
              <w:rPr>
                <w:rFonts w:ascii="Times New Roman" w:hAnsi="Times New Roman"/>
                <w:sz w:val="20"/>
                <w:szCs w:val="20"/>
              </w:rPr>
              <w:t>Net present value of review and recordkeeping costs (3%)</w:t>
            </w:r>
          </w:p>
        </w:tc>
        <w:tc>
          <w:tcPr>
            <w:tcW w:w="625" w:type="pct"/>
            <w:tcBorders>
              <w:top w:val="nil"/>
              <w:left w:val="nil"/>
              <w:bottom w:val="single" w:sz="4" w:space="0" w:color="auto"/>
              <w:right w:val="single" w:sz="4" w:space="0" w:color="auto"/>
            </w:tcBorders>
            <w:shd w:val="clear" w:color="auto" w:fill="auto"/>
            <w:noWrap/>
            <w:vAlign w:val="center"/>
          </w:tcPr>
          <w:p w:rsidR="006B51FD" w:rsidRPr="00734061" w:rsidP="006B51FD" w14:paraId="0E1E1BB4" w14:textId="677CB698">
            <w:pPr>
              <w:spacing w:after="0" w:line="240" w:lineRule="auto"/>
              <w:jc w:val="right"/>
              <w:rPr>
                <w:rFonts w:ascii="Times New Roman" w:hAnsi="Times New Roman"/>
                <w:sz w:val="20"/>
                <w:szCs w:val="20"/>
              </w:rPr>
            </w:pPr>
            <w:r w:rsidRPr="00734061">
              <w:rPr>
                <w:rFonts w:ascii="Times New Roman" w:hAnsi="Times New Roman"/>
                <w:sz w:val="20"/>
                <w:szCs w:val="20"/>
              </w:rPr>
              <w:t>$1,730,122</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34199112" w14:textId="61686F01">
            <w:pPr>
              <w:spacing w:after="0" w:line="240" w:lineRule="auto"/>
              <w:jc w:val="right"/>
              <w:rPr>
                <w:rFonts w:ascii="Times New Roman" w:hAnsi="Times New Roman"/>
                <w:sz w:val="20"/>
                <w:szCs w:val="20"/>
              </w:rPr>
            </w:pPr>
            <w:r w:rsidRPr="00734061">
              <w:rPr>
                <w:rFonts w:ascii="Times New Roman" w:hAnsi="Times New Roman"/>
                <w:sz w:val="20"/>
                <w:szCs w:val="20"/>
              </w:rPr>
              <w:t>$3,460,244</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53DF40B8" w14:textId="43A89916">
            <w:pPr>
              <w:spacing w:after="0" w:line="240" w:lineRule="auto"/>
              <w:jc w:val="right"/>
              <w:rPr>
                <w:rFonts w:ascii="Times New Roman" w:hAnsi="Times New Roman"/>
                <w:sz w:val="20"/>
                <w:szCs w:val="20"/>
              </w:rPr>
            </w:pPr>
            <w:r w:rsidRPr="00734061">
              <w:rPr>
                <w:rFonts w:ascii="Times New Roman" w:hAnsi="Times New Roman"/>
                <w:sz w:val="20"/>
                <w:szCs w:val="20"/>
              </w:rPr>
              <w:t>$6,920,489</w:t>
            </w:r>
          </w:p>
        </w:tc>
      </w:tr>
      <w:tr w14:paraId="7497E1B9"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6B51FD" w:rsidRPr="00D02FCD" w:rsidP="006B51FD" w14:paraId="68C8C051" w14:textId="7F0069EF">
            <w:pPr>
              <w:spacing w:after="0" w:line="240" w:lineRule="auto"/>
              <w:rPr>
                <w:rFonts w:ascii="Times New Roman" w:hAnsi="Times New Roman"/>
                <w:sz w:val="20"/>
                <w:szCs w:val="20"/>
              </w:rPr>
            </w:pPr>
            <w:r w:rsidRPr="00D02FCD">
              <w:rPr>
                <w:rFonts w:ascii="Times New Roman" w:hAnsi="Times New Roman"/>
                <w:sz w:val="20"/>
                <w:szCs w:val="20"/>
              </w:rPr>
              <w:t>Net present value of review and recordkeeping costs (7%)</w:t>
            </w:r>
          </w:p>
        </w:tc>
        <w:tc>
          <w:tcPr>
            <w:tcW w:w="625" w:type="pct"/>
            <w:tcBorders>
              <w:top w:val="nil"/>
              <w:left w:val="nil"/>
              <w:bottom w:val="single" w:sz="4" w:space="0" w:color="auto"/>
              <w:right w:val="single" w:sz="4" w:space="0" w:color="auto"/>
            </w:tcBorders>
            <w:shd w:val="clear" w:color="auto" w:fill="auto"/>
            <w:noWrap/>
            <w:vAlign w:val="center"/>
          </w:tcPr>
          <w:p w:rsidR="006B51FD" w:rsidRPr="00734061" w:rsidP="006B51FD" w14:paraId="7886D65D" w14:textId="1686BBEA">
            <w:pPr>
              <w:spacing w:after="0" w:line="240" w:lineRule="auto"/>
              <w:jc w:val="right"/>
              <w:rPr>
                <w:rFonts w:ascii="Times New Roman" w:hAnsi="Times New Roman"/>
                <w:sz w:val="20"/>
                <w:szCs w:val="20"/>
              </w:rPr>
            </w:pPr>
            <w:r w:rsidRPr="00734061">
              <w:rPr>
                <w:rFonts w:ascii="Times New Roman" w:hAnsi="Times New Roman"/>
                <w:sz w:val="20"/>
                <w:szCs w:val="20"/>
              </w:rPr>
              <w:t>$1,424,545</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67DAA00C" w14:textId="3FEDA7C5">
            <w:pPr>
              <w:spacing w:after="0" w:line="240" w:lineRule="auto"/>
              <w:jc w:val="right"/>
              <w:rPr>
                <w:rFonts w:ascii="Times New Roman" w:hAnsi="Times New Roman"/>
                <w:sz w:val="20"/>
                <w:szCs w:val="20"/>
              </w:rPr>
            </w:pPr>
            <w:r w:rsidRPr="00734061">
              <w:rPr>
                <w:rFonts w:ascii="Times New Roman" w:hAnsi="Times New Roman"/>
                <w:sz w:val="20"/>
                <w:szCs w:val="20"/>
              </w:rPr>
              <w:t>$2,849,089</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493AECB6" w14:textId="02C3065A">
            <w:pPr>
              <w:spacing w:after="0" w:line="240" w:lineRule="auto"/>
              <w:jc w:val="right"/>
              <w:rPr>
                <w:rFonts w:ascii="Times New Roman" w:hAnsi="Times New Roman"/>
                <w:sz w:val="20"/>
                <w:szCs w:val="20"/>
              </w:rPr>
            </w:pPr>
            <w:r w:rsidRPr="00734061">
              <w:rPr>
                <w:rFonts w:ascii="Times New Roman" w:hAnsi="Times New Roman"/>
                <w:sz w:val="20"/>
                <w:szCs w:val="20"/>
              </w:rPr>
              <w:t>$5,698,178</w:t>
            </w:r>
          </w:p>
        </w:tc>
      </w:tr>
      <w:tr w14:paraId="56816B1E"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6B51FD" w:rsidRPr="00D02FCD" w:rsidP="006B51FD" w14:paraId="01BB6DB9" w14:textId="30C4C62D">
            <w:pPr>
              <w:spacing w:after="0" w:line="240" w:lineRule="auto"/>
              <w:rPr>
                <w:rFonts w:ascii="Times New Roman" w:hAnsi="Times New Roman"/>
                <w:sz w:val="20"/>
                <w:szCs w:val="20"/>
              </w:rPr>
            </w:pPr>
            <w:r w:rsidRPr="00D02FCD">
              <w:rPr>
                <w:rFonts w:ascii="Times New Roman" w:hAnsi="Times New Roman"/>
                <w:b/>
                <w:bCs/>
                <w:sz w:val="20"/>
                <w:szCs w:val="20"/>
              </w:rPr>
              <w:t>Total annual review and recordkeeping costs (10 years, 3%)</w:t>
            </w:r>
          </w:p>
        </w:tc>
        <w:tc>
          <w:tcPr>
            <w:tcW w:w="625" w:type="pct"/>
            <w:tcBorders>
              <w:top w:val="nil"/>
              <w:left w:val="nil"/>
              <w:bottom w:val="single" w:sz="4" w:space="0" w:color="auto"/>
              <w:right w:val="single" w:sz="4" w:space="0" w:color="auto"/>
            </w:tcBorders>
            <w:shd w:val="clear" w:color="auto" w:fill="auto"/>
            <w:noWrap/>
            <w:vAlign w:val="center"/>
          </w:tcPr>
          <w:p w:rsidR="006B51FD" w:rsidRPr="00734061" w:rsidP="006B51FD" w14:paraId="0E6CFAE5" w14:textId="79A0347F">
            <w:pPr>
              <w:spacing w:after="0" w:line="240" w:lineRule="auto"/>
              <w:jc w:val="right"/>
              <w:rPr>
                <w:rFonts w:ascii="Times New Roman" w:hAnsi="Times New Roman"/>
                <w:sz w:val="20"/>
                <w:szCs w:val="20"/>
              </w:rPr>
            </w:pPr>
            <w:r w:rsidRPr="00734061">
              <w:rPr>
                <w:rFonts w:ascii="Times New Roman" w:hAnsi="Times New Roman"/>
                <w:b/>
                <w:bCs/>
                <w:sz w:val="20"/>
                <w:szCs w:val="20"/>
              </w:rPr>
              <w:t>$202,823</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05E1EEE0" w14:textId="4844B57D">
            <w:pPr>
              <w:spacing w:after="0" w:line="240" w:lineRule="auto"/>
              <w:jc w:val="right"/>
              <w:rPr>
                <w:rFonts w:ascii="Times New Roman" w:hAnsi="Times New Roman"/>
                <w:sz w:val="20"/>
                <w:szCs w:val="20"/>
              </w:rPr>
            </w:pPr>
            <w:r w:rsidRPr="00734061">
              <w:rPr>
                <w:rFonts w:ascii="Times New Roman" w:hAnsi="Times New Roman"/>
                <w:b/>
                <w:bCs/>
                <w:sz w:val="20"/>
                <w:szCs w:val="20"/>
              </w:rPr>
              <w:t>$</w:t>
            </w:r>
            <w:r w:rsidRPr="00734061" w:rsidR="00416DB1">
              <w:rPr>
                <w:rFonts w:ascii="Times New Roman" w:hAnsi="Times New Roman"/>
                <w:b/>
                <w:bCs/>
                <w:sz w:val="20"/>
                <w:szCs w:val="20"/>
              </w:rPr>
              <w:t>405,646</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4795BD06" w14:textId="26C25820">
            <w:pPr>
              <w:spacing w:after="0" w:line="240" w:lineRule="auto"/>
              <w:jc w:val="right"/>
              <w:rPr>
                <w:rFonts w:ascii="Times New Roman" w:hAnsi="Times New Roman"/>
                <w:sz w:val="20"/>
                <w:szCs w:val="20"/>
              </w:rPr>
            </w:pPr>
            <w:r w:rsidRPr="00734061">
              <w:rPr>
                <w:rFonts w:ascii="Times New Roman" w:hAnsi="Times New Roman"/>
                <w:b/>
                <w:bCs/>
                <w:sz w:val="20"/>
                <w:szCs w:val="20"/>
              </w:rPr>
              <w:t>$811,292</w:t>
            </w:r>
          </w:p>
        </w:tc>
      </w:tr>
      <w:tr w14:paraId="0DDF2C04" w14:textId="77777777" w:rsidTr="00907277">
        <w:tblPrEx>
          <w:tblW w:w="5000" w:type="pct"/>
          <w:tblLayout w:type="fixed"/>
          <w:tblLook w:val="04A0"/>
        </w:tblPrEx>
        <w:trPr>
          <w:trHeight w:val="288"/>
        </w:trPr>
        <w:tc>
          <w:tcPr>
            <w:tcW w:w="3029" w:type="pct"/>
            <w:tcBorders>
              <w:top w:val="nil"/>
              <w:left w:val="single" w:sz="4" w:space="0" w:color="auto"/>
              <w:bottom w:val="single" w:sz="4" w:space="0" w:color="auto"/>
              <w:right w:val="single" w:sz="4" w:space="0" w:color="auto"/>
            </w:tcBorders>
            <w:shd w:val="clear" w:color="auto" w:fill="auto"/>
            <w:noWrap/>
            <w:vAlign w:val="center"/>
          </w:tcPr>
          <w:p w:rsidR="006B51FD" w:rsidRPr="00D02FCD" w:rsidP="006B51FD" w14:paraId="3DF732DE" w14:textId="211464E3">
            <w:pPr>
              <w:spacing w:after="0" w:line="240" w:lineRule="auto"/>
              <w:rPr>
                <w:rFonts w:ascii="Times New Roman" w:hAnsi="Times New Roman"/>
                <w:sz w:val="20"/>
                <w:szCs w:val="20"/>
              </w:rPr>
            </w:pPr>
            <w:r w:rsidRPr="00D02FCD">
              <w:rPr>
                <w:rFonts w:ascii="Times New Roman" w:hAnsi="Times New Roman"/>
                <w:b/>
                <w:bCs/>
                <w:sz w:val="20"/>
                <w:szCs w:val="20"/>
              </w:rPr>
              <w:t>Total annual review and recordkeeping costs (10 years, 7%)</w:t>
            </w:r>
          </w:p>
        </w:tc>
        <w:tc>
          <w:tcPr>
            <w:tcW w:w="625" w:type="pct"/>
            <w:tcBorders>
              <w:top w:val="nil"/>
              <w:left w:val="nil"/>
              <w:bottom w:val="single" w:sz="4" w:space="0" w:color="auto"/>
              <w:right w:val="single" w:sz="4" w:space="0" w:color="auto"/>
            </w:tcBorders>
            <w:shd w:val="clear" w:color="auto" w:fill="auto"/>
            <w:noWrap/>
            <w:vAlign w:val="center"/>
          </w:tcPr>
          <w:p w:rsidR="006B51FD" w:rsidRPr="00734061" w:rsidP="006B51FD" w14:paraId="4F6747BD" w14:textId="332194DF">
            <w:pPr>
              <w:spacing w:after="0" w:line="240" w:lineRule="auto"/>
              <w:jc w:val="right"/>
              <w:rPr>
                <w:rFonts w:ascii="Times New Roman" w:hAnsi="Times New Roman"/>
                <w:sz w:val="20"/>
                <w:szCs w:val="20"/>
              </w:rPr>
            </w:pPr>
            <w:r w:rsidRPr="00734061">
              <w:rPr>
                <w:rFonts w:ascii="Times New Roman" w:hAnsi="Times New Roman"/>
                <w:b/>
                <w:bCs/>
                <w:sz w:val="20"/>
                <w:szCs w:val="20"/>
              </w:rPr>
              <w:t>$202,823</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4837F660" w14:textId="35229FF4">
            <w:pPr>
              <w:spacing w:after="0" w:line="240" w:lineRule="auto"/>
              <w:jc w:val="right"/>
              <w:rPr>
                <w:rFonts w:ascii="Times New Roman" w:hAnsi="Times New Roman"/>
                <w:sz w:val="20"/>
                <w:szCs w:val="20"/>
              </w:rPr>
            </w:pPr>
            <w:r w:rsidRPr="00734061">
              <w:rPr>
                <w:rFonts w:ascii="Times New Roman" w:hAnsi="Times New Roman"/>
                <w:b/>
                <w:bCs/>
                <w:sz w:val="20"/>
                <w:szCs w:val="20"/>
              </w:rPr>
              <w:t>$405,646</w:t>
            </w:r>
          </w:p>
        </w:tc>
        <w:tc>
          <w:tcPr>
            <w:tcW w:w="673" w:type="pct"/>
            <w:tcBorders>
              <w:top w:val="nil"/>
              <w:left w:val="nil"/>
              <w:bottom w:val="single" w:sz="4" w:space="0" w:color="auto"/>
              <w:right w:val="single" w:sz="4" w:space="0" w:color="auto"/>
            </w:tcBorders>
            <w:shd w:val="clear" w:color="auto" w:fill="auto"/>
            <w:noWrap/>
            <w:vAlign w:val="center"/>
          </w:tcPr>
          <w:p w:rsidR="006B51FD" w:rsidRPr="00734061" w:rsidP="006B51FD" w14:paraId="25F39D1D" w14:textId="39D69F90">
            <w:pPr>
              <w:spacing w:after="0" w:line="240" w:lineRule="auto"/>
              <w:jc w:val="right"/>
              <w:rPr>
                <w:rFonts w:ascii="Times New Roman" w:hAnsi="Times New Roman"/>
                <w:sz w:val="20"/>
                <w:szCs w:val="20"/>
              </w:rPr>
            </w:pPr>
            <w:r w:rsidRPr="00734061">
              <w:rPr>
                <w:rFonts w:ascii="Times New Roman" w:hAnsi="Times New Roman"/>
                <w:b/>
                <w:bCs/>
                <w:sz w:val="20"/>
                <w:szCs w:val="20"/>
              </w:rPr>
              <w:t>$811,292</w:t>
            </w:r>
          </w:p>
        </w:tc>
      </w:tr>
    </w:tbl>
    <w:p w:rsidR="00C2449F" w:rsidRPr="005A7CE6" w:rsidP="00075C58" w14:paraId="0E5E48A4" w14:textId="77777777">
      <w:pPr>
        <w:spacing w:after="0" w:line="480" w:lineRule="auto"/>
        <w:ind w:firstLine="720"/>
        <w:contextualSpacing/>
        <w:rPr>
          <w:rFonts w:ascii="Times New Roman" w:eastAsia="Times New Roman" w:hAnsi="Times New Roman"/>
          <w:sz w:val="24"/>
          <w:szCs w:val="24"/>
        </w:rPr>
      </w:pPr>
    </w:p>
    <w:p w:rsidR="008C4F06" w:rsidRPr="00A222D6" w:rsidP="00A222D6" w14:paraId="4C894851" w14:textId="1ACA19B5">
      <w:pPr>
        <w:spacing w:after="0" w:line="480" w:lineRule="auto"/>
        <w:contextualSpacing/>
        <w:jc w:val="center"/>
        <w:rPr>
          <w:rFonts w:ascii="Times New Roman" w:eastAsia="Times New Roman" w:hAnsi="Times New Roman"/>
          <w:i/>
          <w:sz w:val="24"/>
          <w:szCs w:val="24"/>
        </w:rPr>
      </w:pPr>
      <w:r w:rsidRPr="005A7CE6">
        <w:rPr>
          <w:rFonts w:ascii="Times New Roman" w:eastAsia="Times New Roman" w:hAnsi="Times New Roman"/>
          <w:i/>
          <w:sz w:val="24"/>
          <w:szCs w:val="24"/>
        </w:rPr>
        <w:t>E</w:t>
      </w:r>
      <w:r w:rsidRPr="005A7CE6" w:rsidR="0047778D">
        <w:rPr>
          <w:rFonts w:ascii="Times New Roman" w:eastAsia="Times New Roman" w:hAnsi="Times New Roman"/>
          <w:i/>
          <w:sz w:val="24"/>
          <w:szCs w:val="24"/>
        </w:rPr>
        <w:t>.  Cost Savings of the Rule</w:t>
      </w:r>
    </w:p>
    <w:p w:rsidR="00800E4C" w:rsidRPr="005A7CE6" w:rsidP="00CF5600" w14:paraId="6F6591D6" w14:textId="19CEC158">
      <w:pPr>
        <w:spacing w:after="0" w:line="480" w:lineRule="auto"/>
        <w:ind w:firstLine="630"/>
        <w:contextualSpacing/>
        <w:rPr>
          <w:rFonts w:ascii="Times New Roman" w:hAnsi="Times New Roman"/>
          <w:sz w:val="24"/>
          <w:szCs w:val="24"/>
        </w:rPr>
      </w:pPr>
      <w:r>
        <w:rPr>
          <w:rFonts w:ascii="Times New Roman" w:hAnsi="Times New Roman"/>
          <w:sz w:val="24"/>
          <w:szCs w:val="24"/>
        </w:rPr>
        <w:t xml:space="preserve">The rule </w:t>
      </w:r>
      <w:r w:rsidR="00EF0F27">
        <w:rPr>
          <w:rFonts w:ascii="Times New Roman" w:hAnsi="Times New Roman"/>
          <w:sz w:val="24"/>
          <w:szCs w:val="24"/>
        </w:rPr>
        <w:t>will</w:t>
      </w:r>
      <w:r>
        <w:rPr>
          <w:rFonts w:ascii="Times New Roman" w:hAnsi="Times New Roman"/>
          <w:sz w:val="24"/>
          <w:szCs w:val="24"/>
        </w:rPr>
        <w:t xml:space="preserve"> harmonize </w:t>
      </w:r>
      <w:r w:rsidRPr="005A7CE6">
        <w:rPr>
          <w:rFonts w:ascii="Times New Roman" w:hAnsi="Times New Roman"/>
          <w:sz w:val="24"/>
          <w:szCs w:val="24"/>
        </w:rPr>
        <w:t xml:space="preserve">FDA’s informed consent regulations with the Common Rule’s provision for waiver </w:t>
      </w:r>
      <w:r w:rsidRPr="003B04F9" w:rsidR="007A3CF9">
        <w:rPr>
          <w:rFonts w:ascii="Times New Roman" w:hAnsi="Times New Roman"/>
          <w:sz w:val="24"/>
          <w:szCs w:val="24"/>
        </w:rPr>
        <w:t>or alteration</w:t>
      </w:r>
      <w:r w:rsidRPr="0033159B">
        <w:rPr>
          <w:rFonts w:ascii="Times New Roman" w:hAnsi="Times New Roman"/>
          <w:sz w:val="24"/>
          <w:szCs w:val="24"/>
        </w:rPr>
        <w:t xml:space="preserve"> </w:t>
      </w:r>
      <w:r w:rsidRPr="009D76A5">
        <w:rPr>
          <w:rFonts w:ascii="Times New Roman" w:hAnsi="Times New Roman"/>
          <w:sz w:val="24"/>
          <w:szCs w:val="24"/>
        </w:rPr>
        <w:t xml:space="preserve">of informed consent for certain minimal risk </w:t>
      </w:r>
      <w:r w:rsidRPr="00302A19" w:rsidR="00F27589">
        <w:rPr>
          <w:rFonts w:ascii="Times New Roman" w:hAnsi="Times New Roman"/>
          <w:sz w:val="24"/>
          <w:szCs w:val="24"/>
        </w:rPr>
        <w:t>research</w:t>
      </w:r>
      <w:r w:rsidRPr="00DA59E0">
        <w:rPr>
          <w:rFonts w:ascii="Times New Roman" w:hAnsi="Times New Roman"/>
          <w:sz w:val="24"/>
          <w:szCs w:val="24"/>
        </w:rPr>
        <w:t xml:space="preserve">.  </w:t>
      </w:r>
      <w:r w:rsidR="0032267E">
        <w:rPr>
          <w:rFonts w:ascii="Times New Roman" w:hAnsi="Times New Roman"/>
          <w:sz w:val="24"/>
          <w:szCs w:val="24"/>
        </w:rPr>
        <w:t>The</w:t>
      </w:r>
      <w:r w:rsidR="000B1F68">
        <w:rPr>
          <w:rFonts w:ascii="Times New Roman" w:hAnsi="Times New Roman"/>
          <w:sz w:val="24"/>
          <w:szCs w:val="24"/>
        </w:rPr>
        <w:t xml:space="preserve"> proposed rule </w:t>
      </w:r>
      <w:r w:rsidR="00774FA6">
        <w:rPr>
          <w:rFonts w:ascii="Times New Roman" w:hAnsi="Times New Roman"/>
          <w:sz w:val="24"/>
          <w:szCs w:val="24"/>
        </w:rPr>
        <w:t>estimated</w:t>
      </w:r>
      <w:r w:rsidR="00DD0F3F">
        <w:rPr>
          <w:rFonts w:ascii="Times New Roman" w:hAnsi="Times New Roman"/>
          <w:sz w:val="24"/>
          <w:szCs w:val="24"/>
        </w:rPr>
        <w:t xml:space="preserve"> that IRBs </w:t>
      </w:r>
      <w:r w:rsidRPr="009151FF" w:rsidR="009151FF">
        <w:rPr>
          <w:rFonts w:ascii="Times New Roman" w:hAnsi="Times New Roman"/>
          <w:sz w:val="24"/>
          <w:szCs w:val="24"/>
        </w:rPr>
        <w:t xml:space="preserve">would experience a </w:t>
      </w:r>
      <w:r w:rsidR="00DD0F3F">
        <w:rPr>
          <w:rFonts w:ascii="Times New Roman" w:hAnsi="Times New Roman"/>
          <w:sz w:val="24"/>
          <w:szCs w:val="24"/>
        </w:rPr>
        <w:t xml:space="preserve">0.5 hour </w:t>
      </w:r>
      <w:r w:rsidRPr="009151FF" w:rsidR="009151FF">
        <w:rPr>
          <w:rFonts w:ascii="Times New Roman" w:hAnsi="Times New Roman"/>
          <w:sz w:val="24"/>
          <w:szCs w:val="24"/>
        </w:rPr>
        <w:t>reduction in the time burden of determining whether to approve a waiver of the requirement to obtain informed consent for a minimal risk clinical investigation by reviewing it under a harmonized standard</w:t>
      </w:r>
      <w:r w:rsidR="00FB08C3">
        <w:rPr>
          <w:rFonts w:ascii="Times New Roman" w:hAnsi="Times New Roman"/>
          <w:sz w:val="24"/>
          <w:szCs w:val="24"/>
        </w:rPr>
        <w:t>;</w:t>
      </w:r>
      <w:r w:rsidR="00B64FB3">
        <w:rPr>
          <w:rFonts w:ascii="Times New Roman" w:hAnsi="Times New Roman"/>
          <w:sz w:val="24"/>
          <w:szCs w:val="24"/>
        </w:rPr>
        <w:t xml:space="preserve"> n</w:t>
      </w:r>
      <w:r w:rsidR="00B85D15">
        <w:rPr>
          <w:rFonts w:ascii="Times New Roman" w:hAnsi="Times New Roman"/>
          <w:sz w:val="24"/>
          <w:szCs w:val="24"/>
        </w:rPr>
        <w:t xml:space="preserve">o public comments </w:t>
      </w:r>
      <w:r w:rsidR="007E65E3">
        <w:rPr>
          <w:rFonts w:ascii="Times New Roman" w:hAnsi="Times New Roman"/>
          <w:sz w:val="24"/>
          <w:szCs w:val="24"/>
        </w:rPr>
        <w:t>opposed or questioned this</w:t>
      </w:r>
      <w:r w:rsidR="0078669C">
        <w:rPr>
          <w:rFonts w:ascii="Times New Roman" w:hAnsi="Times New Roman"/>
          <w:sz w:val="24"/>
          <w:szCs w:val="24"/>
        </w:rPr>
        <w:t xml:space="preserve"> estimate</w:t>
      </w:r>
      <w:r w:rsidR="00B64FB3">
        <w:rPr>
          <w:rFonts w:ascii="Times New Roman" w:hAnsi="Times New Roman"/>
          <w:sz w:val="24"/>
          <w:szCs w:val="24"/>
        </w:rPr>
        <w:t>.</w:t>
      </w:r>
      <w:r w:rsidR="00085FC5">
        <w:rPr>
          <w:rFonts w:ascii="Times New Roman" w:hAnsi="Times New Roman"/>
          <w:sz w:val="24"/>
          <w:szCs w:val="24"/>
        </w:rPr>
        <w:t xml:space="preserve"> </w:t>
      </w:r>
      <w:r w:rsidR="00B35F4D">
        <w:rPr>
          <w:rFonts w:ascii="Times New Roman" w:hAnsi="Times New Roman"/>
          <w:sz w:val="24"/>
          <w:szCs w:val="24"/>
        </w:rPr>
        <w:t xml:space="preserve"> </w:t>
      </w:r>
      <w:r w:rsidRPr="005A7CE6" w:rsidR="007B529B">
        <w:rPr>
          <w:rFonts w:ascii="Times New Roman" w:hAnsi="Times New Roman"/>
          <w:sz w:val="24"/>
          <w:szCs w:val="24"/>
        </w:rPr>
        <w:t xml:space="preserve">Therefore, we expect </w:t>
      </w:r>
      <w:r w:rsidRPr="005A7CE6" w:rsidR="0028246B">
        <w:rPr>
          <w:rFonts w:ascii="Times New Roman" w:hAnsi="Times New Roman"/>
          <w:sz w:val="24"/>
          <w:szCs w:val="24"/>
        </w:rPr>
        <w:t xml:space="preserve">that IRBs reviewing </w:t>
      </w:r>
      <w:r w:rsidR="007B5726">
        <w:rPr>
          <w:rFonts w:ascii="Times New Roman" w:hAnsi="Times New Roman"/>
          <w:sz w:val="24"/>
          <w:szCs w:val="24"/>
        </w:rPr>
        <w:t xml:space="preserve">potential minimal risk clinical investigations </w:t>
      </w:r>
      <w:r w:rsidRPr="005A7CE6" w:rsidR="0028246B">
        <w:rPr>
          <w:rFonts w:ascii="Times New Roman" w:hAnsi="Times New Roman"/>
          <w:sz w:val="24"/>
          <w:szCs w:val="24"/>
        </w:rPr>
        <w:t xml:space="preserve">will experience a reduction in </w:t>
      </w:r>
      <w:r w:rsidR="00152B31">
        <w:rPr>
          <w:rFonts w:ascii="Times New Roman" w:hAnsi="Times New Roman"/>
          <w:sz w:val="24"/>
          <w:szCs w:val="24"/>
        </w:rPr>
        <w:t xml:space="preserve">the </w:t>
      </w:r>
      <w:r w:rsidRPr="005A7CE6" w:rsidR="0028246B">
        <w:rPr>
          <w:rFonts w:ascii="Times New Roman" w:hAnsi="Times New Roman"/>
          <w:sz w:val="24"/>
          <w:szCs w:val="24"/>
        </w:rPr>
        <w:t xml:space="preserve">time burden </w:t>
      </w:r>
      <w:r w:rsidRPr="005A7CE6" w:rsidR="005B5AB4">
        <w:rPr>
          <w:rFonts w:ascii="Times New Roman" w:hAnsi="Times New Roman"/>
          <w:sz w:val="24"/>
          <w:szCs w:val="24"/>
        </w:rPr>
        <w:t>associated</w:t>
      </w:r>
      <w:r w:rsidR="00A009A5">
        <w:rPr>
          <w:rFonts w:ascii="Times New Roman" w:hAnsi="Times New Roman"/>
          <w:sz w:val="24"/>
          <w:szCs w:val="24"/>
        </w:rPr>
        <w:t xml:space="preserve"> with</w:t>
      </w:r>
      <w:r w:rsidRPr="005A7CE6" w:rsidR="005B5AB4">
        <w:rPr>
          <w:rFonts w:ascii="Times New Roman" w:hAnsi="Times New Roman"/>
          <w:sz w:val="24"/>
          <w:szCs w:val="24"/>
        </w:rPr>
        <w:t xml:space="preserve"> </w:t>
      </w:r>
      <w:r w:rsidR="00015807">
        <w:rPr>
          <w:rFonts w:ascii="Times New Roman" w:hAnsi="Times New Roman"/>
          <w:sz w:val="24"/>
          <w:szCs w:val="24"/>
        </w:rPr>
        <w:t xml:space="preserve">the harmonized </w:t>
      </w:r>
      <w:r w:rsidR="00A009A5">
        <w:rPr>
          <w:rFonts w:ascii="Times New Roman" w:hAnsi="Times New Roman"/>
          <w:sz w:val="24"/>
          <w:szCs w:val="24"/>
        </w:rPr>
        <w:t xml:space="preserve">requirements </w:t>
      </w:r>
      <w:r w:rsidR="00015807">
        <w:rPr>
          <w:rFonts w:ascii="Times New Roman" w:hAnsi="Times New Roman"/>
          <w:sz w:val="24"/>
          <w:szCs w:val="24"/>
        </w:rPr>
        <w:t xml:space="preserve">set forth in § 50.22 and </w:t>
      </w:r>
      <w:r w:rsidR="000F64F6">
        <w:rPr>
          <w:rFonts w:ascii="Times New Roman" w:hAnsi="Times New Roman"/>
          <w:sz w:val="24"/>
          <w:szCs w:val="24"/>
        </w:rPr>
        <w:t xml:space="preserve">the </w:t>
      </w:r>
      <w:r w:rsidRPr="595AE756" w:rsidR="3731625E">
        <w:rPr>
          <w:rFonts w:ascii="Times New Roman" w:hAnsi="Times New Roman"/>
          <w:sz w:val="24"/>
          <w:szCs w:val="24"/>
        </w:rPr>
        <w:t>wa</w:t>
      </w:r>
      <w:r w:rsidRPr="595AE756" w:rsidR="614F2284">
        <w:rPr>
          <w:rFonts w:ascii="Times New Roman" w:hAnsi="Times New Roman"/>
          <w:sz w:val="24"/>
          <w:szCs w:val="24"/>
        </w:rPr>
        <w:t>iver</w:t>
      </w:r>
      <w:r w:rsidR="000F64F6">
        <w:rPr>
          <w:rFonts w:ascii="Times New Roman" w:hAnsi="Times New Roman"/>
          <w:sz w:val="24"/>
          <w:szCs w:val="24"/>
        </w:rPr>
        <w:t xml:space="preserve"> requirements in the Common Rule (45 CFR 46.116(f))</w:t>
      </w:r>
      <w:r w:rsidRPr="005A7CE6" w:rsidR="008234BA">
        <w:rPr>
          <w:rFonts w:ascii="Times New Roman" w:hAnsi="Times New Roman"/>
          <w:sz w:val="24"/>
          <w:szCs w:val="24"/>
        </w:rPr>
        <w:t>.</w:t>
      </w:r>
    </w:p>
    <w:p w:rsidR="009F450D" w:rsidRPr="005A7CE6" w:rsidP="00CF5600" w14:paraId="2D7080A6" w14:textId="5593DE51">
      <w:pPr>
        <w:spacing w:after="0" w:line="480" w:lineRule="auto"/>
        <w:ind w:firstLine="630"/>
        <w:contextualSpacing/>
        <w:rPr>
          <w:rFonts w:ascii="Times New Roman" w:hAnsi="Times New Roman"/>
          <w:sz w:val="24"/>
          <w:szCs w:val="24"/>
        </w:rPr>
      </w:pPr>
      <w:r w:rsidRPr="005A7CE6">
        <w:rPr>
          <w:rFonts w:ascii="Times New Roman" w:hAnsi="Times New Roman"/>
          <w:iCs/>
          <w:sz w:val="24"/>
          <w:szCs w:val="24"/>
        </w:rPr>
        <w:t xml:space="preserve">We estimate that approximately 50 percent of </w:t>
      </w:r>
      <w:r w:rsidR="00646DD1">
        <w:rPr>
          <w:rFonts w:ascii="Times New Roman" w:hAnsi="Times New Roman"/>
          <w:iCs/>
          <w:sz w:val="24"/>
          <w:szCs w:val="24"/>
        </w:rPr>
        <w:t>potential minimal risk</w:t>
      </w:r>
      <w:r w:rsidRPr="005A7CE6" w:rsidR="00646DD1">
        <w:rPr>
          <w:rFonts w:ascii="Times New Roman" w:hAnsi="Times New Roman"/>
          <w:iCs/>
          <w:sz w:val="24"/>
          <w:szCs w:val="24"/>
        </w:rPr>
        <w:t xml:space="preserve"> </w:t>
      </w:r>
      <w:r w:rsidRPr="005A7CE6">
        <w:rPr>
          <w:rFonts w:ascii="Times New Roman" w:hAnsi="Times New Roman"/>
          <w:iCs/>
          <w:sz w:val="24"/>
          <w:szCs w:val="24"/>
        </w:rPr>
        <w:t xml:space="preserve">clinical investigations will </w:t>
      </w:r>
      <w:r w:rsidRPr="00946C2A" w:rsidR="00B952B6">
        <w:rPr>
          <w:rFonts w:ascii="Times New Roman" w:hAnsi="Times New Roman"/>
          <w:sz w:val="24"/>
          <w:szCs w:val="24"/>
        </w:rPr>
        <w:t>be the subject of requests to an IRB for a waiver or alteration of informed consent as permitted by this rulemaking</w:t>
      </w:r>
      <w:r w:rsidRPr="005A7CE6">
        <w:rPr>
          <w:rFonts w:ascii="Times New Roman" w:hAnsi="Times New Roman"/>
          <w:iCs/>
          <w:sz w:val="24"/>
          <w:szCs w:val="24"/>
        </w:rPr>
        <w:t>, with a lower bound of approximately 25 percent and an upper bound of all</w:t>
      </w:r>
      <w:r w:rsidR="00055B13">
        <w:rPr>
          <w:rFonts w:ascii="Times New Roman" w:hAnsi="Times New Roman"/>
          <w:iCs/>
          <w:sz w:val="24"/>
          <w:szCs w:val="24"/>
        </w:rPr>
        <w:t xml:space="preserve"> potential minimal risk</w:t>
      </w:r>
      <w:r w:rsidRPr="005A7CE6">
        <w:rPr>
          <w:rFonts w:ascii="Times New Roman" w:hAnsi="Times New Roman"/>
          <w:iCs/>
          <w:sz w:val="24"/>
          <w:szCs w:val="24"/>
        </w:rPr>
        <w:t xml:space="preserve"> clinical investigations. </w:t>
      </w:r>
      <w:r w:rsidR="00B35F4D">
        <w:rPr>
          <w:rFonts w:ascii="Times New Roman" w:hAnsi="Times New Roman"/>
          <w:iCs/>
          <w:sz w:val="24"/>
          <w:szCs w:val="24"/>
        </w:rPr>
        <w:t xml:space="preserve"> </w:t>
      </w:r>
      <w:r w:rsidRPr="005A7CE6" w:rsidR="00C31DFD">
        <w:rPr>
          <w:rFonts w:ascii="Times New Roman" w:hAnsi="Times New Roman"/>
          <w:sz w:val="24"/>
          <w:szCs w:val="24"/>
        </w:rPr>
        <w:t xml:space="preserve">For IRB cost savings, </w:t>
      </w:r>
      <w:r w:rsidR="00792197">
        <w:rPr>
          <w:rFonts w:ascii="Times New Roman" w:hAnsi="Times New Roman"/>
          <w:sz w:val="24"/>
          <w:szCs w:val="24"/>
        </w:rPr>
        <w:t xml:space="preserve">we </w:t>
      </w:r>
      <w:r w:rsidRPr="005A7CE6" w:rsidR="0047778D">
        <w:rPr>
          <w:rFonts w:ascii="Times New Roman" w:hAnsi="Times New Roman"/>
          <w:sz w:val="24"/>
          <w:szCs w:val="24"/>
        </w:rPr>
        <w:t xml:space="preserve">estimate that time savings </w:t>
      </w:r>
      <w:r w:rsidRPr="005A7CE6" w:rsidR="00800E4C">
        <w:rPr>
          <w:rFonts w:ascii="Times New Roman" w:hAnsi="Times New Roman"/>
          <w:sz w:val="24"/>
          <w:szCs w:val="24"/>
        </w:rPr>
        <w:t xml:space="preserve">of </w:t>
      </w:r>
      <w:r w:rsidR="00792197">
        <w:rPr>
          <w:rFonts w:ascii="Times New Roman" w:hAnsi="Times New Roman"/>
          <w:sz w:val="24"/>
          <w:szCs w:val="24"/>
        </w:rPr>
        <w:t>0.5</w:t>
      </w:r>
      <w:r w:rsidRPr="005A7CE6" w:rsidR="00792197">
        <w:rPr>
          <w:rFonts w:ascii="Times New Roman" w:hAnsi="Times New Roman"/>
          <w:sz w:val="24"/>
          <w:szCs w:val="24"/>
        </w:rPr>
        <w:t xml:space="preserve"> </w:t>
      </w:r>
      <w:r w:rsidRPr="005A7CE6" w:rsidR="00800E4C">
        <w:rPr>
          <w:rFonts w:ascii="Times New Roman" w:hAnsi="Times New Roman"/>
          <w:sz w:val="24"/>
          <w:szCs w:val="24"/>
        </w:rPr>
        <w:t>hour</w:t>
      </w:r>
      <w:r w:rsidR="00792197">
        <w:rPr>
          <w:rFonts w:ascii="Times New Roman" w:hAnsi="Times New Roman"/>
          <w:sz w:val="24"/>
          <w:szCs w:val="24"/>
        </w:rPr>
        <w:t>s</w:t>
      </w:r>
      <w:r w:rsidRPr="005A7CE6" w:rsidR="00800E4C">
        <w:rPr>
          <w:rFonts w:ascii="Times New Roman" w:hAnsi="Times New Roman"/>
          <w:sz w:val="24"/>
          <w:szCs w:val="24"/>
        </w:rPr>
        <w:t xml:space="preserve"> </w:t>
      </w:r>
      <w:r w:rsidR="00116BE9">
        <w:rPr>
          <w:rFonts w:ascii="Times New Roman" w:hAnsi="Times New Roman"/>
          <w:sz w:val="24"/>
          <w:szCs w:val="24"/>
        </w:rPr>
        <w:t>(Ref. 9)</w:t>
      </w:r>
      <w:r w:rsidR="00855DAE">
        <w:rPr>
          <w:rFonts w:ascii="Times New Roman" w:hAnsi="Times New Roman"/>
          <w:sz w:val="24"/>
          <w:szCs w:val="24"/>
        </w:rPr>
        <w:t xml:space="preserve"> </w:t>
      </w:r>
      <w:r w:rsidRPr="005A7CE6" w:rsidR="0047778D">
        <w:rPr>
          <w:rFonts w:ascii="Times New Roman" w:hAnsi="Times New Roman"/>
          <w:sz w:val="24"/>
          <w:szCs w:val="24"/>
        </w:rPr>
        <w:t xml:space="preserve">would be incurred by one IRB administrator, one IRB administrative staff, one IRB chair, and </w:t>
      </w:r>
      <w:r w:rsidRPr="005A7CE6" w:rsidR="00AE4684">
        <w:rPr>
          <w:rFonts w:ascii="Times New Roman" w:hAnsi="Times New Roman"/>
          <w:sz w:val="24"/>
          <w:szCs w:val="24"/>
        </w:rPr>
        <w:t>ten</w:t>
      </w:r>
      <w:r w:rsidRPr="005A7CE6" w:rsidR="0047778D">
        <w:rPr>
          <w:rFonts w:ascii="Times New Roman" w:hAnsi="Times New Roman"/>
          <w:sz w:val="24"/>
          <w:szCs w:val="24"/>
        </w:rPr>
        <w:t xml:space="preserve"> IRB voting member</w:t>
      </w:r>
      <w:r w:rsidRPr="005A7CE6" w:rsidR="00AE4684">
        <w:rPr>
          <w:rFonts w:ascii="Times New Roman" w:hAnsi="Times New Roman"/>
          <w:sz w:val="24"/>
          <w:szCs w:val="24"/>
        </w:rPr>
        <w:t>s</w:t>
      </w:r>
      <w:r w:rsidRPr="005A7CE6" w:rsidR="0047778D">
        <w:rPr>
          <w:rFonts w:ascii="Times New Roman" w:hAnsi="Times New Roman"/>
          <w:sz w:val="24"/>
          <w:szCs w:val="24"/>
        </w:rPr>
        <w:t xml:space="preserve">.  We multiply the number of </w:t>
      </w:r>
      <w:r w:rsidR="00351AF3">
        <w:rPr>
          <w:rFonts w:ascii="Times New Roman" w:hAnsi="Times New Roman"/>
          <w:sz w:val="24"/>
          <w:szCs w:val="24"/>
        </w:rPr>
        <w:t xml:space="preserve">potential minimal risk </w:t>
      </w:r>
      <w:r w:rsidRPr="005A7CE6" w:rsidR="00931786">
        <w:rPr>
          <w:rFonts w:ascii="Times New Roman" w:hAnsi="Times New Roman"/>
          <w:sz w:val="24"/>
          <w:szCs w:val="24"/>
        </w:rPr>
        <w:t xml:space="preserve">clinical </w:t>
      </w:r>
      <w:r w:rsidRPr="005A7CE6" w:rsidR="00FD1714">
        <w:rPr>
          <w:rFonts w:ascii="Times New Roman" w:hAnsi="Times New Roman"/>
          <w:sz w:val="24"/>
          <w:szCs w:val="24"/>
        </w:rPr>
        <w:t>investigation</w:t>
      </w:r>
      <w:r w:rsidRPr="005A7CE6" w:rsidR="00931786">
        <w:rPr>
          <w:rFonts w:ascii="Times New Roman" w:hAnsi="Times New Roman"/>
          <w:sz w:val="24"/>
          <w:szCs w:val="24"/>
        </w:rPr>
        <w:t>s</w:t>
      </w:r>
      <w:r w:rsidRPr="005A7CE6" w:rsidR="0047778D">
        <w:rPr>
          <w:rFonts w:ascii="Times New Roman" w:hAnsi="Times New Roman"/>
          <w:sz w:val="24"/>
          <w:szCs w:val="24"/>
        </w:rPr>
        <w:t xml:space="preserve">, the estimated reduced time burden of the rule, and the sum of each IRB wage rate to yield a total estimated cost savings </w:t>
      </w:r>
      <w:r w:rsidRPr="005A7CE6" w:rsidR="008B1311">
        <w:rPr>
          <w:rFonts w:ascii="Times New Roman" w:hAnsi="Times New Roman"/>
          <w:sz w:val="24"/>
          <w:szCs w:val="24"/>
        </w:rPr>
        <w:t xml:space="preserve">to IRBs </w:t>
      </w:r>
      <w:r w:rsidRPr="005A7CE6" w:rsidR="0047778D">
        <w:rPr>
          <w:rFonts w:ascii="Times New Roman" w:hAnsi="Times New Roman"/>
          <w:sz w:val="24"/>
          <w:szCs w:val="24"/>
        </w:rPr>
        <w:t>of approximately $</w:t>
      </w:r>
      <w:r w:rsidR="00E81128">
        <w:rPr>
          <w:rFonts w:ascii="Times New Roman" w:hAnsi="Times New Roman"/>
          <w:sz w:val="24"/>
          <w:szCs w:val="24"/>
        </w:rPr>
        <w:t>202.8</w:t>
      </w:r>
      <w:r w:rsidR="0080740B">
        <w:rPr>
          <w:rFonts w:ascii="Times New Roman" w:hAnsi="Times New Roman"/>
          <w:sz w:val="24"/>
          <w:szCs w:val="24"/>
        </w:rPr>
        <w:t xml:space="preserve"> thousand</w:t>
      </w:r>
      <w:r w:rsidRPr="005A7CE6" w:rsidR="0047778D">
        <w:rPr>
          <w:rFonts w:ascii="Times New Roman" w:hAnsi="Times New Roman"/>
          <w:sz w:val="24"/>
          <w:szCs w:val="24"/>
        </w:rPr>
        <w:t xml:space="preserve"> (= </w:t>
      </w:r>
      <w:r w:rsidR="00AD04DA">
        <w:rPr>
          <w:rFonts w:ascii="Times New Roman" w:hAnsi="Times New Roman"/>
          <w:sz w:val="24"/>
          <w:szCs w:val="24"/>
        </w:rPr>
        <w:t>551</w:t>
      </w:r>
      <w:r w:rsidRPr="005A7CE6" w:rsidR="0047778D">
        <w:rPr>
          <w:rFonts w:ascii="Times New Roman" w:hAnsi="Times New Roman"/>
          <w:sz w:val="24"/>
          <w:szCs w:val="24"/>
        </w:rPr>
        <w:t xml:space="preserve"> × 0.5 × </w:t>
      </w:r>
      <w:r w:rsidR="00013894">
        <w:rPr>
          <w:rFonts w:ascii="Times New Roman" w:hAnsi="Times New Roman"/>
          <w:sz w:val="24"/>
          <w:szCs w:val="24"/>
        </w:rPr>
        <w:t>0.5</w:t>
      </w:r>
      <w:r w:rsidRPr="005A7CE6" w:rsidR="00013894">
        <w:rPr>
          <w:rFonts w:ascii="Times New Roman" w:hAnsi="Times New Roman"/>
          <w:sz w:val="24"/>
          <w:szCs w:val="24"/>
        </w:rPr>
        <w:t xml:space="preserve"> </w:t>
      </w:r>
      <w:r w:rsidRPr="005A7CE6" w:rsidR="0047778D">
        <w:rPr>
          <w:rFonts w:ascii="Times New Roman" w:hAnsi="Times New Roman"/>
          <w:sz w:val="24"/>
          <w:szCs w:val="24"/>
        </w:rPr>
        <w:t>× [$</w:t>
      </w:r>
      <w:r w:rsidRPr="005A7CE6" w:rsidR="00CC4205">
        <w:rPr>
          <w:rFonts w:ascii="Times New Roman" w:hAnsi="Times New Roman"/>
          <w:sz w:val="24"/>
          <w:szCs w:val="24"/>
        </w:rPr>
        <w:t>110.76</w:t>
      </w:r>
      <w:r w:rsidRPr="005A7CE6" w:rsidR="0047778D">
        <w:rPr>
          <w:rFonts w:ascii="Times New Roman" w:hAnsi="Times New Roman"/>
          <w:sz w:val="24"/>
          <w:szCs w:val="24"/>
        </w:rPr>
        <w:t xml:space="preserve"> + </w:t>
      </w:r>
      <w:r w:rsidRPr="005A7CE6" w:rsidR="008670F5">
        <w:rPr>
          <w:rFonts w:ascii="Times New Roman" w:hAnsi="Times New Roman"/>
          <w:sz w:val="24"/>
          <w:szCs w:val="24"/>
        </w:rPr>
        <w:t xml:space="preserve">$40.76 + </w:t>
      </w:r>
      <w:r w:rsidRPr="005A7CE6" w:rsidR="00D2333D">
        <w:rPr>
          <w:rFonts w:ascii="Times New Roman" w:hAnsi="Times New Roman"/>
          <w:sz w:val="24"/>
          <w:szCs w:val="24"/>
        </w:rPr>
        <w:t>(</w:t>
      </w:r>
      <w:r w:rsidRPr="005A7CE6" w:rsidR="0047778D">
        <w:rPr>
          <w:rFonts w:ascii="Times New Roman" w:hAnsi="Times New Roman"/>
          <w:sz w:val="24"/>
          <w:szCs w:val="24"/>
        </w:rPr>
        <w:t>$</w:t>
      </w:r>
      <w:r w:rsidRPr="005A7CE6" w:rsidR="00CC4205">
        <w:rPr>
          <w:rFonts w:ascii="Times New Roman" w:hAnsi="Times New Roman"/>
          <w:sz w:val="24"/>
          <w:szCs w:val="24"/>
        </w:rPr>
        <w:t>120.08</w:t>
      </w:r>
      <w:r w:rsidRPr="005A7CE6" w:rsidR="00D2333D">
        <w:rPr>
          <w:rFonts w:ascii="Times New Roman" w:hAnsi="Times New Roman"/>
          <w:sz w:val="24"/>
          <w:szCs w:val="24"/>
        </w:rPr>
        <w:t xml:space="preserve"> x 10)</w:t>
      </w:r>
      <w:r w:rsidRPr="005A7CE6" w:rsidR="0047778D">
        <w:rPr>
          <w:rFonts w:ascii="Times New Roman" w:hAnsi="Times New Roman"/>
          <w:sz w:val="24"/>
          <w:szCs w:val="24"/>
        </w:rPr>
        <w:t xml:space="preserve"> + $</w:t>
      </w:r>
      <w:r w:rsidRPr="005A7CE6" w:rsidR="00CC4205">
        <w:rPr>
          <w:rFonts w:ascii="Times New Roman" w:hAnsi="Times New Roman"/>
          <w:sz w:val="24"/>
          <w:szCs w:val="24"/>
        </w:rPr>
        <w:t>120.08</w:t>
      </w:r>
      <w:r w:rsidRPr="005A7CE6" w:rsidR="0047778D">
        <w:rPr>
          <w:rFonts w:ascii="Times New Roman" w:hAnsi="Times New Roman"/>
          <w:sz w:val="24"/>
          <w:szCs w:val="24"/>
        </w:rPr>
        <w:t>]), with lower bound estimated cost savings of approximately $</w:t>
      </w:r>
      <w:r w:rsidR="00A90C22">
        <w:rPr>
          <w:rFonts w:ascii="Times New Roman" w:hAnsi="Times New Roman"/>
          <w:sz w:val="24"/>
          <w:szCs w:val="24"/>
        </w:rPr>
        <w:t>101.4</w:t>
      </w:r>
      <w:r w:rsidRPr="00633595" w:rsidR="00BA2890">
        <w:rPr>
          <w:rFonts w:ascii="Times New Roman" w:hAnsi="Times New Roman"/>
          <w:sz w:val="24"/>
          <w:szCs w:val="24"/>
        </w:rPr>
        <w:t xml:space="preserve"> thousand</w:t>
      </w:r>
      <w:r w:rsidRPr="00633595" w:rsidR="0047778D">
        <w:rPr>
          <w:rFonts w:ascii="Times New Roman" w:hAnsi="Times New Roman"/>
          <w:sz w:val="24"/>
          <w:szCs w:val="24"/>
        </w:rPr>
        <w:t xml:space="preserve"> (= </w:t>
      </w:r>
      <w:r w:rsidR="00AD04DA">
        <w:rPr>
          <w:rFonts w:ascii="Times New Roman" w:hAnsi="Times New Roman"/>
          <w:sz w:val="24"/>
          <w:szCs w:val="24"/>
        </w:rPr>
        <w:t>551</w:t>
      </w:r>
      <w:r w:rsidRPr="005A7CE6" w:rsidR="0047778D">
        <w:rPr>
          <w:rFonts w:ascii="Times New Roman" w:hAnsi="Times New Roman"/>
          <w:sz w:val="24"/>
          <w:szCs w:val="24"/>
        </w:rPr>
        <w:t xml:space="preserve"> × 0.25 × </w:t>
      </w:r>
      <w:r w:rsidR="00013894">
        <w:rPr>
          <w:rFonts w:ascii="Times New Roman" w:hAnsi="Times New Roman"/>
          <w:sz w:val="24"/>
          <w:szCs w:val="24"/>
        </w:rPr>
        <w:t>0.5</w:t>
      </w:r>
      <w:r w:rsidRPr="005A7CE6" w:rsidR="0047778D">
        <w:rPr>
          <w:rFonts w:ascii="Times New Roman" w:hAnsi="Times New Roman"/>
          <w:sz w:val="24"/>
          <w:szCs w:val="24"/>
        </w:rPr>
        <w:t xml:space="preserve"> × [$</w:t>
      </w:r>
      <w:r w:rsidRPr="005A7CE6" w:rsidR="00CC4205">
        <w:rPr>
          <w:rFonts w:ascii="Times New Roman" w:hAnsi="Times New Roman"/>
          <w:sz w:val="24"/>
          <w:szCs w:val="24"/>
        </w:rPr>
        <w:t>110.76</w:t>
      </w:r>
      <w:r w:rsidRPr="005A7CE6" w:rsidR="0047778D">
        <w:rPr>
          <w:rFonts w:ascii="Times New Roman" w:hAnsi="Times New Roman"/>
          <w:sz w:val="24"/>
          <w:szCs w:val="24"/>
        </w:rPr>
        <w:t xml:space="preserve"> + </w:t>
      </w:r>
      <w:r w:rsidRPr="005A7CE6" w:rsidR="00494A21">
        <w:rPr>
          <w:rFonts w:ascii="Times New Roman" w:hAnsi="Times New Roman"/>
          <w:sz w:val="24"/>
          <w:szCs w:val="24"/>
        </w:rPr>
        <w:t xml:space="preserve">$40.76 + </w:t>
      </w:r>
      <w:r w:rsidRPr="005A7CE6" w:rsidR="00F25ED5">
        <w:rPr>
          <w:rFonts w:ascii="Times New Roman" w:hAnsi="Times New Roman"/>
          <w:sz w:val="24"/>
          <w:szCs w:val="24"/>
        </w:rPr>
        <w:t>(</w:t>
      </w:r>
      <w:r w:rsidRPr="005A7CE6" w:rsidR="0047778D">
        <w:rPr>
          <w:rFonts w:ascii="Times New Roman" w:hAnsi="Times New Roman"/>
          <w:sz w:val="24"/>
          <w:szCs w:val="24"/>
        </w:rPr>
        <w:t>$</w:t>
      </w:r>
      <w:r w:rsidRPr="005A7CE6" w:rsidR="00CC4205">
        <w:rPr>
          <w:rFonts w:ascii="Times New Roman" w:hAnsi="Times New Roman"/>
          <w:sz w:val="24"/>
          <w:szCs w:val="24"/>
        </w:rPr>
        <w:t>120.08</w:t>
      </w:r>
      <w:r w:rsidRPr="005A7CE6" w:rsidR="00F25ED5">
        <w:rPr>
          <w:rFonts w:ascii="Times New Roman" w:hAnsi="Times New Roman"/>
          <w:sz w:val="24"/>
          <w:szCs w:val="24"/>
        </w:rPr>
        <w:t xml:space="preserve"> x 10)</w:t>
      </w:r>
      <w:r w:rsidRPr="005A7CE6" w:rsidR="0047778D">
        <w:rPr>
          <w:rFonts w:ascii="Times New Roman" w:hAnsi="Times New Roman"/>
          <w:sz w:val="24"/>
          <w:szCs w:val="24"/>
        </w:rPr>
        <w:t xml:space="preserve"> + $</w:t>
      </w:r>
      <w:r w:rsidRPr="005A7CE6" w:rsidR="00CC4205">
        <w:rPr>
          <w:rFonts w:ascii="Times New Roman" w:hAnsi="Times New Roman"/>
          <w:sz w:val="24"/>
          <w:szCs w:val="24"/>
        </w:rPr>
        <w:t>120.08</w:t>
      </w:r>
      <w:r w:rsidRPr="005A7CE6" w:rsidR="0047778D">
        <w:rPr>
          <w:rFonts w:ascii="Times New Roman" w:hAnsi="Times New Roman"/>
          <w:sz w:val="24"/>
          <w:szCs w:val="24"/>
        </w:rPr>
        <w:t>]) and upper bound estimated cost savings of approximately $</w:t>
      </w:r>
      <w:r w:rsidR="00B60596">
        <w:rPr>
          <w:rFonts w:ascii="Times New Roman" w:hAnsi="Times New Roman"/>
          <w:sz w:val="24"/>
          <w:szCs w:val="24"/>
        </w:rPr>
        <w:t>405.6 thousand</w:t>
      </w:r>
      <w:r w:rsidRPr="005A7CE6" w:rsidR="009B14C3">
        <w:rPr>
          <w:rFonts w:ascii="Times New Roman" w:hAnsi="Times New Roman"/>
          <w:sz w:val="24"/>
          <w:szCs w:val="24"/>
        </w:rPr>
        <w:t xml:space="preserve"> </w:t>
      </w:r>
      <w:r w:rsidRPr="005A7CE6" w:rsidR="0047778D">
        <w:rPr>
          <w:rFonts w:ascii="Times New Roman" w:hAnsi="Times New Roman"/>
          <w:sz w:val="24"/>
          <w:szCs w:val="24"/>
        </w:rPr>
        <w:t xml:space="preserve">(= </w:t>
      </w:r>
      <w:r w:rsidR="00AD04DA">
        <w:rPr>
          <w:rFonts w:ascii="Times New Roman" w:hAnsi="Times New Roman"/>
          <w:sz w:val="24"/>
          <w:szCs w:val="24"/>
        </w:rPr>
        <w:t>551</w:t>
      </w:r>
      <w:r w:rsidRPr="005A7CE6" w:rsidR="0047778D">
        <w:rPr>
          <w:rFonts w:ascii="Times New Roman" w:hAnsi="Times New Roman"/>
          <w:sz w:val="24"/>
          <w:szCs w:val="24"/>
        </w:rPr>
        <w:t xml:space="preserve"> × 1 × </w:t>
      </w:r>
      <w:r w:rsidR="00013894">
        <w:rPr>
          <w:rFonts w:ascii="Times New Roman" w:hAnsi="Times New Roman"/>
          <w:sz w:val="24"/>
          <w:szCs w:val="24"/>
        </w:rPr>
        <w:t>0.5</w:t>
      </w:r>
      <w:r w:rsidRPr="005A7CE6" w:rsidR="00013894">
        <w:rPr>
          <w:rFonts w:ascii="Times New Roman" w:hAnsi="Times New Roman"/>
          <w:sz w:val="24"/>
          <w:szCs w:val="24"/>
        </w:rPr>
        <w:t xml:space="preserve"> </w:t>
      </w:r>
      <w:r w:rsidRPr="005A7CE6" w:rsidR="0047778D">
        <w:rPr>
          <w:rFonts w:ascii="Times New Roman" w:hAnsi="Times New Roman"/>
          <w:sz w:val="24"/>
          <w:szCs w:val="24"/>
        </w:rPr>
        <w:t>× [$</w:t>
      </w:r>
      <w:r w:rsidRPr="005A7CE6" w:rsidR="00CC4205">
        <w:rPr>
          <w:rFonts w:ascii="Times New Roman" w:hAnsi="Times New Roman"/>
          <w:sz w:val="24"/>
          <w:szCs w:val="24"/>
        </w:rPr>
        <w:t>110.76</w:t>
      </w:r>
      <w:r w:rsidRPr="005A7CE6" w:rsidR="0047778D">
        <w:rPr>
          <w:rFonts w:ascii="Times New Roman" w:hAnsi="Times New Roman"/>
          <w:sz w:val="24"/>
          <w:szCs w:val="24"/>
        </w:rPr>
        <w:t xml:space="preserve"> +</w:t>
      </w:r>
      <w:r w:rsidRPr="005A7CE6" w:rsidR="00494A21">
        <w:rPr>
          <w:rFonts w:ascii="Times New Roman" w:hAnsi="Times New Roman"/>
          <w:sz w:val="24"/>
          <w:szCs w:val="24"/>
        </w:rPr>
        <w:t xml:space="preserve"> $40.76 + </w:t>
      </w:r>
      <w:r w:rsidRPr="005A7CE6" w:rsidR="00F25ED5">
        <w:rPr>
          <w:rFonts w:ascii="Times New Roman" w:hAnsi="Times New Roman"/>
          <w:sz w:val="24"/>
          <w:szCs w:val="24"/>
        </w:rPr>
        <w:t>(</w:t>
      </w:r>
      <w:r w:rsidRPr="005A7CE6" w:rsidR="0047778D">
        <w:rPr>
          <w:rFonts w:ascii="Times New Roman" w:hAnsi="Times New Roman"/>
          <w:sz w:val="24"/>
          <w:szCs w:val="24"/>
        </w:rPr>
        <w:t>$</w:t>
      </w:r>
      <w:r w:rsidRPr="005A7CE6" w:rsidR="00CC4205">
        <w:rPr>
          <w:rFonts w:ascii="Times New Roman" w:hAnsi="Times New Roman"/>
          <w:sz w:val="24"/>
          <w:szCs w:val="24"/>
        </w:rPr>
        <w:t>120.08</w:t>
      </w:r>
      <w:r w:rsidRPr="005A7CE6" w:rsidR="0047778D">
        <w:rPr>
          <w:rFonts w:ascii="Times New Roman" w:hAnsi="Times New Roman"/>
          <w:sz w:val="24"/>
          <w:szCs w:val="24"/>
        </w:rPr>
        <w:t xml:space="preserve"> </w:t>
      </w:r>
      <w:r w:rsidRPr="005A7CE6" w:rsidR="00F25ED5">
        <w:rPr>
          <w:rFonts w:ascii="Times New Roman" w:hAnsi="Times New Roman"/>
          <w:sz w:val="24"/>
          <w:szCs w:val="24"/>
        </w:rPr>
        <w:t>x 10)</w:t>
      </w:r>
      <w:r w:rsidRPr="005A7CE6" w:rsidR="0047778D">
        <w:rPr>
          <w:rFonts w:ascii="Times New Roman" w:hAnsi="Times New Roman"/>
          <w:sz w:val="24"/>
          <w:szCs w:val="24"/>
        </w:rPr>
        <w:t xml:space="preserve"> + $</w:t>
      </w:r>
      <w:r w:rsidRPr="005A7CE6" w:rsidR="00CC4205">
        <w:rPr>
          <w:rFonts w:ascii="Times New Roman" w:hAnsi="Times New Roman"/>
          <w:sz w:val="24"/>
          <w:szCs w:val="24"/>
        </w:rPr>
        <w:t>120.08</w:t>
      </w:r>
      <w:r w:rsidRPr="005A7CE6" w:rsidR="0047778D">
        <w:rPr>
          <w:rFonts w:ascii="Times New Roman" w:hAnsi="Times New Roman"/>
          <w:sz w:val="24"/>
          <w:szCs w:val="24"/>
        </w:rPr>
        <w:t xml:space="preserve">]).  </w:t>
      </w:r>
    </w:p>
    <w:p w:rsidR="00D36E9C" w:rsidP="00D36E9C" w14:paraId="2140D932" w14:textId="1F5E6AFA">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total </w:t>
      </w:r>
      <w:r w:rsidR="00D13482">
        <w:rPr>
          <w:rFonts w:ascii="Times New Roman" w:hAnsi="Times New Roman"/>
          <w:sz w:val="24"/>
          <w:szCs w:val="24"/>
        </w:rPr>
        <w:t xml:space="preserve">annual </w:t>
      </w:r>
      <w:r w:rsidRPr="005A7CE6">
        <w:rPr>
          <w:rFonts w:ascii="Times New Roman" w:hAnsi="Times New Roman"/>
          <w:sz w:val="24"/>
          <w:szCs w:val="24"/>
        </w:rPr>
        <w:t xml:space="preserve">cost savings of the rule to affected IRBs </w:t>
      </w:r>
      <w:r w:rsidRPr="005756BA" w:rsidR="00D60F9A">
        <w:rPr>
          <w:rFonts w:ascii="Times New Roman" w:hAnsi="Times New Roman"/>
          <w:sz w:val="24"/>
          <w:szCs w:val="24"/>
        </w:rPr>
        <w:t>is approximately $</w:t>
      </w:r>
      <w:r w:rsidR="00B60596">
        <w:rPr>
          <w:rFonts w:ascii="Times New Roman" w:hAnsi="Times New Roman"/>
          <w:sz w:val="24"/>
          <w:szCs w:val="24"/>
        </w:rPr>
        <w:t>202.8 thou</w:t>
      </w:r>
      <w:r w:rsidR="0048799B">
        <w:rPr>
          <w:rFonts w:ascii="Times New Roman" w:hAnsi="Times New Roman"/>
          <w:sz w:val="24"/>
          <w:szCs w:val="24"/>
        </w:rPr>
        <w:t>sand</w:t>
      </w:r>
      <w:r w:rsidRPr="005A7CE6" w:rsidR="00D60F9A">
        <w:rPr>
          <w:rFonts w:ascii="Times New Roman" w:hAnsi="Times New Roman"/>
          <w:sz w:val="24"/>
          <w:szCs w:val="24"/>
        </w:rPr>
        <w:t xml:space="preserve">, with a lower bound of approximately </w:t>
      </w:r>
      <w:r w:rsidRPr="005756BA" w:rsidR="00FB0F16">
        <w:rPr>
          <w:rFonts w:ascii="Times New Roman" w:hAnsi="Times New Roman"/>
          <w:sz w:val="24"/>
          <w:szCs w:val="24"/>
        </w:rPr>
        <w:t>$</w:t>
      </w:r>
      <w:r w:rsidR="0048799B">
        <w:rPr>
          <w:rFonts w:ascii="Times New Roman" w:hAnsi="Times New Roman"/>
          <w:sz w:val="24"/>
          <w:szCs w:val="24"/>
        </w:rPr>
        <w:t>101.4</w:t>
      </w:r>
      <w:r w:rsidRPr="002D2F39" w:rsidR="00FB0F16">
        <w:rPr>
          <w:rFonts w:ascii="Times New Roman" w:hAnsi="Times New Roman"/>
          <w:sz w:val="24"/>
          <w:szCs w:val="24"/>
        </w:rPr>
        <w:t xml:space="preserve"> thousand </w:t>
      </w:r>
      <w:r w:rsidRPr="005A7CE6" w:rsidR="00FB0F16">
        <w:rPr>
          <w:rFonts w:ascii="Times New Roman" w:hAnsi="Times New Roman"/>
          <w:sz w:val="24"/>
          <w:szCs w:val="24"/>
        </w:rPr>
        <w:t>and an upper bound of approximately $</w:t>
      </w:r>
      <w:r w:rsidR="0048799B">
        <w:rPr>
          <w:rFonts w:ascii="Times New Roman" w:hAnsi="Times New Roman"/>
          <w:sz w:val="24"/>
          <w:szCs w:val="24"/>
        </w:rPr>
        <w:t>405.6</w:t>
      </w:r>
      <w:r w:rsidRPr="002D2F39" w:rsidR="00575124">
        <w:rPr>
          <w:rFonts w:ascii="Times New Roman" w:hAnsi="Times New Roman"/>
          <w:sz w:val="24"/>
          <w:szCs w:val="24"/>
        </w:rPr>
        <w:t xml:space="preserve"> </w:t>
      </w:r>
      <w:r w:rsidR="0048799B">
        <w:rPr>
          <w:rFonts w:ascii="Times New Roman" w:hAnsi="Times New Roman"/>
          <w:sz w:val="24"/>
          <w:szCs w:val="24"/>
        </w:rPr>
        <w:t>thousand</w:t>
      </w:r>
      <w:r w:rsidRPr="005A7CE6" w:rsidR="00575124">
        <w:rPr>
          <w:rFonts w:ascii="Times New Roman" w:hAnsi="Times New Roman"/>
          <w:sz w:val="24"/>
          <w:szCs w:val="24"/>
        </w:rPr>
        <w:t xml:space="preserve">. </w:t>
      </w:r>
      <w:r w:rsidR="000B1E9E">
        <w:rPr>
          <w:rFonts w:ascii="Times New Roman" w:hAnsi="Times New Roman"/>
          <w:sz w:val="24"/>
          <w:szCs w:val="24"/>
        </w:rPr>
        <w:t xml:space="preserve"> </w:t>
      </w:r>
      <w:r w:rsidRPr="005756BA" w:rsidR="0047778D">
        <w:rPr>
          <w:rFonts w:ascii="Times New Roman" w:hAnsi="Times New Roman"/>
          <w:sz w:val="24"/>
          <w:szCs w:val="24"/>
        </w:rPr>
        <w:t>The net present value of the cost savings of the rule is appr</w:t>
      </w:r>
      <w:r w:rsidRPr="00B34A1A" w:rsidR="0047778D">
        <w:rPr>
          <w:rFonts w:ascii="Times New Roman" w:hAnsi="Times New Roman"/>
          <w:sz w:val="24"/>
          <w:szCs w:val="24"/>
        </w:rPr>
        <w:t>oximately $</w:t>
      </w:r>
      <w:r w:rsidR="000318C1">
        <w:rPr>
          <w:rFonts w:ascii="Times New Roman" w:hAnsi="Times New Roman"/>
          <w:sz w:val="24"/>
          <w:szCs w:val="24"/>
        </w:rPr>
        <w:t>1.7 million</w:t>
      </w:r>
      <w:r w:rsidRPr="005756BA" w:rsidR="0047778D">
        <w:rPr>
          <w:rFonts w:ascii="Times New Roman" w:hAnsi="Times New Roman"/>
          <w:sz w:val="24"/>
          <w:szCs w:val="24"/>
        </w:rPr>
        <w:t>, discounted at 3 percent, with a lower bound of approximately $</w:t>
      </w:r>
      <w:r w:rsidR="006954D5">
        <w:rPr>
          <w:rFonts w:ascii="Times New Roman" w:hAnsi="Times New Roman"/>
          <w:sz w:val="24"/>
          <w:szCs w:val="24"/>
        </w:rPr>
        <w:t xml:space="preserve">865.1 thousand </w:t>
      </w:r>
      <w:r w:rsidRPr="005756BA" w:rsidR="0047778D">
        <w:rPr>
          <w:rFonts w:ascii="Times New Roman" w:hAnsi="Times New Roman"/>
          <w:sz w:val="24"/>
          <w:szCs w:val="24"/>
        </w:rPr>
        <w:t>and an upper bound of approximately $</w:t>
      </w:r>
      <w:r w:rsidR="006954D5">
        <w:rPr>
          <w:rFonts w:ascii="Times New Roman" w:hAnsi="Times New Roman"/>
          <w:sz w:val="24"/>
          <w:szCs w:val="24"/>
        </w:rPr>
        <w:t>3.5</w:t>
      </w:r>
      <w:r w:rsidR="0030391C">
        <w:rPr>
          <w:rFonts w:ascii="Times New Roman" w:hAnsi="Times New Roman"/>
          <w:sz w:val="24"/>
          <w:szCs w:val="24"/>
        </w:rPr>
        <w:t xml:space="preserve"> million</w:t>
      </w:r>
      <w:r w:rsidRPr="005756BA" w:rsidR="0047778D">
        <w:rPr>
          <w:rFonts w:ascii="Times New Roman" w:hAnsi="Times New Roman"/>
          <w:sz w:val="24"/>
          <w:szCs w:val="24"/>
        </w:rPr>
        <w:t xml:space="preserve">.  </w:t>
      </w:r>
      <w:r w:rsidRPr="00B34A1A" w:rsidR="0047778D">
        <w:rPr>
          <w:rFonts w:ascii="Times New Roman" w:hAnsi="Times New Roman"/>
          <w:sz w:val="24"/>
          <w:szCs w:val="24"/>
        </w:rPr>
        <w:t>The net present value of the cost savings of the rule are approximately</w:t>
      </w:r>
      <w:r w:rsidRPr="00545624" w:rsidR="007C2389">
        <w:rPr>
          <w:rFonts w:ascii="Times New Roman" w:hAnsi="Times New Roman"/>
          <w:sz w:val="24"/>
          <w:szCs w:val="24"/>
        </w:rPr>
        <w:t xml:space="preserve"> </w:t>
      </w:r>
      <w:r w:rsidRPr="003B04F9" w:rsidR="0047778D">
        <w:rPr>
          <w:rFonts w:ascii="Times New Roman" w:hAnsi="Times New Roman"/>
          <w:sz w:val="24"/>
          <w:szCs w:val="24"/>
        </w:rPr>
        <w:t>$</w:t>
      </w:r>
      <w:r w:rsidR="006954D5">
        <w:rPr>
          <w:rFonts w:ascii="Times New Roman" w:hAnsi="Times New Roman"/>
          <w:sz w:val="24"/>
          <w:szCs w:val="24"/>
        </w:rPr>
        <w:t>1.4 million</w:t>
      </w:r>
      <w:r w:rsidRPr="005756BA" w:rsidR="0047778D">
        <w:rPr>
          <w:rFonts w:ascii="Times New Roman" w:hAnsi="Times New Roman"/>
          <w:sz w:val="24"/>
          <w:szCs w:val="24"/>
        </w:rPr>
        <w:t xml:space="preserve">, </w:t>
      </w:r>
      <w:r w:rsidRPr="00B34A1A" w:rsidR="0047778D">
        <w:rPr>
          <w:rFonts w:ascii="Times New Roman" w:hAnsi="Times New Roman"/>
          <w:sz w:val="24"/>
          <w:szCs w:val="24"/>
        </w:rPr>
        <w:t>discounted at 7 percent, with a lower bound of approximately $</w:t>
      </w:r>
      <w:r w:rsidRPr="00423708" w:rsidR="00206453">
        <w:rPr>
          <w:rFonts w:ascii="Times New Roman" w:hAnsi="Times New Roman"/>
          <w:sz w:val="24"/>
          <w:szCs w:val="24"/>
        </w:rPr>
        <w:t>712.3 thousand</w:t>
      </w:r>
      <w:r w:rsidRPr="00423708" w:rsidR="0047778D">
        <w:rPr>
          <w:rFonts w:ascii="Times New Roman" w:hAnsi="Times New Roman"/>
          <w:sz w:val="24"/>
          <w:szCs w:val="24"/>
        </w:rPr>
        <w:t xml:space="preserve"> and an upper bound of approximately $</w:t>
      </w:r>
      <w:r w:rsidRPr="00423708" w:rsidR="00206453">
        <w:rPr>
          <w:rFonts w:ascii="Times New Roman" w:hAnsi="Times New Roman"/>
          <w:sz w:val="24"/>
          <w:szCs w:val="24"/>
        </w:rPr>
        <w:t>2.8 million</w:t>
      </w:r>
      <w:r w:rsidRPr="00423708" w:rsidR="0047778D">
        <w:rPr>
          <w:rFonts w:ascii="Times New Roman" w:hAnsi="Times New Roman"/>
          <w:sz w:val="24"/>
          <w:szCs w:val="24"/>
        </w:rPr>
        <w:t>.</w:t>
      </w:r>
      <w:r w:rsidR="00974253">
        <w:rPr>
          <w:rFonts w:ascii="Times New Roman" w:hAnsi="Times New Roman"/>
          <w:sz w:val="24"/>
          <w:szCs w:val="24"/>
        </w:rPr>
        <w:t xml:space="preserve">  </w:t>
      </w:r>
      <w:r w:rsidRPr="00423708" w:rsidR="0047778D">
        <w:rPr>
          <w:rFonts w:ascii="Times New Roman" w:hAnsi="Times New Roman"/>
          <w:sz w:val="24"/>
          <w:szCs w:val="24"/>
        </w:rPr>
        <w:t>The annualized cost savings of the rule are approximately $</w:t>
      </w:r>
      <w:r w:rsidRPr="00423708" w:rsidR="001F2BBF">
        <w:rPr>
          <w:rFonts w:ascii="Times New Roman" w:hAnsi="Times New Roman"/>
          <w:sz w:val="24"/>
          <w:szCs w:val="24"/>
        </w:rPr>
        <w:t>202.8 thousand</w:t>
      </w:r>
      <w:r w:rsidRPr="00423708" w:rsidR="0047778D">
        <w:rPr>
          <w:rFonts w:ascii="Times New Roman" w:hAnsi="Times New Roman"/>
          <w:sz w:val="24"/>
          <w:szCs w:val="24"/>
        </w:rPr>
        <w:t xml:space="preserve"> with a lower bound of approximately $</w:t>
      </w:r>
      <w:r w:rsidRPr="007E65E3" w:rsidR="00423708">
        <w:rPr>
          <w:rFonts w:ascii="Times New Roman" w:hAnsi="Times New Roman"/>
          <w:sz w:val="24"/>
          <w:szCs w:val="24"/>
        </w:rPr>
        <w:t>101.4 thousand</w:t>
      </w:r>
      <w:r w:rsidRPr="007E65E3" w:rsidR="005C62EC">
        <w:rPr>
          <w:rFonts w:ascii="Times New Roman" w:hAnsi="Times New Roman"/>
          <w:sz w:val="24"/>
          <w:szCs w:val="24"/>
        </w:rPr>
        <w:t xml:space="preserve"> </w:t>
      </w:r>
      <w:r w:rsidRPr="00423708" w:rsidR="0047778D">
        <w:rPr>
          <w:rFonts w:ascii="Times New Roman" w:hAnsi="Times New Roman"/>
          <w:sz w:val="24"/>
          <w:szCs w:val="24"/>
        </w:rPr>
        <w:t>and an upper bound of approximately $</w:t>
      </w:r>
      <w:r w:rsidR="00536448">
        <w:rPr>
          <w:rFonts w:ascii="Times New Roman" w:hAnsi="Times New Roman"/>
          <w:sz w:val="24"/>
          <w:szCs w:val="24"/>
        </w:rPr>
        <w:t>405.6 thousand</w:t>
      </w:r>
      <w:r w:rsidR="0029525F">
        <w:rPr>
          <w:rFonts w:ascii="Times New Roman" w:hAnsi="Times New Roman"/>
          <w:sz w:val="24"/>
          <w:szCs w:val="24"/>
        </w:rPr>
        <w:t xml:space="preserve"> at 3 and 7 percent</w:t>
      </w:r>
      <w:r w:rsidR="006054CF">
        <w:rPr>
          <w:rFonts w:ascii="Times New Roman" w:hAnsi="Times New Roman"/>
          <w:sz w:val="24"/>
          <w:szCs w:val="24"/>
        </w:rPr>
        <w:t xml:space="preserve"> discount rates over 10 years</w:t>
      </w:r>
      <w:r w:rsidRPr="00423708" w:rsidR="0047778D">
        <w:rPr>
          <w:rFonts w:ascii="Times New Roman" w:hAnsi="Times New Roman"/>
          <w:sz w:val="24"/>
          <w:szCs w:val="24"/>
        </w:rPr>
        <w:t xml:space="preserve">.  The estimated cost savings of the rule to IRBs </w:t>
      </w:r>
      <w:r w:rsidRPr="00423708" w:rsidR="00A54AA0">
        <w:rPr>
          <w:rFonts w:ascii="Times New Roman" w:hAnsi="Times New Roman"/>
          <w:sz w:val="24"/>
          <w:szCs w:val="24"/>
        </w:rPr>
        <w:t xml:space="preserve">and clinical investigators </w:t>
      </w:r>
      <w:r w:rsidRPr="00423708" w:rsidR="0047778D">
        <w:rPr>
          <w:rFonts w:ascii="Times New Roman" w:hAnsi="Times New Roman"/>
          <w:sz w:val="24"/>
          <w:szCs w:val="24"/>
        </w:rPr>
        <w:t>are summarized</w:t>
      </w:r>
      <w:r w:rsidRPr="41B71B51" w:rsidR="0047778D">
        <w:rPr>
          <w:rFonts w:ascii="Times New Roman" w:hAnsi="Times New Roman"/>
          <w:sz w:val="24"/>
          <w:szCs w:val="24"/>
        </w:rPr>
        <w:t xml:space="preserve"> in </w:t>
      </w:r>
      <w:r w:rsidRPr="41B71B51" w:rsidR="005C62EC">
        <w:rPr>
          <w:rFonts w:ascii="Times New Roman" w:hAnsi="Times New Roman"/>
          <w:sz w:val="24"/>
          <w:szCs w:val="24"/>
        </w:rPr>
        <w:t>T</w:t>
      </w:r>
      <w:r w:rsidRPr="41B71B51" w:rsidR="0047778D">
        <w:rPr>
          <w:rFonts w:ascii="Times New Roman" w:hAnsi="Times New Roman"/>
          <w:sz w:val="24"/>
          <w:szCs w:val="24"/>
        </w:rPr>
        <w:t xml:space="preserve">able </w:t>
      </w:r>
      <w:r w:rsidR="00F201BF">
        <w:rPr>
          <w:rFonts w:ascii="Times New Roman" w:hAnsi="Times New Roman"/>
          <w:sz w:val="24"/>
          <w:szCs w:val="24"/>
        </w:rPr>
        <w:t>6</w:t>
      </w:r>
      <w:r w:rsidRPr="41B71B51" w:rsidR="0047778D">
        <w:rPr>
          <w:rFonts w:ascii="Times New Roman" w:hAnsi="Times New Roman"/>
          <w:sz w:val="24"/>
          <w:szCs w:val="24"/>
        </w:rPr>
        <w:t>.</w:t>
      </w:r>
    </w:p>
    <w:tbl>
      <w:tblPr>
        <w:tblW w:w="5000" w:type="pct"/>
        <w:tblLayout w:type="fixed"/>
        <w:tblLook w:val="04A0"/>
      </w:tblPr>
      <w:tblGrid>
        <w:gridCol w:w="5940"/>
        <w:gridCol w:w="1080"/>
        <w:gridCol w:w="1170"/>
        <w:gridCol w:w="1170"/>
      </w:tblGrid>
      <w:tr w14:paraId="7CBB0107" w14:textId="77777777" w:rsidTr="00D37C6D">
        <w:tblPrEx>
          <w:tblW w:w="5000" w:type="pct"/>
          <w:tblLayout w:type="fixed"/>
          <w:tblLook w:val="04A0"/>
        </w:tblPrEx>
        <w:trPr>
          <w:trHeight w:val="288"/>
        </w:trPr>
        <w:tc>
          <w:tcPr>
            <w:tcW w:w="5000" w:type="pct"/>
            <w:gridSpan w:val="4"/>
            <w:shd w:val="clear" w:color="auto" w:fill="auto"/>
            <w:noWrap/>
            <w:vAlign w:val="bottom"/>
          </w:tcPr>
          <w:p w:rsidR="009E28E1" w:rsidP="00D37C6D" w14:paraId="1B15BBFA" w14:textId="77777777">
            <w:pPr>
              <w:spacing w:after="0" w:line="240" w:lineRule="auto"/>
              <w:jc w:val="center"/>
              <w:rPr>
                <w:rFonts w:ascii="Times New Roman" w:eastAsia="Times New Roman" w:hAnsi="Times New Roman"/>
                <w:b/>
                <w:bCs/>
                <w:color w:val="000000"/>
                <w:sz w:val="24"/>
                <w:szCs w:val="24"/>
              </w:rPr>
            </w:pPr>
          </w:p>
          <w:p w:rsidR="008557E3" w:rsidRPr="007C08B8" w:rsidP="00D37C6D" w14:paraId="3D8A4662" w14:textId="67761C08">
            <w:pPr>
              <w:spacing w:after="0" w:line="240" w:lineRule="auto"/>
              <w:jc w:val="center"/>
              <w:rPr>
                <w:rFonts w:ascii="Times New Roman" w:hAnsi="Times New Roman"/>
                <w:b/>
                <w:bCs/>
                <w:color w:val="000000"/>
                <w:sz w:val="24"/>
                <w:szCs w:val="24"/>
              </w:rPr>
            </w:pPr>
            <w:r w:rsidRPr="007C08B8">
              <w:rPr>
                <w:rFonts w:ascii="Times New Roman" w:eastAsia="Times New Roman" w:hAnsi="Times New Roman"/>
                <w:b/>
                <w:bCs/>
                <w:color w:val="000000"/>
                <w:sz w:val="24"/>
                <w:szCs w:val="24"/>
              </w:rPr>
              <w:t xml:space="preserve">Table </w:t>
            </w:r>
            <w:r w:rsidR="00F201BF">
              <w:rPr>
                <w:rFonts w:ascii="Times New Roman" w:eastAsia="Times New Roman" w:hAnsi="Times New Roman"/>
                <w:b/>
                <w:bCs/>
                <w:color w:val="000000"/>
                <w:sz w:val="24"/>
                <w:szCs w:val="24"/>
              </w:rPr>
              <w:t>6</w:t>
            </w:r>
            <w:r w:rsidRPr="007C08B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FA1E94">
              <w:rPr>
                <w:rFonts w:ascii="Times New Roman" w:eastAsia="Times New Roman" w:hAnsi="Times New Roman"/>
                <w:b/>
                <w:bCs/>
                <w:color w:val="000000"/>
                <w:sz w:val="24"/>
                <w:szCs w:val="24"/>
              </w:rPr>
              <w:t>Cost Savings of the Rule to IRBs</w:t>
            </w:r>
            <w:r>
              <w:rPr>
                <w:rFonts w:ascii="Times New Roman" w:eastAsia="Times New Roman" w:hAnsi="Times New Roman"/>
                <w:b/>
                <w:bCs/>
                <w:color w:val="000000"/>
                <w:sz w:val="24"/>
                <w:szCs w:val="24"/>
              </w:rPr>
              <w:t xml:space="preserve"> (2020$)</w:t>
            </w:r>
          </w:p>
        </w:tc>
      </w:tr>
      <w:tr w14:paraId="3DB2190C" w14:textId="77777777" w:rsidTr="007E65E3">
        <w:tblPrEx>
          <w:tblW w:w="5000" w:type="pct"/>
          <w:tblLayout w:type="fixed"/>
          <w:tblLook w:val="04A0"/>
        </w:tblPrEx>
        <w:trPr>
          <w:trHeight w:val="233"/>
        </w:trPr>
        <w:tc>
          <w:tcPr>
            <w:tcW w:w="3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7E3" w:rsidRPr="000E0EF3" w:rsidP="00D37C6D" w14:paraId="2D236B2C" w14:textId="77777777">
            <w:pPr>
              <w:spacing w:after="0" w:line="240" w:lineRule="auto"/>
              <w:rPr>
                <w:rFonts w:ascii="Times New Roman" w:hAnsi="Times New Roman"/>
                <w:color w:val="000000"/>
                <w:sz w:val="20"/>
                <w:szCs w:val="20"/>
              </w:rPr>
            </w:pPr>
            <w:r w:rsidRPr="000E0EF3">
              <w:rPr>
                <w:rFonts w:ascii="Times New Roman" w:hAnsi="Times New Roman"/>
                <w:color w:val="000000"/>
                <w:sz w:val="20"/>
                <w:szCs w:val="20"/>
              </w:rPr>
              <w:t> </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8557E3" w:rsidRPr="000E0EF3" w:rsidP="00D37C6D" w14:paraId="42D333C0"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Low</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8557E3" w:rsidRPr="000E0EF3" w:rsidP="00D37C6D" w14:paraId="3B753281"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Middle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8557E3" w:rsidRPr="000E0EF3" w:rsidP="00D37C6D" w14:paraId="1A1F4BF8"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High</w:t>
            </w:r>
          </w:p>
        </w:tc>
      </w:tr>
      <w:tr w14:paraId="49DB8123"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D44F74" w:rsidRPr="000E38DF" w:rsidP="00D44F74" w14:paraId="232537BE" w14:textId="569CAA64">
            <w:pPr>
              <w:spacing w:after="0" w:line="240" w:lineRule="auto"/>
              <w:rPr>
                <w:rFonts w:ascii="Times New Roman" w:hAnsi="Times New Roman"/>
                <w:sz w:val="20"/>
                <w:szCs w:val="20"/>
              </w:rPr>
            </w:pPr>
            <w:r w:rsidRPr="000E38DF">
              <w:rPr>
                <w:rFonts w:ascii="Times New Roman" w:hAnsi="Times New Roman"/>
                <w:sz w:val="20"/>
                <w:szCs w:val="20"/>
              </w:rPr>
              <w:t xml:space="preserve">Number of </w:t>
            </w:r>
            <w:r w:rsidR="00A35E78">
              <w:rPr>
                <w:rFonts w:ascii="Times New Roman" w:hAnsi="Times New Roman"/>
                <w:sz w:val="20"/>
                <w:szCs w:val="20"/>
              </w:rPr>
              <w:t>potential minimal risk</w:t>
            </w:r>
            <w:r w:rsidRPr="000E38DF" w:rsidR="00A35E78">
              <w:rPr>
                <w:rFonts w:ascii="Times New Roman" w:hAnsi="Times New Roman"/>
                <w:sz w:val="20"/>
                <w:szCs w:val="20"/>
              </w:rPr>
              <w:t xml:space="preserve"> </w:t>
            </w:r>
            <w:r w:rsidRPr="000E38DF">
              <w:rPr>
                <w:rFonts w:ascii="Times New Roman" w:hAnsi="Times New Roman"/>
                <w:sz w:val="20"/>
                <w:szCs w:val="20"/>
              </w:rPr>
              <w:t>clinical investigations per year</w:t>
            </w:r>
          </w:p>
        </w:tc>
        <w:tc>
          <w:tcPr>
            <w:tcW w:w="577" w:type="pct"/>
            <w:tcBorders>
              <w:top w:val="nil"/>
              <w:left w:val="nil"/>
              <w:bottom w:val="single" w:sz="4" w:space="0" w:color="auto"/>
              <w:right w:val="single" w:sz="4" w:space="0" w:color="auto"/>
            </w:tcBorders>
            <w:shd w:val="clear" w:color="auto" w:fill="auto"/>
            <w:noWrap/>
            <w:vAlign w:val="bottom"/>
          </w:tcPr>
          <w:p w:rsidR="00D44F74" w:rsidRPr="000E38DF" w:rsidP="00D44F74" w14:paraId="65D83356" w14:textId="18A14CC1">
            <w:pPr>
              <w:spacing w:after="0" w:line="240" w:lineRule="auto"/>
              <w:jc w:val="right"/>
              <w:rPr>
                <w:rFonts w:ascii="Times New Roman" w:hAnsi="Times New Roman"/>
                <w:sz w:val="20"/>
                <w:szCs w:val="20"/>
              </w:rPr>
            </w:pPr>
            <w:r>
              <w:rPr>
                <w:rFonts w:ascii="Times New Roman" w:hAnsi="Times New Roman"/>
                <w:sz w:val="20"/>
                <w:szCs w:val="20"/>
              </w:rPr>
              <w:t>551</w:t>
            </w:r>
          </w:p>
        </w:tc>
        <w:tc>
          <w:tcPr>
            <w:tcW w:w="625" w:type="pct"/>
            <w:tcBorders>
              <w:top w:val="nil"/>
              <w:left w:val="nil"/>
              <w:bottom w:val="single" w:sz="4" w:space="0" w:color="auto"/>
              <w:right w:val="single" w:sz="4" w:space="0" w:color="auto"/>
            </w:tcBorders>
            <w:shd w:val="clear" w:color="auto" w:fill="auto"/>
            <w:noWrap/>
            <w:vAlign w:val="bottom"/>
          </w:tcPr>
          <w:p w:rsidR="00D44F74" w:rsidRPr="000E38DF" w:rsidP="00D44F74" w14:paraId="323656BD" w14:textId="526D2F5F">
            <w:pPr>
              <w:spacing w:after="0" w:line="240" w:lineRule="auto"/>
              <w:jc w:val="right"/>
              <w:rPr>
                <w:rFonts w:ascii="Times New Roman" w:hAnsi="Times New Roman"/>
                <w:sz w:val="20"/>
                <w:szCs w:val="20"/>
              </w:rPr>
            </w:pPr>
            <w:r>
              <w:rPr>
                <w:rFonts w:ascii="Times New Roman" w:hAnsi="Times New Roman"/>
                <w:sz w:val="20"/>
                <w:szCs w:val="20"/>
              </w:rPr>
              <w:t>551</w:t>
            </w:r>
          </w:p>
        </w:tc>
        <w:tc>
          <w:tcPr>
            <w:tcW w:w="625" w:type="pct"/>
            <w:tcBorders>
              <w:top w:val="nil"/>
              <w:left w:val="nil"/>
              <w:bottom w:val="single" w:sz="4" w:space="0" w:color="auto"/>
              <w:right w:val="single" w:sz="4" w:space="0" w:color="auto"/>
            </w:tcBorders>
            <w:shd w:val="clear" w:color="auto" w:fill="auto"/>
            <w:noWrap/>
            <w:vAlign w:val="bottom"/>
          </w:tcPr>
          <w:p w:rsidR="00D44F74" w:rsidRPr="000E38DF" w:rsidP="00D44F74" w14:paraId="69AA6B19" w14:textId="13A7CA71">
            <w:pPr>
              <w:spacing w:after="0" w:line="240" w:lineRule="auto"/>
              <w:jc w:val="right"/>
              <w:rPr>
                <w:rFonts w:ascii="Times New Roman" w:hAnsi="Times New Roman"/>
                <w:sz w:val="20"/>
                <w:szCs w:val="20"/>
              </w:rPr>
            </w:pPr>
            <w:r>
              <w:rPr>
                <w:rFonts w:ascii="Times New Roman" w:hAnsi="Times New Roman"/>
                <w:sz w:val="20"/>
                <w:szCs w:val="20"/>
              </w:rPr>
              <w:t>551</w:t>
            </w:r>
          </w:p>
        </w:tc>
      </w:tr>
      <w:tr w14:paraId="05C70EA5"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0E38DF" w:rsidP="00D44F74" w14:paraId="40CBE654" w14:textId="17430B07">
            <w:pPr>
              <w:spacing w:after="0" w:line="240" w:lineRule="auto"/>
              <w:rPr>
                <w:rFonts w:ascii="Times New Roman" w:hAnsi="Times New Roman"/>
                <w:sz w:val="20"/>
                <w:szCs w:val="20"/>
              </w:rPr>
            </w:pPr>
            <w:r w:rsidRPr="000E38DF">
              <w:rPr>
                <w:rFonts w:ascii="Times New Roman" w:hAnsi="Times New Roman"/>
                <w:sz w:val="20"/>
                <w:szCs w:val="20"/>
              </w:rPr>
              <w:t xml:space="preserve">Percentage of </w:t>
            </w:r>
            <w:r w:rsidR="00A35E78">
              <w:rPr>
                <w:rFonts w:ascii="Times New Roman" w:hAnsi="Times New Roman"/>
                <w:sz w:val="20"/>
                <w:szCs w:val="20"/>
              </w:rPr>
              <w:t>potential minimal risk</w:t>
            </w:r>
            <w:r w:rsidRPr="000E38DF" w:rsidR="00A35E78">
              <w:rPr>
                <w:rFonts w:ascii="Times New Roman" w:hAnsi="Times New Roman"/>
                <w:sz w:val="20"/>
                <w:szCs w:val="20"/>
              </w:rPr>
              <w:t xml:space="preserve"> </w:t>
            </w:r>
            <w:r w:rsidRPr="000E38DF">
              <w:rPr>
                <w:rFonts w:ascii="Times New Roman" w:hAnsi="Times New Roman"/>
                <w:sz w:val="20"/>
                <w:szCs w:val="20"/>
              </w:rPr>
              <w:t>investigations affected by the rule</w:t>
            </w:r>
          </w:p>
        </w:tc>
        <w:tc>
          <w:tcPr>
            <w:tcW w:w="577"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69500578" w14:textId="77777777">
            <w:pPr>
              <w:spacing w:after="0" w:line="240" w:lineRule="auto"/>
              <w:jc w:val="right"/>
              <w:rPr>
                <w:rFonts w:ascii="Times New Roman" w:hAnsi="Times New Roman"/>
                <w:sz w:val="20"/>
                <w:szCs w:val="20"/>
              </w:rPr>
            </w:pPr>
            <w:r w:rsidRPr="000E38DF">
              <w:rPr>
                <w:rFonts w:ascii="Times New Roman" w:hAnsi="Times New Roman"/>
                <w:sz w:val="20"/>
                <w:szCs w:val="20"/>
              </w:rPr>
              <w:t>25%</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3DEECE72" w14:textId="77777777">
            <w:pPr>
              <w:spacing w:after="0" w:line="240" w:lineRule="auto"/>
              <w:jc w:val="right"/>
              <w:rPr>
                <w:rFonts w:ascii="Times New Roman" w:hAnsi="Times New Roman"/>
                <w:sz w:val="20"/>
                <w:szCs w:val="20"/>
              </w:rPr>
            </w:pPr>
            <w:r w:rsidRPr="000E38DF">
              <w:rPr>
                <w:rFonts w:ascii="Times New Roman" w:hAnsi="Times New Roman"/>
                <w:sz w:val="20"/>
                <w:szCs w:val="20"/>
              </w:rPr>
              <w:t>50%</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0D72BCF1" w14:textId="77777777">
            <w:pPr>
              <w:spacing w:after="0" w:line="240" w:lineRule="auto"/>
              <w:jc w:val="right"/>
              <w:rPr>
                <w:rFonts w:ascii="Times New Roman" w:hAnsi="Times New Roman"/>
                <w:sz w:val="20"/>
                <w:szCs w:val="20"/>
              </w:rPr>
            </w:pPr>
            <w:r w:rsidRPr="000E38DF">
              <w:rPr>
                <w:rFonts w:ascii="Times New Roman" w:hAnsi="Times New Roman"/>
                <w:sz w:val="20"/>
                <w:szCs w:val="20"/>
              </w:rPr>
              <w:t>100%</w:t>
            </w:r>
          </w:p>
        </w:tc>
      </w:tr>
      <w:tr w14:paraId="2512CA73"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0E38DF" w:rsidP="00D44F74" w14:paraId="4089800C" w14:textId="29CB03B9">
            <w:pPr>
              <w:spacing w:after="0" w:line="240" w:lineRule="auto"/>
              <w:rPr>
                <w:rFonts w:ascii="Times New Roman" w:hAnsi="Times New Roman"/>
                <w:sz w:val="20"/>
                <w:szCs w:val="20"/>
              </w:rPr>
            </w:pPr>
            <w:r w:rsidRPr="000E38DF">
              <w:rPr>
                <w:rFonts w:ascii="Times New Roman" w:hAnsi="Times New Roman"/>
                <w:sz w:val="20"/>
                <w:szCs w:val="20"/>
              </w:rPr>
              <w:t xml:space="preserve">Reduced time burden of </w:t>
            </w:r>
            <w:r w:rsidR="00697208">
              <w:rPr>
                <w:rFonts w:ascii="Times New Roman" w:hAnsi="Times New Roman"/>
                <w:sz w:val="20"/>
                <w:szCs w:val="20"/>
              </w:rPr>
              <w:t xml:space="preserve">reviewing </w:t>
            </w:r>
            <w:r w:rsidRPr="000E38DF">
              <w:rPr>
                <w:rFonts w:ascii="Times New Roman" w:hAnsi="Times New Roman"/>
                <w:sz w:val="20"/>
                <w:szCs w:val="20"/>
              </w:rPr>
              <w:t>the rule (hours)</w:t>
            </w:r>
          </w:p>
        </w:tc>
        <w:tc>
          <w:tcPr>
            <w:tcW w:w="577"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7602175C" w14:textId="5D076123">
            <w:pPr>
              <w:spacing w:after="0" w:line="240" w:lineRule="auto"/>
              <w:jc w:val="right"/>
              <w:rPr>
                <w:rFonts w:ascii="Times New Roman" w:hAnsi="Times New Roman"/>
                <w:sz w:val="20"/>
                <w:szCs w:val="20"/>
              </w:rPr>
            </w:pPr>
            <w:r>
              <w:rPr>
                <w:rFonts w:ascii="Times New Roman" w:hAnsi="Times New Roman"/>
                <w:sz w:val="20"/>
                <w:szCs w:val="20"/>
              </w:rPr>
              <w:t>0.5</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49471DCE" w14:textId="10EBC85D">
            <w:pPr>
              <w:spacing w:after="0" w:line="240" w:lineRule="auto"/>
              <w:jc w:val="right"/>
              <w:rPr>
                <w:rFonts w:ascii="Times New Roman" w:hAnsi="Times New Roman"/>
                <w:sz w:val="20"/>
                <w:szCs w:val="20"/>
              </w:rPr>
            </w:pPr>
            <w:r>
              <w:rPr>
                <w:rFonts w:ascii="Times New Roman" w:hAnsi="Times New Roman"/>
                <w:sz w:val="20"/>
                <w:szCs w:val="20"/>
              </w:rPr>
              <w:t>0.5</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0E38DF" w:rsidP="00D44F74" w14:paraId="484F4B91" w14:textId="28949C3A">
            <w:pPr>
              <w:spacing w:after="0" w:line="240" w:lineRule="auto"/>
              <w:jc w:val="right"/>
              <w:rPr>
                <w:rFonts w:ascii="Times New Roman" w:hAnsi="Times New Roman"/>
                <w:sz w:val="20"/>
                <w:szCs w:val="20"/>
              </w:rPr>
            </w:pPr>
            <w:r>
              <w:rPr>
                <w:rFonts w:ascii="Times New Roman" w:hAnsi="Times New Roman"/>
                <w:sz w:val="20"/>
                <w:szCs w:val="20"/>
              </w:rPr>
              <w:t>0.5</w:t>
            </w:r>
          </w:p>
        </w:tc>
      </w:tr>
      <w:tr w14:paraId="12811688"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697208" w:rsidP="00D44F74" w14:paraId="5CED7046" w14:textId="77777777">
            <w:pPr>
              <w:spacing w:after="0" w:line="240" w:lineRule="auto"/>
              <w:rPr>
                <w:rFonts w:ascii="Times New Roman" w:hAnsi="Times New Roman"/>
                <w:sz w:val="20"/>
                <w:szCs w:val="20"/>
              </w:rPr>
            </w:pPr>
            <w:r w:rsidRPr="00697208">
              <w:rPr>
                <w:rFonts w:ascii="Times New Roman" w:hAnsi="Times New Roman"/>
                <w:sz w:val="20"/>
                <w:szCs w:val="20"/>
              </w:rPr>
              <w:t>Hourly wage, IRB administrator</w:t>
            </w:r>
          </w:p>
        </w:tc>
        <w:tc>
          <w:tcPr>
            <w:tcW w:w="577"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1BF906BF" w14:textId="77777777">
            <w:pPr>
              <w:spacing w:after="0" w:line="240" w:lineRule="auto"/>
              <w:jc w:val="right"/>
              <w:rPr>
                <w:rFonts w:ascii="Times New Roman" w:hAnsi="Times New Roman"/>
                <w:sz w:val="20"/>
                <w:szCs w:val="20"/>
              </w:rPr>
            </w:pPr>
            <w:r w:rsidRPr="00697208">
              <w:rPr>
                <w:rFonts w:ascii="Times New Roman" w:hAnsi="Times New Roman"/>
                <w:sz w:val="20"/>
                <w:szCs w:val="20"/>
              </w:rPr>
              <w:t>$110.76</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3B8494A5" w14:textId="77777777">
            <w:pPr>
              <w:spacing w:after="0" w:line="240" w:lineRule="auto"/>
              <w:jc w:val="right"/>
              <w:rPr>
                <w:rFonts w:ascii="Times New Roman" w:hAnsi="Times New Roman"/>
                <w:sz w:val="20"/>
                <w:szCs w:val="20"/>
              </w:rPr>
            </w:pPr>
            <w:r w:rsidRPr="00697208">
              <w:rPr>
                <w:rFonts w:ascii="Times New Roman" w:hAnsi="Times New Roman"/>
                <w:sz w:val="20"/>
                <w:szCs w:val="20"/>
              </w:rPr>
              <w:t>$110.76</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68474DD0" w14:textId="77777777">
            <w:pPr>
              <w:spacing w:after="0" w:line="240" w:lineRule="auto"/>
              <w:jc w:val="right"/>
              <w:rPr>
                <w:rFonts w:ascii="Times New Roman" w:hAnsi="Times New Roman"/>
                <w:sz w:val="20"/>
                <w:szCs w:val="20"/>
              </w:rPr>
            </w:pPr>
            <w:r w:rsidRPr="00697208">
              <w:rPr>
                <w:rFonts w:ascii="Times New Roman" w:hAnsi="Times New Roman"/>
                <w:sz w:val="20"/>
                <w:szCs w:val="20"/>
              </w:rPr>
              <w:t>$110.76</w:t>
            </w:r>
          </w:p>
        </w:tc>
      </w:tr>
      <w:tr w14:paraId="4983B020"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D44F74" w:rsidRPr="00697208" w:rsidP="00D44F74" w14:paraId="7D4A1D72" w14:textId="77777777">
            <w:pPr>
              <w:spacing w:after="0" w:line="240" w:lineRule="auto"/>
              <w:rPr>
                <w:rFonts w:ascii="Times New Roman" w:hAnsi="Times New Roman"/>
                <w:sz w:val="20"/>
                <w:szCs w:val="20"/>
              </w:rPr>
            </w:pPr>
            <w:r w:rsidRPr="00697208">
              <w:rPr>
                <w:rFonts w:ascii="Times New Roman" w:hAnsi="Times New Roman"/>
                <w:sz w:val="20"/>
                <w:szCs w:val="20"/>
              </w:rPr>
              <w:t>Hourly wage, IRB administrative staff</w:t>
            </w:r>
          </w:p>
        </w:tc>
        <w:tc>
          <w:tcPr>
            <w:tcW w:w="577" w:type="pct"/>
            <w:tcBorders>
              <w:top w:val="nil"/>
              <w:left w:val="nil"/>
              <w:bottom w:val="single" w:sz="4" w:space="0" w:color="auto"/>
              <w:right w:val="single" w:sz="4" w:space="0" w:color="auto"/>
            </w:tcBorders>
            <w:shd w:val="clear" w:color="auto" w:fill="auto"/>
            <w:noWrap/>
            <w:vAlign w:val="bottom"/>
          </w:tcPr>
          <w:p w:rsidR="00D44F74" w:rsidRPr="00697208" w:rsidP="00D44F74" w14:paraId="1F58878A" w14:textId="77777777">
            <w:pPr>
              <w:spacing w:after="0" w:line="240" w:lineRule="auto"/>
              <w:jc w:val="right"/>
              <w:rPr>
                <w:rFonts w:ascii="Times New Roman" w:hAnsi="Times New Roman"/>
                <w:sz w:val="20"/>
                <w:szCs w:val="20"/>
              </w:rPr>
            </w:pPr>
            <w:r w:rsidRPr="00697208">
              <w:rPr>
                <w:rFonts w:ascii="Times New Roman" w:hAnsi="Times New Roman"/>
                <w:sz w:val="20"/>
                <w:szCs w:val="20"/>
              </w:rPr>
              <w:t>$40.76</w:t>
            </w:r>
          </w:p>
        </w:tc>
        <w:tc>
          <w:tcPr>
            <w:tcW w:w="625" w:type="pct"/>
            <w:tcBorders>
              <w:top w:val="nil"/>
              <w:left w:val="nil"/>
              <w:bottom w:val="single" w:sz="4" w:space="0" w:color="auto"/>
              <w:right w:val="single" w:sz="4" w:space="0" w:color="auto"/>
            </w:tcBorders>
            <w:shd w:val="clear" w:color="auto" w:fill="auto"/>
            <w:noWrap/>
            <w:vAlign w:val="bottom"/>
          </w:tcPr>
          <w:p w:rsidR="00D44F74" w:rsidRPr="00697208" w:rsidP="00D44F74" w14:paraId="22548CFB" w14:textId="77777777">
            <w:pPr>
              <w:spacing w:after="0" w:line="240" w:lineRule="auto"/>
              <w:jc w:val="right"/>
              <w:rPr>
                <w:rFonts w:ascii="Times New Roman" w:hAnsi="Times New Roman"/>
                <w:sz w:val="20"/>
                <w:szCs w:val="20"/>
              </w:rPr>
            </w:pPr>
            <w:r w:rsidRPr="00697208">
              <w:rPr>
                <w:rFonts w:ascii="Times New Roman" w:hAnsi="Times New Roman"/>
                <w:sz w:val="20"/>
                <w:szCs w:val="20"/>
              </w:rPr>
              <w:t>$40.76</w:t>
            </w:r>
          </w:p>
        </w:tc>
        <w:tc>
          <w:tcPr>
            <w:tcW w:w="625" w:type="pct"/>
            <w:tcBorders>
              <w:top w:val="nil"/>
              <w:left w:val="nil"/>
              <w:bottom w:val="single" w:sz="4" w:space="0" w:color="auto"/>
              <w:right w:val="single" w:sz="4" w:space="0" w:color="auto"/>
            </w:tcBorders>
            <w:shd w:val="clear" w:color="auto" w:fill="auto"/>
            <w:noWrap/>
            <w:vAlign w:val="bottom"/>
          </w:tcPr>
          <w:p w:rsidR="00D44F74" w:rsidRPr="00697208" w:rsidP="00D44F74" w14:paraId="20B1367A" w14:textId="77777777">
            <w:pPr>
              <w:spacing w:after="0" w:line="240" w:lineRule="auto"/>
              <w:jc w:val="right"/>
              <w:rPr>
                <w:rFonts w:ascii="Times New Roman" w:hAnsi="Times New Roman"/>
                <w:sz w:val="20"/>
                <w:szCs w:val="20"/>
              </w:rPr>
            </w:pPr>
            <w:r w:rsidRPr="00697208">
              <w:rPr>
                <w:rFonts w:ascii="Times New Roman" w:hAnsi="Times New Roman"/>
                <w:sz w:val="20"/>
                <w:szCs w:val="20"/>
              </w:rPr>
              <w:t>$40.76</w:t>
            </w:r>
          </w:p>
        </w:tc>
      </w:tr>
      <w:tr w14:paraId="2CD508FC"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697208" w:rsidP="00D44F74" w14:paraId="5C08923E" w14:textId="77777777">
            <w:pPr>
              <w:spacing w:after="0" w:line="240" w:lineRule="auto"/>
              <w:rPr>
                <w:rFonts w:ascii="Times New Roman" w:hAnsi="Times New Roman"/>
                <w:sz w:val="20"/>
                <w:szCs w:val="20"/>
              </w:rPr>
            </w:pPr>
            <w:r w:rsidRPr="00697208">
              <w:rPr>
                <w:rFonts w:ascii="Times New Roman" w:hAnsi="Times New Roman"/>
                <w:sz w:val="20"/>
                <w:szCs w:val="20"/>
              </w:rPr>
              <w:t>Hourly wage, IRB chair</w:t>
            </w:r>
          </w:p>
        </w:tc>
        <w:tc>
          <w:tcPr>
            <w:tcW w:w="577"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4FDF2D76" w14:textId="77777777">
            <w:pPr>
              <w:spacing w:after="0" w:line="240" w:lineRule="auto"/>
              <w:jc w:val="right"/>
              <w:rPr>
                <w:rFonts w:ascii="Times New Roman" w:hAnsi="Times New Roman"/>
                <w:sz w:val="20"/>
                <w:szCs w:val="20"/>
              </w:rPr>
            </w:pPr>
            <w:r w:rsidRPr="00697208">
              <w:rPr>
                <w:rFonts w:ascii="Times New Roman" w:hAnsi="Times New Roman"/>
                <w:sz w:val="20"/>
                <w:szCs w:val="20"/>
              </w:rPr>
              <w:t>$120.08</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3FDFF902" w14:textId="77777777">
            <w:pPr>
              <w:spacing w:after="0" w:line="240" w:lineRule="auto"/>
              <w:jc w:val="right"/>
              <w:rPr>
                <w:rFonts w:ascii="Times New Roman" w:hAnsi="Times New Roman"/>
                <w:sz w:val="20"/>
                <w:szCs w:val="20"/>
              </w:rPr>
            </w:pPr>
            <w:r w:rsidRPr="00697208">
              <w:rPr>
                <w:rFonts w:ascii="Times New Roman" w:hAnsi="Times New Roman"/>
                <w:sz w:val="20"/>
                <w:szCs w:val="20"/>
              </w:rPr>
              <w:t>$120.08</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697208" w:rsidP="00D44F74" w14:paraId="0E60A635" w14:textId="77777777">
            <w:pPr>
              <w:spacing w:after="0" w:line="240" w:lineRule="auto"/>
              <w:jc w:val="right"/>
              <w:rPr>
                <w:rFonts w:ascii="Times New Roman" w:hAnsi="Times New Roman"/>
                <w:sz w:val="20"/>
                <w:szCs w:val="20"/>
              </w:rPr>
            </w:pPr>
            <w:r w:rsidRPr="00697208">
              <w:rPr>
                <w:rFonts w:ascii="Times New Roman" w:hAnsi="Times New Roman"/>
                <w:sz w:val="20"/>
                <w:szCs w:val="20"/>
              </w:rPr>
              <w:t>$120.08</w:t>
            </w:r>
          </w:p>
        </w:tc>
      </w:tr>
      <w:tr w14:paraId="35827F36"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697208" w:rsidP="00D44F74" w14:paraId="03C67B33" w14:textId="77777777">
            <w:pPr>
              <w:spacing w:after="0" w:line="240" w:lineRule="auto"/>
              <w:rPr>
                <w:rFonts w:ascii="Times New Roman" w:hAnsi="Times New Roman"/>
                <w:sz w:val="20"/>
                <w:szCs w:val="20"/>
              </w:rPr>
            </w:pPr>
            <w:r w:rsidRPr="00697208">
              <w:rPr>
                <w:rFonts w:ascii="Times New Roman" w:hAnsi="Times New Roman"/>
                <w:sz w:val="20"/>
                <w:szCs w:val="20"/>
              </w:rPr>
              <w:t>Hourly wage, IRB voting member (10 members per IRB)</w:t>
            </w:r>
          </w:p>
        </w:tc>
        <w:tc>
          <w:tcPr>
            <w:tcW w:w="577" w:type="pct"/>
            <w:tcBorders>
              <w:top w:val="nil"/>
              <w:left w:val="nil"/>
              <w:bottom w:val="single" w:sz="4" w:space="0" w:color="auto"/>
              <w:right w:val="single" w:sz="4" w:space="0" w:color="auto"/>
            </w:tcBorders>
            <w:shd w:val="clear" w:color="auto" w:fill="auto"/>
            <w:noWrap/>
            <w:vAlign w:val="bottom"/>
            <w:hideMark/>
          </w:tcPr>
          <w:p w:rsidR="00D44F74" w:rsidRPr="00920081" w:rsidP="00D44F74" w14:paraId="70710A39" w14:textId="77777777">
            <w:pPr>
              <w:spacing w:after="0" w:line="240" w:lineRule="auto"/>
              <w:jc w:val="right"/>
              <w:rPr>
                <w:rFonts w:ascii="Times New Roman" w:hAnsi="Times New Roman"/>
                <w:sz w:val="20"/>
                <w:szCs w:val="20"/>
              </w:rPr>
            </w:pPr>
            <w:r w:rsidRPr="00920081">
              <w:rPr>
                <w:rFonts w:ascii="Times New Roman" w:hAnsi="Times New Roman"/>
                <w:sz w:val="20"/>
                <w:szCs w:val="20"/>
              </w:rPr>
              <w:t>$1,200.80</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920081" w:rsidP="00D44F74" w14:paraId="3BA21D7A" w14:textId="77777777">
            <w:pPr>
              <w:spacing w:after="0" w:line="240" w:lineRule="auto"/>
              <w:jc w:val="right"/>
              <w:rPr>
                <w:rFonts w:ascii="Times New Roman" w:hAnsi="Times New Roman"/>
                <w:sz w:val="20"/>
                <w:szCs w:val="20"/>
              </w:rPr>
            </w:pPr>
            <w:r w:rsidRPr="00920081">
              <w:rPr>
                <w:rFonts w:ascii="Times New Roman" w:hAnsi="Times New Roman"/>
                <w:sz w:val="20"/>
                <w:szCs w:val="20"/>
              </w:rPr>
              <w:t>$1,200.80</w:t>
            </w:r>
          </w:p>
        </w:tc>
        <w:tc>
          <w:tcPr>
            <w:tcW w:w="625" w:type="pct"/>
            <w:tcBorders>
              <w:top w:val="nil"/>
              <w:left w:val="nil"/>
              <w:bottom w:val="single" w:sz="4" w:space="0" w:color="auto"/>
              <w:right w:val="single" w:sz="4" w:space="0" w:color="auto"/>
            </w:tcBorders>
            <w:shd w:val="clear" w:color="auto" w:fill="auto"/>
            <w:noWrap/>
            <w:vAlign w:val="bottom"/>
            <w:hideMark/>
          </w:tcPr>
          <w:p w:rsidR="00D44F74" w:rsidRPr="00920081" w:rsidP="00D44F74" w14:paraId="55519308" w14:textId="77777777">
            <w:pPr>
              <w:spacing w:after="0" w:line="240" w:lineRule="auto"/>
              <w:jc w:val="right"/>
              <w:rPr>
                <w:rFonts w:ascii="Times New Roman" w:hAnsi="Times New Roman"/>
                <w:sz w:val="20"/>
                <w:szCs w:val="20"/>
              </w:rPr>
            </w:pPr>
            <w:r w:rsidRPr="00920081">
              <w:rPr>
                <w:rFonts w:ascii="Times New Roman" w:hAnsi="Times New Roman"/>
                <w:sz w:val="20"/>
                <w:szCs w:val="20"/>
              </w:rPr>
              <w:t>$1,200.80</w:t>
            </w:r>
          </w:p>
        </w:tc>
      </w:tr>
      <w:tr w14:paraId="24115D84"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D44F74" w:rsidRPr="00697208" w:rsidP="00D44F74" w14:paraId="6A570445" w14:textId="166E62C4">
            <w:pPr>
              <w:spacing w:after="0" w:line="240" w:lineRule="auto"/>
              <w:rPr>
                <w:rFonts w:ascii="Times New Roman" w:hAnsi="Times New Roman"/>
                <w:sz w:val="20"/>
                <w:szCs w:val="20"/>
              </w:rPr>
            </w:pPr>
            <w:r w:rsidRPr="00697208">
              <w:rPr>
                <w:rFonts w:ascii="Times New Roman" w:hAnsi="Times New Roman"/>
                <w:sz w:val="20"/>
                <w:szCs w:val="20"/>
              </w:rPr>
              <w:t xml:space="preserve">Total cost savings </w:t>
            </w:r>
            <w:r w:rsidR="000277F4">
              <w:rPr>
                <w:rFonts w:ascii="Times New Roman" w:hAnsi="Times New Roman"/>
                <w:sz w:val="20"/>
                <w:szCs w:val="20"/>
              </w:rPr>
              <w:t>for the rule</w:t>
            </w:r>
          </w:p>
        </w:tc>
        <w:tc>
          <w:tcPr>
            <w:tcW w:w="577" w:type="pct"/>
            <w:tcBorders>
              <w:top w:val="nil"/>
              <w:left w:val="nil"/>
              <w:bottom w:val="single" w:sz="4" w:space="0" w:color="auto"/>
              <w:right w:val="single" w:sz="4" w:space="0" w:color="auto"/>
            </w:tcBorders>
            <w:shd w:val="clear" w:color="auto" w:fill="auto"/>
            <w:noWrap/>
            <w:vAlign w:val="bottom"/>
          </w:tcPr>
          <w:p w:rsidR="00D44F74" w:rsidRPr="00920081" w:rsidP="00D44F74" w14:paraId="274BBA1D" w14:textId="13B36B07">
            <w:pPr>
              <w:spacing w:after="0" w:line="240" w:lineRule="auto"/>
              <w:jc w:val="right"/>
              <w:rPr>
                <w:rFonts w:ascii="Times New Roman" w:hAnsi="Times New Roman"/>
                <w:sz w:val="20"/>
                <w:szCs w:val="20"/>
              </w:rPr>
            </w:pPr>
            <w:r w:rsidRPr="00920081">
              <w:rPr>
                <w:rFonts w:ascii="Times New Roman" w:hAnsi="Times New Roman"/>
                <w:sz w:val="20"/>
                <w:szCs w:val="20"/>
              </w:rPr>
              <w:t>$</w:t>
            </w:r>
            <w:r w:rsidRPr="00920081" w:rsidR="00A85B88">
              <w:rPr>
                <w:rFonts w:ascii="Times New Roman" w:hAnsi="Times New Roman"/>
                <w:sz w:val="20"/>
                <w:szCs w:val="20"/>
              </w:rPr>
              <w:t>101,412</w:t>
            </w:r>
            <w:r w:rsidRPr="00920081" w:rsidR="00273708">
              <w:rPr>
                <w:rFonts w:ascii="Times New Roman" w:hAnsi="Times New Roman"/>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bottom"/>
          </w:tcPr>
          <w:p w:rsidR="00D44F74" w:rsidRPr="00920081" w:rsidP="00D44F74" w14:paraId="1F2FA55B" w14:textId="7B46998D">
            <w:pPr>
              <w:spacing w:after="0" w:line="240" w:lineRule="auto"/>
              <w:jc w:val="right"/>
              <w:rPr>
                <w:rFonts w:ascii="Times New Roman" w:hAnsi="Times New Roman"/>
                <w:sz w:val="20"/>
                <w:szCs w:val="20"/>
              </w:rPr>
            </w:pPr>
            <w:r w:rsidRPr="00920081">
              <w:rPr>
                <w:rFonts w:ascii="Times New Roman" w:hAnsi="Times New Roman"/>
                <w:sz w:val="20"/>
                <w:szCs w:val="20"/>
              </w:rPr>
              <w:t>$</w:t>
            </w:r>
            <w:r w:rsidRPr="00920081" w:rsidR="00D0316F">
              <w:rPr>
                <w:rFonts w:ascii="Times New Roman" w:hAnsi="Times New Roman"/>
                <w:sz w:val="20"/>
                <w:szCs w:val="20"/>
              </w:rPr>
              <w:t>202,823</w:t>
            </w:r>
          </w:p>
        </w:tc>
        <w:tc>
          <w:tcPr>
            <w:tcW w:w="625" w:type="pct"/>
            <w:tcBorders>
              <w:top w:val="nil"/>
              <w:left w:val="nil"/>
              <w:bottom w:val="single" w:sz="4" w:space="0" w:color="auto"/>
              <w:right w:val="single" w:sz="4" w:space="0" w:color="auto"/>
            </w:tcBorders>
            <w:shd w:val="clear" w:color="auto" w:fill="auto"/>
            <w:noWrap/>
            <w:vAlign w:val="bottom"/>
          </w:tcPr>
          <w:p w:rsidR="00D44F74" w:rsidRPr="00920081" w:rsidP="00D44F74" w14:paraId="01E75E18" w14:textId="011C3A5A">
            <w:pPr>
              <w:spacing w:after="0" w:line="240" w:lineRule="auto"/>
              <w:jc w:val="right"/>
              <w:rPr>
                <w:rFonts w:ascii="Times New Roman" w:hAnsi="Times New Roman"/>
                <w:sz w:val="20"/>
                <w:szCs w:val="20"/>
              </w:rPr>
            </w:pPr>
            <w:r w:rsidRPr="00920081">
              <w:rPr>
                <w:rFonts w:ascii="Times New Roman" w:hAnsi="Times New Roman"/>
                <w:sz w:val="20"/>
                <w:szCs w:val="20"/>
              </w:rPr>
              <w:t>$</w:t>
            </w:r>
            <w:r w:rsidRPr="00920081" w:rsidR="00DC1E8E">
              <w:rPr>
                <w:rFonts w:ascii="Times New Roman" w:hAnsi="Times New Roman"/>
                <w:sz w:val="20"/>
                <w:szCs w:val="20"/>
              </w:rPr>
              <w:t>405,646</w:t>
            </w:r>
            <w:r w:rsidRPr="00920081" w:rsidR="00273708">
              <w:rPr>
                <w:rFonts w:ascii="Times New Roman" w:hAnsi="Times New Roman"/>
                <w:sz w:val="20"/>
                <w:szCs w:val="20"/>
              </w:rPr>
              <w:t xml:space="preserve"> </w:t>
            </w:r>
          </w:p>
        </w:tc>
      </w:tr>
      <w:tr w14:paraId="4EAA278C"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A91C51" w:rsidRPr="00697208" w:rsidP="00A91C51" w14:paraId="5AB7260E" w14:textId="77777777">
            <w:pPr>
              <w:spacing w:after="0" w:line="240" w:lineRule="auto"/>
              <w:rPr>
                <w:rFonts w:ascii="Times New Roman" w:hAnsi="Times New Roman"/>
                <w:sz w:val="20"/>
                <w:szCs w:val="20"/>
              </w:rPr>
            </w:pPr>
            <w:r w:rsidRPr="00697208">
              <w:rPr>
                <w:rFonts w:ascii="Times New Roman" w:hAnsi="Times New Roman"/>
                <w:sz w:val="20"/>
                <w:szCs w:val="20"/>
              </w:rPr>
              <w:t>Net present value of the rule (3%, 10 years)</w:t>
            </w:r>
          </w:p>
        </w:tc>
        <w:tc>
          <w:tcPr>
            <w:tcW w:w="577" w:type="pct"/>
            <w:tcBorders>
              <w:top w:val="nil"/>
              <w:left w:val="nil"/>
              <w:bottom w:val="single" w:sz="4" w:space="0" w:color="auto"/>
              <w:right w:val="single" w:sz="4" w:space="0" w:color="auto"/>
            </w:tcBorders>
            <w:shd w:val="clear" w:color="auto" w:fill="auto"/>
            <w:noWrap/>
            <w:vAlign w:val="bottom"/>
          </w:tcPr>
          <w:p w:rsidR="00A91C51" w:rsidRPr="007E65E3" w:rsidP="00A91C51" w14:paraId="3F3BBAB5" w14:textId="6596AA0A">
            <w:pPr>
              <w:spacing w:after="0" w:line="240" w:lineRule="auto"/>
              <w:jc w:val="right"/>
              <w:rPr>
                <w:rFonts w:ascii="Times New Roman" w:hAnsi="Times New Roman"/>
                <w:sz w:val="20"/>
                <w:szCs w:val="20"/>
              </w:rPr>
            </w:pPr>
            <w:r w:rsidRPr="007E65E3">
              <w:rPr>
                <w:rFonts w:ascii="Times New Roman" w:hAnsi="Times New Roman"/>
                <w:sz w:val="20"/>
                <w:szCs w:val="20"/>
              </w:rPr>
              <w:t>$865,061</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71768080" w14:textId="600631E0">
            <w:pPr>
              <w:spacing w:after="0" w:line="240" w:lineRule="auto"/>
              <w:jc w:val="right"/>
              <w:rPr>
                <w:rFonts w:ascii="Times New Roman" w:hAnsi="Times New Roman"/>
                <w:sz w:val="20"/>
                <w:szCs w:val="20"/>
              </w:rPr>
            </w:pPr>
            <w:r w:rsidRPr="007E65E3">
              <w:rPr>
                <w:rFonts w:ascii="Times New Roman" w:hAnsi="Times New Roman"/>
                <w:sz w:val="20"/>
                <w:szCs w:val="20"/>
              </w:rPr>
              <w:t>$1,730,122</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6A2CAB07" w14:textId="656D212F">
            <w:pPr>
              <w:spacing w:after="0" w:line="240" w:lineRule="auto"/>
              <w:jc w:val="right"/>
              <w:rPr>
                <w:rFonts w:ascii="Times New Roman" w:hAnsi="Times New Roman"/>
                <w:sz w:val="20"/>
                <w:szCs w:val="20"/>
              </w:rPr>
            </w:pPr>
            <w:r w:rsidRPr="007E65E3">
              <w:rPr>
                <w:rFonts w:ascii="Times New Roman" w:hAnsi="Times New Roman"/>
                <w:sz w:val="20"/>
                <w:szCs w:val="20"/>
              </w:rPr>
              <w:t>$3,460,244</w:t>
            </w:r>
          </w:p>
        </w:tc>
      </w:tr>
      <w:tr w14:paraId="7BC35FD4"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A91C51" w:rsidRPr="00697208" w:rsidP="00A91C51" w14:paraId="70BC174C" w14:textId="77777777">
            <w:pPr>
              <w:spacing w:after="0" w:line="240" w:lineRule="auto"/>
              <w:rPr>
                <w:rFonts w:ascii="Times New Roman" w:hAnsi="Times New Roman"/>
                <w:sz w:val="20"/>
                <w:szCs w:val="20"/>
              </w:rPr>
            </w:pPr>
            <w:r w:rsidRPr="00697208">
              <w:rPr>
                <w:rFonts w:ascii="Times New Roman" w:hAnsi="Times New Roman"/>
                <w:sz w:val="20"/>
                <w:szCs w:val="20"/>
              </w:rPr>
              <w:t>Net present value of the rule (7%, 10 years)</w:t>
            </w:r>
          </w:p>
        </w:tc>
        <w:tc>
          <w:tcPr>
            <w:tcW w:w="577" w:type="pct"/>
            <w:tcBorders>
              <w:top w:val="nil"/>
              <w:left w:val="nil"/>
              <w:bottom w:val="single" w:sz="4" w:space="0" w:color="auto"/>
              <w:right w:val="single" w:sz="4" w:space="0" w:color="auto"/>
            </w:tcBorders>
            <w:shd w:val="clear" w:color="auto" w:fill="auto"/>
            <w:noWrap/>
            <w:vAlign w:val="bottom"/>
          </w:tcPr>
          <w:p w:rsidR="00A91C51" w:rsidRPr="007E65E3" w:rsidP="00A91C51" w14:paraId="7AD6BEF5" w14:textId="269EF998">
            <w:pPr>
              <w:spacing w:after="0" w:line="240" w:lineRule="auto"/>
              <w:jc w:val="right"/>
              <w:rPr>
                <w:rFonts w:ascii="Times New Roman" w:hAnsi="Times New Roman"/>
                <w:sz w:val="20"/>
                <w:szCs w:val="20"/>
              </w:rPr>
            </w:pPr>
            <w:r w:rsidRPr="007E65E3">
              <w:rPr>
                <w:rFonts w:ascii="Times New Roman" w:hAnsi="Times New Roman"/>
                <w:sz w:val="20"/>
                <w:szCs w:val="20"/>
              </w:rPr>
              <w:t>$712,272</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1B68C30E" w14:textId="3BD9F6D0">
            <w:pPr>
              <w:spacing w:after="0" w:line="240" w:lineRule="auto"/>
              <w:jc w:val="right"/>
              <w:rPr>
                <w:rFonts w:ascii="Times New Roman" w:hAnsi="Times New Roman"/>
                <w:sz w:val="20"/>
                <w:szCs w:val="20"/>
              </w:rPr>
            </w:pPr>
            <w:r w:rsidRPr="007E65E3">
              <w:rPr>
                <w:rFonts w:ascii="Times New Roman" w:hAnsi="Times New Roman"/>
                <w:sz w:val="20"/>
                <w:szCs w:val="20"/>
              </w:rPr>
              <w:t>$1,424,545</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1D0FA1EA" w14:textId="33DE650D">
            <w:pPr>
              <w:spacing w:after="0" w:line="240" w:lineRule="auto"/>
              <w:jc w:val="right"/>
              <w:rPr>
                <w:rFonts w:ascii="Times New Roman" w:hAnsi="Times New Roman"/>
                <w:sz w:val="20"/>
                <w:szCs w:val="20"/>
              </w:rPr>
            </w:pPr>
            <w:r w:rsidRPr="007E65E3">
              <w:rPr>
                <w:rFonts w:ascii="Times New Roman" w:hAnsi="Times New Roman"/>
                <w:sz w:val="20"/>
                <w:szCs w:val="20"/>
              </w:rPr>
              <w:t>$2,849,089</w:t>
            </w:r>
          </w:p>
        </w:tc>
      </w:tr>
      <w:tr w14:paraId="6092CE1C"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tcPr>
          <w:p w:rsidR="00A91C51" w:rsidRPr="00697208" w:rsidP="00A91C51" w14:paraId="11402F58" w14:textId="77777777">
            <w:pPr>
              <w:spacing w:after="0" w:line="240" w:lineRule="auto"/>
              <w:rPr>
                <w:rFonts w:ascii="Times New Roman" w:hAnsi="Times New Roman"/>
                <w:b/>
                <w:bCs/>
                <w:sz w:val="20"/>
                <w:szCs w:val="20"/>
              </w:rPr>
            </w:pPr>
            <w:r w:rsidRPr="00697208">
              <w:rPr>
                <w:rFonts w:ascii="Times New Roman" w:hAnsi="Times New Roman"/>
                <w:b/>
                <w:bCs/>
                <w:sz w:val="20"/>
                <w:szCs w:val="20"/>
              </w:rPr>
              <w:t>Annualized cost savings of the rule (3%)</w:t>
            </w:r>
          </w:p>
        </w:tc>
        <w:tc>
          <w:tcPr>
            <w:tcW w:w="577" w:type="pct"/>
            <w:tcBorders>
              <w:top w:val="nil"/>
              <w:left w:val="nil"/>
              <w:bottom w:val="single" w:sz="4" w:space="0" w:color="auto"/>
              <w:right w:val="single" w:sz="4" w:space="0" w:color="auto"/>
            </w:tcBorders>
            <w:shd w:val="clear" w:color="auto" w:fill="auto"/>
            <w:noWrap/>
            <w:vAlign w:val="bottom"/>
          </w:tcPr>
          <w:p w:rsidR="00A91C51" w:rsidRPr="007E65E3" w:rsidP="00A91C51" w14:paraId="66650906" w14:textId="3EDDE731">
            <w:pPr>
              <w:spacing w:after="0" w:line="240" w:lineRule="auto"/>
              <w:jc w:val="right"/>
              <w:rPr>
                <w:rFonts w:ascii="Times New Roman" w:hAnsi="Times New Roman"/>
                <w:b/>
                <w:bCs/>
                <w:sz w:val="20"/>
                <w:szCs w:val="20"/>
              </w:rPr>
            </w:pPr>
            <w:r>
              <w:rPr>
                <w:rFonts w:ascii="Times New Roman" w:hAnsi="Times New Roman"/>
                <w:b/>
                <w:bCs/>
                <w:sz w:val="20"/>
                <w:szCs w:val="20"/>
              </w:rPr>
              <w:t>$</w:t>
            </w:r>
            <w:r w:rsidRPr="007E65E3" w:rsidR="00AE3CDF">
              <w:rPr>
                <w:rFonts w:ascii="Times New Roman" w:hAnsi="Times New Roman"/>
                <w:b/>
                <w:bCs/>
                <w:sz w:val="20"/>
                <w:szCs w:val="20"/>
              </w:rPr>
              <w:t>101,412</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4D182503" w14:textId="21A18926">
            <w:pPr>
              <w:spacing w:after="0" w:line="240" w:lineRule="auto"/>
              <w:jc w:val="right"/>
              <w:rPr>
                <w:rFonts w:ascii="Times New Roman" w:hAnsi="Times New Roman"/>
                <w:b/>
                <w:bCs/>
                <w:sz w:val="20"/>
                <w:szCs w:val="20"/>
              </w:rPr>
            </w:pPr>
            <w:r w:rsidRPr="007E65E3">
              <w:rPr>
                <w:rFonts w:ascii="Times New Roman" w:hAnsi="Times New Roman"/>
                <w:b/>
                <w:bCs/>
                <w:sz w:val="20"/>
                <w:szCs w:val="20"/>
              </w:rPr>
              <w:t>$202,823</w:t>
            </w:r>
          </w:p>
        </w:tc>
        <w:tc>
          <w:tcPr>
            <w:tcW w:w="625" w:type="pct"/>
            <w:tcBorders>
              <w:top w:val="nil"/>
              <w:left w:val="nil"/>
              <w:bottom w:val="single" w:sz="4" w:space="0" w:color="auto"/>
              <w:right w:val="single" w:sz="4" w:space="0" w:color="auto"/>
            </w:tcBorders>
            <w:shd w:val="clear" w:color="auto" w:fill="auto"/>
            <w:noWrap/>
            <w:vAlign w:val="bottom"/>
          </w:tcPr>
          <w:p w:rsidR="00A91C51" w:rsidRPr="007E65E3" w:rsidP="00A91C51" w14:paraId="3250CB44" w14:textId="4D1748C7">
            <w:pPr>
              <w:spacing w:after="0" w:line="240" w:lineRule="auto"/>
              <w:jc w:val="right"/>
              <w:rPr>
                <w:rFonts w:ascii="Times New Roman" w:hAnsi="Times New Roman"/>
                <w:b/>
                <w:bCs/>
                <w:sz w:val="20"/>
                <w:szCs w:val="20"/>
              </w:rPr>
            </w:pPr>
            <w:r w:rsidRPr="007E65E3">
              <w:rPr>
                <w:rFonts w:ascii="Times New Roman" w:hAnsi="Times New Roman"/>
                <w:b/>
                <w:bCs/>
                <w:sz w:val="20"/>
                <w:szCs w:val="20"/>
              </w:rPr>
              <w:t>$405,646</w:t>
            </w:r>
          </w:p>
        </w:tc>
      </w:tr>
      <w:tr w14:paraId="75A763C2" w14:textId="77777777" w:rsidTr="007E65E3">
        <w:tblPrEx>
          <w:tblW w:w="5000" w:type="pct"/>
          <w:tblLayout w:type="fixed"/>
          <w:tblLook w:val="04A0"/>
        </w:tblPrEx>
        <w:trPr>
          <w:trHeight w:val="288"/>
        </w:trPr>
        <w:tc>
          <w:tcPr>
            <w:tcW w:w="3173" w:type="pct"/>
            <w:tcBorders>
              <w:top w:val="nil"/>
              <w:left w:val="single" w:sz="4" w:space="0" w:color="auto"/>
              <w:bottom w:val="single" w:sz="4" w:space="0" w:color="auto"/>
              <w:right w:val="single" w:sz="4" w:space="0" w:color="auto"/>
            </w:tcBorders>
            <w:shd w:val="clear" w:color="auto" w:fill="auto"/>
            <w:noWrap/>
            <w:vAlign w:val="bottom"/>
            <w:hideMark/>
          </w:tcPr>
          <w:p w:rsidR="00D44F74" w:rsidRPr="00697208" w:rsidP="00D44F74" w14:paraId="7AFA0347" w14:textId="5BC9991F">
            <w:pPr>
              <w:spacing w:after="0" w:line="240" w:lineRule="auto"/>
              <w:rPr>
                <w:rFonts w:ascii="Times New Roman" w:hAnsi="Times New Roman"/>
                <w:b/>
                <w:bCs/>
                <w:sz w:val="20"/>
                <w:szCs w:val="20"/>
              </w:rPr>
            </w:pPr>
            <w:r w:rsidRPr="00697208">
              <w:rPr>
                <w:rFonts w:ascii="Times New Roman" w:hAnsi="Times New Roman"/>
                <w:b/>
                <w:bCs/>
                <w:sz w:val="20"/>
                <w:szCs w:val="20"/>
              </w:rPr>
              <w:t>Annualized cost savings of the rule (7%)</w:t>
            </w:r>
          </w:p>
        </w:tc>
        <w:tc>
          <w:tcPr>
            <w:tcW w:w="577" w:type="pct"/>
            <w:tcBorders>
              <w:top w:val="nil"/>
              <w:left w:val="nil"/>
              <w:bottom w:val="single" w:sz="4" w:space="0" w:color="auto"/>
              <w:right w:val="single" w:sz="4" w:space="0" w:color="auto"/>
            </w:tcBorders>
            <w:shd w:val="clear" w:color="auto" w:fill="auto"/>
            <w:noWrap/>
            <w:vAlign w:val="bottom"/>
          </w:tcPr>
          <w:p w:rsidR="00D44F74" w:rsidRPr="007E65E3" w:rsidP="00D44F74" w14:paraId="645CA557" w14:textId="786D422F">
            <w:pPr>
              <w:spacing w:after="0" w:line="240" w:lineRule="auto"/>
              <w:jc w:val="right"/>
              <w:rPr>
                <w:rFonts w:ascii="Times New Roman" w:hAnsi="Times New Roman"/>
                <w:b/>
                <w:bCs/>
                <w:sz w:val="20"/>
                <w:szCs w:val="20"/>
              </w:rPr>
            </w:pPr>
            <w:r>
              <w:rPr>
                <w:rFonts w:ascii="Times New Roman" w:hAnsi="Times New Roman"/>
                <w:b/>
                <w:bCs/>
                <w:sz w:val="20"/>
                <w:szCs w:val="20"/>
              </w:rPr>
              <w:t>$</w:t>
            </w:r>
            <w:r w:rsidRPr="007E65E3" w:rsidR="00AE3CDF">
              <w:rPr>
                <w:rFonts w:ascii="Times New Roman" w:hAnsi="Times New Roman"/>
                <w:b/>
                <w:bCs/>
                <w:sz w:val="20"/>
                <w:szCs w:val="20"/>
              </w:rPr>
              <w:t>101,412</w:t>
            </w:r>
          </w:p>
        </w:tc>
        <w:tc>
          <w:tcPr>
            <w:tcW w:w="625" w:type="pct"/>
            <w:tcBorders>
              <w:top w:val="nil"/>
              <w:left w:val="nil"/>
              <w:bottom w:val="single" w:sz="4" w:space="0" w:color="auto"/>
              <w:right w:val="single" w:sz="4" w:space="0" w:color="auto"/>
            </w:tcBorders>
            <w:shd w:val="clear" w:color="auto" w:fill="auto"/>
            <w:noWrap/>
            <w:vAlign w:val="bottom"/>
          </w:tcPr>
          <w:p w:rsidR="00D44F74" w:rsidRPr="007E65E3" w:rsidP="00D44F74" w14:paraId="513FDFD5" w14:textId="18F732AA">
            <w:pPr>
              <w:spacing w:after="0" w:line="240" w:lineRule="auto"/>
              <w:jc w:val="right"/>
              <w:rPr>
                <w:rFonts w:ascii="Times New Roman" w:hAnsi="Times New Roman"/>
                <w:b/>
                <w:bCs/>
                <w:sz w:val="20"/>
                <w:szCs w:val="20"/>
              </w:rPr>
            </w:pPr>
            <w:r w:rsidRPr="007E65E3">
              <w:rPr>
                <w:rFonts w:ascii="Times New Roman" w:hAnsi="Times New Roman"/>
                <w:b/>
                <w:bCs/>
                <w:sz w:val="20"/>
                <w:szCs w:val="20"/>
              </w:rPr>
              <w:t>$202,823</w:t>
            </w:r>
          </w:p>
        </w:tc>
        <w:tc>
          <w:tcPr>
            <w:tcW w:w="625" w:type="pct"/>
            <w:tcBorders>
              <w:top w:val="nil"/>
              <w:left w:val="nil"/>
              <w:bottom w:val="single" w:sz="4" w:space="0" w:color="auto"/>
              <w:right w:val="single" w:sz="4" w:space="0" w:color="auto"/>
            </w:tcBorders>
            <w:shd w:val="clear" w:color="auto" w:fill="auto"/>
            <w:noWrap/>
            <w:vAlign w:val="bottom"/>
          </w:tcPr>
          <w:p w:rsidR="00D44F74" w:rsidRPr="007E65E3" w:rsidP="00D44F74" w14:paraId="1A7AD76E" w14:textId="0AD62825">
            <w:pPr>
              <w:spacing w:after="0" w:line="240" w:lineRule="auto"/>
              <w:jc w:val="right"/>
              <w:rPr>
                <w:rFonts w:ascii="Times New Roman" w:hAnsi="Times New Roman"/>
                <w:b/>
                <w:bCs/>
                <w:sz w:val="20"/>
                <w:szCs w:val="20"/>
              </w:rPr>
            </w:pPr>
            <w:r w:rsidRPr="007E65E3">
              <w:rPr>
                <w:rFonts w:ascii="Times New Roman" w:hAnsi="Times New Roman"/>
                <w:b/>
                <w:bCs/>
                <w:sz w:val="20"/>
                <w:szCs w:val="20"/>
              </w:rPr>
              <w:t>$405,646</w:t>
            </w:r>
          </w:p>
        </w:tc>
      </w:tr>
    </w:tbl>
    <w:p w:rsidR="008557E3" w:rsidP="008557E3" w14:paraId="31AB10A6" w14:textId="77777777">
      <w:pPr>
        <w:spacing w:after="0" w:line="240" w:lineRule="auto"/>
        <w:ind w:right="58"/>
        <w:rPr>
          <w:rFonts w:ascii="Times New Roman" w:eastAsia="Times New Roman" w:hAnsi="Times New Roman"/>
          <w:sz w:val="24"/>
          <w:szCs w:val="24"/>
        </w:rPr>
      </w:pPr>
    </w:p>
    <w:p w:rsidR="00A222D6" w:rsidP="00E3170F" w14:paraId="36E5FDF4" w14:textId="77777777">
      <w:pPr>
        <w:spacing w:after="0" w:line="480" w:lineRule="auto"/>
        <w:contextualSpacing/>
        <w:jc w:val="center"/>
        <w:rPr>
          <w:rFonts w:ascii="Times New Roman" w:eastAsia="Times New Roman" w:hAnsi="Times New Roman"/>
          <w:i/>
          <w:sz w:val="24"/>
          <w:szCs w:val="24"/>
        </w:rPr>
      </w:pPr>
    </w:p>
    <w:p w:rsidR="00E3170F" w:rsidP="00E3170F" w14:paraId="09560E1B" w14:textId="268C82DB">
      <w:pPr>
        <w:spacing w:after="0" w:line="480" w:lineRule="auto"/>
        <w:contextualSpacing/>
        <w:jc w:val="center"/>
        <w:rPr>
          <w:rFonts w:ascii="Times New Roman" w:eastAsia="Times New Roman" w:hAnsi="Times New Roman"/>
          <w:i/>
          <w:sz w:val="24"/>
          <w:szCs w:val="24"/>
        </w:rPr>
      </w:pPr>
      <w:r>
        <w:rPr>
          <w:rFonts w:ascii="Times New Roman" w:eastAsia="Times New Roman" w:hAnsi="Times New Roman"/>
          <w:i/>
          <w:sz w:val="24"/>
          <w:szCs w:val="24"/>
        </w:rPr>
        <w:t>F.  Non</w:t>
      </w:r>
      <w:r w:rsidR="008705B4">
        <w:rPr>
          <w:rFonts w:ascii="Times New Roman" w:eastAsia="Times New Roman" w:hAnsi="Times New Roman"/>
          <w:i/>
          <w:sz w:val="24"/>
          <w:szCs w:val="24"/>
        </w:rPr>
        <w:t>-Quantified Benefits</w:t>
      </w:r>
      <w:r w:rsidR="00A222D6">
        <w:rPr>
          <w:rFonts w:ascii="Times New Roman" w:eastAsia="Times New Roman" w:hAnsi="Times New Roman"/>
          <w:i/>
          <w:sz w:val="24"/>
          <w:szCs w:val="24"/>
        </w:rPr>
        <w:t xml:space="preserve"> of the Rule</w:t>
      </w:r>
    </w:p>
    <w:p w:rsidR="006D4ADB" w:rsidP="00657584" w14:paraId="39C2901B" w14:textId="311DDCB4">
      <w:pPr>
        <w:spacing w:after="0" w:line="480" w:lineRule="auto"/>
        <w:ind w:firstLine="720"/>
        <w:contextualSpacing/>
        <w:rPr>
          <w:rFonts w:ascii="Times New Roman" w:eastAsia="Times New Roman" w:hAnsi="Times New Roman"/>
          <w:sz w:val="24"/>
          <w:szCs w:val="24"/>
        </w:rPr>
      </w:pPr>
      <w:r w:rsidRPr="6D9953FE">
        <w:rPr>
          <w:rFonts w:ascii="Times New Roman" w:eastAsia="Times New Roman" w:hAnsi="Times New Roman"/>
          <w:sz w:val="24"/>
          <w:szCs w:val="24"/>
        </w:rPr>
        <w:t xml:space="preserve">The rule will amend FDA’s current informed consent regulations to harmonize with the Common Rule’s provision for waiver or alteration of informed consent for certain minimal risk </w:t>
      </w:r>
      <w:r w:rsidRPr="6D9953FE">
        <w:rPr>
          <w:rFonts w:ascii="Times New Roman" w:eastAsia="Times New Roman" w:hAnsi="Times New Roman"/>
          <w:sz w:val="24"/>
          <w:szCs w:val="24"/>
        </w:rPr>
        <w:t>research.  We expect benefits in the form of healthcare advances stemming from additional minimal risk clinical investigations that would proceed using a waiver or alteration of informed consent</w:t>
      </w:r>
      <w:r w:rsidRPr="6D9953FE" w:rsidR="001F2361">
        <w:rPr>
          <w:rFonts w:ascii="Times New Roman" w:eastAsia="Times New Roman" w:hAnsi="Times New Roman"/>
          <w:sz w:val="24"/>
          <w:szCs w:val="24"/>
        </w:rPr>
        <w:t>.  For example,</w:t>
      </w:r>
      <w:r w:rsidRPr="6D9953FE" w:rsidR="00F856A5">
        <w:rPr>
          <w:rFonts w:ascii="Times New Roman" w:eastAsia="Times New Roman" w:hAnsi="Times New Roman"/>
          <w:sz w:val="24"/>
          <w:szCs w:val="24"/>
        </w:rPr>
        <w:t xml:space="preserve"> </w:t>
      </w:r>
      <w:r w:rsidRPr="6D9953FE" w:rsidR="00657584">
        <w:rPr>
          <w:rFonts w:ascii="Times New Roman" w:eastAsia="Times New Roman" w:hAnsi="Times New Roman"/>
          <w:sz w:val="24"/>
          <w:szCs w:val="24"/>
        </w:rPr>
        <w:t xml:space="preserve">there are important clinical questions regarding the real-world effectiveness of FDA-regulated medical products that may </w:t>
      </w:r>
      <w:r w:rsidRPr="6D9953FE" w:rsidR="000D790E">
        <w:rPr>
          <w:rFonts w:ascii="Times New Roman" w:eastAsia="Times New Roman" w:hAnsi="Times New Roman"/>
          <w:sz w:val="24"/>
          <w:szCs w:val="24"/>
        </w:rPr>
        <w:t xml:space="preserve">be </w:t>
      </w:r>
      <w:r w:rsidRPr="6D9953FE" w:rsidR="00657584">
        <w:rPr>
          <w:rFonts w:ascii="Times New Roman" w:eastAsia="Times New Roman" w:hAnsi="Times New Roman"/>
          <w:sz w:val="24"/>
          <w:szCs w:val="24"/>
        </w:rPr>
        <w:t xml:space="preserve">impracticable to </w:t>
      </w:r>
      <w:r w:rsidRPr="6D9953FE" w:rsidR="00E772C6">
        <w:rPr>
          <w:rFonts w:ascii="Times New Roman" w:eastAsia="Times New Roman" w:hAnsi="Times New Roman"/>
          <w:sz w:val="24"/>
          <w:szCs w:val="24"/>
        </w:rPr>
        <w:t xml:space="preserve">address </w:t>
      </w:r>
      <w:r w:rsidRPr="6D9953FE" w:rsidR="007254FE">
        <w:rPr>
          <w:rFonts w:ascii="Times New Roman" w:eastAsia="Times New Roman" w:hAnsi="Times New Roman"/>
          <w:sz w:val="24"/>
          <w:szCs w:val="24"/>
        </w:rPr>
        <w:t xml:space="preserve">in research </w:t>
      </w:r>
      <w:r w:rsidRPr="6D9953FE" w:rsidR="005722EC">
        <w:rPr>
          <w:rFonts w:ascii="Times New Roman" w:eastAsia="Times New Roman" w:hAnsi="Times New Roman"/>
          <w:sz w:val="24"/>
          <w:szCs w:val="24"/>
        </w:rPr>
        <w:t xml:space="preserve">requiring </w:t>
      </w:r>
      <w:r w:rsidRPr="6D9953FE" w:rsidR="00657584">
        <w:rPr>
          <w:rFonts w:ascii="Times New Roman" w:eastAsia="Times New Roman" w:hAnsi="Times New Roman"/>
          <w:sz w:val="24"/>
          <w:szCs w:val="24"/>
        </w:rPr>
        <w:t>informed consent</w:t>
      </w:r>
      <w:r w:rsidRPr="6D9953FE" w:rsidR="005722EC">
        <w:rPr>
          <w:rFonts w:ascii="Times New Roman" w:eastAsia="Times New Roman" w:hAnsi="Times New Roman"/>
          <w:sz w:val="24"/>
          <w:szCs w:val="24"/>
        </w:rPr>
        <w:t>. While</w:t>
      </w:r>
      <w:r w:rsidRPr="6D9953FE" w:rsidR="00657584">
        <w:rPr>
          <w:rFonts w:ascii="Times New Roman" w:eastAsia="Times New Roman" w:hAnsi="Times New Roman"/>
          <w:sz w:val="24"/>
          <w:szCs w:val="24"/>
        </w:rPr>
        <w:t xml:space="preserve"> we estimate the</w:t>
      </w:r>
      <w:r w:rsidRPr="6D9953FE" w:rsidR="00FE2CD9">
        <w:rPr>
          <w:rFonts w:ascii="Times New Roman" w:eastAsia="Times New Roman" w:hAnsi="Times New Roman"/>
          <w:sz w:val="24"/>
          <w:szCs w:val="24"/>
        </w:rPr>
        <w:t xml:space="preserve"> number of </w:t>
      </w:r>
      <w:r w:rsidRPr="6D9953FE" w:rsidR="007C4366">
        <w:rPr>
          <w:rFonts w:ascii="Times New Roman" w:eastAsia="Times New Roman" w:hAnsi="Times New Roman"/>
          <w:sz w:val="24"/>
          <w:szCs w:val="24"/>
        </w:rPr>
        <w:t>such</w:t>
      </w:r>
      <w:r w:rsidRPr="6D9953FE" w:rsidR="00657584">
        <w:rPr>
          <w:rFonts w:ascii="Times New Roman" w:eastAsia="Times New Roman" w:hAnsi="Times New Roman"/>
          <w:sz w:val="24"/>
          <w:szCs w:val="24"/>
        </w:rPr>
        <w:t xml:space="preserve"> </w:t>
      </w:r>
      <w:r w:rsidRPr="6D9953FE" w:rsidR="00543539">
        <w:rPr>
          <w:rFonts w:ascii="Times New Roman" w:eastAsia="Times New Roman" w:hAnsi="Times New Roman"/>
          <w:sz w:val="24"/>
          <w:szCs w:val="24"/>
        </w:rPr>
        <w:t>investigations</w:t>
      </w:r>
      <w:r w:rsidRPr="6D9953FE" w:rsidR="00FE2CD9">
        <w:rPr>
          <w:rFonts w:ascii="Times New Roman" w:eastAsia="Times New Roman" w:hAnsi="Times New Roman"/>
          <w:sz w:val="24"/>
          <w:szCs w:val="24"/>
        </w:rPr>
        <w:t xml:space="preserve"> initiated each year</w:t>
      </w:r>
      <w:r w:rsidRPr="6D9953FE" w:rsidR="007D2DC6">
        <w:rPr>
          <w:rFonts w:ascii="Times New Roman" w:eastAsia="Times New Roman" w:hAnsi="Times New Roman"/>
          <w:sz w:val="24"/>
          <w:szCs w:val="24"/>
        </w:rPr>
        <w:t xml:space="preserve"> will be relatively</w:t>
      </w:r>
      <w:r w:rsidRPr="6D9953FE" w:rsidR="00543539">
        <w:rPr>
          <w:rFonts w:ascii="Times New Roman" w:eastAsia="Times New Roman" w:hAnsi="Times New Roman"/>
          <w:sz w:val="24"/>
          <w:szCs w:val="24"/>
        </w:rPr>
        <w:t xml:space="preserve"> </w:t>
      </w:r>
      <w:r w:rsidRPr="6D9953FE" w:rsidR="00657584">
        <w:rPr>
          <w:rFonts w:ascii="Times New Roman" w:eastAsia="Times New Roman" w:hAnsi="Times New Roman"/>
          <w:sz w:val="24"/>
          <w:szCs w:val="24"/>
        </w:rPr>
        <w:t>small in number,</w:t>
      </w:r>
      <w:r w:rsidRPr="6D9953FE" w:rsidR="000D790E">
        <w:rPr>
          <w:rFonts w:ascii="Times New Roman" w:eastAsia="Times New Roman" w:hAnsi="Times New Roman"/>
          <w:sz w:val="24"/>
          <w:szCs w:val="24"/>
        </w:rPr>
        <w:t xml:space="preserve"> </w:t>
      </w:r>
      <w:r w:rsidRPr="6D9953FE" w:rsidR="00CE14F0">
        <w:rPr>
          <w:rFonts w:ascii="Times New Roman" w:eastAsia="Times New Roman" w:hAnsi="Times New Roman"/>
          <w:sz w:val="24"/>
          <w:szCs w:val="24"/>
        </w:rPr>
        <w:t>we expect their</w:t>
      </w:r>
      <w:r w:rsidRPr="6D9953FE" w:rsidR="00657584">
        <w:rPr>
          <w:rFonts w:ascii="Times New Roman" w:eastAsia="Times New Roman" w:hAnsi="Times New Roman"/>
          <w:sz w:val="24"/>
          <w:szCs w:val="24"/>
        </w:rPr>
        <w:t xml:space="preserve"> impact to </w:t>
      </w:r>
      <w:r w:rsidRPr="0020536E" w:rsidR="00D56EB5">
        <w:rPr>
          <w:rFonts w:ascii="Times New Roman" w:eastAsia="Times New Roman" w:hAnsi="Times New Roman"/>
          <w:sz w:val="24"/>
          <w:szCs w:val="24"/>
        </w:rPr>
        <w:t>be of particular value to</w:t>
      </w:r>
      <w:r w:rsidRPr="6D9953FE" w:rsidR="00D56EB5">
        <w:rPr>
          <w:rFonts w:ascii="Times New Roman" w:eastAsia="Times New Roman" w:hAnsi="Times New Roman"/>
          <w:b/>
          <w:bCs/>
          <w:sz w:val="24"/>
          <w:szCs w:val="24"/>
        </w:rPr>
        <w:t xml:space="preserve"> </w:t>
      </w:r>
      <w:r w:rsidRPr="6D9953FE" w:rsidR="00657584">
        <w:rPr>
          <w:rFonts w:ascii="Times New Roman" w:eastAsia="Times New Roman" w:hAnsi="Times New Roman"/>
          <w:sz w:val="24"/>
          <w:szCs w:val="24"/>
        </w:rPr>
        <w:t>clinical and patient communit</w:t>
      </w:r>
      <w:r w:rsidRPr="6D9953FE" w:rsidR="001204FE">
        <w:rPr>
          <w:rFonts w:ascii="Times New Roman" w:eastAsia="Times New Roman" w:hAnsi="Times New Roman"/>
          <w:sz w:val="24"/>
          <w:szCs w:val="24"/>
        </w:rPr>
        <w:t>ies</w:t>
      </w:r>
      <w:r w:rsidRPr="6D9953FE" w:rsidR="00657584">
        <w:rPr>
          <w:rFonts w:ascii="Times New Roman" w:eastAsia="Times New Roman" w:hAnsi="Times New Roman"/>
          <w:sz w:val="24"/>
          <w:szCs w:val="24"/>
        </w:rPr>
        <w:t>.  For example, SACHRP has recommended and reiterated in subsequent recommendations that FDA adopt the provisions for waiver</w:t>
      </w:r>
      <w:r w:rsidRPr="6D9953FE" w:rsidR="00E259E4">
        <w:rPr>
          <w:rFonts w:ascii="Times New Roman" w:eastAsia="Times New Roman" w:hAnsi="Times New Roman"/>
          <w:sz w:val="24"/>
          <w:szCs w:val="24"/>
        </w:rPr>
        <w:t xml:space="preserve"> </w:t>
      </w:r>
      <w:r w:rsidRPr="6D9953FE" w:rsidR="001F2361">
        <w:rPr>
          <w:rFonts w:ascii="Times New Roman" w:eastAsia="Times New Roman" w:hAnsi="Times New Roman"/>
          <w:sz w:val="24"/>
          <w:szCs w:val="24"/>
        </w:rPr>
        <w:t>or alteration</w:t>
      </w:r>
      <w:r w:rsidRPr="6D9953FE" w:rsidR="00657584">
        <w:rPr>
          <w:rFonts w:ascii="Times New Roman" w:eastAsia="Times New Roman" w:hAnsi="Times New Roman"/>
          <w:sz w:val="24"/>
          <w:szCs w:val="24"/>
        </w:rPr>
        <w:t xml:space="preserve"> of consent that exist under the </w:t>
      </w:r>
      <w:r w:rsidRPr="6D9953FE" w:rsidR="001F2361">
        <w:rPr>
          <w:rFonts w:ascii="Times New Roman" w:eastAsia="Times New Roman" w:hAnsi="Times New Roman"/>
          <w:sz w:val="24"/>
          <w:szCs w:val="24"/>
        </w:rPr>
        <w:t>C</w:t>
      </w:r>
      <w:r w:rsidRPr="6D9953FE" w:rsidR="00657584">
        <w:rPr>
          <w:rFonts w:ascii="Times New Roman" w:eastAsia="Times New Roman" w:hAnsi="Times New Roman"/>
          <w:sz w:val="24"/>
          <w:szCs w:val="24"/>
        </w:rPr>
        <w:t xml:space="preserve">ommon </w:t>
      </w:r>
      <w:r w:rsidRPr="6D9953FE" w:rsidR="001F2361">
        <w:rPr>
          <w:rFonts w:ascii="Times New Roman" w:eastAsia="Times New Roman" w:hAnsi="Times New Roman"/>
          <w:sz w:val="24"/>
          <w:szCs w:val="24"/>
        </w:rPr>
        <w:t>R</w:t>
      </w:r>
      <w:r w:rsidRPr="6D9953FE" w:rsidR="00657584">
        <w:rPr>
          <w:rFonts w:ascii="Times New Roman" w:eastAsia="Times New Roman" w:hAnsi="Times New Roman"/>
          <w:sz w:val="24"/>
          <w:szCs w:val="24"/>
        </w:rPr>
        <w:t>ule for minimal risk research, to facilitate cluster randomized trials</w:t>
      </w:r>
      <w:r w:rsidRPr="6D9953FE" w:rsidR="000D790E">
        <w:rPr>
          <w:rFonts w:ascii="Times New Roman" w:eastAsia="Times New Roman" w:hAnsi="Times New Roman"/>
          <w:sz w:val="24"/>
          <w:szCs w:val="24"/>
        </w:rPr>
        <w:t xml:space="preserve"> (</w:t>
      </w:r>
      <w:r w:rsidRPr="6D9953FE" w:rsidR="001E5EB0">
        <w:rPr>
          <w:rFonts w:ascii="Times New Roman" w:eastAsia="Times New Roman" w:hAnsi="Times New Roman"/>
          <w:sz w:val="24"/>
          <w:szCs w:val="24"/>
        </w:rPr>
        <w:t>Ref. 10)</w:t>
      </w:r>
      <w:r w:rsidRPr="6D9953FE" w:rsidR="00657584">
        <w:rPr>
          <w:rFonts w:ascii="Times New Roman" w:eastAsia="Times New Roman" w:hAnsi="Times New Roman"/>
          <w:sz w:val="24"/>
          <w:szCs w:val="24"/>
        </w:rPr>
        <w:t xml:space="preserve">.  Such trials </w:t>
      </w:r>
      <w:r w:rsidRPr="6D9953FE" w:rsidR="001F2361">
        <w:rPr>
          <w:rFonts w:ascii="Times New Roman" w:eastAsia="Times New Roman" w:hAnsi="Times New Roman"/>
          <w:sz w:val="24"/>
          <w:szCs w:val="24"/>
        </w:rPr>
        <w:t xml:space="preserve">may </w:t>
      </w:r>
      <w:r w:rsidRPr="6D9953FE" w:rsidR="4BDBB945">
        <w:rPr>
          <w:rFonts w:ascii="Times New Roman" w:eastAsia="Times New Roman" w:hAnsi="Times New Roman"/>
          <w:sz w:val="24"/>
          <w:szCs w:val="24"/>
        </w:rPr>
        <w:t xml:space="preserve">provide important insights </w:t>
      </w:r>
      <w:r w:rsidRPr="6D9953FE" w:rsidR="33507BB0">
        <w:rPr>
          <w:rFonts w:ascii="Times New Roman" w:eastAsia="Times New Roman" w:hAnsi="Times New Roman"/>
          <w:sz w:val="24"/>
          <w:szCs w:val="24"/>
        </w:rPr>
        <w:t xml:space="preserve">about the </w:t>
      </w:r>
      <w:r w:rsidRPr="6D9953FE" w:rsidR="00CD59D9">
        <w:rPr>
          <w:rFonts w:ascii="Times New Roman" w:eastAsia="Times New Roman" w:hAnsi="Times New Roman"/>
          <w:sz w:val="24"/>
          <w:szCs w:val="24"/>
        </w:rPr>
        <w:t xml:space="preserve">real-world effectiveness of </w:t>
      </w:r>
      <w:r w:rsidRPr="6D9953FE" w:rsidR="00BD25D9">
        <w:rPr>
          <w:rFonts w:ascii="Times New Roman" w:eastAsia="Times New Roman" w:hAnsi="Times New Roman"/>
          <w:sz w:val="24"/>
          <w:szCs w:val="24"/>
        </w:rPr>
        <w:t xml:space="preserve">a </w:t>
      </w:r>
      <w:r w:rsidRPr="6D9953FE" w:rsidR="00012E37">
        <w:rPr>
          <w:rFonts w:ascii="Times New Roman" w:eastAsia="Times New Roman" w:hAnsi="Times New Roman"/>
          <w:sz w:val="24"/>
          <w:szCs w:val="24"/>
        </w:rPr>
        <w:t>one or more FDA-regulated</w:t>
      </w:r>
      <w:r w:rsidRPr="6D9953FE" w:rsidR="00BD25D9">
        <w:rPr>
          <w:rFonts w:ascii="Times New Roman" w:eastAsia="Times New Roman" w:hAnsi="Times New Roman"/>
          <w:sz w:val="24"/>
          <w:szCs w:val="24"/>
        </w:rPr>
        <w:t xml:space="preserve"> product</w:t>
      </w:r>
      <w:r w:rsidRPr="6D9953FE" w:rsidR="00012E37">
        <w:rPr>
          <w:rFonts w:ascii="Times New Roman" w:eastAsia="Times New Roman" w:hAnsi="Times New Roman"/>
          <w:sz w:val="24"/>
          <w:szCs w:val="24"/>
        </w:rPr>
        <w:t>s</w:t>
      </w:r>
      <w:r w:rsidRPr="6D9953FE" w:rsidR="00BD25D9">
        <w:rPr>
          <w:rFonts w:ascii="Times New Roman" w:eastAsia="Times New Roman" w:hAnsi="Times New Roman"/>
          <w:sz w:val="24"/>
          <w:szCs w:val="24"/>
        </w:rPr>
        <w:t>.</w:t>
      </w:r>
      <w:r w:rsidRPr="6D9953FE" w:rsidR="007451EB">
        <w:rPr>
          <w:rFonts w:ascii="Times New Roman" w:eastAsia="Times New Roman" w:hAnsi="Times New Roman"/>
          <w:sz w:val="24"/>
          <w:szCs w:val="24"/>
        </w:rPr>
        <w:t xml:space="preserve"> </w:t>
      </w:r>
    </w:p>
    <w:p w:rsidR="00CF03DB" w:rsidRPr="000E2995" w:rsidP="000E2995" w14:paraId="1CE97CE1" w14:textId="25C4469C">
      <w:pPr>
        <w:spacing w:after="0" w:line="480" w:lineRule="auto"/>
        <w:ind w:firstLine="720"/>
        <w:contextualSpacing/>
        <w:rPr>
          <w:rFonts w:ascii="Times New Roman" w:eastAsia="Times New Roman" w:hAnsi="Times New Roman"/>
          <w:sz w:val="24"/>
          <w:szCs w:val="24"/>
        </w:rPr>
      </w:pPr>
      <w:r>
        <w:rPr>
          <w:rFonts w:ascii="Times New Roman" w:eastAsia="Times New Roman" w:hAnsi="Times New Roman"/>
          <w:sz w:val="24"/>
          <w:szCs w:val="24"/>
        </w:rPr>
        <w:t>We also expect benefits</w:t>
      </w:r>
      <w:r w:rsidR="0052382B">
        <w:rPr>
          <w:rFonts w:ascii="Times New Roman" w:eastAsia="Times New Roman" w:hAnsi="Times New Roman"/>
          <w:sz w:val="24"/>
          <w:szCs w:val="24"/>
        </w:rPr>
        <w:t xml:space="preserve"> from harmonization with the Common Rule’s provision for waiver or alteration of informed consent for certain minimal risk research.  The Common Rule provision is currently used by numerous Federal departments and agencies.  Some clinical research is subject to both FDA’s regulations and the Common Rule, so harmonization of this specific waiver provision will benefit those entities that conduct, sponsor, or review certain minimal risk clinical investigations by</w:t>
      </w:r>
      <w:r w:rsidR="00E96773">
        <w:rPr>
          <w:rFonts w:ascii="Times New Roman" w:eastAsia="Times New Roman" w:hAnsi="Times New Roman"/>
          <w:sz w:val="24"/>
          <w:szCs w:val="24"/>
        </w:rPr>
        <w:t>, as one public comment noted,</w:t>
      </w:r>
      <w:r w:rsidR="0052382B">
        <w:rPr>
          <w:rFonts w:ascii="Times New Roman" w:eastAsia="Times New Roman" w:hAnsi="Times New Roman"/>
          <w:sz w:val="24"/>
          <w:szCs w:val="24"/>
        </w:rPr>
        <w:t xml:space="preserve"> </w:t>
      </w:r>
      <w:r w:rsidR="00E96773">
        <w:rPr>
          <w:rFonts w:ascii="Times New Roman" w:eastAsia="Times New Roman" w:hAnsi="Times New Roman"/>
          <w:sz w:val="24"/>
          <w:szCs w:val="24"/>
        </w:rPr>
        <w:t>“</w:t>
      </w:r>
      <w:r w:rsidR="0052382B">
        <w:rPr>
          <w:rFonts w:ascii="Times New Roman" w:eastAsia="Times New Roman" w:hAnsi="Times New Roman"/>
          <w:sz w:val="24"/>
          <w:szCs w:val="24"/>
        </w:rPr>
        <w:t xml:space="preserve">reducing confusion </w:t>
      </w:r>
      <w:r w:rsidRPr="00E96773" w:rsidR="00E96773">
        <w:rPr>
          <w:rFonts w:ascii="Times New Roman" w:eastAsia="Times New Roman" w:hAnsi="Times New Roman"/>
          <w:sz w:val="24"/>
          <w:szCs w:val="24"/>
        </w:rPr>
        <w:t xml:space="preserve">between HHS and FDA research guidelines </w:t>
      </w:r>
      <w:r w:rsidRPr="00E96773" w:rsidR="00E96773">
        <w:rPr>
          <w:rFonts w:ascii="Times New Roman" w:eastAsia="Times New Roman" w:hAnsi="Times New Roman"/>
          <w:sz w:val="24"/>
          <w:szCs w:val="24"/>
        </w:rPr>
        <w:t>in regards to</w:t>
      </w:r>
      <w:r w:rsidRPr="00E96773" w:rsidR="00E96773">
        <w:rPr>
          <w:rFonts w:ascii="Times New Roman" w:eastAsia="Times New Roman" w:hAnsi="Times New Roman"/>
          <w:sz w:val="24"/>
          <w:szCs w:val="24"/>
        </w:rPr>
        <w:t xml:space="preserve"> the informed consent process</w:t>
      </w:r>
      <w:r w:rsidR="001D42D7">
        <w:rPr>
          <w:rFonts w:ascii="Times New Roman" w:eastAsia="Times New Roman" w:hAnsi="Times New Roman"/>
          <w:sz w:val="24"/>
          <w:szCs w:val="24"/>
        </w:rPr>
        <w:t>,</w:t>
      </w:r>
      <w:r w:rsidR="00E96773">
        <w:rPr>
          <w:rFonts w:ascii="Times New Roman" w:eastAsia="Times New Roman" w:hAnsi="Times New Roman"/>
          <w:sz w:val="24"/>
          <w:szCs w:val="24"/>
        </w:rPr>
        <w:t>”</w:t>
      </w:r>
      <w:r w:rsidRPr="00E96773" w:rsidR="00E96773">
        <w:rPr>
          <w:rFonts w:ascii="Times New Roman" w:eastAsia="Times New Roman" w:hAnsi="Times New Roman"/>
          <w:sz w:val="24"/>
          <w:szCs w:val="24"/>
        </w:rPr>
        <w:t xml:space="preserve"> </w:t>
      </w:r>
      <w:r w:rsidR="0052382B">
        <w:rPr>
          <w:rFonts w:ascii="Times New Roman" w:eastAsia="Times New Roman" w:hAnsi="Times New Roman"/>
          <w:sz w:val="24"/>
          <w:szCs w:val="24"/>
        </w:rPr>
        <w:t xml:space="preserve">and burden created by the need to comply with differing requirements.  </w:t>
      </w:r>
    </w:p>
    <w:p w:rsidR="00CF03DB" w:rsidRPr="00351B4D" w:rsidP="00351B4D" w14:paraId="44687FFC" w14:textId="3F18DAE1">
      <w:pPr>
        <w:spacing w:line="480" w:lineRule="auto"/>
        <w:jc w:val="center"/>
        <w:rPr>
          <w:rFonts w:ascii="Times New Roman" w:hAnsi="Times New Roman"/>
          <w:i/>
          <w:sz w:val="24"/>
          <w:szCs w:val="24"/>
        </w:rPr>
      </w:pPr>
      <w:r w:rsidRPr="00351B4D">
        <w:rPr>
          <w:rFonts w:ascii="Times New Roman" w:hAnsi="Times New Roman"/>
          <w:i/>
          <w:sz w:val="24"/>
          <w:szCs w:val="24"/>
        </w:rPr>
        <w:t xml:space="preserve">G.  Summary of </w:t>
      </w:r>
      <w:r w:rsidRPr="00351B4D" w:rsidR="009F6844">
        <w:rPr>
          <w:rFonts w:ascii="Times New Roman" w:hAnsi="Times New Roman"/>
          <w:i/>
          <w:sz w:val="24"/>
          <w:szCs w:val="24"/>
        </w:rPr>
        <w:t>Net Cost Savings</w:t>
      </w:r>
    </w:p>
    <w:p w:rsidR="000266C7" w:rsidRPr="00F816DB" w:rsidP="00F816DB" w14:paraId="306E8B55" w14:textId="5071352A">
      <w:pPr>
        <w:pStyle w:val="ListParagraph"/>
        <w:spacing w:line="480" w:lineRule="auto"/>
        <w:ind w:left="0" w:firstLine="720"/>
        <w:rPr>
          <w:iCs/>
          <w:szCs w:val="24"/>
        </w:rPr>
      </w:pPr>
      <w:r w:rsidRPr="000266C7">
        <w:rPr>
          <w:iCs/>
          <w:szCs w:val="24"/>
        </w:rPr>
        <w:t xml:space="preserve">We estimate that </w:t>
      </w:r>
      <w:r w:rsidRPr="003557BD">
        <w:rPr>
          <w:iCs/>
          <w:szCs w:val="24"/>
        </w:rPr>
        <w:t xml:space="preserve">the annualized net cost savings of the rule are approximately </w:t>
      </w:r>
      <w:r w:rsidRPr="00EA44BC">
        <w:rPr>
          <w:iCs/>
          <w:szCs w:val="24"/>
        </w:rPr>
        <w:t>-$</w:t>
      </w:r>
      <w:r w:rsidR="009268AE">
        <w:rPr>
          <w:iCs/>
          <w:szCs w:val="24"/>
        </w:rPr>
        <w:t>977.9</w:t>
      </w:r>
      <w:r w:rsidR="00B326B3">
        <w:rPr>
          <w:iCs/>
          <w:szCs w:val="24"/>
        </w:rPr>
        <w:t xml:space="preserve"> thousand</w:t>
      </w:r>
      <w:r w:rsidRPr="00EA44BC">
        <w:rPr>
          <w:iCs/>
          <w:szCs w:val="24"/>
        </w:rPr>
        <w:t xml:space="preserve"> (= </w:t>
      </w:r>
      <w:r w:rsidRPr="00F1171B" w:rsidR="00F1171B">
        <w:rPr>
          <w:iCs/>
          <w:szCs w:val="24"/>
        </w:rPr>
        <w:t>$202,823</w:t>
      </w:r>
      <w:r w:rsidRPr="00EA44BC">
        <w:rPr>
          <w:iCs/>
          <w:szCs w:val="24"/>
        </w:rPr>
        <w:t xml:space="preserve"> - $</w:t>
      </w:r>
      <w:r w:rsidRPr="00EA44BC" w:rsidR="00C32468">
        <w:rPr>
          <w:iCs/>
          <w:szCs w:val="24"/>
        </w:rPr>
        <w:t>71</w:t>
      </w:r>
      <w:r w:rsidR="005C0D04">
        <w:rPr>
          <w:iCs/>
          <w:szCs w:val="24"/>
        </w:rPr>
        <w:t>7,113</w:t>
      </w:r>
      <w:r w:rsidRPr="00EA44BC">
        <w:rPr>
          <w:iCs/>
          <w:szCs w:val="24"/>
        </w:rPr>
        <w:t xml:space="preserve"> - </w:t>
      </w:r>
      <w:r w:rsidRPr="006267AD" w:rsidR="006267AD">
        <w:rPr>
          <w:iCs/>
          <w:szCs w:val="24"/>
        </w:rPr>
        <w:t>$</w:t>
      </w:r>
      <w:r w:rsidRPr="006B3B3B" w:rsidR="006B3B3B">
        <w:rPr>
          <w:iCs/>
          <w:szCs w:val="24"/>
        </w:rPr>
        <w:t>57,976</w:t>
      </w:r>
      <w:r w:rsidR="00836B5E">
        <w:rPr>
          <w:iCs/>
          <w:szCs w:val="24"/>
        </w:rPr>
        <w:t xml:space="preserve"> </w:t>
      </w:r>
      <w:r w:rsidRPr="00EA44BC">
        <w:rPr>
          <w:iCs/>
          <w:szCs w:val="24"/>
        </w:rPr>
        <w:t xml:space="preserve">- </w:t>
      </w:r>
      <w:r w:rsidRPr="00A40821" w:rsidR="00A40821">
        <w:rPr>
          <w:iCs/>
          <w:szCs w:val="24"/>
        </w:rPr>
        <w:t>$405,646</w:t>
      </w:r>
      <w:r w:rsidRPr="00EA44BC">
        <w:rPr>
          <w:iCs/>
          <w:szCs w:val="24"/>
        </w:rPr>
        <w:t>)</w:t>
      </w:r>
      <w:r w:rsidRPr="003557BD">
        <w:rPr>
          <w:iCs/>
          <w:szCs w:val="24"/>
        </w:rPr>
        <w:t xml:space="preserve">, with a lower bound of approximately </w:t>
      </w:r>
      <w:r w:rsidRPr="00EA44BC">
        <w:rPr>
          <w:iCs/>
          <w:szCs w:val="24"/>
        </w:rPr>
        <w:t>-$</w:t>
      </w:r>
      <w:r w:rsidR="009268AE">
        <w:rPr>
          <w:iCs/>
          <w:szCs w:val="24"/>
        </w:rPr>
        <w:t>847.5</w:t>
      </w:r>
      <w:r w:rsidR="00A441B1">
        <w:rPr>
          <w:iCs/>
          <w:szCs w:val="24"/>
        </w:rPr>
        <w:t xml:space="preserve"> thousand</w:t>
      </w:r>
      <w:r w:rsidRPr="00EA44BC">
        <w:rPr>
          <w:iCs/>
          <w:szCs w:val="24"/>
        </w:rPr>
        <w:t xml:space="preserve"> (= </w:t>
      </w:r>
      <w:r w:rsidRPr="006D7DDC" w:rsidR="006D7DDC">
        <w:rPr>
          <w:iCs/>
          <w:szCs w:val="24"/>
        </w:rPr>
        <w:t>$101,412</w:t>
      </w:r>
      <w:r w:rsidRPr="00EA44BC">
        <w:rPr>
          <w:iCs/>
          <w:szCs w:val="24"/>
        </w:rPr>
        <w:t xml:space="preserve"> - $</w:t>
      </w:r>
      <w:r w:rsidRPr="00EA44BC" w:rsidR="00C32468">
        <w:rPr>
          <w:iCs/>
          <w:szCs w:val="24"/>
        </w:rPr>
        <w:t>71</w:t>
      </w:r>
      <w:r w:rsidR="005C0D04">
        <w:rPr>
          <w:iCs/>
          <w:szCs w:val="24"/>
        </w:rPr>
        <w:t>7,113</w:t>
      </w:r>
      <w:r w:rsidRPr="00EA44BC">
        <w:rPr>
          <w:iCs/>
          <w:szCs w:val="24"/>
        </w:rPr>
        <w:t xml:space="preserve"> - </w:t>
      </w:r>
      <w:r w:rsidRPr="00ED546C" w:rsidR="00ED546C">
        <w:rPr>
          <w:iCs/>
          <w:szCs w:val="24"/>
        </w:rPr>
        <w:t>$</w:t>
      </w:r>
      <w:r w:rsidR="00A75810">
        <w:rPr>
          <w:iCs/>
          <w:szCs w:val="24"/>
        </w:rPr>
        <w:t>28,988</w:t>
      </w:r>
      <w:r w:rsidRPr="00EA44BC">
        <w:rPr>
          <w:iCs/>
          <w:szCs w:val="24"/>
        </w:rPr>
        <w:t xml:space="preserve"> - </w:t>
      </w:r>
      <w:r w:rsidRPr="00772069" w:rsidR="00772069">
        <w:rPr>
          <w:iCs/>
          <w:szCs w:val="24"/>
        </w:rPr>
        <w:t>$202,823</w:t>
      </w:r>
      <w:r w:rsidRPr="00EA44BC">
        <w:rPr>
          <w:iCs/>
          <w:szCs w:val="24"/>
        </w:rPr>
        <w:t>)</w:t>
      </w:r>
      <w:r w:rsidRPr="003557BD">
        <w:rPr>
          <w:iCs/>
          <w:szCs w:val="24"/>
        </w:rPr>
        <w:t xml:space="preserve"> and an upper bound of </w:t>
      </w:r>
      <w:r w:rsidRPr="003557BD">
        <w:rPr>
          <w:iCs/>
          <w:szCs w:val="24"/>
        </w:rPr>
        <w:t xml:space="preserve">approximately </w:t>
      </w:r>
      <w:r w:rsidRPr="00EA44BC">
        <w:rPr>
          <w:iCs/>
          <w:szCs w:val="24"/>
        </w:rPr>
        <w:t>-$</w:t>
      </w:r>
      <w:r w:rsidR="00CB64A7">
        <w:rPr>
          <w:iCs/>
          <w:szCs w:val="24"/>
        </w:rPr>
        <w:t>1.2</w:t>
      </w:r>
      <w:r w:rsidRPr="00EA44BC">
        <w:rPr>
          <w:iCs/>
          <w:szCs w:val="24"/>
        </w:rPr>
        <w:t xml:space="preserve"> million (= </w:t>
      </w:r>
      <w:r w:rsidRPr="00250755" w:rsidR="00250755">
        <w:rPr>
          <w:iCs/>
          <w:szCs w:val="24"/>
        </w:rPr>
        <w:t>$405,646</w:t>
      </w:r>
      <w:r w:rsidRPr="00EA44BC">
        <w:rPr>
          <w:iCs/>
          <w:szCs w:val="24"/>
        </w:rPr>
        <w:t xml:space="preserve"> - $</w:t>
      </w:r>
      <w:r w:rsidRPr="00EA44BC" w:rsidR="00C32468">
        <w:rPr>
          <w:iCs/>
          <w:szCs w:val="24"/>
        </w:rPr>
        <w:t>71</w:t>
      </w:r>
      <w:r w:rsidR="005C0D04">
        <w:rPr>
          <w:iCs/>
          <w:szCs w:val="24"/>
        </w:rPr>
        <w:t>7,113</w:t>
      </w:r>
      <w:r w:rsidRPr="00EA44BC">
        <w:rPr>
          <w:iCs/>
          <w:szCs w:val="24"/>
        </w:rPr>
        <w:t xml:space="preserve"> - </w:t>
      </w:r>
      <w:r w:rsidRPr="00D26272" w:rsidR="00D26272">
        <w:rPr>
          <w:iCs/>
          <w:szCs w:val="24"/>
        </w:rPr>
        <w:t>$</w:t>
      </w:r>
      <w:r w:rsidRPr="006B3B3B" w:rsidR="006B3B3B">
        <w:rPr>
          <w:iCs/>
          <w:szCs w:val="24"/>
        </w:rPr>
        <w:t>115,952</w:t>
      </w:r>
      <w:r w:rsidRPr="00EA44BC">
        <w:rPr>
          <w:iCs/>
          <w:szCs w:val="24"/>
        </w:rPr>
        <w:t xml:space="preserve">- </w:t>
      </w:r>
      <w:r w:rsidRPr="00233962" w:rsidR="00233962">
        <w:rPr>
          <w:iCs/>
          <w:szCs w:val="24"/>
        </w:rPr>
        <w:t>$811,292</w:t>
      </w:r>
      <w:r w:rsidRPr="00EA44BC">
        <w:rPr>
          <w:iCs/>
          <w:szCs w:val="24"/>
        </w:rPr>
        <w:t>)</w:t>
      </w:r>
      <w:r w:rsidRPr="003557BD">
        <w:rPr>
          <w:iCs/>
          <w:szCs w:val="24"/>
        </w:rPr>
        <w:t xml:space="preserve"> at a 3 percent discount rate.  At a 7 percent discount rate, the estimated annualized net cost savings of the rule are approximately </w:t>
      </w:r>
      <w:r w:rsidRPr="00EA44BC">
        <w:rPr>
          <w:iCs/>
          <w:szCs w:val="24"/>
        </w:rPr>
        <w:t>-$</w:t>
      </w:r>
      <w:r w:rsidR="00CB64A7">
        <w:rPr>
          <w:iCs/>
          <w:szCs w:val="24"/>
        </w:rPr>
        <w:t>1.1</w:t>
      </w:r>
      <w:r w:rsidRPr="00EA44BC">
        <w:rPr>
          <w:iCs/>
          <w:szCs w:val="24"/>
        </w:rPr>
        <w:t xml:space="preserve"> million (= </w:t>
      </w:r>
      <w:r w:rsidRPr="00F1171B" w:rsidR="00F1171B">
        <w:rPr>
          <w:iCs/>
          <w:szCs w:val="24"/>
        </w:rPr>
        <w:t>$202,823</w:t>
      </w:r>
      <w:r w:rsidRPr="00EA44BC">
        <w:rPr>
          <w:iCs/>
          <w:szCs w:val="24"/>
        </w:rPr>
        <w:t xml:space="preserve"> - </w:t>
      </w:r>
      <w:r w:rsidRPr="003557BD" w:rsidR="003557BD">
        <w:rPr>
          <w:iCs/>
          <w:szCs w:val="24"/>
        </w:rPr>
        <w:t>$83</w:t>
      </w:r>
      <w:r w:rsidR="005C0D04">
        <w:rPr>
          <w:iCs/>
          <w:szCs w:val="24"/>
        </w:rPr>
        <w:t>8,382</w:t>
      </w:r>
      <w:r w:rsidRPr="00EA44BC">
        <w:rPr>
          <w:iCs/>
          <w:szCs w:val="24"/>
        </w:rPr>
        <w:t xml:space="preserve"> - </w:t>
      </w:r>
      <w:r w:rsidRPr="006267AD" w:rsidR="006267AD">
        <w:rPr>
          <w:iCs/>
          <w:szCs w:val="24"/>
        </w:rPr>
        <w:t>$</w:t>
      </w:r>
      <w:r w:rsidRPr="006B3B3B" w:rsidR="006B3B3B">
        <w:rPr>
          <w:iCs/>
          <w:szCs w:val="24"/>
        </w:rPr>
        <w:t>57,976</w:t>
      </w:r>
      <w:r w:rsidRPr="00EA44BC">
        <w:rPr>
          <w:iCs/>
          <w:szCs w:val="24"/>
        </w:rPr>
        <w:t xml:space="preserve">- </w:t>
      </w:r>
      <w:r w:rsidRPr="00A40821" w:rsidR="00A40821">
        <w:rPr>
          <w:iCs/>
          <w:szCs w:val="24"/>
        </w:rPr>
        <w:t>$405,646</w:t>
      </w:r>
      <w:r w:rsidRPr="00EA44BC">
        <w:rPr>
          <w:iCs/>
          <w:szCs w:val="24"/>
        </w:rPr>
        <w:t>)</w:t>
      </w:r>
      <w:r w:rsidRPr="003557BD">
        <w:rPr>
          <w:iCs/>
          <w:szCs w:val="24"/>
        </w:rPr>
        <w:t xml:space="preserve">, with a lower bound of approximately </w:t>
      </w:r>
      <w:r w:rsidRPr="00EA44BC">
        <w:rPr>
          <w:iCs/>
          <w:szCs w:val="24"/>
        </w:rPr>
        <w:t>-$</w:t>
      </w:r>
      <w:r w:rsidR="00360DC5">
        <w:rPr>
          <w:iCs/>
          <w:szCs w:val="24"/>
        </w:rPr>
        <w:t>968.8</w:t>
      </w:r>
      <w:r w:rsidR="002C6BC1">
        <w:rPr>
          <w:iCs/>
          <w:szCs w:val="24"/>
        </w:rPr>
        <w:t xml:space="preserve"> thousand</w:t>
      </w:r>
      <w:r w:rsidRPr="00EA44BC">
        <w:rPr>
          <w:iCs/>
          <w:szCs w:val="24"/>
        </w:rPr>
        <w:t xml:space="preserve"> (= </w:t>
      </w:r>
      <w:r w:rsidRPr="00BE18D8" w:rsidR="00BE18D8">
        <w:rPr>
          <w:iCs/>
          <w:szCs w:val="24"/>
        </w:rPr>
        <w:t>$101,412</w:t>
      </w:r>
      <w:r w:rsidRPr="00EA44BC">
        <w:rPr>
          <w:iCs/>
          <w:szCs w:val="24"/>
        </w:rPr>
        <w:t xml:space="preserve"> - </w:t>
      </w:r>
      <w:r w:rsidRPr="003557BD" w:rsidR="003557BD">
        <w:rPr>
          <w:iCs/>
          <w:szCs w:val="24"/>
        </w:rPr>
        <w:t>$83</w:t>
      </w:r>
      <w:r w:rsidR="005C0D04">
        <w:rPr>
          <w:iCs/>
          <w:szCs w:val="24"/>
        </w:rPr>
        <w:t>8,382</w:t>
      </w:r>
      <w:r w:rsidRPr="00EA44BC">
        <w:rPr>
          <w:iCs/>
          <w:szCs w:val="24"/>
        </w:rPr>
        <w:t xml:space="preserve"> - </w:t>
      </w:r>
      <w:r w:rsidRPr="00412348" w:rsidR="00412348">
        <w:rPr>
          <w:iCs/>
          <w:szCs w:val="24"/>
        </w:rPr>
        <w:t>$</w:t>
      </w:r>
      <w:r w:rsidR="00A75810">
        <w:rPr>
          <w:iCs/>
          <w:szCs w:val="24"/>
        </w:rPr>
        <w:t>28,988</w:t>
      </w:r>
      <w:r w:rsidRPr="00EA44BC">
        <w:rPr>
          <w:iCs/>
          <w:szCs w:val="24"/>
        </w:rPr>
        <w:t xml:space="preserve"> - </w:t>
      </w:r>
      <w:r w:rsidRPr="00772069" w:rsidR="00772069">
        <w:rPr>
          <w:iCs/>
          <w:szCs w:val="24"/>
        </w:rPr>
        <w:t>$202,823</w:t>
      </w:r>
      <w:r w:rsidRPr="00EA44BC">
        <w:rPr>
          <w:iCs/>
          <w:szCs w:val="24"/>
        </w:rPr>
        <w:t>)</w:t>
      </w:r>
      <w:r w:rsidRPr="003557BD">
        <w:rPr>
          <w:iCs/>
          <w:szCs w:val="24"/>
        </w:rPr>
        <w:t xml:space="preserve"> and an upper bound of approximately </w:t>
      </w:r>
      <w:r w:rsidRPr="00EA44BC">
        <w:rPr>
          <w:iCs/>
          <w:szCs w:val="24"/>
        </w:rPr>
        <w:t>-$</w:t>
      </w:r>
      <w:r w:rsidR="004559BF">
        <w:rPr>
          <w:iCs/>
          <w:szCs w:val="24"/>
        </w:rPr>
        <w:t>1.4</w:t>
      </w:r>
      <w:r w:rsidRPr="00EA44BC">
        <w:rPr>
          <w:iCs/>
          <w:szCs w:val="24"/>
        </w:rPr>
        <w:t xml:space="preserve"> million (= </w:t>
      </w:r>
      <w:r w:rsidRPr="00250755" w:rsidR="00250755">
        <w:rPr>
          <w:iCs/>
          <w:szCs w:val="24"/>
        </w:rPr>
        <w:t>$405,646</w:t>
      </w:r>
      <w:r w:rsidRPr="00EA44BC">
        <w:rPr>
          <w:iCs/>
          <w:szCs w:val="24"/>
        </w:rPr>
        <w:t xml:space="preserve"> - </w:t>
      </w:r>
      <w:r w:rsidRPr="003557BD" w:rsidR="003557BD">
        <w:rPr>
          <w:iCs/>
          <w:szCs w:val="24"/>
        </w:rPr>
        <w:t>$83</w:t>
      </w:r>
      <w:r w:rsidR="005C0D04">
        <w:rPr>
          <w:iCs/>
          <w:szCs w:val="24"/>
        </w:rPr>
        <w:t>8,382</w:t>
      </w:r>
      <w:r w:rsidRPr="00EA44BC">
        <w:rPr>
          <w:iCs/>
          <w:szCs w:val="24"/>
        </w:rPr>
        <w:t xml:space="preserve"> - </w:t>
      </w:r>
      <w:r w:rsidRPr="00D26272" w:rsidR="00D26272">
        <w:rPr>
          <w:iCs/>
          <w:szCs w:val="24"/>
        </w:rPr>
        <w:t>$</w:t>
      </w:r>
      <w:r w:rsidRPr="006B3B3B" w:rsidR="006B3B3B">
        <w:rPr>
          <w:iCs/>
          <w:szCs w:val="24"/>
        </w:rPr>
        <w:t>115,952</w:t>
      </w:r>
      <w:r w:rsidRPr="00EA44BC">
        <w:rPr>
          <w:iCs/>
          <w:szCs w:val="24"/>
        </w:rPr>
        <w:t xml:space="preserve">- </w:t>
      </w:r>
      <w:r w:rsidRPr="00233962" w:rsidR="00233962">
        <w:rPr>
          <w:iCs/>
          <w:szCs w:val="24"/>
        </w:rPr>
        <w:t>$811,292</w:t>
      </w:r>
      <w:r w:rsidRPr="00EA44BC">
        <w:rPr>
          <w:iCs/>
          <w:szCs w:val="24"/>
        </w:rPr>
        <w:t>)</w:t>
      </w:r>
      <w:r w:rsidRPr="003557BD">
        <w:rPr>
          <w:iCs/>
          <w:szCs w:val="24"/>
        </w:rPr>
        <w:t>.  The estimated costs and cost savings of the rule are summarized in Table 7.</w:t>
      </w:r>
    </w:p>
    <w:tbl>
      <w:tblPr>
        <w:tblW w:w="5000" w:type="pct"/>
        <w:tblLayout w:type="fixed"/>
        <w:tblLook w:val="04A0"/>
      </w:tblPr>
      <w:tblGrid>
        <w:gridCol w:w="4410"/>
        <w:gridCol w:w="1528"/>
        <w:gridCol w:w="1711"/>
        <w:gridCol w:w="1711"/>
      </w:tblGrid>
      <w:tr w14:paraId="60012BE8" w14:textId="77777777" w:rsidTr="00367634">
        <w:tblPrEx>
          <w:tblW w:w="5000" w:type="pct"/>
          <w:tblLayout w:type="fixed"/>
          <w:tblLook w:val="04A0"/>
        </w:tblPrEx>
        <w:trPr>
          <w:trHeight w:val="288"/>
        </w:trPr>
        <w:tc>
          <w:tcPr>
            <w:tcW w:w="5000" w:type="pct"/>
            <w:gridSpan w:val="4"/>
            <w:shd w:val="clear" w:color="auto" w:fill="auto"/>
            <w:noWrap/>
            <w:vAlign w:val="center"/>
          </w:tcPr>
          <w:p w:rsidR="000A0299" w:rsidP="00367634" w14:paraId="06B05362" w14:textId="77777777">
            <w:pPr>
              <w:spacing w:after="0" w:line="480" w:lineRule="auto"/>
              <w:rPr>
                <w:rFonts w:ascii="Times New Roman" w:eastAsia="Times New Roman" w:hAnsi="Times New Roman"/>
                <w:b/>
                <w:bCs/>
                <w:color w:val="000000"/>
                <w:sz w:val="24"/>
                <w:szCs w:val="24"/>
              </w:rPr>
            </w:pPr>
          </w:p>
          <w:p w:rsidR="00CF03DB" w:rsidRPr="007C08B8" w:rsidP="00D37C6D" w14:paraId="1A879F91" w14:textId="27C0561E">
            <w:pPr>
              <w:spacing w:after="0" w:line="240" w:lineRule="auto"/>
              <w:jc w:val="center"/>
              <w:rPr>
                <w:rFonts w:ascii="Times New Roman" w:hAnsi="Times New Roman"/>
                <w:b/>
                <w:bCs/>
                <w:color w:val="000000"/>
                <w:sz w:val="24"/>
                <w:szCs w:val="24"/>
              </w:rPr>
            </w:pPr>
            <w:r w:rsidRPr="007C08B8">
              <w:rPr>
                <w:rFonts w:ascii="Times New Roman" w:eastAsia="Times New Roman" w:hAnsi="Times New Roman"/>
                <w:b/>
                <w:bCs/>
                <w:color w:val="000000"/>
                <w:sz w:val="24"/>
                <w:szCs w:val="24"/>
              </w:rPr>
              <w:t xml:space="preserve">Table </w:t>
            </w:r>
            <w:r w:rsidR="00462C61">
              <w:rPr>
                <w:rFonts w:ascii="Times New Roman" w:eastAsia="Times New Roman" w:hAnsi="Times New Roman"/>
                <w:b/>
                <w:bCs/>
                <w:color w:val="000000"/>
                <w:sz w:val="24"/>
                <w:szCs w:val="24"/>
              </w:rPr>
              <w:t>7</w:t>
            </w:r>
            <w:r w:rsidRPr="007C08B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Summary of Costs and Cost Savings of the Rule (2020$)</w:t>
            </w:r>
          </w:p>
        </w:tc>
      </w:tr>
      <w:tr w14:paraId="221ACEA9" w14:textId="77777777" w:rsidTr="00367634">
        <w:tblPrEx>
          <w:tblW w:w="5000" w:type="pct"/>
          <w:tblLayout w:type="fixed"/>
          <w:tblLook w:val="04A0"/>
        </w:tblPrEx>
        <w:trPr>
          <w:trHeight w:val="288"/>
        </w:trPr>
        <w:tc>
          <w:tcPr>
            <w:tcW w:w="2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3DB" w:rsidRPr="000E0EF3" w:rsidP="00D37C6D" w14:paraId="27FE3FE5" w14:textId="77777777">
            <w:pPr>
              <w:spacing w:after="0" w:line="240" w:lineRule="auto"/>
              <w:rPr>
                <w:rFonts w:ascii="Times New Roman" w:hAnsi="Times New Roman"/>
                <w:color w:val="000000"/>
                <w:sz w:val="20"/>
                <w:szCs w:val="20"/>
              </w:rPr>
            </w:pPr>
            <w:r w:rsidRPr="000E0EF3">
              <w:rPr>
                <w:rFonts w:ascii="Times New Roman" w:hAnsi="Times New Roman"/>
                <w:color w:val="000000"/>
                <w:sz w:val="20"/>
                <w:szCs w:val="20"/>
              </w:rPr>
              <w:t> </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5FE5FB26"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Low</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14E0BB2C"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Middle</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0C793CB6"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High</w:t>
            </w:r>
          </w:p>
        </w:tc>
      </w:tr>
      <w:tr w14:paraId="1372F656" w14:textId="77777777" w:rsidTr="00EA44BC">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C32468" w:rsidRPr="00367634" w:rsidP="00C32468" w14:paraId="7976FA3D" w14:textId="77777777">
            <w:pPr>
              <w:spacing w:after="0" w:line="240" w:lineRule="auto"/>
              <w:rPr>
                <w:rFonts w:ascii="Times New Roman" w:hAnsi="Times New Roman"/>
                <w:sz w:val="20"/>
                <w:szCs w:val="20"/>
              </w:rPr>
            </w:pPr>
            <w:r w:rsidRPr="00367634">
              <w:rPr>
                <w:rFonts w:ascii="Times New Roman" w:hAnsi="Times New Roman"/>
                <w:sz w:val="20"/>
                <w:szCs w:val="20"/>
              </w:rPr>
              <w:t>Cost of reading the rule (annualized, 3%)</w:t>
            </w:r>
          </w:p>
        </w:tc>
        <w:tc>
          <w:tcPr>
            <w:tcW w:w="816" w:type="pct"/>
            <w:tcBorders>
              <w:top w:val="nil"/>
              <w:left w:val="nil"/>
              <w:bottom w:val="single" w:sz="4" w:space="0" w:color="auto"/>
              <w:right w:val="single" w:sz="4" w:space="0" w:color="auto"/>
            </w:tcBorders>
            <w:shd w:val="clear" w:color="auto" w:fill="auto"/>
            <w:noWrap/>
            <w:vAlign w:val="center"/>
          </w:tcPr>
          <w:p w:rsidR="00C32468" w:rsidRPr="00EA44BC" w:rsidP="00C32468" w14:paraId="646AF5FC" w14:textId="5EE66DEF">
            <w:pPr>
              <w:spacing w:after="0" w:line="240" w:lineRule="auto"/>
              <w:jc w:val="right"/>
              <w:rPr>
                <w:rFonts w:ascii="Times New Roman" w:hAnsi="Times New Roman"/>
                <w:sz w:val="20"/>
                <w:szCs w:val="20"/>
              </w:rPr>
            </w:pPr>
            <w:r w:rsidRPr="00EA44BC">
              <w:rPr>
                <w:rFonts w:ascii="Times New Roman" w:hAnsi="Times New Roman"/>
                <w:sz w:val="20"/>
                <w:szCs w:val="20"/>
              </w:rPr>
              <w:t>$71</w:t>
            </w:r>
            <w:r w:rsidR="009B1AFA">
              <w:rPr>
                <w:rFonts w:ascii="Times New Roman" w:hAnsi="Times New Roman"/>
                <w:sz w:val="20"/>
                <w:szCs w:val="20"/>
              </w:rPr>
              <w:t>7,113</w:t>
            </w:r>
          </w:p>
        </w:tc>
        <w:tc>
          <w:tcPr>
            <w:tcW w:w="914" w:type="pct"/>
            <w:tcBorders>
              <w:top w:val="nil"/>
              <w:left w:val="nil"/>
              <w:bottom w:val="single" w:sz="4" w:space="0" w:color="auto"/>
              <w:right w:val="single" w:sz="4" w:space="0" w:color="auto"/>
            </w:tcBorders>
            <w:shd w:val="clear" w:color="auto" w:fill="auto"/>
            <w:noWrap/>
          </w:tcPr>
          <w:p w:rsidR="00C32468" w:rsidRPr="00EA44BC" w:rsidP="00C32468" w14:paraId="766BC040" w14:textId="49145E56">
            <w:pPr>
              <w:spacing w:after="0" w:line="240" w:lineRule="auto"/>
              <w:jc w:val="right"/>
              <w:rPr>
                <w:rFonts w:ascii="Times New Roman" w:hAnsi="Times New Roman"/>
                <w:sz w:val="20"/>
                <w:szCs w:val="20"/>
              </w:rPr>
            </w:pPr>
            <w:r w:rsidRPr="00EA44BC">
              <w:rPr>
                <w:rFonts w:ascii="Times New Roman" w:hAnsi="Times New Roman"/>
                <w:sz w:val="20"/>
                <w:szCs w:val="20"/>
              </w:rPr>
              <w:t>$71</w:t>
            </w:r>
            <w:r w:rsidR="009B1AFA">
              <w:rPr>
                <w:rFonts w:ascii="Times New Roman" w:hAnsi="Times New Roman"/>
                <w:sz w:val="20"/>
                <w:szCs w:val="20"/>
              </w:rPr>
              <w:t>7,113</w:t>
            </w:r>
          </w:p>
        </w:tc>
        <w:tc>
          <w:tcPr>
            <w:tcW w:w="914" w:type="pct"/>
            <w:tcBorders>
              <w:top w:val="nil"/>
              <w:left w:val="nil"/>
              <w:bottom w:val="single" w:sz="4" w:space="0" w:color="auto"/>
              <w:right w:val="single" w:sz="4" w:space="0" w:color="auto"/>
            </w:tcBorders>
            <w:shd w:val="clear" w:color="auto" w:fill="auto"/>
            <w:noWrap/>
          </w:tcPr>
          <w:p w:rsidR="00C32468" w:rsidRPr="00EA44BC" w:rsidP="00C32468" w14:paraId="1EBB532F" w14:textId="2D73F464">
            <w:pPr>
              <w:spacing w:after="0" w:line="240" w:lineRule="auto"/>
              <w:jc w:val="right"/>
              <w:rPr>
                <w:rFonts w:ascii="Times New Roman" w:hAnsi="Times New Roman"/>
                <w:sz w:val="20"/>
                <w:szCs w:val="20"/>
              </w:rPr>
            </w:pPr>
            <w:r w:rsidRPr="00EA44BC">
              <w:rPr>
                <w:rFonts w:ascii="Times New Roman" w:hAnsi="Times New Roman"/>
                <w:sz w:val="20"/>
                <w:szCs w:val="20"/>
              </w:rPr>
              <w:t>$71</w:t>
            </w:r>
            <w:r>
              <w:rPr>
                <w:rFonts w:ascii="Times New Roman" w:hAnsi="Times New Roman"/>
                <w:sz w:val="20"/>
                <w:szCs w:val="20"/>
              </w:rPr>
              <w:t>7,113</w:t>
            </w:r>
          </w:p>
        </w:tc>
      </w:tr>
      <w:tr w14:paraId="6B9E8F95" w14:textId="77777777" w:rsidTr="00EA44BC">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3557BD" w:rsidRPr="00367634" w:rsidP="003557BD" w14:paraId="3C6106ED" w14:textId="77777777">
            <w:pPr>
              <w:spacing w:after="0" w:line="240" w:lineRule="auto"/>
              <w:rPr>
                <w:rFonts w:ascii="Times New Roman" w:hAnsi="Times New Roman"/>
                <w:sz w:val="20"/>
                <w:szCs w:val="20"/>
              </w:rPr>
            </w:pPr>
            <w:r w:rsidRPr="00367634">
              <w:rPr>
                <w:rFonts w:ascii="Times New Roman" w:hAnsi="Times New Roman"/>
                <w:sz w:val="20"/>
                <w:szCs w:val="20"/>
              </w:rPr>
              <w:t>Cost of reading the rule (annualized, 7%)</w:t>
            </w:r>
          </w:p>
        </w:tc>
        <w:tc>
          <w:tcPr>
            <w:tcW w:w="816" w:type="pct"/>
            <w:tcBorders>
              <w:top w:val="nil"/>
              <w:left w:val="nil"/>
              <w:bottom w:val="single" w:sz="4" w:space="0" w:color="auto"/>
              <w:right w:val="single" w:sz="4" w:space="0" w:color="auto"/>
            </w:tcBorders>
            <w:shd w:val="clear" w:color="auto" w:fill="auto"/>
            <w:noWrap/>
            <w:vAlign w:val="center"/>
          </w:tcPr>
          <w:p w:rsidR="003557BD" w:rsidRPr="00EA44BC" w:rsidP="003557BD" w14:paraId="71538916" w14:textId="6BACE61A">
            <w:pPr>
              <w:spacing w:after="0" w:line="240" w:lineRule="auto"/>
              <w:jc w:val="right"/>
              <w:rPr>
                <w:rFonts w:ascii="Times New Roman" w:hAnsi="Times New Roman"/>
                <w:sz w:val="20"/>
                <w:szCs w:val="20"/>
              </w:rPr>
            </w:pPr>
            <w:r w:rsidRPr="00EA44BC">
              <w:rPr>
                <w:rFonts w:ascii="Times New Roman" w:hAnsi="Times New Roman"/>
                <w:sz w:val="20"/>
                <w:szCs w:val="20"/>
              </w:rPr>
              <w:t>$</w:t>
            </w:r>
            <w:r w:rsidRPr="00EA44BC" w:rsidR="009B1AFA">
              <w:rPr>
                <w:rFonts w:ascii="Times New Roman" w:hAnsi="Times New Roman"/>
                <w:sz w:val="20"/>
                <w:szCs w:val="20"/>
              </w:rPr>
              <w:t>83</w:t>
            </w:r>
            <w:r w:rsidR="009B1AFA">
              <w:rPr>
                <w:rFonts w:ascii="Times New Roman" w:hAnsi="Times New Roman"/>
                <w:sz w:val="20"/>
                <w:szCs w:val="20"/>
              </w:rPr>
              <w:t>8,382</w:t>
            </w:r>
          </w:p>
        </w:tc>
        <w:tc>
          <w:tcPr>
            <w:tcW w:w="914" w:type="pct"/>
            <w:tcBorders>
              <w:top w:val="nil"/>
              <w:left w:val="nil"/>
              <w:bottom w:val="single" w:sz="4" w:space="0" w:color="auto"/>
              <w:right w:val="single" w:sz="4" w:space="0" w:color="auto"/>
            </w:tcBorders>
            <w:shd w:val="clear" w:color="auto" w:fill="auto"/>
            <w:noWrap/>
          </w:tcPr>
          <w:p w:rsidR="003557BD" w:rsidRPr="00EA44BC" w:rsidP="003557BD" w14:paraId="2CBF0CC6" w14:textId="630471D9">
            <w:pPr>
              <w:spacing w:after="0" w:line="240" w:lineRule="auto"/>
              <w:jc w:val="right"/>
              <w:rPr>
                <w:rFonts w:ascii="Times New Roman" w:hAnsi="Times New Roman"/>
                <w:sz w:val="20"/>
                <w:szCs w:val="20"/>
              </w:rPr>
            </w:pPr>
            <w:r w:rsidRPr="00EA44BC">
              <w:rPr>
                <w:rFonts w:ascii="Times New Roman" w:hAnsi="Times New Roman"/>
                <w:sz w:val="20"/>
                <w:szCs w:val="20"/>
              </w:rPr>
              <w:t>$83</w:t>
            </w:r>
            <w:r w:rsidR="009B1AFA">
              <w:rPr>
                <w:rFonts w:ascii="Times New Roman" w:hAnsi="Times New Roman"/>
                <w:sz w:val="20"/>
                <w:szCs w:val="20"/>
              </w:rPr>
              <w:t>8,382</w:t>
            </w:r>
          </w:p>
        </w:tc>
        <w:tc>
          <w:tcPr>
            <w:tcW w:w="914" w:type="pct"/>
            <w:tcBorders>
              <w:top w:val="nil"/>
              <w:left w:val="nil"/>
              <w:bottom w:val="single" w:sz="4" w:space="0" w:color="auto"/>
              <w:right w:val="single" w:sz="4" w:space="0" w:color="auto"/>
            </w:tcBorders>
            <w:shd w:val="clear" w:color="auto" w:fill="auto"/>
            <w:noWrap/>
          </w:tcPr>
          <w:p w:rsidR="003557BD" w:rsidRPr="00EA44BC" w:rsidP="003557BD" w14:paraId="3859E478" w14:textId="3C907C28">
            <w:pPr>
              <w:spacing w:after="0" w:line="240" w:lineRule="auto"/>
              <w:jc w:val="right"/>
              <w:rPr>
                <w:rFonts w:ascii="Times New Roman" w:hAnsi="Times New Roman"/>
                <w:sz w:val="20"/>
                <w:szCs w:val="20"/>
              </w:rPr>
            </w:pPr>
            <w:r w:rsidRPr="00EA44BC">
              <w:rPr>
                <w:rFonts w:ascii="Times New Roman" w:hAnsi="Times New Roman"/>
                <w:sz w:val="20"/>
                <w:szCs w:val="20"/>
              </w:rPr>
              <w:t>$83</w:t>
            </w:r>
            <w:r>
              <w:rPr>
                <w:rFonts w:ascii="Times New Roman" w:hAnsi="Times New Roman"/>
                <w:sz w:val="20"/>
                <w:szCs w:val="20"/>
              </w:rPr>
              <w:t>8,382</w:t>
            </w:r>
          </w:p>
        </w:tc>
      </w:tr>
      <w:tr w14:paraId="4D9A7A3F" w14:textId="77777777" w:rsidTr="00367634">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3CF7259D" w14:textId="77777777">
            <w:pPr>
              <w:spacing w:after="0" w:line="240" w:lineRule="auto"/>
              <w:rPr>
                <w:rFonts w:ascii="Times New Roman" w:hAnsi="Times New Roman"/>
                <w:sz w:val="20"/>
                <w:szCs w:val="20"/>
              </w:rPr>
            </w:pPr>
            <w:r w:rsidRPr="00367634">
              <w:rPr>
                <w:rFonts w:ascii="Times New Roman" w:hAnsi="Times New Roman"/>
                <w:sz w:val="20"/>
                <w:szCs w:val="20"/>
              </w:rPr>
              <w:t>Cost of drafting new documents (annualized, 3%)</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706AD3D2" w14:textId="0DF7DAB5">
            <w:pPr>
              <w:spacing w:after="0" w:line="240" w:lineRule="auto"/>
              <w:jc w:val="right"/>
              <w:rPr>
                <w:rFonts w:ascii="Times New Roman" w:hAnsi="Times New Roman"/>
                <w:sz w:val="20"/>
                <w:szCs w:val="20"/>
              </w:rPr>
            </w:pPr>
            <w:r>
              <w:rPr>
                <w:rFonts w:ascii="Times New Roman" w:hAnsi="Times New Roman"/>
                <w:sz w:val="20"/>
                <w:szCs w:val="20"/>
              </w:rPr>
              <w:t>$</w:t>
            </w:r>
            <w:r w:rsidR="00A75810">
              <w:rPr>
                <w:rFonts w:ascii="Times New Roman" w:hAnsi="Times New Roman"/>
                <w:sz w:val="20"/>
                <w:szCs w:val="20"/>
              </w:rPr>
              <w:t>28,988</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4D4D0CAF" w14:textId="788E12DD">
            <w:pPr>
              <w:spacing w:after="0" w:line="240" w:lineRule="auto"/>
              <w:jc w:val="right"/>
              <w:rPr>
                <w:rFonts w:ascii="Times New Roman" w:hAnsi="Times New Roman"/>
                <w:sz w:val="20"/>
                <w:szCs w:val="20"/>
              </w:rPr>
            </w:pPr>
            <w:r>
              <w:rPr>
                <w:rFonts w:ascii="Times New Roman" w:hAnsi="Times New Roman"/>
                <w:sz w:val="20"/>
                <w:szCs w:val="20"/>
              </w:rPr>
              <w:t>$</w:t>
            </w:r>
            <w:r w:rsidR="006B3B3B">
              <w:rPr>
                <w:rFonts w:ascii="Times New Roman" w:hAnsi="Times New Roman"/>
                <w:sz w:val="20"/>
                <w:szCs w:val="20"/>
              </w:rPr>
              <w:t>57,976</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1FEC76E9" w14:textId="7D76A291">
            <w:pPr>
              <w:spacing w:after="0" w:line="240" w:lineRule="auto"/>
              <w:jc w:val="right"/>
              <w:rPr>
                <w:rFonts w:ascii="Times New Roman" w:hAnsi="Times New Roman"/>
                <w:sz w:val="20"/>
                <w:szCs w:val="20"/>
              </w:rPr>
            </w:pPr>
            <w:r>
              <w:rPr>
                <w:rFonts w:ascii="Times New Roman" w:hAnsi="Times New Roman"/>
                <w:sz w:val="20"/>
                <w:szCs w:val="20"/>
              </w:rPr>
              <w:t>$</w:t>
            </w:r>
            <w:r w:rsidR="006B3B3B">
              <w:rPr>
                <w:rFonts w:ascii="Times New Roman" w:hAnsi="Times New Roman"/>
                <w:sz w:val="20"/>
                <w:szCs w:val="20"/>
              </w:rPr>
              <w:t>115,952</w:t>
            </w:r>
          </w:p>
        </w:tc>
      </w:tr>
      <w:tr w14:paraId="529D1931" w14:textId="77777777" w:rsidTr="00367634">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3A50A62B" w14:textId="77777777">
            <w:pPr>
              <w:spacing w:after="0" w:line="240" w:lineRule="auto"/>
              <w:rPr>
                <w:rFonts w:ascii="Times New Roman" w:hAnsi="Times New Roman"/>
                <w:sz w:val="20"/>
                <w:szCs w:val="20"/>
              </w:rPr>
            </w:pPr>
            <w:r w:rsidRPr="00367634">
              <w:rPr>
                <w:rFonts w:ascii="Times New Roman" w:hAnsi="Times New Roman"/>
                <w:sz w:val="20"/>
                <w:szCs w:val="20"/>
              </w:rPr>
              <w:t>Cost of drafting new documents (annualized, 7%)</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2D4BD1" w14:paraId="43038CF2" w14:textId="4B477F4C">
            <w:pPr>
              <w:spacing w:after="0" w:line="240" w:lineRule="auto"/>
              <w:jc w:val="right"/>
              <w:rPr>
                <w:rFonts w:ascii="Times New Roman" w:hAnsi="Times New Roman"/>
                <w:sz w:val="20"/>
                <w:szCs w:val="20"/>
              </w:rPr>
            </w:pPr>
            <w:r>
              <w:rPr>
                <w:rFonts w:ascii="Times New Roman" w:hAnsi="Times New Roman"/>
                <w:sz w:val="20"/>
                <w:szCs w:val="20"/>
              </w:rPr>
              <w:t>$</w:t>
            </w:r>
            <w:r w:rsidR="00A75810">
              <w:rPr>
                <w:rFonts w:ascii="Times New Roman" w:hAnsi="Times New Roman"/>
                <w:sz w:val="20"/>
                <w:szCs w:val="20"/>
              </w:rPr>
              <w:t>28,988</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7A430B22" w14:textId="10EB72BC">
            <w:pPr>
              <w:spacing w:after="0" w:line="240" w:lineRule="auto"/>
              <w:jc w:val="right"/>
              <w:rPr>
                <w:rFonts w:ascii="Times New Roman" w:hAnsi="Times New Roman"/>
                <w:sz w:val="20"/>
                <w:szCs w:val="20"/>
              </w:rPr>
            </w:pPr>
            <w:r>
              <w:rPr>
                <w:rFonts w:ascii="Times New Roman" w:hAnsi="Times New Roman"/>
                <w:sz w:val="20"/>
                <w:szCs w:val="20"/>
              </w:rPr>
              <w:t>$</w:t>
            </w:r>
            <w:r w:rsidRPr="006B3B3B" w:rsidR="006B3B3B">
              <w:rPr>
                <w:rFonts w:ascii="Times New Roman" w:hAnsi="Times New Roman"/>
                <w:sz w:val="20"/>
                <w:szCs w:val="20"/>
              </w:rPr>
              <w:t>57,976</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790F14C7" w14:textId="339D4DE5">
            <w:pPr>
              <w:spacing w:after="0" w:line="240" w:lineRule="auto"/>
              <w:jc w:val="right"/>
              <w:rPr>
                <w:rFonts w:ascii="Times New Roman" w:hAnsi="Times New Roman"/>
                <w:sz w:val="20"/>
                <w:szCs w:val="20"/>
              </w:rPr>
            </w:pPr>
            <w:r>
              <w:rPr>
                <w:rFonts w:ascii="Times New Roman" w:hAnsi="Times New Roman"/>
                <w:sz w:val="20"/>
                <w:szCs w:val="20"/>
              </w:rPr>
              <w:t>$</w:t>
            </w:r>
            <w:r w:rsidR="006B3B3B">
              <w:rPr>
                <w:rFonts w:ascii="Times New Roman" w:hAnsi="Times New Roman"/>
                <w:sz w:val="20"/>
                <w:szCs w:val="20"/>
              </w:rPr>
              <w:t>115,952</w:t>
            </w:r>
          </w:p>
        </w:tc>
      </w:tr>
      <w:tr w14:paraId="5033003B" w14:textId="77777777" w:rsidTr="000A0299">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6FDC533A" w14:textId="77777777">
            <w:pPr>
              <w:spacing w:after="0" w:line="240" w:lineRule="auto"/>
              <w:rPr>
                <w:rFonts w:ascii="Times New Roman" w:hAnsi="Times New Roman"/>
                <w:sz w:val="20"/>
                <w:szCs w:val="20"/>
              </w:rPr>
            </w:pPr>
            <w:r w:rsidRPr="00367634">
              <w:rPr>
                <w:rFonts w:ascii="Times New Roman" w:hAnsi="Times New Roman"/>
                <w:sz w:val="20"/>
                <w:szCs w:val="20"/>
              </w:rPr>
              <w:t>Cost of review and recordkeeping (annualized, 3%)</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7271BD85" w14:textId="18DE9004">
            <w:pPr>
              <w:spacing w:after="0" w:line="240" w:lineRule="auto"/>
              <w:jc w:val="right"/>
              <w:rPr>
                <w:rFonts w:ascii="Times New Roman" w:hAnsi="Times New Roman"/>
                <w:sz w:val="20"/>
                <w:szCs w:val="20"/>
              </w:rPr>
            </w:pPr>
            <w:r>
              <w:rPr>
                <w:rFonts w:ascii="Times New Roman" w:hAnsi="Times New Roman"/>
                <w:sz w:val="20"/>
                <w:szCs w:val="20"/>
              </w:rPr>
              <w:t>$202,823</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1080956D" w14:textId="5A8EB04B">
            <w:pPr>
              <w:spacing w:after="0" w:line="240" w:lineRule="auto"/>
              <w:jc w:val="right"/>
              <w:rPr>
                <w:rFonts w:ascii="Times New Roman" w:hAnsi="Times New Roman"/>
                <w:sz w:val="20"/>
                <w:szCs w:val="20"/>
              </w:rPr>
            </w:pPr>
            <w:r>
              <w:rPr>
                <w:rFonts w:ascii="Times New Roman" w:hAnsi="Times New Roman"/>
                <w:sz w:val="20"/>
                <w:szCs w:val="20"/>
              </w:rPr>
              <w:t>$405,646</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2FF11EB0" w14:textId="1CE41B61">
            <w:pPr>
              <w:spacing w:after="0" w:line="240" w:lineRule="auto"/>
              <w:jc w:val="right"/>
              <w:rPr>
                <w:rFonts w:ascii="Times New Roman" w:hAnsi="Times New Roman"/>
                <w:sz w:val="20"/>
                <w:szCs w:val="20"/>
              </w:rPr>
            </w:pPr>
            <w:r>
              <w:rPr>
                <w:rFonts w:ascii="Times New Roman" w:hAnsi="Times New Roman"/>
                <w:sz w:val="20"/>
                <w:szCs w:val="20"/>
              </w:rPr>
              <w:t>$811,292</w:t>
            </w:r>
          </w:p>
        </w:tc>
      </w:tr>
      <w:tr w14:paraId="381C7CC6" w14:textId="77777777" w:rsidTr="000A0299">
        <w:tblPrEx>
          <w:tblW w:w="5000" w:type="pct"/>
          <w:tblLayout w:type="fixed"/>
          <w:tblLook w:val="04A0"/>
        </w:tblPrEx>
        <w:trPr>
          <w:trHeight w:val="350"/>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4F9CBD69" w14:textId="77777777">
            <w:pPr>
              <w:spacing w:after="0" w:line="240" w:lineRule="auto"/>
              <w:rPr>
                <w:rFonts w:ascii="Times New Roman" w:hAnsi="Times New Roman"/>
                <w:sz w:val="20"/>
                <w:szCs w:val="20"/>
              </w:rPr>
            </w:pPr>
            <w:r w:rsidRPr="00367634">
              <w:rPr>
                <w:rFonts w:ascii="Times New Roman" w:hAnsi="Times New Roman"/>
                <w:sz w:val="20"/>
                <w:szCs w:val="20"/>
              </w:rPr>
              <w:t>Cost of review and recordkeeping (annualized, 7%)</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4B1B4726" w14:textId="3A42658F">
            <w:pPr>
              <w:spacing w:after="0" w:line="240" w:lineRule="auto"/>
              <w:jc w:val="right"/>
              <w:rPr>
                <w:rFonts w:ascii="Times New Roman" w:hAnsi="Times New Roman"/>
                <w:sz w:val="20"/>
                <w:szCs w:val="20"/>
              </w:rPr>
            </w:pPr>
            <w:r>
              <w:rPr>
                <w:rFonts w:ascii="Times New Roman" w:hAnsi="Times New Roman"/>
                <w:sz w:val="20"/>
                <w:szCs w:val="20"/>
              </w:rPr>
              <w:t>$202,823</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70856D1F" w14:textId="22B3D4E5">
            <w:pPr>
              <w:spacing w:after="0" w:line="240" w:lineRule="auto"/>
              <w:jc w:val="right"/>
              <w:rPr>
                <w:rFonts w:ascii="Times New Roman" w:hAnsi="Times New Roman"/>
                <w:sz w:val="20"/>
                <w:szCs w:val="20"/>
              </w:rPr>
            </w:pPr>
            <w:r>
              <w:rPr>
                <w:rFonts w:ascii="Times New Roman" w:hAnsi="Times New Roman"/>
                <w:sz w:val="20"/>
                <w:szCs w:val="20"/>
              </w:rPr>
              <w:t>$405,646</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49B822D1" w14:textId="2922E4C5">
            <w:pPr>
              <w:spacing w:after="0" w:line="240" w:lineRule="auto"/>
              <w:jc w:val="right"/>
              <w:rPr>
                <w:rFonts w:ascii="Times New Roman" w:hAnsi="Times New Roman"/>
                <w:sz w:val="20"/>
                <w:szCs w:val="20"/>
              </w:rPr>
            </w:pPr>
            <w:r>
              <w:rPr>
                <w:rFonts w:ascii="Times New Roman" w:hAnsi="Times New Roman"/>
                <w:sz w:val="20"/>
                <w:szCs w:val="20"/>
              </w:rPr>
              <w:t>$811,292</w:t>
            </w:r>
          </w:p>
        </w:tc>
      </w:tr>
      <w:tr w14:paraId="01485EB0" w14:textId="77777777" w:rsidTr="00367634">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37EB9165" w14:textId="77777777">
            <w:pPr>
              <w:spacing w:after="0" w:line="240" w:lineRule="auto"/>
              <w:rPr>
                <w:rFonts w:ascii="Times New Roman" w:hAnsi="Times New Roman"/>
                <w:sz w:val="20"/>
                <w:szCs w:val="20"/>
              </w:rPr>
            </w:pPr>
            <w:r w:rsidRPr="00367634">
              <w:rPr>
                <w:rFonts w:ascii="Times New Roman" w:hAnsi="Times New Roman"/>
                <w:sz w:val="20"/>
                <w:szCs w:val="20"/>
              </w:rPr>
              <w:t>Cost savings of the rule (annualized, 3%)</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6335A4E2" w14:textId="5C5ABB9B">
            <w:pPr>
              <w:spacing w:after="0" w:line="240" w:lineRule="auto"/>
              <w:jc w:val="right"/>
              <w:rPr>
                <w:rFonts w:ascii="Times New Roman" w:hAnsi="Times New Roman"/>
                <w:sz w:val="20"/>
                <w:szCs w:val="20"/>
              </w:rPr>
            </w:pPr>
            <w:r>
              <w:rPr>
                <w:rFonts w:ascii="Times New Roman" w:hAnsi="Times New Roman"/>
                <w:sz w:val="20"/>
                <w:szCs w:val="20"/>
              </w:rPr>
              <w:t>$101,412</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1C036019" w14:textId="27FE18BD">
            <w:pPr>
              <w:spacing w:after="0" w:line="240" w:lineRule="auto"/>
              <w:jc w:val="right"/>
              <w:rPr>
                <w:rFonts w:ascii="Times New Roman" w:hAnsi="Times New Roman"/>
                <w:sz w:val="20"/>
                <w:szCs w:val="20"/>
              </w:rPr>
            </w:pPr>
            <w:r>
              <w:rPr>
                <w:rFonts w:ascii="Times New Roman" w:hAnsi="Times New Roman"/>
                <w:sz w:val="20"/>
                <w:szCs w:val="20"/>
              </w:rPr>
              <w:t>$202,823</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488A6B6F" w14:textId="7731CB69">
            <w:pPr>
              <w:spacing w:after="0" w:line="240" w:lineRule="auto"/>
              <w:jc w:val="right"/>
              <w:rPr>
                <w:rFonts w:ascii="Times New Roman" w:hAnsi="Times New Roman"/>
                <w:sz w:val="20"/>
                <w:szCs w:val="20"/>
              </w:rPr>
            </w:pPr>
            <w:r>
              <w:rPr>
                <w:rFonts w:ascii="Times New Roman" w:hAnsi="Times New Roman"/>
                <w:sz w:val="20"/>
                <w:szCs w:val="20"/>
              </w:rPr>
              <w:t>$405,646</w:t>
            </w:r>
          </w:p>
        </w:tc>
      </w:tr>
      <w:tr w14:paraId="03B2C4C4" w14:textId="77777777" w:rsidTr="00367634">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506545DA" w14:textId="77777777">
            <w:pPr>
              <w:spacing w:after="0" w:line="240" w:lineRule="auto"/>
              <w:rPr>
                <w:rFonts w:ascii="Times New Roman" w:hAnsi="Times New Roman"/>
                <w:sz w:val="20"/>
                <w:szCs w:val="20"/>
              </w:rPr>
            </w:pPr>
            <w:r w:rsidRPr="00367634">
              <w:rPr>
                <w:rFonts w:ascii="Times New Roman" w:hAnsi="Times New Roman"/>
                <w:sz w:val="20"/>
                <w:szCs w:val="20"/>
              </w:rPr>
              <w:t>Cost savings of the rule (annualized, 7%)</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583593B6" w14:textId="5D3746A6">
            <w:pPr>
              <w:spacing w:after="0" w:line="240" w:lineRule="auto"/>
              <w:jc w:val="right"/>
              <w:rPr>
                <w:rFonts w:ascii="Times New Roman" w:hAnsi="Times New Roman"/>
                <w:sz w:val="20"/>
                <w:szCs w:val="20"/>
              </w:rPr>
            </w:pPr>
            <w:r>
              <w:rPr>
                <w:rFonts w:ascii="Times New Roman" w:hAnsi="Times New Roman"/>
                <w:sz w:val="20"/>
                <w:szCs w:val="20"/>
              </w:rPr>
              <w:t>$101,412</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1A70986B" w14:textId="4D4864A7">
            <w:pPr>
              <w:spacing w:after="0" w:line="240" w:lineRule="auto"/>
              <w:jc w:val="right"/>
              <w:rPr>
                <w:rFonts w:ascii="Times New Roman" w:hAnsi="Times New Roman"/>
                <w:sz w:val="20"/>
                <w:szCs w:val="20"/>
              </w:rPr>
            </w:pPr>
            <w:r>
              <w:rPr>
                <w:rFonts w:ascii="Times New Roman" w:hAnsi="Times New Roman"/>
                <w:sz w:val="20"/>
                <w:szCs w:val="20"/>
              </w:rPr>
              <w:t>$202,823</w:t>
            </w:r>
          </w:p>
        </w:tc>
        <w:tc>
          <w:tcPr>
            <w:tcW w:w="914" w:type="pct"/>
            <w:tcBorders>
              <w:top w:val="nil"/>
              <w:left w:val="nil"/>
              <w:bottom w:val="single" w:sz="4" w:space="0" w:color="auto"/>
              <w:right w:val="single" w:sz="4" w:space="0" w:color="auto"/>
            </w:tcBorders>
            <w:shd w:val="clear" w:color="auto" w:fill="auto"/>
            <w:noWrap/>
            <w:vAlign w:val="center"/>
          </w:tcPr>
          <w:p w:rsidR="00D42B32" w:rsidRPr="00EA44BC" w:rsidP="00D42B32" w14:paraId="6C93F88A" w14:textId="3875DFEE">
            <w:pPr>
              <w:spacing w:after="0" w:line="240" w:lineRule="auto"/>
              <w:jc w:val="right"/>
              <w:rPr>
                <w:rFonts w:ascii="Times New Roman" w:hAnsi="Times New Roman"/>
                <w:sz w:val="20"/>
                <w:szCs w:val="20"/>
              </w:rPr>
            </w:pPr>
            <w:r>
              <w:rPr>
                <w:rFonts w:ascii="Times New Roman" w:hAnsi="Times New Roman"/>
                <w:sz w:val="20"/>
                <w:szCs w:val="20"/>
              </w:rPr>
              <w:t>$405,646</w:t>
            </w:r>
          </w:p>
        </w:tc>
      </w:tr>
      <w:tr w14:paraId="3163C01B" w14:textId="77777777" w:rsidTr="000A0299">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7C3345C7" w14:textId="77777777">
            <w:pPr>
              <w:spacing w:after="0" w:line="240" w:lineRule="auto"/>
              <w:rPr>
                <w:rFonts w:ascii="Times New Roman" w:hAnsi="Times New Roman"/>
                <w:b/>
                <w:bCs/>
                <w:sz w:val="20"/>
                <w:szCs w:val="20"/>
              </w:rPr>
            </w:pPr>
            <w:r w:rsidRPr="00367634">
              <w:rPr>
                <w:rFonts w:ascii="Times New Roman" w:hAnsi="Times New Roman"/>
                <w:b/>
                <w:bCs/>
                <w:sz w:val="20"/>
                <w:szCs w:val="20"/>
              </w:rPr>
              <w:t>Net cost savings of the rule (annualized, 3%)</w:t>
            </w:r>
          </w:p>
        </w:tc>
        <w:tc>
          <w:tcPr>
            <w:tcW w:w="816" w:type="pct"/>
            <w:tcBorders>
              <w:top w:val="nil"/>
              <w:left w:val="nil"/>
              <w:bottom w:val="single" w:sz="4" w:space="0" w:color="auto"/>
              <w:right w:val="single" w:sz="4" w:space="0" w:color="auto"/>
            </w:tcBorders>
            <w:shd w:val="clear" w:color="auto" w:fill="auto"/>
            <w:noWrap/>
            <w:vAlign w:val="center"/>
          </w:tcPr>
          <w:p w:rsidR="00D42B32" w:rsidRPr="00EA44BC" w:rsidP="00D42B32" w14:paraId="5608D46F" w14:textId="15A56753">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47531E">
              <w:rPr>
                <w:rFonts w:ascii="Times New Roman" w:hAnsi="Times New Roman"/>
                <w:b/>
                <w:bCs/>
                <w:sz w:val="20"/>
                <w:szCs w:val="20"/>
              </w:rPr>
              <w:t>847,513</w:t>
            </w:r>
            <w:r w:rsidRPr="00EA44BC" w:rsidR="008722BF">
              <w:rPr>
                <w:rFonts w:ascii="Times New Roman" w:hAnsi="Times New Roman"/>
                <w:b/>
                <w:bCs/>
                <w:sz w:val="20"/>
                <w:szCs w:val="20"/>
              </w:rPr>
              <w:t>)</w:t>
            </w:r>
          </w:p>
        </w:tc>
        <w:tc>
          <w:tcPr>
            <w:tcW w:w="914" w:type="pct"/>
            <w:tcBorders>
              <w:top w:val="nil"/>
              <w:left w:val="nil"/>
              <w:bottom w:val="single" w:sz="4" w:space="0" w:color="auto"/>
              <w:right w:val="single" w:sz="4" w:space="0" w:color="auto"/>
            </w:tcBorders>
            <w:shd w:val="clear" w:color="auto" w:fill="auto"/>
            <w:noWrap/>
          </w:tcPr>
          <w:p w:rsidR="00D42B32" w:rsidRPr="00EA44BC" w:rsidP="00D42B32" w14:paraId="2BCA8AF4" w14:textId="24BA78A5">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846796">
              <w:rPr>
                <w:rFonts w:ascii="Times New Roman" w:hAnsi="Times New Roman"/>
                <w:b/>
                <w:bCs/>
                <w:sz w:val="20"/>
                <w:szCs w:val="20"/>
              </w:rPr>
              <w:t>97</w:t>
            </w:r>
            <w:r w:rsidR="0047531E">
              <w:rPr>
                <w:rFonts w:ascii="Times New Roman" w:hAnsi="Times New Roman"/>
                <w:b/>
                <w:bCs/>
                <w:sz w:val="20"/>
                <w:szCs w:val="20"/>
              </w:rPr>
              <w:t>7,912</w:t>
            </w:r>
            <w:r w:rsidRPr="00EA44BC" w:rsidR="00063870">
              <w:rPr>
                <w:rFonts w:ascii="Times New Roman" w:hAnsi="Times New Roman"/>
                <w:b/>
                <w:bCs/>
                <w:sz w:val="20"/>
                <w:szCs w:val="20"/>
              </w:rPr>
              <w:t>)</w:t>
            </w:r>
          </w:p>
        </w:tc>
        <w:tc>
          <w:tcPr>
            <w:tcW w:w="914" w:type="pct"/>
            <w:tcBorders>
              <w:top w:val="nil"/>
              <w:left w:val="nil"/>
              <w:bottom w:val="single" w:sz="4" w:space="0" w:color="auto"/>
              <w:right w:val="single" w:sz="4" w:space="0" w:color="auto"/>
            </w:tcBorders>
            <w:shd w:val="clear" w:color="auto" w:fill="auto"/>
            <w:noWrap/>
          </w:tcPr>
          <w:p w:rsidR="00D42B32" w:rsidRPr="00EA44BC" w:rsidP="00D42B32" w14:paraId="14418A4F" w14:textId="20B3092A">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CB64A7">
              <w:rPr>
                <w:rFonts w:ascii="Times New Roman" w:hAnsi="Times New Roman"/>
                <w:b/>
                <w:bCs/>
                <w:sz w:val="20"/>
                <w:szCs w:val="20"/>
              </w:rPr>
              <w:t>1,23</w:t>
            </w:r>
            <w:r w:rsidR="0047531E">
              <w:rPr>
                <w:rFonts w:ascii="Times New Roman" w:hAnsi="Times New Roman"/>
                <w:b/>
                <w:bCs/>
                <w:sz w:val="20"/>
                <w:szCs w:val="20"/>
              </w:rPr>
              <w:t>8,712</w:t>
            </w:r>
            <w:r w:rsidRPr="00EA44BC" w:rsidR="00063870">
              <w:rPr>
                <w:rFonts w:ascii="Times New Roman" w:hAnsi="Times New Roman"/>
                <w:b/>
                <w:bCs/>
                <w:sz w:val="20"/>
                <w:szCs w:val="20"/>
              </w:rPr>
              <w:t>)</w:t>
            </w:r>
          </w:p>
        </w:tc>
      </w:tr>
      <w:tr w14:paraId="76EAEBC6" w14:textId="77777777" w:rsidTr="000A0299">
        <w:tblPrEx>
          <w:tblW w:w="5000" w:type="pct"/>
          <w:tblLayout w:type="fixed"/>
          <w:tblLook w:val="04A0"/>
        </w:tblPrEx>
        <w:trPr>
          <w:trHeight w:val="288"/>
        </w:trPr>
        <w:tc>
          <w:tcPr>
            <w:tcW w:w="2356" w:type="pct"/>
            <w:tcBorders>
              <w:top w:val="nil"/>
              <w:left w:val="single" w:sz="4" w:space="0" w:color="auto"/>
              <w:bottom w:val="single" w:sz="4" w:space="0" w:color="auto"/>
              <w:right w:val="single" w:sz="4" w:space="0" w:color="auto"/>
            </w:tcBorders>
            <w:shd w:val="clear" w:color="auto" w:fill="auto"/>
            <w:noWrap/>
            <w:vAlign w:val="center"/>
          </w:tcPr>
          <w:p w:rsidR="00D42B32" w:rsidRPr="00367634" w:rsidP="00D42B32" w14:paraId="5ACDA99E" w14:textId="77777777">
            <w:pPr>
              <w:spacing w:after="0" w:line="240" w:lineRule="auto"/>
              <w:rPr>
                <w:rFonts w:ascii="Times New Roman" w:hAnsi="Times New Roman"/>
                <w:b/>
                <w:bCs/>
                <w:sz w:val="20"/>
                <w:szCs w:val="20"/>
              </w:rPr>
            </w:pPr>
            <w:r w:rsidRPr="00367634">
              <w:rPr>
                <w:rFonts w:ascii="Times New Roman" w:hAnsi="Times New Roman"/>
                <w:b/>
                <w:bCs/>
                <w:sz w:val="20"/>
                <w:szCs w:val="20"/>
              </w:rPr>
              <w:t>Net cost savings of the rule (annualized, 7%)</w:t>
            </w:r>
          </w:p>
        </w:tc>
        <w:tc>
          <w:tcPr>
            <w:tcW w:w="816" w:type="pct"/>
            <w:tcBorders>
              <w:top w:val="nil"/>
              <w:left w:val="nil"/>
              <w:bottom w:val="single" w:sz="4" w:space="0" w:color="auto"/>
              <w:right w:val="single" w:sz="4" w:space="0" w:color="auto"/>
            </w:tcBorders>
            <w:shd w:val="clear" w:color="auto" w:fill="auto"/>
            <w:noWrap/>
          </w:tcPr>
          <w:p w:rsidR="00D42B32" w:rsidRPr="00EA44BC" w:rsidP="00D42B32" w14:paraId="1EF0FC20" w14:textId="58F97B6B">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B16394">
              <w:rPr>
                <w:rFonts w:ascii="Times New Roman" w:hAnsi="Times New Roman"/>
                <w:b/>
                <w:bCs/>
                <w:sz w:val="20"/>
                <w:szCs w:val="20"/>
              </w:rPr>
              <w:t>96</w:t>
            </w:r>
            <w:r w:rsidR="0047531E">
              <w:rPr>
                <w:rFonts w:ascii="Times New Roman" w:hAnsi="Times New Roman"/>
                <w:b/>
                <w:bCs/>
                <w:sz w:val="20"/>
                <w:szCs w:val="20"/>
              </w:rPr>
              <w:t>8,781</w:t>
            </w:r>
            <w:r w:rsidRPr="00EA44BC" w:rsidR="008722BF">
              <w:rPr>
                <w:rFonts w:ascii="Times New Roman" w:hAnsi="Times New Roman"/>
                <w:b/>
                <w:bCs/>
                <w:sz w:val="20"/>
                <w:szCs w:val="20"/>
              </w:rPr>
              <w:t>)</w:t>
            </w:r>
          </w:p>
        </w:tc>
        <w:tc>
          <w:tcPr>
            <w:tcW w:w="914" w:type="pct"/>
            <w:tcBorders>
              <w:top w:val="nil"/>
              <w:left w:val="nil"/>
              <w:bottom w:val="single" w:sz="4" w:space="0" w:color="auto"/>
              <w:right w:val="single" w:sz="4" w:space="0" w:color="auto"/>
            </w:tcBorders>
            <w:shd w:val="clear" w:color="auto" w:fill="auto"/>
            <w:noWrap/>
          </w:tcPr>
          <w:p w:rsidR="00D42B32" w:rsidRPr="00EA44BC" w:rsidP="00D42B32" w14:paraId="1E05166B" w14:textId="760098D3">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CB64A7">
              <w:rPr>
                <w:rFonts w:ascii="Times New Roman" w:hAnsi="Times New Roman"/>
                <w:b/>
                <w:bCs/>
                <w:sz w:val="20"/>
                <w:szCs w:val="20"/>
              </w:rPr>
              <w:t>1,09</w:t>
            </w:r>
            <w:r w:rsidR="0047531E">
              <w:rPr>
                <w:rFonts w:ascii="Times New Roman" w:hAnsi="Times New Roman"/>
                <w:b/>
                <w:bCs/>
                <w:sz w:val="20"/>
                <w:szCs w:val="20"/>
              </w:rPr>
              <w:t>9,181</w:t>
            </w:r>
            <w:r w:rsidRPr="00EA44BC" w:rsidR="00063870">
              <w:rPr>
                <w:rFonts w:ascii="Times New Roman" w:hAnsi="Times New Roman"/>
                <w:b/>
                <w:bCs/>
                <w:sz w:val="20"/>
                <w:szCs w:val="20"/>
              </w:rPr>
              <w:t>)</w:t>
            </w:r>
          </w:p>
        </w:tc>
        <w:tc>
          <w:tcPr>
            <w:tcW w:w="914" w:type="pct"/>
            <w:tcBorders>
              <w:top w:val="nil"/>
              <w:left w:val="nil"/>
              <w:bottom w:val="single" w:sz="4" w:space="0" w:color="auto"/>
              <w:right w:val="single" w:sz="4" w:space="0" w:color="auto"/>
            </w:tcBorders>
            <w:shd w:val="clear" w:color="auto" w:fill="auto"/>
            <w:noWrap/>
          </w:tcPr>
          <w:p w:rsidR="00D42B32" w:rsidRPr="00EA44BC" w:rsidP="00D42B32" w14:paraId="4439C297" w14:textId="18C59E77">
            <w:pPr>
              <w:spacing w:after="0" w:line="240" w:lineRule="auto"/>
              <w:jc w:val="right"/>
              <w:rPr>
                <w:rFonts w:ascii="Times New Roman" w:hAnsi="Times New Roman"/>
                <w:b/>
                <w:bCs/>
                <w:sz w:val="20"/>
                <w:szCs w:val="20"/>
              </w:rPr>
            </w:pPr>
            <w:r w:rsidRPr="00EA44BC">
              <w:rPr>
                <w:rFonts w:ascii="Times New Roman" w:hAnsi="Times New Roman"/>
                <w:b/>
                <w:bCs/>
                <w:sz w:val="20"/>
                <w:szCs w:val="20"/>
              </w:rPr>
              <w:t>($</w:t>
            </w:r>
            <w:r w:rsidR="001D7020">
              <w:rPr>
                <w:rFonts w:ascii="Times New Roman" w:hAnsi="Times New Roman"/>
                <w:b/>
                <w:bCs/>
                <w:sz w:val="20"/>
                <w:szCs w:val="20"/>
              </w:rPr>
              <w:t>1,35</w:t>
            </w:r>
            <w:r w:rsidR="0047531E">
              <w:rPr>
                <w:rFonts w:ascii="Times New Roman" w:hAnsi="Times New Roman"/>
                <w:b/>
                <w:bCs/>
                <w:sz w:val="20"/>
                <w:szCs w:val="20"/>
              </w:rPr>
              <w:t>9,980</w:t>
            </w:r>
            <w:r w:rsidRPr="00EA44BC" w:rsidR="006D023F">
              <w:rPr>
                <w:rFonts w:ascii="Times New Roman" w:hAnsi="Times New Roman"/>
                <w:b/>
                <w:bCs/>
                <w:sz w:val="20"/>
                <w:szCs w:val="20"/>
              </w:rPr>
              <w:t>)</w:t>
            </w:r>
          </w:p>
        </w:tc>
      </w:tr>
    </w:tbl>
    <w:p w:rsidR="00A610E0" w:rsidP="00EC5A32" w14:paraId="21FEB4E6" w14:textId="77777777">
      <w:pPr>
        <w:spacing w:after="0" w:line="480" w:lineRule="auto"/>
        <w:contextualSpacing/>
        <w:rPr>
          <w:rFonts w:ascii="Times New Roman" w:hAnsi="Times New Roman"/>
          <w:iCs/>
          <w:sz w:val="24"/>
          <w:szCs w:val="24"/>
        </w:rPr>
      </w:pPr>
    </w:p>
    <w:p w:rsidR="00CF03DB" w:rsidP="00CF03DB" w14:paraId="7308DDB7" w14:textId="77777777">
      <w:pPr>
        <w:spacing w:after="0" w:line="480" w:lineRule="auto"/>
        <w:contextualSpacing/>
        <w:jc w:val="center"/>
        <w:rPr>
          <w:rFonts w:ascii="Times New Roman" w:hAnsi="Times New Roman"/>
          <w:iCs/>
          <w:sz w:val="24"/>
          <w:szCs w:val="24"/>
        </w:rPr>
      </w:pPr>
      <w:r>
        <w:rPr>
          <w:rFonts w:ascii="Times New Roman" w:hAnsi="Times New Roman"/>
          <w:iCs/>
          <w:sz w:val="24"/>
          <w:szCs w:val="24"/>
        </w:rPr>
        <w:t>II. Small Entity Analysis</w:t>
      </w:r>
    </w:p>
    <w:p w:rsidR="00CF03DB" w:rsidRPr="00575173" w:rsidP="00CF03DB" w14:paraId="362EAAD2" w14:textId="1876D12D">
      <w:pPr>
        <w:spacing w:after="0" w:line="480" w:lineRule="auto"/>
        <w:ind w:firstLine="720"/>
        <w:contextualSpacing/>
        <w:rPr>
          <w:rFonts w:ascii="Times New Roman" w:hAnsi="Times New Roman"/>
          <w:iCs/>
          <w:sz w:val="24"/>
          <w:szCs w:val="24"/>
        </w:rPr>
      </w:pPr>
      <w:r w:rsidRPr="00276740">
        <w:rPr>
          <w:rFonts w:ascii="Times New Roman" w:hAnsi="Times New Roman"/>
          <w:iCs/>
          <w:sz w:val="24"/>
          <w:szCs w:val="24"/>
        </w:rPr>
        <w:t xml:space="preserve">The Regulatory Flexibility Act requires Agencies to analyze regulatory options that would minimize any significant impact of a rule on small entities. </w:t>
      </w:r>
      <w:r w:rsidR="00430824">
        <w:rPr>
          <w:rFonts w:ascii="Times New Roman" w:hAnsi="Times New Roman"/>
          <w:iCs/>
          <w:sz w:val="24"/>
          <w:szCs w:val="24"/>
        </w:rPr>
        <w:t xml:space="preserve"> </w:t>
      </w:r>
      <w:r w:rsidR="00922191">
        <w:rPr>
          <w:rFonts w:ascii="Times New Roman" w:hAnsi="Times New Roman"/>
          <w:iCs/>
          <w:sz w:val="24"/>
          <w:szCs w:val="24"/>
        </w:rPr>
        <w:t>T</w:t>
      </w:r>
      <w:r w:rsidRPr="00276740">
        <w:rPr>
          <w:rFonts w:ascii="Times New Roman" w:hAnsi="Times New Roman"/>
          <w:iCs/>
          <w:sz w:val="24"/>
          <w:szCs w:val="24"/>
        </w:rPr>
        <w:t>he small entities that would most likely be affected by the</w:t>
      </w:r>
      <w:r w:rsidR="00922191">
        <w:rPr>
          <w:rFonts w:ascii="Times New Roman" w:hAnsi="Times New Roman"/>
          <w:iCs/>
          <w:sz w:val="24"/>
          <w:szCs w:val="24"/>
        </w:rPr>
        <w:t xml:space="preserve"> final</w:t>
      </w:r>
      <w:r w:rsidR="007F5D18">
        <w:rPr>
          <w:rFonts w:ascii="Times New Roman" w:hAnsi="Times New Roman"/>
          <w:iCs/>
          <w:sz w:val="24"/>
          <w:szCs w:val="24"/>
        </w:rPr>
        <w:t xml:space="preserve"> </w:t>
      </w:r>
      <w:r w:rsidRPr="00276740">
        <w:rPr>
          <w:rFonts w:ascii="Times New Roman" w:hAnsi="Times New Roman"/>
          <w:iCs/>
          <w:sz w:val="24"/>
          <w:szCs w:val="24"/>
        </w:rPr>
        <w:t>rule are sponsors of</w:t>
      </w:r>
      <w:r>
        <w:rPr>
          <w:rFonts w:ascii="Times New Roman" w:hAnsi="Times New Roman"/>
          <w:iCs/>
          <w:sz w:val="24"/>
          <w:szCs w:val="24"/>
        </w:rPr>
        <w:t xml:space="preserve"> </w:t>
      </w:r>
      <w:r w:rsidRPr="00276740">
        <w:rPr>
          <w:rFonts w:ascii="Times New Roman" w:hAnsi="Times New Roman"/>
          <w:iCs/>
          <w:sz w:val="24"/>
          <w:szCs w:val="24"/>
        </w:rPr>
        <w:t xml:space="preserve">drug and medical device research </w:t>
      </w:r>
      <w:r w:rsidRPr="00256DC4">
        <w:rPr>
          <w:rFonts w:ascii="Times New Roman" w:hAnsi="Times New Roman"/>
          <w:iCs/>
          <w:sz w:val="24"/>
          <w:szCs w:val="24"/>
        </w:rPr>
        <w:t>and medical institutions, primarily medical and surgical hospitals that are affiliated with affected IRBs</w:t>
      </w:r>
      <w:r w:rsidRPr="002548FD">
        <w:rPr>
          <w:rFonts w:ascii="Times New Roman" w:hAnsi="Times New Roman"/>
          <w:iCs/>
          <w:sz w:val="24"/>
          <w:szCs w:val="24"/>
        </w:rPr>
        <w:t>.</w:t>
      </w:r>
      <w:r w:rsidRPr="009304B8">
        <w:rPr>
          <w:rFonts w:ascii="Times New Roman" w:hAnsi="Times New Roman"/>
          <w:sz w:val="24"/>
          <w:szCs w:val="24"/>
        </w:rPr>
        <w:t xml:space="preserve"> </w:t>
      </w:r>
      <w:r w:rsidR="009C0296">
        <w:rPr>
          <w:rFonts w:ascii="Times New Roman" w:hAnsi="Times New Roman"/>
          <w:sz w:val="24"/>
          <w:szCs w:val="24"/>
        </w:rPr>
        <w:t xml:space="preserve"> </w:t>
      </w:r>
      <w:r w:rsidRPr="009304B8">
        <w:rPr>
          <w:rFonts w:ascii="Times New Roman" w:hAnsi="Times New Roman"/>
          <w:sz w:val="24"/>
          <w:szCs w:val="24"/>
        </w:rPr>
        <w:t xml:space="preserve">Because the </w:t>
      </w:r>
      <w:r w:rsidR="00055B13">
        <w:rPr>
          <w:rFonts w:ascii="Times New Roman" w:hAnsi="Times New Roman"/>
          <w:sz w:val="24"/>
          <w:szCs w:val="24"/>
        </w:rPr>
        <w:t>final rule is</w:t>
      </w:r>
      <w:r w:rsidRPr="009304B8">
        <w:rPr>
          <w:rFonts w:ascii="Times New Roman" w:hAnsi="Times New Roman"/>
          <w:sz w:val="24"/>
          <w:szCs w:val="24"/>
        </w:rPr>
        <w:t xml:space="preserve"> unlikely to impose a substantial burden on the affected small entities, we certify that the </w:t>
      </w:r>
      <w:r w:rsidR="00055B13">
        <w:rPr>
          <w:rFonts w:ascii="Times New Roman" w:hAnsi="Times New Roman"/>
          <w:sz w:val="24"/>
          <w:szCs w:val="24"/>
        </w:rPr>
        <w:t xml:space="preserve">final </w:t>
      </w:r>
      <w:r w:rsidRPr="009304B8">
        <w:rPr>
          <w:rFonts w:ascii="Times New Roman" w:hAnsi="Times New Roman"/>
          <w:sz w:val="24"/>
          <w:szCs w:val="24"/>
        </w:rPr>
        <w:t xml:space="preserve">rule </w:t>
      </w:r>
      <w:r w:rsidR="00055B13">
        <w:rPr>
          <w:rFonts w:ascii="Times New Roman" w:hAnsi="Times New Roman"/>
          <w:sz w:val="24"/>
          <w:szCs w:val="24"/>
        </w:rPr>
        <w:t>will not</w:t>
      </w:r>
      <w:r w:rsidRPr="009304B8">
        <w:rPr>
          <w:rFonts w:ascii="Times New Roman" w:hAnsi="Times New Roman"/>
          <w:sz w:val="24"/>
          <w:szCs w:val="24"/>
        </w:rPr>
        <w:t xml:space="preserve"> have a significant economic impact on a substantial number of small entities. </w:t>
      </w:r>
      <w:r w:rsidR="009C0296">
        <w:rPr>
          <w:rFonts w:ascii="Times New Roman" w:hAnsi="Times New Roman"/>
          <w:sz w:val="24"/>
          <w:szCs w:val="24"/>
        </w:rPr>
        <w:t xml:space="preserve"> </w:t>
      </w:r>
      <w:r w:rsidRPr="00256DC4">
        <w:rPr>
          <w:rFonts w:ascii="Times New Roman" w:hAnsi="Times New Roman"/>
          <w:iCs/>
          <w:sz w:val="24"/>
          <w:szCs w:val="24"/>
        </w:rPr>
        <w:t xml:space="preserve">The </w:t>
      </w:r>
      <w:r w:rsidRPr="002548FD">
        <w:rPr>
          <w:rFonts w:ascii="Times New Roman" w:hAnsi="Times New Roman"/>
          <w:iCs/>
          <w:sz w:val="24"/>
          <w:szCs w:val="24"/>
        </w:rPr>
        <w:t>following</w:t>
      </w:r>
      <w:r w:rsidRPr="00B97D6F">
        <w:rPr>
          <w:rFonts w:ascii="Times New Roman" w:hAnsi="Times New Roman"/>
          <w:iCs/>
          <w:sz w:val="24"/>
          <w:szCs w:val="24"/>
        </w:rPr>
        <w:t xml:space="preserve"> analysis</w:t>
      </w:r>
      <w:r w:rsidR="00A1587A">
        <w:rPr>
          <w:rFonts w:ascii="Times New Roman" w:hAnsi="Times New Roman"/>
          <w:iCs/>
          <w:sz w:val="24"/>
          <w:szCs w:val="24"/>
        </w:rPr>
        <w:t xml:space="preserve">, as well as other sections of this document and </w:t>
      </w:r>
      <w:r w:rsidR="00A1587A">
        <w:rPr>
          <w:rFonts w:ascii="Times New Roman" w:hAnsi="Times New Roman"/>
          <w:iCs/>
          <w:sz w:val="24"/>
          <w:szCs w:val="24"/>
        </w:rPr>
        <w:t>the preamble of the final rule,</w:t>
      </w:r>
      <w:r w:rsidRPr="002B0580">
        <w:rPr>
          <w:rFonts w:ascii="Times New Roman" w:hAnsi="Times New Roman"/>
          <w:iCs/>
          <w:sz w:val="24"/>
          <w:szCs w:val="24"/>
        </w:rPr>
        <w:t xml:space="preserve"> serves as the </w:t>
      </w:r>
      <w:r w:rsidR="00055B13">
        <w:rPr>
          <w:rFonts w:ascii="Times New Roman" w:hAnsi="Times New Roman"/>
          <w:iCs/>
          <w:sz w:val="24"/>
          <w:szCs w:val="24"/>
        </w:rPr>
        <w:t xml:space="preserve">Final </w:t>
      </w:r>
      <w:r w:rsidRPr="002B0580">
        <w:rPr>
          <w:rFonts w:ascii="Times New Roman" w:hAnsi="Times New Roman"/>
          <w:iCs/>
          <w:sz w:val="24"/>
          <w:szCs w:val="24"/>
        </w:rPr>
        <w:t>Regulatory Flexibility</w:t>
      </w:r>
      <w:r w:rsidRPr="00575173">
        <w:rPr>
          <w:rFonts w:ascii="Times New Roman" w:hAnsi="Times New Roman"/>
          <w:iCs/>
          <w:sz w:val="24"/>
          <w:szCs w:val="24"/>
        </w:rPr>
        <w:t xml:space="preserve"> Analysis, as required under the Regulatory Flexibility Act.</w:t>
      </w:r>
    </w:p>
    <w:p w:rsidR="00CF03DB" w:rsidP="00876DBB" w14:paraId="375BFF26" w14:textId="1CC62845">
      <w:pPr>
        <w:spacing w:after="0" w:line="480" w:lineRule="auto"/>
        <w:ind w:firstLine="720"/>
        <w:rPr>
          <w:rFonts w:ascii="Times New Roman" w:hAnsi="Times New Roman"/>
          <w:sz w:val="24"/>
          <w:szCs w:val="24"/>
        </w:rPr>
      </w:pPr>
      <w:r w:rsidRPr="009304B8">
        <w:rPr>
          <w:rFonts w:ascii="Times New Roman" w:hAnsi="Times New Roman"/>
          <w:iCs/>
          <w:sz w:val="24"/>
          <w:szCs w:val="24"/>
        </w:rPr>
        <w:t>The small entities most likel</w:t>
      </w:r>
      <w:r w:rsidRPr="00256DC4">
        <w:rPr>
          <w:rFonts w:ascii="Times New Roman" w:hAnsi="Times New Roman"/>
          <w:iCs/>
          <w:sz w:val="24"/>
          <w:szCs w:val="24"/>
        </w:rPr>
        <w:t>y t</w:t>
      </w:r>
      <w:r w:rsidRPr="009304B8">
        <w:rPr>
          <w:rFonts w:ascii="Times New Roman" w:hAnsi="Times New Roman"/>
          <w:iCs/>
          <w:sz w:val="24"/>
          <w:szCs w:val="24"/>
        </w:rPr>
        <w:t xml:space="preserve">o be affected by the </w:t>
      </w:r>
      <w:r w:rsidR="00F532B3">
        <w:rPr>
          <w:rFonts w:ascii="Times New Roman" w:hAnsi="Times New Roman"/>
          <w:iCs/>
          <w:sz w:val="24"/>
          <w:szCs w:val="24"/>
        </w:rPr>
        <w:t>final</w:t>
      </w:r>
      <w:r w:rsidRPr="009304B8" w:rsidR="00F532B3">
        <w:rPr>
          <w:rFonts w:ascii="Times New Roman" w:hAnsi="Times New Roman"/>
          <w:iCs/>
          <w:sz w:val="24"/>
          <w:szCs w:val="24"/>
        </w:rPr>
        <w:t xml:space="preserve"> </w:t>
      </w:r>
      <w:r w:rsidRPr="009304B8">
        <w:rPr>
          <w:rFonts w:ascii="Times New Roman" w:hAnsi="Times New Roman"/>
          <w:iCs/>
          <w:sz w:val="24"/>
          <w:szCs w:val="24"/>
        </w:rPr>
        <w:t>rule are medical institutions</w:t>
      </w:r>
      <w:r w:rsidRPr="00256DC4">
        <w:rPr>
          <w:rFonts w:ascii="Times New Roman" w:hAnsi="Times New Roman"/>
          <w:iCs/>
          <w:sz w:val="24"/>
          <w:szCs w:val="24"/>
        </w:rPr>
        <w:t xml:space="preserve">, primarily medical and surgical hospitals, affiliated with </w:t>
      </w:r>
      <w:r w:rsidRPr="002548FD">
        <w:rPr>
          <w:rFonts w:ascii="Times New Roman" w:hAnsi="Times New Roman"/>
          <w:iCs/>
          <w:sz w:val="24"/>
          <w:szCs w:val="24"/>
        </w:rPr>
        <w:t xml:space="preserve">affected IRBs. </w:t>
      </w:r>
      <w:r w:rsidRPr="009304B8">
        <w:rPr>
          <w:rFonts w:ascii="Times New Roman" w:hAnsi="Times New Roman"/>
          <w:iCs/>
          <w:sz w:val="24"/>
          <w:szCs w:val="24"/>
        </w:rPr>
        <w:t xml:space="preserve"> </w:t>
      </w:r>
      <w:r w:rsidRPr="009304B8">
        <w:rPr>
          <w:rFonts w:ascii="Times New Roman" w:hAnsi="Times New Roman"/>
          <w:sz w:val="24"/>
          <w:szCs w:val="24"/>
        </w:rPr>
        <w:t xml:space="preserve">To estimate the number of affiliated hospitals, we </w:t>
      </w:r>
      <w:r w:rsidRPr="005A7CE6">
        <w:rPr>
          <w:rFonts w:ascii="Times New Roman" w:hAnsi="Times New Roman"/>
          <w:sz w:val="24"/>
          <w:szCs w:val="24"/>
        </w:rPr>
        <w:t>use Census Bureau data with NAICS code 622</w:t>
      </w:r>
      <w:r w:rsidRPr="005756BA">
        <w:rPr>
          <w:rFonts w:ascii="Times New Roman" w:hAnsi="Times New Roman"/>
          <w:sz w:val="24"/>
          <w:szCs w:val="24"/>
        </w:rPr>
        <w:t>110</w:t>
      </w:r>
      <w:r w:rsidRPr="00B34A1A">
        <w:rPr>
          <w:rFonts w:ascii="Times New Roman" w:hAnsi="Times New Roman"/>
          <w:sz w:val="24"/>
          <w:szCs w:val="24"/>
        </w:rPr>
        <w:t xml:space="preserve"> “</w:t>
      </w:r>
      <w:r w:rsidRPr="00545624">
        <w:rPr>
          <w:rFonts w:ascii="Times New Roman" w:hAnsi="Times New Roman"/>
          <w:sz w:val="24"/>
          <w:szCs w:val="24"/>
        </w:rPr>
        <w:t>General Medical and Surgical Hospitals</w:t>
      </w:r>
      <w:r w:rsidRPr="003B04F9">
        <w:rPr>
          <w:rFonts w:ascii="Times New Roman" w:hAnsi="Times New Roman"/>
          <w:sz w:val="24"/>
          <w:szCs w:val="24"/>
        </w:rPr>
        <w:t>”</w:t>
      </w:r>
      <w:r w:rsidRPr="0033159B">
        <w:rPr>
          <w:rFonts w:ascii="Times New Roman" w:hAnsi="Times New Roman"/>
          <w:sz w:val="24"/>
          <w:szCs w:val="24"/>
        </w:rPr>
        <w:t xml:space="preserve"> (Ref. </w:t>
      </w:r>
      <w:r w:rsidR="003A0855">
        <w:rPr>
          <w:rFonts w:ascii="Times New Roman" w:hAnsi="Times New Roman"/>
          <w:sz w:val="24"/>
          <w:szCs w:val="24"/>
        </w:rPr>
        <w:t>11</w:t>
      </w:r>
      <w:r w:rsidRPr="005A7CE6">
        <w:rPr>
          <w:rFonts w:ascii="Times New Roman" w:hAnsi="Times New Roman"/>
          <w:sz w:val="24"/>
          <w:szCs w:val="24"/>
        </w:rPr>
        <w:t>), and the Small Business Administration definition for a small hospital of $</w:t>
      </w:r>
      <w:r w:rsidR="00410840">
        <w:rPr>
          <w:rFonts w:ascii="Times New Roman" w:hAnsi="Times New Roman"/>
          <w:sz w:val="24"/>
          <w:szCs w:val="24"/>
        </w:rPr>
        <w:t>47.0</w:t>
      </w:r>
      <w:r w:rsidRPr="005A7CE6">
        <w:rPr>
          <w:rFonts w:ascii="Times New Roman" w:hAnsi="Times New Roman"/>
          <w:sz w:val="24"/>
          <w:szCs w:val="24"/>
        </w:rPr>
        <w:t xml:space="preserve"> million</w:t>
      </w:r>
      <w:r w:rsidR="002A6842">
        <w:rPr>
          <w:rFonts w:ascii="Times New Roman" w:hAnsi="Times New Roman"/>
          <w:sz w:val="24"/>
          <w:szCs w:val="24"/>
        </w:rPr>
        <w:t xml:space="preserve"> or less</w:t>
      </w:r>
      <w:r w:rsidRPr="005A7CE6">
        <w:rPr>
          <w:rFonts w:ascii="Times New Roman" w:hAnsi="Times New Roman"/>
          <w:sz w:val="24"/>
          <w:szCs w:val="24"/>
        </w:rPr>
        <w:t xml:space="preserve"> in annual revenue (Ref. </w:t>
      </w:r>
      <w:r w:rsidR="003A0855">
        <w:rPr>
          <w:rFonts w:ascii="Times New Roman" w:hAnsi="Times New Roman"/>
          <w:sz w:val="24"/>
          <w:szCs w:val="24"/>
        </w:rPr>
        <w:t>12</w:t>
      </w:r>
      <w:r w:rsidRPr="005A7CE6">
        <w:rPr>
          <w:rFonts w:ascii="Times New Roman" w:hAnsi="Times New Roman"/>
          <w:sz w:val="24"/>
          <w:szCs w:val="24"/>
        </w:rPr>
        <w:t xml:space="preserve">). </w:t>
      </w:r>
      <w:r w:rsidR="009C0296">
        <w:rPr>
          <w:rFonts w:ascii="Times New Roman" w:hAnsi="Times New Roman"/>
          <w:sz w:val="24"/>
          <w:szCs w:val="24"/>
        </w:rPr>
        <w:t xml:space="preserve"> </w:t>
      </w:r>
      <w:r w:rsidRPr="005A7CE6">
        <w:rPr>
          <w:rFonts w:ascii="Times New Roman" w:hAnsi="Times New Roman"/>
          <w:sz w:val="24"/>
          <w:szCs w:val="24"/>
        </w:rPr>
        <w:t>Based on SBA revenue threshold, we estimate that the number of small medical and surgical hospitals is 2,838 of 6,</w:t>
      </w:r>
      <w:r w:rsidRPr="009304B8">
        <w:rPr>
          <w:rFonts w:ascii="Times New Roman" w:hAnsi="Times New Roman"/>
          <w:sz w:val="24"/>
          <w:szCs w:val="24"/>
        </w:rPr>
        <w:t xml:space="preserve">821 </w:t>
      </w:r>
      <w:r>
        <w:rPr>
          <w:rFonts w:ascii="Times New Roman" w:hAnsi="Times New Roman"/>
          <w:sz w:val="24"/>
          <w:szCs w:val="24"/>
        </w:rPr>
        <w:t xml:space="preserve">total </w:t>
      </w:r>
      <w:r w:rsidRPr="009304B8">
        <w:rPr>
          <w:rFonts w:ascii="Times New Roman" w:hAnsi="Times New Roman"/>
          <w:sz w:val="24"/>
          <w:szCs w:val="24"/>
        </w:rPr>
        <w:t xml:space="preserve">hospitals, or </w:t>
      </w:r>
      <w:r>
        <w:rPr>
          <w:rFonts w:ascii="Times New Roman" w:hAnsi="Times New Roman"/>
          <w:sz w:val="24"/>
          <w:szCs w:val="24"/>
        </w:rPr>
        <w:t xml:space="preserve">approximately </w:t>
      </w:r>
      <w:r w:rsidRPr="009304B8">
        <w:rPr>
          <w:rFonts w:ascii="Times New Roman" w:hAnsi="Times New Roman"/>
          <w:sz w:val="24"/>
          <w:szCs w:val="24"/>
        </w:rPr>
        <w:t xml:space="preserve">42 percent. </w:t>
      </w:r>
      <w:r w:rsidR="009C0296">
        <w:rPr>
          <w:rFonts w:ascii="Times New Roman" w:hAnsi="Times New Roman"/>
          <w:sz w:val="24"/>
          <w:szCs w:val="24"/>
        </w:rPr>
        <w:t xml:space="preserve"> </w:t>
      </w:r>
      <w:r w:rsidRPr="009304B8">
        <w:rPr>
          <w:rFonts w:ascii="Times New Roman" w:hAnsi="Times New Roman"/>
          <w:sz w:val="24"/>
          <w:szCs w:val="24"/>
        </w:rPr>
        <w:t>We estimate that 4</w:t>
      </w:r>
      <w:r>
        <w:rPr>
          <w:rFonts w:ascii="Times New Roman" w:hAnsi="Times New Roman"/>
          <w:sz w:val="24"/>
          <w:szCs w:val="24"/>
        </w:rPr>
        <w:t>2</w:t>
      </w:r>
      <w:r w:rsidRPr="009304B8">
        <w:rPr>
          <w:rFonts w:ascii="Times New Roman" w:hAnsi="Times New Roman"/>
          <w:sz w:val="24"/>
          <w:szCs w:val="24"/>
        </w:rPr>
        <w:t xml:space="preserve"> percent, or approximately </w:t>
      </w:r>
      <w:r w:rsidR="00FA559B">
        <w:rPr>
          <w:rFonts w:ascii="Times New Roman" w:hAnsi="Times New Roman"/>
          <w:sz w:val="24"/>
          <w:szCs w:val="24"/>
        </w:rPr>
        <w:t>229</w:t>
      </w:r>
      <w:r w:rsidRPr="009304B8" w:rsidR="00BB7624">
        <w:rPr>
          <w:rFonts w:ascii="Times New Roman" w:hAnsi="Times New Roman"/>
          <w:sz w:val="24"/>
          <w:szCs w:val="24"/>
        </w:rPr>
        <w:t xml:space="preserve"> </w:t>
      </w:r>
      <w:r w:rsidRPr="009304B8">
        <w:rPr>
          <w:rFonts w:ascii="Times New Roman" w:hAnsi="Times New Roman"/>
          <w:sz w:val="24"/>
          <w:szCs w:val="24"/>
        </w:rPr>
        <w:t xml:space="preserve">IRBs </w:t>
      </w:r>
      <w:r>
        <w:rPr>
          <w:rFonts w:ascii="Times New Roman" w:hAnsi="Times New Roman"/>
          <w:sz w:val="24"/>
          <w:szCs w:val="24"/>
        </w:rPr>
        <w:t xml:space="preserve">(= 0.41607 x </w:t>
      </w:r>
      <w:r w:rsidR="008A50F6">
        <w:rPr>
          <w:rFonts w:ascii="Times New Roman" w:hAnsi="Times New Roman"/>
          <w:sz w:val="24"/>
          <w:szCs w:val="24"/>
        </w:rPr>
        <w:t>551</w:t>
      </w:r>
      <w:r>
        <w:rPr>
          <w:rFonts w:ascii="Times New Roman" w:hAnsi="Times New Roman"/>
          <w:sz w:val="24"/>
          <w:szCs w:val="24"/>
        </w:rPr>
        <w:t xml:space="preserve">) and approximately </w:t>
      </w:r>
      <w:r w:rsidR="00FA559B">
        <w:rPr>
          <w:rFonts w:ascii="Times New Roman" w:hAnsi="Times New Roman"/>
          <w:sz w:val="24"/>
          <w:szCs w:val="24"/>
        </w:rPr>
        <w:t>229</w:t>
      </w:r>
      <w:r w:rsidR="00BB7624">
        <w:rPr>
          <w:rFonts w:ascii="Times New Roman" w:hAnsi="Times New Roman"/>
          <w:sz w:val="24"/>
          <w:szCs w:val="24"/>
        </w:rPr>
        <w:t xml:space="preserve"> </w:t>
      </w:r>
      <w:r>
        <w:rPr>
          <w:rFonts w:ascii="Times New Roman" w:hAnsi="Times New Roman"/>
          <w:sz w:val="24"/>
          <w:szCs w:val="24"/>
        </w:rPr>
        <w:t xml:space="preserve">sponsors of clinical </w:t>
      </w:r>
      <w:r w:rsidR="00FD1714">
        <w:rPr>
          <w:rFonts w:ascii="Times New Roman" w:hAnsi="Times New Roman"/>
          <w:sz w:val="24"/>
          <w:szCs w:val="24"/>
        </w:rPr>
        <w:t>investigation</w:t>
      </w:r>
      <w:r>
        <w:rPr>
          <w:rFonts w:ascii="Times New Roman" w:hAnsi="Times New Roman"/>
          <w:sz w:val="24"/>
          <w:szCs w:val="24"/>
        </w:rPr>
        <w:t xml:space="preserve">s </w:t>
      </w:r>
      <w:r w:rsidR="001A50CB">
        <w:rPr>
          <w:rFonts w:ascii="Times New Roman" w:hAnsi="Times New Roman"/>
          <w:sz w:val="24"/>
          <w:szCs w:val="24"/>
        </w:rPr>
        <w:t xml:space="preserve">potentially affected by the rule </w:t>
      </w:r>
      <w:r>
        <w:rPr>
          <w:rFonts w:ascii="Times New Roman" w:hAnsi="Times New Roman"/>
          <w:sz w:val="24"/>
          <w:szCs w:val="24"/>
        </w:rPr>
        <w:t xml:space="preserve">(= 0.41607 x </w:t>
      </w:r>
      <w:r w:rsidR="008A50F6">
        <w:rPr>
          <w:rFonts w:ascii="Times New Roman" w:hAnsi="Times New Roman"/>
          <w:sz w:val="24"/>
          <w:szCs w:val="24"/>
        </w:rPr>
        <w:t>551</w:t>
      </w:r>
      <w:r>
        <w:rPr>
          <w:rFonts w:ascii="Times New Roman" w:hAnsi="Times New Roman"/>
          <w:sz w:val="24"/>
          <w:szCs w:val="24"/>
        </w:rPr>
        <w:t xml:space="preserve">) </w:t>
      </w:r>
      <w:r w:rsidRPr="009304B8">
        <w:rPr>
          <w:rFonts w:ascii="Times New Roman" w:hAnsi="Times New Roman"/>
          <w:sz w:val="24"/>
          <w:szCs w:val="24"/>
        </w:rPr>
        <w:t>are affiliated with small entities and that 42 percent of the estimated costs and cost savings of the proposed rule will be incurred by small entit</w:t>
      </w:r>
      <w:r>
        <w:rPr>
          <w:rFonts w:ascii="Times New Roman" w:hAnsi="Times New Roman"/>
          <w:sz w:val="24"/>
          <w:szCs w:val="24"/>
        </w:rPr>
        <w:t>ies</w:t>
      </w:r>
      <w:r w:rsidRPr="009304B8">
        <w:rPr>
          <w:rFonts w:ascii="Times New Roman" w:hAnsi="Times New Roman"/>
          <w:sz w:val="24"/>
          <w:szCs w:val="24"/>
        </w:rPr>
        <w:t>.</w:t>
      </w:r>
      <w:r>
        <w:rPr>
          <w:rFonts w:ascii="Times New Roman" w:hAnsi="Times New Roman"/>
          <w:sz w:val="24"/>
          <w:szCs w:val="24"/>
        </w:rPr>
        <w:t xml:space="preserve"> </w:t>
      </w:r>
    </w:p>
    <w:p w:rsidR="00CF03DB" w:rsidP="00876DBB" w14:paraId="5F582BDF" w14:textId="0320C56A">
      <w:pPr>
        <w:spacing w:after="0" w:line="480" w:lineRule="auto"/>
        <w:ind w:firstLine="720"/>
        <w:rPr>
          <w:rFonts w:ascii="Times New Roman" w:hAnsi="Times New Roman"/>
          <w:sz w:val="24"/>
          <w:szCs w:val="24"/>
        </w:rPr>
      </w:pPr>
      <w:r>
        <w:rPr>
          <w:rFonts w:ascii="Times New Roman" w:hAnsi="Times New Roman"/>
          <w:sz w:val="24"/>
          <w:szCs w:val="24"/>
        </w:rPr>
        <w:t>We estimate that small entities will incur 42 percent of the net cost savings of the rule, including cost savings from reduced time burdens, reading costs, costs of drafting new waiver</w:t>
      </w:r>
      <w:r w:rsidR="00CE5758">
        <w:rPr>
          <w:rFonts w:ascii="Times New Roman" w:hAnsi="Times New Roman"/>
          <w:sz w:val="24"/>
          <w:szCs w:val="24"/>
        </w:rPr>
        <w:t>/alteration</w:t>
      </w:r>
      <w:r>
        <w:rPr>
          <w:rFonts w:ascii="Times New Roman" w:hAnsi="Times New Roman"/>
          <w:sz w:val="24"/>
          <w:szCs w:val="24"/>
        </w:rPr>
        <w:t xml:space="preserve"> requests, and additional recordkeeping costs. </w:t>
      </w:r>
      <w:r w:rsidR="00123BEC">
        <w:rPr>
          <w:rFonts w:ascii="Times New Roman" w:hAnsi="Times New Roman"/>
          <w:sz w:val="24"/>
          <w:szCs w:val="24"/>
        </w:rPr>
        <w:t xml:space="preserve"> </w:t>
      </w:r>
      <w:r>
        <w:rPr>
          <w:rFonts w:ascii="Times New Roman" w:hAnsi="Times New Roman"/>
          <w:sz w:val="24"/>
          <w:szCs w:val="24"/>
        </w:rPr>
        <w:t xml:space="preserve">We estimate that approximately </w:t>
      </w:r>
      <w:r w:rsidR="007664D2">
        <w:rPr>
          <w:rFonts w:ascii="Times New Roman" w:hAnsi="Times New Roman"/>
          <w:sz w:val="24"/>
          <w:szCs w:val="24"/>
        </w:rPr>
        <w:t>229</w:t>
      </w:r>
      <w:r>
        <w:rPr>
          <w:rFonts w:ascii="Times New Roman" w:hAnsi="Times New Roman"/>
          <w:sz w:val="24"/>
          <w:szCs w:val="24"/>
        </w:rPr>
        <w:t xml:space="preserve"> IRBs are associated with small entities and will incur annualized net cost savings of approximately </w:t>
      </w:r>
      <w:r w:rsidR="006207EC">
        <w:rPr>
          <w:rFonts w:ascii="Times New Roman" w:hAnsi="Times New Roman"/>
          <w:sz w:val="24"/>
          <w:szCs w:val="24"/>
        </w:rPr>
        <w:t>-</w:t>
      </w:r>
      <w:r>
        <w:rPr>
          <w:rFonts w:ascii="Times New Roman" w:hAnsi="Times New Roman"/>
          <w:sz w:val="24"/>
          <w:szCs w:val="24"/>
        </w:rPr>
        <w:t>$</w:t>
      </w:r>
      <w:r w:rsidR="00170776">
        <w:rPr>
          <w:rFonts w:ascii="Times New Roman" w:hAnsi="Times New Roman"/>
          <w:sz w:val="24"/>
          <w:szCs w:val="24"/>
        </w:rPr>
        <w:t>27.1</w:t>
      </w:r>
      <w:r w:rsidR="00435211">
        <w:rPr>
          <w:rFonts w:ascii="Times New Roman" w:hAnsi="Times New Roman"/>
          <w:sz w:val="24"/>
          <w:szCs w:val="24"/>
        </w:rPr>
        <w:t xml:space="preserve"> thousand</w:t>
      </w:r>
      <w:r>
        <w:rPr>
          <w:rFonts w:ascii="Times New Roman" w:hAnsi="Times New Roman"/>
          <w:sz w:val="24"/>
          <w:szCs w:val="24"/>
        </w:rPr>
        <w:t xml:space="preserve">, with a lower bound of approximately </w:t>
      </w:r>
      <w:r w:rsidR="00933191">
        <w:rPr>
          <w:rFonts w:ascii="Times New Roman" w:hAnsi="Times New Roman"/>
          <w:sz w:val="24"/>
          <w:szCs w:val="24"/>
        </w:rPr>
        <w:t>-</w:t>
      </w:r>
      <w:r>
        <w:rPr>
          <w:rFonts w:ascii="Times New Roman" w:hAnsi="Times New Roman"/>
          <w:sz w:val="24"/>
          <w:szCs w:val="24"/>
        </w:rPr>
        <w:t>$</w:t>
      </w:r>
      <w:r w:rsidR="00AE2CB7">
        <w:rPr>
          <w:rFonts w:ascii="Times New Roman" w:hAnsi="Times New Roman"/>
          <w:sz w:val="24"/>
          <w:szCs w:val="24"/>
        </w:rPr>
        <w:t>44.</w:t>
      </w:r>
      <w:r w:rsidR="00C7021C">
        <w:rPr>
          <w:rFonts w:ascii="Times New Roman" w:hAnsi="Times New Roman"/>
          <w:sz w:val="24"/>
          <w:szCs w:val="24"/>
        </w:rPr>
        <w:t>2</w:t>
      </w:r>
      <w:r w:rsidR="00773891">
        <w:rPr>
          <w:rFonts w:ascii="Times New Roman" w:hAnsi="Times New Roman"/>
          <w:sz w:val="24"/>
          <w:szCs w:val="24"/>
        </w:rPr>
        <w:t xml:space="preserve"> thousand</w:t>
      </w:r>
      <w:r>
        <w:rPr>
          <w:rFonts w:ascii="Times New Roman" w:hAnsi="Times New Roman"/>
          <w:sz w:val="24"/>
          <w:szCs w:val="24"/>
        </w:rPr>
        <w:t xml:space="preserve"> and an upper bound of approximately $</w:t>
      </w:r>
      <w:r w:rsidR="000F6856">
        <w:rPr>
          <w:rFonts w:ascii="Times New Roman" w:hAnsi="Times New Roman"/>
          <w:sz w:val="24"/>
          <w:szCs w:val="24"/>
        </w:rPr>
        <w:t>6.9</w:t>
      </w:r>
      <w:r w:rsidR="005C2450">
        <w:rPr>
          <w:rFonts w:ascii="Times New Roman" w:hAnsi="Times New Roman"/>
          <w:sz w:val="24"/>
          <w:szCs w:val="24"/>
        </w:rPr>
        <w:t xml:space="preserve"> thousand</w:t>
      </w:r>
      <w:r w:rsidR="0054609D">
        <w:rPr>
          <w:rFonts w:ascii="Times New Roman" w:hAnsi="Times New Roman"/>
          <w:sz w:val="24"/>
          <w:szCs w:val="24"/>
        </w:rPr>
        <w:t xml:space="preserve"> at a 3 percent discount rate. </w:t>
      </w:r>
      <w:r w:rsidR="00123BEC">
        <w:rPr>
          <w:rFonts w:ascii="Times New Roman" w:hAnsi="Times New Roman"/>
          <w:sz w:val="24"/>
          <w:szCs w:val="24"/>
        </w:rPr>
        <w:t xml:space="preserve"> </w:t>
      </w:r>
      <w:r w:rsidR="0054609D">
        <w:rPr>
          <w:rFonts w:ascii="Times New Roman" w:hAnsi="Times New Roman"/>
          <w:sz w:val="24"/>
          <w:szCs w:val="24"/>
        </w:rPr>
        <w:t xml:space="preserve">Discounted at 7 percent, </w:t>
      </w:r>
      <w:r w:rsidR="00D568B9">
        <w:rPr>
          <w:rFonts w:ascii="Times New Roman" w:hAnsi="Times New Roman"/>
          <w:sz w:val="24"/>
          <w:szCs w:val="24"/>
        </w:rPr>
        <w:t xml:space="preserve">annualized net cost savings for small entities are approximately </w:t>
      </w:r>
      <w:r w:rsidR="00E87F43">
        <w:rPr>
          <w:rFonts w:ascii="Times New Roman" w:hAnsi="Times New Roman"/>
          <w:sz w:val="24"/>
          <w:szCs w:val="24"/>
        </w:rPr>
        <w:t>-</w:t>
      </w:r>
      <w:r w:rsidR="00D568B9">
        <w:rPr>
          <w:rFonts w:ascii="Times New Roman" w:hAnsi="Times New Roman"/>
          <w:sz w:val="24"/>
          <w:szCs w:val="24"/>
        </w:rPr>
        <w:t>$</w:t>
      </w:r>
      <w:r w:rsidR="000F6856">
        <w:rPr>
          <w:rFonts w:ascii="Times New Roman" w:hAnsi="Times New Roman"/>
          <w:sz w:val="24"/>
          <w:szCs w:val="24"/>
        </w:rPr>
        <w:t>37.5</w:t>
      </w:r>
      <w:r w:rsidR="00E87F43">
        <w:rPr>
          <w:rFonts w:ascii="Times New Roman" w:hAnsi="Times New Roman"/>
          <w:sz w:val="24"/>
          <w:szCs w:val="24"/>
        </w:rPr>
        <w:t xml:space="preserve"> thousand</w:t>
      </w:r>
      <w:r w:rsidR="00D568B9">
        <w:rPr>
          <w:rFonts w:ascii="Times New Roman" w:hAnsi="Times New Roman"/>
          <w:sz w:val="24"/>
          <w:szCs w:val="24"/>
        </w:rPr>
        <w:t xml:space="preserve">, with a lower bound of approximately </w:t>
      </w:r>
      <w:r w:rsidR="00BC6622">
        <w:rPr>
          <w:rFonts w:ascii="Times New Roman" w:hAnsi="Times New Roman"/>
          <w:sz w:val="24"/>
          <w:szCs w:val="24"/>
        </w:rPr>
        <w:t>-</w:t>
      </w:r>
      <w:r w:rsidR="00D568B9">
        <w:rPr>
          <w:rFonts w:ascii="Times New Roman" w:hAnsi="Times New Roman"/>
          <w:sz w:val="24"/>
          <w:szCs w:val="24"/>
        </w:rPr>
        <w:t>$</w:t>
      </w:r>
      <w:r w:rsidR="00BC6622">
        <w:rPr>
          <w:rFonts w:ascii="Times New Roman" w:hAnsi="Times New Roman"/>
          <w:sz w:val="24"/>
          <w:szCs w:val="24"/>
        </w:rPr>
        <w:t>54.5</w:t>
      </w:r>
      <w:r w:rsidR="000F028D">
        <w:rPr>
          <w:rFonts w:ascii="Times New Roman" w:hAnsi="Times New Roman"/>
          <w:sz w:val="24"/>
          <w:szCs w:val="24"/>
        </w:rPr>
        <w:t xml:space="preserve"> thousand</w:t>
      </w:r>
      <w:r w:rsidR="00D568B9">
        <w:rPr>
          <w:rFonts w:ascii="Times New Roman" w:hAnsi="Times New Roman"/>
          <w:sz w:val="24"/>
          <w:szCs w:val="24"/>
        </w:rPr>
        <w:t xml:space="preserve"> and an upper bound of approximately </w:t>
      </w:r>
      <w:r w:rsidR="00321B36">
        <w:rPr>
          <w:rFonts w:ascii="Times New Roman" w:hAnsi="Times New Roman"/>
          <w:sz w:val="24"/>
          <w:szCs w:val="24"/>
        </w:rPr>
        <w:t>-</w:t>
      </w:r>
      <w:r w:rsidR="00D568B9">
        <w:rPr>
          <w:rFonts w:ascii="Times New Roman" w:hAnsi="Times New Roman"/>
          <w:sz w:val="24"/>
          <w:szCs w:val="24"/>
        </w:rPr>
        <w:t>$</w:t>
      </w:r>
      <w:r w:rsidR="00AE55EF">
        <w:rPr>
          <w:rFonts w:ascii="Times New Roman" w:hAnsi="Times New Roman"/>
          <w:sz w:val="24"/>
          <w:szCs w:val="24"/>
        </w:rPr>
        <w:t>3.4</w:t>
      </w:r>
      <w:r w:rsidR="00321B36">
        <w:rPr>
          <w:rFonts w:ascii="Times New Roman" w:hAnsi="Times New Roman"/>
          <w:sz w:val="24"/>
          <w:szCs w:val="24"/>
        </w:rPr>
        <w:t xml:space="preserve"> thousand</w:t>
      </w:r>
      <w:r>
        <w:rPr>
          <w:rFonts w:ascii="Times New Roman" w:hAnsi="Times New Roman"/>
          <w:sz w:val="24"/>
          <w:szCs w:val="24"/>
        </w:rPr>
        <w:t xml:space="preserve">. </w:t>
      </w:r>
      <w:r w:rsidR="00507EC2">
        <w:rPr>
          <w:rFonts w:ascii="Times New Roman" w:hAnsi="Times New Roman"/>
          <w:sz w:val="24"/>
          <w:szCs w:val="24"/>
        </w:rPr>
        <w:t xml:space="preserve"> </w:t>
      </w:r>
      <w:r>
        <w:rPr>
          <w:rFonts w:ascii="Times New Roman" w:hAnsi="Times New Roman"/>
          <w:sz w:val="24"/>
          <w:szCs w:val="24"/>
        </w:rPr>
        <w:t xml:space="preserve">Annualized net cost savings per IRB associated with small entities are approximately </w:t>
      </w:r>
      <w:r w:rsidR="00316960">
        <w:rPr>
          <w:rFonts w:ascii="Times New Roman" w:hAnsi="Times New Roman"/>
          <w:sz w:val="24"/>
          <w:szCs w:val="24"/>
        </w:rPr>
        <w:t>-</w:t>
      </w:r>
      <w:r>
        <w:rPr>
          <w:rFonts w:ascii="Times New Roman" w:hAnsi="Times New Roman"/>
          <w:sz w:val="24"/>
          <w:szCs w:val="24"/>
        </w:rPr>
        <w:t>$</w:t>
      </w:r>
      <w:r w:rsidR="0052429C">
        <w:rPr>
          <w:rFonts w:ascii="Times New Roman" w:hAnsi="Times New Roman"/>
          <w:sz w:val="24"/>
          <w:szCs w:val="24"/>
        </w:rPr>
        <w:t>118.38</w:t>
      </w:r>
      <w:r>
        <w:rPr>
          <w:rFonts w:ascii="Times New Roman" w:hAnsi="Times New Roman"/>
          <w:sz w:val="24"/>
          <w:szCs w:val="24"/>
        </w:rPr>
        <w:t xml:space="preserve"> (= </w:t>
      </w:r>
      <w:r w:rsidR="009D4573">
        <w:rPr>
          <w:rFonts w:ascii="Times New Roman" w:hAnsi="Times New Roman"/>
          <w:sz w:val="24"/>
          <w:szCs w:val="24"/>
        </w:rPr>
        <w:t>-</w:t>
      </w:r>
      <w:r>
        <w:rPr>
          <w:rFonts w:ascii="Times New Roman" w:hAnsi="Times New Roman"/>
          <w:sz w:val="24"/>
          <w:szCs w:val="24"/>
        </w:rPr>
        <w:t>$</w:t>
      </w:r>
      <w:r w:rsidR="006C74F6">
        <w:rPr>
          <w:rFonts w:ascii="Times New Roman" w:hAnsi="Times New Roman"/>
          <w:bCs/>
          <w:sz w:val="24"/>
          <w:szCs w:val="24"/>
        </w:rPr>
        <w:t xml:space="preserve">27,139 </w:t>
      </w:r>
      <w:r w:rsidR="00977812">
        <w:rPr>
          <w:rFonts w:ascii="Times New Roman" w:hAnsi="Times New Roman"/>
          <w:bCs/>
          <w:sz w:val="24"/>
          <w:szCs w:val="24"/>
        </w:rPr>
        <w:t>/</w:t>
      </w:r>
      <w:r w:rsidR="006C74F6">
        <w:rPr>
          <w:rFonts w:ascii="Times New Roman" w:hAnsi="Times New Roman"/>
          <w:bCs/>
          <w:sz w:val="24"/>
          <w:szCs w:val="24"/>
        </w:rPr>
        <w:t xml:space="preserve"> </w:t>
      </w:r>
      <w:r w:rsidR="00977812">
        <w:rPr>
          <w:rFonts w:ascii="Times New Roman" w:hAnsi="Times New Roman"/>
          <w:bCs/>
          <w:sz w:val="24"/>
          <w:szCs w:val="24"/>
        </w:rPr>
        <w:t>229</w:t>
      </w:r>
      <w:r>
        <w:rPr>
          <w:rFonts w:ascii="Times New Roman" w:hAnsi="Times New Roman"/>
          <w:sz w:val="24"/>
          <w:szCs w:val="24"/>
        </w:rPr>
        <w:t xml:space="preserve">), with a lower bound of approximately </w:t>
      </w:r>
      <w:r w:rsidR="00B91B2F">
        <w:rPr>
          <w:rFonts w:ascii="Times New Roman" w:hAnsi="Times New Roman"/>
          <w:sz w:val="24"/>
          <w:szCs w:val="24"/>
        </w:rPr>
        <w:t>-</w:t>
      </w:r>
      <w:r>
        <w:rPr>
          <w:rFonts w:ascii="Times New Roman" w:hAnsi="Times New Roman"/>
          <w:sz w:val="24"/>
          <w:szCs w:val="24"/>
        </w:rPr>
        <w:t>$</w:t>
      </w:r>
      <w:r w:rsidR="00B932CE">
        <w:rPr>
          <w:rFonts w:ascii="Times New Roman" w:hAnsi="Times New Roman"/>
          <w:sz w:val="24"/>
          <w:szCs w:val="24"/>
        </w:rPr>
        <w:t>192.64</w:t>
      </w:r>
      <w:r>
        <w:rPr>
          <w:rFonts w:ascii="Times New Roman" w:hAnsi="Times New Roman"/>
          <w:sz w:val="24"/>
          <w:szCs w:val="24"/>
        </w:rPr>
        <w:t xml:space="preserve"> (= </w:t>
      </w:r>
      <w:r w:rsidR="009D4573">
        <w:rPr>
          <w:rFonts w:ascii="Times New Roman" w:hAnsi="Times New Roman"/>
          <w:sz w:val="24"/>
          <w:szCs w:val="24"/>
        </w:rPr>
        <w:t>-</w:t>
      </w:r>
      <w:r>
        <w:rPr>
          <w:rFonts w:ascii="Times New Roman" w:hAnsi="Times New Roman"/>
          <w:sz w:val="24"/>
          <w:szCs w:val="24"/>
        </w:rPr>
        <w:t>$</w:t>
      </w:r>
      <w:r w:rsidRPr="00A64656" w:rsidR="00A64656">
        <w:rPr>
          <w:rFonts w:ascii="Times New Roman" w:hAnsi="Times New Roman"/>
          <w:bCs/>
          <w:sz w:val="24"/>
          <w:szCs w:val="24"/>
        </w:rPr>
        <w:t>44,162</w:t>
      </w:r>
      <w:r w:rsidR="006C74F6">
        <w:rPr>
          <w:rFonts w:ascii="Times New Roman" w:hAnsi="Times New Roman"/>
          <w:bCs/>
          <w:sz w:val="24"/>
          <w:szCs w:val="24"/>
        </w:rPr>
        <w:t xml:space="preserve"> </w:t>
      </w:r>
      <w:r w:rsidR="00A64656">
        <w:rPr>
          <w:rFonts w:ascii="Times New Roman" w:hAnsi="Times New Roman"/>
          <w:bCs/>
          <w:sz w:val="24"/>
          <w:szCs w:val="24"/>
        </w:rPr>
        <w:t>/</w:t>
      </w:r>
      <w:r w:rsidR="006C74F6">
        <w:rPr>
          <w:rFonts w:ascii="Times New Roman" w:hAnsi="Times New Roman"/>
          <w:bCs/>
          <w:sz w:val="24"/>
          <w:szCs w:val="24"/>
        </w:rPr>
        <w:t xml:space="preserve"> </w:t>
      </w:r>
      <w:r w:rsidR="00A64656">
        <w:rPr>
          <w:rFonts w:ascii="Times New Roman" w:hAnsi="Times New Roman"/>
          <w:bCs/>
          <w:sz w:val="24"/>
          <w:szCs w:val="24"/>
        </w:rPr>
        <w:t>229</w:t>
      </w:r>
      <w:r>
        <w:rPr>
          <w:rFonts w:ascii="Times New Roman" w:hAnsi="Times New Roman"/>
          <w:sz w:val="24"/>
          <w:szCs w:val="24"/>
        </w:rPr>
        <w:t>) and an upper bound of approximately $</w:t>
      </w:r>
      <w:r w:rsidR="00C07D28">
        <w:rPr>
          <w:rFonts w:ascii="Times New Roman" w:hAnsi="Times New Roman"/>
          <w:sz w:val="24"/>
          <w:szCs w:val="24"/>
        </w:rPr>
        <w:t>30.13</w:t>
      </w:r>
      <w:r>
        <w:rPr>
          <w:rFonts w:ascii="Times New Roman" w:hAnsi="Times New Roman"/>
          <w:sz w:val="24"/>
          <w:szCs w:val="24"/>
        </w:rPr>
        <w:t xml:space="preserve"> (= $</w:t>
      </w:r>
      <w:r w:rsidR="006C74F6">
        <w:rPr>
          <w:rFonts w:ascii="Times New Roman" w:hAnsi="Times New Roman"/>
          <w:bCs/>
          <w:sz w:val="24"/>
          <w:szCs w:val="24"/>
        </w:rPr>
        <w:t xml:space="preserve">6,908 </w:t>
      </w:r>
      <w:r w:rsidR="001749DF">
        <w:rPr>
          <w:rFonts w:ascii="Times New Roman" w:hAnsi="Times New Roman"/>
          <w:bCs/>
          <w:sz w:val="24"/>
          <w:szCs w:val="24"/>
        </w:rPr>
        <w:t>/</w:t>
      </w:r>
      <w:r w:rsidR="006C74F6">
        <w:rPr>
          <w:rFonts w:ascii="Times New Roman" w:hAnsi="Times New Roman"/>
          <w:bCs/>
          <w:sz w:val="24"/>
          <w:szCs w:val="24"/>
        </w:rPr>
        <w:t xml:space="preserve"> </w:t>
      </w:r>
      <w:r w:rsidR="001749DF">
        <w:rPr>
          <w:rFonts w:ascii="Times New Roman" w:hAnsi="Times New Roman"/>
          <w:bCs/>
          <w:sz w:val="24"/>
          <w:szCs w:val="24"/>
        </w:rPr>
        <w:t>229</w:t>
      </w:r>
      <w:r>
        <w:rPr>
          <w:rFonts w:ascii="Times New Roman" w:hAnsi="Times New Roman"/>
          <w:sz w:val="24"/>
          <w:szCs w:val="24"/>
        </w:rPr>
        <w:t xml:space="preserve">), discounted at 3 percent over 10 </w:t>
      </w:r>
      <w:r>
        <w:rPr>
          <w:rFonts w:ascii="Times New Roman" w:hAnsi="Times New Roman"/>
          <w:sz w:val="24"/>
          <w:szCs w:val="24"/>
        </w:rPr>
        <w:t xml:space="preserve">years. </w:t>
      </w:r>
      <w:r w:rsidR="00507EC2">
        <w:rPr>
          <w:rFonts w:ascii="Times New Roman" w:hAnsi="Times New Roman"/>
          <w:sz w:val="24"/>
          <w:szCs w:val="24"/>
        </w:rPr>
        <w:t xml:space="preserve"> </w:t>
      </w:r>
      <w:r>
        <w:rPr>
          <w:rFonts w:ascii="Times New Roman" w:hAnsi="Times New Roman"/>
          <w:sz w:val="24"/>
          <w:szCs w:val="24"/>
        </w:rPr>
        <w:t xml:space="preserve">At a 7 percent discount rate, the annualized net cost savings per IRB associated with small entities are approximately </w:t>
      </w:r>
      <w:r w:rsidR="00202D09">
        <w:rPr>
          <w:rFonts w:ascii="Times New Roman" w:hAnsi="Times New Roman"/>
          <w:sz w:val="24"/>
          <w:szCs w:val="24"/>
        </w:rPr>
        <w:t>-</w:t>
      </w:r>
      <w:r>
        <w:rPr>
          <w:rFonts w:ascii="Times New Roman" w:hAnsi="Times New Roman"/>
          <w:sz w:val="24"/>
          <w:szCs w:val="24"/>
        </w:rPr>
        <w:t>$</w:t>
      </w:r>
      <w:r w:rsidR="006653A3">
        <w:rPr>
          <w:rFonts w:ascii="Times New Roman" w:hAnsi="Times New Roman"/>
          <w:sz w:val="24"/>
          <w:szCs w:val="24"/>
        </w:rPr>
        <w:t>163.61</w:t>
      </w:r>
      <w:r>
        <w:rPr>
          <w:rFonts w:ascii="Times New Roman" w:hAnsi="Times New Roman"/>
          <w:sz w:val="24"/>
          <w:szCs w:val="24"/>
        </w:rPr>
        <w:t xml:space="preserve"> (= </w:t>
      </w:r>
      <w:r w:rsidR="0018523B">
        <w:rPr>
          <w:rFonts w:ascii="Times New Roman" w:hAnsi="Times New Roman"/>
          <w:sz w:val="24"/>
          <w:szCs w:val="24"/>
        </w:rPr>
        <w:t>-</w:t>
      </w:r>
      <w:r>
        <w:rPr>
          <w:rFonts w:ascii="Times New Roman" w:hAnsi="Times New Roman"/>
          <w:sz w:val="24"/>
          <w:szCs w:val="24"/>
        </w:rPr>
        <w:t>$</w:t>
      </w:r>
      <w:r w:rsidR="00AA443A">
        <w:rPr>
          <w:rFonts w:ascii="Times New Roman" w:hAnsi="Times New Roman"/>
          <w:bCs/>
          <w:sz w:val="24"/>
          <w:szCs w:val="24"/>
        </w:rPr>
        <w:t xml:space="preserve">37,486 </w:t>
      </w:r>
      <w:r w:rsidR="00D70340">
        <w:rPr>
          <w:rFonts w:ascii="Times New Roman" w:hAnsi="Times New Roman"/>
          <w:bCs/>
          <w:sz w:val="24"/>
          <w:szCs w:val="24"/>
        </w:rPr>
        <w:t>/</w:t>
      </w:r>
      <w:r w:rsidR="00AA443A">
        <w:rPr>
          <w:rFonts w:ascii="Times New Roman" w:hAnsi="Times New Roman"/>
          <w:bCs/>
          <w:sz w:val="24"/>
          <w:szCs w:val="24"/>
        </w:rPr>
        <w:t xml:space="preserve"> </w:t>
      </w:r>
      <w:r w:rsidR="00D70340">
        <w:rPr>
          <w:rFonts w:ascii="Times New Roman" w:hAnsi="Times New Roman"/>
          <w:bCs/>
          <w:sz w:val="24"/>
          <w:szCs w:val="24"/>
        </w:rPr>
        <w:t>229</w:t>
      </w:r>
      <w:r>
        <w:rPr>
          <w:rFonts w:ascii="Times New Roman" w:hAnsi="Times New Roman"/>
          <w:sz w:val="24"/>
          <w:szCs w:val="24"/>
        </w:rPr>
        <w:t xml:space="preserve">), with a lower bound of approximately </w:t>
      </w:r>
      <w:r w:rsidR="006F6C13">
        <w:rPr>
          <w:rFonts w:ascii="Times New Roman" w:hAnsi="Times New Roman"/>
          <w:sz w:val="24"/>
          <w:szCs w:val="24"/>
        </w:rPr>
        <w:t>-</w:t>
      </w:r>
      <w:r>
        <w:rPr>
          <w:rFonts w:ascii="Times New Roman" w:hAnsi="Times New Roman"/>
          <w:sz w:val="24"/>
          <w:szCs w:val="24"/>
        </w:rPr>
        <w:t>$</w:t>
      </w:r>
      <w:r w:rsidR="00B3353E">
        <w:rPr>
          <w:rFonts w:ascii="Times New Roman" w:hAnsi="Times New Roman"/>
          <w:sz w:val="24"/>
          <w:szCs w:val="24"/>
        </w:rPr>
        <w:t>237.77</w:t>
      </w:r>
      <w:r>
        <w:rPr>
          <w:rFonts w:ascii="Times New Roman" w:hAnsi="Times New Roman"/>
          <w:sz w:val="24"/>
          <w:szCs w:val="24"/>
        </w:rPr>
        <w:t xml:space="preserve"> (= </w:t>
      </w:r>
      <w:r w:rsidR="0018523B">
        <w:rPr>
          <w:rFonts w:ascii="Times New Roman" w:hAnsi="Times New Roman"/>
          <w:sz w:val="24"/>
          <w:szCs w:val="24"/>
        </w:rPr>
        <w:t>-</w:t>
      </w:r>
      <w:r>
        <w:rPr>
          <w:rFonts w:ascii="Times New Roman" w:hAnsi="Times New Roman"/>
          <w:sz w:val="24"/>
          <w:szCs w:val="24"/>
        </w:rPr>
        <w:t>$</w:t>
      </w:r>
      <w:r w:rsidRPr="00D80BB2" w:rsidR="00D80BB2">
        <w:rPr>
          <w:rFonts w:ascii="Times New Roman" w:hAnsi="Times New Roman"/>
          <w:bCs/>
          <w:sz w:val="24"/>
          <w:szCs w:val="24"/>
        </w:rPr>
        <w:t>54,509</w:t>
      </w:r>
      <w:r w:rsidR="003434EB">
        <w:rPr>
          <w:rFonts w:ascii="Times New Roman" w:hAnsi="Times New Roman"/>
          <w:bCs/>
          <w:sz w:val="24"/>
          <w:szCs w:val="24"/>
        </w:rPr>
        <w:t xml:space="preserve"> </w:t>
      </w:r>
      <w:r w:rsidR="00D80BB2">
        <w:rPr>
          <w:rFonts w:ascii="Times New Roman" w:hAnsi="Times New Roman"/>
          <w:bCs/>
          <w:sz w:val="24"/>
          <w:szCs w:val="24"/>
        </w:rPr>
        <w:t>/</w:t>
      </w:r>
      <w:r w:rsidR="003434EB">
        <w:rPr>
          <w:rFonts w:ascii="Times New Roman" w:hAnsi="Times New Roman"/>
          <w:bCs/>
          <w:sz w:val="24"/>
          <w:szCs w:val="24"/>
        </w:rPr>
        <w:t xml:space="preserve"> </w:t>
      </w:r>
      <w:r w:rsidR="00D80BB2">
        <w:rPr>
          <w:rFonts w:ascii="Times New Roman" w:hAnsi="Times New Roman"/>
          <w:bCs/>
          <w:sz w:val="24"/>
          <w:szCs w:val="24"/>
        </w:rPr>
        <w:t>229</w:t>
      </w:r>
      <w:r>
        <w:rPr>
          <w:rFonts w:ascii="Times New Roman" w:hAnsi="Times New Roman"/>
          <w:sz w:val="24"/>
          <w:szCs w:val="24"/>
        </w:rPr>
        <w:t xml:space="preserve">) and an upper bound of approximately </w:t>
      </w:r>
      <w:r w:rsidR="006F6C13">
        <w:rPr>
          <w:rFonts w:ascii="Times New Roman" w:hAnsi="Times New Roman"/>
          <w:sz w:val="24"/>
          <w:szCs w:val="24"/>
        </w:rPr>
        <w:t>-</w:t>
      </w:r>
      <w:r>
        <w:rPr>
          <w:rFonts w:ascii="Times New Roman" w:hAnsi="Times New Roman"/>
          <w:sz w:val="24"/>
          <w:szCs w:val="24"/>
        </w:rPr>
        <w:t>$</w:t>
      </w:r>
      <w:r w:rsidR="003434EB">
        <w:rPr>
          <w:rFonts w:ascii="Times New Roman" w:hAnsi="Times New Roman"/>
          <w:sz w:val="24"/>
          <w:szCs w:val="24"/>
        </w:rPr>
        <w:t>15.00</w:t>
      </w:r>
      <w:r>
        <w:rPr>
          <w:rFonts w:ascii="Times New Roman" w:hAnsi="Times New Roman"/>
          <w:sz w:val="24"/>
          <w:szCs w:val="24"/>
        </w:rPr>
        <w:t xml:space="preserve"> (= </w:t>
      </w:r>
      <w:r w:rsidR="001B0EF7">
        <w:rPr>
          <w:rFonts w:ascii="Times New Roman" w:hAnsi="Times New Roman"/>
          <w:sz w:val="24"/>
          <w:szCs w:val="24"/>
        </w:rPr>
        <w:t>-</w:t>
      </w:r>
      <w:r>
        <w:rPr>
          <w:rFonts w:ascii="Times New Roman" w:hAnsi="Times New Roman"/>
          <w:sz w:val="24"/>
          <w:szCs w:val="24"/>
        </w:rPr>
        <w:t>$</w:t>
      </w:r>
      <w:r w:rsidR="003434EB">
        <w:rPr>
          <w:rFonts w:ascii="Times New Roman" w:hAnsi="Times New Roman"/>
          <w:bCs/>
          <w:sz w:val="24"/>
          <w:szCs w:val="24"/>
        </w:rPr>
        <w:t xml:space="preserve">3,439 </w:t>
      </w:r>
      <w:r w:rsidR="001B0EF7">
        <w:rPr>
          <w:rFonts w:ascii="Times New Roman" w:hAnsi="Times New Roman"/>
          <w:bCs/>
          <w:sz w:val="24"/>
          <w:szCs w:val="24"/>
        </w:rPr>
        <w:t>/</w:t>
      </w:r>
      <w:r w:rsidR="003434EB">
        <w:rPr>
          <w:rFonts w:ascii="Times New Roman" w:hAnsi="Times New Roman"/>
          <w:bCs/>
          <w:sz w:val="24"/>
          <w:szCs w:val="24"/>
        </w:rPr>
        <w:t xml:space="preserve"> </w:t>
      </w:r>
      <w:r w:rsidR="001B0EF7">
        <w:rPr>
          <w:rFonts w:ascii="Times New Roman" w:hAnsi="Times New Roman"/>
          <w:bCs/>
          <w:sz w:val="24"/>
          <w:szCs w:val="24"/>
        </w:rPr>
        <w:t>229</w:t>
      </w:r>
      <w:r>
        <w:rPr>
          <w:rFonts w:ascii="Times New Roman" w:hAnsi="Times New Roman"/>
          <w:sz w:val="24"/>
          <w:szCs w:val="24"/>
        </w:rPr>
        <w:t>).</w:t>
      </w:r>
    </w:p>
    <w:p w:rsidR="00CF03DB" w:rsidP="00A02510" w14:paraId="5497E666" w14:textId="7E66A5F4">
      <w:pPr>
        <w:spacing w:after="0" w:line="480" w:lineRule="auto"/>
        <w:ind w:firstLine="720"/>
        <w:rPr>
          <w:rFonts w:ascii="Times New Roman" w:hAnsi="Times New Roman"/>
          <w:sz w:val="24"/>
          <w:szCs w:val="24"/>
        </w:rPr>
      </w:pPr>
      <w:r w:rsidRPr="60EB7BAF">
        <w:rPr>
          <w:rFonts w:ascii="Times New Roman" w:hAnsi="Times New Roman"/>
          <w:sz w:val="24"/>
          <w:szCs w:val="24"/>
        </w:rPr>
        <w:t xml:space="preserve">We estimate that approximately </w:t>
      </w:r>
      <w:r w:rsidRPr="60EB7BAF" w:rsidR="00BB5EC4">
        <w:rPr>
          <w:rFonts w:ascii="Times New Roman" w:hAnsi="Times New Roman"/>
          <w:sz w:val="24"/>
          <w:szCs w:val="24"/>
        </w:rPr>
        <w:t>229</w:t>
      </w:r>
      <w:r w:rsidRPr="60EB7BAF" w:rsidR="008A50F6">
        <w:rPr>
          <w:rFonts w:ascii="Times New Roman" w:hAnsi="Times New Roman"/>
          <w:sz w:val="24"/>
          <w:szCs w:val="24"/>
        </w:rPr>
        <w:t xml:space="preserve"> </w:t>
      </w:r>
      <w:r w:rsidRPr="60EB7BAF">
        <w:rPr>
          <w:rFonts w:ascii="Times New Roman" w:hAnsi="Times New Roman"/>
          <w:sz w:val="24"/>
          <w:szCs w:val="24"/>
        </w:rPr>
        <w:t xml:space="preserve">(= 0.41607 x </w:t>
      </w:r>
      <w:r w:rsidRPr="60EB7BAF" w:rsidR="001E3C3E">
        <w:rPr>
          <w:rFonts w:ascii="Times New Roman" w:hAnsi="Times New Roman"/>
          <w:sz w:val="24"/>
          <w:szCs w:val="24"/>
        </w:rPr>
        <w:t>551</w:t>
      </w:r>
      <w:r w:rsidRPr="60EB7BAF">
        <w:rPr>
          <w:rFonts w:ascii="Times New Roman" w:hAnsi="Times New Roman"/>
          <w:sz w:val="24"/>
          <w:szCs w:val="24"/>
        </w:rPr>
        <w:t>)</w:t>
      </w:r>
      <w:r w:rsidRPr="60EB7BAF" w:rsidR="00725036">
        <w:rPr>
          <w:rFonts w:ascii="Times New Roman" w:hAnsi="Times New Roman"/>
          <w:sz w:val="24"/>
          <w:szCs w:val="24"/>
        </w:rPr>
        <w:t xml:space="preserve"> sponsors of</w:t>
      </w:r>
      <w:r w:rsidRPr="60EB7BAF">
        <w:rPr>
          <w:rFonts w:ascii="Times New Roman" w:hAnsi="Times New Roman"/>
          <w:sz w:val="24"/>
          <w:szCs w:val="24"/>
        </w:rPr>
        <w:t xml:space="preserve"> clinical </w:t>
      </w:r>
      <w:r w:rsidRPr="60EB7BAF" w:rsidR="00FD1714">
        <w:rPr>
          <w:rFonts w:ascii="Times New Roman" w:hAnsi="Times New Roman"/>
          <w:sz w:val="24"/>
          <w:szCs w:val="24"/>
        </w:rPr>
        <w:t>investigation</w:t>
      </w:r>
      <w:r w:rsidRPr="60EB7BAF">
        <w:rPr>
          <w:rFonts w:ascii="Times New Roman" w:hAnsi="Times New Roman"/>
          <w:sz w:val="24"/>
          <w:szCs w:val="24"/>
        </w:rPr>
        <w:t xml:space="preserve">s affected by the rule are small and will incur annualized net cost savings of approximately </w:t>
      </w:r>
      <w:r w:rsidRPr="60EB7BAF" w:rsidR="006777FF">
        <w:rPr>
          <w:rFonts w:ascii="Times New Roman" w:hAnsi="Times New Roman"/>
          <w:sz w:val="24"/>
          <w:szCs w:val="24"/>
        </w:rPr>
        <w:t>-</w:t>
      </w:r>
      <w:r w:rsidRPr="60EB7BAF">
        <w:rPr>
          <w:rFonts w:ascii="Times New Roman" w:hAnsi="Times New Roman"/>
          <w:sz w:val="24"/>
          <w:szCs w:val="24"/>
        </w:rPr>
        <w:t>$</w:t>
      </w:r>
      <w:r w:rsidRPr="60EB7BAF" w:rsidR="006777FF">
        <w:rPr>
          <w:rFonts w:ascii="Times New Roman" w:hAnsi="Times New Roman"/>
          <w:sz w:val="24"/>
          <w:szCs w:val="24"/>
        </w:rPr>
        <w:t>3</w:t>
      </w:r>
      <w:r w:rsidR="0076450E">
        <w:rPr>
          <w:rFonts w:ascii="Times New Roman" w:hAnsi="Times New Roman"/>
          <w:sz w:val="24"/>
          <w:szCs w:val="24"/>
        </w:rPr>
        <w:t>2.</w:t>
      </w:r>
      <w:r w:rsidR="0088456A">
        <w:rPr>
          <w:rFonts w:ascii="Times New Roman" w:hAnsi="Times New Roman"/>
          <w:sz w:val="24"/>
          <w:szCs w:val="24"/>
        </w:rPr>
        <w:t>9</w:t>
      </w:r>
      <w:r w:rsidRPr="60EB7BAF" w:rsidR="00AF4B09">
        <w:rPr>
          <w:rFonts w:ascii="Times New Roman" w:hAnsi="Times New Roman"/>
          <w:sz w:val="24"/>
          <w:szCs w:val="24"/>
        </w:rPr>
        <w:t xml:space="preserve"> thousand,</w:t>
      </w:r>
      <w:r w:rsidRPr="60EB7BAF">
        <w:rPr>
          <w:rFonts w:ascii="Times New Roman" w:hAnsi="Times New Roman"/>
          <w:sz w:val="24"/>
          <w:szCs w:val="24"/>
        </w:rPr>
        <w:t xml:space="preserve"> with a lower bound of approximately </w:t>
      </w:r>
      <w:r w:rsidRPr="60EB7BAF" w:rsidR="00EB7818">
        <w:rPr>
          <w:rFonts w:ascii="Times New Roman" w:hAnsi="Times New Roman"/>
          <w:sz w:val="24"/>
          <w:szCs w:val="24"/>
        </w:rPr>
        <w:t>-</w:t>
      </w:r>
      <w:r w:rsidRPr="60EB7BAF">
        <w:rPr>
          <w:rFonts w:ascii="Times New Roman" w:hAnsi="Times New Roman"/>
          <w:sz w:val="24"/>
          <w:szCs w:val="24"/>
        </w:rPr>
        <w:t>$</w:t>
      </w:r>
      <w:r w:rsidRPr="60EB7BAF" w:rsidR="00507305">
        <w:rPr>
          <w:rFonts w:ascii="Times New Roman" w:hAnsi="Times New Roman"/>
          <w:sz w:val="24"/>
          <w:szCs w:val="24"/>
        </w:rPr>
        <w:t>20.</w:t>
      </w:r>
      <w:r w:rsidR="00EA7BE4">
        <w:rPr>
          <w:rFonts w:ascii="Times New Roman" w:hAnsi="Times New Roman"/>
          <w:sz w:val="24"/>
          <w:szCs w:val="24"/>
        </w:rPr>
        <w:t>8</w:t>
      </w:r>
      <w:r w:rsidRPr="60EB7BAF" w:rsidR="00E15570">
        <w:rPr>
          <w:rFonts w:ascii="Times New Roman" w:hAnsi="Times New Roman"/>
          <w:sz w:val="24"/>
          <w:szCs w:val="24"/>
        </w:rPr>
        <w:t xml:space="preserve"> thousand</w:t>
      </w:r>
      <w:r w:rsidRPr="60EB7BAF">
        <w:rPr>
          <w:rFonts w:ascii="Times New Roman" w:hAnsi="Times New Roman"/>
          <w:sz w:val="24"/>
          <w:szCs w:val="24"/>
        </w:rPr>
        <w:t xml:space="preserve"> and an upper bound of approximately </w:t>
      </w:r>
      <w:r w:rsidRPr="60EB7BAF" w:rsidR="0071034F">
        <w:rPr>
          <w:rFonts w:ascii="Times New Roman" w:hAnsi="Times New Roman"/>
          <w:sz w:val="24"/>
          <w:szCs w:val="24"/>
        </w:rPr>
        <w:t>-</w:t>
      </w:r>
      <w:r w:rsidRPr="60EB7BAF">
        <w:rPr>
          <w:rFonts w:ascii="Times New Roman" w:hAnsi="Times New Roman"/>
          <w:sz w:val="24"/>
          <w:szCs w:val="24"/>
        </w:rPr>
        <w:t>$</w:t>
      </w:r>
      <w:r w:rsidR="00EA7BE4">
        <w:rPr>
          <w:rFonts w:ascii="Times New Roman" w:hAnsi="Times New Roman"/>
          <w:sz w:val="24"/>
          <w:szCs w:val="24"/>
        </w:rPr>
        <w:t>57.0</w:t>
      </w:r>
      <w:r w:rsidRPr="60EB7BAF" w:rsidR="00E15570">
        <w:rPr>
          <w:rFonts w:ascii="Times New Roman" w:hAnsi="Times New Roman"/>
          <w:sz w:val="24"/>
          <w:szCs w:val="24"/>
        </w:rPr>
        <w:t xml:space="preserve"> thousand</w:t>
      </w:r>
      <w:r w:rsidRPr="60EB7BAF">
        <w:rPr>
          <w:rFonts w:ascii="Times New Roman" w:hAnsi="Times New Roman"/>
          <w:sz w:val="24"/>
          <w:szCs w:val="24"/>
        </w:rPr>
        <w:t xml:space="preserve">, discounted at 3 percent over 10 years. </w:t>
      </w:r>
      <w:r w:rsidRPr="60EB7BAF" w:rsidR="008B7D0E">
        <w:rPr>
          <w:rFonts w:ascii="Times New Roman" w:hAnsi="Times New Roman"/>
          <w:sz w:val="24"/>
          <w:szCs w:val="24"/>
        </w:rPr>
        <w:t xml:space="preserve"> </w:t>
      </w:r>
      <w:r w:rsidRPr="60EB7BAF">
        <w:rPr>
          <w:rFonts w:ascii="Times New Roman" w:hAnsi="Times New Roman"/>
          <w:sz w:val="24"/>
          <w:szCs w:val="24"/>
        </w:rPr>
        <w:t xml:space="preserve">At a 7 percent discount rate, the annualized net cost savings per clinical </w:t>
      </w:r>
      <w:r w:rsidRPr="60EB7BAF" w:rsidR="00FD1714">
        <w:rPr>
          <w:rFonts w:ascii="Times New Roman" w:hAnsi="Times New Roman"/>
          <w:sz w:val="24"/>
          <w:szCs w:val="24"/>
        </w:rPr>
        <w:t>investigation</w:t>
      </w:r>
      <w:r w:rsidRPr="60EB7BAF">
        <w:rPr>
          <w:rFonts w:ascii="Times New Roman" w:hAnsi="Times New Roman"/>
          <w:sz w:val="24"/>
          <w:szCs w:val="24"/>
        </w:rPr>
        <w:t xml:space="preserve">s associated with small entities are approximately </w:t>
      </w:r>
      <w:r w:rsidRPr="60EB7BAF" w:rsidR="00983B23">
        <w:rPr>
          <w:rFonts w:ascii="Times New Roman" w:hAnsi="Times New Roman"/>
          <w:sz w:val="24"/>
          <w:szCs w:val="24"/>
        </w:rPr>
        <w:t>-</w:t>
      </w:r>
      <w:r w:rsidRPr="60EB7BAF">
        <w:rPr>
          <w:rFonts w:ascii="Times New Roman" w:hAnsi="Times New Roman"/>
          <w:sz w:val="24"/>
          <w:szCs w:val="24"/>
        </w:rPr>
        <w:t>$</w:t>
      </w:r>
      <w:r w:rsidR="00EA7BE4">
        <w:rPr>
          <w:rFonts w:ascii="Times New Roman" w:hAnsi="Times New Roman"/>
          <w:sz w:val="24"/>
          <w:szCs w:val="24"/>
        </w:rPr>
        <w:t>39.9</w:t>
      </w:r>
      <w:r w:rsidRPr="60EB7BAF" w:rsidR="00E570D0">
        <w:rPr>
          <w:rFonts w:ascii="Times New Roman" w:hAnsi="Times New Roman"/>
          <w:sz w:val="24"/>
          <w:szCs w:val="24"/>
        </w:rPr>
        <w:t xml:space="preserve"> thousand</w:t>
      </w:r>
      <w:r w:rsidRPr="60EB7BAF">
        <w:rPr>
          <w:rFonts w:ascii="Times New Roman" w:hAnsi="Times New Roman"/>
          <w:sz w:val="24"/>
          <w:szCs w:val="24"/>
        </w:rPr>
        <w:t xml:space="preserve">, with a lower bound of approximately </w:t>
      </w:r>
      <w:r w:rsidRPr="60EB7BAF" w:rsidR="001F13A6">
        <w:rPr>
          <w:rFonts w:ascii="Times New Roman" w:hAnsi="Times New Roman"/>
          <w:sz w:val="24"/>
          <w:szCs w:val="24"/>
        </w:rPr>
        <w:t>-</w:t>
      </w:r>
      <w:r w:rsidRPr="60EB7BAF">
        <w:rPr>
          <w:rFonts w:ascii="Times New Roman" w:hAnsi="Times New Roman"/>
          <w:sz w:val="24"/>
          <w:szCs w:val="24"/>
        </w:rPr>
        <w:t>$</w:t>
      </w:r>
      <w:r w:rsidR="00EA7BE4">
        <w:rPr>
          <w:rFonts w:ascii="Times New Roman" w:hAnsi="Times New Roman"/>
          <w:sz w:val="24"/>
          <w:szCs w:val="24"/>
        </w:rPr>
        <w:t>25.3</w:t>
      </w:r>
      <w:r w:rsidRPr="60EB7BAF" w:rsidR="00E570D0">
        <w:rPr>
          <w:rFonts w:ascii="Times New Roman" w:hAnsi="Times New Roman"/>
          <w:sz w:val="24"/>
          <w:szCs w:val="24"/>
        </w:rPr>
        <w:t xml:space="preserve"> thousand</w:t>
      </w:r>
      <w:r w:rsidRPr="60EB7BAF">
        <w:rPr>
          <w:rFonts w:ascii="Times New Roman" w:hAnsi="Times New Roman"/>
          <w:sz w:val="24"/>
          <w:szCs w:val="24"/>
        </w:rPr>
        <w:t xml:space="preserve"> and an upper bound of approximately </w:t>
      </w:r>
      <w:r w:rsidRPr="60EB7BAF" w:rsidR="0050024E">
        <w:rPr>
          <w:rFonts w:ascii="Times New Roman" w:hAnsi="Times New Roman"/>
          <w:sz w:val="24"/>
          <w:szCs w:val="24"/>
        </w:rPr>
        <w:t>-</w:t>
      </w:r>
      <w:r w:rsidRPr="60EB7BAF">
        <w:rPr>
          <w:rFonts w:ascii="Times New Roman" w:hAnsi="Times New Roman"/>
          <w:sz w:val="24"/>
          <w:szCs w:val="24"/>
        </w:rPr>
        <w:t>$</w:t>
      </w:r>
      <w:r w:rsidR="00EA7BE4">
        <w:rPr>
          <w:rFonts w:ascii="Times New Roman" w:hAnsi="Times New Roman"/>
          <w:sz w:val="24"/>
          <w:szCs w:val="24"/>
        </w:rPr>
        <w:t>69.2</w:t>
      </w:r>
      <w:r w:rsidRPr="60EB7BAF" w:rsidR="00E570D0">
        <w:rPr>
          <w:rFonts w:ascii="Times New Roman" w:hAnsi="Times New Roman"/>
          <w:sz w:val="24"/>
          <w:szCs w:val="24"/>
        </w:rPr>
        <w:t xml:space="preserve"> thousand</w:t>
      </w:r>
      <w:r w:rsidRPr="60EB7BAF">
        <w:rPr>
          <w:rFonts w:ascii="Times New Roman" w:hAnsi="Times New Roman"/>
          <w:sz w:val="24"/>
          <w:szCs w:val="24"/>
        </w:rPr>
        <w:t xml:space="preserve">. </w:t>
      </w:r>
      <w:r w:rsidRPr="60EB7BAF" w:rsidR="00507EC2">
        <w:rPr>
          <w:rFonts w:ascii="Times New Roman" w:hAnsi="Times New Roman"/>
          <w:sz w:val="24"/>
          <w:szCs w:val="24"/>
        </w:rPr>
        <w:t xml:space="preserve"> </w:t>
      </w:r>
      <w:r w:rsidRPr="60EB7BAF">
        <w:rPr>
          <w:rFonts w:ascii="Times New Roman" w:hAnsi="Times New Roman"/>
          <w:sz w:val="24"/>
          <w:szCs w:val="24"/>
        </w:rPr>
        <w:t xml:space="preserve">Annualized net cost savings per clinical </w:t>
      </w:r>
      <w:r w:rsidRPr="60EB7BAF" w:rsidR="00FD1714">
        <w:rPr>
          <w:rFonts w:ascii="Times New Roman" w:hAnsi="Times New Roman"/>
          <w:sz w:val="24"/>
          <w:szCs w:val="24"/>
        </w:rPr>
        <w:t>investigation</w:t>
      </w:r>
      <w:r w:rsidRPr="60EB7BAF">
        <w:rPr>
          <w:rFonts w:ascii="Times New Roman" w:hAnsi="Times New Roman"/>
          <w:sz w:val="24"/>
          <w:szCs w:val="24"/>
        </w:rPr>
        <w:t xml:space="preserve"> associated with small entities are approximately </w:t>
      </w:r>
      <w:r w:rsidRPr="60EB7BAF" w:rsidR="008D050D">
        <w:rPr>
          <w:rFonts w:ascii="Times New Roman" w:hAnsi="Times New Roman"/>
          <w:sz w:val="24"/>
          <w:szCs w:val="24"/>
        </w:rPr>
        <w:t>-</w:t>
      </w:r>
      <w:r w:rsidRPr="60EB7BAF">
        <w:rPr>
          <w:rFonts w:ascii="Times New Roman" w:hAnsi="Times New Roman"/>
          <w:sz w:val="24"/>
          <w:szCs w:val="24"/>
        </w:rPr>
        <w:t>$</w:t>
      </w:r>
      <w:r w:rsidR="004F7337">
        <w:rPr>
          <w:rFonts w:ascii="Times New Roman" w:hAnsi="Times New Roman"/>
          <w:sz w:val="24"/>
          <w:szCs w:val="24"/>
        </w:rPr>
        <w:t>143.36</w:t>
      </w:r>
      <w:r w:rsidRPr="60EB7BAF">
        <w:rPr>
          <w:rFonts w:ascii="Times New Roman" w:hAnsi="Times New Roman"/>
          <w:sz w:val="24"/>
          <w:szCs w:val="24"/>
        </w:rPr>
        <w:t xml:space="preserve"> (= </w:t>
      </w:r>
      <w:r w:rsidRPr="60EB7BAF" w:rsidR="009E38B0">
        <w:rPr>
          <w:rFonts w:ascii="Times New Roman" w:hAnsi="Times New Roman"/>
          <w:sz w:val="24"/>
          <w:szCs w:val="24"/>
        </w:rPr>
        <w:t>-</w:t>
      </w:r>
      <w:r w:rsidRPr="60EB7BAF">
        <w:rPr>
          <w:rFonts w:ascii="Times New Roman" w:hAnsi="Times New Roman"/>
          <w:sz w:val="24"/>
          <w:szCs w:val="24"/>
        </w:rPr>
        <w:t>$</w:t>
      </w:r>
      <w:r w:rsidR="008A6127">
        <w:rPr>
          <w:rFonts w:ascii="Times New Roman" w:hAnsi="Times New Roman"/>
          <w:sz w:val="24"/>
          <w:szCs w:val="24"/>
        </w:rPr>
        <w:t>32,867</w:t>
      </w:r>
      <w:r w:rsidRPr="60EB7BAF" w:rsidR="0076450E">
        <w:rPr>
          <w:rFonts w:ascii="Times New Roman" w:hAnsi="Times New Roman"/>
          <w:sz w:val="24"/>
          <w:szCs w:val="24"/>
        </w:rPr>
        <w:t xml:space="preserve"> </w:t>
      </w:r>
      <w:r w:rsidRPr="60EB7BAF" w:rsidR="009E38B0">
        <w:rPr>
          <w:rFonts w:ascii="Times New Roman" w:hAnsi="Times New Roman"/>
          <w:sz w:val="24"/>
          <w:szCs w:val="24"/>
        </w:rPr>
        <w:t>/</w:t>
      </w:r>
      <w:r w:rsidRPr="60EB7BAF" w:rsidR="00EE56E3">
        <w:rPr>
          <w:rFonts w:ascii="Times New Roman" w:hAnsi="Times New Roman"/>
          <w:sz w:val="24"/>
          <w:szCs w:val="24"/>
        </w:rPr>
        <w:t xml:space="preserve"> </w:t>
      </w:r>
      <w:r w:rsidRPr="60EB7BAF" w:rsidR="009E38B0">
        <w:rPr>
          <w:rFonts w:ascii="Times New Roman" w:hAnsi="Times New Roman"/>
          <w:sz w:val="24"/>
          <w:szCs w:val="24"/>
        </w:rPr>
        <w:t>229</w:t>
      </w:r>
      <w:r w:rsidRPr="60EB7BAF">
        <w:rPr>
          <w:rFonts w:ascii="Times New Roman" w:hAnsi="Times New Roman"/>
          <w:sz w:val="24"/>
          <w:szCs w:val="24"/>
        </w:rPr>
        <w:t xml:space="preserve">), with a lower bound of approximately </w:t>
      </w:r>
      <w:r w:rsidRPr="60EB7BAF" w:rsidR="006666EF">
        <w:rPr>
          <w:rFonts w:ascii="Times New Roman" w:hAnsi="Times New Roman"/>
          <w:sz w:val="24"/>
          <w:szCs w:val="24"/>
        </w:rPr>
        <w:t>-</w:t>
      </w:r>
      <w:r w:rsidRPr="60EB7BAF">
        <w:rPr>
          <w:rFonts w:ascii="Times New Roman" w:hAnsi="Times New Roman"/>
          <w:sz w:val="24"/>
          <w:szCs w:val="24"/>
        </w:rPr>
        <w:t>$</w:t>
      </w:r>
      <w:r w:rsidR="008A6127">
        <w:rPr>
          <w:rFonts w:ascii="Times New Roman" w:hAnsi="Times New Roman"/>
          <w:sz w:val="24"/>
          <w:szCs w:val="24"/>
        </w:rPr>
        <w:t>90.75</w:t>
      </w:r>
      <w:r w:rsidRPr="60EB7BAF">
        <w:rPr>
          <w:rFonts w:ascii="Times New Roman" w:hAnsi="Times New Roman"/>
          <w:sz w:val="24"/>
          <w:szCs w:val="24"/>
        </w:rPr>
        <w:t xml:space="preserve"> (= </w:t>
      </w:r>
      <w:r w:rsidRPr="60EB7BAF" w:rsidR="005A2583">
        <w:rPr>
          <w:rFonts w:ascii="Times New Roman" w:hAnsi="Times New Roman"/>
          <w:sz w:val="24"/>
          <w:szCs w:val="24"/>
        </w:rPr>
        <w:t>-</w:t>
      </w:r>
      <w:r w:rsidRPr="60EB7BAF">
        <w:rPr>
          <w:rFonts w:ascii="Times New Roman" w:hAnsi="Times New Roman"/>
          <w:sz w:val="24"/>
          <w:szCs w:val="24"/>
        </w:rPr>
        <w:t>$</w:t>
      </w:r>
      <w:r w:rsidR="008A6127">
        <w:rPr>
          <w:rFonts w:ascii="Times New Roman" w:hAnsi="Times New Roman"/>
          <w:sz w:val="24"/>
          <w:szCs w:val="24"/>
        </w:rPr>
        <w:t>20,806</w:t>
      </w:r>
      <w:r w:rsidRPr="60EB7BAF" w:rsidR="0076450E">
        <w:rPr>
          <w:rFonts w:ascii="Times New Roman" w:hAnsi="Times New Roman"/>
          <w:sz w:val="24"/>
          <w:szCs w:val="24"/>
        </w:rPr>
        <w:t xml:space="preserve"> </w:t>
      </w:r>
      <w:r w:rsidRPr="60EB7BAF" w:rsidR="005A2583">
        <w:rPr>
          <w:rFonts w:ascii="Times New Roman" w:hAnsi="Times New Roman"/>
          <w:sz w:val="24"/>
          <w:szCs w:val="24"/>
        </w:rPr>
        <w:t>/</w:t>
      </w:r>
      <w:r w:rsidRPr="60EB7BAF" w:rsidR="00EE56E3">
        <w:rPr>
          <w:rFonts w:ascii="Times New Roman" w:hAnsi="Times New Roman"/>
          <w:sz w:val="24"/>
          <w:szCs w:val="24"/>
        </w:rPr>
        <w:t xml:space="preserve"> </w:t>
      </w:r>
      <w:r w:rsidRPr="60EB7BAF" w:rsidR="005A2583">
        <w:rPr>
          <w:rFonts w:ascii="Times New Roman" w:hAnsi="Times New Roman"/>
          <w:sz w:val="24"/>
          <w:szCs w:val="24"/>
        </w:rPr>
        <w:t>229</w:t>
      </w:r>
      <w:r w:rsidRPr="60EB7BAF">
        <w:rPr>
          <w:rFonts w:ascii="Times New Roman" w:hAnsi="Times New Roman"/>
          <w:sz w:val="24"/>
          <w:szCs w:val="24"/>
        </w:rPr>
        <w:t xml:space="preserve">) and an upper bound of approximately </w:t>
      </w:r>
      <w:r w:rsidRPr="60EB7BAF" w:rsidR="00BA1070">
        <w:rPr>
          <w:rFonts w:ascii="Times New Roman" w:hAnsi="Times New Roman"/>
          <w:sz w:val="24"/>
          <w:szCs w:val="24"/>
        </w:rPr>
        <w:t>-</w:t>
      </w:r>
      <w:r w:rsidRPr="60EB7BAF">
        <w:rPr>
          <w:rFonts w:ascii="Times New Roman" w:hAnsi="Times New Roman"/>
          <w:sz w:val="24"/>
          <w:szCs w:val="24"/>
        </w:rPr>
        <w:t>$</w:t>
      </w:r>
      <w:r w:rsidR="00A2002D">
        <w:rPr>
          <w:rFonts w:ascii="Times New Roman" w:hAnsi="Times New Roman"/>
          <w:sz w:val="24"/>
          <w:szCs w:val="24"/>
        </w:rPr>
        <w:t>248.58</w:t>
      </w:r>
      <w:r w:rsidRPr="60EB7BAF">
        <w:rPr>
          <w:rFonts w:ascii="Times New Roman" w:hAnsi="Times New Roman"/>
          <w:sz w:val="24"/>
          <w:szCs w:val="24"/>
        </w:rPr>
        <w:t xml:space="preserve"> (= </w:t>
      </w:r>
      <w:r w:rsidRPr="60EB7BAF" w:rsidR="00A80D4C">
        <w:rPr>
          <w:rFonts w:ascii="Times New Roman" w:hAnsi="Times New Roman"/>
          <w:sz w:val="24"/>
          <w:szCs w:val="24"/>
        </w:rPr>
        <w:t>-</w:t>
      </w:r>
      <w:r w:rsidRPr="60EB7BAF">
        <w:rPr>
          <w:rFonts w:ascii="Times New Roman" w:hAnsi="Times New Roman"/>
          <w:sz w:val="24"/>
          <w:szCs w:val="24"/>
        </w:rPr>
        <w:t>$</w:t>
      </w:r>
      <w:r w:rsidR="00A2002D">
        <w:rPr>
          <w:rFonts w:ascii="Times New Roman" w:hAnsi="Times New Roman"/>
          <w:sz w:val="24"/>
          <w:szCs w:val="24"/>
        </w:rPr>
        <w:t>56,989</w:t>
      </w:r>
      <w:r w:rsidRPr="60EB7BAF" w:rsidR="00BD702B">
        <w:rPr>
          <w:rFonts w:ascii="Times New Roman" w:hAnsi="Times New Roman"/>
          <w:sz w:val="24"/>
          <w:szCs w:val="24"/>
        </w:rPr>
        <w:t xml:space="preserve"> </w:t>
      </w:r>
      <w:r w:rsidRPr="60EB7BAF" w:rsidR="00A80D4C">
        <w:rPr>
          <w:rFonts w:ascii="Times New Roman" w:hAnsi="Times New Roman"/>
          <w:sz w:val="24"/>
          <w:szCs w:val="24"/>
        </w:rPr>
        <w:t>/</w:t>
      </w:r>
      <w:r w:rsidRPr="60EB7BAF" w:rsidR="00BD702B">
        <w:rPr>
          <w:rFonts w:ascii="Times New Roman" w:hAnsi="Times New Roman"/>
          <w:sz w:val="24"/>
          <w:szCs w:val="24"/>
        </w:rPr>
        <w:t xml:space="preserve"> </w:t>
      </w:r>
      <w:r w:rsidRPr="60EB7BAF" w:rsidR="00A80D4C">
        <w:rPr>
          <w:rFonts w:ascii="Times New Roman" w:hAnsi="Times New Roman"/>
          <w:sz w:val="24"/>
          <w:szCs w:val="24"/>
        </w:rPr>
        <w:t>229</w:t>
      </w:r>
      <w:r w:rsidRPr="60EB7BAF">
        <w:rPr>
          <w:rFonts w:ascii="Times New Roman" w:hAnsi="Times New Roman"/>
          <w:sz w:val="24"/>
          <w:szCs w:val="24"/>
        </w:rPr>
        <w:t xml:space="preserve">), discounted at 3 percent over 10 years. </w:t>
      </w:r>
      <w:r w:rsidR="009C0296">
        <w:rPr>
          <w:rFonts w:ascii="Times New Roman" w:hAnsi="Times New Roman"/>
          <w:sz w:val="24"/>
          <w:szCs w:val="24"/>
        </w:rPr>
        <w:t xml:space="preserve"> </w:t>
      </w:r>
      <w:r w:rsidRPr="60EB7BAF">
        <w:rPr>
          <w:rFonts w:ascii="Times New Roman" w:hAnsi="Times New Roman"/>
          <w:sz w:val="24"/>
          <w:szCs w:val="24"/>
        </w:rPr>
        <w:t xml:space="preserve">At a 7 percent discount rate, annualized net cost savings per clinical </w:t>
      </w:r>
      <w:r w:rsidRPr="60EB7BAF" w:rsidR="00FD1714">
        <w:rPr>
          <w:rFonts w:ascii="Times New Roman" w:hAnsi="Times New Roman"/>
          <w:sz w:val="24"/>
          <w:szCs w:val="24"/>
        </w:rPr>
        <w:t>investigation</w:t>
      </w:r>
      <w:r w:rsidRPr="60EB7BAF">
        <w:rPr>
          <w:rFonts w:ascii="Times New Roman" w:hAnsi="Times New Roman"/>
          <w:sz w:val="24"/>
          <w:szCs w:val="24"/>
        </w:rPr>
        <w:t xml:space="preserve"> associated with small entities are approximately </w:t>
      </w:r>
      <w:r w:rsidRPr="60EB7BAF" w:rsidR="00DE75A4">
        <w:rPr>
          <w:rFonts w:ascii="Times New Roman" w:hAnsi="Times New Roman"/>
          <w:sz w:val="24"/>
          <w:szCs w:val="24"/>
        </w:rPr>
        <w:t>-</w:t>
      </w:r>
      <w:r w:rsidRPr="60EB7BAF">
        <w:rPr>
          <w:rFonts w:ascii="Times New Roman" w:hAnsi="Times New Roman"/>
          <w:sz w:val="24"/>
          <w:szCs w:val="24"/>
        </w:rPr>
        <w:t>$</w:t>
      </w:r>
      <w:r w:rsidR="00C579FB">
        <w:rPr>
          <w:rFonts w:ascii="Times New Roman" w:hAnsi="Times New Roman"/>
          <w:sz w:val="24"/>
          <w:szCs w:val="24"/>
        </w:rPr>
        <w:t>174.12</w:t>
      </w:r>
      <w:r w:rsidRPr="60EB7BAF">
        <w:rPr>
          <w:rFonts w:ascii="Times New Roman" w:hAnsi="Times New Roman"/>
          <w:sz w:val="24"/>
          <w:szCs w:val="24"/>
        </w:rPr>
        <w:t xml:space="preserve"> (= </w:t>
      </w:r>
      <w:r w:rsidRPr="60EB7BAF" w:rsidR="00996E6B">
        <w:rPr>
          <w:rFonts w:ascii="Times New Roman" w:hAnsi="Times New Roman"/>
          <w:sz w:val="24"/>
          <w:szCs w:val="24"/>
        </w:rPr>
        <w:t>-</w:t>
      </w:r>
      <w:r w:rsidRPr="60EB7BAF">
        <w:rPr>
          <w:rFonts w:ascii="Times New Roman" w:hAnsi="Times New Roman"/>
          <w:sz w:val="24"/>
          <w:szCs w:val="24"/>
        </w:rPr>
        <w:t>$</w:t>
      </w:r>
      <w:r w:rsidR="00C579FB">
        <w:rPr>
          <w:rFonts w:ascii="Times New Roman" w:hAnsi="Times New Roman"/>
          <w:sz w:val="24"/>
          <w:szCs w:val="24"/>
        </w:rPr>
        <w:t>39,917</w:t>
      </w:r>
      <w:r w:rsidRPr="60EB7BAF" w:rsidR="0076450E">
        <w:rPr>
          <w:rFonts w:ascii="Times New Roman" w:hAnsi="Times New Roman"/>
          <w:sz w:val="24"/>
          <w:szCs w:val="24"/>
        </w:rPr>
        <w:t xml:space="preserve"> </w:t>
      </w:r>
      <w:r w:rsidRPr="60EB7BAF" w:rsidR="00996E6B">
        <w:rPr>
          <w:rFonts w:ascii="Times New Roman" w:hAnsi="Times New Roman"/>
          <w:sz w:val="24"/>
          <w:szCs w:val="24"/>
        </w:rPr>
        <w:t>/</w:t>
      </w:r>
      <w:r w:rsidRPr="60EB7BAF" w:rsidR="00BD702B">
        <w:rPr>
          <w:rFonts w:ascii="Times New Roman" w:hAnsi="Times New Roman"/>
          <w:sz w:val="24"/>
          <w:szCs w:val="24"/>
        </w:rPr>
        <w:t xml:space="preserve"> </w:t>
      </w:r>
      <w:r w:rsidRPr="60EB7BAF" w:rsidR="00996E6B">
        <w:rPr>
          <w:rFonts w:ascii="Times New Roman" w:hAnsi="Times New Roman"/>
          <w:sz w:val="24"/>
          <w:szCs w:val="24"/>
        </w:rPr>
        <w:t>229</w:t>
      </w:r>
      <w:r w:rsidRPr="60EB7BAF">
        <w:rPr>
          <w:rFonts w:ascii="Times New Roman" w:hAnsi="Times New Roman"/>
          <w:sz w:val="24"/>
          <w:szCs w:val="24"/>
        </w:rPr>
        <w:t xml:space="preserve">), with a lower bound of approximately </w:t>
      </w:r>
      <w:r w:rsidRPr="60EB7BAF" w:rsidR="006B3D86">
        <w:rPr>
          <w:rFonts w:ascii="Times New Roman" w:hAnsi="Times New Roman"/>
          <w:sz w:val="24"/>
          <w:szCs w:val="24"/>
        </w:rPr>
        <w:t>-</w:t>
      </w:r>
      <w:r w:rsidRPr="60EB7BAF">
        <w:rPr>
          <w:rFonts w:ascii="Times New Roman" w:hAnsi="Times New Roman"/>
          <w:sz w:val="24"/>
          <w:szCs w:val="24"/>
        </w:rPr>
        <w:t>$</w:t>
      </w:r>
      <w:r w:rsidR="00C579FB">
        <w:rPr>
          <w:rFonts w:ascii="Times New Roman" w:hAnsi="Times New Roman"/>
          <w:sz w:val="24"/>
          <w:szCs w:val="24"/>
        </w:rPr>
        <w:t>110.22</w:t>
      </w:r>
      <w:r w:rsidRPr="60EB7BAF">
        <w:rPr>
          <w:rFonts w:ascii="Times New Roman" w:hAnsi="Times New Roman"/>
          <w:sz w:val="24"/>
          <w:szCs w:val="24"/>
        </w:rPr>
        <w:t xml:space="preserve"> (= </w:t>
      </w:r>
      <w:r w:rsidRPr="60EB7BAF" w:rsidR="00A62C88">
        <w:rPr>
          <w:rFonts w:ascii="Times New Roman" w:hAnsi="Times New Roman"/>
          <w:sz w:val="24"/>
          <w:szCs w:val="24"/>
        </w:rPr>
        <w:t>-</w:t>
      </w:r>
      <w:r w:rsidRPr="60EB7BAF">
        <w:rPr>
          <w:rFonts w:ascii="Times New Roman" w:hAnsi="Times New Roman"/>
          <w:sz w:val="24"/>
          <w:szCs w:val="24"/>
        </w:rPr>
        <w:t>$</w:t>
      </w:r>
      <w:r w:rsidR="00C579FB">
        <w:rPr>
          <w:rFonts w:ascii="Times New Roman" w:hAnsi="Times New Roman"/>
          <w:sz w:val="24"/>
          <w:szCs w:val="24"/>
        </w:rPr>
        <w:t>25,269</w:t>
      </w:r>
      <w:r w:rsidRPr="60EB7BAF" w:rsidR="0076450E">
        <w:rPr>
          <w:rFonts w:ascii="Times New Roman" w:hAnsi="Times New Roman"/>
          <w:sz w:val="24"/>
          <w:szCs w:val="24"/>
        </w:rPr>
        <w:t xml:space="preserve"> </w:t>
      </w:r>
      <w:r w:rsidRPr="60EB7BAF" w:rsidR="00A62C88">
        <w:rPr>
          <w:rFonts w:ascii="Times New Roman" w:hAnsi="Times New Roman"/>
          <w:sz w:val="24"/>
          <w:szCs w:val="24"/>
        </w:rPr>
        <w:t>/</w:t>
      </w:r>
      <w:r w:rsidRPr="60EB7BAF" w:rsidR="00BD702B">
        <w:rPr>
          <w:rFonts w:ascii="Times New Roman" w:hAnsi="Times New Roman"/>
          <w:sz w:val="24"/>
          <w:szCs w:val="24"/>
        </w:rPr>
        <w:t xml:space="preserve"> </w:t>
      </w:r>
      <w:r w:rsidRPr="60EB7BAF" w:rsidR="00A62C88">
        <w:rPr>
          <w:rFonts w:ascii="Times New Roman" w:hAnsi="Times New Roman"/>
          <w:sz w:val="24"/>
          <w:szCs w:val="24"/>
        </w:rPr>
        <w:t>229</w:t>
      </w:r>
      <w:r w:rsidRPr="60EB7BAF">
        <w:rPr>
          <w:rFonts w:ascii="Times New Roman" w:hAnsi="Times New Roman"/>
          <w:sz w:val="24"/>
          <w:szCs w:val="24"/>
        </w:rPr>
        <w:t xml:space="preserve">) and an upper bound of approximately </w:t>
      </w:r>
      <w:r w:rsidRPr="60EB7BAF" w:rsidR="00953409">
        <w:rPr>
          <w:rFonts w:ascii="Times New Roman" w:hAnsi="Times New Roman"/>
          <w:sz w:val="24"/>
          <w:szCs w:val="24"/>
        </w:rPr>
        <w:t>-</w:t>
      </w:r>
      <w:r w:rsidRPr="60EB7BAF">
        <w:rPr>
          <w:rFonts w:ascii="Times New Roman" w:hAnsi="Times New Roman"/>
          <w:sz w:val="24"/>
          <w:szCs w:val="24"/>
        </w:rPr>
        <w:t>$</w:t>
      </w:r>
      <w:r w:rsidR="00C579FB">
        <w:rPr>
          <w:rFonts w:ascii="Times New Roman" w:hAnsi="Times New Roman"/>
          <w:sz w:val="24"/>
          <w:szCs w:val="24"/>
        </w:rPr>
        <w:t>301.91</w:t>
      </w:r>
      <w:r w:rsidRPr="60EB7BAF">
        <w:rPr>
          <w:rFonts w:ascii="Times New Roman" w:hAnsi="Times New Roman"/>
          <w:sz w:val="24"/>
          <w:szCs w:val="24"/>
        </w:rPr>
        <w:t xml:space="preserve"> (= </w:t>
      </w:r>
      <w:r w:rsidRPr="60EB7BAF" w:rsidR="00A61459">
        <w:rPr>
          <w:rFonts w:ascii="Times New Roman" w:hAnsi="Times New Roman"/>
          <w:sz w:val="24"/>
          <w:szCs w:val="24"/>
        </w:rPr>
        <w:t>-</w:t>
      </w:r>
      <w:r w:rsidRPr="60EB7BAF">
        <w:rPr>
          <w:rFonts w:ascii="Times New Roman" w:hAnsi="Times New Roman"/>
          <w:sz w:val="24"/>
          <w:szCs w:val="24"/>
        </w:rPr>
        <w:t>$</w:t>
      </w:r>
      <w:r w:rsidR="00943867">
        <w:rPr>
          <w:rFonts w:ascii="Times New Roman" w:hAnsi="Times New Roman"/>
          <w:sz w:val="24"/>
          <w:szCs w:val="24"/>
        </w:rPr>
        <w:t>69,214</w:t>
      </w:r>
      <w:r w:rsidRPr="60EB7BAF" w:rsidR="00BD702B">
        <w:rPr>
          <w:rFonts w:ascii="Times New Roman" w:hAnsi="Times New Roman"/>
          <w:sz w:val="24"/>
          <w:szCs w:val="24"/>
        </w:rPr>
        <w:t xml:space="preserve"> </w:t>
      </w:r>
      <w:r w:rsidRPr="60EB7BAF" w:rsidR="00A61459">
        <w:rPr>
          <w:rFonts w:ascii="Times New Roman" w:hAnsi="Times New Roman"/>
          <w:sz w:val="24"/>
          <w:szCs w:val="24"/>
        </w:rPr>
        <w:t>/</w:t>
      </w:r>
      <w:r w:rsidRPr="60EB7BAF" w:rsidR="00BD702B">
        <w:rPr>
          <w:rFonts w:ascii="Times New Roman" w:hAnsi="Times New Roman"/>
          <w:sz w:val="24"/>
          <w:szCs w:val="24"/>
        </w:rPr>
        <w:t xml:space="preserve"> </w:t>
      </w:r>
      <w:r w:rsidRPr="60EB7BAF" w:rsidR="00A61459">
        <w:rPr>
          <w:rFonts w:ascii="Times New Roman" w:hAnsi="Times New Roman"/>
          <w:sz w:val="24"/>
          <w:szCs w:val="24"/>
        </w:rPr>
        <w:t>229</w:t>
      </w:r>
      <w:r w:rsidRPr="60EB7BAF">
        <w:rPr>
          <w:rFonts w:ascii="Times New Roman" w:hAnsi="Times New Roman"/>
          <w:sz w:val="24"/>
          <w:szCs w:val="24"/>
        </w:rPr>
        <w:t>).</w:t>
      </w:r>
    </w:p>
    <w:p w:rsidR="00CF03DB" w:rsidP="00CF03DB" w14:paraId="626EAF78" w14:textId="0D183174">
      <w:pPr>
        <w:spacing w:line="480" w:lineRule="auto"/>
        <w:ind w:firstLine="720"/>
        <w:rPr>
          <w:rFonts w:ascii="Times New Roman" w:hAnsi="Times New Roman"/>
          <w:sz w:val="24"/>
          <w:szCs w:val="24"/>
        </w:rPr>
      </w:pPr>
      <w:r w:rsidRPr="60EB7BAF">
        <w:rPr>
          <w:rFonts w:ascii="Times New Roman" w:hAnsi="Times New Roman"/>
          <w:sz w:val="24"/>
          <w:szCs w:val="24"/>
        </w:rPr>
        <w:t>This analysis estimates that the per small entity effect of the final rule will take the form of negative net cost savings</w:t>
      </w:r>
      <w:r w:rsidRPr="60EB7BAF" w:rsidR="00BF577A">
        <w:rPr>
          <w:rFonts w:ascii="Times New Roman" w:hAnsi="Times New Roman"/>
          <w:sz w:val="24"/>
          <w:szCs w:val="24"/>
        </w:rPr>
        <w:t xml:space="preserve"> to sm</w:t>
      </w:r>
      <w:r w:rsidRPr="60EB7BAF" w:rsidR="00C6520A">
        <w:rPr>
          <w:rFonts w:ascii="Times New Roman" w:hAnsi="Times New Roman"/>
          <w:sz w:val="24"/>
          <w:szCs w:val="24"/>
        </w:rPr>
        <w:t>all medical and surgical hospitals.</w:t>
      </w:r>
      <w:r w:rsidRPr="60EB7BAF" w:rsidR="00BC281F">
        <w:rPr>
          <w:rFonts w:ascii="Times New Roman" w:hAnsi="Times New Roman"/>
          <w:sz w:val="24"/>
          <w:szCs w:val="24"/>
        </w:rPr>
        <w:t xml:space="preserve"> </w:t>
      </w:r>
      <w:r w:rsidR="009C0296">
        <w:rPr>
          <w:rFonts w:ascii="Times New Roman" w:hAnsi="Times New Roman"/>
          <w:sz w:val="24"/>
          <w:szCs w:val="24"/>
        </w:rPr>
        <w:t xml:space="preserve"> </w:t>
      </w:r>
      <w:r w:rsidRPr="60EB7BAF" w:rsidR="00BC281F">
        <w:rPr>
          <w:rFonts w:ascii="Times New Roman" w:hAnsi="Times New Roman"/>
          <w:sz w:val="24"/>
          <w:szCs w:val="24"/>
        </w:rPr>
        <w:t xml:space="preserve">Although </w:t>
      </w:r>
      <w:r w:rsidRPr="60EB7BAF" w:rsidR="00512FEB">
        <w:rPr>
          <w:rFonts w:ascii="Times New Roman" w:hAnsi="Times New Roman"/>
          <w:sz w:val="24"/>
          <w:szCs w:val="24"/>
        </w:rPr>
        <w:t>SBA provides a maximum revenue</w:t>
      </w:r>
      <w:r w:rsidRPr="60EB7BAF" w:rsidR="009E05D1">
        <w:rPr>
          <w:rFonts w:ascii="Times New Roman" w:hAnsi="Times New Roman"/>
          <w:sz w:val="24"/>
          <w:szCs w:val="24"/>
        </w:rPr>
        <w:t xml:space="preserve"> for small medical and surgical hospitals, we lack data on the distribution of </w:t>
      </w:r>
      <w:r w:rsidRPr="60EB7BAF" w:rsidR="002550EE">
        <w:rPr>
          <w:rFonts w:ascii="Times New Roman" w:hAnsi="Times New Roman"/>
          <w:sz w:val="24"/>
          <w:szCs w:val="24"/>
        </w:rPr>
        <w:t>revenues for small hospitals.</w:t>
      </w:r>
      <w:r w:rsidRPr="60EB7BAF" w:rsidR="00C00D6F">
        <w:rPr>
          <w:rFonts w:ascii="Times New Roman" w:hAnsi="Times New Roman"/>
          <w:sz w:val="24"/>
          <w:szCs w:val="24"/>
        </w:rPr>
        <w:t xml:space="preserve"> </w:t>
      </w:r>
      <w:r w:rsidR="009C0296">
        <w:rPr>
          <w:rFonts w:ascii="Times New Roman" w:hAnsi="Times New Roman"/>
          <w:sz w:val="24"/>
          <w:szCs w:val="24"/>
        </w:rPr>
        <w:t xml:space="preserve"> </w:t>
      </w:r>
      <w:r w:rsidRPr="60EB7BAF" w:rsidR="00C00D6F">
        <w:rPr>
          <w:rFonts w:ascii="Times New Roman" w:hAnsi="Times New Roman"/>
          <w:sz w:val="24"/>
          <w:szCs w:val="24"/>
        </w:rPr>
        <w:t xml:space="preserve">As a conservative estimate of the impact of the final rule on small </w:t>
      </w:r>
      <w:r w:rsidRPr="60EB7BAF" w:rsidR="00B76160">
        <w:rPr>
          <w:rFonts w:ascii="Times New Roman" w:hAnsi="Times New Roman"/>
          <w:sz w:val="24"/>
          <w:szCs w:val="24"/>
        </w:rPr>
        <w:t xml:space="preserve">entities, we total the </w:t>
      </w:r>
      <w:r w:rsidRPr="60EB7BAF" w:rsidR="67585414">
        <w:rPr>
          <w:rFonts w:ascii="Times New Roman" w:hAnsi="Times New Roman"/>
          <w:sz w:val="24"/>
          <w:szCs w:val="24"/>
        </w:rPr>
        <w:t>lower</w:t>
      </w:r>
      <w:r w:rsidRPr="60EB7BAF" w:rsidR="00B76160">
        <w:rPr>
          <w:rFonts w:ascii="Times New Roman" w:hAnsi="Times New Roman"/>
          <w:sz w:val="24"/>
          <w:szCs w:val="24"/>
        </w:rPr>
        <w:t xml:space="preserve"> bound estimate of negative net cost savings</w:t>
      </w:r>
      <w:r w:rsidRPr="60EB7BAF" w:rsidR="00E36EAC">
        <w:rPr>
          <w:rFonts w:ascii="Times New Roman" w:hAnsi="Times New Roman"/>
          <w:sz w:val="24"/>
          <w:szCs w:val="24"/>
        </w:rPr>
        <w:t xml:space="preserve"> to yield a per small entity cost of approximately $</w:t>
      </w:r>
      <w:r w:rsidR="00B63F42">
        <w:rPr>
          <w:rFonts w:ascii="Times New Roman" w:hAnsi="Times New Roman"/>
          <w:sz w:val="24"/>
          <w:szCs w:val="24"/>
        </w:rPr>
        <w:t>430.40</w:t>
      </w:r>
      <w:r w:rsidRPr="60EB7BAF" w:rsidR="00E36EAC">
        <w:rPr>
          <w:rFonts w:ascii="Times New Roman" w:hAnsi="Times New Roman"/>
          <w:sz w:val="24"/>
          <w:szCs w:val="24"/>
        </w:rPr>
        <w:t xml:space="preserve"> (= $</w:t>
      </w:r>
      <w:r w:rsidRPr="60EB7BAF" w:rsidR="00D44BB8">
        <w:rPr>
          <w:rFonts w:ascii="Times New Roman" w:hAnsi="Times New Roman"/>
          <w:sz w:val="24"/>
          <w:szCs w:val="24"/>
        </w:rPr>
        <w:t>237.77 + $1</w:t>
      </w:r>
      <w:r w:rsidR="00B63F42">
        <w:rPr>
          <w:rFonts w:ascii="Times New Roman" w:hAnsi="Times New Roman"/>
          <w:sz w:val="24"/>
          <w:szCs w:val="24"/>
        </w:rPr>
        <w:t>92.64</w:t>
      </w:r>
      <w:r w:rsidRPr="60EB7BAF" w:rsidR="00D44BB8">
        <w:rPr>
          <w:rFonts w:ascii="Times New Roman" w:hAnsi="Times New Roman"/>
          <w:sz w:val="24"/>
          <w:szCs w:val="24"/>
        </w:rPr>
        <w:t>).</w:t>
      </w:r>
      <w:r w:rsidRPr="60EB7BAF" w:rsidR="00FA62A1">
        <w:rPr>
          <w:rFonts w:ascii="Times New Roman" w:hAnsi="Times New Roman"/>
          <w:sz w:val="24"/>
          <w:szCs w:val="24"/>
        </w:rPr>
        <w:t xml:space="preserve"> </w:t>
      </w:r>
      <w:r w:rsidR="009C0296">
        <w:rPr>
          <w:rFonts w:ascii="Times New Roman" w:hAnsi="Times New Roman"/>
          <w:sz w:val="24"/>
          <w:szCs w:val="24"/>
        </w:rPr>
        <w:t xml:space="preserve"> </w:t>
      </w:r>
      <w:r w:rsidRPr="60EB7BAF" w:rsidR="00FA62A1">
        <w:rPr>
          <w:rFonts w:ascii="Times New Roman" w:hAnsi="Times New Roman"/>
          <w:sz w:val="24"/>
          <w:szCs w:val="24"/>
        </w:rPr>
        <w:t xml:space="preserve">While we lack data on the distribution of </w:t>
      </w:r>
      <w:r w:rsidRPr="60EB7BAF" w:rsidR="00FA62A1">
        <w:rPr>
          <w:rFonts w:ascii="Times New Roman" w:hAnsi="Times New Roman"/>
          <w:sz w:val="24"/>
          <w:szCs w:val="24"/>
        </w:rPr>
        <w:t>small medical and surgical hospital revenues</w:t>
      </w:r>
      <w:r w:rsidRPr="60EB7BAF" w:rsidR="00E770F4">
        <w:rPr>
          <w:rFonts w:ascii="Times New Roman" w:hAnsi="Times New Roman"/>
          <w:sz w:val="24"/>
          <w:szCs w:val="24"/>
        </w:rPr>
        <w:t>, this conservative estimate of per entity net cost savings</w:t>
      </w:r>
      <w:r w:rsidRPr="60EB7BAF" w:rsidR="000729C6">
        <w:rPr>
          <w:rFonts w:ascii="Times New Roman" w:hAnsi="Times New Roman"/>
          <w:sz w:val="24"/>
          <w:szCs w:val="24"/>
        </w:rPr>
        <w:t xml:space="preserve"> is a smaller proportion of </w:t>
      </w:r>
      <w:r w:rsidRPr="60EB7BAF" w:rsidR="00F707CF">
        <w:rPr>
          <w:rFonts w:ascii="Times New Roman" w:hAnsi="Times New Roman"/>
          <w:sz w:val="24"/>
          <w:szCs w:val="24"/>
        </w:rPr>
        <w:t>maximum revenue than 3 percent, the threshold</w:t>
      </w:r>
      <w:r w:rsidRPr="60EB7BAF" w:rsidR="005728A8">
        <w:rPr>
          <w:rFonts w:ascii="Times New Roman" w:hAnsi="Times New Roman"/>
          <w:sz w:val="24"/>
          <w:szCs w:val="24"/>
        </w:rPr>
        <w:t xml:space="preserve"> at which </w:t>
      </w:r>
      <w:r w:rsidRPr="60EB7BAF" w:rsidR="00A8704C">
        <w:rPr>
          <w:rFonts w:ascii="Times New Roman" w:hAnsi="Times New Roman"/>
          <w:sz w:val="24"/>
          <w:szCs w:val="24"/>
        </w:rPr>
        <w:t>we would determine the final rule would have</w:t>
      </w:r>
      <w:r w:rsidRPr="60EB7BAF" w:rsidR="005728A8">
        <w:rPr>
          <w:rFonts w:ascii="Times New Roman" w:hAnsi="Times New Roman"/>
          <w:sz w:val="24"/>
          <w:szCs w:val="24"/>
        </w:rPr>
        <w:t xml:space="preserve"> a significant </w:t>
      </w:r>
      <w:r w:rsidRPr="60EB7BAF" w:rsidR="00384076">
        <w:rPr>
          <w:rFonts w:ascii="Times New Roman" w:hAnsi="Times New Roman"/>
          <w:sz w:val="24"/>
          <w:szCs w:val="24"/>
        </w:rPr>
        <w:t xml:space="preserve">impact on small entities. </w:t>
      </w:r>
      <w:r w:rsidR="009C0296">
        <w:rPr>
          <w:rFonts w:ascii="Times New Roman" w:hAnsi="Times New Roman"/>
          <w:sz w:val="24"/>
          <w:szCs w:val="24"/>
        </w:rPr>
        <w:t xml:space="preserve"> </w:t>
      </w:r>
      <w:r w:rsidRPr="60EB7BAF" w:rsidR="00384076">
        <w:rPr>
          <w:rFonts w:ascii="Times New Roman" w:hAnsi="Times New Roman"/>
          <w:sz w:val="24"/>
          <w:szCs w:val="24"/>
        </w:rPr>
        <w:t xml:space="preserve">We estimate that </w:t>
      </w:r>
      <w:r w:rsidRPr="60EB7BAF" w:rsidR="00DB6257">
        <w:rPr>
          <w:rFonts w:ascii="Times New Roman" w:hAnsi="Times New Roman"/>
          <w:sz w:val="24"/>
          <w:szCs w:val="24"/>
        </w:rPr>
        <w:t xml:space="preserve">if minimum revenues of small medical or surgical hospitals were approximately 1 percent ($470,000) of </w:t>
      </w:r>
      <w:r w:rsidRPr="60EB7BAF" w:rsidR="00A71278">
        <w:rPr>
          <w:rFonts w:ascii="Times New Roman" w:hAnsi="Times New Roman"/>
          <w:sz w:val="24"/>
          <w:szCs w:val="24"/>
        </w:rPr>
        <w:t>maximum revenues, our conservative net cost savings estimate of approximately $</w:t>
      </w:r>
      <w:r w:rsidR="00B63F42">
        <w:rPr>
          <w:rFonts w:ascii="Times New Roman" w:hAnsi="Times New Roman"/>
          <w:sz w:val="24"/>
          <w:szCs w:val="24"/>
        </w:rPr>
        <w:t>430.40</w:t>
      </w:r>
      <w:r w:rsidRPr="60EB7BAF" w:rsidR="00A71278">
        <w:rPr>
          <w:rFonts w:ascii="Times New Roman" w:hAnsi="Times New Roman"/>
          <w:sz w:val="24"/>
          <w:szCs w:val="24"/>
        </w:rPr>
        <w:t xml:space="preserve"> would </w:t>
      </w:r>
      <w:r w:rsidRPr="60EB7BAF" w:rsidR="00FF50FB">
        <w:rPr>
          <w:rFonts w:ascii="Times New Roman" w:hAnsi="Times New Roman"/>
          <w:sz w:val="24"/>
          <w:szCs w:val="24"/>
        </w:rPr>
        <w:t>be lower than 3 percent when expressed as a proportion of revenue</w:t>
      </w:r>
      <w:r w:rsidRPr="60EB7BAF" w:rsidR="002A3FE4">
        <w:rPr>
          <w:rFonts w:ascii="Times New Roman" w:hAnsi="Times New Roman"/>
          <w:sz w:val="24"/>
          <w:szCs w:val="24"/>
        </w:rPr>
        <w:t>s</w:t>
      </w:r>
      <w:r w:rsidRPr="60EB7BAF" w:rsidR="00FF50FB">
        <w:rPr>
          <w:rFonts w:ascii="Times New Roman" w:hAnsi="Times New Roman"/>
          <w:sz w:val="24"/>
          <w:szCs w:val="24"/>
        </w:rPr>
        <w:t xml:space="preserve">. </w:t>
      </w:r>
      <w:r w:rsidR="009C0296">
        <w:rPr>
          <w:rFonts w:ascii="Times New Roman" w:hAnsi="Times New Roman"/>
          <w:sz w:val="24"/>
          <w:szCs w:val="24"/>
        </w:rPr>
        <w:t xml:space="preserve"> </w:t>
      </w:r>
      <w:r w:rsidRPr="60EB7BAF" w:rsidR="00FF50FB">
        <w:rPr>
          <w:rFonts w:ascii="Times New Roman" w:hAnsi="Times New Roman"/>
          <w:sz w:val="24"/>
          <w:szCs w:val="24"/>
        </w:rPr>
        <w:t xml:space="preserve">We therefore certify that the final rule will not </w:t>
      </w:r>
      <w:r w:rsidRPr="60EB7BAF" w:rsidR="00CF04BF">
        <w:rPr>
          <w:rFonts w:ascii="Times New Roman" w:hAnsi="Times New Roman"/>
          <w:sz w:val="24"/>
          <w:szCs w:val="24"/>
        </w:rPr>
        <w:t xml:space="preserve">have a significant economic impact on a substantial number of </w:t>
      </w:r>
      <w:r w:rsidRPr="60EB7BAF" w:rsidR="00BF0DDE">
        <w:rPr>
          <w:rFonts w:ascii="Times New Roman" w:hAnsi="Times New Roman"/>
          <w:sz w:val="24"/>
          <w:szCs w:val="24"/>
        </w:rPr>
        <w:t>small entities.</w:t>
      </w:r>
      <w:r w:rsidRPr="60EB7BAF" w:rsidR="00512FEB">
        <w:rPr>
          <w:rFonts w:ascii="Times New Roman" w:hAnsi="Times New Roman"/>
          <w:sz w:val="24"/>
          <w:szCs w:val="24"/>
        </w:rPr>
        <w:t xml:space="preserve"> </w:t>
      </w:r>
      <w:r w:rsidRPr="60EB7BAF">
        <w:rPr>
          <w:rFonts w:ascii="Times New Roman" w:hAnsi="Times New Roman"/>
          <w:sz w:val="24"/>
          <w:szCs w:val="24"/>
        </w:rPr>
        <w:t xml:space="preserve"> Our estimates of the effect of the rule on small entities are summarized in Table </w:t>
      </w:r>
      <w:r w:rsidRPr="60EB7BAF" w:rsidR="008B4313">
        <w:rPr>
          <w:rFonts w:ascii="Times New Roman" w:hAnsi="Times New Roman"/>
          <w:sz w:val="24"/>
          <w:szCs w:val="24"/>
        </w:rPr>
        <w:t>8</w:t>
      </w:r>
      <w:r w:rsidRPr="60EB7BAF">
        <w:rPr>
          <w:rFonts w:ascii="Times New Roman" w:hAnsi="Times New Roman"/>
          <w:sz w:val="24"/>
          <w:szCs w:val="24"/>
        </w:rPr>
        <w:t>.</w:t>
      </w:r>
    </w:p>
    <w:tbl>
      <w:tblPr>
        <w:tblW w:w="5000" w:type="pct"/>
        <w:tblLayout w:type="fixed"/>
        <w:tblLook w:val="04A0"/>
      </w:tblPr>
      <w:tblGrid>
        <w:gridCol w:w="5850"/>
        <w:gridCol w:w="1170"/>
        <w:gridCol w:w="1170"/>
        <w:gridCol w:w="1170"/>
      </w:tblGrid>
      <w:tr w14:paraId="1BF7A5C1" w14:textId="77777777" w:rsidTr="00367634">
        <w:tblPrEx>
          <w:tblW w:w="5000" w:type="pct"/>
          <w:tblLayout w:type="fixed"/>
          <w:tblLook w:val="04A0"/>
        </w:tblPrEx>
        <w:trPr>
          <w:trHeight w:val="288"/>
        </w:trPr>
        <w:tc>
          <w:tcPr>
            <w:tcW w:w="5000" w:type="pct"/>
            <w:gridSpan w:val="4"/>
            <w:shd w:val="clear" w:color="auto" w:fill="auto"/>
            <w:noWrap/>
            <w:vAlign w:val="center"/>
          </w:tcPr>
          <w:p w:rsidR="00CF03DB" w:rsidRPr="007C08B8" w:rsidP="00D37C6D" w14:paraId="4B4E7552" w14:textId="64E2D2D2">
            <w:pPr>
              <w:spacing w:after="0" w:line="240" w:lineRule="auto"/>
              <w:jc w:val="center"/>
              <w:rPr>
                <w:rFonts w:ascii="Times New Roman" w:hAnsi="Times New Roman"/>
                <w:b/>
                <w:bCs/>
                <w:color w:val="000000"/>
                <w:sz w:val="24"/>
                <w:szCs w:val="24"/>
              </w:rPr>
            </w:pPr>
            <w:r w:rsidRPr="007C08B8">
              <w:rPr>
                <w:rFonts w:ascii="Times New Roman" w:eastAsia="Times New Roman" w:hAnsi="Times New Roman"/>
                <w:b/>
                <w:bCs/>
                <w:color w:val="000000"/>
                <w:sz w:val="24"/>
                <w:szCs w:val="24"/>
              </w:rPr>
              <w:t xml:space="preserve">Table </w:t>
            </w:r>
            <w:r w:rsidR="008B4313">
              <w:rPr>
                <w:rFonts w:ascii="Times New Roman" w:eastAsia="Times New Roman" w:hAnsi="Times New Roman"/>
                <w:b/>
                <w:bCs/>
                <w:color w:val="000000"/>
                <w:sz w:val="24"/>
                <w:szCs w:val="24"/>
              </w:rPr>
              <w:t>8</w:t>
            </w:r>
            <w:r w:rsidRPr="007C08B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Net Cost Savings for Small Entities (2020$)</w:t>
            </w:r>
          </w:p>
        </w:tc>
      </w:tr>
      <w:tr w14:paraId="22F185A7" w14:textId="77777777" w:rsidTr="00BB5EC4">
        <w:tblPrEx>
          <w:tblW w:w="5000" w:type="pct"/>
          <w:tblLayout w:type="fixed"/>
          <w:tblLook w:val="04A0"/>
        </w:tblPrEx>
        <w:trPr>
          <w:trHeight w:val="288"/>
        </w:trPr>
        <w:tc>
          <w:tcPr>
            <w:tcW w:w="3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3DB" w:rsidRPr="000E0EF3" w:rsidP="00D37C6D" w14:paraId="069EA439" w14:textId="77777777">
            <w:pPr>
              <w:spacing w:after="0" w:line="240" w:lineRule="auto"/>
              <w:rPr>
                <w:rFonts w:ascii="Times New Roman" w:hAnsi="Times New Roman"/>
                <w:color w:val="000000"/>
                <w:sz w:val="20"/>
                <w:szCs w:val="20"/>
              </w:rPr>
            </w:pPr>
            <w:r w:rsidRPr="000E0EF3">
              <w:rPr>
                <w:rFonts w:ascii="Times New Roman" w:hAnsi="Times New Roman"/>
                <w:color w:val="000000"/>
                <w:sz w:val="20"/>
                <w:szCs w:val="20"/>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0F0EE0A6"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Low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48CCEDC9"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Middle</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CF03DB" w:rsidRPr="000E0EF3" w:rsidP="00D37C6D" w14:paraId="78CB1BAC" w14:textId="77777777">
            <w:pPr>
              <w:spacing w:after="0" w:line="240" w:lineRule="auto"/>
              <w:jc w:val="center"/>
              <w:rPr>
                <w:rFonts w:ascii="Times New Roman" w:hAnsi="Times New Roman"/>
                <w:color w:val="000000"/>
                <w:sz w:val="20"/>
                <w:szCs w:val="20"/>
              </w:rPr>
            </w:pPr>
            <w:r w:rsidRPr="000E0EF3">
              <w:rPr>
                <w:rFonts w:ascii="Times New Roman" w:hAnsi="Times New Roman"/>
                <w:color w:val="000000"/>
                <w:sz w:val="20"/>
                <w:szCs w:val="20"/>
              </w:rPr>
              <w:t>High</w:t>
            </w:r>
          </w:p>
        </w:tc>
      </w:tr>
      <w:tr w14:paraId="0FB5B256"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0E0EF3" w:rsidP="00D37C6D" w14:paraId="26A12E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Percent of affected entities that are small*</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107C5F55" w14:textId="77777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41.607%</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0E62068A" w14:textId="77777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41.607%</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61A19A9F" w14:textId="77777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41.607%</w:t>
            </w:r>
          </w:p>
        </w:tc>
      </w:tr>
      <w:tr w14:paraId="123F2530"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0E0EF3" w:rsidP="00D37C6D" w14:paraId="4887484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Number of affected IRBs</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08ECF775" w14:textId="03DA8249">
            <w:pPr>
              <w:spacing w:after="0" w:line="240" w:lineRule="auto"/>
              <w:jc w:val="right"/>
              <w:rPr>
                <w:rFonts w:ascii="Times New Roman" w:hAnsi="Times New Roman"/>
                <w:color w:val="000000"/>
                <w:sz w:val="20"/>
                <w:szCs w:val="20"/>
              </w:rPr>
            </w:pPr>
            <w:r>
              <w:rPr>
                <w:rFonts w:ascii="Times New Roman" w:hAnsi="Times New Roman"/>
                <w:color w:val="000000"/>
                <w:sz w:val="20"/>
                <w:szCs w:val="20"/>
              </w:rPr>
              <w:t>551</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05DDFC4E" w14:textId="300D1C95">
            <w:pPr>
              <w:spacing w:after="0" w:line="240" w:lineRule="auto"/>
              <w:jc w:val="right"/>
              <w:rPr>
                <w:rFonts w:ascii="Times New Roman" w:hAnsi="Times New Roman"/>
                <w:color w:val="000000"/>
                <w:sz w:val="20"/>
                <w:szCs w:val="20"/>
              </w:rPr>
            </w:pPr>
            <w:r>
              <w:rPr>
                <w:rFonts w:ascii="Times New Roman" w:hAnsi="Times New Roman"/>
                <w:color w:val="000000"/>
                <w:sz w:val="20"/>
                <w:szCs w:val="20"/>
              </w:rPr>
              <w:t>551</w:t>
            </w:r>
          </w:p>
        </w:tc>
        <w:tc>
          <w:tcPr>
            <w:tcW w:w="625" w:type="pct"/>
            <w:tcBorders>
              <w:top w:val="nil"/>
              <w:left w:val="nil"/>
              <w:bottom w:val="single" w:sz="4" w:space="0" w:color="auto"/>
              <w:right w:val="single" w:sz="4" w:space="0" w:color="auto"/>
            </w:tcBorders>
            <w:shd w:val="clear" w:color="auto" w:fill="auto"/>
            <w:noWrap/>
            <w:vAlign w:val="center"/>
          </w:tcPr>
          <w:p w:rsidR="00CF03DB" w:rsidRPr="000E0EF3" w:rsidP="00D37C6D" w14:paraId="3024E3AD" w14:textId="772D67B6">
            <w:pPr>
              <w:spacing w:after="0" w:line="240" w:lineRule="auto"/>
              <w:jc w:val="right"/>
              <w:rPr>
                <w:rFonts w:ascii="Times New Roman" w:hAnsi="Times New Roman"/>
                <w:color w:val="000000"/>
                <w:sz w:val="20"/>
                <w:szCs w:val="20"/>
              </w:rPr>
            </w:pPr>
            <w:r>
              <w:rPr>
                <w:rFonts w:ascii="Times New Roman" w:hAnsi="Times New Roman"/>
                <w:color w:val="000000"/>
                <w:sz w:val="20"/>
                <w:szCs w:val="20"/>
              </w:rPr>
              <w:t>551</w:t>
            </w:r>
          </w:p>
        </w:tc>
      </w:tr>
      <w:tr w14:paraId="5638BA7B"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256DC4" w:rsidP="00D37C6D" w14:paraId="1B8264E7" w14:textId="77777777">
            <w:pPr>
              <w:spacing w:after="0" w:line="240" w:lineRule="auto"/>
              <w:rPr>
                <w:rFonts w:ascii="Times New Roman" w:hAnsi="Times New Roman"/>
                <w:bCs/>
                <w:color w:val="000000"/>
                <w:sz w:val="20"/>
                <w:szCs w:val="20"/>
              </w:rPr>
            </w:pPr>
            <w:r>
              <w:rPr>
                <w:rFonts w:ascii="Times New Roman" w:hAnsi="Times New Roman"/>
                <w:bCs/>
                <w:color w:val="000000"/>
                <w:sz w:val="20"/>
                <w:szCs w:val="20"/>
              </w:rPr>
              <w:t>Number of affected small IRBs</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7465A9D0" w14:textId="6CE36674">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7B307DBB" w14:textId="313079A1">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0E5461CD" w14:textId="262E3B40">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r>
      <w:tr w14:paraId="018BB9E6"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256DC4" w:rsidP="00D37C6D" w14:paraId="5956E5B0" w14:textId="77777777">
            <w:pPr>
              <w:spacing w:after="0" w:line="240" w:lineRule="auto"/>
              <w:rPr>
                <w:rFonts w:ascii="Times New Roman" w:hAnsi="Times New Roman"/>
                <w:bCs/>
                <w:color w:val="000000"/>
                <w:sz w:val="20"/>
                <w:szCs w:val="20"/>
              </w:rPr>
            </w:pPr>
            <w:r>
              <w:rPr>
                <w:rFonts w:ascii="Times New Roman" w:hAnsi="Times New Roman"/>
                <w:bCs/>
                <w:color w:val="000000"/>
                <w:sz w:val="20"/>
                <w:szCs w:val="20"/>
              </w:rPr>
              <w:t>IRB cost savings (annual)</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75B66514" w14:textId="74E75CDD">
            <w:pPr>
              <w:spacing w:after="0" w:line="240" w:lineRule="auto"/>
              <w:jc w:val="right"/>
              <w:rPr>
                <w:rFonts w:ascii="Times New Roman" w:hAnsi="Times New Roman"/>
                <w:color w:val="000000"/>
                <w:sz w:val="20"/>
                <w:szCs w:val="20"/>
              </w:rPr>
            </w:pPr>
            <w:r>
              <w:rPr>
                <w:rFonts w:ascii="Times New Roman" w:hAnsi="Times New Roman"/>
                <w:color w:val="000000"/>
                <w:sz w:val="20"/>
                <w:szCs w:val="20"/>
              </w:rPr>
              <w:t>$101,41</w:t>
            </w:r>
            <w:r w:rsidR="005C0D04">
              <w:rPr>
                <w:rFonts w:ascii="Times New Roman" w:hAnsi="Times New Roman"/>
                <w:color w:val="000000"/>
                <w:sz w:val="20"/>
                <w:szCs w:val="20"/>
              </w:rPr>
              <w:t>2</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7150AFCA" w14:textId="745D2F56">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$202,823</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3F74DE94" w14:textId="2651F126">
            <w:pPr>
              <w:spacing w:after="0" w:line="240" w:lineRule="auto"/>
              <w:jc w:val="right"/>
              <w:rPr>
                <w:rFonts w:ascii="Times New Roman" w:hAnsi="Times New Roman"/>
                <w:color w:val="000000"/>
                <w:sz w:val="20"/>
                <w:szCs w:val="20"/>
              </w:rPr>
            </w:pPr>
            <w:r>
              <w:rPr>
                <w:rFonts w:ascii="Times New Roman" w:hAnsi="Times New Roman"/>
                <w:color w:val="000000"/>
                <w:sz w:val="20"/>
                <w:szCs w:val="20"/>
              </w:rPr>
              <w:t>$405,646</w:t>
            </w:r>
          </w:p>
        </w:tc>
      </w:tr>
      <w:tr w14:paraId="031BA76F"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256DC4" w:rsidP="00D37C6D" w14:paraId="68674FC5" w14:textId="77777777">
            <w:pPr>
              <w:spacing w:after="0" w:line="240" w:lineRule="auto"/>
              <w:rPr>
                <w:rFonts w:ascii="Times New Roman" w:hAnsi="Times New Roman"/>
                <w:bCs/>
                <w:color w:val="000000"/>
                <w:sz w:val="20"/>
                <w:szCs w:val="20"/>
              </w:rPr>
            </w:pPr>
            <w:r>
              <w:rPr>
                <w:rFonts w:ascii="Times New Roman" w:hAnsi="Times New Roman"/>
                <w:bCs/>
                <w:color w:val="000000"/>
                <w:sz w:val="20"/>
                <w:szCs w:val="20"/>
              </w:rPr>
              <w:t>IRB cost of reading the rule (one-time)</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5E6C20A4" w14:textId="652420FC">
            <w:pPr>
              <w:spacing w:after="0" w:line="240" w:lineRule="auto"/>
              <w:jc w:val="right"/>
              <w:rPr>
                <w:rFonts w:ascii="Times New Roman" w:hAnsi="Times New Roman"/>
                <w:color w:val="000000"/>
                <w:sz w:val="20"/>
                <w:szCs w:val="20"/>
              </w:rPr>
            </w:pPr>
            <w:r>
              <w:rPr>
                <w:rFonts w:ascii="Times New Roman" w:hAnsi="Times New Roman"/>
                <w:color w:val="000000"/>
                <w:sz w:val="20"/>
                <w:szCs w:val="20"/>
              </w:rPr>
              <w:t>$537,584</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752D2458" w14:textId="7FF23D4E">
            <w:pPr>
              <w:spacing w:after="0" w:line="240" w:lineRule="auto"/>
              <w:jc w:val="right"/>
              <w:rPr>
                <w:rFonts w:ascii="Times New Roman" w:hAnsi="Times New Roman"/>
                <w:color w:val="000000"/>
                <w:sz w:val="20"/>
                <w:szCs w:val="20"/>
              </w:rPr>
            </w:pPr>
            <w:r>
              <w:rPr>
                <w:rFonts w:ascii="Times New Roman" w:hAnsi="Times New Roman"/>
                <w:color w:val="000000"/>
                <w:sz w:val="20"/>
                <w:szCs w:val="20"/>
              </w:rPr>
              <w:t>$537,584</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5FD82BF8" w14:textId="4E03CB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$537,584</w:t>
            </w:r>
          </w:p>
        </w:tc>
      </w:tr>
      <w:tr w14:paraId="2964F75E"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256DC4" w:rsidP="00D37C6D" w14:paraId="5574591A" w14:textId="77777777">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IRB cost of </w:t>
            </w:r>
            <w:r w:rsidR="00734985">
              <w:rPr>
                <w:rFonts w:ascii="Times New Roman" w:hAnsi="Times New Roman"/>
                <w:bCs/>
                <w:color w:val="000000"/>
                <w:sz w:val="20"/>
                <w:szCs w:val="20"/>
              </w:rPr>
              <w:t>review and</w:t>
            </w:r>
            <w:r>
              <w:rPr>
                <w:rFonts w:ascii="Times New Roman" w:hAnsi="Times New Roman"/>
                <w:bCs/>
                <w:color w:val="000000"/>
                <w:sz w:val="20"/>
                <w:szCs w:val="20"/>
              </w:rPr>
              <w:t xml:space="preserve"> recordkeeping (annual)</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6B8B19AD" w14:textId="218D3AE7">
            <w:pPr>
              <w:spacing w:after="0" w:line="240" w:lineRule="auto"/>
              <w:jc w:val="right"/>
              <w:rPr>
                <w:rFonts w:ascii="Times New Roman" w:hAnsi="Times New Roman"/>
                <w:color w:val="000000"/>
                <w:sz w:val="20"/>
                <w:szCs w:val="20"/>
              </w:rPr>
            </w:pPr>
            <w:r>
              <w:rPr>
                <w:rFonts w:ascii="Times New Roman" w:hAnsi="Times New Roman"/>
                <w:color w:val="000000"/>
                <w:sz w:val="20"/>
                <w:szCs w:val="20"/>
              </w:rPr>
              <w:t>$84,388</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5264FCE1" w14:textId="4A55808C">
            <w:pPr>
              <w:spacing w:after="0" w:line="240" w:lineRule="auto"/>
              <w:jc w:val="right"/>
              <w:rPr>
                <w:rFonts w:ascii="Times New Roman" w:hAnsi="Times New Roman"/>
                <w:color w:val="000000"/>
                <w:sz w:val="20"/>
                <w:szCs w:val="20"/>
              </w:rPr>
            </w:pPr>
            <w:r>
              <w:rPr>
                <w:rFonts w:ascii="Times New Roman" w:hAnsi="Times New Roman"/>
                <w:color w:val="000000"/>
                <w:sz w:val="20"/>
                <w:szCs w:val="20"/>
              </w:rPr>
              <w:t>$168,776</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07462779" w14:textId="19CE93A3">
            <w:pPr>
              <w:spacing w:after="0" w:line="240" w:lineRule="auto"/>
              <w:jc w:val="right"/>
              <w:rPr>
                <w:rFonts w:ascii="Times New Roman" w:hAnsi="Times New Roman"/>
                <w:color w:val="000000"/>
                <w:sz w:val="20"/>
                <w:szCs w:val="20"/>
              </w:rPr>
            </w:pPr>
            <w:r>
              <w:rPr>
                <w:rFonts w:ascii="Times New Roman" w:hAnsi="Times New Roman"/>
                <w:color w:val="000000"/>
                <w:sz w:val="20"/>
                <w:szCs w:val="20"/>
              </w:rPr>
              <w:t>$337,553</w:t>
            </w:r>
          </w:p>
        </w:tc>
      </w:tr>
      <w:tr w14:paraId="1E4B4017"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A31A2C" w:rsidRPr="009304B8" w:rsidP="00A31A2C" w14:paraId="2172A3A6" w14:textId="77777777">
            <w:pPr>
              <w:spacing w:after="0" w:line="240" w:lineRule="auto"/>
              <w:rPr>
                <w:rFonts w:ascii="Times New Roman" w:hAnsi="Times New Roman"/>
                <w:bCs/>
                <w:sz w:val="20"/>
                <w:szCs w:val="20"/>
              </w:rPr>
            </w:pPr>
            <w:r w:rsidRPr="009304B8">
              <w:rPr>
                <w:rFonts w:ascii="Times New Roman" w:hAnsi="Times New Roman"/>
                <w:bCs/>
                <w:sz w:val="20"/>
                <w:szCs w:val="20"/>
              </w:rPr>
              <w:t>Annualized net cost savings to small IRBs (3%, 10 years)</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45FCCA42" w14:textId="4797F3C3">
            <w:pPr>
              <w:spacing w:after="0" w:line="240" w:lineRule="auto"/>
              <w:jc w:val="right"/>
              <w:rPr>
                <w:rFonts w:ascii="Times New Roman" w:hAnsi="Times New Roman"/>
                <w:bCs/>
                <w:sz w:val="20"/>
                <w:szCs w:val="20"/>
              </w:rPr>
            </w:pPr>
            <w:r>
              <w:rPr>
                <w:rFonts w:ascii="Times New Roman" w:hAnsi="Times New Roman"/>
                <w:bCs/>
                <w:sz w:val="20"/>
                <w:szCs w:val="20"/>
              </w:rPr>
              <w:t>($44,162)</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0DE80D3D" w14:textId="22E3D004">
            <w:pPr>
              <w:spacing w:after="0" w:line="240" w:lineRule="auto"/>
              <w:jc w:val="right"/>
              <w:rPr>
                <w:rFonts w:ascii="Times New Roman" w:hAnsi="Times New Roman"/>
                <w:bCs/>
                <w:sz w:val="20"/>
                <w:szCs w:val="20"/>
              </w:rPr>
            </w:pPr>
            <w:r>
              <w:rPr>
                <w:rFonts w:ascii="Times New Roman" w:hAnsi="Times New Roman"/>
                <w:bCs/>
                <w:sz w:val="20"/>
                <w:szCs w:val="20"/>
              </w:rPr>
              <w:t>($</w:t>
            </w:r>
            <w:r w:rsidR="00CA658B">
              <w:rPr>
                <w:rFonts w:ascii="Times New Roman" w:hAnsi="Times New Roman"/>
                <w:bCs/>
                <w:sz w:val="20"/>
                <w:szCs w:val="20"/>
              </w:rPr>
              <w:t>27,139</w:t>
            </w:r>
            <w:r>
              <w:rPr>
                <w:rFonts w:ascii="Times New Roman" w:hAnsi="Times New Roman"/>
                <w:bCs/>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1A5086AC" w14:textId="0AF8A56C">
            <w:pPr>
              <w:spacing w:after="0" w:line="240" w:lineRule="auto"/>
              <w:jc w:val="right"/>
              <w:rPr>
                <w:rFonts w:ascii="Times New Roman" w:hAnsi="Times New Roman"/>
                <w:bCs/>
                <w:sz w:val="20"/>
                <w:szCs w:val="20"/>
              </w:rPr>
            </w:pPr>
            <w:r>
              <w:rPr>
                <w:rFonts w:ascii="Times New Roman" w:hAnsi="Times New Roman"/>
                <w:bCs/>
                <w:sz w:val="20"/>
                <w:szCs w:val="20"/>
              </w:rPr>
              <w:t>$</w:t>
            </w:r>
            <w:r w:rsidR="00CA658B">
              <w:rPr>
                <w:rFonts w:ascii="Times New Roman" w:hAnsi="Times New Roman"/>
                <w:bCs/>
                <w:sz w:val="20"/>
                <w:szCs w:val="20"/>
              </w:rPr>
              <w:t>6,908</w:t>
            </w:r>
          </w:p>
        </w:tc>
      </w:tr>
      <w:tr w14:paraId="4A22835D"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A31A2C" w:rsidRPr="009304B8" w:rsidP="00A31A2C" w14:paraId="47E67065" w14:textId="77777777">
            <w:pPr>
              <w:spacing w:after="0" w:line="240" w:lineRule="auto"/>
              <w:rPr>
                <w:rFonts w:ascii="Times New Roman" w:hAnsi="Times New Roman"/>
                <w:bCs/>
                <w:sz w:val="20"/>
                <w:szCs w:val="20"/>
              </w:rPr>
            </w:pPr>
            <w:r w:rsidRPr="009304B8">
              <w:rPr>
                <w:rFonts w:ascii="Times New Roman" w:hAnsi="Times New Roman"/>
                <w:bCs/>
                <w:sz w:val="20"/>
                <w:szCs w:val="20"/>
              </w:rPr>
              <w:t>Annualized net cost savings to small IRBs (7%, 10 years)</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6E72BBD0" w14:textId="3236AA4C">
            <w:pPr>
              <w:spacing w:after="0" w:line="240" w:lineRule="auto"/>
              <w:jc w:val="right"/>
              <w:rPr>
                <w:rFonts w:ascii="Times New Roman" w:hAnsi="Times New Roman"/>
                <w:bCs/>
                <w:sz w:val="20"/>
                <w:szCs w:val="20"/>
              </w:rPr>
            </w:pPr>
            <w:r>
              <w:rPr>
                <w:rFonts w:ascii="Times New Roman" w:hAnsi="Times New Roman"/>
                <w:bCs/>
                <w:sz w:val="20"/>
                <w:szCs w:val="20"/>
              </w:rPr>
              <w:t>($54,509)</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429C14B2" w14:textId="3C8A585B">
            <w:pPr>
              <w:spacing w:after="0" w:line="240" w:lineRule="auto"/>
              <w:jc w:val="right"/>
              <w:rPr>
                <w:rFonts w:ascii="Times New Roman" w:hAnsi="Times New Roman"/>
                <w:bCs/>
                <w:sz w:val="20"/>
                <w:szCs w:val="20"/>
              </w:rPr>
            </w:pPr>
            <w:r>
              <w:rPr>
                <w:rFonts w:ascii="Times New Roman" w:hAnsi="Times New Roman"/>
                <w:bCs/>
                <w:sz w:val="20"/>
                <w:szCs w:val="20"/>
              </w:rPr>
              <w:t>($</w:t>
            </w:r>
            <w:r w:rsidR="00CA658B">
              <w:rPr>
                <w:rFonts w:ascii="Times New Roman" w:hAnsi="Times New Roman"/>
                <w:bCs/>
                <w:sz w:val="20"/>
                <w:szCs w:val="20"/>
              </w:rPr>
              <w:t>37,486</w:t>
            </w:r>
            <w:r>
              <w:rPr>
                <w:rFonts w:ascii="Times New Roman" w:hAnsi="Times New Roman"/>
                <w:bCs/>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A31A2C" w:rsidRPr="00BB5EC4" w:rsidP="00A31A2C" w14:paraId="78D2CD7F" w14:textId="2F9DA22A">
            <w:pPr>
              <w:spacing w:after="0" w:line="240" w:lineRule="auto"/>
              <w:jc w:val="right"/>
              <w:rPr>
                <w:rFonts w:ascii="Times New Roman" w:hAnsi="Times New Roman"/>
                <w:bCs/>
                <w:sz w:val="20"/>
                <w:szCs w:val="20"/>
              </w:rPr>
            </w:pPr>
            <w:r>
              <w:rPr>
                <w:rFonts w:ascii="Times New Roman" w:hAnsi="Times New Roman"/>
                <w:bCs/>
                <w:sz w:val="20"/>
                <w:szCs w:val="20"/>
              </w:rPr>
              <w:t>(</w:t>
            </w:r>
            <w:r w:rsidR="00EA4422">
              <w:rPr>
                <w:rFonts w:ascii="Times New Roman" w:hAnsi="Times New Roman"/>
                <w:bCs/>
                <w:sz w:val="20"/>
                <w:szCs w:val="20"/>
              </w:rPr>
              <w:t>$</w:t>
            </w:r>
            <w:r w:rsidR="000375C2">
              <w:rPr>
                <w:rFonts w:ascii="Times New Roman" w:hAnsi="Times New Roman"/>
                <w:bCs/>
                <w:sz w:val="20"/>
                <w:szCs w:val="20"/>
              </w:rPr>
              <w:t>3,439</w:t>
            </w:r>
            <w:r w:rsidR="00EA4422">
              <w:rPr>
                <w:rFonts w:ascii="Times New Roman" w:hAnsi="Times New Roman"/>
                <w:bCs/>
                <w:sz w:val="20"/>
                <w:szCs w:val="20"/>
              </w:rPr>
              <w:t>)</w:t>
            </w:r>
          </w:p>
        </w:tc>
      </w:tr>
      <w:tr w14:paraId="067653C3"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291654F0" w14:textId="77777777">
            <w:pPr>
              <w:spacing w:after="0" w:line="240" w:lineRule="auto"/>
              <w:rPr>
                <w:rFonts w:ascii="Times New Roman" w:hAnsi="Times New Roman"/>
                <w:b/>
                <w:sz w:val="20"/>
                <w:szCs w:val="20"/>
              </w:rPr>
            </w:pPr>
            <w:r w:rsidRPr="009304B8">
              <w:rPr>
                <w:rFonts w:ascii="Times New Roman" w:hAnsi="Times New Roman"/>
                <w:b/>
                <w:sz w:val="20"/>
                <w:szCs w:val="20"/>
              </w:rPr>
              <w:t>Annualized net cost savings per small IRB (3%)</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58C53FF8" w14:textId="4061BDDA">
            <w:pPr>
              <w:spacing w:after="0" w:line="240" w:lineRule="auto"/>
              <w:jc w:val="right"/>
              <w:rPr>
                <w:rFonts w:ascii="Times New Roman" w:hAnsi="Times New Roman"/>
                <w:b/>
                <w:sz w:val="20"/>
                <w:szCs w:val="20"/>
              </w:rPr>
            </w:pPr>
            <w:r>
              <w:rPr>
                <w:rFonts w:ascii="Times New Roman" w:hAnsi="Times New Roman"/>
                <w:b/>
                <w:sz w:val="20"/>
                <w:szCs w:val="20"/>
              </w:rPr>
              <w:t>($192.64)</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2234038F" w14:textId="420392D6">
            <w:pPr>
              <w:spacing w:after="0" w:line="240" w:lineRule="auto"/>
              <w:jc w:val="right"/>
              <w:rPr>
                <w:rFonts w:ascii="Times New Roman" w:hAnsi="Times New Roman"/>
                <w:b/>
                <w:sz w:val="20"/>
                <w:szCs w:val="20"/>
              </w:rPr>
            </w:pPr>
            <w:r>
              <w:rPr>
                <w:rFonts w:ascii="Times New Roman" w:hAnsi="Times New Roman"/>
                <w:b/>
                <w:sz w:val="20"/>
                <w:szCs w:val="20"/>
              </w:rPr>
              <w:t>($118.38)</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40793F18" w14:textId="57800714">
            <w:pPr>
              <w:spacing w:after="0" w:line="240" w:lineRule="auto"/>
              <w:jc w:val="right"/>
              <w:rPr>
                <w:rFonts w:ascii="Times New Roman" w:hAnsi="Times New Roman"/>
                <w:b/>
                <w:sz w:val="20"/>
                <w:szCs w:val="20"/>
              </w:rPr>
            </w:pPr>
            <w:r>
              <w:rPr>
                <w:rFonts w:ascii="Times New Roman" w:hAnsi="Times New Roman"/>
                <w:b/>
                <w:sz w:val="20"/>
                <w:szCs w:val="20"/>
              </w:rPr>
              <w:t>$30.13</w:t>
            </w:r>
          </w:p>
        </w:tc>
      </w:tr>
      <w:tr w14:paraId="6C59E8A2"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047823BB" w14:textId="77777777">
            <w:pPr>
              <w:spacing w:after="0" w:line="240" w:lineRule="auto"/>
              <w:rPr>
                <w:rFonts w:ascii="Times New Roman" w:hAnsi="Times New Roman"/>
                <w:b/>
                <w:sz w:val="20"/>
                <w:szCs w:val="20"/>
              </w:rPr>
            </w:pPr>
            <w:r w:rsidRPr="009304B8">
              <w:rPr>
                <w:rFonts w:ascii="Times New Roman" w:hAnsi="Times New Roman"/>
                <w:b/>
                <w:sz w:val="20"/>
                <w:szCs w:val="20"/>
              </w:rPr>
              <w:t>Annualized net cost savings per small IRB (7%)</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0FFF5FC7" w14:textId="5CE4F8CB">
            <w:pPr>
              <w:spacing w:after="0" w:line="240" w:lineRule="auto"/>
              <w:jc w:val="right"/>
              <w:rPr>
                <w:rFonts w:ascii="Times New Roman" w:hAnsi="Times New Roman"/>
                <w:b/>
                <w:sz w:val="20"/>
                <w:szCs w:val="20"/>
              </w:rPr>
            </w:pPr>
            <w:r>
              <w:rPr>
                <w:rFonts w:ascii="Times New Roman" w:hAnsi="Times New Roman"/>
                <w:b/>
                <w:sz w:val="20"/>
                <w:szCs w:val="20"/>
              </w:rPr>
              <w:t>($237.77)</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530A1A87" w14:textId="415346FF">
            <w:pPr>
              <w:spacing w:after="0" w:line="240" w:lineRule="auto"/>
              <w:jc w:val="right"/>
              <w:rPr>
                <w:rFonts w:ascii="Times New Roman" w:hAnsi="Times New Roman"/>
                <w:b/>
                <w:sz w:val="20"/>
                <w:szCs w:val="20"/>
              </w:rPr>
            </w:pPr>
            <w:r>
              <w:rPr>
                <w:rFonts w:ascii="Times New Roman" w:hAnsi="Times New Roman"/>
                <w:b/>
                <w:sz w:val="20"/>
                <w:szCs w:val="20"/>
              </w:rPr>
              <w:t>($163.51)</w:t>
            </w:r>
          </w:p>
        </w:tc>
        <w:tc>
          <w:tcPr>
            <w:tcW w:w="625" w:type="pct"/>
            <w:tcBorders>
              <w:top w:val="nil"/>
              <w:left w:val="nil"/>
              <w:bottom w:val="single" w:sz="4" w:space="0" w:color="auto"/>
              <w:right w:val="single" w:sz="4" w:space="0" w:color="auto"/>
            </w:tcBorders>
            <w:shd w:val="clear" w:color="auto" w:fill="auto"/>
            <w:noWrap/>
            <w:vAlign w:val="center"/>
          </w:tcPr>
          <w:p w:rsidR="00CF03DB" w:rsidRPr="00BB5EC4" w:rsidP="00D37C6D" w14:paraId="45A88097" w14:textId="09F0C067">
            <w:pPr>
              <w:spacing w:after="0" w:line="240" w:lineRule="auto"/>
              <w:jc w:val="right"/>
              <w:rPr>
                <w:rFonts w:ascii="Times New Roman" w:hAnsi="Times New Roman"/>
                <w:b/>
                <w:sz w:val="20"/>
                <w:szCs w:val="20"/>
              </w:rPr>
            </w:pPr>
            <w:r>
              <w:rPr>
                <w:rFonts w:ascii="Times New Roman" w:hAnsi="Times New Roman"/>
                <w:b/>
                <w:sz w:val="20"/>
                <w:szCs w:val="20"/>
              </w:rPr>
              <w:t>($15.00)</w:t>
            </w:r>
          </w:p>
        </w:tc>
      </w:tr>
      <w:tr w14:paraId="32C7178C"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B839E8" w:rsidRPr="00256DC4" w:rsidP="00B839E8" w14:paraId="503E8F81" w14:textId="53F15B5E">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Number of affected small </w:t>
            </w:r>
            <w:r w:rsidR="00E327E4">
              <w:rPr>
                <w:rFonts w:ascii="Times New Roman" w:hAnsi="Times New Roman"/>
                <w:bCs/>
                <w:color w:val="000000"/>
                <w:sz w:val="20"/>
                <w:szCs w:val="20"/>
              </w:rPr>
              <w:t xml:space="preserve">sponsors </w:t>
            </w:r>
            <w:r>
              <w:rPr>
                <w:rFonts w:ascii="Times New Roman" w:hAnsi="Times New Roman"/>
                <w:bCs/>
                <w:color w:val="000000"/>
                <w:sz w:val="20"/>
                <w:szCs w:val="20"/>
              </w:rPr>
              <w:t>clinical investigations</w:t>
            </w:r>
          </w:p>
        </w:tc>
        <w:tc>
          <w:tcPr>
            <w:tcW w:w="625" w:type="pct"/>
            <w:tcBorders>
              <w:top w:val="nil"/>
              <w:left w:val="nil"/>
              <w:bottom w:val="single" w:sz="4" w:space="0" w:color="auto"/>
              <w:right w:val="single" w:sz="4" w:space="0" w:color="auto"/>
            </w:tcBorders>
            <w:shd w:val="clear" w:color="auto" w:fill="auto"/>
            <w:noWrap/>
            <w:vAlign w:val="center"/>
          </w:tcPr>
          <w:p w:rsidR="00B839E8" w:rsidRPr="00126877" w:rsidP="00B839E8" w14:paraId="0B141D0F" w14:textId="3801CE6F">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c>
          <w:tcPr>
            <w:tcW w:w="625" w:type="pct"/>
            <w:tcBorders>
              <w:top w:val="nil"/>
              <w:left w:val="nil"/>
              <w:bottom w:val="single" w:sz="4" w:space="0" w:color="auto"/>
              <w:right w:val="single" w:sz="4" w:space="0" w:color="auto"/>
            </w:tcBorders>
            <w:shd w:val="clear" w:color="auto" w:fill="auto"/>
            <w:noWrap/>
            <w:vAlign w:val="center"/>
          </w:tcPr>
          <w:p w:rsidR="00B839E8" w:rsidRPr="00126877" w:rsidP="00B839E8" w14:paraId="1DAB9015" w14:textId="5AE370D0">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c>
          <w:tcPr>
            <w:tcW w:w="625" w:type="pct"/>
            <w:tcBorders>
              <w:top w:val="nil"/>
              <w:left w:val="nil"/>
              <w:bottom w:val="single" w:sz="4" w:space="0" w:color="auto"/>
              <w:right w:val="single" w:sz="4" w:space="0" w:color="auto"/>
            </w:tcBorders>
            <w:shd w:val="clear" w:color="auto" w:fill="auto"/>
            <w:noWrap/>
            <w:vAlign w:val="center"/>
          </w:tcPr>
          <w:p w:rsidR="00B839E8" w:rsidRPr="00126877" w:rsidP="00B839E8" w14:paraId="59C341FB" w14:textId="76428524">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w:t>
            </w:r>
          </w:p>
        </w:tc>
      </w:tr>
      <w:tr w14:paraId="13EC49AF"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463EB9" w:rsidRPr="00256DC4" w:rsidP="00463EB9" w14:paraId="17BC8E22" w14:textId="77777777">
            <w:pPr>
              <w:spacing w:after="0" w:line="240" w:lineRule="auto"/>
              <w:rPr>
                <w:rFonts w:ascii="Times New Roman" w:hAnsi="Times New Roman"/>
                <w:bCs/>
                <w:color w:val="000000"/>
                <w:sz w:val="20"/>
                <w:szCs w:val="20"/>
              </w:rPr>
            </w:pPr>
            <w:r>
              <w:rPr>
                <w:rFonts w:ascii="Times New Roman" w:hAnsi="Times New Roman"/>
                <w:bCs/>
                <w:color w:val="000000"/>
                <w:sz w:val="20"/>
                <w:szCs w:val="20"/>
              </w:rPr>
              <w:t>Investigator cost of reading the rule (one-time)</w:t>
            </w:r>
          </w:p>
        </w:tc>
        <w:tc>
          <w:tcPr>
            <w:tcW w:w="625" w:type="pct"/>
            <w:tcBorders>
              <w:top w:val="nil"/>
              <w:left w:val="nil"/>
              <w:bottom w:val="single" w:sz="4" w:space="0" w:color="auto"/>
              <w:right w:val="single" w:sz="4" w:space="0" w:color="auto"/>
            </w:tcBorders>
            <w:shd w:val="clear" w:color="auto" w:fill="auto"/>
            <w:noWrap/>
            <w:vAlign w:val="center"/>
          </w:tcPr>
          <w:p w:rsidR="00463EB9" w:rsidP="00463EB9" w14:paraId="37A57B4E" w14:textId="11B59179">
            <w:pPr>
              <w:spacing w:after="0" w:line="240" w:lineRule="auto"/>
              <w:jc w:val="right"/>
              <w:rPr>
                <w:rFonts w:ascii="Times New Roman" w:hAnsi="Times New Roman"/>
                <w:color w:val="000000"/>
                <w:sz w:val="20"/>
                <w:szCs w:val="20"/>
              </w:rPr>
            </w:pPr>
            <w:r>
              <w:rPr>
                <w:rFonts w:ascii="Times New Roman" w:hAnsi="Times New Roman"/>
                <w:color w:val="000000"/>
                <w:sz w:val="20"/>
                <w:szCs w:val="20"/>
              </w:rPr>
              <w:t>$7</w:t>
            </w:r>
            <w:r w:rsidR="0076450E">
              <w:rPr>
                <w:rFonts w:ascii="Times New Roman" w:hAnsi="Times New Roman"/>
                <w:color w:val="000000"/>
                <w:sz w:val="20"/>
                <w:szCs w:val="20"/>
              </w:rPr>
              <w:t>6,833</w:t>
            </w:r>
          </w:p>
        </w:tc>
        <w:tc>
          <w:tcPr>
            <w:tcW w:w="625" w:type="pct"/>
            <w:tcBorders>
              <w:top w:val="nil"/>
              <w:left w:val="nil"/>
              <w:bottom w:val="single" w:sz="4" w:space="0" w:color="auto"/>
              <w:right w:val="single" w:sz="4" w:space="0" w:color="auto"/>
            </w:tcBorders>
            <w:shd w:val="clear" w:color="auto" w:fill="auto"/>
            <w:noWrap/>
          </w:tcPr>
          <w:p w:rsidR="00463EB9" w:rsidP="00463EB9" w14:paraId="627827B7" w14:textId="6DC1F6AC">
            <w:pPr>
              <w:spacing w:after="0" w:line="240" w:lineRule="auto"/>
              <w:jc w:val="right"/>
              <w:rPr>
                <w:rFonts w:ascii="Times New Roman" w:hAnsi="Times New Roman"/>
                <w:color w:val="000000"/>
                <w:sz w:val="20"/>
                <w:szCs w:val="20"/>
              </w:rPr>
            </w:pPr>
            <w:r w:rsidRPr="00404E1D">
              <w:rPr>
                <w:rFonts w:ascii="Times New Roman" w:hAnsi="Times New Roman"/>
                <w:color w:val="000000"/>
                <w:sz w:val="20"/>
                <w:szCs w:val="20"/>
              </w:rPr>
              <w:t>$76,833</w:t>
            </w:r>
          </w:p>
        </w:tc>
        <w:tc>
          <w:tcPr>
            <w:tcW w:w="625" w:type="pct"/>
            <w:tcBorders>
              <w:top w:val="nil"/>
              <w:left w:val="nil"/>
              <w:bottom w:val="single" w:sz="4" w:space="0" w:color="auto"/>
              <w:right w:val="single" w:sz="4" w:space="0" w:color="auto"/>
            </w:tcBorders>
            <w:shd w:val="clear" w:color="auto" w:fill="auto"/>
            <w:noWrap/>
          </w:tcPr>
          <w:p w:rsidR="00463EB9" w:rsidP="00463EB9" w14:paraId="36988327" w14:textId="3D7FF12B">
            <w:pPr>
              <w:spacing w:after="0" w:line="240" w:lineRule="auto"/>
              <w:jc w:val="right"/>
              <w:rPr>
                <w:rFonts w:ascii="Times New Roman" w:hAnsi="Times New Roman"/>
                <w:color w:val="000000"/>
                <w:sz w:val="20"/>
                <w:szCs w:val="20"/>
              </w:rPr>
            </w:pPr>
            <w:r w:rsidRPr="00404E1D">
              <w:rPr>
                <w:rFonts w:ascii="Times New Roman" w:hAnsi="Times New Roman"/>
                <w:color w:val="000000"/>
                <w:sz w:val="20"/>
                <w:szCs w:val="20"/>
              </w:rPr>
              <w:t>$76,833</w:t>
            </w:r>
          </w:p>
        </w:tc>
      </w:tr>
      <w:tr w14:paraId="5E3A31CB"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256DC4" w:rsidP="00D37C6D" w14:paraId="6AD3823B" w14:textId="05D77E44">
            <w:pPr>
              <w:spacing w:after="0" w:line="240" w:lineRule="auto"/>
              <w:rPr>
                <w:rFonts w:ascii="Times New Roman" w:hAnsi="Times New Roman"/>
                <w:bCs/>
                <w:color w:val="000000"/>
                <w:sz w:val="20"/>
                <w:szCs w:val="20"/>
              </w:rPr>
            </w:pPr>
            <w:r>
              <w:rPr>
                <w:rFonts w:ascii="Times New Roman" w:hAnsi="Times New Roman"/>
                <w:bCs/>
                <w:color w:val="000000"/>
                <w:sz w:val="20"/>
                <w:szCs w:val="20"/>
              </w:rPr>
              <w:t>Investigator cost of drafting waiver</w:t>
            </w:r>
            <w:r w:rsidR="006B1D58">
              <w:rPr>
                <w:rFonts w:ascii="Times New Roman" w:hAnsi="Times New Roman"/>
                <w:bCs/>
                <w:color w:val="000000"/>
                <w:sz w:val="20"/>
                <w:szCs w:val="20"/>
              </w:rPr>
              <w:t xml:space="preserve">/alteration </w:t>
            </w:r>
            <w:r>
              <w:rPr>
                <w:rFonts w:ascii="Times New Roman" w:hAnsi="Times New Roman"/>
                <w:bCs/>
                <w:color w:val="000000"/>
                <w:sz w:val="20"/>
                <w:szCs w:val="20"/>
              </w:rPr>
              <w:t>requests (annual)</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4F381276" w14:textId="7053D516">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r w:rsidR="00215079">
              <w:rPr>
                <w:rFonts w:ascii="Times New Roman" w:hAnsi="Times New Roman"/>
                <w:color w:val="000000"/>
                <w:sz w:val="20"/>
                <w:szCs w:val="20"/>
              </w:rPr>
              <w:t>12,061</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35290A9D" w14:textId="28423674">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r w:rsidR="00215079">
              <w:rPr>
                <w:rFonts w:ascii="Times New Roman" w:hAnsi="Times New Roman"/>
                <w:color w:val="000000"/>
                <w:sz w:val="20"/>
                <w:szCs w:val="20"/>
              </w:rPr>
              <w:t>24,122</w:t>
            </w:r>
          </w:p>
        </w:tc>
        <w:tc>
          <w:tcPr>
            <w:tcW w:w="625" w:type="pct"/>
            <w:tcBorders>
              <w:top w:val="nil"/>
              <w:left w:val="nil"/>
              <w:bottom w:val="single" w:sz="4" w:space="0" w:color="auto"/>
              <w:right w:val="single" w:sz="4" w:space="0" w:color="auto"/>
            </w:tcBorders>
            <w:shd w:val="clear" w:color="auto" w:fill="auto"/>
            <w:noWrap/>
            <w:vAlign w:val="center"/>
          </w:tcPr>
          <w:p w:rsidR="00CF03DB" w:rsidP="00D37C6D" w14:paraId="02890966" w14:textId="5F413113">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r w:rsidR="00215079">
              <w:rPr>
                <w:rFonts w:ascii="Times New Roman" w:hAnsi="Times New Roman"/>
                <w:color w:val="000000"/>
                <w:sz w:val="20"/>
                <w:szCs w:val="20"/>
              </w:rPr>
              <w:t>48,244</w:t>
            </w:r>
          </w:p>
        </w:tc>
      </w:tr>
      <w:tr w14:paraId="61089F96" w14:textId="77777777" w:rsidTr="00BB5EC4">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79952B3C" w14:textId="2798F315">
            <w:pPr>
              <w:spacing w:after="0" w:line="240" w:lineRule="auto"/>
              <w:rPr>
                <w:rFonts w:ascii="Times New Roman" w:hAnsi="Times New Roman"/>
                <w:bCs/>
                <w:sz w:val="20"/>
                <w:szCs w:val="20"/>
              </w:rPr>
            </w:pPr>
            <w:r w:rsidRPr="009304B8">
              <w:rPr>
                <w:rFonts w:ascii="Times New Roman" w:hAnsi="Times New Roman"/>
                <w:bCs/>
                <w:sz w:val="20"/>
                <w:szCs w:val="20"/>
              </w:rPr>
              <w:t>Annualized net cost savings to small</w:t>
            </w:r>
            <w:r w:rsidR="000F5C87">
              <w:rPr>
                <w:rFonts w:ascii="Times New Roman" w:hAnsi="Times New Roman"/>
                <w:bCs/>
                <w:sz w:val="20"/>
                <w:szCs w:val="20"/>
              </w:rPr>
              <w:t xml:space="preserve"> sponsors of </w:t>
            </w:r>
            <w:r w:rsidRPr="009304B8">
              <w:rPr>
                <w:rFonts w:ascii="Times New Roman" w:hAnsi="Times New Roman"/>
                <w:bCs/>
                <w:sz w:val="20"/>
                <w:szCs w:val="20"/>
              </w:rPr>
              <w:t xml:space="preserve">clinical </w:t>
            </w:r>
            <w:r w:rsidR="00FD1714">
              <w:rPr>
                <w:rFonts w:ascii="Times New Roman" w:hAnsi="Times New Roman"/>
                <w:bCs/>
                <w:sz w:val="20"/>
                <w:szCs w:val="20"/>
              </w:rPr>
              <w:t>investigation</w:t>
            </w:r>
            <w:r w:rsidRPr="009304B8">
              <w:rPr>
                <w:rFonts w:ascii="Times New Roman" w:hAnsi="Times New Roman"/>
                <w:bCs/>
                <w:sz w:val="20"/>
                <w:szCs w:val="20"/>
              </w:rPr>
              <w:t>s (3%, 10 years)</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6AA8A29E" w14:textId="05ADC3F0">
            <w:pPr>
              <w:spacing w:after="0" w:line="240" w:lineRule="auto"/>
              <w:jc w:val="right"/>
              <w:rPr>
                <w:rFonts w:ascii="Times New Roman" w:hAnsi="Times New Roman"/>
                <w:sz w:val="20"/>
                <w:szCs w:val="20"/>
              </w:rPr>
            </w:pPr>
            <w:r>
              <w:rPr>
                <w:rFonts w:ascii="Times New Roman" w:hAnsi="Times New Roman"/>
                <w:sz w:val="20"/>
                <w:szCs w:val="20"/>
              </w:rPr>
              <w:t>($20,</w:t>
            </w:r>
            <w:r w:rsidR="00893AFD">
              <w:rPr>
                <w:rFonts w:ascii="Times New Roman" w:hAnsi="Times New Roman"/>
                <w:sz w:val="20"/>
                <w:szCs w:val="20"/>
              </w:rPr>
              <w:t>806</w:t>
            </w:r>
            <w:r>
              <w:rPr>
                <w:rFonts w:ascii="Times New Roman" w:hAnsi="Times New Roman"/>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6273711F" w14:textId="72E7CC3C">
            <w:pPr>
              <w:spacing w:after="0" w:line="240" w:lineRule="auto"/>
              <w:jc w:val="right"/>
              <w:rPr>
                <w:rFonts w:ascii="Times New Roman" w:hAnsi="Times New Roman"/>
                <w:sz w:val="20"/>
                <w:szCs w:val="20"/>
              </w:rPr>
            </w:pPr>
            <w:r>
              <w:rPr>
                <w:rFonts w:ascii="Times New Roman" w:hAnsi="Times New Roman"/>
                <w:sz w:val="20"/>
                <w:szCs w:val="20"/>
              </w:rPr>
              <w:t>($</w:t>
            </w:r>
            <w:r w:rsidR="007E5F47">
              <w:rPr>
                <w:rFonts w:ascii="Times New Roman" w:hAnsi="Times New Roman"/>
                <w:sz w:val="20"/>
                <w:szCs w:val="20"/>
              </w:rPr>
              <w:t>3</w:t>
            </w:r>
            <w:r w:rsidR="00893AFD">
              <w:rPr>
                <w:rFonts w:ascii="Times New Roman" w:hAnsi="Times New Roman"/>
                <w:sz w:val="20"/>
                <w:szCs w:val="20"/>
              </w:rPr>
              <w:t>2,867</w:t>
            </w:r>
            <w:r w:rsidR="007E5F47">
              <w:rPr>
                <w:rFonts w:ascii="Times New Roman" w:hAnsi="Times New Roman"/>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01C7976B" w14:textId="19A3747B">
            <w:pPr>
              <w:spacing w:after="0" w:line="240" w:lineRule="auto"/>
              <w:jc w:val="right"/>
              <w:rPr>
                <w:rFonts w:ascii="Times New Roman" w:hAnsi="Times New Roman"/>
                <w:sz w:val="20"/>
                <w:szCs w:val="20"/>
              </w:rPr>
            </w:pPr>
            <w:r>
              <w:rPr>
                <w:rFonts w:ascii="Times New Roman" w:hAnsi="Times New Roman"/>
                <w:sz w:val="20"/>
                <w:szCs w:val="20"/>
              </w:rPr>
              <w:t>($</w:t>
            </w:r>
            <w:r w:rsidR="00893AFD">
              <w:rPr>
                <w:rFonts w:ascii="Times New Roman" w:hAnsi="Times New Roman"/>
                <w:sz w:val="20"/>
                <w:szCs w:val="20"/>
              </w:rPr>
              <w:t>56,989</w:t>
            </w:r>
            <w:r w:rsidR="007E5F47">
              <w:rPr>
                <w:rFonts w:ascii="Times New Roman" w:hAnsi="Times New Roman"/>
                <w:sz w:val="20"/>
                <w:szCs w:val="20"/>
              </w:rPr>
              <w:t>)</w:t>
            </w:r>
          </w:p>
        </w:tc>
      </w:tr>
      <w:tr w14:paraId="09685C5C" w14:textId="77777777" w:rsidTr="004C58C7">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22DF34C8" w14:textId="283F2F60">
            <w:pPr>
              <w:spacing w:after="0" w:line="240" w:lineRule="auto"/>
              <w:rPr>
                <w:rFonts w:ascii="Times New Roman" w:hAnsi="Times New Roman"/>
                <w:bCs/>
                <w:sz w:val="20"/>
                <w:szCs w:val="20"/>
              </w:rPr>
            </w:pPr>
            <w:r w:rsidRPr="009304B8">
              <w:rPr>
                <w:rFonts w:ascii="Times New Roman" w:hAnsi="Times New Roman"/>
                <w:bCs/>
                <w:sz w:val="20"/>
                <w:szCs w:val="20"/>
              </w:rPr>
              <w:t>Annualized net cost savings to small</w:t>
            </w:r>
            <w:r w:rsidR="000F5C87">
              <w:rPr>
                <w:rFonts w:ascii="Times New Roman" w:hAnsi="Times New Roman"/>
                <w:bCs/>
                <w:sz w:val="20"/>
                <w:szCs w:val="20"/>
              </w:rPr>
              <w:t xml:space="preserve"> sponsors of</w:t>
            </w:r>
            <w:r w:rsidRPr="009304B8">
              <w:rPr>
                <w:rFonts w:ascii="Times New Roman" w:hAnsi="Times New Roman"/>
                <w:bCs/>
                <w:sz w:val="20"/>
                <w:szCs w:val="20"/>
              </w:rPr>
              <w:t xml:space="preserve"> clinical </w:t>
            </w:r>
            <w:r w:rsidR="00FD1714">
              <w:rPr>
                <w:rFonts w:ascii="Times New Roman" w:hAnsi="Times New Roman"/>
                <w:bCs/>
                <w:sz w:val="20"/>
                <w:szCs w:val="20"/>
              </w:rPr>
              <w:t>investigation</w:t>
            </w:r>
            <w:r w:rsidRPr="009304B8">
              <w:rPr>
                <w:rFonts w:ascii="Times New Roman" w:hAnsi="Times New Roman"/>
                <w:bCs/>
                <w:sz w:val="20"/>
                <w:szCs w:val="20"/>
              </w:rPr>
              <w:t>s (7%, 10 years)</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67F8ADBA" w14:textId="125F4776">
            <w:pPr>
              <w:spacing w:after="0" w:line="240" w:lineRule="auto"/>
              <w:jc w:val="right"/>
              <w:rPr>
                <w:rFonts w:ascii="Times New Roman" w:hAnsi="Times New Roman"/>
                <w:sz w:val="20"/>
                <w:szCs w:val="20"/>
              </w:rPr>
            </w:pPr>
            <w:r>
              <w:rPr>
                <w:rFonts w:ascii="Times New Roman" w:hAnsi="Times New Roman"/>
                <w:sz w:val="20"/>
                <w:szCs w:val="20"/>
              </w:rPr>
              <w:t>($2</w:t>
            </w:r>
            <w:r w:rsidR="00893AFD">
              <w:rPr>
                <w:rFonts w:ascii="Times New Roman" w:hAnsi="Times New Roman"/>
                <w:sz w:val="20"/>
                <w:szCs w:val="20"/>
              </w:rPr>
              <w:t>5,269</w:t>
            </w:r>
            <w:r>
              <w:rPr>
                <w:rFonts w:ascii="Times New Roman" w:hAnsi="Times New Roman"/>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4A2DA6F0" w14:textId="75FA24AB">
            <w:pPr>
              <w:spacing w:after="0" w:line="240" w:lineRule="auto"/>
              <w:jc w:val="right"/>
              <w:rPr>
                <w:rFonts w:ascii="Times New Roman" w:hAnsi="Times New Roman"/>
                <w:sz w:val="20"/>
                <w:szCs w:val="20"/>
              </w:rPr>
            </w:pPr>
            <w:r>
              <w:rPr>
                <w:rFonts w:ascii="Times New Roman" w:hAnsi="Times New Roman"/>
                <w:sz w:val="20"/>
                <w:szCs w:val="20"/>
              </w:rPr>
              <w:t>($</w:t>
            </w:r>
            <w:r w:rsidR="007E5F47">
              <w:rPr>
                <w:rFonts w:ascii="Times New Roman" w:hAnsi="Times New Roman"/>
                <w:sz w:val="20"/>
                <w:szCs w:val="20"/>
              </w:rPr>
              <w:t>3</w:t>
            </w:r>
            <w:r w:rsidR="00893AFD">
              <w:rPr>
                <w:rFonts w:ascii="Times New Roman" w:hAnsi="Times New Roman"/>
                <w:sz w:val="20"/>
                <w:szCs w:val="20"/>
              </w:rPr>
              <w:t>9,917</w:t>
            </w:r>
            <w:r w:rsidR="007E5F47">
              <w:rPr>
                <w:rFonts w:ascii="Times New Roman" w:hAnsi="Times New Roman"/>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546A3461" w14:textId="185DB4ED">
            <w:pPr>
              <w:spacing w:after="0" w:line="240" w:lineRule="auto"/>
              <w:jc w:val="right"/>
              <w:rPr>
                <w:rFonts w:ascii="Times New Roman" w:hAnsi="Times New Roman"/>
                <w:sz w:val="20"/>
                <w:szCs w:val="20"/>
              </w:rPr>
            </w:pPr>
            <w:r>
              <w:rPr>
                <w:rFonts w:ascii="Times New Roman" w:hAnsi="Times New Roman"/>
                <w:sz w:val="20"/>
                <w:szCs w:val="20"/>
              </w:rPr>
              <w:t>($</w:t>
            </w:r>
            <w:r w:rsidR="007E5F47">
              <w:rPr>
                <w:rFonts w:ascii="Times New Roman" w:hAnsi="Times New Roman"/>
                <w:sz w:val="20"/>
                <w:szCs w:val="20"/>
              </w:rPr>
              <w:t>6</w:t>
            </w:r>
            <w:r w:rsidR="00893AFD">
              <w:rPr>
                <w:rFonts w:ascii="Times New Roman" w:hAnsi="Times New Roman"/>
                <w:sz w:val="20"/>
                <w:szCs w:val="20"/>
              </w:rPr>
              <w:t>9,214</w:t>
            </w:r>
            <w:r w:rsidR="007E5F47">
              <w:rPr>
                <w:rFonts w:ascii="Times New Roman" w:hAnsi="Times New Roman"/>
                <w:sz w:val="20"/>
                <w:szCs w:val="20"/>
              </w:rPr>
              <w:t>)</w:t>
            </w:r>
          </w:p>
        </w:tc>
      </w:tr>
      <w:tr w14:paraId="5C22ABF3" w14:textId="77777777" w:rsidTr="004C58C7">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03ABF737" w14:textId="3FF9ADE9">
            <w:pPr>
              <w:spacing w:after="0" w:line="240" w:lineRule="auto"/>
              <w:rPr>
                <w:rFonts w:ascii="Times New Roman" w:hAnsi="Times New Roman"/>
                <w:b/>
                <w:sz w:val="20"/>
                <w:szCs w:val="20"/>
              </w:rPr>
            </w:pPr>
            <w:r w:rsidRPr="009304B8">
              <w:rPr>
                <w:rFonts w:ascii="Times New Roman" w:hAnsi="Times New Roman"/>
                <w:b/>
                <w:sz w:val="20"/>
                <w:szCs w:val="20"/>
              </w:rPr>
              <w:t>Annualized net cost savings per small</w:t>
            </w:r>
            <w:r w:rsidR="000F5C87">
              <w:rPr>
                <w:rFonts w:ascii="Times New Roman" w:hAnsi="Times New Roman"/>
                <w:b/>
                <w:sz w:val="20"/>
                <w:szCs w:val="20"/>
              </w:rPr>
              <w:t xml:space="preserve"> sponsors of</w:t>
            </w:r>
            <w:r w:rsidRPr="009304B8">
              <w:rPr>
                <w:rFonts w:ascii="Times New Roman" w:hAnsi="Times New Roman"/>
                <w:b/>
                <w:sz w:val="20"/>
                <w:szCs w:val="20"/>
              </w:rPr>
              <w:t xml:space="preserve"> clinical </w:t>
            </w:r>
            <w:r w:rsidR="00FD1714">
              <w:rPr>
                <w:rFonts w:ascii="Times New Roman" w:hAnsi="Times New Roman"/>
                <w:b/>
                <w:sz w:val="20"/>
                <w:szCs w:val="20"/>
              </w:rPr>
              <w:t>investigation</w:t>
            </w:r>
            <w:r w:rsidRPr="009304B8">
              <w:rPr>
                <w:rFonts w:ascii="Times New Roman" w:hAnsi="Times New Roman"/>
                <w:b/>
                <w:sz w:val="20"/>
                <w:szCs w:val="20"/>
              </w:rPr>
              <w:t xml:space="preserve"> (3%) </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77379886" w14:textId="40AB980A">
            <w:pPr>
              <w:spacing w:after="0" w:line="240" w:lineRule="auto"/>
              <w:jc w:val="right"/>
              <w:rPr>
                <w:rFonts w:ascii="Times New Roman" w:hAnsi="Times New Roman"/>
                <w:b/>
                <w:sz w:val="20"/>
                <w:szCs w:val="20"/>
              </w:rPr>
            </w:pPr>
            <w:r>
              <w:rPr>
                <w:rFonts w:ascii="Times New Roman" w:hAnsi="Times New Roman"/>
                <w:b/>
                <w:sz w:val="20"/>
                <w:szCs w:val="20"/>
              </w:rPr>
              <w:t>($</w:t>
            </w:r>
            <w:r w:rsidR="00893AFD">
              <w:rPr>
                <w:rFonts w:ascii="Times New Roman" w:hAnsi="Times New Roman"/>
                <w:b/>
                <w:sz w:val="20"/>
                <w:szCs w:val="20"/>
              </w:rPr>
              <w:t>90</w:t>
            </w:r>
            <w:r w:rsidR="00943867">
              <w:rPr>
                <w:rFonts w:ascii="Times New Roman" w:hAnsi="Times New Roman"/>
                <w:b/>
                <w:sz w:val="20"/>
                <w:szCs w:val="20"/>
              </w:rPr>
              <w:t>.</w:t>
            </w:r>
            <w:r w:rsidR="00893AFD">
              <w:rPr>
                <w:rFonts w:ascii="Times New Roman" w:hAnsi="Times New Roman"/>
                <w:b/>
                <w:sz w:val="20"/>
                <w:szCs w:val="20"/>
              </w:rPr>
              <w:t>75</w:t>
            </w:r>
            <w:r w:rsidR="007E5F47">
              <w:rPr>
                <w:rFonts w:ascii="Times New Roman" w:hAnsi="Times New Roman"/>
                <w:b/>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2AE33894" w14:textId="1B1A7199">
            <w:pPr>
              <w:spacing w:after="0" w:line="240" w:lineRule="auto"/>
              <w:jc w:val="right"/>
              <w:rPr>
                <w:rFonts w:ascii="Times New Roman" w:hAnsi="Times New Roman"/>
                <w:b/>
                <w:sz w:val="20"/>
                <w:szCs w:val="20"/>
              </w:rPr>
            </w:pPr>
            <w:r>
              <w:rPr>
                <w:rFonts w:ascii="Times New Roman" w:hAnsi="Times New Roman"/>
                <w:b/>
                <w:sz w:val="20"/>
                <w:szCs w:val="20"/>
              </w:rPr>
              <w:t>($</w:t>
            </w:r>
            <w:r w:rsidR="007E5F47">
              <w:rPr>
                <w:rFonts w:ascii="Times New Roman" w:hAnsi="Times New Roman"/>
                <w:b/>
                <w:sz w:val="20"/>
                <w:szCs w:val="20"/>
              </w:rPr>
              <w:t>1</w:t>
            </w:r>
            <w:r w:rsidR="00893AFD">
              <w:rPr>
                <w:rFonts w:ascii="Times New Roman" w:hAnsi="Times New Roman"/>
                <w:b/>
                <w:sz w:val="20"/>
                <w:szCs w:val="20"/>
              </w:rPr>
              <w:t>43.36</w:t>
            </w:r>
            <w:r w:rsidR="007E5F47">
              <w:rPr>
                <w:rFonts w:ascii="Times New Roman" w:hAnsi="Times New Roman"/>
                <w:b/>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69FE4ED2" w14:textId="6084B613">
            <w:pPr>
              <w:spacing w:after="0" w:line="240" w:lineRule="auto"/>
              <w:jc w:val="right"/>
              <w:rPr>
                <w:rFonts w:ascii="Times New Roman" w:hAnsi="Times New Roman"/>
                <w:b/>
                <w:sz w:val="20"/>
                <w:szCs w:val="20"/>
              </w:rPr>
            </w:pPr>
            <w:r>
              <w:rPr>
                <w:rFonts w:ascii="Times New Roman" w:hAnsi="Times New Roman"/>
                <w:b/>
                <w:sz w:val="20"/>
                <w:szCs w:val="20"/>
              </w:rPr>
              <w:t>($</w:t>
            </w:r>
            <w:r w:rsidR="007E5F47">
              <w:rPr>
                <w:rFonts w:ascii="Times New Roman" w:hAnsi="Times New Roman"/>
                <w:b/>
                <w:sz w:val="20"/>
                <w:szCs w:val="20"/>
              </w:rPr>
              <w:t>2</w:t>
            </w:r>
            <w:r w:rsidR="0076450E">
              <w:rPr>
                <w:rFonts w:ascii="Times New Roman" w:hAnsi="Times New Roman"/>
                <w:b/>
                <w:sz w:val="20"/>
                <w:szCs w:val="20"/>
              </w:rPr>
              <w:t>4</w:t>
            </w:r>
            <w:r w:rsidR="00893AFD">
              <w:rPr>
                <w:rFonts w:ascii="Times New Roman" w:hAnsi="Times New Roman"/>
                <w:b/>
                <w:sz w:val="20"/>
                <w:szCs w:val="20"/>
              </w:rPr>
              <w:t>8.58</w:t>
            </w:r>
            <w:r w:rsidR="007E5F47">
              <w:rPr>
                <w:rFonts w:ascii="Times New Roman" w:hAnsi="Times New Roman"/>
                <w:b/>
                <w:sz w:val="20"/>
                <w:szCs w:val="20"/>
              </w:rPr>
              <w:t>)</w:t>
            </w:r>
          </w:p>
        </w:tc>
      </w:tr>
      <w:tr w14:paraId="30B72BEF" w14:textId="77777777" w:rsidTr="004C58C7">
        <w:tblPrEx>
          <w:tblW w:w="5000" w:type="pct"/>
          <w:tblLayout w:type="fixed"/>
          <w:tblLook w:val="04A0"/>
        </w:tblPrEx>
        <w:trPr>
          <w:trHeight w:val="288"/>
        </w:trPr>
        <w:tc>
          <w:tcPr>
            <w:tcW w:w="3125" w:type="pct"/>
            <w:tcBorders>
              <w:top w:val="nil"/>
              <w:left w:val="single" w:sz="4" w:space="0" w:color="auto"/>
              <w:bottom w:val="single" w:sz="4" w:space="0" w:color="auto"/>
              <w:right w:val="single" w:sz="4" w:space="0" w:color="auto"/>
            </w:tcBorders>
            <w:shd w:val="clear" w:color="auto" w:fill="auto"/>
            <w:noWrap/>
            <w:vAlign w:val="center"/>
          </w:tcPr>
          <w:p w:rsidR="00CF03DB" w:rsidRPr="009304B8" w:rsidP="00D37C6D" w14:paraId="392B6511" w14:textId="195C5FDB">
            <w:pPr>
              <w:spacing w:after="0" w:line="240" w:lineRule="auto"/>
              <w:rPr>
                <w:rFonts w:ascii="Times New Roman" w:hAnsi="Times New Roman"/>
                <w:b/>
                <w:sz w:val="20"/>
                <w:szCs w:val="20"/>
              </w:rPr>
            </w:pPr>
            <w:r w:rsidRPr="009304B8">
              <w:rPr>
                <w:rFonts w:ascii="Times New Roman" w:hAnsi="Times New Roman"/>
                <w:b/>
                <w:sz w:val="20"/>
                <w:szCs w:val="20"/>
              </w:rPr>
              <w:t xml:space="preserve">Annualized net cost savings per small clinical </w:t>
            </w:r>
            <w:r w:rsidR="00FD1714">
              <w:rPr>
                <w:rFonts w:ascii="Times New Roman" w:hAnsi="Times New Roman"/>
                <w:b/>
                <w:sz w:val="20"/>
                <w:szCs w:val="20"/>
              </w:rPr>
              <w:t>investigation</w:t>
            </w:r>
            <w:r w:rsidRPr="009304B8">
              <w:rPr>
                <w:rFonts w:ascii="Times New Roman" w:hAnsi="Times New Roman"/>
                <w:b/>
                <w:sz w:val="20"/>
                <w:szCs w:val="20"/>
              </w:rPr>
              <w:t xml:space="preserve"> (7%) </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50D10435" w14:textId="1DFC90A2">
            <w:pPr>
              <w:spacing w:after="0" w:line="240" w:lineRule="auto"/>
              <w:jc w:val="right"/>
              <w:rPr>
                <w:rFonts w:ascii="Times New Roman" w:hAnsi="Times New Roman"/>
                <w:b/>
                <w:sz w:val="20"/>
                <w:szCs w:val="20"/>
              </w:rPr>
            </w:pPr>
            <w:r>
              <w:rPr>
                <w:rFonts w:ascii="Times New Roman" w:hAnsi="Times New Roman"/>
                <w:b/>
                <w:sz w:val="20"/>
                <w:szCs w:val="20"/>
              </w:rPr>
              <w:t>($</w:t>
            </w:r>
            <w:r w:rsidR="00893AFD">
              <w:rPr>
                <w:rFonts w:ascii="Times New Roman" w:hAnsi="Times New Roman"/>
                <w:b/>
                <w:sz w:val="20"/>
                <w:szCs w:val="20"/>
              </w:rPr>
              <w:t>110.22</w:t>
            </w:r>
            <w:r w:rsidR="007E5F47">
              <w:rPr>
                <w:rFonts w:ascii="Times New Roman" w:hAnsi="Times New Roman"/>
                <w:b/>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7D9B4695" w14:textId="6971A575">
            <w:pPr>
              <w:spacing w:after="0" w:line="240" w:lineRule="auto"/>
              <w:jc w:val="right"/>
              <w:rPr>
                <w:rFonts w:ascii="Times New Roman" w:hAnsi="Times New Roman"/>
                <w:b/>
                <w:sz w:val="20"/>
                <w:szCs w:val="20"/>
              </w:rPr>
            </w:pPr>
            <w:r>
              <w:rPr>
                <w:rFonts w:ascii="Times New Roman" w:hAnsi="Times New Roman"/>
                <w:b/>
                <w:sz w:val="20"/>
                <w:szCs w:val="20"/>
              </w:rPr>
              <w:t>($</w:t>
            </w:r>
            <w:r w:rsidR="00893AFD">
              <w:rPr>
                <w:rFonts w:ascii="Times New Roman" w:hAnsi="Times New Roman"/>
                <w:b/>
                <w:sz w:val="20"/>
                <w:szCs w:val="20"/>
              </w:rPr>
              <w:t>174.12</w:t>
            </w:r>
            <w:r w:rsidR="007E5F47">
              <w:rPr>
                <w:rFonts w:ascii="Times New Roman" w:hAnsi="Times New Roman"/>
                <w:b/>
                <w:sz w:val="20"/>
                <w:szCs w:val="20"/>
              </w:rPr>
              <w:t>)</w:t>
            </w:r>
          </w:p>
        </w:tc>
        <w:tc>
          <w:tcPr>
            <w:tcW w:w="625" w:type="pct"/>
            <w:tcBorders>
              <w:top w:val="nil"/>
              <w:left w:val="nil"/>
              <w:bottom w:val="single" w:sz="4" w:space="0" w:color="auto"/>
              <w:right w:val="single" w:sz="4" w:space="0" w:color="auto"/>
            </w:tcBorders>
            <w:shd w:val="clear" w:color="auto" w:fill="auto"/>
            <w:noWrap/>
            <w:vAlign w:val="center"/>
          </w:tcPr>
          <w:p w:rsidR="00CF03DB" w:rsidRPr="009304B8" w:rsidP="00D37C6D" w14:paraId="48EFC075" w14:textId="797B290E">
            <w:pPr>
              <w:spacing w:after="0" w:line="240" w:lineRule="auto"/>
              <w:jc w:val="right"/>
              <w:rPr>
                <w:rFonts w:ascii="Times New Roman" w:hAnsi="Times New Roman"/>
                <w:b/>
                <w:sz w:val="20"/>
                <w:szCs w:val="20"/>
              </w:rPr>
            </w:pPr>
            <w:r>
              <w:rPr>
                <w:rFonts w:ascii="Times New Roman" w:hAnsi="Times New Roman"/>
                <w:b/>
                <w:sz w:val="20"/>
                <w:szCs w:val="20"/>
              </w:rPr>
              <w:t>($</w:t>
            </w:r>
            <w:r w:rsidR="00893AFD">
              <w:rPr>
                <w:rFonts w:ascii="Times New Roman" w:hAnsi="Times New Roman"/>
                <w:b/>
                <w:sz w:val="20"/>
                <w:szCs w:val="20"/>
              </w:rPr>
              <w:t>301.91</w:t>
            </w:r>
            <w:r w:rsidR="007E5F47">
              <w:rPr>
                <w:rFonts w:ascii="Times New Roman" w:hAnsi="Times New Roman"/>
                <w:b/>
                <w:sz w:val="20"/>
                <w:szCs w:val="20"/>
              </w:rPr>
              <w:t>)</w:t>
            </w:r>
          </w:p>
        </w:tc>
      </w:tr>
    </w:tbl>
    <w:p w:rsidR="00CF03DB" w:rsidRPr="009304B8" w:rsidP="00CF03DB" w14:paraId="2C88BA5C" w14:textId="77777777">
      <w:pPr>
        <w:spacing w:line="480" w:lineRule="auto"/>
        <w:jc w:val="both"/>
        <w:rPr>
          <w:rFonts w:ascii="Times New Roman" w:hAnsi="Times New Roman"/>
          <w:iCs/>
          <w:sz w:val="20"/>
          <w:szCs w:val="20"/>
        </w:rPr>
      </w:pPr>
      <w:r w:rsidRPr="009304B8">
        <w:rPr>
          <w:rFonts w:ascii="Times New Roman" w:hAnsi="Times New Roman"/>
          <w:iCs/>
          <w:sz w:val="20"/>
          <w:szCs w:val="20"/>
        </w:rPr>
        <w:t>*NAICS 622110, “General Medical and Surgical Hospitals”</w:t>
      </w:r>
    </w:p>
    <w:p w:rsidR="00CF03DB" w:rsidP="00CF03DB" w14:paraId="146218CB" w14:textId="77777777">
      <w:pPr>
        <w:spacing w:after="0" w:line="240" w:lineRule="auto"/>
        <w:ind w:left="101" w:right="58"/>
        <w:rPr>
          <w:rFonts w:ascii="Times New Roman" w:hAnsi="Times New Roman"/>
          <w:sz w:val="24"/>
          <w:szCs w:val="24"/>
        </w:rPr>
      </w:pPr>
    </w:p>
    <w:p w:rsidR="00F970DF" w:rsidP="00CF03DB" w14:paraId="7137D87A" w14:textId="77777777">
      <w:pPr>
        <w:spacing w:after="0" w:line="240" w:lineRule="auto"/>
        <w:ind w:left="101" w:right="58"/>
        <w:rPr>
          <w:rFonts w:ascii="Times New Roman" w:hAnsi="Times New Roman"/>
          <w:sz w:val="24"/>
          <w:szCs w:val="24"/>
        </w:rPr>
      </w:pPr>
    </w:p>
    <w:p w:rsidR="00F970DF" w:rsidRPr="00256DC4" w:rsidP="00CF03DB" w14:paraId="610E8B65" w14:textId="77777777">
      <w:pPr>
        <w:spacing w:after="0" w:line="240" w:lineRule="auto"/>
        <w:ind w:left="101" w:right="58"/>
        <w:rPr>
          <w:rFonts w:ascii="Times New Roman" w:hAnsi="Times New Roman"/>
          <w:sz w:val="24"/>
          <w:szCs w:val="24"/>
        </w:rPr>
      </w:pPr>
    </w:p>
    <w:p w:rsidR="00CF03DB" w:rsidP="00CF03DB" w14:paraId="125DCE29" w14:textId="77777777">
      <w:pPr>
        <w:spacing w:after="0" w:line="480" w:lineRule="auto"/>
        <w:contextualSpacing/>
        <w:jc w:val="center"/>
        <w:rPr>
          <w:rFonts w:ascii="Times New Roman" w:eastAsia="Times New Roman" w:hAnsi="Times New Roman"/>
          <w:position w:val="-1"/>
          <w:sz w:val="24"/>
          <w:szCs w:val="24"/>
        </w:rPr>
      </w:pPr>
      <w:r>
        <w:rPr>
          <w:rFonts w:ascii="Times New Roman" w:hAnsi="Times New Roman"/>
          <w:sz w:val="24"/>
          <w:szCs w:val="24"/>
        </w:rPr>
        <w:t>III</w:t>
      </w:r>
      <w:r>
        <w:rPr>
          <w:rFonts w:ascii="Times New Roman" w:eastAsia="Times New Roman" w:hAnsi="Times New Roman"/>
          <w:position w:val="-1"/>
          <w:sz w:val="24"/>
          <w:szCs w:val="24"/>
        </w:rPr>
        <w:t>. References</w:t>
      </w:r>
    </w:p>
    <w:p w:rsidR="00CF03DB" w:rsidP="00CF03DB" w14:paraId="33BAA707" w14:textId="77777777">
      <w:pPr>
        <w:spacing w:after="0" w:line="480" w:lineRule="auto"/>
        <w:ind w:firstLine="720"/>
        <w:contextualSpacing/>
        <w:rPr>
          <w:rFonts w:ascii="Times New Roman" w:eastAsia="Times New Roman" w:hAnsi="Times New Roman"/>
          <w:position w:val="-1"/>
          <w:sz w:val="24"/>
          <w:szCs w:val="24"/>
        </w:rPr>
      </w:pPr>
      <w:r>
        <w:rPr>
          <w:rFonts w:ascii="Times New Roman" w:eastAsia="Times New Roman" w:hAnsi="Times New Roman"/>
          <w:position w:val="-1"/>
          <w:sz w:val="24"/>
          <w:szCs w:val="24"/>
        </w:rPr>
        <w:t xml:space="preserve">The following references are on display in the Dockets Management Staff (see ADDRESSES) and are available for viewing by interested persons between 9 a.m. and 4 p.m., Monday through Friday; they are also available electronically at </w:t>
      </w:r>
      <w:hyperlink r:id="rId9" w:history="1">
        <w:r>
          <w:rPr>
            <w:rStyle w:val="Hyperlink"/>
            <w:rFonts w:ascii="Times New Roman" w:eastAsia="Times New Roman" w:hAnsi="Times New Roman"/>
            <w:position w:val="-1"/>
            <w:sz w:val="24"/>
            <w:szCs w:val="24"/>
          </w:rPr>
          <w:t>https://www.regulations.gov</w:t>
        </w:r>
      </w:hyperlink>
      <w:r>
        <w:rPr>
          <w:rFonts w:ascii="Times New Roman" w:eastAsia="Times New Roman" w:hAnsi="Times New Roman"/>
          <w:position w:val="-1"/>
          <w:sz w:val="24"/>
          <w:szCs w:val="24"/>
        </w:rPr>
        <w:t xml:space="preserve">.  FDA has verified the website addresses, as of the date this document publishes in the </w:t>
      </w:r>
      <w:r>
        <w:rPr>
          <w:rFonts w:ascii="Times New Roman" w:eastAsia="Times New Roman" w:hAnsi="Times New Roman"/>
          <w:i/>
          <w:position w:val="-1"/>
          <w:sz w:val="24"/>
          <w:szCs w:val="24"/>
        </w:rPr>
        <w:t>Federal Register</w:t>
      </w:r>
      <w:r>
        <w:rPr>
          <w:rFonts w:ascii="Times New Roman" w:eastAsia="Times New Roman" w:hAnsi="Times New Roman"/>
          <w:position w:val="-1"/>
          <w:sz w:val="24"/>
          <w:szCs w:val="24"/>
        </w:rPr>
        <w:t>, but websites are subject to change over time.</w:t>
      </w:r>
    </w:p>
    <w:p w:rsidR="00760F2A" w:rsidP="00760F2A" w14:paraId="1B146E10" w14:textId="05E7D96C">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eastAsia="Times New Roman" w:hAnsi="Times New Roman"/>
          <w:bCs/>
          <w:sz w:val="24"/>
          <w:szCs w:val="24"/>
        </w:rPr>
        <w:t xml:space="preserve">U.S. Department of Health </w:t>
      </w:r>
      <w:r w:rsidR="008901E7">
        <w:rPr>
          <w:rFonts w:ascii="Times New Roman" w:eastAsia="Times New Roman" w:hAnsi="Times New Roman"/>
          <w:bCs/>
          <w:sz w:val="24"/>
          <w:szCs w:val="24"/>
        </w:rPr>
        <w:t xml:space="preserve">and </w:t>
      </w:r>
      <w:r>
        <w:rPr>
          <w:rFonts w:ascii="Times New Roman" w:eastAsia="Times New Roman" w:hAnsi="Times New Roman"/>
          <w:bCs/>
          <w:sz w:val="24"/>
          <w:szCs w:val="24"/>
        </w:rPr>
        <w:t xml:space="preserve">Human Services, “Office for Human Research Protections (OHRP) Database for Registered IORGs &amp; IRBs, Approved FWAs, and Documents Received in Last 60 Days”, available at: </w:t>
      </w:r>
      <w:hyperlink r:id="rId10" w:history="1">
        <w:r w:rsidRPr="00E91C28">
          <w:rPr>
            <w:rStyle w:val="Hyperlink"/>
            <w:rFonts w:ascii="Times New Roman" w:eastAsia="Times New Roman" w:hAnsi="Times New Roman"/>
            <w:bCs/>
            <w:sz w:val="24"/>
            <w:szCs w:val="24"/>
          </w:rPr>
          <w:t>https://ohrp.cit.nih.gov</w:t>
        </w:r>
      </w:hyperlink>
      <w:r>
        <w:rPr>
          <w:rFonts w:ascii="Times New Roman" w:eastAsia="Times New Roman" w:hAnsi="Times New Roman"/>
          <w:bCs/>
          <w:sz w:val="24"/>
          <w:szCs w:val="24"/>
        </w:rPr>
        <w:t xml:space="preserve">, accessed </w:t>
      </w:r>
      <w:r w:rsidR="00505C2E">
        <w:rPr>
          <w:rFonts w:ascii="Times New Roman" w:eastAsia="Times New Roman" w:hAnsi="Times New Roman"/>
          <w:bCs/>
          <w:sz w:val="24"/>
          <w:szCs w:val="24"/>
        </w:rPr>
        <w:t>May 12</w:t>
      </w:r>
      <w:r w:rsidR="004862C5">
        <w:rPr>
          <w:rFonts w:ascii="Times New Roman" w:eastAsia="Times New Roman" w:hAnsi="Times New Roman"/>
          <w:bCs/>
          <w:sz w:val="24"/>
          <w:szCs w:val="24"/>
        </w:rPr>
        <w:t>,</w:t>
      </w:r>
      <w:r>
        <w:rPr>
          <w:rFonts w:ascii="Times New Roman" w:eastAsia="Times New Roman" w:hAnsi="Times New Roman"/>
          <w:bCs/>
          <w:sz w:val="24"/>
          <w:szCs w:val="24"/>
        </w:rPr>
        <w:t xml:space="preserve"> 2023.</w:t>
      </w:r>
    </w:p>
    <w:p w:rsidR="00191ED7" w:rsidP="00191ED7" w14:paraId="6C1A9D26" w14:textId="6F721C73">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hAnsi="Times New Roman"/>
          <w:sz w:val="24"/>
          <w:szCs w:val="24"/>
        </w:rPr>
        <w:t xml:space="preserve">U.S. </w:t>
      </w:r>
      <w:r w:rsidRPr="003B088B">
        <w:rPr>
          <w:rFonts w:ascii="Times New Roman" w:hAnsi="Times New Roman"/>
          <w:sz w:val="24"/>
          <w:szCs w:val="24"/>
        </w:rPr>
        <w:t>Department of Health and Human Services, “Guide</w:t>
      </w:r>
      <w:r w:rsidRPr="00E21BA6">
        <w:rPr>
          <w:rFonts w:ascii="Times New Roman" w:hAnsi="Times New Roman"/>
          <w:sz w:val="24"/>
          <w:szCs w:val="24"/>
        </w:rPr>
        <w:t>lines for Regulatory Impact Analysis”</w:t>
      </w:r>
      <w:r>
        <w:rPr>
          <w:rFonts w:ascii="Times New Roman" w:hAnsi="Times New Roman"/>
          <w:sz w:val="24"/>
          <w:szCs w:val="24"/>
        </w:rPr>
        <w:t xml:space="preserve">, </w:t>
      </w:r>
      <w:r w:rsidRPr="00E21BA6">
        <w:rPr>
          <w:rFonts w:ascii="Times New Roman" w:hAnsi="Times New Roman"/>
          <w:sz w:val="24"/>
          <w:szCs w:val="24"/>
        </w:rPr>
        <w:t xml:space="preserve">2016, available at: </w:t>
      </w:r>
      <w:hyperlink r:id="rId11" w:history="1">
        <w:r w:rsidRPr="00E21BA6">
          <w:rPr>
            <w:rStyle w:val="Hyperlink"/>
            <w:rFonts w:ascii="Times New Roman" w:hAnsi="Times New Roman"/>
            <w:sz w:val="24"/>
            <w:szCs w:val="24"/>
          </w:rPr>
          <w:t>https://aspe.hhs.gov/reports/guidelines-regulatory-impact-analysis</w:t>
        </w:r>
      </w:hyperlink>
      <w:r w:rsidRPr="003B088B">
        <w:rPr>
          <w:rFonts w:ascii="Times New Roman" w:hAnsi="Times New Roman"/>
          <w:sz w:val="24"/>
          <w:szCs w:val="24"/>
        </w:rPr>
        <w:t xml:space="preserve">, accessed </w:t>
      </w:r>
      <w:r w:rsidR="00505C2E">
        <w:rPr>
          <w:rFonts w:ascii="Times New Roman" w:eastAsia="Times New Roman" w:hAnsi="Times New Roman"/>
          <w:bCs/>
          <w:sz w:val="24"/>
          <w:szCs w:val="24"/>
        </w:rPr>
        <w:t>May 12</w:t>
      </w:r>
      <w:r w:rsidR="004862C5">
        <w:rPr>
          <w:rFonts w:ascii="Times New Roman" w:hAnsi="Times New Roman"/>
          <w:sz w:val="24"/>
          <w:szCs w:val="24"/>
        </w:rPr>
        <w:t>, 2023</w:t>
      </w:r>
      <w:r w:rsidRPr="00E21BA6">
        <w:rPr>
          <w:rFonts w:ascii="Times New Roman" w:hAnsi="Times New Roman"/>
          <w:sz w:val="24"/>
          <w:szCs w:val="24"/>
        </w:rPr>
        <w:t>.</w:t>
      </w:r>
    </w:p>
    <w:p w:rsidR="00CF03DB" w:rsidRPr="00EF7A59" w:rsidP="00191ED7" w14:paraId="1AA690DC" w14:textId="244A53A7">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hAnsi="Times New Roman"/>
          <w:sz w:val="24"/>
          <w:szCs w:val="24"/>
        </w:rPr>
        <w:t xml:space="preserve">U.S </w:t>
      </w:r>
      <w:r w:rsidRPr="00191ED7">
        <w:rPr>
          <w:rFonts w:ascii="Times New Roman" w:hAnsi="Times New Roman"/>
          <w:sz w:val="24"/>
          <w:szCs w:val="24"/>
        </w:rPr>
        <w:t xml:space="preserve">Government Publishing Office, “Federal Policy for the Protection of Human Subjects”, 82 FR 7149 (January 19, 2017), available at: </w:t>
      </w:r>
      <w:hyperlink r:id="rId12" w:history="1">
        <w:r w:rsidRPr="00191ED7">
          <w:rPr>
            <w:rStyle w:val="Hyperlink"/>
            <w:rFonts w:ascii="Times New Roman" w:hAnsi="Times New Roman"/>
            <w:sz w:val="24"/>
            <w:szCs w:val="24"/>
          </w:rPr>
          <w:t>https://www.gpo.gov/fdsys/pkg/FR-2017-01-19/pdf/2017-01058.pdf</w:t>
        </w:r>
      </w:hyperlink>
      <w:r w:rsidRPr="00191ED7">
        <w:rPr>
          <w:rFonts w:ascii="Times New Roman" w:hAnsi="Times New Roman"/>
          <w:sz w:val="24"/>
          <w:szCs w:val="24"/>
        </w:rPr>
        <w:t xml:space="preserve">, accessed </w:t>
      </w:r>
      <w:r w:rsidR="00505C2E">
        <w:rPr>
          <w:rFonts w:ascii="Times New Roman" w:eastAsia="Times New Roman" w:hAnsi="Times New Roman"/>
          <w:bCs/>
          <w:sz w:val="24"/>
          <w:szCs w:val="24"/>
        </w:rPr>
        <w:t>May 12</w:t>
      </w:r>
      <w:r w:rsidR="004746E5">
        <w:rPr>
          <w:rFonts w:ascii="Times New Roman" w:hAnsi="Times New Roman"/>
          <w:sz w:val="24"/>
          <w:szCs w:val="24"/>
        </w:rPr>
        <w:t>, 2023</w:t>
      </w:r>
      <w:r w:rsidR="00AB5210">
        <w:rPr>
          <w:rFonts w:ascii="Times New Roman" w:hAnsi="Times New Roman"/>
          <w:sz w:val="24"/>
          <w:szCs w:val="24"/>
        </w:rPr>
        <w:t>.</w:t>
      </w:r>
    </w:p>
    <w:p w:rsidR="00CF03DB" w:rsidP="00CF03DB" w14:paraId="51B27119" w14:textId="52780363">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hAnsi="Times New Roman"/>
          <w:sz w:val="24"/>
          <w:szCs w:val="24"/>
        </w:rPr>
        <w:t xml:space="preserve">U.S. Bureau of Labor Statistics, “Occupational Employment and Wages, May 2020, 11-9033 Education Administrators, Postsecondary”, available at: </w:t>
      </w:r>
      <w:hyperlink r:id="rId13" w:history="1">
        <w:r w:rsidRPr="003A68B8">
          <w:rPr>
            <w:rStyle w:val="Hyperlink"/>
            <w:rFonts w:ascii="Times New Roman" w:hAnsi="Times New Roman"/>
            <w:sz w:val="24"/>
            <w:szCs w:val="24"/>
          </w:rPr>
          <w:t>https://www.bls.gov/oes/</w:t>
        </w:r>
        <w:r w:rsidRPr="005177C2">
          <w:rPr>
            <w:rStyle w:val="Hyperlink"/>
            <w:rFonts w:ascii="Times New Roman" w:hAnsi="Times New Roman"/>
            <w:sz w:val="24"/>
            <w:szCs w:val="24"/>
          </w:rPr>
          <w:t>2020/may/oes119033.htm</w:t>
        </w:r>
      </w:hyperlink>
      <w:r>
        <w:rPr>
          <w:rFonts w:ascii="Times New Roman" w:hAnsi="Times New Roman"/>
          <w:sz w:val="24"/>
          <w:szCs w:val="24"/>
        </w:rPr>
        <w:t xml:space="preserve">, accessed </w:t>
      </w:r>
      <w:r w:rsidR="0027677C">
        <w:rPr>
          <w:rFonts w:ascii="Times New Roman" w:eastAsia="Times New Roman" w:hAnsi="Times New Roman"/>
          <w:bCs/>
          <w:sz w:val="24"/>
          <w:szCs w:val="24"/>
        </w:rPr>
        <w:t>May 12</w:t>
      </w:r>
      <w:r>
        <w:rPr>
          <w:rFonts w:ascii="Times New Roman" w:hAnsi="Times New Roman"/>
          <w:sz w:val="24"/>
          <w:szCs w:val="24"/>
        </w:rPr>
        <w:t>, 2023.</w:t>
      </w:r>
    </w:p>
    <w:p w:rsidR="00B623D9" w14:paraId="79E7621D" w14:textId="6126BF02">
      <w:pPr>
        <w:numPr>
          <w:ilvl w:val="0"/>
          <w:numId w:val="10"/>
        </w:numPr>
        <w:tabs>
          <w:tab w:val="right" w:pos="1800"/>
        </w:tabs>
        <w:spacing w:after="0" w:line="480" w:lineRule="auto"/>
        <w:ind w:firstLine="720"/>
        <w:contextualSpacing/>
        <w:rPr>
          <w:rFonts w:ascii="Times New Roman" w:hAnsi="Times New Roman"/>
          <w:sz w:val="24"/>
          <w:szCs w:val="24"/>
        </w:rPr>
      </w:pPr>
      <w:r w:rsidRPr="00B623D9">
        <w:rPr>
          <w:rFonts w:ascii="Times New Roman" w:hAnsi="Times New Roman"/>
          <w:sz w:val="24"/>
          <w:szCs w:val="24"/>
        </w:rPr>
        <w:t xml:space="preserve">U.S. </w:t>
      </w:r>
      <w:r w:rsidRPr="00B623D9" w:rsidR="00CF03DB">
        <w:rPr>
          <w:rFonts w:ascii="Times New Roman" w:hAnsi="Times New Roman"/>
          <w:sz w:val="24"/>
          <w:szCs w:val="24"/>
        </w:rPr>
        <w:t xml:space="preserve">Bureau of Labor Statistics, “Occupational Employment and Wages, May 2020, 43-0000 Office and Administrative Support Occupations (Major Group)”, available at: </w:t>
      </w:r>
      <w:hyperlink r:id="rId14" w:history="1">
        <w:r w:rsidRPr="00B623D9" w:rsidR="00CF03DB">
          <w:rPr>
            <w:rStyle w:val="Hyperlink"/>
            <w:rFonts w:ascii="Times New Roman" w:hAnsi="Times New Roman"/>
            <w:sz w:val="24"/>
            <w:szCs w:val="24"/>
          </w:rPr>
          <w:t>https://www.bls.gov/oes/2020/may/oes430000.htm</w:t>
        </w:r>
      </w:hyperlink>
      <w:r w:rsidRPr="00B623D9" w:rsidR="00CF03DB">
        <w:rPr>
          <w:rFonts w:ascii="Times New Roman" w:hAnsi="Times New Roman"/>
          <w:sz w:val="24"/>
          <w:szCs w:val="24"/>
        </w:rPr>
        <w:t xml:space="preserve">, </w:t>
      </w:r>
      <w:r>
        <w:rPr>
          <w:rFonts w:ascii="Times New Roman" w:hAnsi="Times New Roman"/>
          <w:sz w:val="24"/>
          <w:szCs w:val="24"/>
        </w:rPr>
        <w:t xml:space="preserve">accessed </w:t>
      </w:r>
      <w:r w:rsidR="0027677C">
        <w:rPr>
          <w:rFonts w:ascii="Times New Roman" w:eastAsia="Times New Roman" w:hAnsi="Times New Roman"/>
          <w:bCs/>
          <w:sz w:val="24"/>
          <w:szCs w:val="24"/>
        </w:rPr>
        <w:t>May 12</w:t>
      </w:r>
      <w:r>
        <w:rPr>
          <w:rFonts w:ascii="Times New Roman" w:hAnsi="Times New Roman"/>
          <w:sz w:val="24"/>
          <w:szCs w:val="24"/>
        </w:rPr>
        <w:t>, 2023.</w:t>
      </w:r>
    </w:p>
    <w:p w:rsidR="00CF03DB" w:rsidRPr="00591533" w:rsidP="00591533" w14:paraId="179728B0" w14:textId="4CBA1B72">
      <w:pPr>
        <w:numPr>
          <w:ilvl w:val="0"/>
          <w:numId w:val="10"/>
        </w:numPr>
        <w:tabs>
          <w:tab w:val="right" w:pos="1800"/>
        </w:tabs>
        <w:spacing w:after="0" w:line="480" w:lineRule="auto"/>
        <w:ind w:firstLine="720"/>
        <w:contextualSpacing/>
        <w:rPr>
          <w:rFonts w:ascii="Times New Roman" w:hAnsi="Times New Roman"/>
          <w:sz w:val="24"/>
          <w:szCs w:val="24"/>
        </w:rPr>
      </w:pPr>
      <w:r w:rsidRPr="00591533">
        <w:rPr>
          <w:rFonts w:ascii="Times New Roman" w:hAnsi="Times New Roman"/>
          <w:sz w:val="24"/>
          <w:szCs w:val="24"/>
        </w:rPr>
        <w:t>U.S. Bureau of Labor Statistics, “Occupational Employment and Wage</w:t>
      </w:r>
      <w:r w:rsidRPr="00591533" w:rsidR="00A312C4">
        <w:rPr>
          <w:rFonts w:ascii="Times New Roman" w:hAnsi="Times New Roman"/>
          <w:sz w:val="24"/>
          <w:szCs w:val="24"/>
        </w:rPr>
        <w:t>s</w:t>
      </w:r>
      <w:r w:rsidRPr="00591533">
        <w:rPr>
          <w:rFonts w:ascii="Times New Roman" w:hAnsi="Times New Roman"/>
          <w:sz w:val="24"/>
          <w:szCs w:val="24"/>
        </w:rPr>
        <w:t>, May 2020</w:t>
      </w:r>
      <w:r w:rsidRPr="00591533" w:rsidR="00DD51E3">
        <w:rPr>
          <w:rFonts w:ascii="Times New Roman" w:hAnsi="Times New Roman"/>
          <w:sz w:val="24"/>
          <w:szCs w:val="24"/>
        </w:rPr>
        <w:t>,</w:t>
      </w:r>
      <w:r w:rsidRPr="00591533">
        <w:rPr>
          <w:rFonts w:ascii="Times New Roman" w:hAnsi="Times New Roman"/>
          <w:sz w:val="24"/>
          <w:szCs w:val="24"/>
        </w:rPr>
        <w:t xml:space="preserve"> 25-1071 Health Specialties Teachers, Postsecondary”, available at: </w:t>
      </w:r>
      <w:hyperlink r:id="rId15" w:history="1">
        <w:r w:rsidRPr="00591533" w:rsidR="00591533">
          <w:rPr>
            <w:rStyle w:val="Hyperlink"/>
            <w:rFonts w:ascii="Times New Roman" w:hAnsi="Times New Roman"/>
            <w:sz w:val="24"/>
            <w:szCs w:val="24"/>
          </w:rPr>
          <w:t>https://www.bls.gov/oes/2020/may/oes251071.htm</w:t>
        </w:r>
      </w:hyperlink>
      <w:r w:rsidRPr="00591533">
        <w:rPr>
          <w:rFonts w:ascii="Times New Roman" w:hAnsi="Times New Roman"/>
          <w:sz w:val="24"/>
          <w:szCs w:val="24"/>
        </w:rPr>
        <w:t xml:space="preserve">, accessed </w:t>
      </w:r>
      <w:r w:rsidR="0027677C">
        <w:rPr>
          <w:rFonts w:ascii="Times New Roman" w:eastAsia="Times New Roman" w:hAnsi="Times New Roman"/>
          <w:bCs/>
          <w:sz w:val="24"/>
          <w:szCs w:val="24"/>
        </w:rPr>
        <w:t>May 12</w:t>
      </w:r>
      <w:r w:rsidRPr="00591533">
        <w:rPr>
          <w:rFonts w:ascii="Times New Roman" w:hAnsi="Times New Roman"/>
          <w:sz w:val="24"/>
          <w:szCs w:val="24"/>
        </w:rPr>
        <w:t>, 2023.</w:t>
      </w:r>
    </w:p>
    <w:p w:rsidR="00B623D9" w:rsidRPr="00426CBE" w:rsidP="00426CBE" w14:paraId="05FB7369" w14:textId="075AF37E">
      <w:pPr>
        <w:numPr>
          <w:ilvl w:val="0"/>
          <w:numId w:val="10"/>
        </w:numPr>
        <w:tabs>
          <w:tab w:val="right" w:pos="1800"/>
        </w:tabs>
        <w:spacing w:after="0" w:line="480" w:lineRule="auto"/>
        <w:ind w:firstLine="720"/>
        <w:contextualSpacing/>
        <w:rPr>
          <w:rFonts w:ascii="Times New Roman" w:hAnsi="Times New Roman"/>
          <w:sz w:val="24"/>
          <w:szCs w:val="24"/>
        </w:rPr>
      </w:pPr>
      <w:r w:rsidRPr="00426CBE">
        <w:rPr>
          <w:rFonts w:ascii="Times New Roman" w:hAnsi="Times New Roman"/>
          <w:sz w:val="24"/>
          <w:szCs w:val="24"/>
        </w:rPr>
        <w:t xml:space="preserve">U.S. </w:t>
      </w:r>
      <w:r w:rsidRPr="00426CBE" w:rsidR="00CF03DB">
        <w:rPr>
          <w:rFonts w:ascii="Times New Roman" w:hAnsi="Times New Roman"/>
          <w:sz w:val="24"/>
          <w:szCs w:val="24"/>
        </w:rPr>
        <w:t>Bureau of Labor Statistics, “Occupational Employment and Wage</w:t>
      </w:r>
      <w:r w:rsidRPr="00426CBE" w:rsidR="00C72A85">
        <w:rPr>
          <w:rFonts w:ascii="Times New Roman" w:hAnsi="Times New Roman"/>
          <w:sz w:val="24"/>
          <w:szCs w:val="24"/>
        </w:rPr>
        <w:t>s, May 2020</w:t>
      </w:r>
      <w:r w:rsidR="00DD51E3">
        <w:rPr>
          <w:rFonts w:ascii="Times New Roman" w:hAnsi="Times New Roman"/>
          <w:sz w:val="24"/>
          <w:szCs w:val="24"/>
        </w:rPr>
        <w:t>,</w:t>
      </w:r>
      <w:r w:rsidRPr="00426CBE" w:rsidR="00CF03DB">
        <w:rPr>
          <w:rFonts w:ascii="Times New Roman" w:hAnsi="Times New Roman"/>
          <w:sz w:val="24"/>
          <w:szCs w:val="24"/>
        </w:rPr>
        <w:t xml:space="preserve"> 29-</w:t>
      </w:r>
      <w:r w:rsidRPr="00AE6B20" w:rsidR="00AE6B20">
        <w:rPr>
          <w:rFonts w:ascii="Times New Roman" w:hAnsi="Times New Roman"/>
          <w:sz w:val="24"/>
          <w:szCs w:val="24"/>
        </w:rPr>
        <w:t>1228 Physicians, All Other; and Ophthalmologists, Except Pediatric</w:t>
      </w:r>
      <w:r w:rsidRPr="00426CBE" w:rsidR="00CF03DB">
        <w:rPr>
          <w:rFonts w:ascii="Times New Roman" w:hAnsi="Times New Roman"/>
          <w:sz w:val="24"/>
          <w:szCs w:val="24"/>
        </w:rPr>
        <w:t>,” available at:</w:t>
      </w:r>
      <w:r w:rsidRPr="001C507C" w:rsidR="00CF03DB">
        <w:t xml:space="preserve"> </w:t>
      </w:r>
      <w:hyperlink r:id="rId16" w:history="1">
        <w:r w:rsidRPr="00B63F42" w:rsidR="00B63F42">
          <w:rPr>
            <w:rStyle w:val="Hyperlink"/>
            <w:rFonts w:ascii="Times New Roman" w:hAnsi="Times New Roman"/>
            <w:sz w:val="24"/>
            <w:szCs w:val="24"/>
          </w:rPr>
          <w:t>https://www.bls.gov/oes/2020/may/oes291228.htm</w:t>
        </w:r>
      </w:hyperlink>
      <w:r w:rsidRPr="00426CBE" w:rsidR="00CF03DB">
        <w:rPr>
          <w:rFonts w:ascii="Times New Roman" w:hAnsi="Times New Roman"/>
          <w:sz w:val="24"/>
          <w:szCs w:val="24"/>
        </w:rPr>
        <w:t xml:space="preserve">, </w:t>
      </w:r>
      <w:r w:rsidRPr="00426CBE">
        <w:rPr>
          <w:rFonts w:ascii="Times New Roman" w:hAnsi="Times New Roman"/>
          <w:sz w:val="24"/>
          <w:szCs w:val="24"/>
        </w:rPr>
        <w:t xml:space="preserve">accessed </w:t>
      </w:r>
      <w:r w:rsidR="0027677C">
        <w:rPr>
          <w:rFonts w:ascii="Times New Roman" w:eastAsia="Times New Roman" w:hAnsi="Times New Roman"/>
          <w:bCs/>
          <w:sz w:val="24"/>
          <w:szCs w:val="24"/>
        </w:rPr>
        <w:t>May 12</w:t>
      </w:r>
      <w:r w:rsidRPr="00426CBE">
        <w:rPr>
          <w:rFonts w:ascii="Times New Roman" w:hAnsi="Times New Roman"/>
          <w:sz w:val="24"/>
          <w:szCs w:val="24"/>
        </w:rPr>
        <w:t>, 2023.</w:t>
      </w:r>
    </w:p>
    <w:p w:rsidR="0052361C" w:rsidP="00CF03DB" w14:paraId="75573DCC" w14:textId="3019CE4E">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hAnsi="Times New Roman"/>
          <w:sz w:val="24"/>
          <w:szCs w:val="24"/>
        </w:rPr>
        <w:t>U.S. Bureau of Labor Statistics,</w:t>
      </w:r>
      <w:r w:rsidR="00726C41">
        <w:rPr>
          <w:rFonts w:ascii="Times New Roman" w:hAnsi="Times New Roman"/>
          <w:sz w:val="24"/>
          <w:szCs w:val="24"/>
        </w:rPr>
        <w:t xml:space="preserve"> “</w:t>
      </w:r>
      <w:r w:rsidR="00D76285">
        <w:rPr>
          <w:rFonts w:ascii="Times New Roman" w:hAnsi="Times New Roman"/>
          <w:sz w:val="24"/>
          <w:szCs w:val="24"/>
        </w:rPr>
        <w:t>Occupational Employment and Wages, May 2020</w:t>
      </w:r>
      <w:r w:rsidR="00DD51E3">
        <w:rPr>
          <w:rFonts w:ascii="Times New Roman" w:hAnsi="Times New Roman"/>
          <w:sz w:val="24"/>
          <w:szCs w:val="24"/>
        </w:rPr>
        <w:t>,</w:t>
      </w:r>
      <w:r w:rsidR="00D76285">
        <w:rPr>
          <w:rFonts w:ascii="Times New Roman" w:hAnsi="Times New Roman"/>
          <w:sz w:val="24"/>
          <w:szCs w:val="24"/>
        </w:rPr>
        <w:t xml:space="preserve"> 19-1099 Life Scientists, All Other”, available at: </w:t>
      </w:r>
      <w:hyperlink r:id="rId17" w:history="1">
        <w:r w:rsidRPr="00216958" w:rsidR="00D76285">
          <w:rPr>
            <w:rStyle w:val="Hyperlink"/>
            <w:rFonts w:ascii="Times New Roman" w:hAnsi="Times New Roman"/>
            <w:sz w:val="24"/>
            <w:szCs w:val="24"/>
          </w:rPr>
          <w:t>https://www.bls.gov/oes/2020/may/oes191099.htm</w:t>
        </w:r>
      </w:hyperlink>
      <w:r w:rsidR="00D76285">
        <w:rPr>
          <w:rFonts w:ascii="Times New Roman" w:hAnsi="Times New Roman"/>
          <w:sz w:val="24"/>
          <w:szCs w:val="24"/>
        </w:rPr>
        <w:t xml:space="preserve">, accessed </w:t>
      </w:r>
      <w:r w:rsidR="0027677C">
        <w:rPr>
          <w:rFonts w:ascii="Times New Roman" w:eastAsia="Times New Roman" w:hAnsi="Times New Roman"/>
          <w:bCs/>
          <w:sz w:val="24"/>
          <w:szCs w:val="24"/>
        </w:rPr>
        <w:t>May 12</w:t>
      </w:r>
      <w:r w:rsidR="00D76285">
        <w:rPr>
          <w:rFonts w:ascii="Times New Roman" w:hAnsi="Times New Roman"/>
          <w:sz w:val="24"/>
          <w:szCs w:val="24"/>
        </w:rPr>
        <w:t>, 2023.</w:t>
      </w:r>
    </w:p>
    <w:p w:rsidR="00A1009E" w:rsidP="00CF03DB" w14:paraId="653781CF" w14:textId="4439C45E">
      <w:pPr>
        <w:numPr>
          <w:ilvl w:val="0"/>
          <w:numId w:val="10"/>
        </w:numPr>
        <w:tabs>
          <w:tab w:val="right" w:pos="1800"/>
        </w:tabs>
        <w:spacing w:after="0" w:line="480" w:lineRule="auto"/>
        <w:ind w:firstLine="720"/>
        <w:contextualSpacing/>
        <w:rPr>
          <w:rFonts w:ascii="Times New Roman" w:hAnsi="Times New Roman"/>
          <w:sz w:val="24"/>
          <w:szCs w:val="24"/>
        </w:rPr>
      </w:pPr>
      <w:r w:rsidRPr="00A1009E">
        <w:rPr>
          <w:rFonts w:ascii="Times New Roman" w:hAnsi="Times New Roman"/>
          <w:sz w:val="24"/>
          <w:szCs w:val="24"/>
        </w:rPr>
        <w:t>Memorandum to File, FDA staff meeting on the Institutional Review Board Waiver or Alteration of Informed Consent for Minimal Risk Clinical Investigations rulemaking, prepared by Christian Brown, FDA, September 20, 2017, addendum August 20, 2018.</w:t>
      </w:r>
    </w:p>
    <w:p w:rsidR="006D4DEF" w:rsidRPr="0000117B" w:rsidP="00CF03DB" w14:paraId="748B1CD4" w14:textId="66FAE3C6">
      <w:pPr>
        <w:numPr>
          <w:ilvl w:val="0"/>
          <w:numId w:val="10"/>
        </w:numPr>
        <w:tabs>
          <w:tab w:val="right" w:pos="1800"/>
        </w:tabs>
        <w:spacing w:after="0" w:line="480" w:lineRule="auto"/>
        <w:ind w:firstLine="720"/>
        <w:contextualSpacing/>
        <w:rPr>
          <w:rFonts w:ascii="Times New Roman" w:hAnsi="Times New Roman"/>
          <w:color w:val="FF0000"/>
          <w:sz w:val="24"/>
          <w:szCs w:val="24"/>
        </w:rPr>
      </w:pPr>
      <w:r w:rsidRPr="006B473C">
        <w:rPr>
          <w:rFonts w:ascii="Times New Roman" w:hAnsi="Times New Roman"/>
          <w:sz w:val="24"/>
          <w:szCs w:val="24"/>
        </w:rPr>
        <w:t>S</w:t>
      </w:r>
      <w:r w:rsidRPr="006B473C">
        <w:rPr>
          <w:rFonts w:ascii="Times New Roman" w:hAnsi="Times New Roman"/>
          <w:sz w:val="24"/>
          <w:szCs w:val="24"/>
        </w:rPr>
        <w:t xml:space="preserve">ACHRP, Recommendation to the Secretary of HHS, “Recommendations on </w:t>
      </w:r>
      <w:r w:rsidRPr="006B473C" w:rsidR="00174461">
        <w:rPr>
          <w:rFonts w:ascii="Times New Roman" w:hAnsi="Times New Roman"/>
          <w:sz w:val="24"/>
          <w:szCs w:val="24"/>
        </w:rPr>
        <w:t>Regulatory Issues in Cluster Randomized Studies</w:t>
      </w:r>
      <w:r w:rsidRPr="006B473C">
        <w:rPr>
          <w:rFonts w:ascii="Times New Roman" w:hAnsi="Times New Roman"/>
          <w:sz w:val="24"/>
          <w:szCs w:val="24"/>
        </w:rPr>
        <w:t>” (</w:t>
      </w:r>
      <w:r w:rsidRPr="006B473C" w:rsidR="005E1D99">
        <w:rPr>
          <w:rFonts w:ascii="Times New Roman" w:hAnsi="Times New Roman"/>
          <w:sz w:val="24"/>
          <w:szCs w:val="24"/>
        </w:rPr>
        <w:t>October 26, 2016</w:t>
      </w:r>
      <w:r w:rsidRPr="006B473C">
        <w:rPr>
          <w:rFonts w:ascii="Times New Roman" w:hAnsi="Times New Roman"/>
          <w:sz w:val="24"/>
          <w:szCs w:val="24"/>
        </w:rPr>
        <w:t xml:space="preserve">).  </w:t>
      </w:r>
      <w:r w:rsidRPr="006B473C" w:rsidR="005E1D99">
        <w:rPr>
          <w:rFonts w:ascii="Times New Roman" w:hAnsi="Times New Roman"/>
          <w:sz w:val="24"/>
          <w:szCs w:val="24"/>
        </w:rPr>
        <w:t xml:space="preserve">Available at: </w:t>
      </w:r>
      <w:hyperlink r:id="rId18" w:history="1">
        <w:r w:rsidRPr="006E1BBB" w:rsidR="005E1D99">
          <w:rPr>
            <w:rStyle w:val="Hyperlink"/>
            <w:rFonts w:ascii="Times New Roman" w:hAnsi="Times New Roman"/>
            <w:sz w:val="24"/>
            <w:szCs w:val="24"/>
          </w:rPr>
          <w:t>https://www.hhs.gov/ohrp/sachrp-committee/recommendations/attachment-b-november-2-2016-letter/index.html</w:t>
        </w:r>
      </w:hyperlink>
      <w:r w:rsidRPr="006B473C" w:rsidR="005E1D99">
        <w:rPr>
          <w:rFonts w:ascii="Times New Roman" w:hAnsi="Times New Roman"/>
          <w:sz w:val="24"/>
          <w:szCs w:val="24"/>
        </w:rPr>
        <w:t xml:space="preserve">. Accessed on </w:t>
      </w:r>
      <w:r w:rsidRPr="006B473C" w:rsidR="0000117B">
        <w:rPr>
          <w:rFonts w:ascii="Times New Roman" w:hAnsi="Times New Roman"/>
          <w:sz w:val="24"/>
          <w:szCs w:val="24"/>
        </w:rPr>
        <w:t>October 5, 2023.</w:t>
      </w:r>
    </w:p>
    <w:p w:rsidR="00410840" w:rsidP="00CF03DB" w14:paraId="196BC532" w14:textId="1BAEB3D5">
      <w:pPr>
        <w:numPr>
          <w:ilvl w:val="0"/>
          <w:numId w:val="10"/>
        </w:numPr>
        <w:tabs>
          <w:tab w:val="right" w:pos="1800"/>
        </w:tabs>
        <w:spacing w:after="0" w:line="480" w:lineRule="auto"/>
        <w:ind w:firstLine="720"/>
        <w:contextualSpacing/>
        <w:rPr>
          <w:rFonts w:ascii="Times New Roman" w:hAnsi="Times New Roman"/>
          <w:sz w:val="24"/>
          <w:szCs w:val="24"/>
        </w:rPr>
      </w:pPr>
      <w:r>
        <w:rPr>
          <w:rFonts w:ascii="Times New Roman" w:hAnsi="Times New Roman"/>
          <w:sz w:val="24"/>
          <w:szCs w:val="24"/>
        </w:rPr>
        <w:t xml:space="preserve">North American Industry Classification System (NAICS), U.S. Census Bureau, “General Medical and Surgical Hospitals NAICS Code 622110”, available at: </w:t>
      </w:r>
      <w:hyperlink r:id="rId19" w:history="1">
        <w:r w:rsidRPr="008C3B7B">
          <w:rPr>
            <w:rStyle w:val="Hyperlink"/>
            <w:rFonts w:ascii="Times New Roman" w:hAnsi="Times New Roman"/>
            <w:sz w:val="24"/>
            <w:szCs w:val="24"/>
          </w:rPr>
          <w:t>https://www.census.gov/naics/?input=622110&amp;year=2017&amp;details=622110</w:t>
        </w:r>
      </w:hyperlink>
      <w:r>
        <w:rPr>
          <w:rFonts w:ascii="Times New Roman" w:hAnsi="Times New Roman"/>
          <w:sz w:val="24"/>
          <w:szCs w:val="24"/>
        </w:rPr>
        <w:t xml:space="preserve">, accessed </w:t>
      </w:r>
      <w:r w:rsidR="002A5D67">
        <w:rPr>
          <w:rFonts w:ascii="Times New Roman" w:eastAsia="Times New Roman" w:hAnsi="Times New Roman"/>
          <w:bCs/>
          <w:sz w:val="24"/>
          <w:szCs w:val="24"/>
        </w:rPr>
        <w:t>May 12, 2023</w:t>
      </w:r>
      <w:r>
        <w:rPr>
          <w:rFonts w:ascii="Times New Roman" w:hAnsi="Times New Roman"/>
          <w:sz w:val="24"/>
          <w:szCs w:val="24"/>
        </w:rPr>
        <w:t>.</w:t>
      </w:r>
    </w:p>
    <w:p w:rsidR="00CF03DB" w:rsidRPr="00410840" w:rsidP="00CB71C2" w14:paraId="0A1B267B" w14:textId="5C5F5D48">
      <w:pPr>
        <w:numPr>
          <w:ilvl w:val="0"/>
          <w:numId w:val="10"/>
        </w:numPr>
        <w:tabs>
          <w:tab w:val="right" w:pos="1800"/>
        </w:tabs>
        <w:spacing w:after="0" w:line="480" w:lineRule="auto"/>
        <w:ind w:firstLine="720"/>
        <w:contextualSpacing/>
        <w:rPr>
          <w:rFonts w:ascii="Times New Roman" w:hAnsi="Times New Roman"/>
          <w:sz w:val="24"/>
          <w:szCs w:val="24"/>
        </w:rPr>
      </w:pPr>
      <w:r w:rsidRPr="00410840">
        <w:rPr>
          <w:rFonts w:ascii="Times New Roman" w:hAnsi="Times New Roman"/>
          <w:sz w:val="24"/>
          <w:szCs w:val="24"/>
        </w:rPr>
        <w:t xml:space="preserve">U.S. Small Business Administration, “Table of Small Business Size Standards Matched to North American Industry Classification System Codes”, available at: </w:t>
      </w:r>
      <w:hyperlink r:id="rId20" w:history="1">
        <w:r w:rsidRPr="00410840" w:rsidR="00CA2161">
          <w:rPr>
            <w:rStyle w:val="Hyperlink"/>
            <w:rFonts w:ascii="Times New Roman" w:hAnsi="Times New Roman"/>
            <w:sz w:val="24"/>
            <w:szCs w:val="24"/>
          </w:rPr>
          <w:t>https://www.sba.gov/sites/default/files/2022-05/Table%20of%20Size%20Standards_Effective%20May%202%202022_Final.pdf</w:t>
        </w:r>
      </w:hyperlink>
      <w:r w:rsidRPr="00410840">
        <w:rPr>
          <w:rFonts w:ascii="Times New Roman" w:hAnsi="Times New Roman"/>
          <w:sz w:val="24"/>
          <w:szCs w:val="24"/>
        </w:rPr>
        <w:t xml:space="preserve">, accessed </w:t>
      </w:r>
      <w:r w:rsidR="00410840">
        <w:rPr>
          <w:rFonts w:ascii="Times New Roman" w:hAnsi="Times New Roman"/>
          <w:sz w:val="24"/>
          <w:szCs w:val="24"/>
        </w:rPr>
        <w:t>May 1</w:t>
      </w:r>
      <w:r w:rsidR="002A5D67">
        <w:rPr>
          <w:rFonts w:ascii="Times New Roman" w:hAnsi="Times New Roman"/>
          <w:sz w:val="24"/>
          <w:szCs w:val="24"/>
        </w:rPr>
        <w:t>2</w:t>
      </w:r>
      <w:r w:rsidR="00410840">
        <w:rPr>
          <w:rFonts w:ascii="Times New Roman" w:hAnsi="Times New Roman"/>
          <w:sz w:val="24"/>
          <w:szCs w:val="24"/>
        </w:rPr>
        <w:t>, 2023</w:t>
      </w:r>
      <w:r w:rsidRPr="00410840">
        <w:rPr>
          <w:rFonts w:ascii="Times New Roman" w:hAnsi="Times New Roman"/>
          <w:sz w:val="24"/>
          <w:szCs w:val="24"/>
        </w:rPr>
        <w:t>.</w:t>
      </w:r>
      <w:r w:rsidRPr="00410840" w:rsidR="00296493">
        <w:rPr>
          <w:rFonts w:ascii="Times New Roman" w:hAnsi="Times New Roman"/>
          <w:sz w:val="24"/>
          <w:szCs w:val="24"/>
        </w:rPr>
        <w:t xml:space="preserve"> </w:t>
      </w:r>
    </w:p>
    <w:p w:rsidR="00960AE1" w:rsidP="00CF03DB" w14:paraId="02F70FDF" w14:textId="69562B5F">
      <w:pPr>
        <w:tabs>
          <w:tab w:val="left" w:pos="1332"/>
        </w:tabs>
        <w:spacing w:after="0" w:line="480" w:lineRule="auto"/>
        <w:contextualSpacing/>
        <w:rPr>
          <w:rFonts w:ascii="Times New Roman" w:hAnsi="Times New Roman"/>
          <w:sz w:val="24"/>
          <w:szCs w:val="24"/>
        </w:rPr>
      </w:pPr>
    </w:p>
    <w:sectPr w:rsidSect="00456F2F">
      <w:headerReference w:type="default" r:id="rId21"/>
      <w:headerReference w:type="first" r:id="rId2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691F" w14:paraId="09C96D42" w14:textId="77777777">
      <w:pPr>
        <w:spacing w:after="0" w:line="240" w:lineRule="auto"/>
      </w:pPr>
      <w:r>
        <w:separator/>
      </w:r>
    </w:p>
  </w:footnote>
  <w:footnote w:type="continuationSeparator" w:id="1">
    <w:p w:rsidR="00F5691F" w14:paraId="07987E92" w14:textId="77777777">
      <w:pPr>
        <w:spacing w:after="0" w:line="240" w:lineRule="auto"/>
      </w:pPr>
      <w:r>
        <w:continuationSeparator/>
      </w:r>
    </w:p>
  </w:footnote>
  <w:footnote w:type="continuationNotice" w:id="2">
    <w:p w:rsidR="00F5691F" w14:paraId="26B40844" w14:textId="77777777">
      <w:pPr>
        <w:spacing w:after="0" w:line="240" w:lineRule="auto"/>
      </w:pPr>
    </w:p>
  </w:footnote>
  <w:footnote w:id="3">
    <w:p w:rsidR="00AF7D56" w14:paraId="13B048F4" w14:textId="048E4377">
      <w:pPr>
        <w:pStyle w:val="FootnoteText"/>
      </w:pPr>
      <w:r>
        <w:rPr>
          <w:rStyle w:val="FootnoteReference"/>
        </w:rPr>
        <w:footnoteRef/>
      </w:r>
      <w:r>
        <w:t xml:space="preserve"> </w:t>
      </w:r>
      <w:r w:rsidR="00E90A9B">
        <w:t>These include websites for</w:t>
      </w:r>
      <w:r w:rsidR="00F64F5C">
        <w:t xml:space="preserve"> IRBs at</w:t>
      </w:r>
      <w:r w:rsidR="00E90A9B">
        <w:t xml:space="preserve"> </w:t>
      </w:r>
      <w:r w:rsidR="00E10ABF">
        <w:t>Washington State University (</w:t>
      </w:r>
      <w:r w:rsidR="001073F5">
        <w:t xml:space="preserve">available at: </w:t>
      </w:r>
      <w:hyperlink r:id="rId1" w:history="1">
        <w:r w:rsidRPr="007C55A4" w:rsidR="006E27EF">
          <w:rPr>
            <w:rStyle w:val="Hyperlink"/>
          </w:rPr>
          <w:t>https://irb.wsu.edu/irb-roster-member-responsibilities/</w:t>
        </w:r>
      </w:hyperlink>
      <w:r w:rsidR="006E27EF">
        <w:t>)</w:t>
      </w:r>
      <w:r w:rsidR="00EC7C39">
        <w:t xml:space="preserve">, </w:t>
      </w:r>
      <w:r w:rsidR="00567EDD">
        <w:t xml:space="preserve">University of Iowa (available at: </w:t>
      </w:r>
      <w:hyperlink r:id="rId2" w:history="1">
        <w:r w:rsidRPr="007C55A4" w:rsidR="00567EDD">
          <w:rPr>
            <w:rStyle w:val="Hyperlink"/>
          </w:rPr>
          <w:t>https://hso.research.uiowa.edu/become-irb-member</w:t>
        </w:r>
      </w:hyperlink>
      <w:r w:rsidR="00567EDD">
        <w:t xml:space="preserve">). </w:t>
      </w:r>
      <w:r w:rsidR="00113546">
        <w:t xml:space="preserve">University of Nevada at Reno (available at: </w:t>
      </w:r>
      <w:hyperlink r:id="rId3" w:history="1">
        <w:r w:rsidRPr="007C55A4" w:rsidR="00113546">
          <w:rPr>
            <w:rStyle w:val="Hyperlink"/>
          </w:rPr>
          <w:t>https://www.unr.edu/research-integrity/human-research/human-research-protection-policy-manual/630-irb-meetings</w:t>
        </w:r>
      </w:hyperlink>
      <w:r w:rsidR="00113546">
        <w:t xml:space="preserve">), and </w:t>
      </w:r>
      <w:r w:rsidR="007275C6">
        <w:t xml:space="preserve">University of Pittsburgh (available at: </w:t>
      </w:r>
      <w:hyperlink r:id="rId4" w:history="1">
        <w:r w:rsidRPr="007C55A4" w:rsidR="007275C6">
          <w:rPr>
            <w:rStyle w:val="Hyperlink"/>
          </w:rPr>
          <w:t>https://www.hrpo.pitt.edu/irb-community-member-frequently-asked-questions</w:t>
        </w:r>
      </w:hyperlink>
      <w:r w:rsidR="007275C6">
        <w:t xml:space="preserve">). </w:t>
      </w:r>
      <w:r w:rsidR="00113546">
        <w:t xml:space="preserve"> </w:t>
      </w:r>
      <w:r w:rsidR="00567EDD">
        <w:t xml:space="preserve"> </w:t>
      </w:r>
    </w:p>
  </w:footnote>
  <w:footnote w:id="4">
    <w:p w:rsidR="0036584D" w:rsidP="0036584D" w14:paraId="64E4CDD0" w14:textId="24D1C210">
      <w:pPr>
        <w:pStyle w:val="FootnoteText"/>
        <w:tabs>
          <w:tab w:val="left" w:pos="9180"/>
          <w:tab w:val="left" w:pos="9270"/>
        </w:tabs>
      </w:pPr>
      <w:r>
        <w:rPr>
          <w:rStyle w:val="FootnoteReference"/>
        </w:rPr>
        <w:footnoteRef/>
      </w:r>
      <w:r>
        <w:t xml:space="preserve"> The estimated number of annual studies that may potentially be appropriate for a waiver or alteration of informed consent was estimated by identifying all studies on ClinicalTrials.gov that </w:t>
      </w:r>
      <w:r w:rsidRPr="00971D3D">
        <w:t>reported start</w:t>
      </w:r>
      <w:r w:rsidRPr="00971D3D" w:rsidR="00F64A85">
        <w:t>ing</w:t>
      </w:r>
      <w:r>
        <w:t xml:space="preserve"> in the calendar year 2021, and </w:t>
      </w:r>
      <w:r w:rsidRPr="008D71CD">
        <w:rPr>
          <w:color w:val="auto"/>
        </w:rPr>
        <w:t>exclud</w:t>
      </w:r>
      <w:r>
        <w:rPr>
          <w:color w:val="auto"/>
        </w:rPr>
        <w:t>ing</w:t>
      </w:r>
      <w:r w:rsidRPr="008D71CD">
        <w:rPr>
          <w:color w:val="auto"/>
        </w:rPr>
        <w:t xml:space="preserve"> records for </w:t>
      </w:r>
      <w:r>
        <w:rPr>
          <w:color w:val="auto"/>
        </w:rPr>
        <w:t>studies</w:t>
      </w:r>
      <w:r w:rsidRPr="008D71CD">
        <w:rPr>
          <w:color w:val="auto"/>
        </w:rPr>
        <w:t xml:space="preserve"> that were withdrawn prior to enrollment of any participants</w:t>
      </w:r>
      <w:r>
        <w:rPr>
          <w:color w:val="auto"/>
        </w:rPr>
        <w:t xml:space="preserve"> and</w:t>
      </w:r>
      <w:r w:rsidRPr="008D71CD">
        <w:rPr>
          <w:color w:val="auto"/>
        </w:rPr>
        <w:t xml:space="preserve"> records describing expanded access protocols</w:t>
      </w:r>
      <w:r>
        <w:rPr>
          <w:color w:val="auto"/>
        </w:rPr>
        <w:t>. From the remaining studies (n= 32,893), we excluded</w:t>
      </w:r>
      <w:r w:rsidRPr="008D71CD">
        <w:rPr>
          <w:color w:val="auto"/>
        </w:rPr>
        <w:t xml:space="preserve"> records for </w:t>
      </w:r>
      <w:r>
        <w:rPr>
          <w:color w:val="auto"/>
        </w:rPr>
        <w:t xml:space="preserve">studies </w:t>
      </w:r>
      <w:r w:rsidRPr="008D71CD">
        <w:rPr>
          <w:color w:val="auto"/>
        </w:rPr>
        <w:t>conducted only at foreign sites</w:t>
      </w:r>
      <w:r>
        <w:rPr>
          <w:color w:val="auto"/>
        </w:rPr>
        <w:t xml:space="preserve"> (n= 22,624)</w:t>
      </w:r>
      <w:r w:rsidRPr="008D71CD">
        <w:rPr>
          <w:color w:val="auto"/>
        </w:rPr>
        <w:t>, records for trials conducted under and IND or IDE</w:t>
      </w:r>
      <w:r>
        <w:rPr>
          <w:color w:val="auto"/>
        </w:rPr>
        <w:t xml:space="preserve"> (n= 3,664)</w:t>
      </w:r>
      <w:r>
        <w:t xml:space="preserve">, and trials not reporting inclusion of an FDA-regulated </w:t>
      </w:r>
      <w:r w:rsidRPr="00D96C07">
        <w:rPr>
          <w:color w:val="auto"/>
        </w:rPr>
        <w:t>product</w:t>
      </w:r>
      <w:r>
        <w:rPr>
          <w:color w:val="auto"/>
        </w:rPr>
        <w:t xml:space="preserve"> (n= 4,404)</w:t>
      </w:r>
      <w:r w:rsidRPr="00D96C07">
        <w:rPr>
          <w:color w:val="auto"/>
        </w:rPr>
        <w:t>. These exclusions were intended to eliminate trials that were unlikely to be minimal risk or to fall under FDA’s oversight</w:t>
      </w:r>
      <w:r>
        <w:t xml:space="preserve"> (n = 2,201).</w:t>
      </w:r>
    </w:p>
  </w:footnote>
  <w:footnote w:id="5">
    <w:p w:rsidR="008512B6" w:rsidP="008512B6" w14:paraId="65E4043A" w14:textId="77777777">
      <w:pPr>
        <w:pStyle w:val="FootnoteText"/>
      </w:pPr>
      <w:r>
        <w:rPr>
          <w:rStyle w:val="FootnoteReference"/>
        </w:rPr>
        <w:footnoteRef/>
      </w:r>
      <w:r>
        <w:t xml:space="preserve"> </w:t>
      </w:r>
      <w:r w:rsidRPr="009823AF">
        <w:rPr>
          <w:bCs/>
        </w:rPr>
        <w:t>See 21 CFR 812.2(b).</w:t>
      </w:r>
    </w:p>
  </w:footnote>
  <w:footnote w:id="6">
    <w:p w:rsidR="008512B6" w:rsidP="008512B6" w14:paraId="778309B2" w14:textId="77777777">
      <w:pPr>
        <w:pStyle w:val="FootnoteText"/>
      </w:pPr>
      <w:r>
        <w:rPr>
          <w:rStyle w:val="FootnoteReference"/>
        </w:rPr>
        <w:footnoteRef/>
      </w:r>
      <w:r>
        <w:t xml:space="preserve"> </w:t>
      </w:r>
      <w:r w:rsidRPr="001252E0">
        <w:rPr>
          <w:bCs/>
        </w:rPr>
        <w:t xml:space="preserve">FDA regulations have not previously provided for a waiver or alteration of informed consent for minimal risk research.  Therefore, the clinical investigations that would have qualified for a waiver </w:t>
      </w:r>
      <w:r>
        <w:rPr>
          <w:bCs/>
        </w:rPr>
        <w:t xml:space="preserve">or alteration </w:t>
      </w:r>
      <w:r w:rsidRPr="001252E0">
        <w:rPr>
          <w:bCs/>
        </w:rPr>
        <w:t>under new § 50.22 may not have proceeded in the past and may not</w:t>
      </w:r>
      <w:r>
        <w:rPr>
          <w:bCs/>
        </w:rPr>
        <w:t xml:space="preserve"> all</w:t>
      </w:r>
      <w:r w:rsidRPr="001252E0">
        <w:rPr>
          <w:bCs/>
        </w:rPr>
        <w:t xml:space="preserve"> be captured in </w:t>
      </w:r>
      <w:r>
        <w:rPr>
          <w:bCs/>
        </w:rPr>
        <w:t>historical</w:t>
      </w:r>
      <w:r w:rsidRPr="001252E0">
        <w:rPr>
          <w:bCs/>
        </w:rPr>
        <w:t xml:space="preserve"> data.</w:t>
      </w:r>
      <w:r>
        <w:rPr>
          <w:bCs/>
        </w:rPr>
        <w:t xml:space="preserve">  However, FDA issued a guidance in July 2017 stating that the agency</w:t>
      </w:r>
      <w:r w:rsidRPr="00486B02">
        <w:rPr>
          <w:bCs/>
        </w:rPr>
        <w:t xml:space="preserve"> does not intend to object to a sponsor initiating, or an investigator conducting, a minimal risk clinical investigation for which an IRB waives or alters the informed consent requirements as described in the guidance</w:t>
      </w:r>
      <w:r>
        <w:rPr>
          <w:bCs/>
        </w:rPr>
        <w:t xml:space="preserve"> </w:t>
      </w:r>
      <w:r w:rsidRPr="00486B02">
        <w:rPr>
          <w:bCs/>
        </w:rPr>
        <w:t>(82 FR 34535)</w:t>
      </w:r>
      <w:r>
        <w:rPr>
          <w:bCs/>
        </w:rPr>
        <w:t>.  Thus, such studies may have been initiated in 2021 and submitted to ClinicalTrials.gov.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C42" w14:paraId="6E7F63D5" w14:textId="29CACC21">
    <w:pPr>
      <w:pStyle w:val="Header"/>
      <w:tabs>
        <w:tab w:val="clear" w:pos="4680"/>
        <w:tab w:val="right" w:pos="9000"/>
        <w:tab w:val="clear" w:pos="9360"/>
      </w:tabs>
      <w:ind w:left="4500"/>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4</w:t>
    </w:r>
    <w:r>
      <w:rPr>
        <w:rFonts w:ascii="Times New Roman" w:hAnsi="Times New Roman"/>
        <w:noProof/>
        <w:sz w:val="24"/>
        <w:szCs w:val="24"/>
      </w:rPr>
      <w:fldChar w:fldCharType="end"/>
    </w:r>
    <w:r>
      <w:rPr>
        <w:rFonts w:ascii="Times New Roman" w:hAnsi="Times New Roman"/>
        <w:noProof/>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C42" w14:paraId="4C3690B5" w14:textId="6405E80D">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79341E"/>
    <w:multiLevelType w:val="hybridMultilevel"/>
    <w:tmpl w:val="D477E345"/>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C873C7"/>
    <w:multiLevelType w:val="hybridMultilevel"/>
    <w:tmpl w:val="66C6477A"/>
    <w:lvl w:ilvl="0">
      <w:start w:val="1"/>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0F2CAD"/>
    <w:multiLevelType w:val="hybridMultilevel"/>
    <w:tmpl w:val="67883972"/>
    <w:lvl w:ilvl="0">
      <w:start w:val="1"/>
      <w:numFmt w:val="decimal"/>
      <w:lvlText w:val="%1."/>
      <w:lvlJc w:val="left"/>
      <w:pPr>
        <w:ind w:left="720" w:hanging="360"/>
      </w:pPr>
      <w:rPr>
        <w:rFonts w:hint="default"/>
        <w:b w:val="0"/>
        <w:bCs w:val="0"/>
        <w:i w:val="0"/>
        <w:iCs w:val="0"/>
      </w:rPr>
    </w:lvl>
    <w:lvl w:ilvl="1">
      <w:start w:val="1"/>
      <w:numFmt w:val="bullet"/>
      <w:lvlText w:val=""/>
      <w:lvlJc w:val="left"/>
      <w:pPr>
        <w:ind w:left="1440" w:hanging="360"/>
      </w:pPr>
      <w:rPr>
        <w:rFonts w:ascii="Symbol" w:hAnsi="Symbol" w:hint="default"/>
        <w:color w:val="auto"/>
        <w:sz w:val="22"/>
        <w:szCs w:val="22"/>
      </w:rPr>
    </w:lvl>
    <w:lvl w:ilvl="2">
      <w:start w:val="1"/>
      <w:numFmt w:val="bullet"/>
      <w:lvlText w:val="o"/>
      <w:lvlJc w:val="left"/>
      <w:pPr>
        <w:ind w:left="2520" w:hanging="360"/>
      </w:pPr>
      <w:rPr>
        <w:rFonts w:ascii="Courier New" w:hAnsi="Courier New" w:cs="Courier New" w:hint="default"/>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8F468E"/>
    <w:multiLevelType w:val="hybridMultilevel"/>
    <w:tmpl w:val="09A2E3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B2C1AFD"/>
    <w:multiLevelType w:val="hybridMultilevel"/>
    <w:tmpl w:val="23EA53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AB6ADC"/>
    <w:multiLevelType w:val="hybridMultilevel"/>
    <w:tmpl w:val="150A5D56"/>
    <w:lvl w:ilvl="0">
      <w:start w:val="21"/>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6768F3"/>
    <w:multiLevelType w:val="hybridMultilevel"/>
    <w:tmpl w:val="2370E6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B15AF1"/>
    <w:multiLevelType w:val="hybridMultilevel"/>
    <w:tmpl w:val="B7D608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030706"/>
    <w:multiLevelType w:val="hybridMultilevel"/>
    <w:tmpl w:val="50C4C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5077A0"/>
    <w:multiLevelType w:val="hybridMultilevel"/>
    <w:tmpl w:val="6DD60F40"/>
    <w:lvl w:ilvl="0">
      <w:start w:val="1"/>
      <w:numFmt w:val="bullet"/>
      <w:lvlText w:val=""/>
      <w:lvlJc w:val="left"/>
      <w:pPr>
        <w:ind w:left="-180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360" w:hanging="360"/>
      </w:pPr>
      <w:rPr>
        <w:rFonts w:ascii="Symbol" w:hAnsi="Symbol" w:hint="default"/>
      </w:rPr>
    </w:lvl>
    <w:lvl w:ilvl="4" w:tentative="1">
      <w:start w:val="1"/>
      <w:numFmt w:val="bullet"/>
      <w:lvlText w:val="o"/>
      <w:lvlJc w:val="left"/>
      <w:pPr>
        <w:ind w:left="1080" w:hanging="360"/>
      </w:pPr>
      <w:rPr>
        <w:rFonts w:ascii="Courier New" w:hAnsi="Courier New" w:cs="Courier New" w:hint="default"/>
      </w:rPr>
    </w:lvl>
    <w:lvl w:ilvl="5" w:tentative="1">
      <w:start w:val="1"/>
      <w:numFmt w:val="bullet"/>
      <w:lvlText w:val=""/>
      <w:lvlJc w:val="left"/>
      <w:pPr>
        <w:ind w:left="180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3240" w:hanging="360"/>
      </w:pPr>
      <w:rPr>
        <w:rFonts w:ascii="Courier New" w:hAnsi="Courier New" w:cs="Courier New" w:hint="default"/>
      </w:rPr>
    </w:lvl>
    <w:lvl w:ilvl="8" w:tentative="1">
      <w:start w:val="1"/>
      <w:numFmt w:val="bullet"/>
      <w:lvlText w:val=""/>
      <w:lvlJc w:val="left"/>
      <w:pPr>
        <w:ind w:left="3960" w:hanging="360"/>
      </w:pPr>
      <w:rPr>
        <w:rFonts w:ascii="Wingdings" w:hAnsi="Wingdings" w:hint="default"/>
      </w:rPr>
    </w:lvl>
  </w:abstractNum>
  <w:abstractNum w:abstractNumId="10">
    <w:nsid w:val="315F364E"/>
    <w:multiLevelType w:val="hybridMultilevel"/>
    <w:tmpl w:val="293411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F87802"/>
    <w:multiLevelType w:val="hybridMultilevel"/>
    <w:tmpl w:val="F6EC50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E446D3"/>
    <w:multiLevelType w:val="hybridMultilevel"/>
    <w:tmpl w:val="B1ACBCB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A65B1D"/>
    <w:multiLevelType w:val="hybridMultilevel"/>
    <w:tmpl w:val="D42E8A58"/>
    <w:lvl w:ilvl="0">
      <w:start w:val="1"/>
      <w:numFmt w:val="decimal"/>
      <w:lvlText w:val="(%1)"/>
      <w:lvlJc w:val="left"/>
      <w:pPr>
        <w:ind w:left="720" w:hanging="360"/>
      </w:pPr>
      <w:rPr>
        <w:rFonts w:ascii="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735CED"/>
    <w:multiLevelType w:val="hybridMultilevel"/>
    <w:tmpl w:val="895274AA"/>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161ED3"/>
    <w:multiLevelType w:val="hybridMultilevel"/>
    <w:tmpl w:val="EBF251A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9FD4E0C"/>
    <w:multiLevelType w:val="hybridMultilevel"/>
    <w:tmpl w:val="51E4EB8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FB03CB"/>
    <w:multiLevelType w:val="hybridMultilevel"/>
    <w:tmpl w:val="C7E08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101961"/>
    <w:multiLevelType w:val="hybridMultilevel"/>
    <w:tmpl w:val="60E22D8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E8F24AF"/>
    <w:multiLevelType w:val="hybridMultilevel"/>
    <w:tmpl w:val="1BA0302A"/>
    <w:lvl w:ilvl="0">
      <w:start w:val="6"/>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A20531"/>
    <w:multiLevelType w:val="multilevel"/>
    <w:tmpl w:val="448074AC"/>
    <w:lvl w:ilvl="0">
      <w:start w:val="1"/>
      <w:numFmt w:val="upperRoman"/>
      <w:lvlText w:val="%1."/>
      <w:lvlJc w:val="left"/>
      <w:pPr>
        <w:tabs>
          <w:tab w:val="num" w:pos="1350"/>
        </w:tabs>
        <w:ind w:left="990"/>
      </w:pPr>
      <w:rPr>
        <w:rFonts w:cs="Times New Roman" w:hint="default"/>
      </w:rPr>
    </w:lvl>
    <w:lvl w:ilvl="1">
      <w:start w:val="1"/>
      <w:numFmt w:val="upperLetter"/>
      <w:lvlText w:val="%2."/>
      <w:lvlJc w:val="left"/>
      <w:pPr>
        <w:tabs>
          <w:tab w:val="num" w:pos="450"/>
        </w:tabs>
        <w:ind w:left="45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b w:val="0"/>
        <w:sz w:val="24"/>
        <w:szCs w:val="24"/>
      </w:rPr>
    </w:lvl>
    <w:lvl w:ilvl="4">
      <w:start w:val="1"/>
      <w:numFmt w:val="decimal"/>
      <w:lvlText w:val="(%5)"/>
      <w:lvlJc w:val="left"/>
      <w:pPr>
        <w:tabs>
          <w:tab w:val="num" w:pos="3240"/>
        </w:tabs>
        <w:ind w:left="3240" w:hanging="360"/>
      </w:pPr>
      <w:rPr>
        <w:rFonts w:cs="Times New Roman" w:hint="default"/>
      </w:rPr>
    </w:lvl>
    <w:lvl w:ilvl="5">
      <w:start w:val="1"/>
      <w:numFmt w:val="lowerLetter"/>
      <w:lvlText w:val="(%6)"/>
      <w:lvlJc w:val="left"/>
      <w:pPr>
        <w:tabs>
          <w:tab w:val="num" w:pos="4140"/>
        </w:tabs>
        <w:ind w:left="4140" w:hanging="36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74134E3B"/>
    <w:multiLevelType w:val="hybridMultilevel"/>
    <w:tmpl w:val="F536AE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BB1D46"/>
    <w:multiLevelType w:val="hybridMultilevel"/>
    <w:tmpl w:val="83D60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2031892">
    <w:abstractNumId w:val="20"/>
  </w:num>
  <w:num w:numId="2" w16cid:durableId="1798840907">
    <w:abstractNumId w:val="7"/>
  </w:num>
  <w:num w:numId="3" w16cid:durableId="1618484605">
    <w:abstractNumId w:val="13"/>
  </w:num>
  <w:num w:numId="4" w16cid:durableId="1600798512">
    <w:abstractNumId w:val="3"/>
  </w:num>
  <w:num w:numId="5" w16cid:durableId="1557156186">
    <w:abstractNumId w:val="4"/>
  </w:num>
  <w:num w:numId="6" w16cid:durableId="1081173874">
    <w:abstractNumId w:val="10"/>
  </w:num>
  <w:num w:numId="7" w16cid:durableId="339166174">
    <w:abstractNumId w:val="22"/>
  </w:num>
  <w:num w:numId="8" w16cid:durableId="190728254">
    <w:abstractNumId w:val="9"/>
  </w:num>
  <w:num w:numId="9" w16cid:durableId="2096171060">
    <w:abstractNumId w:val="6"/>
  </w:num>
  <w:num w:numId="10" w16cid:durableId="1230963166">
    <w:abstractNumId w:val="11"/>
  </w:num>
  <w:num w:numId="11" w16cid:durableId="1370766062">
    <w:abstractNumId w:val="8"/>
  </w:num>
  <w:num w:numId="12" w16cid:durableId="33118061">
    <w:abstractNumId w:val="16"/>
  </w:num>
  <w:num w:numId="13" w16cid:durableId="1973556725">
    <w:abstractNumId w:val="18"/>
  </w:num>
  <w:num w:numId="14" w16cid:durableId="271400117">
    <w:abstractNumId w:val="14"/>
  </w:num>
  <w:num w:numId="15" w16cid:durableId="381485559">
    <w:abstractNumId w:val="19"/>
  </w:num>
  <w:num w:numId="16" w16cid:durableId="575285959">
    <w:abstractNumId w:val="17"/>
  </w:num>
  <w:num w:numId="17" w16cid:durableId="624770377">
    <w:abstractNumId w:val="12"/>
  </w:num>
  <w:num w:numId="18" w16cid:durableId="78648312">
    <w:abstractNumId w:val="5"/>
  </w:num>
  <w:num w:numId="19" w16cid:durableId="748309604">
    <w:abstractNumId w:val="0"/>
  </w:num>
  <w:num w:numId="20" w16cid:durableId="1841122681">
    <w:abstractNumId w:val="15"/>
  </w:num>
  <w:num w:numId="21" w16cid:durableId="880556024">
    <w:abstractNumId w:val="21"/>
  </w:num>
  <w:num w:numId="22" w16cid:durableId="920794562">
    <w:abstractNumId w:val="2"/>
  </w:num>
  <w:num w:numId="23" w16cid:durableId="57805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E1"/>
    <w:rsid w:val="000000D8"/>
    <w:rsid w:val="00000EF3"/>
    <w:rsid w:val="0000117B"/>
    <w:rsid w:val="00001C51"/>
    <w:rsid w:val="00001E94"/>
    <w:rsid w:val="000024D8"/>
    <w:rsid w:val="00002BF3"/>
    <w:rsid w:val="00002D18"/>
    <w:rsid w:val="00003461"/>
    <w:rsid w:val="00003A2A"/>
    <w:rsid w:val="00003B62"/>
    <w:rsid w:val="000049B5"/>
    <w:rsid w:val="00004FA6"/>
    <w:rsid w:val="00005277"/>
    <w:rsid w:val="00005918"/>
    <w:rsid w:val="00005D6E"/>
    <w:rsid w:val="00005D9D"/>
    <w:rsid w:val="00005DA8"/>
    <w:rsid w:val="00006DED"/>
    <w:rsid w:val="00007000"/>
    <w:rsid w:val="00007106"/>
    <w:rsid w:val="00007AF6"/>
    <w:rsid w:val="0001040E"/>
    <w:rsid w:val="0001075C"/>
    <w:rsid w:val="00010BD7"/>
    <w:rsid w:val="00010C1A"/>
    <w:rsid w:val="0001139C"/>
    <w:rsid w:val="00011E15"/>
    <w:rsid w:val="00011E5C"/>
    <w:rsid w:val="00012424"/>
    <w:rsid w:val="000128A1"/>
    <w:rsid w:val="00012ACB"/>
    <w:rsid w:val="00012E37"/>
    <w:rsid w:val="00012F6E"/>
    <w:rsid w:val="00013549"/>
    <w:rsid w:val="00013894"/>
    <w:rsid w:val="00013EF4"/>
    <w:rsid w:val="000140C6"/>
    <w:rsid w:val="00014763"/>
    <w:rsid w:val="000147A4"/>
    <w:rsid w:val="00015807"/>
    <w:rsid w:val="00015DE6"/>
    <w:rsid w:val="0001624A"/>
    <w:rsid w:val="00016778"/>
    <w:rsid w:val="00016BE4"/>
    <w:rsid w:val="000177D6"/>
    <w:rsid w:val="00017BC6"/>
    <w:rsid w:val="00017DBF"/>
    <w:rsid w:val="000204B4"/>
    <w:rsid w:val="000205E0"/>
    <w:rsid w:val="00020B80"/>
    <w:rsid w:val="00020BE1"/>
    <w:rsid w:val="00020BF3"/>
    <w:rsid w:val="00020C01"/>
    <w:rsid w:val="00021005"/>
    <w:rsid w:val="00021EE7"/>
    <w:rsid w:val="00022150"/>
    <w:rsid w:val="000229CC"/>
    <w:rsid w:val="00022B1F"/>
    <w:rsid w:val="00023354"/>
    <w:rsid w:val="0002392E"/>
    <w:rsid w:val="00023FFF"/>
    <w:rsid w:val="00024115"/>
    <w:rsid w:val="00024CDD"/>
    <w:rsid w:val="000254EC"/>
    <w:rsid w:val="000259B9"/>
    <w:rsid w:val="00025ED7"/>
    <w:rsid w:val="00026317"/>
    <w:rsid w:val="000266C7"/>
    <w:rsid w:val="00026E24"/>
    <w:rsid w:val="00027456"/>
    <w:rsid w:val="000275CF"/>
    <w:rsid w:val="000277F4"/>
    <w:rsid w:val="000309FF"/>
    <w:rsid w:val="00030C99"/>
    <w:rsid w:val="00031021"/>
    <w:rsid w:val="0003149D"/>
    <w:rsid w:val="000318C1"/>
    <w:rsid w:val="00031E38"/>
    <w:rsid w:val="000322BA"/>
    <w:rsid w:val="00033241"/>
    <w:rsid w:val="00033608"/>
    <w:rsid w:val="00034A21"/>
    <w:rsid w:val="00034B0C"/>
    <w:rsid w:val="0003518B"/>
    <w:rsid w:val="000357CE"/>
    <w:rsid w:val="000358C2"/>
    <w:rsid w:val="00035E71"/>
    <w:rsid w:val="00036398"/>
    <w:rsid w:val="00037211"/>
    <w:rsid w:val="000375C2"/>
    <w:rsid w:val="00040361"/>
    <w:rsid w:val="000407AE"/>
    <w:rsid w:val="00041554"/>
    <w:rsid w:val="0004263C"/>
    <w:rsid w:val="000445DB"/>
    <w:rsid w:val="00044EF8"/>
    <w:rsid w:val="00044F8B"/>
    <w:rsid w:val="00044FA9"/>
    <w:rsid w:val="000452F6"/>
    <w:rsid w:val="00045A55"/>
    <w:rsid w:val="00045E67"/>
    <w:rsid w:val="00046626"/>
    <w:rsid w:val="00046D2F"/>
    <w:rsid w:val="00047208"/>
    <w:rsid w:val="0004726D"/>
    <w:rsid w:val="00050047"/>
    <w:rsid w:val="00050520"/>
    <w:rsid w:val="000509D0"/>
    <w:rsid w:val="00050DE3"/>
    <w:rsid w:val="00051090"/>
    <w:rsid w:val="0005115C"/>
    <w:rsid w:val="00052016"/>
    <w:rsid w:val="0005240E"/>
    <w:rsid w:val="0005279F"/>
    <w:rsid w:val="00052AD3"/>
    <w:rsid w:val="00053A89"/>
    <w:rsid w:val="00053FC7"/>
    <w:rsid w:val="000548F9"/>
    <w:rsid w:val="00054B7B"/>
    <w:rsid w:val="00055B13"/>
    <w:rsid w:val="00055CB6"/>
    <w:rsid w:val="00055DBC"/>
    <w:rsid w:val="0005630F"/>
    <w:rsid w:val="0005693A"/>
    <w:rsid w:val="00056A85"/>
    <w:rsid w:val="00057ABD"/>
    <w:rsid w:val="00057C03"/>
    <w:rsid w:val="00057F70"/>
    <w:rsid w:val="000605E3"/>
    <w:rsid w:val="00060E03"/>
    <w:rsid w:val="0006150B"/>
    <w:rsid w:val="00061882"/>
    <w:rsid w:val="00061C47"/>
    <w:rsid w:val="00062E19"/>
    <w:rsid w:val="000630B0"/>
    <w:rsid w:val="00063278"/>
    <w:rsid w:val="00063870"/>
    <w:rsid w:val="00063E8C"/>
    <w:rsid w:val="00064AAD"/>
    <w:rsid w:val="000654B5"/>
    <w:rsid w:val="00066102"/>
    <w:rsid w:val="00066494"/>
    <w:rsid w:val="000672F3"/>
    <w:rsid w:val="00067317"/>
    <w:rsid w:val="00067758"/>
    <w:rsid w:val="000702B2"/>
    <w:rsid w:val="00070588"/>
    <w:rsid w:val="000708D0"/>
    <w:rsid w:val="00071662"/>
    <w:rsid w:val="00071976"/>
    <w:rsid w:val="00071CC6"/>
    <w:rsid w:val="00071ECF"/>
    <w:rsid w:val="00072361"/>
    <w:rsid w:val="00072986"/>
    <w:rsid w:val="000729C6"/>
    <w:rsid w:val="000729D7"/>
    <w:rsid w:val="000730B8"/>
    <w:rsid w:val="00073CB6"/>
    <w:rsid w:val="00073E8C"/>
    <w:rsid w:val="0007421E"/>
    <w:rsid w:val="0007477E"/>
    <w:rsid w:val="00074C2B"/>
    <w:rsid w:val="00075062"/>
    <w:rsid w:val="0007572D"/>
    <w:rsid w:val="000757B2"/>
    <w:rsid w:val="00075B8E"/>
    <w:rsid w:val="00075C58"/>
    <w:rsid w:val="00075F35"/>
    <w:rsid w:val="000767E1"/>
    <w:rsid w:val="0007698E"/>
    <w:rsid w:val="00076A3F"/>
    <w:rsid w:val="00076B00"/>
    <w:rsid w:val="000771A8"/>
    <w:rsid w:val="0007756C"/>
    <w:rsid w:val="000779DE"/>
    <w:rsid w:val="00080208"/>
    <w:rsid w:val="000803F4"/>
    <w:rsid w:val="00080440"/>
    <w:rsid w:val="00080669"/>
    <w:rsid w:val="00080D0C"/>
    <w:rsid w:val="000814B2"/>
    <w:rsid w:val="00081854"/>
    <w:rsid w:val="00081ED1"/>
    <w:rsid w:val="000827D2"/>
    <w:rsid w:val="0008347F"/>
    <w:rsid w:val="00083A90"/>
    <w:rsid w:val="00083B50"/>
    <w:rsid w:val="0008438A"/>
    <w:rsid w:val="000844BA"/>
    <w:rsid w:val="000845E0"/>
    <w:rsid w:val="00084D40"/>
    <w:rsid w:val="00084D9B"/>
    <w:rsid w:val="00084E64"/>
    <w:rsid w:val="00085FC5"/>
    <w:rsid w:val="000862A7"/>
    <w:rsid w:val="00086754"/>
    <w:rsid w:val="00086AE9"/>
    <w:rsid w:val="000871F7"/>
    <w:rsid w:val="000872E7"/>
    <w:rsid w:val="000874EB"/>
    <w:rsid w:val="00087681"/>
    <w:rsid w:val="00090590"/>
    <w:rsid w:val="00090DC4"/>
    <w:rsid w:val="00090E4B"/>
    <w:rsid w:val="000910D1"/>
    <w:rsid w:val="000910DB"/>
    <w:rsid w:val="00091589"/>
    <w:rsid w:val="00091AA4"/>
    <w:rsid w:val="00091F53"/>
    <w:rsid w:val="000920D3"/>
    <w:rsid w:val="000928D7"/>
    <w:rsid w:val="00092987"/>
    <w:rsid w:val="0009308C"/>
    <w:rsid w:val="00095C31"/>
    <w:rsid w:val="0009618A"/>
    <w:rsid w:val="000963B8"/>
    <w:rsid w:val="0009695D"/>
    <w:rsid w:val="000971C6"/>
    <w:rsid w:val="00097689"/>
    <w:rsid w:val="00097C98"/>
    <w:rsid w:val="000A0299"/>
    <w:rsid w:val="000A0618"/>
    <w:rsid w:val="000A08A4"/>
    <w:rsid w:val="000A09D7"/>
    <w:rsid w:val="000A0DC8"/>
    <w:rsid w:val="000A0ED4"/>
    <w:rsid w:val="000A1525"/>
    <w:rsid w:val="000A1533"/>
    <w:rsid w:val="000A193A"/>
    <w:rsid w:val="000A29C0"/>
    <w:rsid w:val="000A2AFE"/>
    <w:rsid w:val="000A2C16"/>
    <w:rsid w:val="000A3C8B"/>
    <w:rsid w:val="000A3EC8"/>
    <w:rsid w:val="000A41E3"/>
    <w:rsid w:val="000A437A"/>
    <w:rsid w:val="000A49A2"/>
    <w:rsid w:val="000A4C2E"/>
    <w:rsid w:val="000A59EE"/>
    <w:rsid w:val="000A5D93"/>
    <w:rsid w:val="000A62B7"/>
    <w:rsid w:val="000A6644"/>
    <w:rsid w:val="000A6D31"/>
    <w:rsid w:val="000A70B6"/>
    <w:rsid w:val="000A7135"/>
    <w:rsid w:val="000A78C0"/>
    <w:rsid w:val="000B0131"/>
    <w:rsid w:val="000B0DE3"/>
    <w:rsid w:val="000B168C"/>
    <w:rsid w:val="000B1E9E"/>
    <w:rsid w:val="000B1F3E"/>
    <w:rsid w:val="000B1F68"/>
    <w:rsid w:val="000B2792"/>
    <w:rsid w:val="000B2BE2"/>
    <w:rsid w:val="000B3708"/>
    <w:rsid w:val="000B4529"/>
    <w:rsid w:val="000B4870"/>
    <w:rsid w:val="000B4B32"/>
    <w:rsid w:val="000B56B7"/>
    <w:rsid w:val="000B5A16"/>
    <w:rsid w:val="000B61D7"/>
    <w:rsid w:val="000B6FF8"/>
    <w:rsid w:val="000B783A"/>
    <w:rsid w:val="000C0245"/>
    <w:rsid w:val="000C0704"/>
    <w:rsid w:val="000C0DA3"/>
    <w:rsid w:val="000C0DCD"/>
    <w:rsid w:val="000C0E95"/>
    <w:rsid w:val="000C1E04"/>
    <w:rsid w:val="000C1FE2"/>
    <w:rsid w:val="000C25A4"/>
    <w:rsid w:val="000C28A8"/>
    <w:rsid w:val="000C2921"/>
    <w:rsid w:val="000C2EC6"/>
    <w:rsid w:val="000C3BEA"/>
    <w:rsid w:val="000C403D"/>
    <w:rsid w:val="000C4332"/>
    <w:rsid w:val="000C4895"/>
    <w:rsid w:val="000C4C75"/>
    <w:rsid w:val="000C4DDC"/>
    <w:rsid w:val="000C6294"/>
    <w:rsid w:val="000C633F"/>
    <w:rsid w:val="000C6468"/>
    <w:rsid w:val="000C67BD"/>
    <w:rsid w:val="000C7487"/>
    <w:rsid w:val="000C7970"/>
    <w:rsid w:val="000C7EB5"/>
    <w:rsid w:val="000D0180"/>
    <w:rsid w:val="000D021F"/>
    <w:rsid w:val="000D063E"/>
    <w:rsid w:val="000D0BAB"/>
    <w:rsid w:val="000D0DB7"/>
    <w:rsid w:val="000D13EE"/>
    <w:rsid w:val="000D16C5"/>
    <w:rsid w:val="000D2021"/>
    <w:rsid w:val="000D260D"/>
    <w:rsid w:val="000D2D7A"/>
    <w:rsid w:val="000D31B1"/>
    <w:rsid w:val="000D33FC"/>
    <w:rsid w:val="000D3685"/>
    <w:rsid w:val="000D3845"/>
    <w:rsid w:val="000D3869"/>
    <w:rsid w:val="000D3DF1"/>
    <w:rsid w:val="000D43A1"/>
    <w:rsid w:val="000D483E"/>
    <w:rsid w:val="000D4DA1"/>
    <w:rsid w:val="000D4DB6"/>
    <w:rsid w:val="000D54AF"/>
    <w:rsid w:val="000D559A"/>
    <w:rsid w:val="000D5C0C"/>
    <w:rsid w:val="000D5F26"/>
    <w:rsid w:val="000D6F28"/>
    <w:rsid w:val="000D72B0"/>
    <w:rsid w:val="000D771E"/>
    <w:rsid w:val="000D790E"/>
    <w:rsid w:val="000D7B68"/>
    <w:rsid w:val="000E052D"/>
    <w:rsid w:val="000E057D"/>
    <w:rsid w:val="000E0823"/>
    <w:rsid w:val="000E0EF3"/>
    <w:rsid w:val="000E0FC8"/>
    <w:rsid w:val="000E1157"/>
    <w:rsid w:val="000E17D0"/>
    <w:rsid w:val="000E24EA"/>
    <w:rsid w:val="000E2995"/>
    <w:rsid w:val="000E2AA5"/>
    <w:rsid w:val="000E2B79"/>
    <w:rsid w:val="000E2EBB"/>
    <w:rsid w:val="000E38DF"/>
    <w:rsid w:val="000E393A"/>
    <w:rsid w:val="000E3B36"/>
    <w:rsid w:val="000E5191"/>
    <w:rsid w:val="000E534D"/>
    <w:rsid w:val="000E539B"/>
    <w:rsid w:val="000E573D"/>
    <w:rsid w:val="000E5D94"/>
    <w:rsid w:val="000E61AB"/>
    <w:rsid w:val="000E69A3"/>
    <w:rsid w:val="000E795C"/>
    <w:rsid w:val="000E7E73"/>
    <w:rsid w:val="000F028D"/>
    <w:rsid w:val="000F037F"/>
    <w:rsid w:val="000F0BAF"/>
    <w:rsid w:val="000F2EEC"/>
    <w:rsid w:val="000F2F29"/>
    <w:rsid w:val="000F3164"/>
    <w:rsid w:val="000F3666"/>
    <w:rsid w:val="000F3B43"/>
    <w:rsid w:val="000F3D41"/>
    <w:rsid w:val="000F3FB6"/>
    <w:rsid w:val="000F4C72"/>
    <w:rsid w:val="000F4EB3"/>
    <w:rsid w:val="000F5126"/>
    <w:rsid w:val="000F5C87"/>
    <w:rsid w:val="000F64F6"/>
    <w:rsid w:val="000F6856"/>
    <w:rsid w:val="000F69A6"/>
    <w:rsid w:val="000F717B"/>
    <w:rsid w:val="00100548"/>
    <w:rsid w:val="00100A44"/>
    <w:rsid w:val="00101470"/>
    <w:rsid w:val="001017F5"/>
    <w:rsid w:val="00101F8F"/>
    <w:rsid w:val="0010224B"/>
    <w:rsid w:val="00103389"/>
    <w:rsid w:val="0010434F"/>
    <w:rsid w:val="001043E0"/>
    <w:rsid w:val="00104F03"/>
    <w:rsid w:val="00105445"/>
    <w:rsid w:val="00106489"/>
    <w:rsid w:val="00106763"/>
    <w:rsid w:val="001067FF"/>
    <w:rsid w:val="00107370"/>
    <w:rsid w:val="001073B0"/>
    <w:rsid w:val="001073F5"/>
    <w:rsid w:val="00107A67"/>
    <w:rsid w:val="00107B42"/>
    <w:rsid w:val="00110027"/>
    <w:rsid w:val="001107AD"/>
    <w:rsid w:val="00110DC6"/>
    <w:rsid w:val="00111109"/>
    <w:rsid w:val="001111CD"/>
    <w:rsid w:val="001117BC"/>
    <w:rsid w:val="00112321"/>
    <w:rsid w:val="00112695"/>
    <w:rsid w:val="00112CB0"/>
    <w:rsid w:val="00112E3A"/>
    <w:rsid w:val="00113546"/>
    <w:rsid w:val="00113DCD"/>
    <w:rsid w:val="00113F98"/>
    <w:rsid w:val="00113FAC"/>
    <w:rsid w:val="00114184"/>
    <w:rsid w:val="001142B2"/>
    <w:rsid w:val="00114581"/>
    <w:rsid w:val="00115C2C"/>
    <w:rsid w:val="00115FB1"/>
    <w:rsid w:val="00116BE9"/>
    <w:rsid w:val="00116DB2"/>
    <w:rsid w:val="00116FE1"/>
    <w:rsid w:val="0011732E"/>
    <w:rsid w:val="001173E7"/>
    <w:rsid w:val="0011776B"/>
    <w:rsid w:val="00117E75"/>
    <w:rsid w:val="0012047D"/>
    <w:rsid w:val="001204FE"/>
    <w:rsid w:val="00120AB6"/>
    <w:rsid w:val="001214F5"/>
    <w:rsid w:val="0012193E"/>
    <w:rsid w:val="001220CA"/>
    <w:rsid w:val="001227C7"/>
    <w:rsid w:val="00122C40"/>
    <w:rsid w:val="00122F18"/>
    <w:rsid w:val="0012311E"/>
    <w:rsid w:val="00123646"/>
    <w:rsid w:val="00123B11"/>
    <w:rsid w:val="00123BEC"/>
    <w:rsid w:val="00123DC5"/>
    <w:rsid w:val="0012484B"/>
    <w:rsid w:val="00124862"/>
    <w:rsid w:val="001249AD"/>
    <w:rsid w:val="00125230"/>
    <w:rsid w:val="001252E0"/>
    <w:rsid w:val="0012537B"/>
    <w:rsid w:val="001254BC"/>
    <w:rsid w:val="00125999"/>
    <w:rsid w:val="00125CDB"/>
    <w:rsid w:val="0012668F"/>
    <w:rsid w:val="0012677B"/>
    <w:rsid w:val="00126877"/>
    <w:rsid w:val="00126BB9"/>
    <w:rsid w:val="00126D3F"/>
    <w:rsid w:val="00127172"/>
    <w:rsid w:val="00130415"/>
    <w:rsid w:val="001310A9"/>
    <w:rsid w:val="001314D6"/>
    <w:rsid w:val="001315DC"/>
    <w:rsid w:val="001317A4"/>
    <w:rsid w:val="00132287"/>
    <w:rsid w:val="00132364"/>
    <w:rsid w:val="00133200"/>
    <w:rsid w:val="0013354C"/>
    <w:rsid w:val="00133590"/>
    <w:rsid w:val="00133A18"/>
    <w:rsid w:val="001349D5"/>
    <w:rsid w:val="001350AF"/>
    <w:rsid w:val="00135161"/>
    <w:rsid w:val="00135C0E"/>
    <w:rsid w:val="0013650A"/>
    <w:rsid w:val="00136BA6"/>
    <w:rsid w:val="00137075"/>
    <w:rsid w:val="00137343"/>
    <w:rsid w:val="001376A6"/>
    <w:rsid w:val="0013797D"/>
    <w:rsid w:val="00137D86"/>
    <w:rsid w:val="00137E30"/>
    <w:rsid w:val="00140058"/>
    <w:rsid w:val="0014054D"/>
    <w:rsid w:val="00140726"/>
    <w:rsid w:val="001414A4"/>
    <w:rsid w:val="001419E6"/>
    <w:rsid w:val="00141E20"/>
    <w:rsid w:val="00142B3F"/>
    <w:rsid w:val="00142FF7"/>
    <w:rsid w:val="00143181"/>
    <w:rsid w:val="001439B0"/>
    <w:rsid w:val="00143E7E"/>
    <w:rsid w:val="0014494E"/>
    <w:rsid w:val="00145B53"/>
    <w:rsid w:val="00145DA0"/>
    <w:rsid w:val="00145E28"/>
    <w:rsid w:val="0014621F"/>
    <w:rsid w:val="00146297"/>
    <w:rsid w:val="001463B9"/>
    <w:rsid w:val="0014644F"/>
    <w:rsid w:val="00146EB1"/>
    <w:rsid w:val="001477A7"/>
    <w:rsid w:val="00147A4C"/>
    <w:rsid w:val="00147EE5"/>
    <w:rsid w:val="00151137"/>
    <w:rsid w:val="00151DAD"/>
    <w:rsid w:val="0015229F"/>
    <w:rsid w:val="00152467"/>
    <w:rsid w:val="001529A1"/>
    <w:rsid w:val="00152B31"/>
    <w:rsid w:val="00153067"/>
    <w:rsid w:val="00153591"/>
    <w:rsid w:val="00153898"/>
    <w:rsid w:val="00153FAC"/>
    <w:rsid w:val="0015433F"/>
    <w:rsid w:val="00154610"/>
    <w:rsid w:val="00154A73"/>
    <w:rsid w:val="00154BF9"/>
    <w:rsid w:val="0015514F"/>
    <w:rsid w:val="0015611B"/>
    <w:rsid w:val="0015623B"/>
    <w:rsid w:val="0015635C"/>
    <w:rsid w:val="00157A83"/>
    <w:rsid w:val="00157C01"/>
    <w:rsid w:val="00157DE4"/>
    <w:rsid w:val="00157FA6"/>
    <w:rsid w:val="001600B6"/>
    <w:rsid w:val="00160531"/>
    <w:rsid w:val="00160686"/>
    <w:rsid w:val="00160696"/>
    <w:rsid w:val="0016070A"/>
    <w:rsid w:val="00160C0A"/>
    <w:rsid w:val="00160D9A"/>
    <w:rsid w:val="001616F0"/>
    <w:rsid w:val="00162168"/>
    <w:rsid w:val="00162459"/>
    <w:rsid w:val="00162E84"/>
    <w:rsid w:val="00163BD2"/>
    <w:rsid w:val="00164A42"/>
    <w:rsid w:val="00164BFD"/>
    <w:rsid w:val="00164CDE"/>
    <w:rsid w:val="00165550"/>
    <w:rsid w:val="0016598B"/>
    <w:rsid w:val="001661E2"/>
    <w:rsid w:val="0016656B"/>
    <w:rsid w:val="001667F4"/>
    <w:rsid w:val="0016740A"/>
    <w:rsid w:val="001706D8"/>
    <w:rsid w:val="00170776"/>
    <w:rsid w:val="001707D2"/>
    <w:rsid w:val="00170910"/>
    <w:rsid w:val="00170C29"/>
    <w:rsid w:val="00170DE8"/>
    <w:rsid w:val="00170FE2"/>
    <w:rsid w:val="001715B9"/>
    <w:rsid w:val="00171F96"/>
    <w:rsid w:val="00172120"/>
    <w:rsid w:val="00172869"/>
    <w:rsid w:val="00172B0B"/>
    <w:rsid w:val="00172BF2"/>
    <w:rsid w:val="00173315"/>
    <w:rsid w:val="001738FA"/>
    <w:rsid w:val="001739BF"/>
    <w:rsid w:val="00174461"/>
    <w:rsid w:val="001748F0"/>
    <w:rsid w:val="001749DF"/>
    <w:rsid w:val="00174AE9"/>
    <w:rsid w:val="00174EB6"/>
    <w:rsid w:val="00175048"/>
    <w:rsid w:val="00175612"/>
    <w:rsid w:val="00175693"/>
    <w:rsid w:val="00175937"/>
    <w:rsid w:val="00175B1B"/>
    <w:rsid w:val="00175E58"/>
    <w:rsid w:val="00175F0C"/>
    <w:rsid w:val="00176B68"/>
    <w:rsid w:val="001779FF"/>
    <w:rsid w:val="00177E60"/>
    <w:rsid w:val="00181072"/>
    <w:rsid w:val="001811D6"/>
    <w:rsid w:val="001813DA"/>
    <w:rsid w:val="001816C6"/>
    <w:rsid w:val="0018179F"/>
    <w:rsid w:val="00181C64"/>
    <w:rsid w:val="00181C6B"/>
    <w:rsid w:val="001825AE"/>
    <w:rsid w:val="00182BC0"/>
    <w:rsid w:val="00182FD7"/>
    <w:rsid w:val="001830AB"/>
    <w:rsid w:val="0018352A"/>
    <w:rsid w:val="00183799"/>
    <w:rsid w:val="00183C0B"/>
    <w:rsid w:val="00184231"/>
    <w:rsid w:val="001842A8"/>
    <w:rsid w:val="00184324"/>
    <w:rsid w:val="0018435F"/>
    <w:rsid w:val="001846C0"/>
    <w:rsid w:val="001846E6"/>
    <w:rsid w:val="00184891"/>
    <w:rsid w:val="00184D8E"/>
    <w:rsid w:val="00184F87"/>
    <w:rsid w:val="00185022"/>
    <w:rsid w:val="00185127"/>
    <w:rsid w:val="001851F8"/>
    <w:rsid w:val="0018523B"/>
    <w:rsid w:val="00185259"/>
    <w:rsid w:val="00186831"/>
    <w:rsid w:val="00186BEA"/>
    <w:rsid w:val="001871BF"/>
    <w:rsid w:val="00187402"/>
    <w:rsid w:val="00187821"/>
    <w:rsid w:val="00187ECF"/>
    <w:rsid w:val="001904DF"/>
    <w:rsid w:val="0019082F"/>
    <w:rsid w:val="0019095F"/>
    <w:rsid w:val="00190E8D"/>
    <w:rsid w:val="001912C3"/>
    <w:rsid w:val="0019155F"/>
    <w:rsid w:val="0019197C"/>
    <w:rsid w:val="00191ED7"/>
    <w:rsid w:val="001928F0"/>
    <w:rsid w:val="00192F0C"/>
    <w:rsid w:val="001932EC"/>
    <w:rsid w:val="00193862"/>
    <w:rsid w:val="001948B4"/>
    <w:rsid w:val="001949BA"/>
    <w:rsid w:val="00194E07"/>
    <w:rsid w:val="00195082"/>
    <w:rsid w:val="0019552E"/>
    <w:rsid w:val="001957B9"/>
    <w:rsid w:val="00195EB4"/>
    <w:rsid w:val="00196357"/>
    <w:rsid w:val="00196630"/>
    <w:rsid w:val="00196B5C"/>
    <w:rsid w:val="00197E89"/>
    <w:rsid w:val="001A0F59"/>
    <w:rsid w:val="001A107E"/>
    <w:rsid w:val="001A16CF"/>
    <w:rsid w:val="001A1832"/>
    <w:rsid w:val="001A25F7"/>
    <w:rsid w:val="001A2917"/>
    <w:rsid w:val="001A2D1A"/>
    <w:rsid w:val="001A2D52"/>
    <w:rsid w:val="001A360E"/>
    <w:rsid w:val="001A382D"/>
    <w:rsid w:val="001A3C69"/>
    <w:rsid w:val="001A465F"/>
    <w:rsid w:val="001A4824"/>
    <w:rsid w:val="001A4F50"/>
    <w:rsid w:val="001A50CB"/>
    <w:rsid w:val="001A5241"/>
    <w:rsid w:val="001A5400"/>
    <w:rsid w:val="001A6409"/>
    <w:rsid w:val="001A657F"/>
    <w:rsid w:val="001A658D"/>
    <w:rsid w:val="001A6969"/>
    <w:rsid w:val="001A6AE3"/>
    <w:rsid w:val="001A7657"/>
    <w:rsid w:val="001A7B50"/>
    <w:rsid w:val="001B07EC"/>
    <w:rsid w:val="001B09F8"/>
    <w:rsid w:val="001B0EF7"/>
    <w:rsid w:val="001B1301"/>
    <w:rsid w:val="001B14AD"/>
    <w:rsid w:val="001B1BF0"/>
    <w:rsid w:val="001B22EB"/>
    <w:rsid w:val="001B25C0"/>
    <w:rsid w:val="001B2B78"/>
    <w:rsid w:val="001B3362"/>
    <w:rsid w:val="001B3598"/>
    <w:rsid w:val="001B39AB"/>
    <w:rsid w:val="001B3AFF"/>
    <w:rsid w:val="001B474D"/>
    <w:rsid w:val="001B4C78"/>
    <w:rsid w:val="001B513C"/>
    <w:rsid w:val="001B622A"/>
    <w:rsid w:val="001B644A"/>
    <w:rsid w:val="001B6FC2"/>
    <w:rsid w:val="001C06D8"/>
    <w:rsid w:val="001C0BB5"/>
    <w:rsid w:val="001C239D"/>
    <w:rsid w:val="001C23AF"/>
    <w:rsid w:val="001C2B03"/>
    <w:rsid w:val="001C2E8F"/>
    <w:rsid w:val="001C315A"/>
    <w:rsid w:val="001C331E"/>
    <w:rsid w:val="001C33F3"/>
    <w:rsid w:val="001C343A"/>
    <w:rsid w:val="001C385A"/>
    <w:rsid w:val="001C3A46"/>
    <w:rsid w:val="001C467F"/>
    <w:rsid w:val="001C4714"/>
    <w:rsid w:val="001C507C"/>
    <w:rsid w:val="001C516D"/>
    <w:rsid w:val="001C5FD7"/>
    <w:rsid w:val="001D017B"/>
    <w:rsid w:val="001D0726"/>
    <w:rsid w:val="001D1B22"/>
    <w:rsid w:val="001D2214"/>
    <w:rsid w:val="001D2287"/>
    <w:rsid w:val="001D25EB"/>
    <w:rsid w:val="001D284A"/>
    <w:rsid w:val="001D2E44"/>
    <w:rsid w:val="001D3B73"/>
    <w:rsid w:val="001D42D7"/>
    <w:rsid w:val="001D4468"/>
    <w:rsid w:val="001D51AB"/>
    <w:rsid w:val="001D537A"/>
    <w:rsid w:val="001D5E9C"/>
    <w:rsid w:val="001D6423"/>
    <w:rsid w:val="001D6C44"/>
    <w:rsid w:val="001D6CC3"/>
    <w:rsid w:val="001D7020"/>
    <w:rsid w:val="001D776A"/>
    <w:rsid w:val="001E0D2A"/>
    <w:rsid w:val="001E101D"/>
    <w:rsid w:val="001E16E0"/>
    <w:rsid w:val="001E1CE8"/>
    <w:rsid w:val="001E1D82"/>
    <w:rsid w:val="001E2A4D"/>
    <w:rsid w:val="001E2CE0"/>
    <w:rsid w:val="001E3096"/>
    <w:rsid w:val="001E3384"/>
    <w:rsid w:val="001E33C9"/>
    <w:rsid w:val="001E3934"/>
    <w:rsid w:val="001E39D0"/>
    <w:rsid w:val="001E3C3E"/>
    <w:rsid w:val="001E4786"/>
    <w:rsid w:val="001E4C24"/>
    <w:rsid w:val="001E4D81"/>
    <w:rsid w:val="001E50EF"/>
    <w:rsid w:val="001E5416"/>
    <w:rsid w:val="001E5682"/>
    <w:rsid w:val="001E59FE"/>
    <w:rsid w:val="001E5EB0"/>
    <w:rsid w:val="001E6757"/>
    <w:rsid w:val="001E6CE0"/>
    <w:rsid w:val="001E7714"/>
    <w:rsid w:val="001F11B4"/>
    <w:rsid w:val="001F13A6"/>
    <w:rsid w:val="001F1A18"/>
    <w:rsid w:val="001F1A25"/>
    <w:rsid w:val="001F1BA0"/>
    <w:rsid w:val="001F1C2B"/>
    <w:rsid w:val="001F2361"/>
    <w:rsid w:val="001F2BBF"/>
    <w:rsid w:val="001F3D08"/>
    <w:rsid w:val="001F4113"/>
    <w:rsid w:val="001F4201"/>
    <w:rsid w:val="001F493D"/>
    <w:rsid w:val="001F50EA"/>
    <w:rsid w:val="001F5109"/>
    <w:rsid w:val="001F5490"/>
    <w:rsid w:val="001F57FC"/>
    <w:rsid w:val="001F6051"/>
    <w:rsid w:val="001F65F2"/>
    <w:rsid w:val="001F693B"/>
    <w:rsid w:val="001F6C6B"/>
    <w:rsid w:val="001F72B8"/>
    <w:rsid w:val="001F7D1D"/>
    <w:rsid w:val="002003EE"/>
    <w:rsid w:val="002007AB"/>
    <w:rsid w:val="002007BA"/>
    <w:rsid w:val="00200A98"/>
    <w:rsid w:val="0020171C"/>
    <w:rsid w:val="00201CAE"/>
    <w:rsid w:val="002028A7"/>
    <w:rsid w:val="00202D09"/>
    <w:rsid w:val="00202EAC"/>
    <w:rsid w:val="002031E2"/>
    <w:rsid w:val="00203771"/>
    <w:rsid w:val="002037B3"/>
    <w:rsid w:val="002042E5"/>
    <w:rsid w:val="002044B0"/>
    <w:rsid w:val="00204ABB"/>
    <w:rsid w:val="00204FD7"/>
    <w:rsid w:val="0020506D"/>
    <w:rsid w:val="0020536E"/>
    <w:rsid w:val="00205AFF"/>
    <w:rsid w:val="00205D9C"/>
    <w:rsid w:val="00206453"/>
    <w:rsid w:val="00206B79"/>
    <w:rsid w:val="00206DEB"/>
    <w:rsid w:val="00206E6B"/>
    <w:rsid w:val="002077DE"/>
    <w:rsid w:val="00207C59"/>
    <w:rsid w:val="002101DE"/>
    <w:rsid w:val="002101FE"/>
    <w:rsid w:val="00210307"/>
    <w:rsid w:val="00210684"/>
    <w:rsid w:val="00211146"/>
    <w:rsid w:val="002115BB"/>
    <w:rsid w:val="00211811"/>
    <w:rsid w:val="00211967"/>
    <w:rsid w:val="00211FAA"/>
    <w:rsid w:val="0021288C"/>
    <w:rsid w:val="00213254"/>
    <w:rsid w:val="00213CA1"/>
    <w:rsid w:val="0021438A"/>
    <w:rsid w:val="00214987"/>
    <w:rsid w:val="00215079"/>
    <w:rsid w:val="00215B1D"/>
    <w:rsid w:val="00216126"/>
    <w:rsid w:val="002161A9"/>
    <w:rsid w:val="00216241"/>
    <w:rsid w:val="00216253"/>
    <w:rsid w:val="0021641A"/>
    <w:rsid w:val="002166B9"/>
    <w:rsid w:val="00216958"/>
    <w:rsid w:val="002173CC"/>
    <w:rsid w:val="002177E7"/>
    <w:rsid w:val="00217DDA"/>
    <w:rsid w:val="00217EFB"/>
    <w:rsid w:val="00220529"/>
    <w:rsid w:val="00220F51"/>
    <w:rsid w:val="002211A5"/>
    <w:rsid w:val="00221D9C"/>
    <w:rsid w:val="00221E5E"/>
    <w:rsid w:val="002228E9"/>
    <w:rsid w:val="00222AEF"/>
    <w:rsid w:val="00222AFD"/>
    <w:rsid w:val="00222EFA"/>
    <w:rsid w:val="00223AA0"/>
    <w:rsid w:val="00223AD6"/>
    <w:rsid w:val="0022430B"/>
    <w:rsid w:val="00224E7B"/>
    <w:rsid w:val="002253C0"/>
    <w:rsid w:val="002255C3"/>
    <w:rsid w:val="0022586E"/>
    <w:rsid w:val="002271D4"/>
    <w:rsid w:val="00227217"/>
    <w:rsid w:val="00230654"/>
    <w:rsid w:val="002313C5"/>
    <w:rsid w:val="002319BC"/>
    <w:rsid w:val="00231C05"/>
    <w:rsid w:val="00231C16"/>
    <w:rsid w:val="00231E2B"/>
    <w:rsid w:val="00232034"/>
    <w:rsid w:val="00232422"/>
    <w:rsid w:val="00232625"/>
    <w:rsid w:val="00233962"/>
    <w:rsid w:val="00233CC1"/>
    <w:rsid w:val="0023414A"/>
    <w:rsid w:val="00234481"/>
    <w:rsid w:val="00235373"/>
    <w:rsid w:val="00235518"/>
    <w:rsid w:val="0023562B"/>
    <w:rsid w:val="0023570D"/>
    <w:rsid w:val="0023633D"/>
    <w:rsid w:val="0023738A"/>
    <w:rsid w:val="00237F1C"/>
    <w:rsid w:val="00240815"/>
    <w:rsid w:val="00240C26"/>
    <w:rsid w:val="00241199"/>
    <w:rsid w:val="002418AA"/>
    <w:rsid w:val="00241AE6"/>
    <w:rsid w:val="00241F49"/>
    <w:rsid w:val="00242180"/>
    <w:rsid w:val="00242E82"/>
    <w:rsid w:val="00243666"/>
    <w:rsid w:val="00244125"/>
    <w:rsid w:val="00244533"/>
    <w:rsid w:val="00245126"/>
    <w:rsid w:val="002455A4"/>
    <w:rsid w:val="00245F6D"/>
    <w:rsid w:val="00247620"/>
    <w:rsid w:val="00247B4D"/>
    <w:rsid w:val="00247CCB"/>
    <w:rsid w:val="002504D8"/>
    <w:rsid w:val="00250755"/>
    <w:rsid w:val="00250AAB"/>
    <w:rsid w:val="002522D1"/>
    <w:rsid w:val="00252E2B"/>
    <w:rsid w:val="00253C7D"/>
    <w:rsid w:val="002540C7"/>
    <w:rsid w:val="002548E8"/>
    <w:rsid w:val="002548FD"/>
    <w:rsid w:val="00254E3F"/>
    <w:rsid w:val="00254F5C"/>
    <w:rsid w:val="002550EE"/>
    <w:rsid w:val="00255A17"/>
    <w:rsid w:val="00255B4D"/>
    <w:rsid w:val="002568DB"/>
    <w:rsid w:val="00256B8A"/>
    <w:rsid w:val="00256DC4"/>
    <w:rsid w:val="00256F5E"/>
    <w:rsid w:val="002577E4"/>
    <w:rsid w:val="00257C88"/>
    <w:rsid w:val="00257E40"/>
    <w:rsid w:val="00257FC2"/>
    <w:rsid w:val="00257FF7"/>
    <w:rsid w:val="00260778"/>
    <w:rsid w:val="002617BE"/>
    <w:rsid w:val="0026187E"/>
    <w:rsid w:val="00261A17"/>
    <w:rsid w:val="00262336"/>
    <w:rsid w:val="00262C7A"/>
    <w:rsid w:val="00263895"/>
    <w:rsid w:val="002640FD"/>
    <w:rsid w:val="00264150"/>
    <w:rsid w:val="002645CE"/>
    <w:rsid w:val="002656F6"/>
    <w:rsid w:val="002660E9"/>
    <w:rsid w:val="00266E85"/>
    <w:rsid w:val="00267B03"/>
    <w:rsid w:val="00270750"/>
    <w:rsid w:val="00270997"/>
    <w:rsid w:val="00271F0B"/>
    <w:rsid w:val="002720A5"/>
    <w:rsid w:val="0027212C"/>
    <w:rsid w:val="002722CB"/>
    <w:rsid w:val="00272634"/>
    <w:rsid w:val="0027278D"/>
    <w:rsid w:val="00272D61"/>
    <w:rsid w:val="00272F69"/>
    <w:rsid w:val="00273708"/>
    <w:rsid w:val="0027373C"/>
    <w:rsid w:val="00273D9D"/>
    <w:rsid w:val="00273FC4"/>
    <w:rsid w:val="002747AC"/>
    <w:rsid w:val="0027522E"/>
    <w:rsid w:val="002752D0"/>
    <w:rsid w:val="00276740"/>
    <w:rsid w:val="0027677C"/>
    <w:rsid w:val="00276F6E"/>
    <w:rsid w:val="002772A8"/>
    <w:rsid w:val="0028014E"/>
    <w:rsid w:val="00280FB9"/>
    <w:rsid w:val="00280FE0"/>
    <w:rsid w:val="00281E65"/>
    <w:rsid w:val="002820F4"/>
    <w:rsid w:val="0028246B"/>
    <w:rsid w:val="00283168"/>
    <w:rsid w:val="002842A2"/>
    <w:rsid w:val="00284B3B"/>
    <w:rsid w:val="00284F19"/>
    <w:rsid w:val="00285657"/>
    <w:rsid w:val="0028579C"/>
    <w:rsid w:val="00285AA2"/>
    <w:rsid w:val="00285B5A"/>
    <w:rsid w:val="00286B64"/>
    <w:rsid w:val="002871A4"/>
    <w:rsid w:val="00287627"/>
    <w:rsid w:val="00290351"/>
    <w:rsid w:val="002904FD"/>
    <w:rsid w:val="00291116"/>
    <w:rsid w:val="00291130"/>
    <w:rsid w:val="00291265"/>
    <w:rsid w:val="00291756"/>
    <w:rsid w:val="00291DD0"/>
    <w:rsid w:val="0029243C"/>
    <w:rsid w:val="00292832"/>
    <w:rsid w:val="00292842"/>
    <w:rsid w:val="00292F83"/>
    <w:rsid w:val="00293411"/>
    <w:rsid w:val="00293E41"/>
    <w:rsid w:val="002948C1"/>
    <w:rsid w:val="00295012"/>
    <w:rsid w:val="0029525F"/>
    <w:rsid w:val="0029618C"/>
    <w:rsid w:val="00296493"/>
    <w:rsid w:val="00297522"/>
    <w:rsid w:val="00297606"/>
    <w:rsid w:val="00297BED"/>
    <w:rsid w:val="002A006D"/>
    <w:rsid w:val="002A0366"/>
    <w:rsid w:val="002A08FE"/>
    <w:rsid w:val="002A17A8"/>
    <w:rsid w:val="002A18DB"/>
    <w:rsid w:val="002A211A"/>
    <w:rsid w:val="002A2637"/>
    <w:rsid w:val="002A3C68"/>
    <w:rsid w:val="002A3FE4"/>
    <w:rsid w:val="002A42C2"/>
    <w:rsid w:val="002A43CB"/>
    <w:rsid w:val="002A44E5"/>
    <w:rsid w:val="002A4A36"/>
    <w:rsid w:val="002A5145"/>
    <w:rsid w:val="002A57CC"/>
    <w:rsid w:val="002A5D67"/>
    <w:rsid w:val="002A5E58"/>
    <w:rsid w:val="002A674B"/>
    <w:rsid w:val="002A6842"/>
    <w:rsid w:val="002A78F1"/>
    <w:rsid w:val="002B0027"/>
    <w:rsid w:val="002B002F"/>
    <w:rsid w:val="002B0580"/>
    <w:rsid w:val="002B0E20"/>
    <w:rsid w:val="002B17FD"/>
    <w:rsid w:val="002B1F6F"/>
    <w:rsid w:val="002B39C4"/>
    <w:rsid w:val="002B3B9F"/>
    <w:rsid w:val="002B4C91"/>
    <w:rsid w:val="002B4D0D"/>
    <w:rsid w:val="002B4DFD"/>
    <w:rsid w:val="002B4FE2"/>
    <w:rsid w:val="002B5811"/>
    <w:rsid w:val="002B6544"/>
    <w:rsid w:val="002B68F4"/>
    <w:rsid w:val="002B6AF7"/>
    <w:rsid w:val="002B6F9F"/>
    <w:rsid w:val="002B7093"/>
    <w:rsid w:val="002C0B68"/>
    <w:rsid w:val="002C0F2B"/>
    <w:rsid w:val="002C12E1"/>
    <w:rsid w:val="002C1461"/>
    <w:rsid w:val="002C1750"/>
    <w:rsid w:val="002C1E3A"/>
    <w:rsid w:val="002C20A8"/>
    <w:rsid w:val="002C2EBE"/>
    <w:rsid w:val="002C46D8"/>
    <w:rsid w:val="002C4A91"/>
    <w:rsid w:val="002C5285"/>
    <w:rsid w:val="002C6B7F"/>
    <w:rsid w:val="002C6BC1"/>
    <w:rsid w:val="002C6DD8"/>
    <w:rsid w:val="002C6FDB"/>
    <w:rsid w:val="002C7EB0"/>
    <w:rsid w:val="002D056A"/>
    <w:rsid w:val="002D089C"/>
    <w:rsid w:val="002D17E1"/>
    <w:rsid w:val="002D19B3"/>
    <w:rsid w:val="002D1BC9"/>
    <w:rsid w:val="002D27B3"/>
    <w:rsid w:val="002D28E2"/>
    <w:rsid w:val="002D2D8B"/>
    <w:rsid w:val="002D2DA3"/>
    <w:rsid w:val="002D2F39"/>
    <w:rsid w:val="002D3420"/>
    <w:rsid w:val="002D3D26"/>
    <w:rsid w:val="002D3DAB"/>
    <w:rsid w:val="002D4532"/>
    <w:rsid w:val="002D4B3E"/>
    <w:rsid w:val="002D4BD1"/>
    <w:rsid w:val="002D5376"/>
    <w:rsid w:val="002D5A9A"/>
    <w:rsid w:val="002D5D66"/>
    <w:rsid w:val="002D5EFE"/>
    <w:rsid w:val="002D6905"/>
    <w:rsid w:val="002D6F6C"/>
    <w:rsid w:val="002D740F"/>
    <w:rsid w:val="002D7449"/>
    <w:rsid w:val="002D7F38"/>
    <w:rsid w:val="002E225A"/>
    <w:rsid w:val="002E2378"/>
    <w:rsid w:val="002E2CCD"/>
    <w:rsid w:val="002E2E69"/>
    <w:rsid w:val="002E3EC9"/>
    <w:rsid w:val="002E4265"/>
    <w:rsid w:val="002E470D"/>
    <w:rsid w:val="002E49E0"/>
    <w:rsid w:val="002E4EBB"/>
    <w:rsid w:val="002E5075"/>
    <w:rsid w:val="002E5087"/>
    <w:rsid w:val="002E654A"/>
    <w:rsid w:val="002E66F5"/>
    <w:rsid w:val="002E69A1"/>
    <w:rsid w:val="002E70AD"/>
    <w:rsid w:val="002E769F"/>
    <w:rsid w:val="002E7E66"/>
    <w:rsid w:val="002F0785"/>
    <w:rsid w:val="002F0CBB"/>
    <w:rsid w:val="002F0D3C"/>
    <w:rsid w:val="002F1101"/>
    <w:rsid w:val="002F1587"/>
    <w:rsid w:val="002F160C"/>
    <w:rsid w:val="002F28EF"/>
    <w:rsid w:val="002F2D6C"/>
    <w:rsid w:val="002F2EF3"/>
    <w:rsid w:val="002F36B7"/>
    <w:rsid w:val="002F3FD4"/>
    <w:rsid w:val="002F4134"/>
    <w:rsid w:val="002F453E"/>
    <w:rsid w:val="002F4612"/>
    <w:rsid w:val="002F4F73"/>
    <w:rsid w:val="002F4FB9"/>
    <w:rsid w:val="002F5862"/>
    <w:rsid w:val="002F58EC"/>
    <w:rsid w:val="002F5CB8"/>
    <w:rsid w:val="002F5D0A"/>
    <w:rsid w:val="002F668C"/>
    <w:rsid w:val="002F6A96"/>
    <w:rsid w:val="002F6FE1"/>
    <w:rsid w:val="002F7340"/>
    <w:rsid w:val="002F760A"/>
    <w:rsid w:val="003000CE"/>
    <w:rsid w:val="003003D4"/>
    <w:rsid w:val="003007DC"/>
    <w:rsid w:val="00300C48"/>
    <w:rsid w:val="00301417"/>
    <w:rsid w:val="00302481"/>
    <w:rsid w:val="00302A19"/>
    <w:rsid w:val="0030338B"/>
    <w:rsid w:val="003033BB"/>
    <w:rsid w:val="003036F7"/>
    <w:rsid w:val="0030391C"/>
    <w:rsid w:val="00305B5B"/>
    <w:rsid w:val="00306190"/>
    <w:rsid w:val="0030627D"/>
    <w:rsid w:val="00306686"/>
    <w:rsid w:val="003102D5"/>
    <w:rsid w:val="00310A81"/>
    <w:rsid w:val="00310FB5"/>
    <w:rsid w:val="0031146F"/>
    <w:rsid w:val="00311747"/>
    <w:rsid w:val="00311D08"/>
    <w:rsid w:val="00311D83"/>
    <w:rsid w:val="00311DCA"/>
    <w:rsid w:val="00312068"/>
    <w:rsid w:val="003127C5"/>
    <w:rsid w:val="00312BA4"/>
    <w:rsid w:val="00312D72"/>
    <w:rsid w:val="00312D9F"/>
    <w:rsid w:val="0031308E"/>
    <w:rsid w:val="00313214"/>
    <w:rsid w:val="00313EB1"/>
    <w:rsid w:val="0031414E"/>
    <w:rsid w:val="00314CB5"/>
    <w:rsid w:val="00315C01"/>
    <w:rsid w:val="00315C9D"/>
    <w:rsid w:val="00315DEC"/>
    <w:rsid w:val="00315DFF"/>
    <w:rsid w:val="00315F2A"/>
    <w:rsid w:val="0031612E"/>
    <w:rsid w:val="0031677A"/>
    <w:rsid w:val="00316908"/>
    <w:rsid w:val="00316960"/>
    <w:rsid w:val="003169C5"/>
    <w:rsid w:val="00317E4A"/>
    <w:rsid w:val="00320AFF"/>
    <w:rsid w:val="00320FBA"/>
    <w:rsid w:val="0032158A"/>
    <w:rsid w:val="003219B8"/>
    <w:rsid w:val="00321B36"/>
    <w:rsid w:val="0032267E"/>
    <w:rsid w:val="00322D4A"/>
    <w:rsid w:val="00323357"/>
    <w:rsid w:val="003238BC"/>
    <w:rsid w:val="003240BC"/>
    <w:rsid w:val="00324590"/>
    <w:rsid w:val="00324743"/>
    <w:rsid w:val="003248C7"/>
    <w:rsid w:val="00324D73"/>
    <w:rsid w:val="003251A9"/>
    <w:rsid w:val="003254E7"/>
    <w:rsid w:val="00325C03"/>
    <w:rsid w:val="00325C5B"/>
    <w:rsid w:val="003262CE"/>
    <w:rsid w:val="00326A9C"/>
    <w:rsid w:val="00326BF7"/>
    <w:rsid w:val="00327026"/>
    <w:rsid w:val="00330CA3"/>
    <w:rsid w:val="00331477"/>
    <w:rsid w:val="0033159B"/>
    <w:rsid w:val="00331620"/>
    <w:rsid w:val="00331873"/>
    <w:rsid w:val="00332572"/>
    <w:rsid w:val="003326B3"/>
    <w:rsid w:val="0033397E"/>
    <w:rsid w:val="0033463B"/>
    <w:rsid w:val="00335048"/>
    <w:rsid w:val="003350F8"/>
    <w:rsid w:val="00335C5E"/>
    <w:rsid w:val="00336140"/>
    <w:rsid w:val="003362C8"/>
    <w:rsid w:val="00336369"/>
    <w:rsid w:val="003364D1"/>
    <w:rsid w:val="003365AD"/>
    <w:rsid w:val="0033680E"/>
    <w:rsid w:val="00336960"/>
    <w:rsid w:val="00336F96"/>
    <w:rsid w:val="003372D7"/>
    <w:rsid w:val="0033790B"/>
    <w:rsid w:val="00340DFE"/>
    <w:rsid w:val="003418A1"/>
    <w:rsid w:val="00341ABE"/>
    <w:rsid w:val="00341DC2"/>
    <w:rsid w:val="00341DDD"/>
    <w:rsid w:val="003420F4"/>
    <w:rsid w:val="003424CB"/>
    <w:rsid w:val="00342A5F"/>
    <w:rsid w:val="003434EB"/>
    <w:rsid w:val="00343B45"/>
    <w:rsid w:val="00344B70"/>
    <w:rsid w:val="00344B8B"/>
    <w:rsid w:val="00344CB3"/>
    <w:rsid w:val="00344F0C"/>
    <w:rsid w:val="003453F0"/>
    <w:rsid w:val="00347B22"/>
    <w:rsid w:val="00350A62"/>
    <w:rsid w:val="00350A71"/>
    <w:rsid w:val="00351070"/>
    <w:rsid w:val="0035134F"/>
    <w:rsid w:val="00351620"/>
    <w:rsid w:val="0035183A"/>
    <w:rsid w:val="00351AF3"/>
    <w:rsid w:val="00351B4D"/>
    <w:rsid w:val="00353AF7"/>
    <w:rsid w:val="0035469E"/>
    <w:rsid w:val="00354991"/>
    <w:rsid w:val="003557BD"/>
    <w:rsid w:val="00355F32"/>
    <w:rsid w:val="00355F9B"/>
    <w:rsid w:val="00356091"/>
    <w:rsid w:val="00356937"/>
    <w:rsid w:val="00356E7F"/>
    <w:rsid w:val="0035704A"/>
    <w:rsid w:val="003577AD"/>
    <w:rsid w:val="00357B0A"/>
    <w:rsid w:val="00357B58"/>
    <w:rsid w:val="00360C30"/>
    <w:rsid w:val="00360DC5"/>
    <w:rsid w:val="00361613"/>
    <w:rsid w:val="0036165F"/>
    <w:rsid w:val="00361BDE"/>
    <w:rsid w:val="003624AE"/>
    <w:rsid w:val="003626B5"/>
    <w:rsid w:val="003627F0"/>
    <w:rsid w:val="003629E3"/>
    <w:rsid w:val="0036327C"/>
    <w:rsid w:val="00363CF7"/>
    <w:rsid w:val="00364893"/>
    <w:rsid w:val="0036584D"/>
    <w:rsid w:val="00365D95"/>
    <w:rsid w:val="00365DAB"/>
    <w:rsid w:val="0036698A"/>
    <w:rsid w:val="00366EBB"/>
    <w:rsid w:val="00366FF6"/>
    <w:rsid w:val="00367634"/>
    <w:rsid w:val="003706F9"/>
    <w:rsid w:val="003709E9"/>
    <w:rsid w:val="00370C67"/>
    <w:rsid w:val="003715F6"/>
    <w:rsid w:val="0037221B"/>
    <w:rsid w:val="0037231B"/>
    <w:rsid w:val="003724E1"/>
    <w:rsid w:val="00372956"/>
    <w:rsid w:val="00372EBC"/>
    <w:rsid w:val="003733F2"/>
    <w:rsid w:val="00373ECD"/>
    <w:rsid w:val="00373F2E"/>
    <w:rsid w:val="003740E4"/>
    <w:rsid w:val="003746F4"/>
    <w:rsid w:val="00374E04"/>
    <w:rsid w:val="0037546B"/>
    <w:rsid w:val="003759DD"/>
    <w:rsid w:val="00375C16"/>
    <w:rsid w:val="00376EFB"/>
    <w:rsid w:val="00376FD2"/>
    <w:rsid w:val="0037788C"/>
    <w:rsid w:val="00377F0D"/>
    <w:rsid w:val="00377FB4"/>
    <w:rsid w:val="00377FE8"/>
    <w:rsid w:val="003800D1"/>
    <w:rsid w:val="0038074F"/>
    <w:rsid w:val="00380BEB"/>
    <w:rsid w:val="00380C98"/>
    <w:rsid w:val="00380D91"/>
    <w:rsid w:val="003811D2"/>
    <w:rsid w:val="003817B0"/>
    <w:rsid w:val="003817FF"/>
    <w:rsid w:val="003819ED"/>
    <w:rsid w:val="00381BC1"/>
    <w:rsid w:val="00381CA9"/>
    <w:rsid w:val="00381D76"/>
    <w:rsid w:val="00381EFC"/>
    <w:rsid w:val="00382B84"/>
    <w:rsid w:val="00382E63"/>
    <w:rsid w:val="00382ED7"/>
    <w:rsid w:val="003832DB"/>
    <w:rsid w:val="0038393F"/>
    <w:rsid w:val="00383B36"/>
    <w:rsid w:val="00384076"/>
    <w:rsid w:val="00384977"/>
    <w:rsid w:val="00385028"/>
    <w:rsid w:val="00385032"/>
    <w:rsid w:val="0038584A"/>
    <w:rsid w:val="00385C0C"/>
    <w:rsid w:val="00385C69"/>
    <w:rsid w:val="00385F2E"/>
    <w:rsid w:val="0038604C"/>
    <w:rsid w:val="003864FD"/>
    <w:rsid w:val="003876FD"/>
    <w:rsid w:val="0038783A"/>
    <w:rsid w:val="00387A1F"/>
    <w:rsid w:val="00387D8A"/>
    <w:rsid w:val="003904C3"/>
    <w:rsid w:val="00390B8B"/>
    <w:rsid w:val="00390D73"/>
    <w:rsid w:val="00391701"/>
    <w:rsid w:val="00391DDF"/>
    <w:rsid w:val="00392160"/>
    <w:rsid w:val="0039250D"/>
    <w:rsid w:val="0039260B"/>
    <w:rsid w:val="0039402B"/>
    <w:rsid w:val="0039419C"/>
    <w:rsid w:val="003944CE"/>
    <w:rsid w:val="003946BA"/>
    <w:rsid w:val="0039508E"/>
    <w:rsid w:val="0039580B"/>
    <w:rsid w:val="003969AB"/>
    <w:rsid w:val="00396AB1"/>
    <w:rsid w:val="00396BAE"/>
    <w:rsid w:val="00396DEB"/>
    <w:rsid w:val="0039703A"/>
    <w:rsid w:val="0039739B"/>
    <w:rsid w:val="003A0468"/>
    <w:rsid w:val="003A084D"/>
    <w:rsid w:val="003A0855"/>
    <w:rsid w:val="003A12FC"/>
    <w:rsid w:val="003A26EA"/>
    <w:rsid w:val="003A2708"/>
    <w:rsid w:val="003A28BE"/>
    <w:rsid w:val="003A2AB5"/>
    <w:rsid w:val="003A2B96"/>
    <w:rsid w:val="003A2CD7"/>
    <w:rsid w:val="003A37D8"/>
    <w:rsid w:val="003A3A40"/>
    <w:rsid w:val="003A3A60"/>
    <w:rsid w:val="003A3E02"/>
    <w:rsid w:val="003A45E5"/>
    <w:rsid w:val="003A4936"/>
    <w:rsid w:val="003A4AA7"/>
    <w:rsid w:val="003A533D"/>
    <w:rsid w:val="003A5DCB"/>
    <w:rsid w:val="003A61BB"/>
    <w:rsid w:val="003A68B8"/>
    <w:rsid w:val="003A7B47"/>
    <w:rsid w:val="003A7E95"/>
    <w:rsid w:val="003A7FF5"/>
    <w:rsid w:val="003B04F9"/>
    <w:rsid w:val="003B088B"/>
    <w:rsid w:val="003B126B"/>
    <w:rsid w:val="003B20B1"/>
    <w:rsid w:val="003B24AF"/>
    <w:rsid w:val="003B2524"/>
    <w:rsid w:val="003B2ADF"/>
    <w:rsid w:val="003B2D63"/>
    <w:rsid w:val="003B46A2"/>
    <w:rsid w:val="003B4E7F"/>
    <w:rsid w:val="003B54BF"/>
    <w:rsid w:val="003B63A3"/>
    <w:rsid w:val="003B68D0"/>
    <w:rsid w:val="003B71E5"/>
    <w:rsid w:val="003B74EE"/>
    <w:rsid w:val="003C0749"/>
    <w:rsid w:val="003C0F99"/>
    <w:rsid w:val="003C16B4"/>
    <w:rsid w:val="003C16CD"/>
    <w:rsid w:val="003C21EF"/>
    <w:rsid w:val="003C3135"/>
    <w:rsid w:val="003C3FB3"/>
    <w:rsid w:val="003C447B"/>
    <w:rsid w:val="003C5731"/>
    <w:rsid w:val="003C5735"/>
    <w:rsid w:val="003C5A11"/>
    <w:rsid w:val="003C6FB7"/>
    <w:rsid w:val="003C7204"/>
    <w:rsid w:val="003C7655"/>
    <w:rsid w:val="003C7D04"/>
    <w:rsid w:val="003D1201"/>
    <w:rsid w:val="003D1204"/>
    <w:rsid w:val="003D1C67"/>
    <w:rsid w:val="003D2EE4"/>
    <w:rsid w:val="003D34F7"/>
    <w:rsid w:val="003D3559"/>
    <w:rsid w:val="003D3DCD"/>
    <w:rsid w:val="003D3F40"/>
    <w:rsid w:val="003D3FDE"/>
    <w:rsid w:val="003D45CF"/>
    <w:rsid w:val="003D4735"/>
    <w:rsid w:val="003D56E1"/>
    <w:rsid w:val="003D595D"/>
    <w:rsid w:val="003D5BA4"/>
    <w:rsid w:val="003D5C27"/>
    <w:rsid w:val="003D5C5C"/>
    <w:rsid w:val="003D615E"/>
    <w:rsid w:val="003D654D"/>
    <w:rsid w:val="003D6E20"/>
    <w:rsid w:val="003D7FF7"/>
    <w:rsid w:val="003E0590"/>
    <w:rsid w:val="003E14FD"/>
    <w:rsid w:val="003E16D0"/>
    <w:rsid w:val="003E183C"/>
    <w:rsid w:val="003E19D3"/>
    <w:rsid w:val="003E1C39"/>
    <w:rsid w:val="003E20FF"/>
    <w:rsid w:val="003E220A"/>
    <w:rsid w:val="003E3030"/>
    <w:rsid w:val="003E3636"/>
    <w:rsid w:val="003E421D"/>
    <w:rsid w:val="003E45A6"/>
    <w:rsid w:val="003E4839"/>
    <w:rsid w:val="003E4F94"/>
    <w:rsid w:val="003E5D5C"/>
    <w:rsid w:val="003E72FF"/>
    <w:rsid w:val="003E770D"/>
    <w:rsid w:val="003F0C6F"/>
    <w:rsid w:val="003F13EB"/>
    <w:rsid w:val="003F168C"/>
    <w:rsid w:val="003F1DAA"/>
    <w:rsid w:val="003F2618"/>
    <w:rsid w:val="003F2CD7"/>
    <w:rsid w:val="003F38A0"/>
    <w:rsid w:val="003F3A38"/>
    <w:rsid w:val="003F43C1"/>
    <w:rsid w:val="003F4BB5"/>
    <w:rsid w:val="003F4F59"/>
    <w:rsid w:val="003F5251"/>
    <w:rsid w:val="003F5457"/>
    <w:rsid w:val="003F59DB"/>
    <w:rsid w:val="003F5C19"/>
    <w:rsid w:val="003F5F9A"/>
    <w:rsid w:val="003F6CC0"/>
    <w:rsid w:val="003F70FC"/>
    <w:rsid w:val="0040009D"/>
    <w:rsid w:val="00400272"/>
    <w:rsid w:val="004008EF"/>
    <w:rsid w:val="00400D08"/>
    <w:rsid w:val="00400F2A"/>
    <w:rsid w:val="00401108"/>
    <w:rsid w:val="0040187C"/>
    <w:rsid w:val="00401AC2"/>
    <w:rsid w:val="00401D5D"/>
    <w:rsid w:val="00402078"/>
    <w:rsid w:val="00402525"/>
    <w:rsid w:val="00402BED"/>
    <w:rsid w:val="0040432E"/>
    <w:rsid w:val="00404A6C"/>
    <w:rsid w:val="00404A96"/>
    <w:rsid w:val="00404BA1"/>
    <w:rsid w:val="00404BFA"/>
    <w:rsid w:val="00404E1D"/>
    <w:rsid w:val="004059DA"/>
    <w:rsid w:val="004059FF"/>
    <w:rsid w:val="00406572"/>
    <w:rsid w:val="004068C4"/>
    <w:rsid w:val="00407035"/>
    <w:rsid w:val="0041048D"/>
    <w:rsid w:val="00410840"/>
    <w:rsid w:val="00410C12"/>
    <w:rsid w:val="00410FC9"/>
    <w:rsid w:val="0041108A"/>
    <w:rsid w:val="00411983"/>
    <w:rsid w:val="00412348"/>
    <w:rsid w:val="00412745"/>
    <w:rsid w:val="004129EA"/>
    <w:rsid w:val="00412C67"/>
    <w:rsid w:val="00412D73"/>
    <w:rsid w:val="0041331F"/>
    <w:rsid w:val="00413906"/>
    <w:rsid w:val="00413C3E"/>
    <w:rsid w:val="00415197"/>
    <w:rsid w:val="0041590E"/>
    <w:rsid w:val="00416810"/>
    <w:rsid w:val="00416831"/>
    <w:rsid w:val="00416DB1"/>
    <w:rsid w:val="00416ED3"/>
    <w:rsid w:val="00417541"/>
    <w:rsid w:val="00417911"/>
    <w:rsid w:val="00420083"/>
    <w:rsid w:val="00420370"/>
    <w:rsid w:val="0042067B"/>
    <w:rsid w:val="004206B4"/>
    <w:rsid w:val="0042085E"/>
    <w:rsid w:val="00420A18"/>
    <w:rsid w:val="00420AB8"/>
    <w:rsid w:val="00420BEF"/>
    <w:rsid w:val="00420D6B"/>
    <w:rsid w:val="00420D6C"/>
    <w:rsid w:val="00421A77"/>
    <w:rsid w:val="004225C3"/>
    <w:rsid w:val="0042296A"/>
    <w:rsid w:val="00422C28"/>
    <w:rsid w:val="0042340F"/>
    <w:rsid w:val="004234EE"/>
    <w:rsid w:val="00423708"/>
    <w:rsid w:val="004239ED"/>
    <w:rsid w:val="00423B18"/>
    <w:rsid w:val="00423C2D"/>
    <w:rsid w:val="00424368"/>
    <w:rsid w:val="00424A64"/>
    <w:rsid w:val="00424BF3"/>
    <w:rsid w:val="00424EBA"/>
    <w:rsid w:val="00425560"/>
    <w:rsid w:val="004264E3"/>
    <w:rsid w:val="00426CBE"/>
    <w:rsid w:val="00430824"/>
    <w:rsid w:val="00430E99"/>
    <w:rsid w:val="0043113F"/>
    <w:rsid w:val="004313F4"/>
    <w:rsid w:val="004316C8"/>
    <w:rsid w:val="00431E92"/>
    <w:rsid w:val="004320EA"/>
    <w:rsid w:val="004326CC"/>
    <w:rsid w:val="004326D2"/>
    <w:rsid w:val="0043377F"/>
    <w:rsid w:val="0043379A"/>
    <w:rsid w:val="00433942"/>
    <w:rsid w:val="00434319"/>
    <w:rsid w:val="00435211"/>
    <w:rsid w:val="0043543E"/>
    <w:rsid w:val="0043562C"/>
    <w:rsid w:val="004360E0"/>
    <w:rsid w:val="00436317"/>
    <w:rsid w:val="00437055"/>
    <w:rsid w:val="0043709A"/>
    <w:rsid w:val="0043725D"/>
    <w:rsid w:val="004373BA"/>
    <w:rsid w:val="004375D2"/>
    <w:rsid w:val="0043774F"/>
    <w:rsid w:val="00440166"/>
    <w:rsid w:val="004417E6"/>
    <w:rsid w:val="00441B7C"/>
    <w:rsid w:val="00441F28"/>
    <w:rsid w:val="004421C8"/>
    <w:rsid w:val="00442251"/>
    <w:rsid w:val="00442825"/>
    <w:rsid w:val="004432E7"/>
    <w:rsid w:val="00444E23"/>
    <w:rsid w:val="00444E37"/>
    <w:rsid w:val="00444ED7"/>
    <w:rsid w:val="0044565D"/>
    <w:rsid w:val="00445EC7"/>
    <w:rsid w:val="00447AE2"/>
    <w:rsid w:val="00447F31"/>
    <w:rsid w:val="00450D89"/>
    <w:rsid w:val="00451A56"/>
    <w:rsid w:val="00452369"/>
    <w:rsid w:val="004529B8"/>
    <w:rsid w:val="00452DF5"/>
    <w:rsid w:val="004534E4"/>
    <w:rsid w:val="004559BF"/>
    <w:rsid w:val="00456018"/>
    <w:rsid w:val="00456273"/>
    <w:rsid w:val="00456ADF"/>
    <w:rsid w:val="00456F2F"/>
    <w:rsid w:val="00457C22"/>
    <w:rsid w:val="00460331"/>
    <w:rsid w:val="004609CC"/>
    <w:rsid w:val="00461D4D"/>
    <w:rsid w:val="00462287"/>
    <w:rsid w:val="00462C61"/>
    <w:rsid w:val="00462E86"/>
    <w:rsid w:val="004636A4"/>
    <w:rsid w:val="004637EF"/>
    <w:rsid w:val="00463AD6"/>
    <w:rsid w:val="00463C82"/>
    <w:rsid w:val="00463EB9"/>
    <w:rsid w:val="00463EE7"/>
    <w:rsid w:val="004643A8"/>
    <w:rsid w:val="00464C2C"/>
    <w:rsid w:val="0046508B"/>
    <w:rsid w:val="004653DB"/>
    <w:rsid w:val="00465C29"/>
    <w:rsid w:val="00465F11"/>
    <w:rsid w:val="00465F69"/>
    <w:rsid w:val="00466103"/>
    <w:rsid w:val="004664C8"/>
    <w:rsid w:val="004665A9"/>
    <w:rsid w:val="0046691A"/>
    <w:rsid w:val="004669E1"/>
    <w:rsid w:val="00466E46"/>
    <w:rsid w:val="0046700B"/>
    <w:rsid w:val="004670DA"/>
    <w:rsid w:val="0046727B"/>
    <w:rsid w:val="0046756E"/>
    <w:rsid w:val="00467E59"/>
    <w:rsid w:val="004701B5"/>
    <w:rsid w:val="00470C6E"/>
    <w:rsid w:val="00470C83"/>
    <w:rsid w:val="00470EA0"/>
    <w:rsid w:val="004715F5"/>
    <w:rsid w:val="00471F99"/>
    <w:rsid w:val="004722D6"/>
    <w:rsid w:val="004735CD"/>
    <w:rsid w:val="004736FC"/>
    <w:rsid w:val="0047372C"/>
    <w:rsid w:val="00473E9C"/>
    <w:rsid w:val="00474270"/>
    <w:rsid w:val="004746E5"/>
    <w:rsid w:val="0047531E"/>
    <w:rsid w:val="00475B20"/>
    <w:rsid w:val="004767BF"/>
    <w:rsid w:val="0047704C"/>
    <w:rsid w:val="004771C5"/>
    <w:rsid w:val="004771D2"/>
    <w:rsid w:val="0047778D"/>
    <w:rsid w:val="00480109"/>
    <w:rsid w:val="004802C0"/>
    <w:rsid w:val="004808DE"/>
    <w:rsid w:val="00481326"/>
    <w:rsid w:val="00481CCA"/>
    <w:rsid w:val="00481E9C"/>
    <w:rsid w:val="00481F46"/>
    <w:rsid w:val="00482383"/>
    <w:rsid w:val="0048265B"/>
    <w:rsid w:val="004828D5"/>
    <w:rsid w:val="0048376C"/>
    <w:rsid w:val="004838A9"/>
    <w:rsid w:val="00483BC6"/>
    <w:rsid w:val="00484CC5"/>
    <w:rsid w:val="00486042"/>
    <w:rsid w:val="004862A8"/>
    <w:rsid w:val="004862C5"/>
    <w:rsid w:val="00486459"/>
    <w:rsid w:val="00486669"/>
    <w:rsid w:val="00486B02"/>
    <w:rsid w:val="0048799B"/>
    <w:rsid w:val="00487A84"/>
    <w:rsid w:val="00490974"/>
    <w:rsid w:val="00490AF0"/>
    <w:rsid w:val="004918B1"/>
    <w:rsid w:val="004926C1"/>
    <w:rsid w:val="00492DC4"/>
    <w:rsid w:val="0049359C"/>
    <w:rsid w:val="00493D2E"/>
    <w:rsid w:val="00494A21"/>
    <w:rsid w:val="00494E97"/>
    <w:rsid w:val="00495950"/>
    <w:rsid w:val="00495EEA"/>
    <w:rsid w:val="0049669C"/>
    <w:rsid w:val="0049680A"/>
    <w:rsid w:val="0049695F"/>
    <w:rsid w:val="00496EC0"/>
    <w:rsid w:val="00497E1E"/>
    <w:rsid w:val="00497F72"/>
    <w:rsid w:val="004A1DAB"/>
    <w:rsid w:val="004A1F04"/>
    <w:rsid w:val="004A1F76"/>
    <w:rsid w:val="004A20C3"/>
    <w:rsid w:val="004A305D"/>
    <w:rsid w:val="004A33D3"/>
    <w:rsid w:val="004A35F7"/>
    <w:rsid w:val="004A368C"/>
    <w:rsid w:val="004A38AD"/>
    <w:rsid w:val="004A3E26"/>
    <w:rsid w:val="004A432A"/>
    <w:rsid w:val="004A4D19"/>
    <w:rsid w:val="004A5023"/>
    <w:rsid w:val="004A57A6"/>
    <w:rsid w:val="004A5920"/>
    <w:rsid w:val="004A5BD6"/>
    <w:rsid w:val="004A5CDF"/>
    <w:rsid w:val="004A60E2"/>
    <w:rsid w:val="004A6B3D"/>
    <w:rsid w:val="004A7388"/>
    <w:rsid w:val="004A75E2"/>
    <w:rsid w:val="004A76FA"/>
    <w:rsid w:val="004A7A38"/>
    <w:rsid w:val="004B0C22"/>
    <w:rsid w:val="004B0F0F"/>
    <w:rsid w:val="004B2062"/>
    <w:rsid w:val="004B259C"/>
    <w:rsid w:val="004B2C65"/>
    <w:rsid w:val="004B3C3D"/>
    <w:rsid w:val="004B3F9F"/>
    <w:rsid w:val="004B4331"/>
    <w:rsid w:val="004B46F8"/>
    <w:rsid w:val="004B4BD8"/>
    <w:rsid w:val="004B5350"/>
    <w:rsid w:val="004B5CE6"/>
    <w:rsid w:val="004B6636"/>
    <w:rsid w:val="004B681F"/>
    <w:rsid w:val="004B6D84"/>
    <w:rsid w:val="004B751B"/>
    <w:rsid w:val="004B75B1"/>
    <w:rsid w:val="004B78CD"/>
    <w:rsid w:val="004B7A55"/>
    <w:rsid w:val="004B7DE4"/>
    <w:rsid w:val="004C0EF3"/>
    <w:rsid w:val="004C1D11"/>
    <w:rsid w:val="004C2275"/>
    <w:rsid w:val="004C2DE7"/>
    <w:rsid w:val="004C2E21"/>
    <w:rsid w:val="004C3760"/>
    <w:rsid w:val="004C43CE"/>
    <w:rsid w:val="004C4736"/>
    <w:rsid w:val="004C4C7D"/>
    <w:rsid w:val="004C58C7"/>
    <w:rsid w:val="004C5ACA"/>
    <w:rsid w:val="004C5AFB"/>
    <w:rsid w:val="004C5D12"/>
    <w:rsid w:val="004C6093"/>
    <w:rsid w:val="004C65C6"/>
    <w:rsid w:val="004C66F0"/>
    <w:rsid w:val="004C6B92"/>
    <w:rsid w:val="004C6DFD"/>
    <w:rsid w:val="004C79C2"/>
    <w:rsid w:val="004C7B2E"/>
    <w:rsid w:val="004D000E"/>
    <w:rsid w:val="004D03F0"/>
    <w:rsid w:val="004D0856"/>
    <w:rsid w:val="004D204A"/>
    <w:rsid w:val="004D25AF"/>
    <w:rsid w:val="004D26A3"/>
    <w:rsid w:val="004D277D"/>
    <w:rsid w:val="004D3141"/>
    <w:rsid w:val="004D369D"/>
    <w:rsid w:val="004D3A8C"/>
    <w:rsid w:val="004D3B52"/>
    <w:rsid w:val="004D3EB0"/>
    <w:rsid w:val="004D4AA6"/>
    <w:rsid w:val="004D4B80"/>
    <w:rsid w:val="004D4E5E"/>
    <w:rsid w:val="004D4FBD"/>
    <w:rsid w:val="004D4FDE"/>
    <w:rsid w:val="004D5080"/>
    <w:rsid w:val="004D59E1"/>
    <w:rsid w:val="004D5F17"/>
    <w:rsid w:val="004D614E"/>
    <w:rsid w:val="004D660D"/>
    <w:rsid w:val="004D7393"/>
    <w:rsid w:val="004D7725"/>
    <w:rsid w:val="004D7BC6"/>
    <w:rsid w:val="004D7CC4"/>
    <w:rsid w:val="004E057D"/>
    <w:rsid w:val="004E06CB"/>
    <w:rsid w:val="004E13A6"/>
    <w:rsid w:val="004E220C"/>
    <w:rsid w:val="004E26E3"/>
    <w:rsid w:val="004E2A4C"/>
    <w:rsid w:val="004E43E0"/>
    <w:rsid w:val="004E4B56"/>
    <w:rsid w:val="004E50B7"/>
    <w:rsid w:val="004E53BA"/>
    <w:rsid w:val="004E6A74"/>
    <w:rsid w:val="004E707A"/>
    <w:rsid w:val="004E7B2D"/>
    <w:rsid w:val="004E7F18"/>
    <w:rsid w:val="004F06EE"/>
    <w:rsid w:val="004F08A3"/>
    <w:rsid w:val="004F0B52"/>
    <w:rsid w:val="004F0BEF"/>
    <w:rsid w:val="004F1669"/>
    <w:rsid w:val="004F1CEE"/>
    <w:rsid w:val="004F2000"/>
    <w:rsid w:val="004F2155"/>
    <w:rsid w:val="004F2332"/>
    <w:rsid w:val="004F3013"/>
    <w:rsid w:val="004F3330"/>
    <w:rsid w:val="004F3515"/>
    <w:rsid w:val="004F3576"/>
    <w:rsid w:val="004F40A0"/>
    <w:rsid w:val="004F4398"/>
    <w:rsid w:val="004F4E90"/>
    <w:rsid w:val="004F5652"/>
    <w:rsid w:val="004F6EDF"/>
    <w:rsid w:val="004F723B"/>
    <w:rsid w:val="004F7337"/>
    <w:rsid w:val="0050024E"/>
    <w:rsid w:val="00500711"/>
    <w:rsid w:val="0050074F"/>
    <w:rsid w:val="00501508"/>
    <w:rsid w:val="005016D3"/>
    <w:rsid w:val="00501E82"/>
    <w:rsid w:val="00501F54"/>
    <w:rsid w:val="005021D4"/>
    <w:rsid w:val="00502214"/>
    <w:rsid w:val="00502A36"/>
    <w:rsid w:val="00502E62"/>
    <w:rsid w:val="00502F0F"/>
    <w:rsid w:val="00503A89"/>
    <w:rsid w:val="00503B3A"/>
    <w:rsid w:val="00503B66"/>
    <w:rsid w:val="005044BE"/>
    <w:rsid w:val="005046FF"/>
    <w:rsid w:val="00504F0D"/>
    <w:rsid w:val="0050571B"/>
    <w:rsid w:val="005057F2"/>
    <w:rsid w:val="00505C14"/>
    <w:rsid w:val="00505C2E"/>
    <w:rsid w:val="00506524"/>
    <w:rsid w:val="005066A2"/>
    <w:rsid w:val="00507305"/>
    <w:rsid w:val="00507744"/>
    <w:rsid w:val="005077E9"/>
    <w:rsid w:val="00507EC2"/>
    <w:rsid w:val="005107F1"/>
    <w:rsid w:val="00510AAC"/>
    <w:rsid w:val="00510BB9"/>
    <w:rsid w:val="00511147"/>
    <w:rsid w:val="00511F98"/>
    <w:rsid w:val="0051283A"/>
    <w:rsid w:val="0051299B"/>
    <w:rsid w:val="00512FEB"/>
    <w:rsid w:val="00514D6F"/>
    <w:rsid w:val="00515016"/>
    <w:rsid w:val="0051544E"/>
    <w:rsid w:val="005155F4"/>
    <w:rsid w:val="00515D74"/>
    <w:rsid w:val="00515DD1"/>
    <w:rsid w:val="005161CA"/>
    <w:rsid w:val="00516579"/>
    <w:rsid w:val="00516E92"/>
    <w:rsid w:val="00516F4A"/>
    <w:rsid w:val="00517002"/>
    <w:rsid w:val="005177C2"/>
    <w:rsid w:val="005201D1"/>
    <w:rsid w:val="00520E44"/>
    <w:rsid w:val="005213E5"/>
    <w:rsid w:val="00521496"/>
    <w:rsid w:val="00521CD3"/>
    <w:rsid w:val="0052361C"/>
    <w:rsid w:val="0052382B"/>
    <w:rsid w:val="00523999"/>
    <w:rsid w:val="005239AF"/>
    <w:rsid w:val="00523DC8"/>
    <w:rsid w:val="0052429C"/>
    <w:rsid w:val="00524433"/>
    <w:rsid w:val="00525218"/>
    <w:rsid w:val="00525D0B"/>
    <w:rsid w:val="00525D6D"/>
    <w:rsid w:val="0052643A"/>
    <w:rsid w:val="00526A33"/>
    <w:rsid w:val="00526F12"/>
    <w:rsid w:val="00526F39"/>
    <w:rsid w:val="00527358"/>
    <w:rsid w:val="0052752B"/>
    <w:rsid w:val="005276B6"/>
    <w:rsid w:val="00527DB2"/>
    <w:rsid w:val="00530534"/>
    <w:rsid w:val="00530606"/>
    <w:rsid w:val="00530B96"/>
    <w:rsid w:val="00531920"/>
    <w:rsid w:val="005319FC"/>
    <w:rsid w:val="0053202B"/>
    <w:rsid w:val="0053233E"/>
    <w:rsid w:val="00532639"/>
    <w:rsid w:val="00533152"/>
    <w:rsid w:val="005334A9"/>
    <w:rsid w:val="00533A83"/>
    <w:rsid w:val="00534098"/>
    <w:rsid w:val="00534136"/>
    <w:rsid w:val="005341AA"/>
    <w:rsid w:val="00534908"/>
    <w:rsid w:val="0053619D"/>
    <w:rsid w:val="00536448"/>
    <w:rsid w:val="00536774"/>
    <w:rsid w:val="00536A5D"/>
    <w:rsid w:val="00536AD7"/>
    <w:rsid w:val="0053704B"/>
    <w:rsid w:val="00537AB9"/>
    <w:rsid w:val="00537D62"/>
    <w:rsid w:val="005402B6"/>
    <w:rsid w:val="00540957"/>
    <w:rsid w:val="00541200"/>
    <w:rsid w:val="00541F96"/>
    <w:rsid w:val="00542786"/>
    <w:rsid w:val="00542BBD"/>
    <w:rsid w:val="00542D82"/>
    <w:rsid w:val="005432C5"/>
    <w:rsid w:val="00543539"/>
    <w:rsid w:val="00543BDB"/>
    <w:rsid w:val="00543D3B"/>
    <w:rsid w:val="00544143"/>
    <w:rsid w:val="005442F8"/>
    <w:rsid w:val="00544373"/>
    <w:rsid w:val="00544410"/>
    <w:rsid w:val="0054498C"/>
    <w:rsid w:val="00544A4E"/>
    <w:rsid w:val="00544C85"/>
    <w:rsid w:val="00544DC4"/>
    <w:rsid w:val="00544FCC"/>
    <w:rsid w:val="00545348"/>
    <w:rsid w:val="005454AD"/>
    <w:rsid w:val="00545624"/>
    <w:rsid w:val="00545E9E"/>
    <w:rsid w:val="0054609D"/>
    <w:rsid w:val="005464AA"/>
    <w:rsid w:val="00546577"/>
    <w:rsid w:val="00546B42"/>
    <w:rsid w:val="005479B2"/>
    <w:rsid w:val="00547CAE"/>
    <w:rsid w:val="00547D93"/>
    <w:rsid w:val="005500F3"/>
    <w:rsid w:val="00550516"/>
    <w:rsid w:val="00550981"/>
    <w:rsid w:val="005510D7"/>
    <w:rsid w:val="005510F2"/>
    <w:rsid w:val="005516FC"/>
    <w:rsid w:val="00551BAC"/>
    <w:rsid w:val="00551C53"/>
    <w:rsid w:val="00552299"/>
    <w:rsid w:val="005529ED"/>
    <w:rsid w:val="00552E08"/>
    <w:rsid w:val="005536B9"/>
    <w:rsid w:val="00553C02"/>
    <w:rsid w:val="00553C20"/>
    <w:rsid w:val="005540E8"/>
    <w:rsid w:val="00554622"/>
    <w:rsid w:val="005552D0"/>
    <w:rsid w:val="0055536E"/>
    <w:rsid w:val="00555679"/>
    <w:rsid w:val="00555784"/>
    <w:rsid w:val="005559B7"/>
    <w:rsid w:val="00555A8A"/>
    <w:rsid w:val="00555E1B"/>
    <w:rsid w:val="005562E6"/>
    <w:rsid w:val="00556C17"/>
    <w:rsid w:val="005577E2"/>
    <w:rsid w:val="00557ACC"/>
    <w:rsid w:val="00557C24"/>
    <w:rsid w:val="0056028B"/>
    <w:rsid w:val="005607E0"/>
    <w:rsid w:val="005610C8"/>
    <w:rsid w:val="0056135F"/>
    <w:rsid w:val="005614C7"/>
    <w:rsid w:val="005615E2"/>
    <w:rsid w:val="00561988"/>
    <w:rsid w:val="00561994"/>
    <w:rsid w:val="00561CEF"/>
    <w:rsid w:val="00561D98"/>
    <w:rsid w:val="00561DFD"/>
    <w:rsid w:val="00561E6A"/>
    <w:rsid w:val="00561F88"/>
    <w:rsid w:val="005626B3"/>
    <w:rsid w:val="00562B95"/>
    <w:rsid w:val="00562F45"/>
    <w:rsid w:val="005632CA"/>
    <w:rsid w:val="00563559"/>
    <w:rsid w:val="005635F9"/>
    <w:rsid w:val="00563EBC"/>
    <w:rsid w:val="00564943"/>
    <w:rsid w:val="00564F57"/>
    <w:rsid w:val="005650E9"/>
    <w:rsid w:val="00565502"/>
    <w:rsid w:val="005665B2"/>
    <w:rsid w:val="0056759D"/>
    <w:rsid w:val="00567D53"/>
    <w:rsid w:val="00567EDD"/>
    <w:rsid w:val="00570470"/>
    <w:rsid w:val="00570634"/>
    <w:rsid w:val="00571922"/>
    <w:rsid w:val="00571FDF"/>
    <w:rsid w:val="005722EC"/>
    <w:rsid w:val="00572509"/>
    <w:rsid w:val="005728A8"/>
    <w:rsid w:val="00572AF2"/>
    <w:rsid w:val="00572C61"/>
    <w:rsid w:val="005730EA"/>
    <w:rsid w:val="0057315F"/>
    <w:rsid w:val="00574578"/>
    <w:rsid w:val="00574A0C"/>
    <w:rsid w:val="005750B3"/>
    <w:rsid w:val="005750CA"/>
    <w:rsid w:val="005750F3"/>
    <w:rsid w:val="00575124"/>
    <w:rsid w:val="00575173"/>
    <w:rsid w:val="005756BA"/>
    <w:rsid w:val="00575836"/>
    <w:rsid w:val="00575CF6"/>
    <w:rsid w:val="00575EDF"/>
    <w:rsid w:val="00575F40"/>
    <w:rsid w:val="005763ED"/>
    <w:rsid w:val="00576FE2"/>
    <w:rsid w:val="005771AA"/>
    <w:rsid w:val="00577749"/>
    <w:rsid w:val="00577D7D"/>
    <w:rsid w:val="00580751"/>
    <w:rsid w:val="0058096E"/>
    <w:rsid w:val="00581539"/>
    <w:rsid w:val="00581680"/>
    <w:rsid w:val="00582297"/>
    <w:rsid w:val="00582556"/>
    <w:rsid w:val="00583648"/>
    <w:rsid w:val="0058441F"/>
    <w:rsid w:val="00585589"/>
    <w:rsid w:val="005859E1"/>
    <w:rsid w:val="00585A99"/>
    <w:rsid w:val="005867E6"/>
    <w:rsid w:val="00586A50"/>
    <w:rsid w:val="005872F2"/>
    <w:rsid w:val="00587A6B"/>
    <w:rsid w:val="00587DA5"/>
    <w:rsid w:val="00587FA0"/>
    <w:rsid w:val="00590164"/>
    <w:rsid w:val="00590229"/>
    <w:rsid w:val="00590E1D"/>
    <w:rsid w:val="005913D2"/>
    <w:rsid w:val="00591533"/>
    <w:rsid w:val="00592725"/>
    <w:rsid w:val="00592871"/>
    <w:rsid w:val="00593703"/>
    <w:rsid w:val="00593DF5"/>
    <w:rsid w:val="00594408"/>
    <w:rsid w:val="005945D8"/>
    <w:rsid w:val="00594C96"/>
    <w:rsid w:val="00594D94"/>
    <w:rsid w:val="00594E1A"/>
    <w:rsid w:val="005956EF"/>
    <w:rsid w:val="005958E6"/>
    <w:rsid w:val="00596167"/>
    <w:rsid w:val="00596432"/>
    <w:rsid w:val="005A0229"/>
    <w:rsid w:val="005A08BB"/>
    <w:rsid w:val="005A1C18"/>
    <w:rsid w:val="005A23F3"/>
    <w:rsid w:val="005A2583"/>
    <w:rsid w:val="005A2E65"/>
    <w:rsid w:val="005A331E"/>
    <w:rsid w:val="005A45FC"/>
    <w:rsid w:val="005A4744"/>
    <w:rsid w:val="005A4E96"/>
    <w:rsid w:val="005A5278"/>
    <w:rsid w:val="005A5D0E"/>
    <w:rsid w:val="005A6180"/>
    <w:rsid w:val="005A6B17"/>
    <w:rsid w:val="005A726A"/>
    <w:rsid w:val="005A7922"/>
    <w:rsid w:val="005A7CE6"/>
    <w:rsid w:val="005B0279"/>
    <w:rsid w:val="005B02BA"/>
    <w:rsid w:val="005B04F0"/>
    <w:rsid w:val="005B08B7"/>
    <w:rsid w:val="005B0B17"/>
    <w:rsid w:val="005B0D46"/>
    <w:rsid w:val="005B2970"/>
    <w:rsid w:val="005B387A"/>
    <w:rsid w:val="005B39A6"/>
    <w:rsid w:val="005B43E2"/>
    <w:rsid w:val="005B47FB"/>
    <w:rsid w:val="005B4989"/>
    <w:rsid w:val="005B530E"/>
    <w:rsid w:val="005B5AB4"/>
    <w:rsid w:val="005B63BB"/>
    <w:rsid w:val="005B66E8"/>
    <w:rsid w:val="005B74E4"/>
    <w:rsid w:val="005C074E"/>
    <w:rsid w:val="005C07EC"/>
    <w:rsid w:val="005C0D04"/>
    <w:rsid w:val="005C1233"/>
    <w:rsid w:val="005C17CB"/>
    <w:rsid w:val="005C23D2"/>
    <w:rsid w:val="005C2450"/>
    <w:rsid w:val="005C31B5"/>
    <w:rsid w:val="005C3382"/>
    <w:rsid w:val="005C3AB8"/>
    <w:rsid w:val="005C415E"/>
    <w:rsid w:val="005C4726"/>
    <w:rsid w:val="005C4A5E"/>
    <w:rsid w:val="005C5041"/>
    <w:rsid w:val="005C5544"/>
    <w:rsid w:val="005C62EC"/>
    <w:rsid w:val="005C7EC1"/>
    <w:rsid w:val="005D089B"/>
    <w:rsid w:val="005D0AFF"/>
    <w:rsid w:val="005D10AC"/>
    <w:rsid w:val="005D1B5C"/>
    <w:rsid w:val="005D1C6D"/>
    <w:rsid w:val="005D1E17"/>
    <w:rsid w:val="005D1F4D"/>
    <w:rsid w:val="005D2049"/>
    <w:rsid w:val="005D2E3A"/>
    <w:rsid w:val="005D4228"/>
    <w:rsid w:val="005D4904"/>
    <w:rsid w:val="005D4E51"/>
    <w:rsid w:val="005D53DD"/>
    <w:rsid w:val="005D58A3"/>
    <w:rsid w:val="005D6A58"/>
    <w:rsid w:val="005D6B41"/>
    <w:rsid w:val="005D7E35"/>
    <w:rsid w:val="005E045C"/>
    <w:rsid w:val="005E06D5"/>
    <w:rsid w:val="005E1D99"/>
    <w:rsid w:val="005E207E"/>
    <w:rsid w:val="005E2B8D"/>
    <w:rsid w:val="005E2DAE"/>
    <w:rsid w:val="005E312B"/>
    <w:rsid w:val="005E320F"/>
    <w:rsid w:val="005E3242"/>
    <w:rsid w:val="005E3C5E"/>
    <w:rsid w:val="005E41FD"/>
    <w:rsid w:val="005E4600"/>
    <w:rsid w:val="005E5555"/>
    <w:rsid w:val="005E55CA"/>
    <w:rsid w:val="005E64C0"/>
    <w:rsid w:val="005E693A"/>
    <w:rsid w:val="005E70A8"/>
    <w:rsid w:val="005E7A52"/>
    <w:rsid w:val="005E7BAE"/>
    <w:rsid w:val="005E7F58"/>
    <w:rsid w:val="005F0EF5"/>
    <w:rsid w:val="005F1539"/>
    <w:rsid w:val="005F184B"/>
    <w:rsid w:val="005F2744"/>
    <w:rsid w:val="005F2BD4"/>
    <w:rsid w:val="005F2D3A"/>
    <w:rsid w:val="005F2E9C"/>
    <w:rsid w:val="005F3039"/>
    <w:rsid w:val="005F3DE0"/>
    <w:rsid w:val="005F4158"/>
    <w:rsid w:val="005F48FC"/>
    <w:rsid w:val="005F541D"/>
    <w:rsid w:val="005F58C1"/>
    <w:rsid w:val="005F625E"/>
    <w:rsid w:val="005F6F4F"/>
    <w:rsid w:val="00600791"/>
    <w:rsid w:val="00600ABF"/>
    <w:rsid w:val="00600FFC"/>
    <w:rsid w:val="0060164E"/>
    <w:rsid w:val="00601ED6"/>
    <w:rsid w:val="0060269E"/>
    <w:rsid w:val="00602704"/>
    <w:rsid w:val="0060325C"/>
    <w:rsid w:val="00603461"/>
    <w:rsid w:val="0060439C"/>
    <w:rsid w:val="00604AC6"/>
    <w:rsid w:val="006054CF"/>
    <w:rsid w:val="00605929"/>
    <w:rsid w:val="00605952"/>
    <w:rsid w:val="00605960"/>
    <w:rsid w:val="00606AAE"/>
    <w:rsid w:val="00607439"/>
    <w:rsid w:val="00607B57"/>
    <w:rsid w:val="00610422"/>
    <w:rsid w:val="006104D1"/>
    <w:rsid w:val="006108B5"/>
    <w:rsid w:val="006111DC"/>
    <w:rsid w:val="006111F4"/>
    <w:rsid w:val="00611763"/>
    <w:rsid w:val="00612C42"/>
    <w:rsid w:val="00612D50"/>
    <w:rsid w:val="00612F99"/>
    <w:rsid w:val="0061352D"/>
    <w:rsid w:val="0061359F"/>
    <w:rsid w:val="00614103"/>
    <w:rsid w:val="00614BA5"/>
    <w:rsid w:val="00615566"/>
    <w:rsid w:val="006168D1"/>
    <w:rsid w:val="0061774E"/>
    <w:rsid w:val="006178FE"/>
    <w:rsid w:val="00617941"/>
    <w:rsid w:val="00617A4F"/>
    <w:rsid w:val="0062008F"/>
    <w:rsid w:val="0062012B"/>
    <w:rsid w:val="0062018E"/>
    <w:rsid w:val="006207EC"/>
    <w:rsid w:val="00620F42"/>
    <w:rsid w:val="006212CE"/>
    <w:rsid w:val="00621336"/>
    <w:rsid w:val="006215A7"/>
    <w:rsid w:val="00621E87"/>
    <w:rsid w:val="0062238B"/>
    <w:rsid w:val="00622734"/>
    <w:rsid w:val="006236F6"/>
    <w:rsid w:val="0062400B"/>
    <w:rsid w:val="00624B07"/>
    <w:rsid w:val="00624E2C"/>
    <w:rsid w:val="00625562"/>
    <w:rsid w:val="0062617B"/>
    <w:rsid w:val="0062658B"/>
    <w:rsid w:val="006267AD"/>
    <w:rsid w:val="00626908"/>
    <w:rsid w:val="0062696A"/>
    <w:rsid w:val="006271A9"/>
    <w:rsid w:val="00627683"/>
    <w:rsid w:val="0062774B"/>
    <w:rsid w:val="00627C02"/>
    <w:rsid w:val="00627D79"/>
    <w:rsid w:val="00627D86"/>
    <w:rsid w:val="00630175"/>
    <w:rsid w:val="006303B6"/>
    <w:rsid w:val="00630689"/>
    <w:rsid w:val="00630F39"/>
    <w:rsid w:val="00631010"/>
    <w:rsid w:val="006314C2"/>
    <w:rsid w:val="006318CC"/>
    <w:rsid w:val="00631FC6"/>
    <w:rsid w:val="00632630"/>
    <w:rsid w:val="0063350E"/>
    <w:rsid w:val="0063357F"/>
    <w:rsid w:val="00633595"/>
    <w:rsid w:val="00633F77"/>
    <w:rsid w:val="006348D5"/>
    <w:rsid w:val="00634C6B"/>
    <w:rsid w:val="00634F33"/>
    <w:rsid w:val="00634FFC"/>
    <w:rsid w:val="0063574A"/>
    <w:rsid w:val="00635758"/>
    <w:rsid w:val="00636E4B"/>
    <w:rsid w:val="00637913"/>
    <w:rsid w:val="00637A4B"/>
    <w:rsid w:val="006401E7"/>
    <w:rsid w:val="0064032C"/>
    <w:rsid w:val="00640402"/>
    <w:rsid w:val="0064045F"/>
    <w:rsid w:val="00640FE1"/>
    <w:rsid w:val="00641013"/>
    <w:rsid w:val="00641FE8"/>
    <w:rsid w:val="00642076"/>
    <w:rsid w:val="00642524"/>
    <w:rsid w:val="00642A59"/>
    <w:rsid w:val="00642EED"/>
    <w:rsid w:val="0064337E"/>
    <w:rsid w:val="00643AB2"/>
    <w:rsid w:val="00643B1C"/>
    <w:rsid w:val="00643D40"/>
    <w:rsid w:val="00643FF0"/>
    <w:rsid w:val="006443A5"/>
    <w:rsid w:val="00645E63"/>
    <w:rsid w:val="006460F3"/>
    <w:rsid w:val="00646DD1"/>
    <w:rsid w:val="00647B51"/>
    <w:rsid w:val="00650DD5"/>
    <w:rsid w:val="00651625"/>
    <w:rsid w:val="006518CF"/>
    <w:rsid w:val="0065295A"/>
    <w:rsid w:val="00652AE5"/>
    <w:rsid w:val="00653983"/>
    <w:rsid w:val="006539F0"/>
    <w:rsid w:val="006548C8"/>
    <w:rsid w:val="006548FA"/>
    <w:rsid w:val="00654D8F"/>
    <w:rsid w:val="00654F56"/>
    <w:rsid w:val="006552FA"/>
    <w:rsid w:val="00655658"/>
    <w:rsid w:val="00655C50"/>
    <w:rsid w:val="0065717D"/>
    <w:rsid w:val="0065719A"/>
    <w:rsid w:val="00657476"/>
    <w:rsid w:val="00657584"/>
    <w:rsid w:val="00657B34"/>
    <w:rsid w:val="00660043"/>
    <w:rsid w:val="00660087"/>
    <w:rsid w:val="00662340"/>
    <w:rsid w:val="00662752"/>
    <w:rsid w:val="0066291E"/>
    <w:rsid w:val="006631DE"/>
    <w:rsid w:val="006632CC"/>
    <w:rsid w:val="0066395C"/>
    <w:rsid w:val="00663A0F"/>
    <w:rsid w:val="00663EEB"/>
    <w:rsid w:val="00663FEE"/>
    <w:rsid w:val="006647D1"/>
    <w:rsid w:val="0066506B"/>
    <w:rsid w:val="006653A3"/>
    <w:rsid w:val="006655D3"/>
    <w:rsid w:val="00665F7E"/>
    <w:rsid w:val="00666249"/>
    <w:rsid w:val="006666EF"/>
    <w:rsid w:val="00666818"/>
    <w:rsid w:val="00666CAE"/>
    <w:rsid w:val="00666D07"/>
    <w:rsid w:val="00666F14"/>
    <w:rsid w:val="00667FB8"/>
    <w:rsid w:val="006700A0"/>
    <w:rsid w:val="00670131"/>
    <w:rsid w:val="006705E7"/>
    <w:rsid w:val="0067087B"/>
    <w:rsid w:val="006708F5"/>
    <w:rsid w:val="00671245"/>
    <w:rsid w:val="0067189B"/>
    <w:rsid w:val="00672215"/>
    <w:rsid w:val="00672619"/>
    <w:rsid w:val="006728BB"/>
    <w:rsid w:val="006728D7"/>
    <w:rsid w:val="00673387"/>
    <w:rsid w:val="00673A0E"/>
    <w:rsid w:val="00673A5F"/>
    <w:rsid w:val="00674025"/>
    <w:rsid w:val="00674191"/>
    <w:rsid w:val="006742F8"/>
    <w:rsid w:val="00674641"/>
    <w:rsid w:val="00674933"/>
    <w:rsid w:val="00674DCD"/>
    <w:rsid w:val="00675995"/>
    <w:rsid w:val="00675C70"/>
    <w:rsid w:val="00676271"/>
    <w:rsid w:val="00676E39"/>
    <w:rsid w:val="006777FF"/>
    <w:rsid w:val="00677FC2"/>
    <w:rsid w:val="00680504"/>
    <w:rsid w:val="00681727"/>
    <w:rsid w:val="00681FAF"/>
    <w:rsid w:val="006825B1"/>
    <w:rsid w:val="00682B3C"/>
    <w:rsid w:val="00682BBD"/>
    <w:rsid w:val="00682FFF"/>
    <w:rsid w:val="0068314C"/>
    <w:rsid w:val="006833B7"/>
    <w:rsid w:val="00683799"/>
    <w:rsid w:val="00683BF4"/>
    <w:rsid w:val="00683C36"/>
    <w:rsid w:val="00683D5B"/>
    <w:rsid w:val="00683FEF"/>
    <w:rsid w:val="006845DE"/>
    <w:rsid w:val="006846BC"/>
    <w:rsid w:val="00684EB2"/>
    <w:rsid w:val="00685501"/>
    <w:rsid w:val="00685CA5"/>
    <w:rsid w:val="0068660E"/>
    <w:rsid w:val="00686680"/>
    <w:rsid w:val="00687314"/>
    <w:rsid w:val="006875E9"/>
    <w:rsid w:val="0068798D"/>
    <w:rsid w:val="00687EB7"/>
    <w:rsid w:val="00691D5A"/>
    <w:rsid w:val="00691E9C"/>
    <w:rsid w:val="00692A9E"/>
    <w:rsid w:val="00693FDA"/>
    <w:rsid w:val="006942C7"/>
    <w:rsid w:val="00694E0D"/>
    <w:rsid w:val="006954D5"/>
    <w:rsid w:val="00695779"/>
    <w:rsid w:val="006959A5"/>
    <w:rsid w:val="00695B5F"/>
    <w:rsid w:val="00695EC6"/>
    <w:rsid w:val="00695EEC"/>
    <w:rsid w:val="00695EFC"/>
    <w:rsid w:val="006969F4"/>
    <w:rsid w:val="00696E1C"/>
    <w:rsid w:val="00697208"/>
    <w:rsid w:val="006A0082"/>
    <w:rsid w:val="006A0208"/>
    <w:rsid w:val="006A0756"/>
    <w:rsid w:val="006A0D88"/>
    <w:rsid w:val="006A18FA"/>
    <w:rsid w:val="006A1A56"/>
    <w:rsid w:val="006A236F"/>
    <w:rsid w:val="006A31F5"/>
    <w:rsid w:val="006A321F"/>
    <w:rsid w:val="006A3240"/>
    <w:rsid w:val="006A359A"/>
    <w:rsid w:val="006A404F"/>
    <w:rsid w:val="006A41F2"/>
    <w:rsid w:val="006A4240"/>
    <w:rsid w:val="006A4735"/>
    <w:rsid w:val="006A4D17"/>
    <w:rsid w:val="006A5A50"/>
    <w:rsid w:val="006A6539"/>
    <w:rsid w:val="006A6608"/>
    <w:rsid w:val="006A69A1"/>
    <w:rsid w:val="006A6DE7"/>
    <w:rsid w:val="006A74D5"/>
    <w:rsid w:val="006A7CA5"/>
    <w:rsid w:val="006B0B82"/>
    <w:rsid w:val="006B0D0D"/>
    <w:rsid w:val="006B0DBC"/>
    <w:rsid w:val="006B0DC5"/>
    <w:rsid w:val="006B1B43"/>
    <w:rsid w:val="006B1B5B"/>
    <w:rsid w:val="006B1CA4"/>
    <w:rsid w:val="006B1D58"/>
    <w:rsid w:val="006B1F3F"/>
    <w:rsid w:val="006B24FE"/>
    <w:rsid w:val="006B29A9"/>
    <w:rsid w:val="006B3B3B"/>
    <w:rsid w:val="006B3D86"/>
    <w:rsid w:val="006B3D91"/>
    <w:rsid w:val="006B473C"/>
    <w:rsid w:val="006B4A6D"/>
    <w:rsid w:val="006B4BC0"/>
    <w:rsid w:val="006B5117"/>
    <w:rsid w:val="006B51FD"/>
    <w:rsid w:val="006B5FE2"/>
    <w:rsid w:val="006B6328"/>
    <w:rsid w:val="006B7A1C"/>
    <w:rsid w:val="006B7BB0"/>
    <w:rsid w:val="006B7D33"/>
    <w:rsid w:val="006C0295"/>
    <w:rsid w:val="006C0338"/>
    <w:rsid w:val="006C073E"/>
    <w:rsid w:val="006C0A3B"/>
    <w:rsid w:val="006C16F5"/>
    <w:rsid w:val="006C17E2"/>
    <w:rsid w:val="006C27BD"/>
    <w:rsid w:val="006C2A9C"/>
    <w:rsid w:val="006C2F7C"/>
    <w:rsid w:val="006C3691"/>
    <w:rsid w:val="006C369E"/>
    <w:rsid w:val="006C3E74"/>
    <w:rsid w:val="006C3F88"/>
    <w:rsid w:val="006C4573"/>
    <w:rsid w:val="006C4DDA"/>
    <w:rsid w:val="006C4F1B"/>
    <w:rsid w:val="006C58AA"/>
    <w:rsid w:val="006C590B"/>
    <w:rsid w:val="006C5F2F"/>
    <w:rsid w:val="006C5F86"/>
    <w:rsid w:val="006C674C"/>
    <w:rsid w:val="006C6809"/>
    <w:rsid w:val="006C6E27"/>
    <w:rsid w:val="006C6ECF"/>
    <w:rsid w:val="006C723D"/>
    <w:rsid w:val="006C7347"/>
    <w:rsid w:val="006C74F6"/>
    <w:rsid w:val="006CEBC5"/>
    <w:rsid w:val="006D00BA"/>
    <w:rsid w:val="006D023F"/>
    <w:rsid w:val="006D0A27"/>
    <w:rsid w:val="006D0C41"/>
    <w:rsid w:val="006D1E51"/>
    <w:rsid w:val="006D2473"/>
    <w:rsid w:val="006D2531"/>
    <w:rsid w:val="006D2E4B"/>
    <w:rsid w:val="006D3790"/>
    <w:rsid w:val="006D4111"/>
    <w:rsid w:val="006D4719"/>
    <w:rsid w:val="006D4920"/>
    <w:rsid w:val="006D4ADB"/>
    <w:rsid w:val="006D4DEF"/>
    <w:rsid w:val="006D55F2"/>
    <w:rsid w:val="006D560C"/>
    <w:rsid w:val="006D5E05"/>
    <w:rsid w:val="006D65E0"/>
    <w:rsid w:val="006D6CCE"/>
    <w:rsid w:val="006D7162"/>
    <w:rsid w:val="006D7DDC"/>
    <w:rsid w:val="006E07D7"/>
    <w:rsid w:val="006E0909"/>
    <w:rsid w:val="006E0E5F"/>
    <w:rsid w:val="006E0FC4"/>
    <w:rsid w:val="006E1456"/>
    <w:rsid w:val="006E1BBB"/>
    <w:rsid w:val="006E1E1F"/>
    <w:rsid w:val="006E27EF"/>
    <w:rsid w:val="006E395D"/>
    <w:rsid w:val="006E3B14"/>
    <w:rsid w:val="006E3CDE"/>
    <w:rsid w:val="006E3F8A"/>
    <w:rsid w:val="006E4177"/>
    <w:rsid w:val="006E4272"/>
    <w:rsid w:val="006E4290"/>
    <w:rsid w:val="006E44B3"/>
    <w:rsid w:val="006E4646"/>
    <w:rsid w:val="006E503D"/>
    <w:rsid w:val="006E5573"/>
    <w:rsid w:val="006E6299"/>
    <w:rsid w:val="006E669B"/>
    <w:rsid w:val="006E6944"/>
    <w:rsid w:val="006E69EE"/>
    <w:rsid w:val="006E6A52"/>
    <w:rsid w:val="006E7133"/>
    <w:rsid w:val="006E7215"/>
    <w:rsid w:val="006E7583"/>
    <w:rsid w:val="006F0444"/>
    <w:rsid w:val="006F07EE"/>
    <w:rsid w:val="006F167F"/>
    <w:rsid w:val="006F1A2A"/>
    <w:rsid w:val="006F1A68"/>
    <w:rsid w:val="006F2BD6"/>
    <w:rsid w:val="006F3367"/>
    <w:rsid w:val="006F3949"/>
    <w:rsid w:val="006F47EC"/>
    <w:rsid w:val="006F5097"/>
    <w:rsid w:val="006F5B6A"/>
    <w:rsid w:val="006F5D17"/>
    <w:rsid w:val="006F6744"/>
    <w:rsid w:val="006F6848"/>
    <w:rsid w:val="006F6919"/>
    <w:rsid w:val="006F6C13"/>
    <w:rsid w:val="006F6D3C"/>
    <w:rsid w:val="006F7235"/>
    <w:rsid w:val="006F75A0"/>
    <w:rsid w:val="006F7621"/>
    <w:rsid w:val="006F79CD"/>
    <w:rsid w:val="006F79E4"/>
    <w:rsid w:val="006F7BC6"/>
    <w:rsid w:val="0070117B"/>
    <w:rsid w:val="00701A5C"/>
    <w:rsid w:val="0070206F"/>
    <w:rsid w:val="00702977"/>
    <w:rsid w:val="00703FBA"/>
    <w:rsid w:val="00704202"/>
    <w:rsid w:val="00704801"/>
    <w:rsid w:val="00704C74"/>
    <w:rsid w:val="00704E0B"/>
    <w:rsid w:val="0070586A"/>
    <w:rsid w:val="00705EA1"/>
    <w:rsid w:val="007062A7"/>
    <w:rsid w:val="00706406"/>
    <w:rsid w:val="0070659E"/>
    <w:rsid w:val="00706C0F"/>
    <w:rsid w:val="00706DEA"/>
    <w:rsid w:val="007076DE"/>
    <w:rsid w:val="0071034F"/>
    <w:rsid w:val="00710461"/>
    <w:rsid w:val="00710583"/>
    <w:rsid w:val="00710682"/>
    <w:rsid w:val="007107F3"/>
    <w:rsid w:val="00710D17"/>
    <w:rsid w:val="00710DA3"/>
    <w:rsid w:val="007114B9"/>
    <w:rsid w:val="00711562"/>
    <w:rsid w:val="007115B6"/>
    <w:rsid w:val="00712084"/>
    <w:rsid w:val="007125B0"/>
    <w:rsid w:val="00712DB6"/>
    <w:rsid w:val="00713C2E"/>
    <w:rsid w:val="007141ED"/>
    <w:rsid w:val="00715F8A"/>
    <w:rsid w:val="0071614D"/>
    <w:rsid w:val="00716579"/>
    <w:rsid w:val="00716CFA"/>
    <w:rsid w:val="00716E2D"/>
    <w:rsid w:val="00717AA7"/>
    <w:rsid w:val="00717C21"/>
    <w:rsid w:val="00717F68"/>
    <w:rsid w:val="00720A37"/>
    <w:rsid w:val="007213CA"/>
    <w:rsid w:val="007218E6"/>
    <w:rsid w:val="00721BA1"/>
    <w:rsid w:val="00722583"/>
    <w:rsid w:val="007225A9"/>
    <w:rsid w:val="00722F21"/>
    <w:rsid w:val="00723446"/>
    <w:rsid w:val="0072372F"/>
    <w:rsid w:val="007239CC"/>
    <w:rsid w:val="0072458A"/>
    <w:rsid w:val="0072480A"/>
    <w:rsid w:val="00724AAF"/>
    <w:rsid w:val="00724DA3"/>
    <w:rsid w:val="00725036"/>
    <w:rsid w:val="0072507D"/>
    <w:rsid w:val="007254FE"/>
    <w:rsid w:val="007255CA"/>
    <w:rsid w:val="00725C5E"/>
    <w:rsid w:val="00726892"/>
    <w:rsid w:val="00726C41"/>
    <w:rsid w:val="00726E11"/>
    <w:rsid w:val="0072727A"/>
    <w:rsid w:val="007275C6"/>
    <w:rsid w:val="0072776D"/>
    <w:rsid w:val="007277AA"/>
    <w:rsid w:val="00730466"/>
    <w:rsid w:val="007319BC"/>
    <w:rsid w:val="00732507"/>
    <w:rsid w:val="00732611"/>
    <w:rsid w:val="007327FF"/>
    <w:rsid w:val="00732EBE"/>
    <w:rsid w:val="00733418"/>
    <w:rsid w:val="00733620"/>
    <w:rsid w:val="00733C97"/>
    <w:rsid w:val="00733D0C"/>
    <w:rsid w:val="00733FD8"/>
    <w:rsid w:val="00734061"/>
    <w:rsid w:val="00734985"/>
    <w:rsid w:val="007352C0"/>
    <w:rsid w:val="0073617C"/>
    <w:rsid w:val="00736580"/>
    <w:rsid w:val="00736C74"/>
    <w:rsid w:val="00737C68"/>
    <w:rsid w:val="00737C92"/>
    <w:rsid w:val="0074014B"/>
    <w:rsid w:val="007405C8"/>
    <w:rsid w:val="00741115"/>
    <w:rsid w:val="0074208C"/>
    <w:rsid w:val="00742351"/>
    <w:rsid w:val="0074285B"/>
    <w:rsid w:val="0074288C"/>
    <w:rsid w:val="00742A08"/>
    <w:rsid w:val="0074331D"/>
    <w:rsid w:val="007451EB"/>
    <w:rsid w:val="00745F05"/>
    <w:rsid w:val="007466BF"/>
    <w:rsid w:val="00746EA8"/>
    <w:rsid w:val="00746FB9"/>
    <w:rsid w:val="00747714"/>
    <w:rsid w:val="00747B69"/>
    <w:rsid w:val="0075020E"/>
    <w:rsid w:val="007509F6"/>
    <w:rsid w:val="00750FF6"/>
    <w:rsid w:val="00752088"/>
    <w:rsid w:val="007527BE"/>
    <w:rsid w:val="007531E1"/>
    <w:rsid w:val="00753391"/>
    <w:rsid w:val="00753E05"/>
    <w:rsid w:val="007542EB"/>
    <w:rsid w:val="007546B1"/>
    <w:rsid w:val="00754846"/>
    <w:rsid w:val="007548DB"/>
    <w:rsid w:val="0075499C"/>
    <w:rsid w:val="00755F1B"/>
    <w:rsid w:val="00756295"/>
    <w:rsid w:val="00756629"/>
    <w:rsid w:val="00756E48"/>
    <w:rsid w:val="00757849"/>
    <w:rsid w:val="00757AAF"/>
    <w:rsid w:val="00760C1D"/>
    <w:rsid w:val="00760F2A"/>
    <w:rsid w:val="00761247"/>
    <w:rsid w:val="00761336"/>
    <w:rsid w:val="00761AEA"/>
    <w:rsid w:val="007621E9"/>
    <w:rsid w:val="00762C29"/>
    <w:rsid w:val="00763BF6"/>
    <w:rsid w:val="00764024"/>
    <w:rsid w:val="0076450E"/>
    <w:rsid w:val="0076462F"/>
    <w:rsid w:val="00764DD5"/>
    <w:rsid w:val="00765865"/>
    <w:rsid w:val="00765E93"/>
    <w:rsid w:val="007664D2"/>
    <w:rsid w:val="00766588"/>
    <w:rsid w:val="00766B24"/>
    <w:rsid w:val="00766DA7"/>
    <w:rsid w:val="007670D1"/>
    <w:rsid w:val="00767C7B"/>
    <w:rsid w:val="007702FA"/>
    <w:rsid w:val="00770B7B"/>
    <w:rsid w:val="00771454"/>
    <w:rsid w:val="00771695"/>
    <w:rsid w:val="00771A94"/>
    <w:rsid w:val="00771BED"/>
    <w:rsid w:val="00771EA2"/>
    <w:rsid w:val="00772069"/>
    <w:rsid w:val="00772376"/>
    <w:rsid w:val="00772576"/>
    <w:rsid w:val="0077276A"/>
    <w:rsid w:val="00772CCF"/>
    <w:rsid w:val="0077308D"/>
    <w:rsid w:val="00773837"/>
    <w:rsid w:val="00773891"/>
    <w:rsid w:val="00773D0E"/>
    <w:rsid w:val="00773EC7"/>
    <w:rsid w:val="007745FC"/>
    <w:rsid w:val="00774FA6"/>
    <w:rsid w:val="00775687"/>
    <w:rsid w:val="00775878"/>
    <w:rsid w:val="0077620C"/>
    <w:rsid w:val="00776767"/>
    <w:rsid w:val="00776884"/>
    <w:rsid w:val="00777AB4"/>
    <w:rsid w:val="00780A25"/>
    <w:rsid w:val="00780BF5"/>
    <w:rsid w:val="00781114"/>
    <w:rsid w:val="007813C4"/>
    <w:rsid w:val="007819FA"/>
    <w:rsid w:val="007821F5"/>
    <w:rsid w:val="00782916"/>
    <w:rsid w:val="00783744"/>
    <w:rsid w:val="00784136"/>
    <w:rsid w:val="007844B5"/>
    <w:rsid w:val="007850B6"/>
    <w:rsid w:val="00785AE0"/>
    <w:rsid w:val="00785C4E"/>
    <w:rsid w:val="0078669C"/>
    <w:rsid w:val="00787F2B"/>
    <w:rsid w:val="0079001D"/>
    <w:rsid w:val="007905FB"/>
    <w:rsid w:val="00790605"/>
    <w:rsid w:val="007908AC"/>
    <w:rsid w:val="007909AF"/>
    <w:rsid w:val="00791131"/>
    <w:rsid w:val="00791535"/>
    <w:rsid w:val="00791910"/>
    <w:rsid w:val="00791BE6"/>
    <w:rsid w:val="00792197"/>
    <w:rsid w:val="007926C3"/>
    <w:rsid w:val="00792725"/>
    <w:rsid w:val="0079280D"/>
    <w:rsid w:val="00792D24"/>
    <w:rsid w:val="00792E4F"/>
    <w:rsid w:val="00793096"/>
    <w:rsid w:val="00793583"/>
    <w:rsid w:val="00793C69"/>
    <w:rsid w:val="00794079"/>
    <w:rsid w:val="00794858"/>
    <w:rsid w:val="007956F9"/>
    <w:rsid w:val="00795D89"/>
    <w:rsid w:val="00796631"/>
    <w:rsid w:val="00796906"/>
    <w:rsid w:val="00796B14"/>
    <w:rsid w:val="00796B6A"/>
    <w:rsid w:val="00796BDA"/>
    <w:rsid w:val="00796D67"/>
    <w:rsid w:val="00797229"/>
    <w:rsid w:val="0079787E"/>
    <w:rsid w:val="00797E1F"/>
    <w:rsid w:val="007A0020"/>
    <w:rsid w:val="007A024D"/>
    <w:rsid w:val="007A066C"/>
    <w:rsid w:val="007A0BC7"/>
    <w:rsid w:val="007A0DDE"/>
    <w:rsid w:val="007A167D"/>
    <w:rsid w:val="007A1723"/>
    <w:rsid w:val="007A1824"/>
    <w:rsid w:val="007A2B8B"/>
    <w:rsid w:val="007A2DE3"/>
    <w:rsid w:val="007A315C"/>
    <w:rsid w:val="007A33F6"/>
    <w:rsid w:val="007A3BF6"/>
    <w:rsid w:val="007A3CF9"/>
    <w:rsid w:val="007A5290"/>
    <w:rsid w:val="007A5519"/>
    <w:rsid w:val="007A59C8"/>
    <w:rsid w:val="007A5B34"/>
    <w:rsid w:val="007A69BB"/>
    <w:rsid w:val="007A709E"/>
    <w:rsid w:val="007A7639"/>
    <w:rsid w:val="007A7B6C"/>
    <w:rsid w:val="007A7E43"/>
    <w:rsid w:val="007B008A"/>
    <w:rsid w:val="007B0771"/>
    <w:rsid w:val="007B0846"/>
    <w:rsid w:val="007B0B4E"/>
    <w:rsid w:val="007B0F14"/>
    <w:rsid w:val="007B1E93"/>
    <w:rsid w:val="007B2318"/>
    <w:rsid w:val="007B2712"/>
    <w:rsid w:val="007B2D25"/>
    <w:rsid w:val="007B321B"/>
    <w:rsid w:val="007B322E"/>
    <w:rsid w:val="007B324C"/>
    <w:rsid w:val="007B3EFB"/>
    <w:rsid w:val="007B4526"/>
    <w:rsid w:val="007B48D3"/>
    <w:rsid w:val="007B492F"/>
    <w:rsid w:val="007B4ED5"/>
    <w:rsid w:val="007B517B"/>
    <w:rsid w:val="007B529B"/>
    <w:rsid w:val="007B5726"/>
    <w:rsid w:val="007B65B3"/>
    <w:rsid w:val="007B660A"/>
    <w:rsid w:val="007B6661"/>
    <w:rsid w:val="007C08B8"/>
    <w:rsid w:val="007C0A1C"/>
    <w:rsid w:val="007C0AB6"/>
    <w:rsid w:val="007C0EF8"/>
    <w:rsid w:val="007C0F7E"/>
    <w:rsid w:val="007C1D6C"/>
    <w:rsid w:val="007C1EE4"/>
    <w:rsid w:val="007C21EE"/>
    <w:rsid w:val="007C2389"/>
    <w:rsid w:val="007C290C"/>
    <w:rsid w:val="007C329C"/>
    <w:rsid w:val="007C344A"/>
    <w:rsid w:val="007C3DA2"/>
    <w:rsid w:val="007C4104"/>
    <w:rsid w:val="007C4366"/>
    <w:rsid w:val="007C4848"/>
    <w:rsid w:val="007C49BD"/>
    <w:rsid w:val="007C49C6"/>
    <w:rsid w:val="007C51A8"/>
    <w:rsid w:val="007C53FF"/>
    <w:rsid w:val="007C55A4"/>
    <w:rsid w:val="007C5F36"/>
    <w:rsid w:val="007C6388"/>
    <w:rsid w:val="007C702F"/>
    <w:rsid w:val="007C7BF7"/>
    <w:rsid w:val="007C7FEA"/>
    <w:rsid w:val="007D1974"/>
    <w:rsid w:val="007D203C"/>
    <w:rsid w:val="007D2044"/>
    <w:rsid w:val="007D2223"/>
    <w:rsid w:val="007D2DC6"/>
    <w:rsid w:val="007D3382"/>
    <w:rsid w:val="007D3FF0"/>
    <w:rsid w:val="007D55E8"/>
    <w:rsid w:val="007D563B"/>
    <w:rsid w:val="007D587E"/>
    <w:rsid w:val="007D5C7B"/>
    <w:rsid w:val="007D5D88"/>
    <w:rsid w:val="007D5F17"/>
    <w:rsid w:val="007D60F0"/>
    <w:rsid w:val="007D69FE"/>
    <w:rsid w:val="007D6EF7"/>
    <w:rsid w:val="007D6FCF"/>
    <w:rsid w:val="007D7985"/>
    <w:rsid w:val="007E0322"/>
    <w:rsid w:val="007E06AA"/>
    <w:rsid w:val="007E07E4"/>
    <w:rsid w:val="007E0B7D"/>
    <w:rsid w:val="007E14CC"/>
    <w:rsid w:val="007E1AB8"/>
    <w:rsid w:val="007E219A"/>
    <w:rsid w:val="007E269D"/>
    <w:rsid w:val="007E2952"/>
    <w:rsid w:val="007E4474"/>
    <w:rsid w:val="007E52C3"/>
    <w:rsid w:val="007E5F47"/>
    <w:rsid w:val="007E6503"/>
    <w:rsid w:val="007E65E3"/>
    <w:rsid w:val="007E6600"/>
    <w:rsid w:val="007E6A27"/>
    <w:rsid w:val="007E6AD5"/>
    <w:rsid w:val="007E7104"/>
    <w:rsid w:val="007E7450"/>
    <w:rsid w:val="007E76E5"/>
    <w:rsid w:val="007F0662"/>
    <w:rsid w:val="007F0664"/>
    <w:rsid w:val="007F0761"/>
    <w:rsid w:val="007F0D76"/>
    <w:rsid w:val="007F0FF5"/>
    <w:rsid w:val="007F1E61"/>
    <w:rsid w:val="007F2E30"/>
    <w:rsid w:val="007F36EA"/>
    <w:rsid w:val="007F3EA7"/>
    <w:rsid w:val="007F44CB"/>
    <w:rsid w:val="007F4C6C"/>
    <w:rsid w:val="007F53EB"/>
    <w:rsid w:val="007F58CE"/>
    <w:rsid w:val="007F5D18"/>
    <w:rsid w:val="007F5F08"/>
    <w:rsid w:val="007F67E4"/>
    <w:rsid w:val="007F7563"/>
    <w:rsid w:val="00800724"/>
    <w:rsid w:val="00800732"/>
    <w:rsid w:val="00800A43"/>
    <w:rsid w:val="00800B8E"/>
    <w:rsid w:val="00800E4C"/>
    <w:rsid w:val="008012F7"/>
    <w:rsid w:val="00801655"/>
    <w:rsid w:val="008016C2"/>
    <w:rsid w:val="00801743"/>
    <w:rsid w:val="0080189D"/>
    <w:rsid w:val="0080212C"/>
    <w:rsid w:val="0080304F"/>
    <w:rsid w:val="0080341A"/>
    <w:rsid w:val="00804004"/>
    <w:rsid w:val="0080406C"/>
    <w:rsid w:val="00804C1F"/>
    <w:rsid w:val="00804D11"/>
    <w:rsid w:val="00804F4A"/>
    <w:rsid w:val="008058F1"/>
    <w:rsid w:val="00805A75"/>
    <w:rsid w:val="00805F30"/>
    <w:rsid w:val="00806BA8"/>
    <w:rsid w:val="0080740B"/>
    <w:rsid w:val="00807B34"/>
    <w:rsid w:val="00807C3A"/>
    <w:rsid w:val="00810042"/>
    <w:rsid w:val="008104D3"/>
    <w:rsid w:val="0081087C"/>
    <w:rsid w:val="0081148C"/>
    <w:rsid w:val="00811BC8"/>
    <w:rsid w:val="00812084"/>
    <w:rsid w:val="008122A2"/>
    <w:rsid w:val="00813854"/>
    <w:rsid w:val="00813D0B"/>
    <w:rsid w:val="00813E08"/>
    <w:rsid w:val="00813E4E"/>
    <w:rsid w:val="008146D1"/>
    <w:rsid w:val="0081480F"/>
    <w:rsid w:val="00814A2C"/>
    <w:rsid w:val="00814F45"/>
    <w:rsid w:val="00815E7E"/>
    <w:rsid w:val="00815EBA"/>
    <w:rsid w:val="00816374"/>
    <w:rsid w:val="008164DA"/>
    <w:rsid w:val="00816C80"/>
    <w:rsid w:val="00816D05"/>
    <w:rsid w:val="00816D07"/>
    <w:rsid w:val="0081716A"/>
    <w:rsid w:val="0081738E"/>
    <w:rsid w:val="008177F8"/>
    <w:rsid w:val="0082031C"/>
    <w:rsid w:val="008208C9"/>
    <w:rsid w:val="00820B63"/>
    <w:rsid w:val="008211EC"/>
    <w:rsid w:val="008213EA"/>
    <w:rsid w:val="00821BFD"/>
    <w:rsid w:val="00821D02"/>
    <w:rsid w:val="0082259B"/>
    <w:rsid w:val="008227B9"/>
    <w:rsid w:val="00822904"/>
    <w:rsid w:val="00822DBB"/>
    <w:rsid w:val="00822E2E"/>
    <w:rsid w:val="008234BA"/>
    <w:rsid w:val="008235BB"/>
    <w:rsid w:val="00823DA9"/>
    <w:rsid w:val="008244B2"/>
    <w:rsid w:val="00824775"/>
    <w:rsid w:val="0082491B"/>
    <w:rsid w:val="00824B49"/>
    <w:rsid w:val="00825C93"/>
    <w:rsid w:val="00825DEF"/>
    <w:rsid w:val="00826190"/>
    <w:rsid w:val="00826887"/>
    <w:rsid w:val="00826989"/>
    <w:rsid w:val="00826E39"/>
    <w:rsid w:val="00826EF6"/>
    <w:rsid w:val="0082739F"/>
    <w:rsid w:val="00827533"/>
    <w:rsid w:val="008276FB"/>
    <w:rsid w:val="0082775C"/>
    <w:rsid w:val="00830E09"/>
    <w:rsid w:val="00830EFE"/>
    <w:rsid w:val="008315C2"/>
    <w:rsid w:val="0083189B"/>
    <w:rsid w:val="00831905"/>
    <w:rsid w:val="00831BEF"/>
    <w:rsid w:val="00832B52"/>
    <w:rsid w:val="00833FA5"/>
    <w:rsid w:val="00834262"/>
    <w:rsid w:val="00834BA5"/>
    <w:rsid w:val="00835AF0"/>
    <w:rsid w:val="008365E1"/>
    <w:rsid w:val="008368E8"/>
    <w:rsid w:val="00836B5E"/>
    <w:rsid w:val="0083799E"/>
    <w:rsid w:val="00837A8A"/>
    <w:rsid w:val="00837AD4"/>
    <w:rsid w:val="00837E88"/>
    <w:rsid w:val="008408F4"/>
    <w:rsid w:val="0084197D"/>
    <w:rsid w:val="00841A31"/>
    <w:rsid w:val="00841C3B"/>
    <w:rsid w:val="00841DDF"/>
    <w:rsid w:val="00842ED0"/>
    <w:rsid w:val="0084301C"/>
    <w:rsid w:val="008436E2"/>
    <w:rsid w:val="008436EC"/>
    <w:rsid w:val="00843891"/>
    <w:rsid w:val="0084393D"/>
    <w:rsid w:val="00843CDD"/>
    <w:rsid w:val="008440E3"/>
    <w:rsid w:val="00845027"/>
    <w:rsid w:val="008459FE"/>
    <w:rsid w:val="00845F91"/>
    <w:rsid w:val="00846010"/>
    <w:rsid w:val="008462C5"/>
    <w:rsid w:val="008462FC"/>
    <w:rsid w:val="00846796"/>
    <w:rsid w:val="00847059"/>
    <w:rsid w:val="0084706D"/>
    <w:rsid w:val="00847086"/>
    <w:rsid w:val="0084709C"/>
    <w:rsid w:val="0084721C"/>
    <w:rsid w:val="00847380"/>
    <w:rsid w:val="00847EC2"/>
    <w:rsid w:val="008500AB"/>
    <w:rsid w:val="008500BB"/>
    <w:rsid w:val="00850AE9"/>
    <w:rsid w:val="00850C1D"/>
    <w:rsid w:val="0085110E"/>
    <w:rsid w:val="008512B6"/>
    <w:rsid w:val="00851323"/>
    <w:rsid w:val="0085173A"/>
    <w:rsid w:val="0085247C"/>
    <w:rsid w:val="00852F0B"/>
    <w:rsid w:val="00853180"/>
    <w:rsid w:val="008537DD"/>
    <w:rsid w:val="00853CAE"/>
    <w:rsid w:val="00854E63"/>
    <w:rsid w:val="0085574F"/>
    <w:rsid w:val="008557E3"/>
    <w:rsid w:val="00855CDD"/>
    <w:rsid w:val="00855DAE"/>
    <w:rsid w:val="0085637A"/>
    <w:rsid w:val="00856466"/>
    <w:rsid w:val="008564A7"/>
    <w:rsid w:val="008564E0"/>
    <w:rsid w:val="008564E6"/>
    <w:rsid w:val="00857832"/>
    <w:rsid w:val="00857A55"/>
    <w:rsid w:val="00857DBB"/>
    <w:rsid w:val="00860465"/>
    <w:rsid w:val="00861983"/>
    <w:rsid w:val="00862D48"/>
    <w:rsid w:val="00862FB8"/>
    <w:rsid w:val="008630D0"/>
    <w:rsid w:val="008636C5"/>
    <w:rsid w:val="00863B94"/>
    <w:rsid w:val="00863C70"/>
    <w:rsid w:val="00864024"/>
    <w:rsid w:val="008641BB"/>
    <w:rsid w:val="008642A0"/>
    <w:rsid w:val="00864E60"/>
    <w:rsid w:val="00864F03"/>
    <w:rsid w:val="0086515E"/>
    <w:rsid w:val="00865323"/>
    <w:rsid w:val="008654C7"/>
    <w:rsid w:val="0086599B"/>
    <w:rsid w:val="00866412"/>
    <w:rsid w:val="0086661C"/>
    <w:rsid w:val="0086674E"/>
    <w:rsid w:val="00866BA0"/>
    <w:rsid w:val="00866DA9"/>
    <w:rsid w:val="00866E30"/>
    <w:rsid w:val="008670F5"/>
    <w:rsid w:val="0086784B"/>
    <w:rsid w:val="00867AB2"/>
    <w:rsid w:val="008705B4"/>
    <w:rsid w:val="00870AD9"/>
    <w:rsid w:val="00870C3E"/>
    <w:rsid w:val="008722BF"/>
    <w:rsid w:val="00872B71"/>
    <w:rsid w:val="008731F9"/>
    <w:rsid w:val="00873776"/>
    <w:rsid w:val="0087377E"/>
    <w:rsid w:val="00873981"/>
    <w:rsid w:val="0087407F"/>
    <w:rsid w:val="0087443E"/>
    <w:rsid w:val="00874874"/>
    <w:rsid w:val="00875A88"/>
    <w:rsid w:val="00876296"/>
    <w:rsid w:val="00876352"/>
    <w:rsid w:val="0087642C"/>
    <w:rsid w:val="0087655A"/>
    <w:rsid w:val="0087675D"/>
    <w:rsid w:val="00876956"/>
    <w:rsid w:val="00876DBB"/>
    <w:rsid w:val="00876F19"/>
    <w:rsid w:val="00877091"/>
    <w:rsid w:val="0087758C"/>
    <w:rsid w:val="00877CB2"/>
    <w:rsid w:val="00880E63"/>
    <w:rsid w:val="00881F98"/>
    <w:rsid w:val="00882F7D"/>
    <w:rsid w:val="0088439D"/>
    <w:rsid w:val="0088456A"/>
    <w:rsid w:val="00884823"/>
    <w:rsid w:val="008863B1"/>
    <w:rsid w:val="00886472"/>
    <w:rsid w:val="008867D5"/>
    <w:rsid w:val="00887031"/>
    <w:rsid w:val="00887220"/>
    <w:rsid w:val="00887B02"/>
    <w:rsid w:val="00890037"/>
    <w:rsid w:val="008901E7"/>
    <w:rsid w:val="008909AB"/>
    <w:rsid w:val="00891EBF"/>
    <w:rsid w:val="00891F92"/>
    <w:rsid w:val="00892918"/>
    <w:rsid w:val="00893162"/>
    <w:rsid w:val="008933C5"/>
    <w:rsid w:val="00893AFD"/>
    <w:rsid w:val="00893F25"/>
    <w:rsid w:val="008942CA"/>
    <w:rsid w:val="00894E17"/>
    <w:rsid w:val="00894FF8"/>
    <w:rsid w:val="008951E9"/>
    <w:rsid w:val="0089550B"/>
    <w:rsid w:val="00896551"/>
    <w:rsid w:val="00896B3D"/>
    <w:rsid w:val="008A11CD"/>
    <w:rsid w:val="008A1907"/>
    <w:rsid w:val="008A1CAD"/>
    <w:rsid w:val="008A2679"/>
    <w:rsid w:val="008A275B"/>
    <w:rsid w:val="008A2C04"/>
    <w:rsid w:val="008A2F8C"/>
    <w:rsid w:val="008A4862"/>
    <w:rsid w:val="008A4AB6"/>
    <w:rsid w:val="008A4C35"/>
    <w:rsid w:val="008A4DFB"/>
    <w:rsid w:val="008A50F6"/>
    <w:rsid w:val="008A5273"/>
    <w:rsid w:val="008A5EA4"/>
    <w:rsid w:val="008A605D"/>
    <w:rsid w:val="008A6127"/>
    <w:rsid w:val="008A7696"/>
    <w:rsid w:val="008A7F1A"/>
    <w:rsid w:val="008B0094"/>
    <w:rsid w:val="008B0B22"/>
    <w:rsid w:val="008B11E3"/>
    <w:rsid w:val="008B1311"/>
    <w:rsid w:val="008B1772"/>
    <w:rsid w:val="008B181E"/>
    <w:rsid w:val="008B1B43"/>
    <w:rsid w:val="008B1BF3"/>
    <w:rsid w:val="008B2138"/>
    <w:rsid w:val="008B252C"/>
    <w:rsid w:val="008B2F3B"/>
    <w:rsid w:val="008B32B7"/>
    <w:rsid w:val="008B3745"/>
    <w:rsid w:val="008B3978"/>
    <w:rsid w:val="008B3C2B"/>
    <w:rsid w:val="008B4313"/>
    <w:rsid w:val="008B44AF"/>
    <w:rsid w:val="008B454B"/>
    <w:rsid w:val="008B4597"/>
    <w:rsid w:val="008B45C5"/>
    <w:rsid w:val="008B47B2"/>
    <w:rsid w:val="008B4D9B"/>
    <w:rsid w:val="008B513E"/>
    <w:rsid w:val="008B585E"/>
    <w:rsid w:val="008B68B0"/>
    <w:rsid w:val="008B69C4"/>
    <w:rsid w:val="008B75BD"/>
    <w:rsid w:val="008B7D0E"/>
    <w:rsid w:val="008C08E4"/>
    <w:rsid w:val="008C0E7A"/>
    <w:rsid w:val="008C0F2A"/>
    <w:rsid w:val="008C11A8"/>
    <w:rsid w:val="008C1932"/>
    <w:rsid w:val="008C2992"/>
    <w:rsid w:val="008C32C0"/>
    <w:rsid w:val="008C352E"/>
    <w:rsid w:val="008C3831"/>
    <w:rsid w:val="008C3B7B"/>
    <w:rsid w:val="008C3E70"/>
    <w:rsid w:val="008C436F"/>
    <w:rsid w:val="008C4F06"/>
    <w:rsid w:val="008C5E86"/>
    <w:rsid w:val="008C69AF"/>
    <w:rsid w:val="008C6AD9"/>
    <w:rsid w:val="008C713C"/>
    <w:rsid w:val="008C7D1F"/>
    <w:rsid w:val="008C7E53"/>
    <w:rsid w:val="008D050D"/>
    <w:rsid w:val="008D053D"/>
    <w:rsid w:val="008D0A2F"/>
    <w:rsid w:val="008D141D"/>
    <w:rsid w:val="008D1931"/>
    <w:rsid w:val="008D1D37"/>
    <w:rsid w:val="008D1F94"/>
    <w:rsid w:val="008D28F7"/>
    <w:rsid w:val="008D32E6"/>
    <w:rsid w:val="008D4306"/>
    <w:rsid w:val="008D49E6"/>
    <w:rsid w:val="008D4CC4"/>
    <w:rsid w:val="008D5128"/>
    <w:rsid w:val="008D51B9"/>
    <w:rsid w:val="008D53D5"/>
    <w:rsid w:val="008D649C"/>
    <w:rsid w:val="008D71CD"/>
    <w:rsid w:val="008D7FB0"/>
    <w:rsid w:val="008E04B4"/>
    <w:rsid w:val="008E08F0"/>
    <w:rsid w:val="008E108A"/>
    <w:rsid w:val="008E1420"/>
    <w:rsid w:val="008E1770"/>
    <w:rsid w:val="008E19A5"/>
    <w:rsid w:val="008E1C12"/>
    <w:rsid w:val="008E1CFD"/>
    <w:rsid w:val="008E213E"/>
    <w:rsid w:val="008E2587"/>
    <w:rsid w:val="008E2A0B"/>
    <w:rsid w:val="008E3832"/>
    <w:rsid w:val="008E3867"/>
    <w:rsid w:val="008E3E52"/>
    <w:rsid w:val="008E4529"/>
    <w:rsid w:val="008E4659"/>
    <w:rsid w:val="008E4695"/>
    <w:rsid w:val="008E5A83"/>
    <w:rsid w:val="008E5BC4"/>
    <w:rsid w:val="008E6D29"/>
    <w:rsid w:val="008E73DF"/>
    <w:rsid w:val="008F019D"/>
    <w:rsid w:val="008F068B"/>
    <w:rsid w:val="008F0A78"/>
    <w:rsid w:val="008F1A44"/>
    <w:rsid w:val="008F2243"/>
    <w:rsid w:val="008F2771"/>
    <w:rsid w:val="008F2824"/>
    <w:rsid w:val="008F37C8"/>
    <w:rsid w:val="008F41B0"/>
    <w:rsid w:val="008F41F0"/>
    <w:rsid w:val="008F4616"/>
    <w:rsid w:val="008F4A0B"/>
    <w:rsid w:val="008F4A88"/>
    <w:rsid w:val="008F53AD"/>
    <w:rsid w:val="008F5DDF"/>
    <w:rsid w:val="008F638A"/>
    <w:rsid w:val="008F6497"/>
    <w:rsid w:val="008F6705"/>
    <w:rsid w:val="008F68D1"/>
    <w:rsid w:val="008F6DB4"/>
    <w:rsid w:val="008F7D27"/>
    <w:rsid w:val="008F7DA4"/>
    <w:rsid w:val="00900CC7"/>
    <w:rsid w:val="00900E56"/>
    <w:rsid w:val="009013F7"/>
    <w:rsid w:val="00901622"/>
    <w:rsid w:val="0090206B"/>
    <w:rsid w:val="009022B1"/>
    <w:rsid w:val="0090260B"/>
    <w:rsid w:val="0090317C"/>
    <w:rsid w:val="00903245"/>
    <w:rsid w:val="00903BB2"/>
    <w:rsid w:val="00903E7B"/>
    <w:rsid w:val="00904014"/>
    <w:rsid w:val="009044BC"/>
    <w:rsid w:val="00904853"/>
    <w:rsid w:val="009050B2"/>
    <w:rsid w:val="00905173"/>
    <w:rsid w:val="00905601"/>
    <w:rsid w:val="00906B2B"/>
    <w:rsid w:val="00906FE0"/>
    <w:rsid w:val="00907277"/>
    <w:rsid w:val="009072EC"/>
    <w:rsid w:val="00907ED4"/>
    <w:rsid w:val="00910289"/>
    <w:rsid w:val="009103A2"/>
    <w:rsid w:val="00910B49"/>
    <w:rsid w:val="00910CC6"/>
    <w:rsid w:val="00910EA6"/>
    <w:rsid w:val="00911364"/>
    <w:rsid w:val="00911B8C"/>
    <w:rsid w:val="00911E80"/>
    <w:rsid w:val="00912FCE"/>
    <w:rsid w:val="009132C0"/>
    <w:rsid w:val="00913879"/>
    <w:rsid w:val="00913964"/>
    <w:rsid w:val="00914144"/>
    <w:rsid w:val="00914601"/>
    <w:rsid w:val="00914D81"/>
    <w:rsid w:val="00914E29"/>
    <w:rsid w:val="00914F3C"/>
    <w:rsid w:val="009151FF"/>
    <w:rsid w:val="009158B9"/>
    <w:rsid w:val="00915950"/>
    <w:rsid w:val="009159EF"/>
    <w:rsid w:val="009160C0"/>
    <w:rsid w:val="00916942"/>
    <w:rsid w:val="009169B2"/>
    <w:rsid w:val="00916DE0"/>
    <w:rsid w:val="00916E79"/>
    <w:rsid w:val="00917462"/>
    <w:rsid w:val="00917541"/>
    <w:rsid w:val="00917908"/>
    <w:rsid w:val="00917C4D"/>
    <w:rsid w:val="00920081"/>
    <w:rsid w:val="00920D9F"/>
    <w:rsid w:val="00921675"/>
    <w:rsid w:val="00921758"/>
    <w:rsid w:val="00921835"/>
    <w:rsid w:val="00921BB6"/>
    <w:rsid w:val="00921D39"/>
    <w:rsid w:val="00921F7B"/>
    <w:rsid w:val="00922191"/>
    <w:rsid w:val="00923786"/>
    <w:rsid w:val="00923DA7"/>
    <w:rsid w:val="009240DB"/>
    <w:rsid w:val="00925106"/>
    <w:rsid w:val="0092586F"/>
    <w:rsid w:val="009268AE"/>
    <w:rsid w:val="009274F6"/>
    <w:rsid w:val="00927852"/>
    <w:rsid w:val="009304B8"/>
    <w:rsid w:val="009309E8"/>
    <w:rsid w:val="00930AFE"/>
    <w:rsid w:val="00930BB6"/>
    <w:rsid w:val="00931076"/>
    <w:rsid w:val="0093148F"/>
    <w:rsid w:val="00931501"/>
    <w:rsid w:val="00931786"/>
    <w:rsid w:val="0093213C"/>
    <w:rsid w:val="00932EBB"/>
    <w:rsid w:val="009330A2"/>
    <w:rsid w:val="00933191"/>
    <w:rsid w:val="00933358"/>
    <w:rsid w:val="0093358F"/>
    <w:rsid w:val="009335FA"/>
    <w:rsid w:val="00933C2B"/>
    <w:rsid w:val="009343C9"/>
    <w:rsid w:val="009352E0"/>
    <w:rsid w:val="00935C6D"/>
    <w:rsid w:val="00936048"/>
    <w:rsid w:val="00936076"/>
    <w:rsid w:val="009363DA"/>
    <w:rsid w:val="00936731"/>
    <w:rsid w:val="00936C08"/>
    <w:rsid w:val="00937530"/>
    <w:rsid w:val="00937A83"/>
    <w:rsid w:val="00937AB4"/>
    <w:rsid w:val="00937DA0"/>
    <w:rsid w:val="00940503"/>
    <w:rsid w:val="00940E60"/>
    <w:rsid w:val="00941440"/>
    <w:rsid w:val="00941A39"/>
    <w:rsid w:val="00941CA5"/>
    <w:rsid w:val="0094286E"/>
    <w:rsid w:val="00942A7E"/>
    <w:rsid w:val="00942A9C"/>
    <w:rsid w:val="00942D1E"/>
    <w:rsid w:val="00943867"/>
    <w:rsid w:val="00943AAB"/>
    <w:rsid w:val="00943ABC"/>
    <w:rsid w:val="00943B77"/>
    <w:rsid w:val="009440FE"/>
    <w:rsid w:val="00944261"/>
    <w:rsid w:val="009448FA"/>
    <w:rsid w:val="009449B1"/>
    <w:rsid w:val="00944A70"/>
    <w:rsid w:val="00944C00"/>
    <w:rsid w:val="00945041"/>
    <w:rsid w:val="009456AF"/>
    <w:rsid w:val="0094588A"/>
    <w:rsid w:val="00945992"/>
    <w:rsid w:val="00945A27"/>
    <w:rsid w:val="00945CBE"/>
    <w:rsid w:val="0094627E"/>
    <w:rsid w:val="00946C2A"/>
    <w:rsid w:val="0094707F"/>
    <w:rsid w:val="0094728B"/>
    <w:rsid w:val="009478F2"/>
    <w:rsid w:val="00947A4B"/>
    <w:rsid w:val="00947B55"/>
    <w:rsid w:val="00947BC7"/>
    <w:rsid w:val="00950965"/>
    <w:rsid w:val="00951806"/>
    <w:rsid w:val="009521E3"/>
    <w:rsid w:val="009525CD"/>
    <w:rsid w:val="00952707"/>
    <w:rsid w:val="00952902"/>
    <w:rsid w:val="00952BDF"/>
    <w:rsid w:val="00953409"/>
    <w:rsid w:val="00953763"/>
    <w:rsid w:val="00953A36"/>
    <w:rsid w:val="00953C05"/>
    <w:rsid w:val="009541DE"/>
    <w:rsid w:val="0095432D"/>
    <w:rsid w:val="00954554"/>
    <w:rsid w:val="00954EFA"/>
    <w:rsid w:val="00955CFE"/>
    <w:rsid w:val="009566D7"/>
    <w:rsid w:val="00956BD1"/>
    <w:rsid w:val="00956F68"/>
    <w:rsid w:val="00957C3B"/>
    <w:rsid w:val="00957DEE"/>
    <w:rsid w:val="00957F0D"/>
    <w:rsid w:val="00960879"/>
    <w:rsid w:val="00960AE1"/>
    <w:rsid w:val="00961605"/>
    <w:rsid w:val="009618FB"/>
    <w:rsid w:val="00961B1D"/>
    <w:rsid w:val="00962823"/>
    <w:rsid w:val="00963332"/>
    <w:rsid w:val="00963CE9"/>
    <w:rsid w:val="00963E13"/>
    <w:rsid w:val="009642BB"/>
    <w:rsid w:val="0096469E"/>
    <w:rsid w:val="00964B25"/>
    <w:rsid w:val="00964D32"/>
    <w:rsid w:val="0096556E"/>
    <w:rsid w:val="00965849"/>
    <w:rsid w:val="00965B3C"/>
    <w:rsid w:val="009661C1"/>
    <w:rsid w:val="00966405"/>
    <w:rsid w:val="0096644E"/>
    <w:rsid w:val="009665F6"/>
    <w:rsid w:val="00966919"/>
    <w:rsid w:val="00966E13"/>
    <w:rsid w:val="00967F69"/>
    <w:rsid w:val="00970876"/>
    <w:rsid w:val="009708DC"/>
    <w:rsid w:val="00970AD0"/>
    <w:rsid w:val="00970B00"/>
    <w:rsid w:val="00970E0C"/>
    <w:rsid w:val="00970FFD"/>
    <w:rsid w:val="00971D3D"/>
    <w:rsid w:val="00971FFD"/>
    <w:rsid w:val="00972765"/>
    <w:rsid w:val="00972AF6"/>
    <w:rsid w:val="00972D9F"/>
    <w:rsid w:val="0097302E"/>
    <w:rsid w:val="00973697"/>
    <w:rsid w:val="00973E93"/>
    <w:rsid w:val="00973F23"/>
    <w:rsid w:val="00974012"/>
    <w:rsid w:val="009741FB"/>
    <w:rsid w:val="00974253"/>
    <w:rsid w:val="00974D74"/>
    <w:rsid w:val="0097534F"/>
    <w:rsid w:val="00975B13"/>
    <w:rsid w:val="00975B76"/>
    <w:rsid w:val="00977812"/>
    <w:rsid w:val="00980736"/>
    <w:rsid w:val="009823AF"/>
    <w:rsid w:val="00982DE3"/>
    <w:rsid w:val="00982E73"/>
    <w:rsid w:val="0098388B"/>
    <w:rsid w:val="009838FB"/>
    <w:rsid w:val="00983985"/>
    <w:rsid w:val="00983B23"/>
    <w:rsid w:val="00984BB6"/>
    <w:rsid w:val="00984FA2"/>
    <w:rsid w:val="009855CD"/>
    <w:rsid w:val="009857A6"/>
    <w:rsid w:val="009858D6"/>
    <w:rsid w:val="00985A99"/>
    <w:rsid w:val="00985E1A"/>
    <w:rsid w:val="0098605D"/>
    <w:rsid w:val="009861AD"/>
    <w:rsid w:val="009864C2"/>
    <w:rsid w:val="0098667B"/>
    <w:rsid w:val="009868D0"/>
    <w:rsid w:val="0098698B"/>
    <w:rsid w:val="00987E35"/>
    <w:rsid w:val="00990698"/>
    <w:rsid w:val="00990D0C"/>
    <w:rsid w:val="00990FF4"/>
    <w:rsid w:val="00991231"/>
    <w:rsid w:val="009916C6"/>
    <w:rsid w:val="00991A2A"/>
    <w:rsid w:val="00992AC8"/>
    <w:rsid w:val="00992C17"/>
    <w:rsid w:val="00992EC8"/>
    <w:rsid w:val="0099385D"/>
    <w:rsid w:val="00993D0A"/>
    <w:rsid w:val="00993F82"/>
    <w:rsid w:val="00994270"/>
    <w:rsid w:val="0099459F"/>
    <w:rsid w:val="00994617"/>
    <w:rsid w:val="00995374"/>
    <w:rsid w:val="009957FD"/>
    <w:rsid w:val="00996E6B"/>
    <w:rsid w:val="009970BD"/>
    <w:rsid w:val="009A008B"/>
    <w:rsid w:val="009A03AA"/>
    <w:rsid w:val="009A060F"/>
    <w:rsid w:val="009A08A7"/>
    <w:rsid w:val="009A177C"/>
    <w:rsid w:val="009A2326"/>
    <w:rsid w:val="009A3948"/>
    <w:rsid w:val="009A41D6"/>
    <w:rsid w:val="009A4B5E"/>
    <w:rsid w:val="009A4BE6"/>
    <w:rsid w:val="009A55F8"/>
    <w:rsid w:val="009A5604"/>
    <w:rsid w:val="009A581D"/>
    <w:rsid w:val="009A5CE0"/>
    <w:rsid w:val="009A5DA1"/>
    <w:rsid w:val="009A6FAC"/>
    <w:rsid w:val="009A73D9"/>
    <w:rsid w:val="009A79AA"/>
    <w:rsid w:val="009A7BFB"/>
    <w:rsid w:val="009B0186"/>
    <w:rsid w:val="009B0217"/>
    <w:rsid w:val="009B0240"/>
    <w:rsid w:val="009B0296"/>
    <w:rsid w:val="009B0C48"/>
    <w:rsid w:val="009B0F2C"/>
    <w:rsid w:val="009B10F4"/>
    <w:rsid w:val="009B1353"/>
    <w:rsid w:val="009B14C3"/>
    <w:rsid w:val="009B1AFA"/>
    <w:rsid w:val="009B1DCA"/>
    <w:rsid w:val="009B1ED4"/>
    <w:rsid w:val="009B1ED9"/>
    <w:rsid w:val="009B1F4B"/>
    <w:rsid w:val="009B2141"/>
    <w:rsid w:val="009B2C57"/>
    <w:rsid w:val="009B2E57"/>
    <w:rsid w:val="009B314D"/>
    <w:rsid w:val="009B366D"/>
    <w:rsid w:val="009B488D"/>
    <w:rsid w:val="009B54B0"/>
    <w:rsid w:val="009B5EB6"/>
    <w:rsid w:val="009B7D35"/>
    <w:rsid w:val="009B7D61"/>
    <w:rsid w:val="009B7EEF"/>
    <w:rsid w:val="009C0296"/>
    <w:rsid w:val="009C0CB9"/>
    <w:rsid w:val="009C1A12"/>
    <w:rsid w:val="009C1EF8"/>
    <w:rsid w:val="009C2061"/>
    <w:rsid w:val="009C24CE"/>
    <w:rsid w:val="009C28FC"/>
    <w:rsid w:val="009C3367"/>
    <w:rsid w:val="009C374E"/>
    <w:rsid w:val="009C3EE6"/>
    <w:rsid w:val="009C405B"/>
    <w:rsid w:val="009C4699"/>
    <w:rsid w:val="009C4C7F"/>
    <w:rsid w:val="009C54BC"/>
    <w:rsid w:val="009C54CB"/>
    <w:rsid w:val="009C59BA"/>
    <w:rsid w:val="009C5A11"/>
    <w:rsid w:val="009C5CDC"/>
    <w:rsid w:val="009C6641"/>
    <w:rsid w:val="009C6DF1"/>
    <w:rsid w:val="009C7DB8"/>
    <w:rsid w:val="009D01B3"/>
    <w:rsid w:val="009D06D1"/>
    <w:rsid w:val="009D14B8"/>
    <w:rsid w:val="009D1C3E"/>
    <w:rsid w:val="009D22D5"/>
    <w:rsid w:val="009D26BF"/>
    <w:rsid w:val="009D3EF8"/>
    <w:rsid w:val="009D4573"/>
    <w:rsid w:val="009D4F55"/>
    <w:rsid w:val="009D557A"/>
    <w:rsid w:val="009D5921"/>
    <w:rsid w:val="009D5D0A"/>
    <w:rsid w:val="009D6D23"/>
    <w:rsid w:val="009D6F5B"/>
    <w:rsid w:val="009D741F"/>
    <w:rsid w:val="009D76A5"/>
    <w:rsid w:val="009D7953"/>
    <w:rsid w:val="009D7D3B"/>
    <w:rsid w:val="009E05D1"/>
    <w:rsid w:val="009E0952"/>
    <w:rsid w:val="009E0D8B"/>
    <w:rsid w:val="009E0F0E"/>
    <w:rsid w:val="009E1C47"/>
    <w:rsid w:val="009E1E0F"/>
    <w:rsid w:val="009E2156"/>
    <w:rsid w:val="009E2828"/>
    <w:rsid w:val="009E28E1"/>
    <w:rsid w:val="009E2944"/>
    <w:rsid w:val="009E38B0"/>
    <w:rsid w:val="009E3938"/>
    <w:rsid w:val="009E3EDE"/>
    <w:rsid w:val="009E4BC3"/>
    <w:rsid w:val="009E55EF"/>
    <w:rsid w:val="009E65DD"/>
    <w:rsid w:val="009E69B5"/>
    <w:rsid w:val="009E6AFC"/>
    <w:rsid w:val="009E6DEA"/>
    <w:rsid w:val="009E6F26"/>
    <w:rsid w:val="009F025B"/>
    <w:rsid w:val="009F07A0"/>
    <w:rsid w:val="009F12B4"/>
    <w:rsid w:val="009F13B4"/>
    <w:rsid w:val="009F13EF"/>
    <w:rsid w:val="009F1B90"/>
    <w:rsid w:val="009F1F96"/>
    <w:rsid w:val="009F246F"/>
    <w:rsid w:val="009F2470"/>
    <w:rsid w:val="009F395E"/>
    <w:rsid w:val="009F3B5E"/>
    <w:rsid w:val="009F3EB1"/>
    <w:rsid w:val="009F450D"/>
    <w:rsid w:val="009F4ACA"/>
    <w:rsid w:val="009F57FD"/>
    <w:rsid w:val="009F5957"/>
    <w:rsid w:val="009F64DA"/>
    <w:rsid w:val="009F6844"/>
    <w:rsid w:val="009F731A"/>
    <w:rsid w:val="009F73BC"/>
    <w:rsid w:val="009F7A83"/>
    <w:rsid w:val="009F7D7E"/>
    <w:rsid w:val="009F7EE0"/>
    <w:rsid w:val="009F7FDB"/>
    <w:rsid w:val="00A00556"/>
    <w:rsid w:val="00A00639"/>
    <w:rsid w:val="00A0085A"/>
    <w:rsid w:val="00A00979"/>
    <w:rsid w:val="00A009A5"/>
    <w:rsid w:val="00A012C4"/>
    <w:rsid w:val="00A01D47"/>
    <w:rsid w:val="00A01F17"/>
    <w:rsid w:val="00A020D1"/>
    <w:rsid w:val="00A02510"/>
    <w:rsid w:val="00A02784"/>
    <w:rsid w:val="00A02B60"/>
    <w:rsid w:val="00A02FE9"/>
    <w:rsid w:val="00A04017"/>
    <w:rsid w:val="00A04B79"/>
    <w:rsid w:val="00A05229"/>
    <w:rsid w:val="00A067C7"/>
    <w:rsid w:val="00A06FE0"/>
    <w:rsid w:val="00A0705F"/>
    <w:rsid w:val="00A070C1"/>
    <w:rsid w:val="00A07783"/>
    <w:rsid w:val="00A078CB"/>
    <w:rsid w:val="00A1009E"/>
    <w:rsid w:val="00A10A78"/>
    <w:rsid w:val="00A1161B"/>
    <w:rsid w:val="00A1183C"/>
    <w:rsid w:val="00A11DFC"/>
    <w:rsid w:val="00A11E81"/>
    <w:rsid w:val="00A12139"/>
    <w:rsid w:val="00A1270C"/>
    <w:rsid w:val="00A134F9"/>
    <w:rsid w:val="00A1357C"/>
    <w:rsid w:val="00A1404D"/>
    <w:rsid w:val="00A145AB"/>
    <w:rsid w:val="00A14836"/>
    <w:rsid w:val="00A14E5A"/>
    <w:rsid w:val="00A15038"/>
    <w:rsid w:val="00A1540A"/>
    <w:rsid w:val="00A157AC"/>
    <w:rsid w:val="00A1587A"/>
    <w:rsid w:val="00A15EF1"/>
    <w:rsid w:val="00A16AAD"/>
    <w:rsid w:val="00A17445"/>
    <w:rsid w:val="00A1777E"/>
    <w:rsid w:val="00A17802"/>
    <w:rsid w:val="00A1784B"/>
    <w:rsid w:val="00A2002D"/>
    <w:rsid w:val="00A205B9"/>
    <w:rsid w:val="00A20BEF"/>
    <w:rsid w:val="00A20D3E"/>
    <w:rsid w:val="00A20D4B"/>
    <w:rsid w:val="00A212EB"/>
    <w:rsid w:val="00A2143C"/>
    <w:rsid w:val="00A215B9"/>
    <w:rsid w:val="00A21711"/>
    <w:rsid w:val="00A21789"/>
    <w:rsid w:val="00A2186E"/>
    <w:rsid w:val="00A220BF"/>
    <w:rsid w:val="00A222D6"/>
    <w:rsid w:val="00A22343"/>
    <w:rsid w:val="00A22785"/>
    <w:rsid w:val="00A22C57"/>
    <w:rsid w:val="00A230D3"/>
    <w:rsid w:val="00A2366D"/>
    <w:rsid w:val="00A23A07"/>
    <w:rsid w:val="00A242B1"/>
    <w:rsid w:val="00A25136"/>
    <w:rsid w:val="00A25175"/>
    <w:rsid w:val="00A25B13"/>
    <w:rsid w:val="00A26214"/>
    <w:rsid w:val="00A2621E"/>
    <w:rsid w:val="00A264DC"/>
    <w:rsid w:val="00A26E63"/>
    <w:rsid w:val="00A26E80"/>
    <w:rsid w:val="00A27B20"/>
    <w:rsid w:val="00A30C81"/>
    <w:rsid w:val="00A312AC"/>
    <w:rsid w:val="00A312C4"/>
    <w:rsid w:val="00A315DD"/>
    <w:rsid w:val="00A31A2C"/>
    <w:rsid w:val="00A31C72"/>
    <w:rsid w:val="00A32602"/>
    <w:rsid w:val="00A32739"/>
    <w:rsid w:val="00A328B4"/>
    <w:rsid w:val="00A329CE"/>
    <w:rsid w:val="00A32C1D"/>
    <w:rsid w:val="00A33890"/>
    <w:rsid w:val="00A33DB2"/>
    <w:rsid w:val="00A354D4"/>
    <w:rsid w:val="00A35B67"/>
    <w:rsid w:val="00A35C72"/>
    <w:rsid w:val="00A35D1D"/>
    <w:rsid w:val="00A35E78"/>
    <w:rsid w:val="00A36699"/>
    <w:rsid w:val="00A36777"/>
    <w:rsid w:val="00A3763A"/>
    <w:rsid w:val="00A40821"/>
    <w:rsid w:val="00A4087D"/>
    <w:rsid w:val="00A414EF"/>
    <w:rsid w:val="00A4184E"/>
    <w:rsid w:val="00A41A40"/>
    <w:rsid w:val="00A41EE4"/>
    <w:rsid w:val="00A41FA6"/>
    <w:rsid w:val="00A42564"/>
    <w:rsid w:val="00A42A81"/>
    <w:rsid w:val="00A42DFA"/>
    <w:rsid w:val="00A434DD"/>
    <w:rsid w:val="00A4380B"/>
    <w:rsid w:val="00A441B1"/>
    <w:rsid w:val="00A4430C"/>
    <w:rsid w:val="00A44431"/>
    <w:rsid w:val="00A44752"/>
    <w:rsid w:val="00A453A2"/>
    <w:rsid w:val="00A455D3"/>
    <w:rsid w:val="00A45891"/>
    <w:rsid w:val="00A45A34"/>
    <w:rsid w:val="00A46718"/>
    <w:rsid w:val="00A4686D"/>
    <w:rsid w:val="00A46EEC"/>
    <w:rsid w:val="00A46EF4"/>
    <w:rsid w:val="00A47245"/>
    <w:rsid w:val="00A47373"/>
    <w:rsid w:val="00A47D4A"/>
    <w:rsid w:val="00A47F0B"/>
    <w:rsid w:val="00A50645"/>
    <w:rsid w:val="00A50AA5"/>
    <w:rsid w:val="00A50CB3"/>
    <w:rsid w:val="00A524AE"/>
    <w:rsid w:val="00A52BEE"/>
    <w:rsid w:val="00A53409"/>
    <w:rsid w:val="00A53DD5"/>
    <w:rsid w:val="00A542E5"/>
    <w:rsid w:val="00A54810"/>
    <w:rsid w:val="00A54AA0"/>
    <w:rsid w:val="00A54E98"/>
    <w:rsid w:val="00A55463"/>
    <w:rsid w:val="00A563C4"/>
    <w:rsid w:val="00A564D3"/>
    <w:rsid w:val="00A567DD"/>
    <w:rsid w:val="00A56D79"/>
    <w:rsid w:val="00A56E2E"/>
    <w:rsid w:val="00A57082"/>
    <w:rsid w:val="00A57253"/>
    <w:rsid w:val="00A57AF9"/>
    <w:rsid w:val="00A600BC"/>
    <w:rsid w:val="00A603AA"/>
    <w:rsid w:val="00A604DE"/>
    <w:rsid w:val="00A60600"/>
    <w:rsid w:val="00A60B60"/>
    <w:rsid w:val="00A60D2A"/>
    <w:rsid w:val="00A610E0"/>
    <w:rsid w:val="00A61401"/>
    <w:rsid w:val="00A61459"/>
    <w:rsid w:val="00A616D8"/>
    <w:rsid w:val="00A62C25"/>
    <w:rsid w:val="00A62C88"/>
    <w:rsid w:val="00A6316D"/>
    <w:rsid w:val="00A637C6"/>
    <w:rsid w:val="00A645C6"/>
    <w:rsid w:val="00A64656"/>
    <w:rsid w:val="00A6503C"/>
    <w:rsid w:val="00A65105"/>
    <w:rsid w:val="00A6536E"/>
    <w:rsid w:val="00A657F1"/>
    <w:rsid w:val="00A658AB"/>
    <w:rsid w:val="00A65A4E"/>
    <w:rsid w:val="00A65DCE"/>
    <w:rsid w:val="00A665C1"/>
    <w:rsid w:val="00A665F1"/>
    <w:rsid w:val="00A66DA0"/>
    <w:rsid w:val="00A66DBF"/>
    <w:rsid w:val="00A6744E"/>
    <w:rsid w:val="00A67495"/>
    <w:rsid w:val="00A67894"/>
    <w:rsid w:val="00A70780"/>
    <w:rsid w:val="00A71278"/>
    <w:rsid w:val="00A71492"/>
    <w:rsid w:val="00A71718"/>
    <w:rsid w:val="00A723B4"/>
    <w:rsid w:val="00A7317F"/>
    <w:rsid w:val="00A73376"/>
    <w:rsid w:val="00A73C5A"/>
    <w:rsid w:val="00A742F0"/>
    <w:rsid w:val="00A74FCB"/>
    <w:rsid w:val="00A75248"/>
    <w:rsid w:val="00A75688"/>
    <w:rsid w:val="00A75810"/>
    <w:rsid w:val="00A75B91"/>
    <w:rsid w:val="00A761D7"/>
    <w:rsid w:val="00A7670F"/>
    <w:rsid w:val="00A76AEE"/>
    <w:rsid w:val="00A76DC6"/>
    <w:rsid w:val="00A77061"/>
    <w:rsid w:val="00A77CE6"/>
    <w:rsid w:val="00A80173"/>
    <w:rsid w:val="00A80576"/>
    <w:rsid w:val="00A80BE1"/>
    <w:rsid w:val="00A80D4C"/>
    <w:rsid w:val="00A80FA3"/>
    <w:rsid w:val="00A8102E"/>
    <w:rsid w:val="00A81524"/>
    <w:rsid w:val="00A81E09"/>
    <w:rsid w:val="00A82356"/>
    <w:rsid w:val="00A8390C"/>
    <w:rsid w:val="00A83936"/>
    <w:rsid w:val="00A83C6D"/>
    <w:rsid w:val="00A83ED9"/>
    <w:rsid w:val="00A84911"/>
    <w:rsid w:val="00A84EC4"/>
    <w:rsid w:val="00A84FF4"/>
    <w:rsid w:val="00A85A65"/>
    <w:rsid w:val="00A85B88"/>
    <w:rsid w:val="00A85D31"/>
    <w:rsid w:val="00A85E19"/>
    <w:rsid w:val="00A8642E"/>
    <w:rsid w:val="00A86492"/>
    <w:rsid w:val="00A86986"/>
    <w:rsid w:val="00A86E5C"/>
    <w:rsid w:val="00A8704C"/>
    <w:rsid w:val="00A879D3"/>
    <w:rsid w:val="00A90355"/>
    <w:rsid w:val="00A903FF"/>
    <w:rsid w:val="00A9080A"/>
    <w:rsid w:val="00A908B9"/>
    <w:rsid w:val="00A90C22"/>
    <w:rsid w:val="00A91C51"/>
    <w:rsid w:val="00A92023"/>
    <w:rsid w:val="00A92BEB"/>
    <w:rsid w:val="00A93C9E"/>
    <w:rsid w:val="00A93E17"/>
    <w:rsid w:val="00A9418F"/>
    <w:rsid w:val="00A9419F"/>
    <w:rsid w:val="00A9436D"/>
    <w:rsid w:val="00A9444A"/>
    <w:rsid w:val="00A9480A"/>
    <w:rsid w:val="00A95B26"/>
    <w:rsid w:val="00A95F02"/>
    <w:rsid w:val="00A96528"/>
    <w:rsid w:val="00A968F3"/>
    <w:rsid w:val="00A96C8E"/>
    <w:rsid w:val="00A96F58"/>
    <w:rsid w:val="00A97CAA"/>
    <w:rsid w:val="00A97F08"/>
    <w:rsid w:val="00AA115B"/>
    <w:rsid w:val="00AA1179"/>
    <w:rsid w:val="00AA126A"/>
    <w:rsid w:val="00AA20DC"/>
    <w:rsid w:val="00AA2998"/>
    <w:rsid w:val="00AA29EB"/>
    <w:rsid w:val="00AA2AF3"/>
    <w:rsid w:val="00AA2BA3"/>
    <w:rsid w:val="00AA33CA"/>
    <w:rsid w:val="00AA3D9C"/>
    <w:rsid w:val="00AA443A"/>
    <w:rsid w:val="00AA4EBC"/>
    <w:rsid w:val="00AA5CD9"/>
    <w:rsid w:val="00AA661A"/>
    <w:rsid w:val="00AA6DB5"/>
    <w:rsid w:val="00AA7101"/>
    <w:rsid w:val="00AB00FD"/>
    <w:rsid w:val="00AB085D"/>
    <w:rsid w:val="00AB0B54"/>
    <w:rsid w:val="00AB1C14"/>
    <w:rsid w:val="00AB1CB6"/>
    <w:rsid w:val="00AB1CD9"/>
    <w:rsid w:val="00AB1E0D"/>
    <w:rsid w:val="00AB1FAE"/>
    <w:rsid w:val="00AB28C7"/>
    <w:rsid w:val="00AB2E71"/>
    <w:rsid w:val="00AB4267"/>
    <w:rsid w:val="00AB4461"/>
    <w:rsid w:val="00AB48BB"/>
    <w:rsid w:val="00AB4A62"/>
    <w:rsid w:val="00AB5210"/>
    <w:rsid w:val="00AB5760"/>
    <w:rsid w:val="00AB5BCB"/>
    <w:rsid w:val="00AB6368"/>
    <w:rsid w:val="00AB644C"/>
    <w:rsid w:val="00AB654A"/>
    <w:rsid w:val="00AB65C1"/>
    <w:rsid w:val="00AB6EC1"/>
    <w:rsid w:val="00AB73F6"/>
    <w:rsid w:val="00AB77BB"/>
    <w:rsid w:val="00AB78FD"/>
    <w:rsid w:val="00AB795F"/>
    <w:rsid w:val="00AB7AE0"/>
    <w:rsid w:val="00AC1D05"/>
    <w:rsid w:val="00AC2435"/>
    <w:rsid w:val="00AC2A71"/>
    <w:rsid w:val="00AC3BBC"/>
    <w:rsid w:val="00AC3FCA"/>
    <w:rsid w:val="00AC40E1"/>
    <w:rsid w:val="00AC431A"/>
    <w:rsid w:val="00AC4369"/>
    <w:rsid w:val="00AC4499"/>
    <w:rsid w:val="00AC45AD"/>
    <w:rsid w:val="00AC45F8"/>
    <w:rsid w:val="00AC46CD"/>
    <w:rsid w:val="00AC46FA"/>
    <w:rsid w:val="00AC5AF7"/>
    <w:rsid w:val="00AC687B"/>
    <w:rsid w:val="00AC6961"/>
    <w:rsid w:val="00AD04DA"/>
    <w:rsid w:val="00AD0A6C"/>
    <w:rsid w:val="00AD125B"/>
    <w:rsid w:val="00AD1A52"/>
    <w:rsid w:val="00AD1FAA"/>
    <w:rsid w:val="00AD220E"/>
    <w:rsid w:val="00AD3EFF"/>
    <w:rsid w:val="00AD4A78"/>
    <w:rsid w:val="00AD5636"/>
    <w:rsid w:val="00AD5DF6"/>
    <w:rsid w:val="00AD77D3"/>
    <w:rsid w:val="00AD78DE"/>
    <w:rsid w:val="00AE0A07"/>
    <w:rsid w:val="00AE1991"/>
    <w:rsid w:val="00AE1B34"/>
    <w:rsid w:val="00AE2048"/>
    <w:rsid w:val="00AE29D2"/>
    <w:rsid w:val="00AE2CB7"/>
    <w:rsid w:val="00AE3539"/>
    <w:rsid w:val="00AE3556"/>
    <w:rsid w:val="00AE3CDF"/>
    <w:rsid w:val="00AE3DE5"/>
    <w:rsid w:val="00AE4684"/>
    <w:rsid w:val="00AE4AA9"/>
    <w:rsid w:val="00AE4F15"/>
    <w:rsid w:val="00AE55EF"/>
    <w:rsid w:val="00AE6729"/>
    <w:rsid w:val="00AE683F"/>
    <w:rsid w:val="00AE6AA7"/>
    <w:rsid w:val="00AE6B20"/>
    <w:rsid w:val="00AE7B98"/>
    <w:rsid w:val="00AE7D70"/>
    <w:rsid w:val="00AF0368"/>
    <w:rsid w:val="00AF0536"/>
    <w:rsid w:val="00AF06F8"/>
    <w:rsid w:val="00AF09CA"/>
    <w:rsid w:val="00AF1970"/>
    <w:rsid w:val="00AF1DD8"/>
    <w:rsid w:val="00AF2725"/>
    <w:rsid w:val="00AF32C9"/>
    <w:rsid w:val="00AF33F6"/>
    <w:rsid w:val="00AF3A43"/>
    <w:rsid w:val="00AF3F4C"/>
    <w:rsid w:val="00AF4B09"/>
    <w:rsid w:val="00AF5686"/>
    <w:rsid w:val="00AF5863"/>
    <w:rsid w:val="00AF5BE4"/>
    <w:rsid w:val="00AF5DF2"/>
    <w:rsid w:val="00AF5EF2"/>
    <w:rsid w:val="00AF6028"/>
    <w:rsid w:val="00AF7479"/>
    <w:rsid w:val="00AF7AD8"/>
    <w:rsid w:val="00AF7D56"/>
    <w:rsid w:val="00B00047"/>
    <w:rsid w:val="00B002F6"/>
    <w:rsid w:val="00B0082A"/>
    <w:rsid w:val="00B00B88"/>
    <w:rsid w:val="00B00F5E"/>
    <w:rsid w:val="00B013E2"/>
    <w:rsid w:val="00B01BC4"/>
    <w:rsid w:val="00B02A66"/>
    <w:rsid w:val="00B02A73"/>
    <w:rsid w:val="00B02C01"/>
    <w:rsid w:val="00B039DF"/>
    <w:rsid w:val="00B03A24"/>
    <w:rsid w:val="00B04B6F"/>
    <w:rsid w:val="00B04DC6"/>
    <w:rsid w:val="00B04DDF"/>
    <w:rsid w:val="00B05029"/>
    <w:rsid w:val="00B05108"/>
    <w:rsid w:val="00B0522F"/>
    <w:rsid w:val="00B054D2"/>
    <w:rsid w:val="00B060A7"/>
    <w:rsid w:val="00B0620E"/>
    <w:rsid w:val="00B065F9"/>
    <w:rsid w:val="00B067EE"/>
    <w:rsid w:val="00B06DB7"/>
    <w:rsid w:val="00B07A68"/>
    <w:rsid w:val="00B07EBA"/>
    <w:rsid w:val="00B1000C"/>
    <w:rsid w:val="00B10325"/>
    <w:rsid w:val="00B11497"/>
    <w:rsid w:val="00B11A5C"/>
    <w:rsid w:val="00B11D90"/>
    <w:rsid w:val="00B11E90"/>
    <w:rsid w:val="00B1249F"/>
    <w:rsid w:val="00B12BF3"/>
    <w:rsid w:val="00B12D6F"/>
    <w:rsid w:val="00B134EB"/>
    <w:rsid w:val="00B13D80"/>
    <w:rsid w:val="00B144C9"/>
    <w:rsid w:val="00B146E7"/>
    <w:rsid w:val="00B14759"/>
    <w:rsid w:val="00B14ABF"/>
    <w:rsid w:val="00B14C1D"/>
    <w:rsid w:val="00B16394"/>
    <w:rsid w:val="00B165B2"/>
    <w:rsid w:val="00B16C1B"/>
    <w:rsid w:val="00B16C26"/>
    <w:rsid w:val="00B16F2D"/>
    <w:rsid w:val="00B170FE"/>
    <w:rsid w:val="00B174F2"/>
    <w:rsid w:val="00B176E1"/>
    <w:rsid w:val="00B17CD4"/>
    <w:rsid w:val="00B20399"/>
    <w:rsid w:val="00B20F99"/>
    <w:rsid w:val="00B21A99"/>
    <w:rsid w:val="00B21C4E"/>
    <w:rsid w:val="00B2207D"/>
    <w:rsid w:val="00B2217F"/>
    <w:rsid w:val="00B2237A"/>
    <w:rsid w:val="00B22F65"/>
    <w:rsid w:val="00B22F6E"/>
    <w:rsid w:val="00B234F5"/>
    <w:rsid w:val="00B236D9"/>
    <w:rsid w:val="00B23849"/>
    <w:rsid w:val="00B240A1"/>
    <w:rsid w:val="00B24944"/>
    <w:rsid w:val="00B24A3D"/>
    <w:rsid w:val="00B24AB7"/>
    <w:rsid w:val="00B25D15"/>
    <w:rsid w:val="00B25F0C"/>
    <w:rsid w:val="00B2604F"/>
    <w:rsid w:val="00B2636B"/>
    <w:rsid w:val="00B2758A"/>
    <w:rsid w:val="00B3047B"/>
    <w:rsid w:val="00B3078C"/>
    <w:rsid w:val="00B307EA"/>
    <w:rsid w:val="00B30A72"/>
    <w:rsid w:val="00B30B33"/>
    <w:rsid w:val="00B31270"/>
    <w:rsid w:val="00B326B3"/>
    <w:rsid w:val="00B32754"/>
    <w:rsid w:val="00B32AD7"/>
    <w:rsid w:val="00B32DF9"/>
    <w:rsid w:val="00B32F90"/>
    <w:rsid w:val="00B3353E"/>
    <w:rsid w:val="00B33885"/>
    <w:rsid w:val="00B33DC7"/>
    <w:rsid w:val="00B3475A"/>
    <w:rsid w:val="00B347A5"/>
    <w:rsid w:val="00B34A1A"/>
    <w:rsid w:val="00B34A6C"/>
    <w:rsid w:val="00B34BFA"/>
    <w:rsid w:val="00B35355"/>
    <w:rsid w:val="00B35F4D"/>
    <w:rsid w:val="00B367AB"/>
    <w:rsid w:val="00B37770"/>
    <w:rsid w:val="00B403E4"/>
    <w:rsid w:val="00B407F5"/>
    <w:rsid w:val="00B40B47"/>
    <w:rsid w:val="00B4211E"/>
    <w:rsid w:val="00B423DD"/>
    <w:rsid w:val="00B426DB"/>
    <w:rsid w:val="00B43648"/>
    <w:rsid w:val="00B436BC"/>
    <w:rsid w:val="00B437AD"/>
    <w:rsid w:val="00B445BF"/>
    <w:rsid w:val="00B44A7E"/>
    <w:rsid w:val="00B45902"/>
    <w:rsid w:val="00B46774"/>
    <w:rsid w:val="00B46DDE"/>
    <w:rsid w:val="00B46E29"/>
    <w:rsid w:val="00B4733C"/>
    <w:rsid w:val="00B5005F"/>
    <w:rsid w:val="00B513F5"/>
    <w:rsid w:val="00B52870"/>
    <w:rsid w:val="00B52924"/>
    <w:rsid w:val="00B52949"/>
    <w:rsid w:val="00B52B51"/>
    <w:rsid w:val="00B52BBC"/>
    <w:rsid w:val="00B53522"/>
    <w:rsid w:val="00B53666"/>
    <w:rsid w:val="00B53756"/>
    <w:rsid w:val="00B54341"/>
    <w:rsid w:val="00B54BDC"/>
    <w:rsid w:val="00B54D2F"/>
    <w:rsid w:val="00B55327"/>
    <w:rsid w:val="00B55475"/>
    <w:rsid w:val="00B556B9"/>
    <w:rsid w:val="00B55CAD"/>
    <w:rsid w:val="00B565BC"/>
    <w:rsid w:val="00B5768B"/>
    <w:rsid w:val="00B60048"/>
    <w:rsid w:val="00B60596"/>
    <w:rsid w:val="00B60CC1"/>
    <w:rsid w:val="00B61607"/>
    <w:rsid w:val="00B6179B"/>
    <w:rsid w:val="00B621AD"/>
    <w:rsid w:val="00B623D9"/>
    <w:rsid w:val="00B63F42"/>
    <w:rsid w:val="00B64B8A"/>
    <w:rsid w:val="00B64CC5"/>
    <w:rsid w:val="00B64CED"/>
    <w:rsid w:val="00B64FB3"/>
    <w:rsid w:val="00B656BE"/>
    <w:rsid w:val="00B66575"/>
    <w:rsid w:val="00B665DD"/>
    <w:rsid w:val="00B66C5C"/>
    <w:rsid w:val="00B676BE"/>
    <w:rsid w:val="00B70008"/>
    <w:rsid w:val="00B72526"/>
    <w:rsid w:val="00B7297E"/>
    <w:rsid w:val="00B729D5"/>
    <w:rsid w:val="00B72E68"/>
    <w:rsid w:val="00B72FE9"/>
    <w:rsid w:val="00B73780"/>
    <w:rsid w:val="00B74316"/>
    <w:rsid w:val="00B74956"/>
    <w:rsid w:val="00B74D42"/>
    <w:rsid w:val="00B7573E"/>
    <w:rsid w:val="00B75922"/>
    <w:rsid w:val="00B75AB8"/>
    <w:rsid w:val="00B75FF0"/>
    <w:rsid w:val="00B76160"/>
    <w:rsid w:val="00B76559"/>
    <w:rsid w:val="00B76E68"/>
    <w:rsid w:val="00B773A7"/>
    <w:rsid w:val="00B774DE"/>
    <w:rsid w:val="00B77672"/>
    <w:rsid w:val="00B77F9E"/>
    <w:rsid w:val="00B802D9"/>
    <w:rsid w:val="00B80671"/>
    <w:rsid w:val="00B813E3"/>
    <w:rsid w:val="00B8160B"/>
    <w:rsid w:val="00B82022"/>
    <w:rsid w:val="00B82867"/>
    <w:rsid w:val="00B8320C"/>
    <w:rsid w:val="00B839E8"/>
    <w:rsid w:val="00B84073"/>
    <w:rsid w:val="00B847A2"/>
    <w:rsid w:val="00B84CA5"/>
    <w:rsid w:val="00B84E42"/>
    <w:rsid w:val="00B85973"/>
    <w:rsid w:val="00B85D15"/>
    <w:rsid w:val="00B85D5B"/>
    <w:rsid w:val="00B86373"/>
    <w:rsid w:val="00B8703D"/>
    <w:rsid w:val="00B87164"/>
    <w:rsid w:val="00B8775F"/>
    <w:rsid w:val="00B900C1"/>
    <w:rsid w:val="00B9056A"/>
    <w:rsid w:val="00B910D4"/>
    <w:rsid w:val="00B91699"/>
    <w:rsid w:val="00B916F4"/>
    <w:rsid w:val="00B918DC"/>
    <w:rsid w:val="00B91B2F"/>
    <w:rsid w:val="00B91C42"/>
    <w:rsid w:val="00B91DF8"/>
    <w:rsid w:val="00B92CDD"/>
    <w:rsid w:val="00B932CE"/>
    <w:rsid w:val="00B93D13"/>
    <w:rsid w:val="00B94234"/>
    <w:rsid w:val="00B94733"/>
    <w:rsid w:val="00B948E2"/>
    <w:rsid w:val="00B94D50"/>
    <w:rsid w:val="00B952B6"/>
    <w:rsid w:val="00B9547D"/>
    <w:rsid w:val="00B95E98"/>
    <w:rsid w:val="00B967EA"/>
    <w:rsid w:val="00B96E5C"/>
    <w:rsid w:val="00B97145"/>
    <w:rsid w:val="00B973A2"/>
    <w:rsid w:val="00B97578"/>
    <w:rsid w:val="00B97A27"/>
    <w:rsid w:val="00B97A8F"/>
    <w:rsid w:val="00B97AD6"/>
    <w:rsid w:val="00B97D6F"/>
    <w:rsid w:val="00BA01A7"/>
    <w:rsid w:val="00BA029E"/>
    <w:rsid w:val="00BA02FE"/>
    <w:rsid w:val="00BA1070"/>
    <w:rsid w:val="00BA14B6"/>
    <w:rsid w:val="00BA2230"/>
    <w:rsid w:val="00BA2338"/>
    <w:rsid w:val="00BA2570"/>
    <w:rsid w:val="00BA2890"/>
    <w:rsid w:val="00BA29E8"/>
    <w:rsid w:val="00BA31B3"/>
    <w:rsid w:val="00BA3566"/>
    <w:rsid w:val="00BA3A57"/>
    <w:rsid w:val="00BA4F8C"/>
    <w:rsid w:val="00BA5275"/>
    <w:rsid w:val="00BA66A4"/>
    <w:rsid w:val="00BA6919"/>
    <w:rsid w:val="00BA6CC2"/>
    <w:rsid w:val="00BA785B"/>
    <w:rsid w:val="00BA7EF1"/>
    <w:rsid w:val="00BA7F10"/>
    <w:rsid w:val="00BB0039"/>
    <w:rsid w:val="00BB0744"/>
    <w:rsid w:val="00BB0A16"/>
    <w:rsid w:val="00BB0BCB"/>
    <w:rsid w:val="00BB115A"/>
    <w:rsid w:val="00BB1249"/>
    <w:rsid w:val="00BB12AE"/>
    <w:rsid w:val="00BB18D7"/>
    <w:rsid w:val="00BB2259"/>
    <w:rsid w:val="00BB2B6B"/>
    <w:rsid w:val="00BB2CD0"/>
    <w:rsid w:val="00BB2F01"/>
    <w:rsid w:val="00BB3103"/>
    <w:rsid w:val="00BB3254"/>
    <w:rsid w:val="00BB4A2A"/>
    <w:rsid w:val="00BB5C56"/>
    <w:rsid w:val="00BB5EC4"/>
    <w:rsid w:val="00BB6891"/>
    <w:rsid w:val="00BB6DB1"/>
    <w:rsid w:val="00BB7624"/>
    <w:rsid w:val="00BB7A5F"/>
    <w:rsid w:val="00BC07F2"/>
    <w:rsid w:val="00BC0B2F"/>
    <w:rsid w:val="00BC0F58"/>
    <w:rsid w:val="00BC281F"/>
    <w:rsid w:val="00BC2857"/>
    <w:rsid w:val="00BC2924"/>
    <w:rsid w:val="00BC2F11"/>
    <w:rsid w:val="00BC34C0"/>
    <w:rsid w:val="00BC3550"/>
    <w:rsid w:val="00BC36FD"/>
    <w:rsid w:val="00BC4675"/>
    <w:rsid w:val="00BC4C79"/>
    <w:rsid w:val="00BC503A"/>
    <w:rsid w:val="00BC58D9"/>
    <w:rsid w:val="00BC601C"/>
    <w:rsid w:val="00BC6031"/>
    <w:rsid w:val="00BC6622"/>
    <w:rsid w:val="00BC685E"/>
    <w:rsid w:val="00BC6EC1"/>
    <w:rsid w:val="00BC74E6"/>
    <w:rsid w:val="00BC7778"/>
    <w:rsid w:val="00BD07E2"/>
    <w:rsid w:val="00BD091C"/>
    <w:rsid w:val="00BD09D2"/>
    <w:rsid w:val="00BD0A39"/>
    <w:rsid w:val="00BD122C"/>
    <w:rsid w:val="00BD13CE"/>
    <w:rsid w:val="00BD15F2"/>
    <w:rsid w:val="00BD210D"/>
    <w:rsid w:val="00BD2339"/>
    <w:rsid w:val="00BD25D9"/>
    <w:rsid w:val="00BD298C"/>
    <w:rsid w:val="00BD2C52"/>
    <w:rsid w:val="00BD32B6"/>
    <w:rsid w:val="00BD396A"/>
    <w:rsid w:val="00BD41BC"/>
    <w:rsid w:val="00BD41C3"/>
    <w:rsid w:val="00BD491C"/>
    <w:rsid w:val="00BD5074"/>
    <w:rsid w:val="00BD539F"/>
    <w:rsid w:val="00BD570A"/>
    <w:rsid w:val="00BD5764"/>
    <w:rsid w:val="00BD5FA5"/>
    <w:rsid w:val="00BD6B89"/>
    <w:rsid w:val="00BD702B"/>
    <w:rsid w:val="00BD7D7A"/>
    <w:rsid w:val="00BD7DA6"/>
    <w:rsid w:val="00BE046A"/>
    <w:rsid w:val="00BE0673"/>
    <w:rsid w:val="00BE102E"/>
    <w:rsid w:val="00BE1238"/>
    <w:rsid w:val="00BE18D8"/>
    <w:rsid w:val="00BE2400"/>
    <w:rsid w:val="00BE2519"/>
    <w:rsid w:val="00BE2687"/>
    <w:rsid w:val="00BE2A0F"/>
    <w:rsid w:val="00BE3568"/>
    <w:rsid w:val="00BE361C"/>
    <w:rsid w:val="00BE3C30"/>
    <w:rsid w:val="00BE4316"/>
    <w:rsid w:val="00BE5014"/>
    <w:rsid w:val="00BE6492"/>
    <w:rsid w:val="00BE6E07"/>
    <w:rsid w:val="00BF032D"/>
    <w:rsid w:val="00BF041A"/>
    <w:rsid w:val="00BF0DDE"/>
    <w:rsid w:val="00BF1136"/>
    <w:rsid w:val="00BF12A7"/>
    <w:rsid w:val="00BF1428"/>
    <w:rsid w:val="00BF1964"/>
    <w:rsid w:val="00BF2953"/>
    <w:rsid w:val="00BF2F88"/>
    <w:rsid w:val="00BF3672"/>
    <w:rsid w:val="00BF403A"/>
    <w:rsid w:val="00BF4193"/>
    <w:rsid w:val="00BF4912"/>
    <w:rsid w:val="00BF577A"/>
    <w:rsid w:val="00BF640B"/>
    <w:rsid w:val="00BF684D"/>
    <w:rsid w:val="00BF6C26"/>
    <w:rsid w:val="00BF702F"/>
    <w:rsid w:val="00BF7181"/>
    <w:rsid w:val="00BF7359"/>
    <w:rsid w:val="00BF7B85"/>
    <w:rsid w:val="00BF7DD4"/>
    <w:rsid w:val="00C00D6F"/>
    <w:rsid w:val="00C00F34"/>
    <w:rsid w:val="00C00FCE"/>
    <w:rsid w:val="00C01976"/>
    <w:rsid w:val="00C01D12"/>
    <w:rsid w:val="00C02A56"/>
    <w:rsid w:val="00C034A1"/>
    <w:rsid w:val="00C034C5"/>
    <w:rsid w:val="00C03A5E"/>
    <w:rsid w:val="00C0460C"/>
    <w:rsid w:val="00C048BF"/>
    <w:rsid w:val="00C04C5D"/>
    <w:rsid w:val="00C05400"/>
    <w:rsid w:val="00C05814"/>
    <w:rsid w:val="00C06B12"/>
    <w:rsid w:val="00C06D1B"/>
    <w:rsid w:val="00C07634"/>
    <w:rsid w:val="00C07721"/>
    <w:rsid w:val="00C079D6"/>
    <w:rsid w:val="00C07B40"/>
    <w:rsid w:val="00C07BB4"/>
    <w:rsid w:val="00C07D28"/>
    <w:rsid w:val="00C1093F"/>
    <w:rsid w:val="00C1155E"/>
    <w:rsid w:val="00C11FF4"/>
    <w:rsid w:val="00C125E4"/>
    <w:rsid w:val="00C12697"/>
    <w:rsid w:val="00C1288F"/>
    <w:rsid w:val="00C1358F"/>
    <w:rsid w:val="00C13918"/>
    <w:rsid w:val="00C13A45"/>
    <w:rsid w:val="00C13C95"/>
    <w:rsid w:val="00C13E30"/>
    <w:rsid w:val="00C14300"/>
    <w:rsid w:val="00C14BE7"/>
    <w:rsid w:val="00C14F3C"/>
    <w:rsid w:val="00C157AE"/>
    <w:rsid w:val="00C15C5C"/>
    <w:rsid w:val="00C15E53"/>
    <w:rsid w:val="00C16507"/>
    <w:rsid w:val="00C1686A"/>
    <w:rsid w:val="00C16FF2"/>
    <w:rsid w:val="00C17576"/>
    <w:rsid w:val="00C17773"/>
    <w:rsid w:val="00C178B5"/>
    <w:rsid w:val="00C201D8"/>
    <w:rsid w:val="00C20453"/>
    <w:rsid w:val="00C20AF0"/>
    <w:rsid w:val="00C20D99"/>
    <w:rsid w:val="00C2151D"/>
    <w:rsid w:val="00C216F1"/>
    <w:rsid w:val="00C21859"/>
    <w:rsid w:val="00C219D1"/>
    <w:rsid w:val="00C21BC8"/>
    <w:rsid w:val="00C2251E"/>
    <w:rsid w:val="00C23EE9"/>
    <w:rsid w:val="00C2449F"/>
    <w:rsid w:val="00C24997"/>
    <w:rsid w:val="00C24A66"/>
    <w:rsid w:val="00C2586F"/>
    <w:rsid w:val="00C258F4"/>
    <w:rsid w:val="00C2621F"/>
    <w:rsid w:val="00C265D6"/>
    <w:rsid w:val="00C266E4"/>
    <w:rsid w:val="00C26727"/>
    <w:rsid w:val="00C26EB6"/>
    <w:rsid w:val="00C27B13"/>
    <w:rsid w:val="00C27B55"/>
    <w:rsid w:val="00C27F2D"/>
    <w:rsid w:val="00C3116E"/>
    <w:rsid w:val="00C3130E"/>
    <w:rsid w:val="00C31BCB"/>
    <w:rsid w:val="00C31C3C"/>
    <w:rsid w:val="00C31DFD"/>
    <w:rsid w:val="00C32468"/>
    <w:rsid w:val="00C32AB1"/>
    <w:rsid w:val="00C32F2F"/>
    <w:rsid w:val="00C33B7F"/>
    <w:rsid w:val="00C34452"/>
    <w:rsid w:val="00C34FA6"/>
    <w:rsid w:val="00C354E8"/>
    <w:rsid w:val="00C363C1"/>
    <w:rsid w:val="00C364E4"/>
    <w:rsid w:val="00C36571"/>
    <w:rsid w:val="00C36AC3"/>
    <w:rsid w:val="00C37433"/>
    <w:rsid w:val="00C374FE"/>
    <w:rsid w:val="00C402AC"/>
    <w:rsid w:val="00C40DB0"/>
    <w:rsid w:val="00C41353"/>
    <w:rsid w:val="00C41874"/>
    <w:rsid w:val="00C4198B"/>
    <w:rsid w:val="00C41F53"/>
    <w:rsid w:val="00C42051"/>
    <w:rsid w:val="00C42862"/>
    <w:rsid w:val="00C42A9E"/>
    <w:rsid w:val="00C42DC1"/>
    <w:rsid w:val="00C44691"/>
    <w:rsid w:val="00C46A90"/>
    <w:rsid w:val="00C46C95"/>
    <w:rsid w:val="00C47D43"/>
    <w:rsid w:val="00C47EF6"/>
    <w:rsid w:val="00C509E6"/>
    <w:rsid w:val="00C51CE1"/>
    <w:rsid w:val="00C52851"/>
    <w:rsid w:val="00C53FF8"/>
    <w:rsid w:val="00C54275"/>
    <w:rsid w:val="00C54512"/>
    <w:rsid w:val="00C54615"/>
    <w:rsid w:val="00C5612B"/>
    <w:rsid w:val="00C562A9"/>
    <w:rsid w:val="00C56426"/>
    <w:rsid w:val="00C566A0"/>
    <w:rsid w:val="00C56B37"/>
    <w:rsid w:val="00C56BAA"/>
    <w:rsid w:val="00C56EAB"/>
    <w:rsid w:val="00C5702F"/>
    <w:rsid w:val="00C571AE"/>
    <w:rsid w:val="00C57453"/>
    <w:rsid w:val="00C57792"/>
    <w:rsid w:val="00C579FB"/>
    <w:rsid w:val="00C57A43"/>
    <w:rsid w:val="00C57D29"/>
    <w:rsid w:val="00C60425"/>
    <w:rsid w:val="00C60B99"/>
    <w:rsid w:val="00C60FA7"/>
    <w:rsid w:val="00C61589"/>
    <w:rsid w:val="00C618A9"/>
    <w:rsid w:val="00C61AC8"/>
    <w:rsid w:val="00C6203C"/>
    <w:rsid w:val="00C6329D"/>
    <w:rsid w:val="00C64F79"/>
    <w:rsid w:val="00C6520A"/>
    <w:rsid w:val="00C65239"/>
    <w:rsid w:val="00C65941"/>
    <w:rsid w:val="00C65FDD"/>
    <w:rsid w:val="00C661AD"/>
    <w:rsid w:val="00C6645B"/>
    <w:rsid w:val="00C6676D"/>
    <w:rsid w:val="00C66C57"/>
    <w:rsid w:val="00C6712F"/>
    <w:rsid w:val="00C677EE"/>
    <w:rsid w:val="00C67A57"/>
    <w:rsid w:val="00C7021C"/>
    <w:rsid w:val="00C70443"/>
    <w:rsid w:val="00C70803"/>
    <w:rsid w:val="00C70A7D"/>
    <w:rsid w:val="00C70F4F"/>
    <w:rsid w:val="00C718BA"/>
    <w:rsid w:val="00C71973"/>
    <w:rsid w:val="00C720EF"/>
    <w:rsid w:val="00C72A85"/>
    <w:rsid w:val="00C73358"/>
    <w:rsid w:val="00C74614"/>
    <w:rsid w:val="00C748A6"/>
    <w:rsid w:val="00C74C82"/>
    <w:rsid w:val="00C74E45"/>
    <w:rsid w:val="00C75002"/>
    <w:rsid w:val="00C75EFE"/>
    <w:rsid w:val="00C76A87"/>
    <w:rsid w:val="00C76F67"/>
    <w:rsid w:val="00C779AF"/>
    <w:rsid w:val="00C80A1F"/>
    <w:rsid w:val="00C80D9B"/>
    <w:rsid w:val="00C81460"/>
    <w:rsid w:val="00C815D3"/>
    <w:rsid w:val="00C819A1"/>
    <w:rsid w:val="00C83220"/>
    <w:rsid w:val="00C838B0"/>
    <w:rsid w:val="00C83D3C"/>
    <w:rsid w:val="00C83F48"/>
    <w:rsid w:val="00C842C2"/>
    <w:rsid w:val="00C84509"/>
    <w:rsid w:val="00C84C03"/>
    <w:rsid w:val="00C84E8A"/>
    <w:rsid w:val="00C85362"/>
    <w:rsid w:val="00C857A9"/>
    <w:rsid w:val="00C85849"/>
    <w:rsid w:val="00C85D48"/>
    <w:rsid w:val="00C86011"/>
    <w:rsid w:val="00C861FC"/>
    <w:rsid w:val="00C8621A"/>
    <w:rsid w:val="00C865C1"/>
    <w:rsid w:val="00C869BC"/>
    <w:rsid w:val="00C8718E"/>
    <w:rsid w:val="00C87392"/>
    <w:rsid w:val="00C90784"/>
    <w:rsid w:val="00C90E5E"/>
    <w:rsid w:val="00C91106"/>
    <w:rsid w:val="00C91786"/>
    <w:rsid w:val="00C92192"/>
    <w:rsid w:val="00C9230D"/>
    <w:rsid w:val="00C9232A"/>
    <w:rsid w:val="00C92714"/>
    <w:rsid w:val="00C9281D"/>
    <w:rsid w:val="00C92C8F"/>
    <w:rsid w:val="00C93129"/>
    <w:rsid w:val="00C936DC"/>
    <w:rsid w:val="00C9421E"/>
    <w:rsid w:val="00C9473E"/>
    <w:rsid w:val="00C94BB6"/>
    <w:rsid w:val="00C9538B"/>
    <w:rsid w:val="00C9573D"/>
    <w:rsid w:val="00C95DE3"/>
    <w:rsid w:val="00C971D5"/>
    <w:rsid w:val="00C97FA7"/>
    <w:rsid w:val="00CA15E2"/>
    <w:rsid w:val="00CA1E2F"/>
    <w:rsid w:val="00CA1FD4"/>
    <w:rsid w:val="00CA2108"/>
    <w:rsid w:val="00CA2161"/>
    <w:rsid w:val="00CA273C"/>
    <w:rsid w:val="00CA31FA"/>
    <w:rsid w:val="00CA3A9F"/>
    <w:rsid w:val="00CA4343"/>
    <w:rsid w:val="00CA502C"/>
    <w:rsid w:val="00CA5614"/>
    <w:rsid w:val="00CA5EE1"/>
    <w:rsid w:val="00CA611B"/>
    <w:rsid w:val="00CA658B"/>
    <w:rsid w:val="00CA7C91"/>
    <w:rsid w:val="00CB0C54"/>
    <w:rsid w:val="00CB0DA3"/>
    <w:rsid w:val="00CB0EE6"/>
    <w:rsid w:val="00CB123D"/>
    <w:rsid w:val="00CB2B94"/>
    <w:rsid w:val="00CB2EA2"/>
    <w:rsid w:val="00CB30A8"/>
    <w:rsid w:val="00CB343F"/>
    <w:rsid w:val="00CB3C69"/>
    <w:rsid w:val="00CB40F8"/>
    <w:rsid w:val="00CB42DD"/>
    <w:rsid w:val="00CB4CBC"/>
    <w:rsid w:val="00CB50B6"/>
    <w:rsid w:val="00CB535A"/>
    <w:rsid w:val="00CB570E"/>
    <w:rsid w:val="00CB58B7"/>
    <w:rsid w:val="00CB64A7"/>
    <w:rsid w:val="00CB6D13"/>
    <w:rsid w:val="00CB7020"/>
    <w:rsid w:val="00CB71C2"/>
    <w:rsid w:val="00CB73E6"/>
    <w:rsid w:val="00CB7545"/>
    <w:rsid w:val="00CB771D"/>
    <w:rsid w:val="00CB7A58"/>
    <w:rsid w:val="00CC026C"/>
    <w:rsid w:val="00CC0594"/>
    <w:rsid w:val="00CC06C9"/>
    <w:rsid w:val="00CC07FE"/>
    <w:rsid w:val="00CC0C1A"/>
    <w:rsid w:val="00CC1485"/>
    <w:rsid w:val="00CC17D6"/>
    <w:rsid w:val="00CC1E29"/>
    <w:rsid w:val="00CC1EE5"/>
    <w:rsid w:val="00CC2290"/>
    <w:rsid w:val="00CC22B9"/>
    <w:rsid w:val="00CC269E"/>
    <w:rsid w:val="00CC290B"/>
    <w:rsid w:val="00CC3486"/>
    <w:rsid w:val="00CC369B"/>
    <w:rsid w:val="00CC37A0"/>
    <w:rsid w:val="00CC3851"/>
    <w:rsid w:val="00CC3C8B"/>
    <w:rsid w:val="00CC4205"/>
    <w:rsid w:val="00CC4CE7"/>
    <w:rsid w:val="00CC53DD"/>
    <w:rsid w:val="00CC53DF"/>
    <w:rsid w:val="00CC5D4C"/>
    <w:rsid w:val="00CC61AC"/>
    <w:rsid w:val="00CC63CC"/>
    <w:rsid w:val="00CC65D8"/>
    <w:rsid w:val="00CC6799"/>
    <w:rsid w:val="00CC68AD"/>
    <w:rsid w:val="00CC6B39"/>
    <w:rsid w:val="00CC6C1A"/>
    <w:rsid w:val="00CC6C76"/>
    <w:rsid w:val="00CC6F43"/>
    <w:rsid w:val="00CC700A"/>
    <w:rsid w:val="00CC7815"/>
    <w:rsid w:val="00CD0C71"/>
    <w:rsid w:val="00CD0FBA"/>
    <w:rsid w:val="00CD1386"/>
    <w:rsid w:val="00CD1883"/>
    <w:rsid w:val="00CD1CC3"/>
    <w:rsid w:val="00CD1D1E"/>
    <w:rsid w:val="00CD2217"/>
    <w:rsid w:val="00CD2790"/>
    <w:rsid w:val="00CD2C21"/>
    <w:rsid w:val="00CD36B2"/>
    <w:rsid w:val="00CD3AA8"/>
    <w:rsid w:val="00CD3D9B"/>
    <w:rsid w:val="00CD3DBD"/>
    <w:rsid w:val="00CD5831"/>
    <w:rsid w:val="00CD59D9"/>
    <w:rsid w:val="00CD603A"/>
    <w:rsid w:val="00CD66B5"/>
    <w:rsid w:val="00CD67EC"/>
    <w:rsid w:val="00CD75DA"/>
    <w:rsid w:val="00CD7E24"/>
    <w:rsid w:val="00CD7E92"/>
    <w:rsid w:val="00CE0D84"/>
    <w:rsid w:val="00CE0F39"/>
    <w:rsid w:val="00CE10F6"/>
    <w:rsid w:val="00CE1348"/>
    <w:rsid w:val="00CE14F0"/>
    <w:rsid w:val="00CE1E11"/>
    <w:rsid w:val="00CE27EF"/>
    <w:rsid w:val="00CE2FD3"/>
    <w:rsid w:val="00CE32EE"/>
    <w:rsid w:val="00CE4CF8"/>
    <w:rsid w:val="00CE4E88"/>
    <w:rsid w:val="00CE5714"/>
    <w:rsid w:val="00CE5758"/>
    <w:rsid w:val="00CE5A8B"/>
    <w:rsid w:val="00CE76C7"/>
    <w:rsid w:val="00CE77F7"/>
    <w:rsid w:val="00CE7A75"/>
    <w:rsid w:val="00CE7E8B"/>
    <w:rsid w:val="00CF03DB"/>
    <w:rsid w:val="00CF04BF"/>
    <w:rsid w:val="00CF06D5"/>
    <w:rsid w:val="00CF1115"/>
    <w:rsid w:val="00CF168F"/>
    <w:rsid w:val="00CF1907"/>
    <w:rsid w:val="00CF1FC9"/>
    <w:rsid w:val="00CF209B"/>
    <w:rsid w:val="00CF27D1"/>
    <w:rsid w:val="00CF2DBC"/>
    <w:rsid w:val="00CF36A8"/>
    <w:rsid w:val="00CF3A0E"/>
    <w:rsid w:val="00CF3CD7"/>
    <w:rsid w:val="00CF3D30"/>
    <w:rsid w:val="00CF4236"/>
    <w:rsid w:val="00CF42EB"/>
    <w:rsid w:val="00CF449C"/>
    <w:rsid w:val="00CF4BE5"/>
    <w:rsid w:val="00CF4E03"/>
    <w:rsid w:val="00CF5272"/>
    <w:rsid w:val="00CF547A"/>
    <w:rsid w:val="00CF5600"/>
    <w:rsid w:val="00CF65B1"/>
    <w:rsid w:val="00CF69C8"/>
    <w:rsid w:val="00CF6AA0"/>
    <w:rsid w:val="00CF6CC1"/>
    <w:rsid w:val="00CF70CE"/>
    <w:rsid w:val="00CF77E5"/>
    <w:rsid w:val="00CF7F96"/>
    <w:rsid w:val="00D00629"/>
    <w:rsid w:val="00D011CA"/>
    <w:rsid w:val="00D019FD"/>
    <w:rsid w:val="00D024C3"/>
    <w:rsid w:val="00D024CB"/>
    <w:rsid w:val="00D02D3F"/>
    <w:rsid w:val="00D02FCD"/>
    <w:rsid w:val="00D030D7"/>
    <w:rsid w:val="00D0316F"/>
    <w:rsid w:val="00D03DC1"/>
    <w:rsid w:val="00D03DCC"/>
    <w:rsid w:val="00D04892"/>
    <w:rsid w:val="00D04E88"/>
    <w:rsid w:val="00D05082"/>
    <w:rsid w:val="00D054DB"/>
    <w:rsid w:val="00D058AC"/>
    <w:rsid w:val="00D06200"/>
    <w:rsid w:val="00D06839"/>
    <w:rsid w:val="00D06892"/>
    <w:rsid w:val="00D06A8F"/>
    <w:rsid w:val="00D06F19"/>
    <w:rsid w:val="00D0743B"/>
    <w:rsid w:val="00D075AF"/>
    <w:rsid w:val="00D10692"/>
    <w:rsid w:val="00D10FF0"/>
    <w:rsid w:val="00D125A6"/>
    <w:rsid w:val="00D1343E"/>
    <w:rsid w:val="00D13482"/>
    <w:rsid w:val="00D136B1"/>
    <w:rsid w:val="00D13E3B"/>
    <w:rsid w:val="00D14143"/>
    <w:rsid w:val="00D14BED"/>
    <w:rsid w:val="00D14D92"/>
    <w:rsid w:val="00D1557F"/>
    <w:rsid w:val="00D15DDA"/>
    <w:rsid w:val="00D16AA3"/>
    <w:rsid w:val="00D2024E"/>
    <w:rsid w:val="00D20790"/>
    <w:rsid w:val="00D20912"/>
    <w:rsid w:val="00D20FA6"/>
    <w:rsid w:val="00D21E4D"/>
    <w:rsid w:val="00D21FE2"/>
    <w:rsid w:val="00D22277"/>
    <w:rsid w:val="00D22CB0"/>
    <w:rsid w:val="00D22D7B"/>
    <w:rsid w:val="00D230FB"/>
    <w:rsid w:val="00D2333D"/>
    <w:rsid w:val="00D2381A"/>
    <w:rsid w:val="00D23F5F"/>
    <w:rsid w:val="00D2407F"/>
    <w:rsid w:val="00D24280"/>
    <w:rsid w:val="00D2434E"/>
    <w:rsid w:val="00D24AE1"/>
    <w:rsid w:val="00D24EDD"/>
    <w:rsid w:val="00D25066"/>
    <w:rsid w:val="00D259F0"/>
    <w:rsid w:val="00D26272"/>
    <w:rsid w:val="00D262C8"/>
    <w:rsid w:val="00D263CB"/>
    <w:rsid w:val="00D26541"/>
    <w:rsid w:val="00D26CAA"/>
    <w:rsid w:val="00D27EDB"/>
    <w:rsid w:val="00D308D5"/>
    <w:rsid w:val="00D30EFC"/>
    <w:rsid w:val="00D3101C"/>
    <w:rsid w:val="00D31A16"/>
    <w:rsid w:val="00D32864"/>
    <w:rsid w:val="00D32C22"/>
    <w:rsid w:val="00D32CE7"/>
    <w:rsid w:val="00D3346A"/>
    <w:rsid w:val="00D33D4E"/>
    <w:rsid w:val="00D340CE"/>
    <w:rsid w:val="00D3414D"/>
    <w:rsid w:val="00D34640"/>
    <w:rsid w:val="00D34741"/>
    <w:rsid w:val="00D34820"/>
    <w:rsid w:val="00D348B2"/>
    <w:rsid w:val="00D3543D"/>
    <w:rsid w:val="00D36088"/>
    <w:rsid w:val="00D361DD"/>
    <w:rsid w:val="00D36655"/>
    <w:rsid w:val="00D36B6B"/>
    <w:rsid w:val="00D36E9C"/>
    <w:rsid w:val="00D371C6"/>
    <w:rsid w:val="00D37200"/>
    <w:rsid w:val="00D372DC"/>
    <w:rsid w:val="00D37347"/>
    <w:rsid w:val="00D37436"/>
    <w:rsid w:val="00D37B8E"/>
    <w:rsid w:val="00D37C6D"/>
    <w:rsid w:val="00D37F56"/>
    <w:rsid w:val="00D41863"/>
    <w:rsid w:val="00D42231"/>
    <w:rsid w:val="00D42B32"/>
    <w:rsid w:val="00D42F24"/>
    <w:rsid w:val="00D42FDD"/>
    <w:rsid w:val="00D43253"/>
    <w:rsid w:val="00D43FDC"/>
    <w:rsid w:val="00D44373"/>
    <w:rsid w:val="00D44793"/>
    <w:rsid w:val="00D44BB8"/>
    <w:rsid w:val="00D44C3F"/>
    <w:rsid w:val="00D44F74"/>
    <w:rsid w:val="00D453EE"/>
    <w:rsid w:val="00D45889"/>
    <w:rsid w:val="00D46DEE"/>
    <w:rsid w:val="00D47698"/>
    <w:rsid w:val="00D47DA5"/>
    <w:rsid w:val="00D508D0"/>
    <w:rsid w:val="00D51094"/>
    <w:rsid w:val="00D511FD"/>
    <w:rsid w:val="00D51493"/>
    <w:rsid w:val="00D51F71"/>
    <w:rsid w:val="00D5293F"/>
    <w:rsid w:val="00D536F7"/>
    <w:rsid w:val="00D5413D"/>
    <w:rsid w:val="00D54642"/>
    <w:rsid w:val="00D54771"/>
    <w:rsid w:val="00D56189"/>
    <w:rsid w:val="00D566EC"/>
    <w:rsid w:val="00D568B9"/>
    <w:rsid w:val="00D56EB5"/>
    <w:rsid w:val="00D56F30"/>
    <w:rsid w:val="00D57210"/>
    <w:rsid w:val="00D5727A"/>
    <w:rsid w:val="00D575CD"/>
    <w:rsid w:val="00D6035F"/>
    <w:rsid w:val="00D605AF"/>
    <w:rsid w:val="00D60B93"/>
    <w:rsid w:val="00D60C76"/>
    <w:rsid w:val="00D60F9A"/>
    <w:rsid w:val="00D61EFD"/>
    <w:rsid w:val="00D628D1"/>
    <w:rsid w:val="00D6293C"/>
    <w:rsid w:val="00D62F42"/>
    <w:rsid w:val="00D634FC"/>
    <w:rsid w:val="00D6352B"/>
    <w:rsid w:val="00D6514D"/>
    <w:rsid w:val="00D65464"/>
    <w:rsid w:val="00D65867"/>
    <w:rsid w:val="00D66393"/>
    <w:rsid w:val="00D66465"/>
    <w:rsid w:val="00D6699E"/>
    <w:rsid w:val="00D672A4"/>
    <w:rsid w:val="00D67A82"/>
    <w:rsid w:val="00D67C0A"/>
    <w:rsid w:val="00D67F77"/>
    <w:rsid w:val="00D70340"/>
    <w:rsid w:val="00D70878"/>
    <w:rsid w:val="00D70B0D"/>
    <w:rsid w:val="00D70B43"/>
    <w:rsid w:val="00D70BB7"/>
    <w:rsid w:val="00D710DB"/>
    <w:rsid w:val="00D71457"/>
    <w:rsid w:val="00D71F15"/>
    <w:rsid w:val="00D72075"/>
    <w:rsid w:val="00D725FB"/>
    <w:rsid w:val="00D729D2"/>
    <w:rsid w:val="00D72A88"/>
    <w:rsid w:val="00D72D5E"/>
    <w:rsid w:val="00D7300D"/>
    <w:rsid w:val="00D7340A"/>
    <w:rsid w:val="00D73FED"/>
    <w:rsid w:val="00D74092"/>
    <w:rsid w:val="00D74265"/>
    <w:rsid w:val="00D74701"/>
    <w:rsid w:val="00D7484E"/>
    <w:rsid w:val="00D74BF7"/>
    <w:rsid w:val="00D74FB9"/>
    <w:rsid w:val="00D7624E"/>
    <w:rsid w:val="00D76285"/>
    <w:rsid w:val="00D77063"/>
    <w:rsid w:val="00D77C91"/>
    <w:rsid w:val="00D8005F"/>
    <w:rsid w:val="00D80BB2"/>
    <w:rsid w:val="00D80E3C"/>
    <w:rsid w:val="00D80FA6"/>
    <w:rsid w:val="00D81F36"/>
    <w:rsid w:val="00D820A2"/>
    <w:rsid w:val="00D82395"/>
    <w:rsid w:val="00D82AD7"/>
    <w:rsid w:val="00D82D5F"/>
    <w:rsid w:val="00D833FB"/>
    <w:rsid w:val="00D834AE"/>
    <w:rsid w:val="00D8364E"/>
    <w:rsid w:val="00D83E78"/>
    <w:rsid w:val="00D843A8"/>
    <w:rsid w:val="00D846CF"/>
    <w:rsid w:val="00D846EB"/>
    <w:rsid w:val="00D84D44"/>
    <w:rsid w:val="00D854F9"/>
    <w:rsid w:val="00D85846"/>
    <w:rsid w:val="00D85A98"/>
    <w:rsid w:val="00D85D33"/>
    <w:rsid w:val="00D8621F"/>
    <w:rsid w:val="00D868B2"/>
    <w:rsid w:val="00D875D3"/>
    <w:rsid w:val="00D87710"/>
    <w:rsid w:val="00D87961"/>
    <w:rsid w:val="00D87962"/>
    <w:rsid w:val="00D90264"/>
    <w:rsid w:val="00D90461"/>
    <w:rsid w:val="00D90555"/>
    <w:rsid w:val="00D90820"/>
    <w:rsid w:val="00D911EE"/>
    <w:rsid w:val="00D91469"/>
    <w:rsid w:val="00D91743"/>
    <w:rsid w:val="00D917A6"/>
    <w:rsid w:val="00D91D63"/>
    <w:rsid w:val="00D9270F"/>
    <w:rsid w:val="00D9285E"/>
    <w:rsid w:val="00D92AFA"/>
    <w:rsid w:val="00D934BC"/>
    <w:rsid w:val="00D93D65"/>
    <w:rsid w:val="00D9485F"/>
    <w:rsid w:val="00D948EB"/>
    <w:rsid w:val="00D9501F"/>
    <w:rsid w:val="00D9514B"/>
    <w:rsid w:val="00D955B7"/>
    <w:rsid w:val="00D95A59"/>
    <w:rsid w:val="00D9629C"/>
    <w:rsid w:val="00D96C07"/>
    <w:rsid w:val="00D96FDF"/>
    <w:rsid w:val="00D973D0"/>
    <w:rsid w:val="00DA0185"/>
    <w:rsid w:val="00DA0687"/>
    <w:rsid w:val="00DA0700"/>
    <w:rsid w:val="00DA1945"/>
    <w:rsid w:val="00DA199D"/>
    <w:rsid w:val="00DA203A"/>
    <w:rsid w:val="00DA27B2"/>
    <w:rsid w:val="00DA287A"/>
    <w:rsid w:val="00DA2F77"/>
    <w:rsid w:val="00DA359C"/>
    <w:rsid w:val="00DA3B38"/>
    <w:rsid w:val="00DA469F"/>
    <w:rsid w:val="00DA46B7"/>
    <w:rsid w:val="00DA4B3A"/>
    <w:rsid w:val="00DA51DA"/>
    <w:rsid w:val="00DA53E2"/>
    <w:rsid w:val="00DA596B"/>
    <w:rsid w:val="00DA59E0"/>
    <w:rsid w:val="00DA5A53"/>
    <w:rsid w:val="00DA5C2E"/>
    <w:rsid w:val="00DA6000"/>
    <w:rsid w:val="00DA6FB3"/>
    <w:rsid w:val="00DA7818"/>
    <w:rsid w:val="00DA781F"/>
    <w:rsid w:val="00DA78A4"/>
    <w:rsid w:val="00DB02CB"/>
    <w:rsid w:val="00DB08D3"/>
    <w:rsid w:val="00DB09C2"/>
    <w:rsid w:val="00DB1A21"/>
    <w:rsid w:val="00DB2369"/>
    <w:rsid w:val="00DB2389"/>
    <w:rsid w:val="00DB2E95"/>
    <w:rsid w:val="00DB30B5"/>
    <w:rsid w:val="00DB35B9"/>
    <w:rsid w:val="00DB4113"/>
    <w:rsid w:val="00DB43BD"/>
    <w:rsid w:val="00DB4800"/>
    <w:rsid w:val="00DB4CBC"/>
    <w:rsid w:val="00DB4D41"/>
    <w:rsid w:val="00DB56B1"/>
    <w:rsid w:val="00DB5726"/>
    <w:rsid w:val="00DB5742"/>
    <w:rsid w:val="00DB5D58"/>
    <w:rsid w:val="00DB6257"/>
    <w:rsid w:val="00DB72F2"/>
    <w:rsid w:val="00DB74A6"/>
    <w:rsid w:val="00DB7908"/>
    <w:rsid w:val="00DB7EC2"/>
    <w:rsid w:val="00DB7F8B"/>
    <w:rsid w:val="00DB7F93"/>
    <w:rsid w:val="00DB7FF2"/>
    <w:rsid w:val="00DC070D"/>
    <w:rsid w:val="00DC0851"/>
    <w:rsid w:val="00DC0861"/>
    <w:rsid w:val="00DC097E"/>
    <w:rsid w:val="00DC118C"/>
    <w:rsid w:val="00DC1290"/>
    <w:rsid w:val="00DC12BB"/>
    <w:rsid w:val="00DC16A3"/>
    <w:rsid w:val="00DC1A0D"/>
    <w:rsid w:val="00DC1E8E"/>
    <w:rsid w:val="00DC2364"/>
    <w:rsid w:val="00DC3758"/>
    <w:rsid w:val="00DC446A"/>
    <w:rsid w:val="00DC4B91"/>
    <w:rsid w:val="00DC5A52"/>
    <w:rsid w:val="00DC5C6F"/>
    <w:rsid w:val="00DC5D77"/>
    <w:rsid w:val="00DC5E9F"/>
    <w:rsid w:val="00DC6EBB"/>
    <w:rsid w:val="00DC7448"/>
    <w:rsid w:val="00DC7625"/>
    <w:rsid w:val="00DC7E94"/>
    <w:rsid w:val="00DD01EF"/>
    <w:rsid w:val="00DD022D"/>
    <w:rsid w:val="00DD0F3F"/>
    <w:rsid w:val="00DD146A"/>
    <w:rsid w:val="00DD15BF"/>
    <w:rsid w:val="00DD15D2"/>
    <w:rsid w:val="00DD170E"/>
    <w:rsid w:val="00DD1847"/>
    <w:rsid w:val="00DD210E"/>
    <w:rsid w:val="00DD254A"/>
    <w:rsid w:val="00DD30D8"/>
    <w:rsid w:val="00DD350A"/>
    <w:rsid w:val="00DD38BB"/>
    <w:rsid w:val="00DD3F1D"/>
    <w:rsid w:val="00DD460B"/>
    <w:rsid w:val="00DD51E3"/>
    <w:rsid w:val="00DD51EB"/>
    <w:rsid w:val="00DD5247"/>
    <w:rsid w:val="00DD5FE1"/>
    <w:rsid w:val="00DD6A99"/>
    <w:rsid w:val="00DD71B5"/>
    <w:rsid w:val="00DD7CFA"/>
    <w:rsid w:val="00DE01CF"/>
    <w:rsid w:val="00DE1077"/>
    <w:rsid w:val="00DE131D"/>
    <w:rsid w:val="00DE1A97"/>
    <w:rsid w:val="00DE1D21"/>
    <w:rsid w:val="00DE2107"/>
    <w:rsid w:val="00DE2A81"/>
    <w:rsid w:val="00DE2B9B"/>
    <w:rsid w:val="00DE2F34"/>
    <w:rsid w:val="00DE30C2"/>
    <w:rsid w:val="00DE394C"/>
    <w:rsid w:val="00DE3C58"/>
    <w:rsid w:val="00DE4277"/>
    <w:rsid w:val="00DE49E9"/>
    <w:rsid w:val="00DE5A9C"/>
    <w:rsid w:val="00DE5B8B"/>
    <w:rsid w:val="00DE62F4"/>
    <w:rsid w:val="00DE6438"/>
    <w:rsid w:val="00DE65D1"/>
    <w:rsid w:val="00DE6748"/>
    <w:rsid w:val="00DE69E5"/>
    <w:rsid w:val="00DE6C5B"/>
    <w:rsid w:val="00DE6F0B"/>
    <w:rsid w:val="00DE75A4"/>
    <w:rsid w:val="00DE76A5"/>
    <w:rsid w:val="00DE76A7"/>
    <w:rsid w:val="00DE7C10"/>
    <w:rsid w:val="00DF0054"/>
    <w:rsid w:val="00DF0119"/>
    <w:rsid w:val="00DF052D"/>
    <w:rsid w:val="00DF11A9"/>
    <w:rsid w:val="00DF2B47"/>
    <w:rsid w:val="00DF2CCC"/>
    <w:rsid w:val="00DF37AA"/>
    <w:rsid w:val="00DF3809"/>
    <w:rsid w:val="00DF39CE"/>
    <w:rsid w:val="00DF3AE1"/>
    <w:rsid w:val="00DF3B5C"/>
    <w:rsid w:val="00DF3E79"/>
    <w:rsid w:val="00DF3F53"/>
    <w:rsid w:val="00DF423D"/>
    <w:rsid w:val="00DF659D"/>
    <w:rsid w:val="00DF6833"/>
    <w:rsid w:val="00DF6BDA"/>
    <w:rsid w:val="00DF700D"/>
    <w:rsid w:val="00DF7F4B"/>
    <w:rsid w:val="00DF7FF6"/>
    <w:rsid w:val="00E00D70"/>
    <w:rsid w:val="00E01510"/>
    <w:rsid w:val="00E017CB"/>
    <w:rsid w:val="00E01CB3"/>
    <w:rsid w:val="00E0267E"/>
    <w:rsid w:val="00E028B7"/>
    <w:rsid w:val="00E0292D"/>
    <w:rsid w:val="00E03282"/>
    <w:rsid w:val="00E0377C"/>
    <w:rsid w:val="00E03D46"/>
    <w:rsid w:val="00E05D92"/>
    <w:rsid w:val="00E06304"/>
    <w:rsid w:val="00E0678E"/>
    <w:rsid w:val="00E067D2"/>
    <w:rsid w:val="00E06908"/>
    <w:rsid w:val="00E06EDD"/>
    <w:rsid w:val="00E071C6"/>
    <w:rsid w:val="00E074FF"/>
    <w:rsid w:val="00E07B15"/>
    <w:rsid w:val="00E07C41"/>
    <w:rsid w:val="00E07E74"/>
    <w:rsid w:val="00E07EB7"/>
    <w:rsid w:val="00E10ABF"/>
    <w:rsid w:val="00E10BD1"/>
    <w:rsid w:val="00E11D22"/>
    <w:rsid w:val="00E121D6"/>
    <w:rsid w:val="00E12475"/>
    <w:rsid w:val="00E12528"/>
    <w:rsid w:val="00E12A15"/>
    <w:rsid w:val="00E1328F"/>
    <w:rsid w:val="00E1368C"/>
    <w:rsid w:val="00E13AB0"/>
    <w:rsid w:val="00E13DFC"/>
    <w:rsid w:val="00E1448E"/>
    <w:rsid w:val="00E14780"/>
    <w:rsid w:val="00E14C08"/>
    <w:rsid w:val="00E15084"/>
    <w:rsid w:val="00E15570"/>
    <w:rsid w:val="00E16343"/>
    <w:rsid w:val="00E1661D"/>
    <w:rsid w:val="00E16C47"/>
    <w:rsid w:val="00E17136"/>
    <w:rsid w:val="00E173A7"/>
    <w:rsid w:val="00E17631"/>
    <w:rsid w:val="00E178C4"/>
    <w:rsid w:val="00E17CE3"/>
    <w:rsid w:val="00E211C4"/>
    <w:rsid w:val="00E216D4"/>
    <w:rsid w:val="00E21BA6"/>
    <w:rsid w:val="00E22492"/>
    <w:rsid w:val="00E225FD"/>
    <w:rsid w:val="00E22735"/>
    <w:rsid w:val="00E22987"/>
    <w:rsid w:val="00E23472"/>
    <w:rsid w:val="00E2381D"/>
    <w:rsid w:val="00E23FB0"/>
    <w:rsid w:val="00E2406A"/>
    <w:rsid w:val="00E24226"/>
    <w:rsid w:val="00E251B6"/>
    <w:rsid w:val="00E2535A"/>
    <w:rsid w:val="00E2555A"/>
    <w:rsid w:val="00E25783"/>
    <w:rsid w:val="00E259E4"/>
    <w:rsid w:val="00E25D87"/>
    <w:rsid w:val="00E25E8C"/>
    <w:rsid w:val="00E26A92"/>
    <w:rsid w:val="00E27788"/>
    <w:rsid w:val="00E27B86"/>
    <w:rsid w:val="00E27D0C"/>
    <w:rsid w:val="00E31071"/>
    <w:rsid w:val="00E31412"/>
    <w:rsid w:val="00E3170F"/>
    <w:rsid w:val="00E3183D"/>
    <w:rsid w:val="00E32423"/>
    <w:rsid w:val="00E327E4"/>
    <w:rsid w:val="00E34D03"/>
    <w:rsid w:val="00E350AE"/>
    <w:rsid w:val="00E3547D"/>
    <w:rsid w:val="00E35A16"/>
    <w:rsid w:val="00E35B2C"/>
    <w:rsid w:val="00E3622E"/>
    <w:rsid w:val="00E36266"/>
    <w:rsid w:val="00E3668D"/>
    <w:rsid w:val="00E36EAC"/>
    <w:rsid w:val="00E36FB4"/>
    <w:rsid w:val="00E3708D"/>
    <w:rsid w:val="00E40509"/>
    <w:rsid w:val="00E4067A"/>
    <w:rsid w:val="00E40980"/>
    <w:rsid w:val="00E40A6B"/>
    <w:rsid w:val="00E41B75"/>
    <w:rsid w:val="00E41EFE"/>
    <w:rsid w:val="00E4241C"/>
    <w:rsid w:val="00E42452"/>
    <w:rsid w:val="00E428E9"/>
    <w:rsid w:val="00E42A46"/>
    <w:rsid w:val="00E435B4"/>
    <w:rsid w:val="00E43D9D"/>
    <w:rsid w:val="00E43FD6"/>
    <w:rsid w:val="00E441C3"/>
    <w:rsid w:val="00E44298"/>
    <w:rsid w:val="00E443AB"/>
    <w:rsid w:val="00E44946"/>
    <w:rsid w:val="00E44BA0"/>
    <w:rsid w:val="00E44C31"/>
    <w:rsid w:val="00E44CAE"/>
    <w:rsid w:val="00E451BB"/>
    <w:rsid w:val="00E457AD"/>
    <w:rsid w:val="00E4656C"/>
    <w:rsid w:val="00E46A4D"/>
    <w:rsid w:val="00E47076"/>
    <w:rsid w:val="00E47AD5"/>
    <w:rsid w:val="00E50710"/>
    <w:rsid w:val="00E50727"/>
    <w:rsid w:val="00E509E8"/>
    <w:rsid w:val="00E5103B"/>
    <w:rsid w:val="00E513CD"/>
    <w:rsid w:val="00E51A90"/>
    <w:rsid w:val="00E51D12"/>
    <w:rsid w:val="00E5317A"/>
    <w:rsid w:val="00E5330B"/>
    <w:rsid w:val="00E53AB5"/>
    <w:rsid w:val="00E53C36"/>
    <w:rsid w:val="00E54039"/>
    <w:rsid w:val="00E54531"/>
    <w:rsid w:val="00E54749"/>
    <w:rsid w:val="00E55B3F"/>
    <w:rsid w:val="00E56878"/>
    <w:rsid w:val="00E56D0E"/>
    <w:rsid w:val="00E570D0"/>
    <w:rsid w:val="00E57F29"/>
    <w:rsid w:val="00E6001F"/>
    <w:rsid w:val="00E60479"/>
    <w:rsid w:val="00E60500"/>
    <w:rsid w:val="00E6062B"/>
    <w:rsid w:val="00E60926"/>
    <w:rsid w:val="00E61B3C"/>
    <w:rsid w:val="00E61E04"/>
    <w:rsid w:val="00E6327E"/>
    <w:rsid w:val="00E63692"/>
    <w:rsid w:val="00E63AE2"/>
    <w:rsid w:val="00E63C38"/>
    <w:rsid w:val="00E63FA5"/>
    <w:rsid w:val="00E647C1"/>
    <w:rsid w:val="00E65EF2"/>
    <w:rsid w:val="00E66194"/>
    <w:rsid w:val="00E6649E"/>
    <w:rsid w:val="00E66D2B"/>
    <w:rsid w:val="00E67120"/>
    <w:rsid w:val="00E67889"/>
    <w:rsid w:val="00E67DEF"/>
    <w:rsid w:val="00E712DE"/>
    <w:rsid w:val="00E71532"/>
    <w:rsid w:val="00E7158C"/>
    <w:rsid w:val="00E7260B"/>
    <w:rsid w:val="00E7351F"/>
    <w:rsid w:val="00E7424D"/>
    <w:rsid w:val="00E753D5"/>
    <w:rsid w:val="00E75EDD"/>
    <w:rsid w:val="00E75F42"/>
    <w:rsid w:val="00E763E7"/>
    <w:rsid w:val="00E76A61"/>
    <w:rsid w:val="00E76D66"/>
    <w:rsid w:val="00E770F4"/>
    <w:rsid w:val="00E772C6"/>
    <w:rsid w:val="00E77978"/>
    <w:rsid w:val="00E77E4F"/>
    <w:rsid w:val="00E77EE9"/>
    <w:rsid w:val="00E8025A"/>
    <w:rsid w:val="00E803FD"/>
    <w:rsid w:val="00E807C1"/>
    <w:rsid w:val="00E80892"/>
    <w:rsid w:val="00E808E0"/>
    <w:rsid w:val="00E80A0E"/>
    <w:rsid w:val="00E80EEA"/>
    <w:rsid w:val="00E81128"/>
    <w:rsid w:val="00E81244"/>
    <w:rsid w:val="00E81875"/>
    <w:rsid w:val="00E818E4"/>
    <w:rsid w:val="00E822BA"/>
    <w:rsid w:val="00E825D2"/>
    <w:rsid w:val="00E82674"/>
    <w:rsid w:val="00E82766"/>
    <w:rsid w:val="00E829F6"/>
    <w:rsid w:val="00E83161"/>
    <w:rsid w:val="00E83456"/>
    <w:rsid w:val="00E83AE7"/>
    <w:rsid w:val="00E841BA"/>
    <w:rsid w:val="00E84881"/>
    <w:rsid w:val="00E84C4C"/>
    <w:rsid w:val="00E86190"/>
    <w:rsid w:val="00E8668D"/>
    <w:rsid w:val="00E86AD6"/>
    <w:rsid w:val="00E86FD6"/>
    <w:rsid w:val="00E8740D"/>
    <w:rsid w:val="00E87D6B"/>
    <w:rsid w:val="00E87DF4"/>
    <w:rsid w:val="00E87F43"/>
    <w:rsid w:val="00E9040F"/>
    <w:rsid w:val="00E90646"/>
    <w:rsid w:val="00E908AA"/>
    <w:rsid w:val="00E90A52"/>
    <w:rsid w:val="00E90A9B"/>
    <w:rsid w:val="00E90C8C"/>
    <w:rsid w:val="00E90EE9"/>
    <w:rsid w:val="00E910AA"/>
    <w:rsid w:val="00E9169C"/>
    <w:rsid w:val="00E9181A"/>
    <w:rsid w:val="00E91A5E"/>
    <w:rsid w:val="00E91C28"/>
    <w:rsid w:val="00E922E7"/>
    <w:rsid w:val="00E923F8"/>
    <w:rsid w:val="00E93071"/>
    <w:rsid w:val="00E93303"/>
    <w:rsid w:val="00E937DF"/>
    <w:rsid w:val="00E93B18"/>
    <w:rsid w:val="00E93D8D"/>
    <w:rsid w:val="00E941E7"/>
    <w:rsid w:val="00E94335"/>
    <w:rsid w:val="00E95348"/>
    <w:rsid w:val="00E956B2"/>
    <w:rsid w:val="00E95C60"/>
    <w:rsid w:val="00E96327"/>
    <w:rsid w:val="00E96773"/>
    <w:rsid w:val="00E96C71"/>
    <w:rsid w:val="00E96DA7"/>
    <w:rsid w:val="00E97038"/>
    <w:rsid w:val="00E9740F"/>
    <w:rsid w:val="00EA13B8"/>
    <w:rsid w:val="00EA1F19"/>
    <w:rsid w:val="00EA3EEB"/>
    <w:rsid w:val="00EA40BF"/>
    <w:rsid w:val="00EA4422"/>
    <w:rsid w:val="00EA4465"/>
    <w:rsid w:val="00EA44BC"/>
    <w:rsid w:val="00EA499F"/>
    <w:rsid w:val="00EA4E5E"/>
    <w:rsid w:val="00EA4F69"/>
    <w:rsid w:val="00EA646F"/>
    <w:rsid w:val="00EA6691"/>
    <w:rsid w:val="00EA6D07"/>
    <w:rsid w:val="00EA7452"/>
    <w:rsid w:val="00EA74D5"/>
    <w:rsid w:val="00EA768F"/>
    <w:rsid w:val="00EA7BE4"/>
    <w:rsid w:val="00EB0005"/>
    <w:rsid w:val="00EB0048"/>
    <w:rsid w:val="00EB0619"/>
    <w:rsid w:val="00EB0AB2"/>
    <w:rsid w:val="00EB0B0F"/>
    <w:rsid w:val="00EB1460"/>
    <w:rsid w:val="00EB3608"/>
    <w:rsid w:val="00EB4172"/>
    <w:rsid w:val="00EB4791"/>
    <w:rsid w:val="00EB56BB"/>
    <w:rsid w:val="00EB56CD"/>
    <w:rsid w:val="00EB5F72"/>
    <w:rsid w:val="00EB61F1"/>
    <w:rsid w:val="00EB62F6"/>
    <w:rsid w:val="00EB68D9"/>
    <w:rsid w:val="00EB6FFC"/>
    <w:rsid w:val="00EB70AD"/>
    <w:rsid w:val="00EB732F"/>
    <w:rsid w:val="00EB742E"/>
    <w:rsid w:val="00EB7818"/>
    <w:rsid w:val="00EB7A94"/>
    <w:rsid w:val="00EC0C48"/>
    <w:rsid w:val="00EC0D4C"/>
    <w:rsid w:val="00EC0E48"/>
    <w:rsid w:val="00EC1041"/>
    <w:rsid w:val="00EC18B4"/>
    <w:rsid w:val="00EC1ADA"/>
    <w:rsid w:val="00EC1EF0"/>
    <w:rsid w:val="00EC2263"/>
    <w:rsid w:val="00EC251A"/>
    <w:rsid w:val="00EC25C2"/>
    <w:rsid w:val="00EC272A"/>
    <w:rsid w:val="00EC2F78"/>
    <w:rsid w:val="00EC2FB3"/>
    <w:rsid w:val="00EC3D61"/>
    <w:rsid w:val="00EC3D81"/>
    <w:rsid w:val="00EC46C6"/>
    <w:rsid w:val="00EC47F2"/>
    <w:rsid w:val="00EC5A32"/>
    <w:rsid w:val="00EC6666"/>
    <w:rsid w:val="00EC6D48"/>
    <w:rsid w:val="00EC6DE0"/>
    <w:rsid w:val="00EC72B6"/>
    <w:rsid w:val="00EC73D8"/>
    <w:rsid w:val="00EC7C39"/>
    <w:rsid w:val="00EC7E8F"/>
    <w:rsid w:val="00ED0193"/>
    <w:rsid w:val="00ED03AF"/>
    <w:rsid w:val="00ED0A86"/>
    <w:rsid w:val="00ED1FEE"/>
    <w:rsid w:val="00ED238D"/>
    <w:rsid w:val="00ED2EA1"/>
    <w:rsid w:val="00ED40E0"/>
    <w:rsid w:val="00ED41D1"/>
    <w:rsid w:val="00ED4342"/>
    <w:rsid w:val="00ED4E6C"/>
    <w:rsid w:val="00ED53BB"/>
    <w:rsid w:val="00ED5438"/>
    <w:rsid w:val="00ED546B"/>
    <w:rsid w:val="00ED546C"/>
    <w:rsid w:val="00ED6775"/>
    <w:rsid w:val="00ED683C"/>
    <w:rsid w:val="00ED6FFD"/>
    <w:rsid w:val="00EE05CF"/>
    <w:rsid w:val="00EE09C1"/>
    <w:rsid w:val="00EE0A56"/>
    <w:rsid w:val="00EE1090"/>
    <w:rsid w:val="00EE1979"/>
    <w:rsid w:val="00EE2141"/>
    <w:rsid w:val="00EE249A"/>
    <w:rsid w:val="00EE308F"/>
    <w:rsid w:val="00EE3E8D"/>
    <w:rsid w:val="00EE56E3"/>
    <w:rsid w:val="00EE5BDC"/>
    <w:rsid w:val="00EE6358"/>
    <w:rsid w:val="00EE6725"/>
    <w:rsid w:val="00EE6A65"/>
    <w:rsid w:val="00EE6B50"/>
    <w:rsid w:val="00EE6C16"/>
    <w:rsid w:val="00EE7760"/>
    <w:rsid w:val="00EE7A91"/>
    <w:rsid w:val="00EF0A78"/>
    <w:rsid w:val="00EF0C72"/>
    <w:rsid w:val="00EF0CCE"/>
    <w:rsid w:val="00EF0EEE"/>
    <w:rsid w:val="00EF0F27"/>
    <w:rsid w:val="00EF1759"/>
    <w:rsid w:val="00EF2151"/>
    <w:rsid w:val="00EF2315"/>
    <w:rsid w:val="00EF293E"/>
    <w:rsid w:val="00EF2E63"/>
    <w:rsid w:val="00EF330B"/>
    <w:rsid w:val="00EF3A48"/>
    <w:rsid w:val="00EF3BA3"/>
    <w:rsid w:val="00EF3D4A"/>
    <w:rsid w:val="00EF448D"/>
    <w:rsid w:val="00EF4B09"/>
    <w:rsid w:val="00EF4C9D"/>
    <w:rsid w:val="00EF4E9A"/>
    <w:rsid w:val="00EF50FA"/>
    <w:rsid w:val="00EF5279"/>
    <w:rsid w:val="00EF5673"/>
    <w:rsid w:val="00EF5E40"/>
    <w:rsid w:val="00EF60B7"/>
    <w:rsid w:val="00EF6610"/>
    <w:rsid w:val="00EF69F5"/>
    <w:rsid w:val="00EF6AC1"/>
    <w:rsid w:val="00EF74CA"/>
    <w:rsid w:val="00EF7A59"/>
    <w:rsid w:val="00EF7A6A"/>
    <w:rsid w:val="00EF7CC1"/>
    <w:rsid w:val="00EF7D45"/>
    <w:rsid w:val="00F00534"/>
    <w:rsid w:val="00F00923"/>
    <w:rsid w:val="00F0131F"/>
    <w:rsid w:val="00F017CD"/>
    <w:rsid w:val="00F02416"/>
    <w:rsid w:val="00F03455"/>
    <w:rsid w:val="00F034AC"/>
    <w:rsid w:val="00F043ED"/>
    <w:rsid w:val="00F0459A"/>
    <w:rsid w:val="00F04BCD"/>
    <w:rsid w:val="00F059B7"/>
    <w:rsid w:val="00F0609A"/>
    <w:rsid w:val="00F06219"/>
    <w:rsid w:val="00F06873"/>
    <w:rsid w:val="00F079AF"/>
    <w:rsid w:val="00F07A01"/>
    <w:rsid w:val="00F07C03"/>
    <w:rsid w:val="00F07FED"/>
    <w:rsid w:val="00F10DE2"/>
    <w:rsid w:val="00F10E30"/>
    <w:rsid w:val="00F1109F"/>
    <w:rsid w:val="00F1121E"/>
    <w:rsid w:val="00F113B0"/>
    <w:rsid w:val="00F1171B"/>
    <w:rsid w:val="00F11759"/>
    <w:rsid w:val="00F11868"/>
    <w:rsid w:val="00F120E2"/>
    <w:rsid w:val="00F125C4"/>
    <w:rsid w:val="00F12D9B"/>
    <w:rsid w:val="00F12ED6"/>
    <w:rsid w:val="00F130C9"/>
    <w:rsid w:val="00F13291"/>
    <w:rsid w:val="00F1372E"/>
    <w:rsid w:val="00F150C8"/>
    <w:rsid w:val="00F155D4"/>
    <w:rsid w:val="00F15AFA"/>
    <w:rsid w:val="00F16016"/>
    <w:rsid w:val="00F176ED"/>
    <w:rsid w:val="00F201BF"/>
    <w:rsid w:val="00F21392"/>
    <w:rsid w:val="00F2173C"/>
    <w:rsid w:val="00F218B7"/>
    <w:rsid w:val="00F21D74"/>
    <w:rsid w:val="00F22399"/>
    <w:rsid w:val="00F227C0"/>
    <w:rsid w:val="00F231B9"/>
    <w:rsid w:val="00F236E4"/>
    <w:rsid w:val="00F24230"/>
    <w:rsid w:val="00F24353"/>
    <w:rsid w:val="00F2467F"/>
    <w:rsid w:val="00F24EF3"/>
    <w:rsid w:val="00F2538D"/>
    <w:rsid w:val="00F25A5D"/>
    <w:rsid w:val="00F25C63"/>
    <w:rsid w:val="00F25D62"/>
    <w:rsid w:val="00F25ED5"/>
    <w:rsid w:val="00F265C3"/>
    <w:rsid w:val="00F269C5"/>
    <w:rsid w:val="00F27181"/>
    <w:rsid w:val="00F27589"/>
    <w:rsid w:val="00F2781A"/>
    <w:rsid w:val="00F279C7"/>
    <w:rsid w:val="00F27A2D"/>
    <w:rsid w:val="00F30086"/>
    <w:rsid w:val="00F30427"/>
    <w:rsid w:val="00F305A2"/>
    <w:rsid w:val="00F30BD2"/>
    <w:rsid w:val="00F31C33"/>
    <w:rsid w:val="00F31CCE"/>
    <w:rsid w:val="00F31D17"/>
    <w:rsid w:val="00F32516"/>
    <w:rsid w:val="00F32B59"/>
    <w:rsid w:val="00F32D38"/>
    <w:rsid w:val="00F3319F"/>
    <w:rsid w:val="00F33257"/>
    <w:rsid w:val="00F33BB1"/>
    <w:rsid w:val="00F34419"/>
    <w:rsid w:val="00F34DCA"/>
    <w:rsid w:val="00F34F8E"/>
    <w:rsid w:val="00F3589E"/>
    <w:rsid w:val="00F35A8E"/>
    <w:rsid w:val="00F364E5"/>
    <w:rsid w:val="00F376F3"/>
    <w:rsid w:val="00F37BC4"/>
    <w:rsid w:val="00F40816"/>
    <w:rsid w:val="00F41A09"/>
    <w:rsid w:val="00F43440"/>
    <w:rsid w:val="00F436F7"/>
    <w:rsid w:val="00F4478B"/>
    <w:rsid w:val="00F44DEF"/>
    <w:rsid w:val="00F44E7D"/>
    <w:rsid w:val="00F45386"/>
    <w:rsid w:val="00F458CA"/>
    <w:rsid w:val="00F45A6A"/>
    <w:rsid w:val="00F46233"/>
    <w:rsid w:val="00F469D0"/>
    <w:rsid w:val="00F46FA8"/>
    <w:rsid w:val="00F47A86"/>
    <w:rsid w:val="00F50224"/>
    <w:rsid w:val="00F50823"/>
    <w:rsid w:val="00F5179F"/>
    <w:rsid w:val="00F52AF6"/>
    <w:rsid w:val="00F532B3"/>
    <w:rsid w:val="00F5358A"/>
    <w:rsid w:val="00F539A4"/>
    <w:rsid w:val="00F53D8A"/>
    <w:rsid w:val="00F53EDA"/>
    <w:rsid w:val="00F54951"/>
    <w:rsid w:val="00F54B4E"/>
    <w:rsid w:val="00F55073"/>
    <w:rsid w:val="00F55213"/>
    <w:rsid w:val="00F556B0"/>
    <w:rsid w:val="00F5691F"/>
    <w:rsid w:val="00F56922"/>
    <w:rsid w:val="00F56A73"/>
    <w:rsid w:val="00F573BE"/>
    <w:rsid w:val="00F5749F"/>
    <w:rsid w:val="00F57B4A"/>
    <w:rsid w:val="00F6047F"/>
    <w:rsid w:val="00F60DA4"/>
    <w:rsid w:val="00F60FAA"/>
    <w:rsid w:val="00F61725"/>
    <w:rsid w:val="00F6202D"/>
    <w:rsid w:val="00F62567"/>
    <w:rsid w:val="00F62754"/>
    <w:rsid w:val="00F62C50"/>
    <w:rsid w:val="00F63A37"/>
    <w:rsid w:val="00F63F15"/>
    <w:rsid w:val="00F64168"/>
    <w:rsid w:val="00F64A85"/>
    <w:rsid w:val="00F64CDF"/>
    <w:rsid w:val="00F64F5C"/>
    <w:rsid w:val="00F65318"/>
    <w:rsid w:val="00F654BA"/>
    <w:rsid w:val="00F66455"/>
    <w:rsid w:val="00F66576"/>
    <w:rsid w:val="00F66A35"/>
    <w:rsid w:val="00F66A5C"/>
    <w:rsid w:val="00F6705B"/>
    <w:rsid w:val="00F674F3"/>
    <w:rsid w:val="00F67AE5"/>
    <w:rsid w:val="00F707CF"/>
    <w:rsid w:val="00F70AA9"/>
    <w:rsid w:val="00F711D7"/>
    <w:rsid w:val="00F72A18"/>
    <w:rsid w:val="00F72B9D"/>
    <w:rsid w:val="00F731E0"/>
    <w:rsid w:val="00F734CA"/>
    <w:rsid w:val="00F73530"/>
    <w:rsid w:val="00F74440"/>
    <w:rsid w:val="00F753ED"/>
    <w:rsid w:val="00F76D09"/>
    <w:rsid w:val="00F76EFF"/>
    <w:rsid w:val="00F76FAF"/>
    <w:rsid w:val="00F771FE"/>
    <w:rsid w:val="00F80023"/>
    <w:rsid w:val="00F80317"/>
    <w:rsid w:val="00F80337"/>
    <w:rsid w:val="00F80561"/>
    <w:rsid w:val="00F80CD3"/>
    <w:rsid w:val="00F816DB"/>
    <w:rsid w:val="00F8170E"/>
    <w:rsid w:val="00F81E48"/>
    <w:rsid w:val="00F82616"/>
    <w:rsid w:val="00F840F7"/>
    <w:rsid w:val="00F84D07"/>
    <w:rsid w:val="00F8518E"/>
    <w:rsid w:val="00F85310"/>
    <w:rsid w:val="00F85438"/>
    <w:rsid w:val="00F85676"/>
    <w:rsid w:val="00F856A5"/>
    <w:rsid w:val="00F85795"/>
    <w:rsid w:val="00F85AFC"/>
    <w:rsid w:val="00F86277"/>
    <w:rsid w:val="00F865E2"/>
    <w:rsid w:val="00F86C4B"/>
    <w:rsid w:val="00F8700D"/>
    <w:rsid w:val="00F87826"/>
    <w:rsid w:val="00F879DC"/>
    <w:rsid w:val="00F907B8"/>
    <w:rsid w:val="00F90DC2"/>
    <w:rsid w:val="00F9144E"/>
    <w:rsid w:val="00F91520"/>
    <w:rsid w:val="00F91530"/>
    <w:rsid w:val="00F91623"/>
    <w:rsid w:val="00F91D57"/>
    <w:rsid w:val="00F9221C"/>
    <w:rsid w:val="00F93336"/>
    <w:rsid w:val="00F9366F"/>
    <w:rsid w:val="00F94362"/>
    <w:rsid w:val="00F94CD0"/>
    <w:rsid w:val="00F94EB8"/>
    <w:rsid w:val="00F95B80"/>
    <w:rsid w:val="00F95B90"/>
    <w:rsid w:val="00F96C30"/>
    <w:rsid w:val="00F970DF"/>
    <w:rsid w:val="00F975B2"/>
    <w:rsid w:val="00F978E4"/>
    <w:rsid w:val="00F97AB5"/>
    <w:rsid w:val="00FA0101"/>
    <w:rsid w:val="00FA0F42"/>
    <w:rsid w:val="00FA11BE"/>
    <w:rsid w:val="00FA18BC"/>
    <w:rsid w:val="00FA1B19"/>
    <w:rsid w:val="00FA1C50"/>
    <w:rsid w:val="00FA1CC3"/>
    <w:rsid w:val="00FA1E94"/>
    <w:rsid w:val="00FA314B"/>
    <w:rsid w:val="00FA3ECA"/>
    <w:rsid w:val="00FA440D"/>
    <w:rsid w:val="00FA4433"/>
    <w:rsid w:val="00FA4B55"/>
    <w:rsid w:val="00FA559B"/>
    <w:rsid w:val="00FA5AAB"/>
    <w:rsid w:val="00FA6170"/>
    <w:rsid w:val="00FA62A1"/>
    <w:rsid w:val="00FA6509"/>
    <w:rsid w:val="00FA7053"/>
    <w:rsid w:val="00FA71DF"/>
    <w:rsid w:val="00FB02A6"/>
    <w:rsid w:val="00FB04BA"/>
    <w:rsid w:val="00FB07CD"/>
    <w:rsid w:val="00FB08C3"/>
    <w:rsid w:val="00FB099F"/>
    <w:rsid w:val="00FB0EFD"/>
    <w:rsid w:val="00FB0F16"/>
    <w:rsid w:val="00FB1027"/>
    <w:rsid w:val="00FB1848"/>
    <w:rsid w:val="00FB2467"/>
    <w:rsid w:val="00FB25D0"/>
    <w:rsid w:val="00FB2D18"/>
    <w:rsid w:val="00FB57A0"/>
    <w:rsid w:val="00FB5A00"/>
    <w:rsid w:val="00FB5FD8"/>
    <w:rsid w:val="00FB7315"/>
    <w:rsid w:val="00FB7EDC"/>
    <w:rsid w:val="00FC0164"/>
    <w:rsid w:val="00FC04DB"/>
    <w:rsid w:val="00FC0EF2"/>
    <w:rsid w:val="00FC1B05"/>
    <w:rsid w:val="00FC1CBF"/>
    <w:rsid w:val="00FC24E2"/>
    <w:rsid w:val="00FC32EC"/>
    <w:rsid w:val="00FC445C"/>
    <w:rsid w:val="00FC49D1"/>
    <w:rsid w:val="00FC5028"/>
    <w:rsid w:val="00FC502D"/>
    <w:rsid w:val="00FC58A9"/>
    <w:rsid w:val="00FC5C1D"/>
    <w:rsid w:val="00FC5ECF"/>
    <w:rsid w:val="00FC620D"/>
    <w:rsid w:val="00FC6300"/>
    <w:rsid w:val="00FC67AC"/>
    <w:rsid w:val="00FC6C3A"/>
    <w:rsid w:val="00FC6E58"/>
    <w:rsid w:val="00FC7016"/>
    <w:rsid w:val="00FC7025"/>
    <w:rsid w:val="00FC7ABB"/>
    <w:rsid w:val="00FC7CBE"/>
    <w:rsid w:val="00FD0321"/>
    <w:rsid w:val="00FD082E"/>
    <w:rsid w:val="00FD1714"/>
    <w:rsid w:val="00FD1718"/>
    <w:rsid w:val="00FD1D21"/>
    <w:rsid w:val="00FD2B3A"/>
    <w:rsid w:val="00FD2B7B"/>
    <w:rsid w:val="00FD2C1E"/>
    <w:rsid w:val="00FD2EB3"/>
    <w:rsid w:val="00FD2F75"/>
    <w:rsid w:val="00FD345A"/>
    <w:rsid w:val="00FD3C28"/>
    <w:rsid w:val="00FD4825"/>
    <w:rsid w:val="00FD49CB"/>
    <w:rsid w:val="00FD62EF"/>
    <w:rsid w:val="00FD750B"/>
    <w:rsid w:val="00FD7EB6"/>
    <w:rsid w:val="00FE016F"/>
    <w:rsid w:val="00FE1175"/>
    <w:rsid w:val="00FE231C"/>
    <w:rsid w:val="00FE2425"/>
    <w:rsid w:val="00FE26D7"/>
    <w:rsid w:val="00FE2924"/>
    <w:rsid w:val="00FE2CD9"/>
    <w:rsid w:val="00FE2FDB"/>
    <w:rsid w:val="00FE35EB"/>
    <w:rsid w:val="00FE3830"/>
    <w:rsid w:val="00FE3F22"/>
    <w:rsid w:val="00FE4766"/>
    <w:rsid w:val="00FE47C8"/>
    <w:rsid w:val="00FE489B"/>
    <w:rsid w:val="00FE5758"/>
    <w:rsid w:val="00FE598C"/>
    <w:rsid w:val="00FE5DFA"/>
    <w:rsid w:val="00FE6B6B"/>
    <w:rsid w:val="00FE6D41"/>
    <w:rsid w:val="00FE7518"/>
    <w:rsid w:val="00FE7EBE"/>
    <w:rsid w:val="00FE7F3D"/>
    <w:rsid w:val="00FF097E"/>
    <w:rsid w:val="00FF0EBD"/>
    <w:rsid w:val="00FF0F3C"/>
    <w:rsid w:val="00FF13ED"/>
    <w:rsid w:val="00FF21AD"/>
    <w:rsid w:val="00FF29C8"/>
    <w:rsid w:val="00FF372C"/>
    <w:rsid w:val="00FF39A2"/>
    <w:rsid w:val="00FF3D88"/>
    <w:rsid w:val="00FF3E9A"/>
    <w:rsid w:val="00FF4A86"/>
    <w:rsid w:val="00FF4C56"/>
    <w:rsid w:val="00FF50FB"/>
    <w:rsid w:val="00FF59D0"/>
    <w:rsid w:val="00FF5D54"/>
    <w:rsid w:val="00FF6ABA"/>
    <w:rsid w:val="00FF7B7F"/>
    <w:rsid w:val="01226405"/>
    <w:rsid w:val="013457BC"/>
    <w:rsid w:val="01961553"/>
    <w:rsid w:val="02E6EC94"/>
    <w:rsid w:val="030AE6E3"/>
    <w:rsid w:val="03824135"/>
    <w:rsid w:val="049DFB01"/>
    <w:rsid w:val="0506DBEE"/>
    <w:rsid w:val="05101DB0"/>
    <w:rsid w:val="05B52AC3"/>
    <w:rsid w:val="061E290A"/>
    <w:rsid w:val="0762CA04"/>
    <w:rsid w:val="081AA5AA"/>
    <w:rsid w:val="090D9F39"/>
    <w:rsid w:val="0BC728A6"/>
    <w:rsid w:val="0BC8C5D0"/>
    <w:rsid w:val="0C3AD946"/>
    <w:rsid w:val="0E04D696"/>
    <w:rsid w:val="0E23AA66"/>
    <w:rsid w:val="0E4B7A82"/>
    <w:rsid w:val="0F6F15E2"/>
    <w:rsid w:val="0FA8F0DA"/>
    <w:rsid w:val="1020B0AC"/>
    <w:rsid w:val="1679B541"/>
    <w:rsid w:val="16C07C3E"/>
    <w:rsid w:val="19C21DAB"/>
    <w:rsid w:val="1A17E826"/>
    <w:rsid w:val="1B0CAE42"/>
    <w:rsid w:val="1E1D3C43"/>
    <w:rsid w:val="1F19379B"/>
    <w:rsid w:val="1F46E068"/>
    <w:rsid w:val="20495A73"/>
    <w:rsid w:val="2065C14C"/>
    <w:rsid w:val="206F06C1"/>
    <w:rsid w:val="218AF4B5"/>
    <w:rsid w:val="225A8476"/>
    <w:rsid w:val="27C8D6B5"/>
    <w:rsid w:val="287543D3"/>
    <w:rsid w:val="28A2819C"/>
    <w:rsid w:val="2BCAFA63"/>
    <w:rsid w:val="2FE34121"/>
    <w:rsid w:val="30679E75"/>
    <w:rsid w:val="30F38153"/>
    <w:rsid w:val="3314B117"/>
    <w:rsid w:val="33507BB0"/>
    <w:rsid w:val="34493364"/>
    <w:rsid w:val="369BC7FC"/>
    <w:rsid w:val="371D16B8"/>
    <w:rsid w:val="3731625E"/>
    <w:rsid w:val="3734488E"/>
    <w:rsid w:val="378F0125"/>
    <w:rsid w:val="38CB0959"/>
    <w:rsid w:val="3AF71657"/>
    <w:rsid w:val="3C1E02AD"/>
    <w:rsid w:val="3D9873F7"/>
    <w:rsid w:val="4018C70C"/>
    <w:rsid w:val="40C907D1"/>
    <w:rsid w:val="40FCB528"/>
    <w:rsid w:val="415DA005"/>
    <w:rsid w:val="41B71B51"/>
    <w:rsid w:val="43C8DBEF"/>
    <w:rsid w:val="451A71CC"/>
    <w:rsid w:val="4622ED1C"/>
    <w:rsid w:val="493DC69F"/>
    <w:rsid w:val="4976A3ED"/>
    <w:rsid w:val="4A3C59A2"/>
    <w:rsid w:val="4A7DABD4"/>
    <w:rsid w:val="4AA7BF5B"/>
    <w:rsid w:val="4AAB17BE"/>
    <w:rsid w:val="4B0F29A3"/>
    <w:rsid w:val="4B65F812"/>
    <w:rsid w:val="4BDBB945"/>
    <w:rsid w:val="4C32573C"/>
    <w:rsid w:val="51A2E145"/>
    <w:rsid w:val="529F4D2E"/>
    <w:rsid w:val="535313C7"/>
    <w:rsid w:val="538E213C"/>
    <w:rsid w:val="5684D082"/>
    <w:rsid w:val="56C35071"/>
    <w:rsid w:val="56EBFFCA"/>
    <w:rsid w:val="595AE756"/>
    <w:rsid w:val="5C7765CF"/>
    <w:rsid w:val="5CC5190C"/>
    <w:rsid w:val="60EB7BAF"/>
    <w:rsid w:val="614F2284"/>
    <w:rsid w:val="620C85C8"/>
    <w:rsid w:val="634CECFF"/>
    <w:rsid w:val="638C6D75"/>
    <w:rsid w:val="64443030"/>
    <w:rsid w:val="645E9DDF"/>
    <w:rsid w:val="648A01AF"/>
    <w:rsid w:val="65E6B78D"/>
    <w:rsid w:val="67585414"/>
    <w:rsid w:val="675DEBF2"/>
    <w:rsid w:val="6A6463F8"/>
    <w:rsid w:val="6BA4FB70"/>
    <w:rsid w:val="6C2A99E4"/>
    <w:rsid w:val="6CB6A137"/>
    <w:rsid w:val="6CCD4AAB"/>
    <w:rsid w:val="6CE880EB"/>
    <w:rsid w:val="6D5E38E8"/>
    <w:rsid w:val="6D9953FE"/>
    <w:rsid w:val="6E149455"/>
    <w:rsid w:val="6E59E866"/>
    <w:rsid w:val="6F176428"/>
    <w:rsid w:val="6F1CE0A5"/>
    <w:rsid w:val="6F9992B4"/>
    <w:rsid w:val="7119CD76"/>
    <w:rsid w:val="7181B1E7"/>
    <w:rsid w:val="719D9AE3"/>
    <w:rsid w:val="72B1A317"/>
    <w:rsid w:val="73E4077E"/>
    <w:rsid w:val="744B22F1"/>
    <w:rsid w:val="746AE87C"/>
    <w:rsid w:val="75281082"/>
    <w:rsid w:val="75FCDEAC"/>
    <w:rsid w:val="780341CB"/>
    <w:rsid w:val="7AACECE3"/>
    <w:rsid w:val="7B48D3D6"/>
    <w:rsid w:val="7B6C55FC"/>
    <w:rsid w:val="7E69E2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69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E8D"/>
    <w:pPr>
      <w:spacing w:after="200" w:line="276" w:lineRule="auto"/>
    </w:pPr>
    <w:rPr>
      <w:sz w:val="22"/>
      <w:szCs w:val="22"/>
    </w:rPr>
  </w:style>
  <w:style w:type="paragraph" w:styleId="Heading2">
    <w:name w:val="heading 2"/>
    <w:basedOn w:val="Normal"/>
    <w:link w:val="Heading2Char"/>
    <w:uiPriority w:val="9"/>
    <w:qFormat/>
    <w:pPr>
      <w:spacing w:before="200" w:after="100" w:line="240" w:lineRule="auto"/>
      <w:jc w:val="center"/>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LineNumber">
    <w:name w:val="line number"/>
    <w:uiPriority w:val="99"/>
    <w:semiHidden/>
    <w:unhideWhenUsed/>
  </w:style>
  <w:style w:type="character" w:customStyle="1" w:styleId="Heading2Char">
    <w:name w:val="Heading 2 Char"/>
    <w:link w:val="Heading2"/>
    <w:uiPriority w:val="9"/>
    <w:rPr>
      <w:rFonts w:ascii="Times New Roman" w:eastAsia="Times New Roman" w:hAnsi="Times New Roman"/>
      <w:b/>
      <w:bCs/>
    </w:rPr>
  </w:style>
  <w:style w:type="paragraph" w:styleId="NormalWeb">
    <w:name w:val="Normal (Web)"/>
    <w:basedOn w:val="Normal"/>
    <w:uiPriority w:val="99"/>
    <w:unhideWhenUsed/>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cita">
    <w:name w:val="cita"/>
    <w:basedOn w:val="Normal"/>
    <w:pPr>
      <w:spacing w:before="200" w:after="100" w:afterAutospacing="1" w:line="240" w:lineRule="auto"/>
    </w:pPr>
    <w:rPr>
      <w:rFonts w:ascii="Times New Roman" w:eastAsia="Times New Roman" w:hAnsi="Times New Roman"/>
      <w:sz w:val="18"/>
      <w:szCs w:val="18"/>
    </w:rPr>
  </w:style>
  <w:style w:type="paragraph" w:customStyle="1" w:styleId="fp">
    <w:name w:val="fp"/>
    <w:basedOn w:val="Normal"/>
    <w:pPr>
      <w:spacing w:before="200"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FootnoteText">
    <w:name w:val="footnote text"/>
    <w:basedOn w:val="Normal"/>
    <w:link w:val="FootnoteTextChar"/>
    <w:pPr>
      <w:spacing w:after="0" w:line="240" w:lineRule="auto"/>
    </w:pPr>
    <w:rPr>
      <w:rFonts w:ascii="Times New Roman" w:eastAsia="Times New Roman" w:hAnsi="Times New Roman"/>
      <w:color w:val="000000"/>
      <w:sz w:val="20"/>
      <w:szCs w:val="20"/>
    </w:rPr>
  </w:style>
  <w:style w:type="character" w:customStyle="1" w:styleId="FootnoteTextChar">
    <w:name w:val="Footnote Text Char"/>
    <w:link w:val="FootnoteText"/>
    <w:uiPriority w:val="99"/>
    <w:rPr>
      <w:rFonts w:ascii="Times New Roman" w:eastAsia="Times New Roman" w:hAnsi="Times New Roman"/>
      <w:color w:val="000000"/>
    </w:rPr>
  </w:style>
  <w:style w:type="character" w:styleId="FootnoteReference">
    <w:name w:val="footnote reference"/>
    <w:uiPriority w:val="99"/>
    <w:rPr>
      <w:rFonts w:ascii="Times New Roman" w:hAnsi="Times New Roman"/>
      <w:vertAlign w:val="superscript"/>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pPr>
      <w:spacing w:after="0" w:line="240" w:lineRule="auto"/>
      <w:ind w:left="720"/>
      <w:contextualSpacing/>
    </w:pPr>
    <w:rPr>
      <w:rFonts w:ascii="Times New Roman" w:eastAsia="Times New Roman" w:hAnsi="Times New Roman"/>
      <w:color w:val="000000"/>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sid w:val="00EF69F5"/>
    <w:rPr>
      <w:color w:val="808080"/>
      <w:shd w:val="clear" w:color="auto" w:fill="E6E6E6"/>
    </w:rPr>
  </w:style>
  <w:style w:type="table" w:styleId="TableGrid">
    <w:name w:val="Table Grid"/>
    <w:basedOn w:val="TableNormal"/>
    <w:uiPriority w:val="39"/>
    <w:rsid w:val="00EB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750"/>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unhideWhenUsed/>
    <w:rsid w:val="005D10AC"/>
    <w:rPr>
      <w:color w:val="2B579A"/>
      <w:shd w:val="clear" w:color="auto" w:fill="E1DFDD"/>
    </w:rPr>
  </w:style>
  <w:style w:type="paragraph" w:customStyle="1" w:styleId="paragraph">
    <w:name w:val="paragraph"/>
    <w:basedOn w:val="Normal"/>
    <w:rsid w:val="001706D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706D8"/>
  </w:style>
  <w:style w:type="character" w:customStyle="1" w:styleId="spellingerror">
    <w:name w:val="spellingerror"/>
    <w:basedOn w:val="DefaultParagraphFont"/>
    <w:rsid w:val="001706D8"/>
  </w:style>
  <w:style w:type="character" w:customStyle="1" w:styleId="eop">
    <w:name w:val="eop"/>
    <w:basedOn w:val="DefaultParagraphFont"/>
    <w:rsid w:val="001706D8"/>
  </w:style>
  <w:style w:type="character" w:customStyle="1" w:styleId="ListParagraphChar">
    <w:name w:val="List Paragraph Char"/>
    <w:aliases w:val="3 Char,Bullet 1 Char,Bullet List Char,Bullet Points Char,Colorful List - Accent 11 Char,Dot pt Char,F5 List Paragraph Char,FooterText Char,Indicator Text Char,Issue Action POC Char,List Paragraph Char Char Char Char,MAIN CONTENT Char"/>
    <w:link w:val="ListParagraph"/>
    <w:uiPriority w:val="34"/>
    <w:locked/>
    <w:rsid w:val="00257C88"/>
    <w:rPr>
      <w:rFonts w:ascii="Times New Roman" w:eastAsia="Times New Roman" w:hAnsi="Times New Roman"/>
      <w:color w:val="000000"/>
      <w:sz w:val="24"/>
    </w:rPr>
  </w:style>
  <w:style w:type="paragraph" w:styleId="NoSpacing">
    <w:name w:val="No Spacing"/>
    <w:basedOn w:val="Normal"/>
    <w:uiPriority w:val="1"/>
    <w:qFormat/>
    <w:rsid w:val="007C7FEA"/>
    <w:pPr>
      <w:spacing w:after="0" w:line="240" w:lineRule="auto"/>
    </w:pPr>
    <w:rPr>
      <w:rFonts w:ascii="Times New Roman" w:hAnsi="Times New Roman"/>
      <w:szCs w:val="24"/>
    </w:rPr>
  </w:style>
  <w:style w:type="character" w:styleId="Strong">
    <w:name w:val="Strong"/>
    <w:basedOn w:val="DefaultParagraphFont"/>
    <w:uiPriority w:val="22"/>
    <w:qFormat/>
    <w:rsid w:val="00E81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ohrp.cit.nih.gov" TargetMode="External" /><Relationship Id="rId11" Type="http://schemas.openxmlformats.org/officeDocument/2006/relationships/hyperlink" Target="https://aspe.hhs.gov/reports/guidelines-regulatory-impact-analysis" TargetMode="External" /><Relationship Id="rId12" Type="http://schemas.openxmlformats.org/officeDocument/2006/relationships/hyperlink" Target="https://www.gpo.gov/fdsys/pkg/FR-2017-01-19/pdf/2017-01058.pdf" TargetMode="External" /><Relationship Id="rId13" Type="http://schemas.openxmlformats.org/officeDocument/2006/relationships/hyperlink" Target="https://www.bls.gov/oes/2020/may/oes119033.htm" TargetMode="External" /><Relationship Id="rId14" Type="http://schemas.openxmlformats.org/officeDocument/2006/relationships/hyperlink" Target="https://www.bls.gov/oes/2020/may/oes430000.htm" TargetMode="External" /><Relationship Id="rId15" Type="http://schemas.openxmlformats.org/officeDocument/2006/relationships/hyperlink" Target="https://www.bls.gov/oes/2020/may/oes251071.htm" TargetMode="External" /><Relationship Id="rId16" Type="http://schemas.openxmlformats.org/officeDocument/2006/relationships/hyperlink" Target="https://www.bls.gov/oes/2020/may/oes291228.htm" TargetMode="External" /><Relationship Id="rId17" Type="http://schemas.openxmlformats.org/officeDocument/2006/relationships/hyperlink" Target="https://www.bls.gov/oes/2020/may/oes191099.htm" TargetMode="External" /><Relationship Id="rId18" Type="http://schemas.openxmlformats.org/officeDocument/2006/relationships/hyperlink" Target="https://www.hhs.gov/ohrp/sachrp-committee/recommendations/attachment-b-november-2-2016-letter/index.html" TargetMode="External" /><Relationship Id="rId19" Type="http://schemas.openxmlformats.org/officeDocument/2006/relationships/hyperlink" Target="https://www.census.gov/naics/?input=622110&amp;year=2017&amp;details=622110" TargetMode="External" /><Relationship Id="rId2" Type="http://schemas.openxmlformats.org/officeDocument/2006/relationships/settings" Target="settings.xml" /><Relationship Id="rId20" Type="http://schemas.openxmlformats.org/officeDocument/2006/relationships/hyperlink" Target="https://www.sba.gov/sites/default/files/2022-05/Table%20of%20Size%20Standards_Effective%20May%202%202022_Final.pdf"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ulation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irb.wsu.edu/irb-roster-member-responsibilities/" TargetMode="External" /><Relationship Id="rId2" Type="http://schemas.openxmlformats.org/officeDocument/2006/relationships/hyperlink" Target="https://hso.research.uiowa.edu/become-irb-member" TargetMode="External" /><Relationship Id="rId3" Type="http://schemas.openxmlformats.org/officeDocument/2006/relationships/hyperlink" Target="https://www.unr.edu/research-integrity/human-research/human-research-protection-policy-manual/630-irb-meetings" TargetMode="External" /><Relationship Id="rId4" Type="http://schemas.openxmlformats.org/officeDocument/2006/relationships/hyperlink" Target="https://www.hrpo.pitt.edu/irb-community-member-frequently-asked-ques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890683299DE47BAAA60FE6D69D0E6" ma:contentTypeVersion="5" ma:contentTypeDescription="Create a new document." ma:contentTypeScope="" ma:versionID="254ffcde7f48fd511266bedd2aa1518e">
  <xsd:schema xmlns:xsd="http://www.w3.org/2001/XMLSchema" xmlns:xs="http://www.w3.org/2001/XMLSchema" xmlns:p="http://schemas.microsoft.com/office/2006/metadata/properties" xmlns:ns2="05034f99-c5e7-456f-9a07-4351abe58214" xmlns:ns3="dfe673cc-7fbf-4b39-a053-1f496a81d7b0" targetNamespace="http://schemas.microsoft.com/office/2006/metadata/properties" ma:root="true" ma:fieldsID="1076194e13295ab45dfd57f73e361e8f" ns2:_="" ns3:_="">
    <xsd:import namespace="05034f99-c5e7-456f-9a07-4351abe58214"/>
    <xsd:import namespace="dfe673cc-7fbf-4b39-a053-1f496a81d7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34f99-c5e7-456f-9a07-4351abe5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673cc-7fbf-4b39-a053-1f496a81d7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C4093-3CC0-48F8-A8D2-A15FAB651690}">
  <ds:schemaRefs>
    <ds:schemaRef ds:uri="http://schemas.openxmlformats.org/officeDocument/2006/bibliography"/>
  </ds:schemaRefs>
</ds:datastoreItem>
</file>

<file path=customXml/itemProps2.xml><?xml version="1.0" encoding="utf-8"?>
<ds:datastoreItem xmlns:ds="http://schemas.openxmlformats.org/officeDocument/2006/customXml" ds:itemID="{21FAE58A-8156-4D3B-8BAA-172812855F41}">
  <ds:schemaRefs>
    <ds:schemaRef ds:uri="http://purl.org/dc/elements/1.1/"/>
    <ds:schemaRef ds:uri="http://schemas.microsoft.com/office/2006/metadata/properties"/>
    <ds:schemaRef ds:uri="05034f99-c5e7-456f-9a07-4351abe582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e673cc-7fbf-4b39-a053-1f496a81d7b0"/>
    <ds:schemaRef ds:uri="http://www.w3.org/XML/1998/namespace"/>
    <ds:schemaRef ds:uri="http://purl.org/dc/dcmitype/"/>
  </ds:schemaRefs>
</ds:datastoreItem>
</file>

<file path=customXml/itemProps3.xml><?xml version="1.0" encoding="utf-8"?>
<ds:datastoreItem xmlns:ds="http://schemas.openxmlformats.org/officeDocument/2006/customXml" ds:itemID="{29E9C577-2DEE-42F8-BB08-4CCC8255B5A0}">
  <ds:schemaRefs>
    <ds:schemaRef ds:uri="http://schemas.microsoft.com/sharepoint/v3/contenttype/forms"/>
  </ds:schemaRefs>
</ds:datastoreItem>
</file>

<file path=customXml/itemProps4.xml><?xml version="1.0" encoding="utf-8"?>
<ds:datastoreItem xmlns:ds="http://schemas.openxmlformats.org/officeDocument/2006/customXml" ds:itemID="{C24F17F1-EE92-4010-9150-7DD07258D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34f99-c5e7-456f-9a07-4351abe58214"/>
    <ds:schemaRef ds:uri="dfe673cc-7fbf-4b39-a053-1f496a81d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2023-11-27T21:01:00Z</dcterms:created>
  <dcterms:modified xsi:type="dcterms:W3CDTF">2023-11-27T21:01:00Z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0x0101009A3890683299DE47BAAA60FE6D69D0E6</vt:lpwstr>
  </property>
</Properties>
</file>