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57717" w:rsidP="004224FA" w14:paraId="36CCA9A6" w14:textId="77777777">
      <w:pPr>
        <w:rPr>
          <w:sz w:val="24"/>
          <w:szCs w:val="24"/>
        </w:rPr>
      </w:pPr>
    </w:p>
    <w:p w:rsidR="007073C2" w:rsidRPr="005B66AF" w:rsidP="006A7C77" w14:paraId="6925362C" w14:textId="62B32860">
      <w:pPr>
        <w:jc w:val="center"/>
        <w:rPr>
          <w:b/>
          <w:bCs/>
          <w:sz w:val="24"/>
          <w:szCs w:val="24"/>
        </w:rPr>
      </w:pPr>
      <w:r w:rsidRPr="005B66AF">
        <w:rPr>
          <w:b/>
          <w:bCs/>
          <w:sz w:val="24"/>
          <w:szCs w:val="24"/>
        </w:rPr>
        <w:t xml:space="preserve">Registration of Human Drug Compounding Outsourcing Facilities </w:t>
      </w:r>
    </w:p>
    <w:p w:rsidR="00C62E6D" w:rsidRPr="005B66AF" w:rsidP="006A7C77" w14:paraId="37646798" w14:textId="6BA7934F">
      <w:pPr>
        <w:jc w:val="center"/>
        <w:rPr>
          <w:b/>
          <w:bCs/>
          <w:sz w:val="24"/>
          <w:szCs w:val="24"/>
        </w:rPr>
      </w:pPr>
      <w:r w:rsidRPr="005B66AF">
        <w:rPr>
          <w:b/>
          <w:bCs/>
          <w:sz w:val="24"/>
          <w:szCs w:val="24"/>
        </w:rPr>
        <w:t xml:space="preserve">Under Section 503b of the Federal Food, Drug, and Cosmetic Act </w:t>
      </w:r>
    </w:p>
    <w:p w:rsidR="006A7C77" w:rsidRPr="005B66AF" w:rsidP="006A7C77" w14:paraId="1ADEF182" w14:textId="78A0DF2B">
      <w:pPr>
        <w:jc w:val="center"/>
        <w:rPr>
          <w:b/>
          <w:bCs/>
          <w:sz w:val="24"/>
          <w:szCs w:val="24"/>
        </w:rPr>
      </w:pPr>
      <w:r w:rsidRPr="005B66AF">
        <w:rPr>
          <w:b/>
          <w:bCs/>
          <w:sz w:val="24"/>
          <w:szCs w:val="24"/>
        </w:rPr>
        <w:t>And Associated Fees Under Section 744k</w:t>
      </w:r>
    </w:p>
    <w:p w:rsidR="006A7C77" w:rsidRPr="00B35A23" w:rsidP="006A7C77" w14:paraId="75E3D420" w14:textId="77777777">
      <w:pPr>
        <w:jc w:val="center"/>
        <w:rPr>
          <w:sz w:val="24"/>
          <w:szCs w:val="24"/>
        </w:rPr>
      </w:pPr>
    </w:p>
    <w:p w:rsidR="006A7C77" w:rsidRPr="002C54D0" w:rsidP="006A7C77" w14:paraId="404DCFE7" w14:textId="68B794ED">
      <w:pPr>
        <w:jc w:val="center"/>
        <w:rPr>
          <w:sz w:val="24"/>
          <w:szCs w:val="24"/>
          <w:u w:val="single"/>
        </w:rPr>
      </w:pPr>
      <w:r w:rsidRPr="002C54D0">
        <w:rPr>
          <w:sz w:val="24"/>
          <w:szCs w:val="24"/>
          <w:u w:val="single"/>
        </w:rPr>
        <w:t>OMB Control No. 0910-0776</w:t>
      </w:r>
      <w:r w:rsidRPr="002C54D0" w:rsidR="007073C2">
        <w:rPr>
          <w:sz w:val="24"/>
          <w:szCs w:val="24"/>
          <w:u w:val="single"/>
        </w:rPr>
        <w:t xml:space="preserve"> -</w:t>
      </w:r>
      <w:r w:rsidRPr="002C54D0" w:rsidR="0098450F">
        <w:rPr>
          <w:sz w:val="24"/>
          <w:szCs w:val="24"/>
          <w:u w:val="single"/>
        </w:rPr>
        <w:t xml:space="preserve"> Extension</w:t>
      </w:r>
    </w:p>
    <w:p w:rsidR="0007479E" w:rsidRPr="00B35A23" w:rsidP="006A7C77" w14:paraId="042DA990" w14:textId="77777777">
      <w:pPr>
        <w:jc w:val="center"/>
        <w:rPr>
          <w:sz w:val="24"/>
          <w:szCs w:val="24"/>
        </w:rPr>
      </w:pPr>
    </w:p>
    <w:p w:rsidR="006A7C77" w:rsidRPr="00B35A23" w:rsidP="007073C2" w14:paraId="66CEA837" w14:textId="769666EE">
      <w:pPr>
        <w:rPr>
          <w:sz w:val="24"/>
          <w:szCs w:val="24"/>
        </w:rPr>
      </w:pPr>
      <w:r w:rsidRPr="00B35A23">
        <w:rPr>
          <w:sz w:val="24"/>
          <w:szCs w:val="24"/>
        </w:rPr>
        <w:t>SUPPORTING STATEMENT</w:t>
      </w:r>
      <w:r w:rsidR="002C54D0">
        <w:rPr>
          <w:sz w:val="24"/>
          <w:szCs w:val="24"/>
        </w:rPr>
        <w:t xml:space="preserve"> </w:t>
      </w:r>
      <w:r w:rsidRPr="00B35A23">
        <w:rPr>
          <w:b/>
          <w:sz w:val="24"/>
          <w:szCs w:val="24"/>
        </w:rPr>
        <w:t>Part A:  Justification</w:t>
      </w:r>
      <w:r w:rsidRPr="00B35A23" w:rsidR="00E9614D">
        <w:rPr>
          <w:b/>
          <w:sz w:val="24"/>
          <w:szCs w:val="24"/>
        </w:rPr>
        <w:t>:</w:t>
      </w:r>
    </w:p>
    <w:p w:rsidR="00590F4E" w:rsidRPr="00B35A23" w:rsidP="006A7C77" w14:paraId="2ABC332A" w14:textId="77777777">
      <w:pPr>
        <w:rPr>
          <w:sz w:val="24"/>
          <w:szCs w:val="24"/>
        </w:rPr>
      </w:pPr>
    </w:p>
    <w:p w:rsidR="006A7C77" w:rsidRPr="00B35A23" w:rsidP="006A7C77" w14:paraId="68834F2D" w14:textId="77777777">
      <w:pPr>
        <w:rPr>
          <w:sz w:val="24"/>
          <w:szCs w:val="24"/>
        </w:rPr>
      </w:pPr>
      <w:r w:rsidRPr="00B35A23">
        <w:rPr>
          <w:sz w:val="24"/>
          <w:szCs w:val="24"/>
        </w:rPr>
        <w:t xml:space="preserve">1.  </w:t>
      </w:r>
      <w:r w:rsidRPr="00B35A23">
        <w:rPr>
          <w:sz w:val="24"/>
          <w:szCs w:val="24"/>
          <w:u w:val="single"/>
        </w:rPr>
        <w:t>Circumstances Making the Collection of Information Necessary</w:t>
      </w:r>
    </w:p>
    <w:p w:rsidR="006A7C77" w:rsidRPr="00B35A23" w:rsidP="006A7C77" w14:paraId="1081541B" w14:textId="77777777">
      <w:pPr>
        <w:rPr>
          <w:sz w:val="24"/>
          <w:szCs w:val="24"/>
        </w:rPr>
      </w:pPr>
    </w:p>
    <w:p w:rsidR="00C67335" w:rsidRPr="00B35A23" w:rsidP="00590F4E" w14:paraId="74DBB4DC" w14:textId="02F7B30C">
      <w:pPr>
        <w:rPr>
          <w:sz w:val="24"/>
          <w:szCs w:val="24"/>
        </w:rPr>
      </w:pPr>
      <w:r w:rsidRPr="00B35A23">
        <w:rPr>
          <w:sz w:val="24"/>
          <w:szCs w:val="24"/>
        </w:rPr>
        <w:t xml:space="preserve">This information collection helps to support </w:t>
      </w:r>
      <w:r w:rsidR="00362B97">
        <w:rPr>
          <w:sz w:val="24"/>
          <w:szCs w:val="24"/>
        </w:rPr>
        <w:t xml:space="preserve">the </w:t>
      </w:r>
      <w:r w:rsidRPr="00B35A23">
        <w:rPr>
          <w:sz w:val="24"/>
          <w:szCs w:val="24"/>
        </w:rPr>
        <w:t xml:space="preserve">implementation of </w:t>
      </w:r>
      <w:r w:rsidRPr="00B35A23" w:rsidR="008E5EA7">
        <w:rPr>
          <w:sz w:val="24"/>
          <w:szCs w:val="24"/>
        </w:rPr>
        <w:t xml:space="preserve">section </w:t>
      </w:r>
      <w:r w:rsidRPr="00D2305C" w:rsidR="008E5EA7">
        <w:rPr>
          <w:sz w:val="24"/>
          <w:szCs w:val="24"/>
        </w:rPr>
        <w:t xml:space="preserve">503B </w:t>
      </w:r>
      <w:r w:rsidRPr="00D2305C">
        <w:rPr>
          <w:sz w:val="24"/>
          <w:szCs w:val="24"/>
        </w:rPr>
        <w:t xml:space="preserve">of the Federal </w:t>
      </w:r>
      <w:r w:rsidRPr="00D2305C" w:rsidR="00ED7639">
        <w:rPr>
          <w:sz w:val="24"/>
          <w:szCs w:val="24"/>
        </w:rPr>
        <w:t>-</w:t>
      </w:r>
      <w:r w:rsidRPr="00D2305C">
        <w:rPr>
          <w:sz w:val="24"/>
          <w:szCs w:val="24"/>
        </w:rPr>
        <w:t>Food, Drug, and Cosmetic Act (FD&amp;C Act)</w:t>
      </w:r>
      <w:r w:rsidRPr="00B35A23">
        <w:rPr>
          <w:sz w:val="24"/>
          <w:szCs w:val="24"/>
        </w:rPr>
        <w:t xml:space="preserve"> </w:t>
      </w:r>
      <w:r w:rsidRPr="00B35A23" w:rsidR="002F634C">
        <w:rPr>
          <w:sz w:val="24"/>
          <w:szCs w:val="24"/>
        </w:rPr>
        <w:t>(21 U.S.C. 353b)</w:t>
      </w:r>
      <w:r w:rsidR="002F4743">
        <w:rPr>
          <w:sz w:val="24"/>
          <w:szCs w:val="24"/>
        </w:rPr>
        <w:t xml:space="preserve"> </w:t>
      </w:r>
      <w:r w:rsidRPr="00B35A23">
        <w:rPr>
          <w:sz w:val="24"/>
          <w:szCs w:val="24"/>
        </w:rPr>
        <w:t xml:space="preserve">and the Drug Quality and Security Act </w:t>
      </w:r>
      <w:r w:rsidRPr="00B45FB0">
        <w:rPr>
          <w:sz w:val="24"/>
          <w:szCs w:val="24"/>
        </w:rPr>
        <w:t>(DQSA)</w:t>
      </w:r>
      <w:r w:rsidRPr="00B35A23" w:rsidR="003C4EA5">
        <w:rPr>
          <w:sz w:val="24"/>
          <w:szCs w:val="24"/>
        </w:rPr>
        <w:t xml:space="preserve"> regarding the registration of human drug compounding</w:t>
      </w:r>
      <w:r w:rsidRPr="00B35A23" w:rsidR="000837AE">
        <w:rPr>
          <w:sz w:val="24"/>
          <w:szCs w:val="24"/>
        </w:rPr>
        <w:t xml:space="preserve"> outsourcing facilities</w:t>
      </w:r>
      <w:r w:rsidRPr="00B35A23" w:rsidR="0010087E">
        <w:rPr>
          <w:sz w:val="24"/>
          <w:szCs w:val="24"/>
        </w:rPr>
        <w:t xml:space="preserve">.  </w:t>
      </w:r>
      <w:r w:rsidRPr="004D4794" w:rsidR="0010087E">
        <w:rPr>
          <w:sz w:val="24"/>
          <w:szCs w:val="24"/>
        </w:rPr>
        <w:t>Th</w:t>
      </w:r>
      <w:r w:rsidRPr="004D4794" w:rsidR="004D4794">
        <w:rPr>
          <w:sz w:val="24"/>
          <w:szCs w:val="24"/>
        </w:rPr>
        <w:t>is</w:t>
      </w:r>
      <w:r w:rsidRPr="004D4794" w:rsidR="0010087E">
        <w:rPr>
          <w:sz w:val="24"/>
          <w:szCs w:val="24"/>
        </w:rPr>
        <w:t xml:space="preserve"> information</w:t>
      </w:r>
      <w:r w:rsidRPr="00B35A23" w:rsidR="0010087E">
        <w:rPr>
          <w:sz w:val="24"/>
          <w:szCs w:val="24"/>
        </w:rPr>
        <w:t xml:space="preserve"> collection also implements provisions </w:t>
      </w:r>
      <w:r w:rsidRPr="00B35A23" w:rsidR="00CD0C67">
        <w:rPr>
          <w:sz w:val="24"/>
          <w:szCs w:val="24"/>
        </w:rPr>
        <w:t xml:space="preserve">applicable to </w:t>
      </w:r>
      <w:r w:rsidRPr="00B35A23" w:rsidR="00BE3A3F">
        <w:rPr>
          <w:sz w:val="24"/>
          <w:szCs w:val="24"/>
        </w:rPr>
        <w:t xml:space="preserve">registered outsourcing facilities </w:t>
      </w:r>
      <w:r w:rsidRPr="00B35A23" w:rsidR="00A76F0A">
        <w:rPr>
          <w:sz w:val="24"/>
          <w:szCs w:val="24"/>
        </w:rPr>
        <w:t xml:space="preserve">and the assessment and remission of </w:t>
      </w:r>
      <w:r w:rsidRPr="00B35A23" w:rsidR="000837AE">
        <w:rPr>
          <w:sz w:val="24"/>
          <w:szCs w:val="24"/>
        </w:rPr>
        <w:t xml:space="preserve">user fees under </w:t>
      </w:r>
      <w:r w:rsidRPr="00E73FB6" w:rsidR="000837AE">
        <w:rPr>
          <w:sz w:val="24"/>
          <w:szCs w:val="24"/>
        </w:rPr>
        <w:t xml:space="preserve">section </w:t>
      </w:r>
      <w:r w:rsidRPr="00E73FB6" w:rsidR="004449A7">
        <w:rPr>
          <w:sz w:val="24"/>
          <w:szCs w:val="24"/>
        </w:rPr>
        <w:t>744K of the FD&amp;C</w:t>
      </w:r>
      <w:r w:rsidRPr="00E73FB6" w:rsidR="00B536AC">
        <w:rPr>
          <w:sz w:val="24"/>
          <w:szCs w:val="24"/>
        </w:rPr>
        <w:t xml:space="preserve"> Act</w:t>
      </w:r>
      <w:r w:rsidR="001A378A">
        <w:rPr>
          <w:sz w:val="24"/>
          <w:szCs w:val="24"/>
        </w:rPr>
        <w:t xml:space="preserve"> (21 U.S.C. 379j)</w:t>
      </w:r>
      <w:r w:rsidRPr="00E73FB6">
        <w:rPr>
          <w:sz w:val="24"/>
          <w:szCs w:val="24"/>
        </w:rPr>
        <w:t>.</w:t>
      </w:r>
    </w:p>
    <w:p w:rsidR="00C67335" w:rsidRPr="00B35A23" w:rsidP="004224FA" w14:paraId="0C9E6A71" w14:textId="6633640A">
      <w:pPr>
        <w:ind w:firstLine="720"/>
        <w:rPr>
          <w:sz w:val="24"/>
          <w:szCs w:val="24"/>
        </w:rPr>
      </w:pPr>
      <w:r w:rsidRPr="005626D1">
        <w:rPr>
          <w:i/>
          <w:sz w:val="24"/>
          <w:szCs w:val="24"/>
        </w:rPr>
        <w:t xml:space="preserve">A. </w:t>
      </w:r>
      <w:r w:rsidRPr="005626D1">
        <w:rPr>
          <w:i/>
          <w:sz w:val="24"/>
          <w:szCs w:val="24"/>
        </w:rPr>
        <w:t>Registration</w:t>
      </w:r>
    </w:p>
    <w:p w:rsidR="00C67335" w:rsidP="00590F4E" w14:paraId="4DE49D18" w14:textId="77777777">
      <w:pPr>
        <w:rPr>
          <w:sz w:val="24"/>
          <w:szCs w:val="24"/>
        </w:rPr>
      </w:pPr>
    </w:p>
    <w:p w:rsidR="00D621A8" w:rsidRPr="005372F4" w:rsidP="00D621A8" w14:paraId="18C9E29E" w14:textId="7E68B7B0">
      <w:pPr>
        <w:pStyle w:val="BodyText"/>
        <w:spacing w:after="0"/>
        <w:contextualSpacing/>
        <w:rPr>
          <w:sz w:val="24"/>
          <w:szCs w:val="24"/>
        </w:rPr>
      </w:pPr>
      <w:r w:rsidRPr="005372F4">
        <w:rPr>
          <w:sz w:val="24"/>
          <w:szCs w:val="24"/>
        </w:rPr>
        <w:t xml:space="preserve">Under section 503B of the FD&amp;C Act (21 U.S.C. 353b), a facility that compounds drugs may elect to register with FDA as an outsourcing facility.  Upon electing to do so, outsourcing facilities must register annually between October 1 and December 31, providing information that includes its name, place of business, a unique facility identifier, and a point of contact’s email address and phone number.  The outsourcing facility must also indicate: (1) whether it intends to compound, within the next calendar year, a drug that appears on our drug shortage list in effect under section 506E of the FD&amp;C Act (21 U.S.C. 356e); and (2) whether it compounds from bulk drug substances and, if so, whether it compounds sterile or nonsterile drugs from bulk drug substances.  Registered outsourcing facilities must submit a drug product report upon initial registration under section 503B and twice each year in June and December for drug products produced during the previous six-month period.  We require this data be submitted electronically, unless a waiver is granted, in </w:t>
      </w:r>
      <w:r w:rsidRPr="005372F4" w:rsidR="00FC2B7B">
        <w:rPr>
          <w:sz w:val="24"/>
          <w:szCs w:val="24"/>
        </w:rPr>
        <w:t>S</w:t>
      </w:r>
      <w:r w:rsidRPr="005372F4">
        <w:rPr>
          <w:sz w:val="24"/>
          <w:szCs w:val="24"/>
        </w:rPr>
        <w:t xml:space="preserve">tructured </w:t>
      </w:r>
      <w:r w:rsidRPr="005372F4" w:rsidR="00FC2B7B">
        <w:rPr>
          <w:sz w:val="24"/>
          <w:szCs w:val="24"/>
        </w:rPr>
        <w:t>P</w:t>
      </w:r>
      <w:r w:rsidRPr="005372F4">
        <w:rPr>
          <w:sz w:val="24"/>
          <w:szCs w:val="24"/>
        </w:rPr>
        <w:t xml:space="preserve">roduct </w:t>
      </w:r>
      <w:r w:rsidRPr="005372F4" w:rsidR="00FC2B7B">
        <w:rPr>
          <w:sz w:val="24"/>
          <w:szCs w:val="24"/>
        </w:rPr>
        <w:t>L</w:t>
      </w:r>
      <w:r w:rsidRPr="005372F4">
        <w:rPr>
          <w:sz w:val="24"/>
          <w:szCs w:val="24"/>
        </w:rPr>
        <w:t>abeling (SPL) format</w:t>
      </w:r>
      <w:r w:rsidR="00C747EE">
        <w:rPr>
          <w:sz w:val="24"/>
          <w:szCs w:val="24"/>
        </w:rPr>
        <w:t xml:space="preserve"> </w:t>
      </w:r>
      <w:r w:rsidRPr="00590F4E" w:rsidR="00C747EE">
        <w:rPr>
          <w:sz w:val="24"/>
          <w:szCs w:val="24"/>
        </w:rPr>
        <w:t>in accordance with the FDA guidance for industry entitled “</w:t>
      </w:r>
      <w:r w:rsidRPr="00590F4E" w:rsidR="00C747EE">
        <w:rPr>
          <w:i/>
          <w:sz w:val="24"/>
          <w:szCs w:val="24"/>
        </w:rPr>
        <w:t>Providing Regulatory Submissions in Electronic Format--Drug Establishment Registration and Drug Listing</w:t>
      </w:r>
      <w:r w:rsidR="003A0D4B">
        <w:rPr>
          <w:i/>
          <w:sz w:val="24"/>
          <w:szCs w:val="24"/>
        </w:rPr>
        <w:t xml:space="preserve"> (eDRLS guidance) </w:t>
      </w:r>
      <w:r w:rsidRPr="00590F4E" w:rsidR="00C747EE">
        <w:rPr>
          <w:i/>
          <w:sz w:val="24"/>
          <w:szCs w:val="24"/>
        </w:rPr>
        <w:t>(May 2009</w:t>
      </w:r>
      <w:r w:rsidRPr="00590F4E" w:rsidR="00C747EE">
        <w:rPr>
          <w:sz w:val="24"/>
          <w:szCs w:val="24"/>
        </w:rPr>
        <w:t xml:space="preserve">).”  </w:t>
      </w:r>
      <w:r w:rsidRPr="00590F4E" w:rsidR="00C747EE">
        <w:rPr>
          <w:bCs/>
          <w:sz w:val="24"/>
          <w:szCs w:val="24"/>
        </w:rPr>
        <w:t>The guidance is available from our website at</w:t>
      </w:r>
      <w:r w:rsidR="00C747EE">
        <w:rPr>
          <w:bCs/>
          <w:sz w:val="24"/>
          <w:szCs w:val="24"/>
        </w:rPr>
        <w:t xml:space="preserve"> </w:t>
      </w:r>
      <w:hyperlink r:id="rId4" w:history="1">
        <w:r w:rsidRPr="002E6497" w:rsidR="00C747EE">
          <w:rPr>
            <w:rStyle w:val="Hyperlink"/>
            <w:bCs/>
            <w:sz w:val="24"/>
            <w:szCs w:val="24"/>
          </w:rPr>
          <w:t>https://www.fda.gov/media/71146/download</w:t>
        </w:r>
      </w:hyperlink>
      <w:r w:rsidR="00C747EE">
        <w:rPr>
          <w:bCs/>
          <w:sz w:val="24"/>
          <w:szCs w:val="24"/>
        </w:rPr>
        <w:t xml:space="preserve">.  </w:t>
      </w:r>
      <w:r w:rsidRPr="005372F4">
        <w:rPr>
          <w:sz w:val="24"/>
          <w:szCs w:val="24"/>
        </w:rPr>
        <w:t xml:space="preserve">  </w:t>
      </w:r>
    </w:p>
    <w:p w:rsidR="00D621A8" w:rsidRPr="005372F4" w:rsidP="00D621A8" w14:paraId="14FD2789" w14:textId="77777777">
      <w:pPr>
        <w:pStyle w:val="BodyText"/>
        <w:spacing w:after="0"/>
        <w:ind w:firstLine="720"/>
        <w:contextualSpacing/>
        <w:rPr>
          <w:sz w:val="24"/>
          <w:szCs w:val="24"/>
        </w:rPr>
      </w:pPr>
    </w:p>
    <w:p w:rsidR="00D621A8" w:rsidRPr="00EA31A9" w:rsidP="00D621A8" w14:paraId="14077568" w14:textId="06DADA80">
      <w:pPr>
        <w:pStyle w:val="BodyText"/>
        <w:spacing w:after="0"/>
        <w:contextualSpacing/>
        <w:rPr>
          <w:sz w:val="24"/>
          <w:szCs w:val="24"/>
        </w:rPr>
      </w:pPr>
      <w:r w:rsidRPr="005372F4">
        <w:rPr>
          <w:sz w:val="24"/>
          <w:szCs w:val="24"/>
        </w:rPr>
        <w:t>Drug products compounded in a registered outsourcing facility can qualify for exemptions from the FDA-approval requirements in section 505 of the FD&amp;C Act (21 U.S.C. 355), the requirement to label products with adequate directions for use under section 502(f)(1) of the FD&amp;C Act (21 U.S.C. 352(f)(1)), and the requirements for drug supply chain security in section 582 of the FD&amp;C Act (21 U.S.C. 360eee-1) if the requirements in section 503B of the FD&amp;C Act have been met.  We provide general information and resources on website at</w:t>
      </w:r>
      <w:r w:rsidRPr="005372F4">
        <w:t xml:space="preserve"> </w:t>
      </w:r>
      <w:hyperlink r:id="rId5" w:history="1">
        <w:r w:rsidRPr="005372F4">
          <w:rPr>
            <w:rStyle w:val="Hyperlink"/>
            <w:sz w:val="24"/>
            <w:szCs w:val="24"/>
          </w:rPr>
          <w:t>https://www.fda.gov/drugs/guidance-compliance-regulatory-information/human-drug-compounding</w:t>
        </w:r>
      </w:hyperlink>
      <w:r w:rsidRPr="005372F4">
        <w:rPr>
          <w:sz w:val="24"/>
          <w:szCs w:val="24"/>
        </w:rPr>
        <w:t>, including a list of currently registered outsourcing facilities as required under section 503B.</w:t>
      </w:r>
      <w:r>
        <w:rPr>
          <w:sz w:val="24"/>
          <w:szCs w:val="24"/>
        </w:rPr>
        <w:t xml:space="preserve">  </w:t>
      </w:r>
    </w:p>
    <w:p w:rsidR="00D621A8" w:rsidRPr="00B35A23" w:rsidP="00590F4E" w14:paraId="4E9E960E" w14:textId="77777777">
      <w:pPr>
        <w:rPr>
          <w:sz w:val="24"/>
          <w:szCs w:val="24"/>
        </w:rPr>
      </w:pPr>
    </w:p>
    <w:p w:rsidR="00EF127A" w:rsidRPr="00C024BA" w:rsidP="0049693B" w14:paraId="01CABBD4" w14:textId="3068C534">
      <w:pPr>
        <w:ind w:firstLine="720"/>
        <w:rPr>
          <w:bCs/>
          <w:i/>
          <w:iCs/>
          <w:sz w:val="24"/>
          <w:szCs w:val="24"/>
        </w:rPr>
      </w:pPr>
      <w:r w:rsidRPr="00C024BA">
        <w:rPr>
          <w:bCs/>
          <w:i/>
          <w:iCs/>
          <w:sz w:val="24"/>
          <w:szCs w:val="24"/>
        </w:rPr>
        <w:t>B. Registration Fees</w:t>
      </w:r>
    </w:p>
    <w:p w:rsidR="00EF127A" w:rsidRPr="00B35A23" w:rsidP="00590F4E" w14:paraId="2EBD4E27" w14:textId="77777777">
      <w:pPr>
        <w:rPr>
          <w:bCs/>
          <w:sz w:val="24"/>
          <w:szCs w:val="24"/>
        </w:rPr>
      </w:pPr>
    </w:p>
    <w:p w:rsidR="0048285E" w:rsidRPr="00EA31A9" w:rsidP="0048285E" w14:paraId="6109B0BD" w14:textId="77777777">
      <w:pPr>
        <w:pStyle w:val="BodyText"/>
        <w:spacing w:after="0"/>
        <w:contextualSpacing/>
        <w:rPr>
          <w:sz w:val="24"/>
          <w:szCs w:val="24"/>
        </w:rPr>
      </w:pPr>
      <w:r w:rsidRPr="6B4F32C7">
        <w:rPr>
          <w:sz w:val="24"/>
          <w:szCs w:val="24"/>
        </w:rPr>
        <w:t>Upon registration, and in accordance with section 503B and 744K of the FD&amp;C Act (21 U.S.C. 379j-62), facilities are assessed an establishment fee and receive an annual invoice from FDA with instructions for remitting payment.  Until payment is made for each given fiscal year (FY), an establishment is not considered to be registered as an outsourcing facility.</w:t>
      </w:r>
      <w:r>
        <w:rPr>
          <w:sz w:val="24"/>
          <w:szCs w:val="24"/>
        </w:rPr>
        <w:t xml:space="preserve">  </w:t>
      </w:r>
      <w:r w:rsidRPr="6B4F32C7">
        <w:rPr>
          <w:sz w:val="24"/>
          <w:szCs w:val="24"/>
        </w:rPr>
        <w:t>In accordance with section 744K of the FD&amp;C Act, certain outsourcing facilities may qualify for a small business reduction in the amount of the annual establishment fee.  To qualify for this reduction, an outsourcing facility must submit a written request to FDA certifying that the entity meets the requirements for the reduction.  For each FY a firm seeks to qualify as a small business and receive the fee reduction, it must submit to FDA a written request by April 30 of the preceding FY.  For example, an outsourcing facility must have submitted a written request for the small business reduction by April 30, 2023, to qualify for a reduction in the FY 2024 annual establishment fee.</w:t>
      </w:r>
    </w:p>
    <w:p w:rsidR="0048285E" w:rsidP="0048285E" w14:paraId="0D2EA3DB" w14:textId="77777777">
      <w:pPr>
        <w:pStyle w:val="BodyText"/>
        <w:spacing w:after="0"/>
        <w:contextualSpacing/>
        <w:rPr>
          <w:sz w:val="24"/>
          <w:szCs w:val="24"/>
        </w:rPr>
      </w:pPr>
    </w:p>
    <w:p w:rsidR="0048285E" w:rsidRPr="00EA31A9" w:rsidP="0048285E" w14:paraId="4BCE268A" w14:textId="591B7399">
      <w:pPr>
        <w:pStyle w:val="BodyText"/>
        <w:spacing w:after="0"/>
        <w:contextualSpacing/>
        <w:rPr>
          <w:sz w:val="24"/>
          <w:szCs w:val="24"/>
        </w:rPr>
      </w:pPr>
      <w:r w:rsidRPr="6B4F32C7">
        <w:rPr>
          <w:sz w:val="24"/>
          <w:szCs w:val="24"/>
        </w:rPr>
        <w:t>Section 744K of the FD&amp;C Act also requires an outsourcing facility to submit written requests for a small business reduction in a specified format:  Form FDA 3908 entitled “Outsourcing Facilities for Human Drug Compounding:  Small Business Establishment Fee Reduction Request.”</w:t>
      </w:r>
      <w:r>
        <w:rPr>
          <w:sz w:val="24"/>
          <w:szCs w:val="24"/>
        </w:rPr>
        <w:t xml:space="preserve">  The completed form should be submitted via email to </w:t>
      </w:r>
      <w:hyperlink r:id="rId6" w:history="1">
        <w:r w:rsidRPr="009F15B8">
          <w:rPr>
            <w:rStyle w:val="Hyperlink"/>
            <w:sz w:val="24"/>
            <w:szCs w:val="24"/>
          </w:rPr>
          <w:t>CDERCollections@fda.hhs.gov</w:t>
        </w:r>
      </w:hyperlink>
      <w:r>
        <w:rPr>
          <w:sz w:val="24"/>
          <w:szCs w:val="24"/>
        </w:rPr>
        <w:t>.</w:t>
      </w:r>
      <w:r w:rsidRPr="6B4F32C7">
        <w:rPr>
          <w:sz w:val="24"/>
          <w:szCs w:val="24"/>
        </w:rPr>
        <w:t xml:space="preserve">  Form FDA 3908 is available from our website at:  </w:t>
      </w:r>
      <w:hyperlink r:id="rId7">
        <w:r w:rsidRPr="6B4F32C7">
          <w:rPr>
            <w:rStyle w:val="Hyperlink"/>
            <w:sz w:val="24"/>
            <w:szCs w:val="24"/>
          </w:rPr>
          <w:t>https://www.fda.gov/media/90740/download</w:t>
        </w:r>
      </w:hyperlink>
      <w:r w:rsidRPr="6B4F32C7">
        <w:rPr>
          <w:sz w:val="24"/>
          <w:szCs w:val="24"/>
        </w:rPr>
        <w:t>.   In response to the submission of a small business reduction request, FDA will send a notification letter of its decision and recommends that applicants retain the notification.</w:t>
      </w:r>
      <w:r>
        <w:rPr>
          <w:sz w:val="24"/>
          <w:szCs w:val="24"/>
        </w:rPr>
        <w:t xml:space="preserve"> </w:t>
      </w:r>
    </w:p>
    <w:p w:rsidR="00EA3F1E" w:rsidRPr="00B35A23" w:rsidP="00590F4E" w14:paraId="02F5C254" w14:textId="77777777">
      <w:pPr>
        <w:rPr>
          <w:bCs/>
          <w:sz w:val="24"/>
          <w:szCs w:val="24"/>
        </w:rPr>
      </w:pPr>
    </w:p>
    <w:p w:rsidR="00590F4E" w:rsidRPr="00B35A23" w:rsidP="0049693B" w14:paraId="0EC86859" w14:textId="64E39B49">
      <w:pPr>
        <w:ind w:firstLine="720"/>
        <w:rPr>
          <w:bCs/>
          <w:i/>
          <w:sz w:val="24"/>
          <w:szCs w:val="24"/>
        </w:rPr>
      </w:pPr>
      <w:r w:rsidRPr="005626D1">
        <w:rPr>
          <w:bCs/>
          <w:i/>
          <w:sz w:val="24"/>
          <w:szCs w:val="24"/>
        </w:rPr>
        <w:t xml:space="preserve">C. </w:t>
      </w:r>
      <w:r w:rsidRPr="005626D1">
        <w:rPr>
          <w:bCs/>
          <w:i/>
          <w:sz w:val="24"/>
          <w:szCs w:val="24"/>
        </w:rPr>
        <w:t>Reinspection Fees</w:t>
      </w:r>
    </w:p>
    <w:p w:rsidR="00EA3F1E" w:rsidRPr="00B35A23" w:rsidP="00590F4E" w14:paraId="4F960B53" w14:textId="77777777">
      <w:pPr>
        <w:rPr>
          <w:bCs/>
          <w:sz w:val="24"/>
          <w:szCs w:val="24"/>
        </w:rPr>
      </w:pPr>
    </w:p>
    <w:p w:rsidR="001C1F8A" w:rsidRPr="00EA31A9" w:rsidP="001C1F8A" w14:paraId="37D84AE5" w14:textId="77777777">
      <w:pPr>
        <w:pStyle w:val="BodyText"/>
        <w:spacing w:after="0"/>
        <w:contextualSpacing/>
        <w:rPr>
          <w:sz w:val="24"/>
          <w:szCs w:val="24"/>
        </w:rPr>
      </w:pPr>
      <w:r w:rsidRPr="6B4F32C7">
        <w:rPr>
          <w:sz w:val="24"/>
          <w:szCs w:val="24"/>
        </w:rPr>
        <w:t>In accordance with section 503B of the FD&amp;C Act, outsourcing facilities are subject to inspection and, in accordance with section 744K of the FD&amp;C Act, subject to reinspection fees.  A reinspection fee will be incurred for each reinspection and is intended to reimburse FDA when a particular outsourcing facility requires reinspection because of noncompliance identified during a previous inspection.  After a reinspection is conducted, FDA will send an invoice to the email address indicated in the facility’s registration file.  The invoice contains instructions for remitting the reinspection fee.</w:t>
      </w:r>
      <w:r>
        <w:rPr>
          <w:sz w:val="24"/>
          <w:szCs w:val="24"/>
        </w:rPr>
        <w:t xml:space="preserve">  For further information on human drug compounding outsourcing facility fees, please visit our website at </w:t>
      </w:r>
      <w:hyperlink r:id="rId8" w:history="1">
        <w:r w:rsidRPr="0028027F">
          <w:rPr>
            <w:rStyle w:val="Hyperlink"/>
            <w:sz w:val="24"/>
            <w:szCs w:val="24"/>
          </w:rPr>
          <w:t>https://www.fda.gov/industry/fda-user-fee-programs/human-drug-compounding-outsourcing-facility-fees</w:t>
        </w:r>
      </w:hyperlink>
      <w:r>
        <w:rPr>
          <w:sz w:val="24"/>
          <w:szCs w:val="24"/>
        </w:rPr>
        <w:t xml:space="preserve">.  </w:t>
      </w:r>
    </w:p>
    <w:p w:rsidR="001C1F8A" w:rsidP="0049693B" w14:paraId="676F693F" w14:textId="77777777">
      <w:pPr>
        <w:ind w:firstLine="720"/>
        <w:rPr>
          <w:bCs/>
          <w:i/>
          <w:sz w:val="24"/>
          <w:szCs w:val="24"/>
        </w:rPr>
      </w:pPr>
    </w:p>
    <w:p w:rsidR="00590F4E" w:rsidRPr="00B35A23" w:rsidP="0049693B" w14:paraId="7A327732" w14:textId="2ED2C8D5">
      <w:pPr>
        <w:ind w:firstLine="720"/>
        <w:rPr>
          <w:bCs/>
          <w:i/>
          <w:sz w:val="24"/>
          <w:szCs w:val="24"/>
        </w:rPr>
      </w:pPr>
      <w:r w:rsidRPr="005626D1">
        <w:rPr>
          <w:bCs/>
          <w:i/>
          <w:sz w:val="24"/>
          <w:szCs w:val="24"/>
        </w:rPr>
        <w:t xml:space="preserve">D. </w:t>
      </w:r>
      <w:r w:rsidRPr="005626D1">
        <w:rPr>
          <w:bCs/>
          <w:i/>
          <w:sz w:val="24"/>
          <w:szCs w:val="24"/>
        </w:rPr>
        <w:t>Dispute Resolution</w:t>
      </w:r>
    </w:p>
    <w:p w:rsidR="00EA3F1E" w:rsidRPr="00B35A23" w:rsidP="00590F4E" w14:paraId="4BFBE4BB" w14:textId="77777777">
      <w:pPr>
        <w:rPr>
          <w:bCs/>
          <w:i/>
          <w:sz w:val="24"/>
          <w:szCs w:val="24"/>
        </w:rPr>
      </w:pPr>
    </w:p>
    <w:p w:rsidR="005C658D" w:rsidP="004A1B88" w14:paraId="7C2A439E" w14:textId="57DF068D">
      <w:pPr>
        <w:pStyle w:val="BodyText"/>
        <w:spacing w:after="0"/>
        <w:contextualSpacing/>
        <w:rPr>
          <w:bCs/>
          <w:sz w:val="24"/>
          <w:szCs w:val="24"/>
        </w:rPr>
      </w:pPr>
      <w:r w:rsidRPr="00B35A23">
        <w:rPr>
          <w:bCs/>
          <w:sz w:val="24"/>
          <w:szCs w:val="24"/>
        </w:rPr>
        <w:t xml:space="preserve">Agency regulations under </w:t>
      </w:r>
      <w:r w:rsidRPr="00EA31A9" w:rsidR="004A1B88">
        <w:rPr>
          <w:bCs/>
          <w:sz w:val="24"/>
          <w:szCs w:val="24"/>
        </w:rPr>
        <w:t xml:space="preserve">§ 10.75 </w:t>
      </w:r>
      <w:r w:rsidR="004A1B88">
        <w:rPr>
          <w:bCs/>
          <w:sz w:val="24"/>
          <w:szCs w:val="24"/>
        </w:rPr>
        <w:t>(</w:t>
      </w:r>
      <w:r w:rsidRPr="00B35A23">
        <w:rPr>
          <w:bCs/>
          <w:sz w:val="24"/>
          <w:szCs w:val="24"/>
        </w:rPr>
        <w:t>21 CFR 10.75</w:t>
      </w:r>
      <w:r w:rsidR="004A1B88">
        <w:rPr>
          <w:bCs/>
          <w:sz w:val="24"/>
          <w:szCs w:val="24"/>
        </w:rPr>
        <w:t>)</w:t>
      </w:r>
      <w:r w:rsidRPr="00B35A23">
        <w:rPr>
          <w:bCs/>
          <w:sz w:val="24"/>
          <w:szCs w:val="24"/>
        </w:rPr>
        <w:t xml:space="preserve"> provide for internal</w:t>
      </w:r>
      <w:r w:rsidR="002C54D0">
        <w:rPr>
          <w:bCs/>
          <w:sz w:val="24"/>
          <w:szCs w:val="24"/>
        </w:rPr>
        <w:t xml:space="preserve"> agency</w:t>
      </w:r>
      <w:r w:rsidRPr="00B35A23">
        <w:rPr>
          <w:bCs/>
          <w:sz w:val="24"/>
          <w:szCs w:val="24"/>
        </w:rPr>
        <w:t xml:space="preserve"> review of decisions.  Accordingly, an outsourcing facility may request reconsideration of an FDA decision related to the fee provisions of section 744K of the FD&amp;C Act.  Requests for reconsideration should include the facility’s rationale for its position that FDA’s decision was in error and include any additional</w:t>
      </w:r>
      <w:r w:rsidR="005A58C0">
        <w:rPr>
          <w:bCs/>
          <w:sz w:val="24"/>
          <w:szCs w:val="24"/>
        </w:rPr>
        <w:t>, relevant</w:t>
      </w:r>
      <w:r w:rsidRPr="00B35A23">
        <w:rPr>
          <w:bCs/>
          <w:sz w:val="24"/>
          <w:szCs w:val="24"/>
        </w:rPr>
        <w:t xml:space="preserve"> </w:t>
      </w:r>
      <w:r w:rsidRPr="00A6243E">
        <w:rPr>
          <w:bCs/>
          <w:sz w:val="24"/>
          <w:szCs w:val="24"/>
        </w:rPr>
        <w:t>information</w:t>
      </w:r>
      <w:r w:rsidRPr="00B35A23">
        <w:rPr>
          <w:bCs/>
          <w:sz w:val="24"/>
          <w:szCs w:val="24"/>
        </w:rPr>
        <w:t xml:space="preserve"> to the outsourcing facility’s assertion.  </w:t>
      </w:r>
      <w:r w:rsidRPr="00B45FB0">
        <w:rPr>
          <w:bCs/>
          <w:sz w:val="24"/>
          <w:szCs w:val="24"/>
        </w:rPr>
        <w:t xml:space="preserve">The denial of </w:t>
      </w:r>
      <w:r w:rsidRPr="00B45FB0">
        <w:rPr>
          <w:bCs/>
          <w:sz w:val="24"/>
          <w:szCs w:val="24"/>
        </w:rPr>
        <w:t>a request for reconsideration may be appealed by submitting a written request to FDA, consistent with § 10.75.</w:t>
      </w:r>
      <w:r w:rsidRPr="00B35A23">
        <w:rPr>
          <w:bCs/>
          <w:sz w:val="24"/>
          <w:szCs w:val="24"/>
        </w:rPr>
        <w:t xml:space="preserve"> </w:t>
      </w:r>
    </w:p>
    <w:p w:rsidR="004A1B88" w:rsidP="004A1B88" w14:paraId="6955BFF8" w14:textId="77777777">
      <w:pPr>
        <w:pStyle w:val="BodyText"/>
        <w:spacing w:after="0"/>
        <w:contextualSpacing/>
        <w:rPr>
          <w:bCs/>
          <w:sz w:val="24"/>
          <w:szCs w:val="24"/>
        </w:rPr>
      </w:pPr>
    </w:p>
    <w:p w:rsidR="00815568" w:rsidRPr="00B35A23" w:rsidP="00590F4E" w14:paraId="02E39A88" w14:textId="2474B6FB">
      <w:pPr>
        <w:rPr>
          <w:bCs/>
          <w:sz w:val="24"/>
          <w:szCs w:val="24"/>
        </w:rPr>
      </w:pPr>
      <w:r w:rsidRPr="00B35A23">
        <w:rPr>
          <w:bCs/>
          <w:sz w:val="24"/>
          <w:szCs w:val="24"/>
        </w:rPr>
        <w:t>To assist respondents</w:t>
      </w:r>
      <w:r w:rsidRPr="00B35A23" w:rsidR="00DE031F">
        <w:rPr>
          <w:bCs/>
          <w:sz w:val="24"/>
          <w:szCs w:val="24"/>
        </w:rPr>
        <w:t xml:space="preserve"> </w:t>
      </w:r>
      <w:r w:rsidRPr="00B35A23" w:rsidR="005B0806">
        <w:rPr>
          <w:bCs/>
          <w:sz w:val="24"/>
          <w:szCs w:val="24"/>
        </w:rPr>
        <w:t>with</w:t>
      </w:r>
      <w:r w:rsidRPr="00B35A23">
        <w:rPr>
          <w:bCs/>
          <w:sz w:val="24"/>
          <w:szCs w:val="24"/>
        </w:rPr>
        <w:t xml:space="preserve"> the information collection provisions, we have developed</w:t>
      </w:r>
      <w:r w:rsidR="002C54D0">
        <w:rPr>
          <w:bCs/>
          <w:sz w:val="24"/>
          <w:szCs w:val="24"/>
        </w:rPr>
        <w:t xml:space="preserve"> agency</w:t>
      </w:r>
      <w:r w:rsidRPr="00B35A23">
        <w:rPr>
          <w:bCs/>
          <w:sz w:val="24"/>
          <w:szCs w:val="24"/>
        </w:rPr>
        <w:t xml:space="preserve"> guidance</w:t>
      </w:r>
      <w:r w:rsidRPr="00B35A23">
        <w:rPr>
          <w:bCs/>
          <w:sz w:val="24"/>
          <w:szCs w:val="24"/>
        </w:rPr>
        <w:t xml:space="preserve"> documents:</w:t>
      </w:r>
    </w:p>
    <w:p w:rsidR="004D1E9E" w:rsidRPr="00B35A23" w:rsidP="00590F4E" w14:paraId="2D42119B" w14:textId="77777777">
      <w:pPr>
        <w:rPr>
          <w:bCs/>
          <w:sz w:val="24"/>
          <w:szCs w:val="24"/>
        </w:rPr>
      </w:pPr>
    </w:p>
    <w:p w:rsidR="00815568" w:rsidRPr="00C13F1F" w:rsidP="001A0983" w14:paraId="3CBAC4CF" w14:textId="02BDD825">
      <w:pPr>
        <w:pStyle w:val="ListParagraph"/>
        <w:numPr>
          <w:ilvl w:val="0"/>
          <w:numId w:val="4"/>
        </w:numPr>
        <w:rPr>
          <w:bCs/>
          <w:sz w:val="24"/>
          <w:szCs w:val="24"/>
        </w:rPr>
      </w:pPr>
      <w:r w:rsidRPr="00C13F1F">
        <w:rPr>
          <w:bCs/>
          <w:i/>
          <w:sz w:val="24"/>
          <w:szCs w:val="24"/>
        </w:rPr>
        <w:t>Registration of Human Drug Compounding Outsourcing Facilities Under Section 503B of the FD&amp;C Act (November 2014)</w:t>
      </w:r>
      <w:r w:rsidRPr="00C13F1F">
        <w:rPr>
          <w:bCs/>
          <w:sz w:val="24"/>
          <w:szCs w:val="24"/>
        </w:rPr>
        <w:t xml:space="preserve"> de</w:t>
      </w:r>
      <w:r w:rsidRPr="00C13F1F">
        <w:rPr>
          <w:bCs/>
          <w:sz w:val="24"/>
          <w:szCs w:val="24"/>
        </w:rPr>
        <w:t>scribes the process for electronic submission of establishment registration information for outsourcing facilities and provides information on how to obtain a waiver from submitting registration information electronically</w:t>
      </w:r>
      <w:r w:rsidRPr="00C13F1F">
        <w:rPr>
          <w:bCs/>
          <w:sz w:val="24"/>
          <w:szCs w:val="24"/>
        </w:rPr>
        <w:t>; and</w:t>
      </w:r>
    </w:p>
    <w:p w:rsidR="001A0983" w:rsidRPr="00B35A23" w:rsidP="00590F4E" w14:paraId="4E830267" w14:textId="77777777">
      <w:pPr>
        <w:rPr>
          <w:bCs/>
          <w:sz w:val="24"/>
          <w:szCs w:val="24"/>
        </w:rPr>
      </w:pPr>
    </w:p>
    <w:p w:rsidR="00191145" w:rsidRPr="00B35A23" w:rsidP="001A0983" w14:paraId="7A6C107D" w14:textId="40AD2728">
      <w:pPr>
        <w:pStyle w:val="ListParagraph"/>
        <w:numPr>
          <w:ilvl w:val="0"/>
          <w:numId w:val="4"/>
        </w:numPr>
        <w:rPr>
          <w:bCs/>
          <w:sz w:val="24"/>
          <w:szCs w:val="24"/>
        </w:rPr>
      </w:pPr>
      <w:r w:rsidRPr="00D36CBA">
        <w:rPr>
          <w:bCs/>
          <w:i/>
          <w:sz w:val="24"/>
          <w:szCs w:val="24"/>
        </w:rPr>
        <w:t>Fees for Human Drug Compounding Outsourcing Facilities Under Sections 503B and 744K of the FD&amp;C Act (November 2014)</w:t>
      </w:r>
      <w:r w:rsidRPr="00B35A23">
        <w:rPr>
          <w:bCs/>
          <w:sz w:val="24"/>
          <w:szCs w:val="24"/>
        </w:rPr>
        <w:t xml:space="preserve"> describes the </w:t>
      </w:r>
      <w:r w:rsidRPr="00995F29">
        <w:rPr>
          <w:bCs/>
          <w:sz w:val="24"/>
          <w:szCs w:val="24"/>
        </w:rPr>
        <w:t>types and amounts of fees</w:t>
      </w:r>
      <w:r w:rsidRPr="00B35A23">
        <w:rPr>
          <w:bCs/>
          <w:sz w:val="24"/>
          <w:szCs w:val="24"/>
        </w:rPr>
        <w:t xml:space="preserve"> that outsourcing facilities must pay, the </w:t>
      </w:r>
      <w:r w:rsidRPr="00995F29">
        <w:rPr>
          <w:bCs/>
          <w:sz w:val="24"/>
          <w:szCs w:val="24"/>
        </w:rPr>
        <w:t>adjustments to fees required</w:t>
      </w:r>
      <w:r w:rsidRPr="00B35A23">
        <w:rPr>
          <w:bCs/>
          <w:sz w:val="24"/>
          <w:szCs w:val="24"/>
        </w:rPr>
        <w:t xml:space="preserve"> by law, how outsourcing facilities can submit payment to FDA, the consequences of outsourcing facilities’ failure to pay fees, and how an outsourcing facility can qualify as a small business to obtain a reduction in fees.  </w:t>
      </w:r>
    </w:p>
    <w:p w:rsidR="00191145" w:rsidRPr="00B35A23" w:rsidP="00590F4E" w14:paraId="0146E119" w14:textId="77777777">
      <w:pPr>
        <w:rPr>
          <w:bCs/>
          <w:sz w:val="24"/>
          <w:szCs w:val="24"/>
        </w:rPr>
      </w:pPr>
    </w:p>
    <w:p w:rsidR="00C51F8D" w:rsidP="007171A2" w14:paraId="5ED1E47F" w14:textId="1A1C0C3D">
      <w:pPr>
        <w:rPr>
          <w:sz w:val="24"/>
          <w:szCs w:val="24"/>
        </w:rPr>
      </w:pPr>
      <w:r w:rsidRPr="00B35A23">
        <w:rPr>
          <w:bCs/>
          <w:sz w:val="24"/>
          <w:szCs w:val="24"/>
        </w:rPr>
        <w:t xml:space="preserve">Both </w:t>
      </w:r>
      <w:r w:rsidRPr="00B35A23" w:rsidR="00590F4E">
        <w:rPr>
          <w:bCs/>
          <w:sz w:val="24"/>
          <w:szCs w:val="24"/>
        </w:rPr>
        <w:t xml:space="preserve">guidance documents were issued consistent </w:t>
      </w:r>
      <w:r w:rsidRPr="00D25B49" w:rsidR="00590F4E">
        <w:rPr>
          <w:bCs/>
          <w:sz w:val="24"/>
          <w:szCs w:val="24"/>
        </w:rPr>
        <w:t xml:space="preserve">with </w:t>
      </w:r>
      <w:r w:rsidRPr="00D25B49" w:rsidR="00D25B49">
        <w:rPr>
          <w:bCs/>
          <w:sz w:val="24"/>
          <w:szCs w:val="24"/>
        </w:rPr>
        <w:t>FDA’s</w:t>
      </w:r>
      <w:r w:rsidRPr="00B35A23" w:rsidR="00590F4E">
        <w:rPr>
          <w:bCs/>
          <w:sz w:val="24"/>
          <w:szCs w:val="24"/>
        </w:rPr>
        <w:t xml:space="preserve"> good guidance practice regulations (21 CFR 10.115), which provide for public comment at any time</w:t>
      </w:r>
      <w:r w:rsidRPr="00D36CBA">
        <w:rPr>
          <w:bCs/>
          <w:sz w:val="24"/>
          <w:szCs w:val="24"/>
        </w:rPr>
        <w:t xml:space="preserve"> </w:t>
      </w:r>
      <w:r w:rsidRPr="00D36CBA">
        <w:rPr>
          <w:sz w:val="24"/>
          <w:szCs w:val="24"/>
        </w:rPr>
        <w:t>and</w:t>
      </w:r>
      <w:r w:rsidRPr="00B35A23">
        <w:rPr>
          <w:sz w:val="24"/>
          <w:szCs w:val="24"/>
        </w:rPr>
        <w:t xml:space="preserve"> are available at </w:t>
      </w:r>
      <w:hyperlink r:id="rId9">
        <w:r w:rsidRPr="00B35A23">
          <w:rPr>
            <w:rStyle w:val="Hyperlink"/>
            <w:sz w:val="24"/>
            <w:szCs w:val="24"/>
          </w:rPr>
          <w:t>https://www.fda.gov/media/87570/download</w:t>
        </w:r>
      </w:hyperlink>
      <w:r w:rsidRPr="00B35A23">
        <w:rPr>
          <w:sz w:val="24"/>
          <w:szCs w:val="24"/>
        </w:rPr>
        <w:t xml:space="preserve"> and </w:t>
      </w:r>
      <w:hyperlink r:id="rId10">
        <w:r w:rsidRPr="00B35A23">
          <w:rPr>
            <w:rStyle w:val="Hyperlink"/>
            <w:sz w:val="24"/>
            <w:szCs w:val="24"/>
          </w:rPr>
          <w:t>https://www.fda.gov/media/136683/download</w:t>
        </w:r>
      </w:hyperlink>
      <w:r w:rsidRPr="00B35A23">
        <w:rPr>
          <w:sz w:val="24"/>
          <w:szCs w:val="24"/>
        </w:rPr>
        <w:t xml:space="preserve">, respectively. </w:t>
      </w:r>
    </w:p>
    <w:p w:rsidR="007171A2" w:rsidP="007171A2" w14:paraId="774782C0" w14:textId="77777777">
      <w:pPr>
        <w:rPr>
          <w:sz w:val="24"/>
          <w:szCs w:val="24"/>
        </w:rPr>
      </w:pPr>
    </w:p>
    <w:p w:rsidR="00B11C62" w:rsidRPr="00B35A23" w:rsidP="001A0983" w14:paraId="78A23D20" w14:textId="0D1C63B8">
      <w:pPr>
        <w:rPr>
          <w:bCs/>
          <w:sz w:val="24"/>
          <w:szCs w:val="24"/>
        </w:rPr>
      </w:pPr>
      <w:r w:rsidRPr="00B35A23">
        <w:rPr>
          <w:sz w:val="24"/>
          <w:szCs w:val="24"/>
        </w:rPr>
        <w:t xml:space="preserve">Accordingly, </w:t>
      </w:r>
      <w:r w:rsidRPr="00B35A23" w:rsidR="00E0551F">
        <w:rPr>
          <w:sz w:val="24"/>
          <w:szCs w:val="24"/>
        </w:rPr>
        <w:t xml:space="preserve">we </w:t>
      </w:r>
      <w:r w:rsidRPr="00B35A23">
        <w:rPr>
          <w:sz w:val="24"/>
          <w:szCs w:val="24"/>
        </w:rPr>
        <w:t xml:space="preserve">request </w:t>
      </w:r>
      <w:r w:rsidR="00CC77E0">
        <w:rPr>
          <w:sz w:val="24"/>
          <w:szCs w:val="24"/>
        </w:rPr>
        <w:t xml:space="preserve">Office of Management and </w:t>
      </w:r>
      <w:r w:rsidRPr="00CC77E0" w:rsidR="00CC77E0">
        <w:rPr>
          <w:sz w:val="24"/>
          <w:szCs w:val="24"/>
        </w:rPr>
        <w:t>Budget (</w:t>
      </w:r>
      <w:r w:rsidRPr="00CC77E0">
        <w:rPr>
          <w:sz w:val="24"/>
          <w:szCs w:val="24"/>
        </w:rPr>
        <w:t>OMB</w:t>
      </w:r>
      <w:r w:rsidRPr="00CC77E0" w:rsidR="00CC77E0">
        <w:rPr>
          <w:sz w:val="24"/>
          <w:szCs w:val="24"/>
        </w:rPr>
        <w:t>)</w:t>
      </w:r>
      <w:r w:rsidRPr="00CC77E0">
        <w:rPr>
          <w:sz w:val="24"/>
          <w:szCs w:val="24"/>
        </w:rPr>
        <w:t xml:space="preserve"> approval</w:t>
      </w:r>
      <w:r w:rsidRPr="00B35A23">
        <w:rPr>
          <w:sz w:val="24"/>
          <w:szCs w:val="24"/>
        </w:rPr>
        <w:t xml:space="preserve"> of the information collection provisions </w:t>
      </w:r>
      <w:r w:rsidRPr="00B35A23" w:rsidR="007356B4">
        <w:rPr>
          <w:sz w:val="24"/>
          <w:szCs w:val="24"/>
        </w:rPr>
        <w:t>applicable to the registration of outsourcing facilities</w:t>
      </w:r>
      <w:r w:rsidRPr="00B35A23" w:rsidR="00FC1DB0">
        <w:rPr>
          <w:sz w:val="24"/>
          <w:szCs w:val="24"/>
        </w:rPr>
        <w:t xml:space="preserve"> as set forth in 503B of the FD&amp;C Act</w:t>
      </w:r>
      <w:r w:rsidRPr="00B35A23" w:rsidR="007356B4">
        <w:rPr>
          <w:sz w:val="24"/>
          <w:szCs w:val="24"/>
        </w:rPr>
        <w:t>, the remission of applicable fees</w:t>
      </w:r>
      <w:r w:rsidRPr="00B35A23" w:rsidR="00FC1DB0">
        <w:rPr>
          <w:sz w:val="24"/>
          <w:szCs w:val="24"/>
        </w:rPr>
        <w:t xml:space="preserve"> and </w:t>
      </w:r>
      <w:r w:rsidRPr="00B35A23" w:rsidR="00C94B42">
        <w:rPr>
          <w:sz w:val="24"/>
          <w:szCs w:val="24"/>
        </w:rPr>
        <w:t>Form FDA 3908</w:t>
      </w:r>
      <w:r w:rsidRPr="00B45FB0" w:rsidR="00B45FB0">
        <w:rPr>
          <w:sz w:val="24"/>
          <w:szCs w:val="24"/>
        </w:rPr>
        <w:t>,</w:t>
      </w:r>
      <w:r w:rsidRPr="00B45FB0" w:rsidR="00FC1DB0">
        <w:rPr>
          <w:sz w:val="24"/>
          <w:szCs w:val="24"/>
        </w:rPr>
        <w:t xml:space="preserve"> </w:t>
      </w:r>
      <w:r w:rsidRPr="00B45FB0" w:rsidR="007356B4">
        <w:rPr>
          <w:sz w:val="24"/>
          <w:szCs w:val="24"/>
        </w:rPr>
        <w:t>and associated</w:t>
      </w:r>
      <w:r w:rsidRPr="00B35A23" w:rsidR="007356B4">
        <w:rPr>
          <w:sz w:val="24"/>
          <w:szCs w:val="24"/>
        </w:rPr>
        <w:t xml:space="preserve"> instructio</w:t>
      </w:r>
      <w:r w:rsidRPr="00B35A23" w:rsidR="004643A4">
        <w:rPr>
          <w:sz w:val="24"/>
          <w:szCs w:val="24"/>
        </w:rPr>
        <w:t xml:space="preserve">n </w:t>
      </w:r>
      <w:r w:rsidRPr="00B35A23">
        <w:rPr>
          <w:sz w:val="24"/>
          <w:szCs w:val="24"/>
        </w:rPr>
        <w:t xml:space="preserve">found in </w:t>
      </w:r>
      <w:r w:rsidRPr="00980910">
        <w:rPr>
          <w:sz w:val="24"/>
          <w:szCs w:val="24"/>
        </w:rPr>
        <w:t>the</w:t>
      </w:r>
      <w:r w:rsidR="002C54D0">
        <w:rPr>
          <w:sz w:val="24"/>
          <w:szCs w:val="24"/>
        </w:rPr>
        <w:t xml:space="preserve"> agency</w:t>
      </w:r>
      <w:r w:rsidRPr="00980910" w:rsidR="00C94B42">
        <w:rPr>
          <w:sz w:val="24"/>
          <w:szCs w:val="24"/>
        </w:rPr>
        <w:t xml:space="preserve"> </w:t>
      </w:r>
      <w:r w:rsidRPr="00980910">
        <w:rPr>
          <w:sz w:val="24"/>
          <w:szCs w:val="24"/>
        </w:rPr>
        <w:t>guidance</w:t>
      </w:r>
      <w:r w:rsidRPr="00B35A23">
        <w:rPr>
          <w:sz w:val="24"/>
          <w:szCs w:val="24"/>
        </w:rPr>
        <w:t xml:space="preserve"> </w:t>
      </w:r>
      <w:r w:rsidRPr="00B35A23" w:rsidR="004F5DCE">
        <w:rPr>
          <w:sz w:val="24"/>
          <w:szCs w:val="24"/>
        </w:rPr>
        <w:t xml:space="preserve">documents </w:t>
      </w:r>
      <w:r w:rsidRPr="00B35A23">
        <w:rPr>
          <w:sz w:val="24"/>
          <w:szCs w:val="24"/>
        </w:rPr>
        <w:t xml:space="preserve">discussed </w:t>
      </w:r>
      <w:r w:rsidRPr="00B35A23" w:rsidR="004F5DCE">
        <w:rPr>
          <w:sz w:val="24"/>
          <w:szCs w:val="24"/>
        </w:rPr>
        <w:t>in this supporting statement.</w:t>
      </w:r>
    </w:p>
    <w:p w:rsidR="006A7C77" w:rsidP="006A7C77" w14:paraId="030FFB0D" w14:textId="6AB8DE1A">
      <w:pPr>
        <w:rPr>
          <w:sz w:val="24"/>
          <w:szCs w:val="24"/>
        </w:rPr>
      </w:pPr>
    </w:p>
    <w:p w:rsidR="006A7C77" w:rsidRPr="00B35A23" w:rsidP="006A7C77" w14:paraId="171ED01B" w14:textId="77777777">
      <w:pPr>
        <w:rPr>
          <w:sz w:val="24"/>
          <w:szCs w:val="24"/>
        </w:rPr>
      </w:pPr>
      <w:r w:rsidRPr="00B35A23">
        <w:rPr>
          <w:sz w:val="24"/>
          <w:szCs w:val="24"/>
        </w:rPr>
        <w:t xml:space="preserve">2.  </w:t>
      </w:r>
      <w:r w:rsidRPr="00B35A23">
        <w:rPr>
          <w:sz w:val="24"/>
          <w:szCs w:val="24"/>
          <w:u w:val="single"/>
        </w:rPr>
        <w:t>Purpose and Use of the Information Collection</w:t>
      </w:r>
    </w:p>
    <w:p w:rsidR="006A7C77" w:rsidRPr="00B35A23" w:rsidP="006A7C77" w14:paraId="14226000" w14:textId="77777777">
      <w:pPr>
        <w:rPr>
          <w:sz w:val="24"/>
          <w:szCs w:val="24"/>
        </w:rPr>
      </w:pPr>
    </w:p>
    <w:p w:rsidR="00B11C62" w:rsidRPr="00B35A23" w:rsidP="006A7C77" w14:paraId="208D681B" w14:textId="33CBBE76">
      <w:pPr>
        <w:rPr>
          <w:sz w:val="24"/>
          <w:szCs w:val="24"/>
        </w:rPr>
      </w:pPr>
      <w:r w:rsidRPr="00B35A23">
        <w:rPr>
          <w:sz w:val="24"/>
          <w:szCs w:val="24"/>
        </w:rPr>
        <w:t xml:space="preserve">The purpose of the information collection is </w:t>
      </w:r>
      <w:r w:rsidRPr="00B35A23" w:rsidR="009D309A">
        <w:rPr>
          <w:sz w:val="24"/>
          <w:szCs w:val="24"/>
        </w:rPr>
        <w:t xml:space="preserve">to </w:t>
      </w:r>
      <w:r w:rsidRPr="00B35A23" w:rsidR="004F5DCE">
        <w:rPr>
          <w:sz w:val="24"/>
          <w:szCs w:val="24"/>
        </w:rPr>
        <w:t xml:space="preserve">implement section 503B of the FD&amp;C Act and </w:t>
      </w:r>
      <w:r w:rsidRPr="00B35A23" w:rsidR="009D309A">
        <w:rPr>
          <w:sz w:val="24"/>
          <w:szCs w:val="24"/>
        </w:rPr>
        <w:t>assess and collect applicable fees</w:t>
      </w:r>
      <w:r w:rsidRPr="00B35A23" w:rsidR="005B0806">
        <w:rPr>
          <w:sz w:val="24"/>
          <w:szCs w:val="24"/>
        </w:rPr>
        <w:t xml:space="preserve"> under section 744K</w:t>
      </w:r>
      <w:r w:rsidRPr="00B35A23" w:rsidR="009D309A">
        <w:rPr>
          <w:sz w:val="24"/>
          <w:szCs w:val="24"/>
        </w:rPr>
        <w:t>.</w:t>
      </w:r>
    </w:p>
    <w:p w:rsidR="00B11C62" w:rsidP="006A7C77" w14:paraId="6BDFA9AD" w14:textId="70778730">
      <w:pPr>
        <w:rPr>
          <w:sz w:val="24"/>
          <w:szCs w:val="24"/>
        </w:rPr>
      </w:pPr>
    </w:p>
    <w:p w:rsidR="006A7C77" w:rsidRPr="00B35A23" w:rsidP="006A7C77" w14:paraId="7E7D31D4" w14:textId="77777777">
      <w:pPr>
        <w:rPr>
          <w:sz w:val="24"/>
          <w:szCs w:val="24"/>
        </w:rPr>
      </w:pPr>
      <w:r w:rsidRPr="00B35A23">
        <w:rPr>
          <w:sz w:val="24"/>
          <w:szCs w:val="24"/>
        </w:rPr>
        <w:t xml:space="preserve">3.  </w:t>
      </w:r>
      <w:r w:rsidRPr="00B35A23">
        <w:rPr>
          <w:sz w:val="24"/>
          <w:szCs w:val="24"/>
          <w:u w:val="single"/>
        </w:rPr>
        <w:t>Use of Improved Information Technology and Burden Reduction</w:t>
      </w:r>
    </w:p>
    <w:p w:rsidR="006A7C77" w:rsidRPr="00B35A23" w:rsidP="006A7C77" w14:paraId="23ED8615" w14:textId="77777777">
      <w:pPr>
        <w:rPr>
          <w:sz w:val="24"/>
          <w:szCs w:val="24"/>
        </w:rPr>
      </w:pPr>
    </w:p>
    <w:p w:rsidR="004D1E9E" w:rsidP="009C0EA2" w14:paraId="4EBAB5AF" w14:textId="36485F6B">
      <w:pPr>
        <w:pStyle w:val="BodyText"/>
        <w:spacing w:after="0"/>
        <w:contextualSpacing/>
        <w:rPr>
          <w:sz w:val="24"/>
          <w:szCs w:val="24"/>
        </w:rPr>
      </w:pPr>
      <w:r w:rsidRPr="00B35A23">
        <w:rPr>
          <w:sz w:val="24"/>
          <w:szCs w:val="24"/>
        </w:rPr>
        <w:t xml:space="preserve">Consistent with statutory requirements, registration is </w:t>
      </w:r>
      <w:r w:rsidRPr="00B35A23" w:rsidR="00882C06">
        <w:rPr>
          <w:sz w:val="24"/>
          <w:szCs w:val="24"/>
        </w:rPr>
        <w:t xml:space="preserve">completed electronically.  </w:t>
      </w:r>
      <w:r w:rsidRPr="00B35A23" w:rsidR="002C7CCC">
        <w:rPr>
          <w:sz w:val="24"/>
          <w:szCs w:val="24"/>
        </w:rPr>
        <w:t xml:space="preserve">Form FDA 3908 </w:t>
      </w:r>
      <w:r w:rsidRPr="00B35A23" w:rsidR="00FF7908">
        <w:rPr>
          <w:sz w:val="24"/>
          <w:szCs w:val="24"/>
        </w:rPr>
        <w:t xml:space="preserve">is </w:t>
      </w:r>
      <w:r w:rsidRPr="00B35A23" w:rsidR="002C7CCC">
        <w:rPr>
          <w:sz w:val="24"/>
          <w:szCs w:val="24"/>
        </w:rPr>
        <w:t xml:space="preserve">submitted via email to </w:t>
      </w:r>
      <w:hyperlink r:id="rId6" w:history="1">
        <w:r w:rsidRPr="00B35A23" w:rsidR="00596712">
          <w:rPr>
            <w:rStyle w:val="Hyperlink"/>
            <w:sz w:val="24"/>
            <w:szCs w:val="24"/>
          </w:rPr>
          <w:t>CDERCollections@fda.hhs.gov</w:t>
        </w:r>
      </w:hyperlink>
      <w:r w:rsidRPr="00B35A23" w:rsidR="002C7CCC">
        <w:rPr>
          <w:sz w:val="24"/>
          <w:szCs w:val="24"/>
        </w:rPr>
        <w:t xml:space="preserve"> with the subject line </w:t>
      </w:r>
      <w:r w:rsidRPr="00B80DFB" w:rsidR="002C7CCC">
        <w:rPr>
          <w:sz w:val="24"/>
          <w:szCs w:val="24"/>
        </w:rPr>
        <w:t>“</w:t>
      </w:r>
      <w:r w:rsidRPr="0049693B" w:rsidR="002C7CCC">
        <w:rPr>
          <w:iCs/>
          <w:sz w:val="24"/>
          <w:szCs w:val="24"/>
        </w:rPr>
        <w:t>Outsourcing Facility Small Business Reduction Request</w:t>
      </w:r>
      <w:r w:rsidRPr="00B80DFB" w:rsidR="002C7CCC">
        <w:rPr>
          <w:sz w:val="24"/>
          <w:szCs w:val="24"/>
        </w:rPr>
        <w:t>.”</w:t>
      </w:r>
      <w:r w:rsidRPr="00B35A23" w:rsidR="002C7CCC">
        <w:rPr>
          <w:sz w:val="24"/>
          <w:szCs w:val="24"/>
        </w:rPr>
        <w:t xml:space="preserve">  When disputes arise between an outsourcing facility and FDA about an FDA decision related to the fee provisions of sections 503B and 744K of the </w:t>
      </w:r>
      <w:r w:rsidRPr="00B35A23" w:rsidR="005B1859">
        <w:rPr>
          <w:sz w:val="24"/>
          <w:szCs w:val="24"/>
        </w:rPr>
        <w:t>FD&amp;C Act</w:t>
      </w:r>
      <w:r w:rsidRPr="00B35A23" w:rsidR="002C7CCC">
        <w:rPr>
          <w:sz w:val="24"/>
          <w:szCs w:val="24"/>
        </w:rPr>
        <w:t>, the outsourcing facility may request a reconsideration of that decision</w:t>
      </w:r>
      <w:r w:rsidRPr="00B35A23" w:rsidR="00694B9D">
        <w:rPr>
          <w:sz w:val="24"/>
          <w:szCs w:val="24"/>
        </w:rPr>
        <w:t xml:space="preserve"> by </w:t>
      </w:r>
      <w:r w:rsidRPr="00B35A23" w:rsidR="00F457E5">
        <w:rPr>
          <w:sz w:val="24"/>
          <w:szCs w:val="24"/>
        </w:rPr>
        <w:t xml:space="preserve">directing reconsideration requests </w:t>
      </w:r>
      <w:r w:rsidR="00991ADC">
        <w:rPr>
          <w:sz w:val="24"/>
          <w:szCs w:val="24"/>
        </w:rPr>
        <w:t xml:space="preserve">via email </w:t>
      </w:r>
      <w:r w:rsidRPr="00B35A23" w:rsidR="00F457E5">
        <w:rPr>
          <w:sz w:val="24"/>
          <w:szCs w:val="24"/>
        </w:rPr>
        <w:t xml:space="preserve">to </w:t>
      </w:r>
      <w:r w:rsidRPr="00B35A23" w:rsidR="002C7CCC">
        <w:rPr>
          <w:sz w:val="24"/>
          <w:szCs w:val="24"/>
        </w:rPr>
        <w:t xml:space="preserve">the Director of the Division of User Fee Management and Budget Formulation at </w:t>
      </w:r>
      <w:hyperlink r:id="rId6" w:history="1">
        <w:r w:rsidRPr="00B35A23" w:rsidR="00596712">
          <w:rPr>
            <w:rStyle w:val="Hyperlink"/>
            <w:sz w:val="24"/>
            <w:szCs w:val="24"/>
          </w:rPr>
          <w:t>CDERCollections@fda.hhs.gov</w:t>
        </w:r>
      </w:hyperlink>
      <w:r w:rsidRPr="00B35A23" w:rsidR="002C7CCC">
        <w:rPr>
          <w:sz w:val="24"/>
          <w:szCs w:val="24"/>
        </w:rPr>
        <w:t xml:space="preserve"> with the subject </w:t>
      </w:r>
      <w:r w:rsidR="00991ADC">
        <w:rPr>
          <w:sz w:val="24"/>
          <w:szCs w:val="24"/>
        </w:rPr>
        <w:t>line</w:t>
      </w:r>
      <w:r w:rsidRPr="00B35A23" w:rsidR="002C7CCC">
        <w:rPr>
          <w:sz w:val="24"/>
          <w:szCs w:val="24"/>
        </w:rPr>
        <w:t xml:space="preserve"> </w:t>
      </w:r>
      <w:r w:rsidRPr="00991ADC" w:rsidR="002C7CCC">
        <w:rPr>
          <w:sz w:val="24"/>
          <w:szCs w:val="24"/>
        </w:rPr>
        <w:t>“</w:t>
      </w:r>
      <w:r w:rsidRPr="0049693B" w:rsidR="002C7CCC">
        <w:rPr>
          <w:iCs/>
          <w:sz w:val="24"/>
          <w:szCs w:val="24"/>
        </w:rPr>
        <w:t>Request for Reconsideration of</w:t>
      </w:r>
      <w:r w:rsidR="002C54D0">
        <w:rPr>
          <w:iCs/>
          <w:sz w:val="24"/>
          <w:szCs w:val="24"/>
        </w:rPr>
        <w:t xml:space="preserve"> agency</w:t>
      </w:r>
      <w:r w:rsidRPr="0049693B" w:rsidR="002C7CCC">
        <w:rPr>
          <w:iCs/>
          <w:sz w:val="24"/>
          <w:szCs w:val="24"/>
        </w:rPr>
        <w:t xml:space="preserve"> Decision–Outsourcing Facility Fee Determination</w:t>
      </w:r>
      <w:r w:rsidRPr="00B35A23" w:rsidR="002C7CCC">
        <w:rPr>
          <w:sz w:val="24"/>
          <w:szCs w:val="24"/>
        </w:rPr>
        <w:t>.”</w:t>
      </w:r>
      <w:r w:rsidR="009C0EA2">
        <w:rPr>
          <w:sz w:val="24"/>
          <w:szCs w:val="24"/>
        </w:rPr>
        <w:t xml:space="preserve">  </w:t>
      </w:r>
      <w:r w:rsidRPr="00F545BE" w:rsidR="009C0EA2">
        <w:rPr>
          <w:sz w:val="24"/>
          <w:szCs w:val="24"/>
        </w:rPr>
        <w:t xml:space="preserve">If an outsourcing facility does not have email access, it can mail a request to FDA via the carrier of </w:t>
      </w:r>
      <w:r w:rsidRPr="00F545BE" w:rsidR="009C0EA2">
        <w:rPr>
          <w:sz w:val="24"/>
          <w:szCs w:val="24"/>
        </w:rPr>
        <w:t xml:space="preserve">its choice. </w:t>
      </w:r>
      <w:r w:rsidR="009A0073">
        <w:rPr>
          <w:sz w:val="24"/>
          <w:szCs w:val="24"/>
        </w:rPr>
        <w:t xml:space="preserve"> </w:t>
      </w:r>
      <w:r w:rsidRPr="00F545BE" w:rsidR="009C0EA2">
        <w:rPr>
          <w:sz w:val="24"/>
          <w:szCs w:val="24"/>
        </w:rPr>
        <w:t xml:space="preserve">For the most updated physical mailing address, visit this website: </w:t>
      </w:r>
      <w:hyperlink r:id="rId11" w:history="1">
        <w:r w:rsidRPr="009F15B8" w:rsidR="009C0EA2">
          <w:rPr>
            <w:rStyle w:val="Hyperlink"/>
            <w:sz w:val="24"/>
            <w:szCs w:val="24"/>
          </w:rPr>
          <w:t>http://www.fda.gov/aboutfda/centersoffices/officeofmedicalproductsandtobacco/cder/ucm382846.htm</w:t>
        </w:r>
      </w:hyperlink>
      <w:r w:rsidRPr="00F545BE" w:rsidR="009C0EA2">
        <w:rPr>
          <w:sz w:val="24"/>
          <w:szCs w:val="24"/>
        </w:rPr>
        <w:t>.</w:t>
      </w:r>
      <w:r w:rsidR="009C0EA2">
        <w:rPr>
          <w:sz w:val="24"/>
          <w:szCs w:val="24"/>
        </w:rPr>
        <w:t xml:space="preserve">  </w:t>
      </w:r>
      <w:r w:rsidRPr="00B35A23" w:rsidR="002C7CCC">
        <w:rPr>
          <w:sz w:val="24"/>
          <w:szCs w:val="24"/>
        </w:rPr>
        <w:t xml:space="preserve">If a request is denied upon reconsideration, the outsourcing facility may choose to appeal the denial.  </w:t>
      </w:r>
      <w:r w:rsidRPr="00B35A23" w:rsidR="00F457E5">
        <w:rPr>
          <w:sz w:val="24"/>
          <w:szCs w:val="24"/>
        </w:rPr>
        <w:t>R</w:t>
      </w:r>
      <w:r w:rsidRPr="00B35A23" w:rsidR="002C7CCC">
        <w:rPr>
          <w:sz w:val="24"/>
          <w:szCs w:val="24"/>
        </w:rPr>
        <w:t xml:space="preserve">equests for appeals should be submitted </w:t>
      </w:r>
      <w:r w:rsidR="00991ADC">
        <w:rPr>
          <w:sz w:val="24"/>
          <w:szCs w:val="24"/>
        </w:rPr>
        <w:t xml:space="preserve">via email </w:t>
      </w:r>
      <w:r w:rsidRPr="00B35A23" w:rsidR="002C7CCC">
        <w:rPr>
          <w:sz w:val="24"/>
          <w:szCs w:val="24"/>
        </w:rPr>
        <w:t xml:space="preserve">to the Director of CDER’s Office of Management at </w:t>
      </w:r>
      <w:hyperlink r:id="rId6" w:history="1">
        <w:r w:rsidRPr="00B35A23" w:rsidR="002317C6">
          <w:rPr>
            <w:rStyle w:val="Hyperlink"/>
            <w:sz w:val="24"/>
            <w:szCs w:val="24"/>
          </w:rPr>
          <w:t>CDERCollections@fda.hhs.gov</w:t>
        </w:r>
      </w:hyperlink>
      <w:r w:rsidRPr="00B35A23" w:rsidR="002317C6">
        <w:rPr>
          <w:sz w:val="24"/>
          <w:szCs w:val="24"/>
          <w:u w:val="single"/>
        </w:rPr>
        <w:t xml:space="preserve"> </w:t>
      </w:r>
      <w:r w:rsidRPr="00B35A23" w:rsidR="002C7CCC">
        <w:rPr>
          <w:sz w:val="24"/>
          <w:szCs w:val="24"/>
        </w:rPr>
        <w:t xml:space="preserve">with the subject </w:t>
      </w:r>
      <w:r w:rsidR="00991ADC">
        <w:rPr>
          <w:sz w:val="24"/>
          <w:szCs w:val="24"/>
        </w:rPr>
        <w:t>line</w:t>
      </w:r>
      <w:r w:rsidRPr="00B35A23" w:rsidR="002C7CCC">
        <w:rPr>
          <w:sz w:val="24"/>
          <w:szCs w:val="24"/>
        </w:rPr>
        <w:t xml:space="preserve"> </w:t>
      </w:r>
      <w:r w:rsidRPr="00B45FB0" w:rsidR="002C7CCC">
        <w:rPr>
          <w:sz w:val="24"/>
          <w:szCs w:val="24"/>
        </w:rPr>
        <w:t>“</w:t>
      </w:r>
      <w:r w:rsidRPr="0049693B" w:rsidR="002C7CCC">
        <w:rPr>
          <w:iCs/>
          <w:sz w:val="24"/>
          <w:szCs w:val="24"/>
        </w:rPr>
        <w:t>Appeal of</w:t>
      </w:r>
      <w:r w:rsidR="002C54D0">
        <w:rPr>
          <w:iCs/>
          <w:sz w:val="24"/>
          <w:szCs w:val="24"/>
        </w:rPr>
        <w:t xml:space="preserve"> agency</w:t>
      </w:r>
      <w:r w:rsidRPr="0049693B" w:rsidR="002C7CCC">
        <w:rPr>
          <w:iCs/>
          <w:sz w:val="24"/>
          <w:szCs w:val="24"/>
        </w:rPr>
        <w:t>’s Decision at Reconsideration–Outsourcing Facility Fee Determination</w:t>
      </w:r>
      <w:r w:rsidRPr="00B45FB0" w:rsidR="002C7CCC">
        <w:rPr>
          <w:iCs/>
          <w:sz w:val="24"/>
          <w:szCs w:val="24"/>
        </w:rPr>
        <w:t>.”</w:t>
      </w:r>
      <w:r w:rsidRPr="00B35A23" w:rsidR="00032437">
        <w:rPr>
          <w:sz w:val="24"/>
          <w:szCs w:val="24"/>
        </w:rPr>
        <w:t xml:space="preserve">  These instructions are included in the referenced guidance documents developed to assist respondents with information collection.</w:t>
      </w:r>
    </w:p>
    <w:p w:rsidR="00E278C9" w:rsidRPr="00B35A23" w14:paraId="0E23B3FB" w14:textId="77777777">
      <w:pPr>
        <w:rPr>
          <w:sz w:val="24"/>
          <w:szCs w:val="24"/>
        </w:rPr>
      </w:pPr>
    </w:p>
    <w:p w:rsidR="006A7C77" w:rsidRPr="00B35A23" w:rsidP="006A7C77" w14:paraId="20307FBD" w14:textId="5AAA34DC">
      <w:pPr>
        <w:rPr>
          <w:sz w:val="24"/>
          <w:szCs w:val="24"/>
        </w:rPr>
      </w:pPr>
      <w:r w:rsidRPr="00B35A23">
        <w:rPr>
          <w:sz w:val="24"/>
          <w:szCs w:val="24"/>
        </w:rPr>
        <w:t xml:space="preserve">4.  </w:t>
      </w:r>
      <w:r w:rsidRPr="00B35A23">
        <w:rPr>
          <w:sz w:val="24"/>
          <w:szCs w:val="24"/>
          <w:u w:val="single"/>
        </w:rPr>
        <w:t>Efforts to Identif</w:t>
      </w:r>
      <w:r w:rsidRPr="00396E52">
        <w:rPr>
          <w:sz w:val="24"/>
          <w:szCs w:val="24"/>
          <w:u w:val="single"/>
        </w:rPr>
        <w:t>y Duplication</w:t>
      </w:r>
      <w:r w:rsidRPr="00B35A23">
        <w:rPr>
          <w:sz w:val="24"/>
          <w:szCs w:val="24"/>
          <w:u w:val="single"/>
        </w:rPr>
        <w:t xml:space="preserve"> and Use of Similar Information</w:t>
      </w:r>
    </w:p>
    <w:p w:rsidR="006A7C77" w:rsidRPr="00B35A23" w:rsidP="006A7C77" w14:paraId="7FA13CD7" w14:textId="77777777">
      <w:pPr>
        <w:rPr>
          <w:sz w:val="24"/>
          <w:szCs w:val="24"/>
        </w:rPr>
      </w:pPr>
    </w:p>
    <w:p w:rsidR="006A7C77" w:rsidRPr="00B35A23" w:rsidP="006A7C77" w14:paraId="67A7F35F" w14:textId="71AEB954">
      <w:pPr>
        <w:rPr>
          <w:sz w:val="24"/>
          <w:szCs w:val="24"/>
        </w:rPr>
      </w:pPr>
      <w:r w:rsidRPr="00B35A23">
        <w:rPr>
          <w:sz w:val="24"/>
          <w:szCs w:val="24"/>
        </w:rPr>
        <w:t xml:space="preserve">We are unaware of duplicative information collection.  </w:t>
      </w:r>
    </w:p>
    <w:p w:rsidR="006A7C77" w:rsidP="006A7C77" w14:paraId="313079AD" w14:textId="4497A54D">
      <w:pPr>
        <w:rPr>
          <w:sz w:val="24"/>
          <w:szCs w:val="24"/>
        </w:rPr>
      </w:pPr>
    </w:p>
    <w:p w:rsidR="006A7C77" w:rsidRPr="00B35A23" w:rsidP="006A7C77" w14:paraId="2BB8A67C" w14:textId="77777777">
      <w:pPr>
        <w:rPr>
          <w:sz w:val="24"/>
          <w:szCs w:val="24"/>
        </w:rPr>
      </w:pPr>
      <w:r w:rsidRPr="00B35A23">
        <w:rPr>
          <w:sz w:val="24"/>
          <w:szCs w:val="24"/>
        </w:rPr>
        <w:t xml:space="preserve">5.  </w:t>
      </w:r>
      <w:r w:rsidRPr="00B35A23">
        <w:rPr>
          <w:sz w:val="24"/>
          <w:szCs w:val="24"/>
          <w:u w:val="single"/>
        </w:rPr>
        <w:t>Impact on Small Businesses or Other Small Entities</w:t>
      </w:r>
    </w:p>
    <w:p w:rsidR="006A7C77" w:rsidRPr="00B35A23" w:rsidP="006A7C77" w14:paraId="65D7A535" w14:textId="021AE975">
      <w:pPr>
        <w:rPr>
          <w:sz w:val="24"/>
          <w:szCs w:val="24"/>
        </w:rPr>
      </w:pPr>
    </w:p>
    <w:p w:rsidR="006A7C77" w:rsidRPr="00B35A23" w:rsidP="006A7C77" w14:paraId="1CE9CB02" w14:textId="5D7AE626">
      <w:pPr>
        <w:rPr>
          <w:sz w:val="24"/>
          <w:szCs w:val="24"/>
        </w:rPr>
      </w:pPr>
      <w:r w:rsidRPr="00B35A23">
        <w:rPr>
          <w:sz w:val="24"/>
          <w:szCs w:val="24"/>
        </w:rPr>
        <w:t xml:space="preserve">No undue burden is imposed on small entities.  </w:t>
      </w:r>
      <w:r w:rsidRPr="00B35A23" w:rsidR="0007479E">
        <w:rPr>
          <w:sz w:val="24"/>
          <w:szCs w:val="24"/>
        </w:rPr>
        <w:t>We estimate</w:t>
      </w:r>
      <w:r w:rsidRPr="00B35A23">
        <w:rPr>
          <w:sz w:val="24"/>
          <w:szCs w:val="24"/>
        </w:rPr>
        <w:t xml:space="preserve"> 32% of outsourcing facilities </w:t>
      </w:r>
      <w:r w:rsidRPr="00B35A23">
        <w:rPr>
          <w:sz w:val="24"/>
          <w:szCs w:val="24"/>
        </w:rPr>
        <w:t xml:space="preserve">may qualify as </w:t>
      </w:r>
      <w:r w:rsidRPr="00B35A23" w:rsidR="0007479E">
        <w:rPr>
          <w:sz w:val="24"/>
          <w:szCs w:val="24"/>
        </w:rPr>
        <w:t>small businesses</w:t>
      </w:r>
      <w:r w:rsidRPr="00B35A23" w:rsidR="00EB22BF">
        <w:rPr>
          <w:sz w:val="24"/>
          <w:szCs w:val="24"/>
        </w:rPr>
        <w:t xml:space="preserve">.  </w:t>
      </w:r>
      <w:r w:rsidRPr="00B35A23" w:rsidR="002C7CCC">
        <w:rPr>
          <w:sz w:val="24"/>
          <w:szCs w:val="24"/>
        </w:rPr>
        <w:t xml:space="preserve">Entities that qualify as small businesses under section 744K(c)(4) of the </w:t>
      </w:r>
      <w:r w:rsidRPr="00B35A23" w:rsidR="008C3CAA">
        <w:rPr>
          <w:sz w:val="24"/>
          <w:szCs w:val="24"/>
        </w:rPr>
        <w:t>F</w:t>
      </w:r>
      <w:r w:rsidRPr="00B35A23" w:rsidR="003A6E4E">
        <w:rPr>
          <w:sz w:val="24"/>
          <w:szCs w:val="24"/>
        </w:rPr>
        <w:t>D&amp;C Act</w:t>
      </w:r>
      <w:r w:rsidRPr="00B35A23" w:rsidR="002C7CCC">
        <w:rPr>
          <w:sz w:val="24"/>
          <w:szCs w:val="24"/>
        </w:rPr>
        <w:t xml:space="preserve"> are required to pay only one-third of the annual establishment fee</w:t>
      </w:r>
      <w:r w:rsidRPr="00591EC0" w:rsidR="002C7CCC">
        <w:rPr>
          <w:sz w:val="24"/>
          <w:szCs w:val="24"/>
        </w:rPr>
        <w:t>.</w:t>
      </w:r>
      <w:r w:rsidRPr="00591EC0" w:rsidR="003A6E4E">
        <w:rPr>
          <w:sz w:val="24"/>
          <w:szCs w:val="24"/>
        </w:rPr>
        <w:t xml:space="preserve">  At the same time, we </w:t>
      </w:r>
      <w:r w:rsidRPr="00591EC0" w:rsidR="00543E00">
        <w:rPr>
          <w:sz w:val="24"/>
          <w:szCs w:val="24"/>
        </w:rPr>
        <w:t xml:space="preserve">provide </w:t>
      </w:r>
      <w:r w:rsidRPr="00591EC0" w:rsidR="003A6E4E">
        <w:rPr>
          <w:sz w:val="24"/>
          <w:szCs w:val="24"/>
        </w:rPr>
        <w:t xml:space="preserve">small businesses </w:t>
      </w:r>
      <w:r w:rsidRPr="00591EC0" w:rsidR="00543E00">
        <w:rPr>
          <w:sz w:val="24"/>
          <w:szCs w:val="24"/>
        </w:rPr>
        <w:t xml:space="preserve">with assistance </w:t>
      </w:r>
      <w:r w:rsidRPr="00591EC0" w:rsidR="003A6E4E">
        <w:rPr>
          <w:sz w:val="24"/>
          <w:szCs w:val="24"/>
        </w:rPr>
        <w:t xml:space="preserve">through resources available at </w:t>
      </w:r>
      <w:hyperlink r:id="rId12" w:history="1">
        <w:r w:rsidRPr="00591EC0" w:rsidR="00E65DFD">
          <w:rPr>
            <w:rStyle w:val="Hyperlink"/>
            <w:sz w:val="24"/>
            <w:szCs w:val="24"/>
          </w:rPr>
          <w:t>https://www.fda.gov/industry/small-business-assistance</w:t>
        </w:r>
      </w:hyperlink>
      <w:r w:rsidRPr="00591EC0" w:rsidR="00D23286">
        <w:rPr>
          <w:sz w:val="24"/>
          <w:szCs w:val="24"/>
        </w:rPr>
        <w:t>.</w:t>
      </w:r>
    </w:p>
    <w:p w:rsidR="002C7CCC" w:rsidP="006A7C77" w14:paraId="501DBCA7" w14:textId="5463668F">
      <w:pPr>
        <w:rPr>
          <w:sz w:val="24"/>
          <w:szCs w:val="24"/>
        </w:rPr>
      </w:pPr>
    </w:p>
    <w:p w:rsidR="006A7C77" w:rsidRPr="00B35A23" w:rsidP="006A7C77" w14:paraId="39CB006C" w14:textId="4613983F">
      <w:pPr>
        <w:rPr>
          <w:sz w:val="24"/>
          <w:szCs w:val="24"/>
        </w:rPr>
      </w:pPr>
      <w:r w:rsidRPr="00B35A23">
        <w:rPr>
          <w:sz w:val="24"/>
          <w:szCs w:val="24"/>
        </w:rPr>
        <w:t xml:space="preserve">6.  </w:t>
      </w:r>
      <w:r w:rsidRPr="00B35A23">
        <w:rPr>
          <w:sz w:val="24"/>
          <w:szCs w:val="24"/>
          <w:u w:val="single"/>
        </w:rPr>
        <w:t>Consequences of Collecting the Information Less Frequently</w:t>
      </w:r>
    </w:p>
    <w:p w:rsidR="006A7C77" w:rsidRPr="00B35A23" w:rsidP="006A7C77" w14:paraId="3BDBF0B9" w14:textId="77777777">
      <w:pPr>
        <w:rPr>
          <w:sz w:val="24"/>
          <w:szCs w:val="24"/>
        </w:rPr>
      </w:pPr>
    </w:p>
    <w:p w:rsidR="006A7C77" w:rsidRPr="00B35A23" w:rsidP="006A7C77" w14:paraId="7FAEB99A" w14:textId="30DDA611">
      <w:pPr>
        <w:rPr>
          <w:sz w:val="24"/>
          <w:szCs w:val="24"/>
        </w:rPr>
      </w:pPr>
      <w:r w:rsidRPr="00B35A23">
        <w:rPr>
          <w:sz w:val="24"/>
          <w:szCs w:val="24"/>
        </w:rPr>
        <w:t>The information collection schedule is consistent with statutory requirements.</w:t>
      </w:r>
    </w:p>
    <w:p w:rsidR="005D5BA0" w:rsidP="006A7C77" w14:paraId="6D134553" w14:textId="3FAD3B02">
      <w:pPr>
        <w:rPr>
          <w:sz w:val="24"/>
          <w:szCs w:val="24"/>
        </w:rPr>
      </w:pPr>
    </w:p>
    <w:p w:rsidR="006A7C77" w:rsidRPr="00B35A23" w:rsidP="006A7C77" w14:paraId="17576F13" w14:textId="77777777">
      <w:pPr>
        <w:rPr>
          <w:sz w:val="24"/>
          <w:szCs w:val="24"/>
        </w:rPr>
      </w:pPr>
      <w:r w:rsidRPr="00B35A23">
        <w:rPr>
          <w:sz w:val="24"/>
          <w:szCs w:val="24"/>
        </w:rPr>
        <w:t xml:space="preserve">7.  </w:t>
      </w:r>
      <w:r w:rsidRPr="00B35A23">
        <w:rPr>
          <w:sz w:val="24"/>
          <w:szCs w:val="24"/>
          <w:u w:val="single"/>
        </w:rPr>
        <w:t>Special Circumstances Relating to the Guidelines in 5 CFR 1320.5</w:t>
      </w:r>
    </w:p>
    <w:p w:rsidR="00EB22BF" w:rsidRPr="00B35A23" w:rsidP="006A7C77" w14:paraId="104CF15D" w14:textId="77777777">
      <w:pPr>
        <w:rPr>
          <w:sz w:val="24"/>
          <w:szCs w:val="24"/>
        </w:rPr>
      </w:pPr>
    </w:p>
    <w:p w:rsidR="006A7C77" w:rsidRPr="00B35A23" w:rsidP="006A7C77" w14:paraId="72D43EDE" w14:textId="77777777">
      <w:pPr>
        <w:rPr>
          <w:sz w:val="24"/>
          <w:szCs w:val="24"/>
        </w:rPr>
      </w:pPr>
      <w:r w:rsidRPr="00B35A23">
        <w:rPr>
          <w:sz w:val="24"/>
          <w:szCs w:val="24"/>
        </w:rPr>
        <w:t>There are no special circumstances relating to this information collection</w:t>
      </w:r>
      <w:r w:rsidRPr="003C0C5A">
        <w:rPr>
          <w:sz w:val="24"/>
          <w:szCs w:val="24"/>
        </w:rPr>
        <w:t>.  (The submission of proprietary, trade secret, or other confidential information is addressed under section 10 below).</w:t>
      </w:r>
    </w:p>
    <w:p w:rsidR="00EB22BF" w:rsidP="006A7C77" w14:paraId="537CD2CB" w14:textId="55CF6166">
      <w:pPr>
        <w:rPr>
          <w:sz w:val="24"/>
          <w:szCs w:val="24"/>
        </w:rPr>
      </w:pPr>
    </w:p>
    <w:p w:rsidR="006A7C77" w:rsidRPr="00B35A23" w:rsidP="0049693B" w14:paraId="76AF913B" w14:textId="2CA0835C">
      <w:pPr>
        <w:ind w:left="331" w:hanging="331"/>
        <w:rPr>
          <w:sz w:val="24"/>
          <w:szCs w:val="24"/>
        </w:rPr>
      </w:pPr>
      <w:r w:rsidRPr="00B35A23">
        <w:rPr>
          <w:sz w:val="24"/>
          <w:szCs w:val="24"/>
        </w:rPr>
        <w:t xml:space="preserve">8.  </w:t>
      </w:r>
      <w:r w:rsidRPr="00B35A23">
        <w:rPr>
          <w:sz w:val="24"/>
          <w:szCs w:val="24"/>
          <w:u w:val="single"/>
        </w:rPr>
        <w:t xml:space="preserve">Comments in Response to the </w:t>
      </w:r>
      <w:r w:rsidRPr="00660DAE">
        <w:rPr>
          <w:sz w:val="24"/>
          <w:szCs w:val="24"/>
          <w:u w:val="single"/>
        </w:rPr>
        <w:t>Federal Register</w:t>
      </w:r>
      <w:r w:rsidRPr="00B35A23">
        <w:rPr>
          <w:sz w:val="24"/>
          <w:szCs w:val="24"/>
          <w:u w:val="single"/>
        </w:rPr>
        <w:t xml:space="preserve"> Notice and Efforts to Consult Outside the</w:t>
      </w:r>
      <w:r w:rsidR="002C54D0">
        <w:rPr>
          <w:sz w:val="24"/>
          <w:szCs w:val="24"/>
          <w:u w:val="single"/>
        </w:rPr>
        <w:t xml:space="preserve"> agency</w:t>
      </w:r>
    </w:p>
    <w:p w:rsidR="00E0773C" w:rsidRPr="00B35A23" w:rsidP="006A7C77" w14:paraId="48637C52" w14:textId="77777777">
      <w:pPr>
        <w:rPr>
          <w:sz w:val="24"/>
          <w:szCs w:val="24"/>
        </w:rPr>
      </w:pPr>
    </w:p>
    <w:p w:rsidR="00E0773C" w:rsidRPr="00B35A23" w:rsidP="00E0773C" w14:paraId="2BA5213E" w14:textId="3D4DEBAE">
      <w:pPr>
        <w:rPr>
          <w:sz w:val="24"/>
          <w:szCs w:val="24"/>
        </w:rPr>
      </w:pPr>
      <w:r w:rsidRPr="00B35A23">
        <w:rPr>
          <w:sz w:val="24"/>
          <w:szCs w:val="24"/>
        </w:rPr>
        <w:t xml:space="preserve">In accordance with 5 CFR 1320.8(d), </w:t>
      </w:r>
      <w:r w:rsidRPr="00B35A23" w:rsidR="009E748E">
        <w:rPr>
          <w:sz w:val="24"/>
          <w:szCs w:val="24"/>
        </w:rPr>
        <w:t>we published a 60-day notice</w:t>
      </w:r>
      <w:r w:rsidRPr="00B35A23" w:rsidR="001C113F">
        <w:rPr>
          <w:sz w:val="24"/>
          <w:szCs w:val="24"/>
        </w:rPr>
        <w:t xml:space="preserve"> in the </w:t>
      </w:r>
      <w:r w:rsidRPr="0049693B" w:rsidR="001C113F">
        <w:rPr>
          <w:i/>
          <w:iCs/>
          <w:sz w:val="24"/>
          <w:szCs w:val="24"/>
        </w:rPr>
        <w:t>Federal Register</w:t>
      </w:r>
      <w:r w:rsidRPr="00B35A23" w:rsidR="009E748E">
        <w:rPr>
          <w:sz w:val="24"/>
          <w:szCs w:val="24"/>
        </w:rPr>
        <w:t xml:space="preserve"> </w:t>
      </w:r>
      <w:r w:rsidR="002F5E71">
        <w:rPr>
          <w:sz w:val="24"/>
          <w:szCs w:val="24"/>
        </w:rPr>
        <w:t xml:space="preserve">of </w:t>
      </w:r>
      <w:r w:rsidR="007E5BCE">
        <w:rPr>
          <w:sz w:val="24"/>
          <w:szCs w:val="24"/>
        </w:rPr>
        <w:t>August 15, 2023 (88 FR 55464</w:t>
      </w:r>
      <w:r w:rsidR="008769AF">
        <w:rPr>
          <w:sz w:val="24"/>
          <w:szCs w:val="24"/>
        </w:rPr>
        <w:t xml:space="preserve">) </w:t>
      </w:r>
      <w:r w:rsidRPr="00B35A23" w:rsidR="009E748E">
        <w:rPr>
          <w:sz w:val="24"/>
          <w:szCs w:val="24"/>
        </w:rPr>
        <w:t>requesting public comment on the proposed collection of information.  No comments were received.</w:t>
      </w:r>
    </w:p>
    <w:p w:rsidR="00E278C9" w14:paraId="3D5B4ECA" w14:textId="127D9874">
      <w:pPr>
        <w:rPr>
          <w:sz w:val="24"/>
          <w:szCs w:val="24"/>
        </w:rPr>
      </w:pPr>
    </w:p>
    <w:p w:rsidR="006A7C77" w:rsidRPr="00B35A23" w:rsidP="006A7C77" w14:paraId="08006448" w14:textId="77777777">
      <w:pPr>
        <w:rPr>
          <w:sz w:val="24"/>
          <w:szCs w:val="24"/>
        </w:rPr>
      </w:pPr>
      <w:r w:rsidRPr="00B35A23">
        <w:rPr>
          <w:sz w:val="24"/>
          <w:szCs w:val="24"/>
        </w:rPr>
        <w:t xml:space="preserve">9.  </w:t>
      </w:r>
      <w:r w:rsidRPr="00B35A23">
        <w:rPr>
          <w:sz w:val="24"/>
          <w:szCs w:val="24"/>
          <w:u w:val="single"/>
        </w:rPr>
        <w:t>Explanation of Any Payment or</w:t>
      </w:r>
      <w:r w:rsidRPr="00B35A23">
        <w:rPr>
          <w:sz w:val="24"/>
          <w:szCs w:val="24"/>
          <w:u w:val="single"/>
        </w:rPr>
        <w:t xml:space="preserve"> Gift to </w:t>
      </w:r>
      <w:r w:rsidRPr="00B35A23">
        <w:rPr>
          <w:sz w:val="24"/>
          <w:szCs w:val="24"/>
          <w:u w:val="single"/>
        </w:rPr>
        <w:t>Respondents</w:t>
      </w:r>
    </w:p>
    <w:p w:rsidR="00E0773C" w:rsidRPr="00B35A23" w:rsidP="006A7C77" w14:paraId="1213CAE4" w14:textId="77777777">
      <w:pPr>
        <w:rPr>
          <w:sz w:val="24"/>
          <w:szCs w:val="24"/>
        </w:rPr>
      </w:pPr>
    </w:p>
    <w:p w:rsidR="006A7C77" w:rsidP="006A7C77" w14:paraId="1C5B512A" w14:textId="38A21CA9">
      <w:pPr>
        <w:rPr>
          <w:sz w:val="24"/>
          <w:szCs w:val="24"/>
        </w:rPr>
      </w:pPr>
      <w:r w:rsidRPr="00F91B38">
        <w:rPr>
          <w:sz w:val="24"/>
          <w:szCs w:val="24"/>
        </w:rPr>
        <w:t>There are no incentives, payments or gifts associated with this information collection</w:t>
      </w:r>
      <w:r w:rsidRPr="006969EF" w:rsidR="005D5BA0">
        <w:rPr>
          <w:sz w:val="24"/>
          <w:szCs w:val="24"/>
        </w:rPr>
        <w:t>.</w:t>
      </w:r>
    </w:p>
    <w:p w:rsidR="00E0773C" w:rsidRPr="00B35A23" w:rsidP="006A7C77" w14:paraId="764584E8" w14:textId="77777777">
      <w:pPr>
        <w:rPr>
          <w:sz w:val="24"/>
          <w:szCs w:val="24"/>
        </w:rPr>
      </w:pPr>
    </w:p>
    <w:p w:rsidR="002C54D0" w14:paraId="7509839C" w14:textId="77777777">
      <w:pPr>
        <w:rPr>
          <w:sz w:val="24"/>
          <w:szCs w:val="24"/>
        </w:rPr>
      </w:pPr>
      <w:r>
        <w:rPr>
          <w:sz w:val="24"/>
          <w:szCs w:val="24"/>
        </w:rPr>
        <w:br w:type="page"/>
      </w:r>
    </w:p>
    <w:p w:rsidR="006A7C77" w:rsidRPr="00B35A23" w:rsidP="006A7C77" w14:paraId="6408B183" w14:textId="5664D343">
      <w:pPr>
        <w:rPr>
          <w:sz w:val="24"/>
          <w:szCs w:val="24"/>
        </w:rPr>
      </w:pPr>
      <w:r w:rsidRPr="00B35A23">
        <w:rPr>
          <w:sz w:val="24"/>
          <w:szCs w:val="24"/>
        </w:rPr>
        <w:t xml:space="preserve">10.  </w:t>
      </w:r>
      <w:r w:rsidRPr="00B35A23">
        <w:rPr>
          <w:sz w:val="24"/>
          <w:szCs w:val="24"/>
          <w:u w:val="single"/>
        </w:rPr>
        <w:t>Assurance of Confidentiality Provided to Respondents</w:t>
      </w:r>
    </w:p>
    <w:p w:rsidR="00E0773C" w:rsidRPr="00B35A23" w:rsidP="006A7C77" w14:paraId="3C8EEAE5" w14:textId="77777777">
      <w:pPr>
        <w:rPr>
          <w:sz w:val="24"/>
          <w:szCs w:val="24"/>
        </w:rPr>
      </w:pPr>
    </w:p>
    <w:p w:rsidR="00B84A26" w:rsidRPr="00B84A26" w:rsidP="00B84A26" w14:paraId="438D14A9" w14:textId="77777777">
      <w:pPr>
        <w:rPr>
          <w:b/>
          <w:bCs/>
          <w:sz w:val="24"/>
          <w:szCs w:val="24"/>
        </w:rPr>
      </w:pPr>
      <w:r w:rsidRPr="00B84A26">
        <w:rPr>
          <w:b/>
          <w:bCs/>
          <w:sz w:val="24"/>
          <w:szCs w:val="24"/>
        </w:rPr>
        <w:t>Consistent with 5 CFR 1320.5(d)(2)(vii), data will be kept private to the extent allowed by law:</w:t>
      </w:r>
    </w:p>
    <w:p w:rsidR="00B84A26" w:rsidP="00064EAD" w14:paraId="6B15EF60" w14:textId="77777777">
      <w:pPr>
        <w:rPr>
          <w:sz w:val="24"/>
          <w:szCs w:val="24"/>
        </w:rPr>
      </w:pPr>
    </w:p>
    <w:p w:rsidR="002C54D0" w:rsidRPr="002C54D0" w:rsidP="00064EAD" w14:paraId="2F332C6C" w14:textId="525D947A">
      <w:pPr>
        <w:rPr>
          <w:i/>
          <w:iCs/>
          <w:sz w:val="24"/>
          <w:szCs w:val="24"/>
        </w:rPr>
      </w:pPr>
      <w:r w:rsidRPr="002C54D0">
        <w:rPr>
          <w:i/>
          <w:iCs/>
          <w:sz w:val="24"/>
          <w:szCs w:val="24"/>
        </w:rPr>
        <w:t>The Privacy Act of 1974</w:t>
      </w:r>
    </w:p>
    <w:p w:rsidR="002C54D0" w:rsidP="00064EAD" w14:paraId="6D8787FD" w14:textId="77777777">
      <w:pPr>
        <w:rPr>
          <w:sz w:val="24"/>
          <w:szCs w:val="24"/>
        </w:rPr>
      </w:pPr>
    </w:p>
    <w:p w:rsidR="00064EAD" w:rsidRPr="00064EAD" w:rsidP="00064EAD" w14:paraId="40960C11" w14:textId="593BFDE1">
      <w:pPr>
        <w:rPr>
          <w:sz w:val="24"/>
          <w:szCs w:val="24"/>
        </w:rPr>
      </w:pPr>
      <w:r w:rsidRPr="00064EAD">
        <w:rPr>
          <w:sz w:val="24"/>
          <w:szCs w:val="24"/>
        </w:rPr>
        <w:t>In preparing this Supporting Statement, we consulted our Privacy Office to ensure appropriate identification and handling of information collected.</w:t>
      </w:r>
    </w:p>
    <w:p w:rsidR="00064EAD" w:rsidRPr="00064EAD" w:rsidP="00064EAD" w14:paraId="5759AFBB" w14:textId="77777777">
      <w:pPr>
        <w:rPr>
          <w:sz w:val="24"/>
          <w:szCs w:val="24"/>
        </w:rPr>
      </w:pPr>
    </w:p>
    <w:p w:rsidR="00064EAD" w:rsidP="00064EAD" w14:paraId="26B784AF" w14:textId="0378DA4B">
      <w:pPr>
        <w:rPr>
          <w:sz w:val="24"/>
          <w:szCs w:val="24"/>
        </w:rPr>
      </w:pPr>
      <w:r w:rsidRPr="00064EAD">
        <w:rPr>
          <w:sz w:val="24"/>
          <w:szCs w:val="24"/>
        </w:rPr>
        <w:t>This ICR collects personally identifiable information (PII).  PII is collected in the context of the subject individuals’ professional capacity and the FDA-related work they perform for their employer (e.g., point of contact at a regulated entity).  The PII submitted via Form FDA 3908 (Outsourcing Facilities for Human Drug Compounding Small Business Establishment Fee Reduction Request) is point of contact name, work phone number, and work email address. FDA determined that although PII is collected, the collection is not subject to the Privacy Act of 1974 and the particular notice and other requirements of the Act do not apply. Specifically, the contractor or FDA does not use name or any other personal identifier to retrieve records from the information collected. Through appropriate form and webpage design, FDA limited submission fields and minimized the PII collected to protect the privacy of the individuals.</w:t>
      </w:r>
    </w:p>
    <w:p w:rsidR="002C54D0" w:rsidP="00064EAD" w14:paraId="4E5B1994" w14:textId="17F134A9">
      <w:pPr>
        <w:rPr>
          <w:sz w:val="24"/>
          <w:szCs w:val="24"/>
        </w:rPr>
      </w:pPr>
    </w:p>
    <w:p w:rsidR="002C54D0" w:rsidRPr="002C54D0" w:rsidP="00064EAD" w14:paraId="1B7DEE78" w14:textId="73A6A996">
      <w:pPr>
        <w:rPr>
          <w:i/>
          <w:iCs/>
          <w:sz w:val="24"/>
          <w:szCs w:val="24"/>
        </w:rPr>
      </w:pPr>
      <w:r w:rsidRPr="002C54D0">
        <w:rPr>
          <w:i/>
          <w:iCs/>
          <w:sz w:val="24"/>
          <w:szCs w:val="24"/>
        </w:rPr>
        <w:t>The Freedom of Information Act (FOIA)</w:t>
      </w:r>
    </w:p>
    <w:p w:rsidR="00064EAD" w:rsidRPr="00064EAD" w:rsidP="00064EAD" w14:paraId="6969E8B1" w14:textId="77777777">
      <w:pPr>
        <w:rPr>
          <w:sz w:val="24"/>
          <w:szCs w:val="24"/>
        </w:rPr>
      </w:pPr>
    </w:p>
    <w:p w:rsidR="00064EAD" w:rsidRPr="00064EAD" w:rsidP="00064EAD" w14:paraId="1F10B435" w14:textId="77777777">
      <w:pPr>
        <w:rPr>
          <w:sz w:val="24"/>
          <w:szCs w:val="24"/>
        </w:rPr>
      </w:pPr>
      <w:r w:rsidRPr="00064EAD">
        <w:rPr>
          <w:sz w:val="24"/>
          <w:szCs w:val="24"/>
        </w:rPr>
        <w:t>Under the Freedom of Information Act (FOIA) (5 U.S.C. 552), the public has broad access to government documents. However, FOIA provides certain exemptions from mandatory public disclosure of government records (5 U.S.C. 552(b)(1-9)).  FDA will make the fullest possible disclosure of records to the public, consistent with the rights of individuals to privacy, the property rights of persons in trade and confidential commercial or financial information.</w:t>
      </w:r>
    </w:p>
    <w:p w:rsidR="007171A2" w:rsidP="006A7C77" w14:paraId="7C32EEDD" w14:textId="77777777">
      <w:pPr>
        <w:rPr>
          <w:sz w:val="24"/>
          <w:szCs w:val="24"/>
        </w:rPr>
      </w:pPr>
    </w:p>
    <w:p w:rsidR="006A7C77" w:rsidRPr="00B35A23" w:rsidP="006A7C77" w14:paraId="59573305" w14:textId="45522A70">
      <w:pPr>
        <w:rPr>
          <w:sz w:val="24"/>
          <w:szCs w:val="24"/>
        </w:rPr>
      </w:pPr>
      <w:r w:rsidRPr="00B35A23">
        <w:rPr>
          <w:sz w:val="24"/>
          <w:szCs w:val="24"/>
        </w:rPr>
        <w:t xml:space="preserve">11.  </w:t>
      </w:r>
      <w:r w:rsidRPr="00B35A23">
        <w:rPr>
          <w:sz w:val="24"/>
          <w:szCs w:val="24"/>
          <w:u w:val="single"/>
        </w:rPr>
        <w:t>Justification for Sensitive Questions</w:t>
      </w:r>
    </w:p>
    <w:p w:rsidR="00E0773C" w:rsidRPr="00B35A23" w:rsidP="006A7C77" w14:paraId="014D303F" w14:textId="77777777">
      <w:pPr>
        <w:rPr>
          <w:sz w:val="24"/>
          <w:szCs w:val="24"/>
        </w:rPr>
      </w:pPr>
    </w:p>
    <w:p w:rsidR="0079189D" w14:paraId="4821E507" w14:textId="21DE6425">
      <w:pPr>
        <w:rPr>
          <w:sz w:val="24"/>
          <w:szCs w:val="24"/>
        </w:rPr>
      </w:pPr>
      <w:r w:rsidRPr="00F91B38">
        <w:rPr>
          <w:sz w:val="24"/>
          <w:szCs w:val="24"/>
        </w:rPr>
        <w:t xml:space="preserve">The collection of information does not involve sensitive </w:t>
      </w:r>
      <w:r w:rsidRPr="00F736A7">
        <w:rPr>
          <w:sz w:val="24"/>
          <w:szCs w:val="24"/>
        </w:rPr>
        <w:t>questions</w:t>
      </w:r>
      <w:r w:rsidRPr="00C727DF" w:rsidR="006A7C77">
        <w:rPr>
          <w:sz w:val="24"/>
          <w:szCs w:val="24"/>
        </w:rPr>
        <w:t>.</w:t>
      </w:r>
    </w:p>
    <w:p w:rsidR="00E0773C" w:rsidP="006A7C77" w14:paraId="595711B5" w14:textId="77777777">
      <w:pPr>
        <w:rPr>
          <w:sz w:val="24"/>
          <w:szCs w:val="24"/>
        </w:rPr>
      </w:pPr>
    </w:p>
    <w:p w:rsidR="002C54D0" w:rsidP="002C54D0" w14:paraId="4C011316" w14:textId="77777777">
      <w:pPr>
        <w:jc w:val="center"/>
        <w:rPr>
          <w:sz w:val="24"/>
          <w:szCs w:val="24"/>
        </w:rPr>
      </w:pPr>
    </w:p>
    <w:p w:rsidR="002C54D0" w:rsidP="002C54D0" w14:paraId="7B0DD18C" w14:textId="0399B981">
      <w:pPr>
        <w:jc w:val="center"/>
        <w:rPr>
          <w:sz w:val="24"/>
          <w:szCs w:val="24"/>
        </w:rPr>
      </w:pPr>
    </w:p>
    <w:p w:rsidR="002C54D0" w:rsidP="002C54D0" w14:paraId="406B0F99" w14:textId="5169795F">
      <w:pPr>
        <w:jc w:val="center"/>
        <w:rPr>
          <w:sz w:val="24"/>
          <w:szCs w:val="24"/>
        </w:rPr>
      </w:pPr>
      <w:r w:rsidRPr="002C54D0">
        <w:rPr>
          <w:noProof/>
          <w:sz w:val="24"/>
          <w:szCs w:val="24"/>
        </w:rPr>
        <mc:AlternateContent>
          <mc:Choice Requires="wps">
            <w:drawing>
              <wp:anchor distT="45720" distB="45720" distL="114300" distR="114300" simplePos="0" relativeHeight="251658240" behindDoc="0" locked="0" layoutInCell="1" allowOverlap="1">
                <wp:simplePos x="0" y="0"/>
                <wp:positionH relativeFrom="margin">
                  <wp:posOffset>381000</wp:posOffset>
                </wp:positionH>
                <wp:positionV relativeFrom="paragraph">
                  <wp:posOffset>14605</wp:posOffset>
                </wp:positionV>
                <wp:extent cx="5242560" cy="502920"/>
                <wp:effectExtent l="0" t="0" r="15240" b="11430"/>
                <wp:wrapSquare wrapText="bothSides"/>
                <wp:docPr id="217"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242560" cy="502920"/>
                        </a:xfrm>
                        <a:prstGeom prst="rect">
                          <a:avLst/>
                        </a:prstGeom>
                        <a:solidFill>
                          <a:srgbClr val="FFFFFF"/>
                        </a:solidFill>
                        <a:ln w="9525">
                          <a:solidFill>
                            <a:srgbClr val="000000"/>
                          </a:solidFill>
                          <a:miter lim="800000"/>
                          <a:headEnd/>
                          <a:tailEnd/>
                        </a:ln>
                      </wps:spPr>
                      <wps:txbx>
                        <w:txbxContent>
                          <w:p w:rsidR="002C54D0" w:rsidP="002C54D0" w14:textId="66FA1835">
                            <w:pPr>
                              <w:jc w:val="center"/>
                              <w:rPr>
                                <w:sz w:val="24"/>
                                <w:szCs w:val="24"/>
                              </w:rPr>
                            </w:pPr>
                            <w:r>
                              <w:rPr>
                                <w:sz w:val="24"/>
                                <w:szCs w:val="24"/>
                              </w:rPr>
                              <w:t>SUMMARY BURDEN TABLE NEXT PAGE</w:t>
                            </w:r>
                          </w:p>
                          <w:p w:rsidR="002C54D0" w:rsidP="002C54D0" w14:textId="326BA733">
                            <w:pPr>
                              <w:jc w:val="center"/>
                            </w:pP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12.8pt;height:39.6pt;margin-top:1.15pt;margin-left:30pt;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59264">
                <v:textbox>
                  <w:txbxContent>
                    <w:p w:rsidR="002C54D0" w:rsidP="002C54D0" w14:paraId="3CE22786" w14:textId="66FA1835">
                      <w:pPr>
                        <w:jc w:val="center"/>
                        <w:rPr>
                          <w:sz w:val="24"/>
                          <w:szCs w:val="24"/>
                        </w:rPr>
                      </w:pPr>
                      <w:r>
                        <w:rPr>
                          <w:sz w:val="24"/>
                          <w:szCs w:val="24"/>
                        </w:rPr>
                        <w:t>SUMMARY BURDEN TABLE NEXT PAGE</w:t>
                      </w:r>
                    </w:p>
                    <w:p w:rsidR="002C54D0" w:rsidP="002C54D0" w14:paraId="6E13D1FB" w14:textId="326BA733">
                      <w:pPr>
                        <w:jc w:val="center"/>
                      </w:pPr>
                    </w:p>
                  </w:txbxContent>
                </v:textbox>
                <w10:wrap type="square"/>
              </v:shape>
            </w:pict>
          </mc:Fallback>
        </mc:AlternateContent>
      </w:r>
    </w:p>
    <w:p w:rsidR="002C54D0" w:rsidP="002C54D0" w14:paraId="12D9D4AA" w14:textId="77777777">
      <w:pPr>
        <w:jc w:val="center"/>
        <w:rPr>
          <w:sz w:val="24"/>
          <w:szCs w:val="24"/>
        </w:rPr>
      </w:pPr>
    </w:p>
    <w:p w:rsidR="002C54D0" w14:paraId="4D15EAE6" w14:textId="0DC1462F">
      <w:pPr>
        <w:rPr>
          <w:sz w:val="24"/>
          <w:szCs w:val="24"/>
        </w:rPr>
      </w:pPr>
    </w:p>
    <w:p w:rsidR="002C54D0" w14:paraId="4AAE3D69" w14:textId="0FF0B2EA">
      <w:pPr>
        <w:rPr>
          <w:sz w:val="24"/>
          <w:szCs w:val="24"/>
        </w:rPr>
      </w:pPr>
    </w:p>
    <w:p w:rsidR="002C54D0" w14:paraId="200C6D5D" w14:textId="17CC3EA9">
      <w:pPr>
        <w:rPr>
          <w:sz w:val="24"/>
          <w:szCs w:val="24"/>
        </w:rPr>
      </w:pPr>
    </w:p>
    <w:p w:rsidR="002C54D0" w14:paraId="118CA3E0" w14:textId="5B7790FB">
      <w:pPr>
        <w:rPr>
          <w:sz w:val="24"/>
          <w:szCs w:val="24"/>
        </w:rPr>
      </w:pPr>
    </w:p>
    <w:p w:rsidR="002C54D0" w14:paraId="67035009" w14:textId="05225FBD">
      <w:pPr>
        <w:rPr>
          <w:sz w:val="24"/>
          <w:szCs w:val="24"/>
        </w:rPr>
      </w:pPr>
    </w:p>
    <w:p w:rsidR="002C54D0" w14:paraId="12BF77D5" w14:textId="77777777">
      <w:pPr>
        <w:rPr>
          <w:sz w:val="24"/>
          <w:szCs w:val="24"/>
        </w:rPr>
      </w:pPr>
    </w:p>
    <w:p w:rsidR="002C54D0" w14:paraId="5E7D9263" w14:textId="6264D5C3">
      <w:pPr>
        <w:rPr>
          <w:sz w:val="24"/>
          <w:szCs w:val="24"/>
        </w:rPr>
      </w:pPr>
      <w:r>
        <w:rPr>
          <w:sz w:val="24"/>
          <w:szCs w:val="24"/>
        </w:rPr>
        <w:br w:type="page"/>
      </w:r>
    </w:p>
    <w:p w:rsidR="006A7C77" w:rsidRPr="00B35A23" w:rsidP="006A7C77" w14:paraId="16AB5490" w14:textId="2663D20A">
      <w:pPr>
        <w:rPr>
          <w:sz w:val="24"/>
          <w:szCs w:val="24"/>
        </w:rPr>
      </w:pPr>
      <w:r w:rsidRPr="00B35A23">
        <w:rPr>
          <w:sz w:val="24"/>
          <w:szCs w:val="24"/>
        </w:rPr>
        <w:t xml:space="preserve">12.  </w:t>
      </w:r>
      <w:r w:rsidRPr="00B35A23">
        <w:rPr>
          <w:sz w:val="24"/>
          <w:szCs w:val="24"/>
          <w:u w:val="single"/>
        </w:rPr>
        <w:t>Estimates of Annualized Burden Hours and Costs</w:t>
      </w:r>
    </w:p>
    <w:p w:rsidR="00E0773C" w:rsidRPr="00B35A23" w:rsidP="006A7C77" w14:paraId="45D7C8C1" w14:textId="77777777">
      <w:pPr>
        <w:rPr>
          <w:sz w:val="24"/>
          <w:szCs w:val="24"/>
        </w:rPr>
      </w:pPr>
    </w:p>
    <w:p w:rsidR="001F5C67" w:rsidRPr="002C54D0" w:rsidP="00FD4782" w14:paraId="023D6B4C" w14:textId="5BF2FC72">
      <w:pPr>
        <w:ind w:left="450"/>
        <w:rPr>
          <w:i/>
          <w:iCs/>
          <w:sz w:val="24"/>
          <w:szCs w:val="24"/>
        </w:rPr>
      </w:pPr>
      <w:r w:rsidRPr="002C54D0">
        <w:rPr>
          <w:i/>
          <w:iCs/>
          <w:sz w:val="24"/>
          <w:szCs w:val="24"/>
        </w:rPr>
        <w:t>12a.  Annualized Hour Burden Estimate</w:t>
      </w:r>
    </w:p>
    <w:p w:rsidR="002C54D0" w:rsidRPr="00AF3852" w:rsidP="00FD4782" w14:paraId="13CB8453" w14:textId="77777777">
      <w:pPr>
        <w:ind w:left="450"/>
        <w:rPr>
          <w:i/>
          <w:sz w:val="24"/>
          <w:szCs w:val="24"/>
        </w:rPr>
      </w:pPr>
    </w:p>
    <w:p w:rsidR="00567341" w:rsidRPr="00FD4782" w:rsidP="00567341" w14:paraId="6D83A195" w14:textId="068A0465">
      <w:pPr>
        <w:pStyle w:val="BodyText"/>
        <w:keepNext/>
        <w:spacing w:after="0"/>
        <w:ind w:firstLine="720"/>
        <w:contextualSpacing/>
        <w:jc w:val="center"/>
        <w:rPr>
          <w:sz w:val="22"/>
          <w:szCs w:val="22"/>
          <w:vertAlign w:val="superscript"/>
        </w:rPr>
      </w:pPr>
      <w:r w:rsidRPr="00FD4782">
        <w:rPr>
          <w:sz w:val="22"/>
          <w:szCs w:val="22"/>
        </w:rPr>
        <w:t>Table 1.--Estimated Annual Reporting Burden</w:t>
      </w:r>
      <w:r w:rsidRPr="00FD4782">
        <w:rPr>
          <w:sz w:val="22"/>
          <w:szCs w:val="22"/>
          <w:vertAlign w:val="superscript"/>
        </w:rPr>
        <w:t>1</w:t>
      </w:r>
    </w:p>
    <w:tbl>
      <w:tblPr>
        <w:tblStyle w:val="TableGrid"/>
        <w:tblW w:w="9604" w:type="dxa"/>
        <w:tblInd w:w="-5" w:type="dxa"/>
        <w:tblLayout w:type="fixed"/>
        <w:tblLook w:val="04A0"/>
      </w:tblPr>
      <w:tblGrid>
        <w:gridCol w:w="3780"/>
        <w:gridCol w:w="1260"/>
        <w:gridCol w:w="1440"/>
        <w:gridCol w:w="1080"/>
        <w:gridCol w:w="1260"/>
        <w:gridCol w:w="784"/>
      </w:tblGrid>
      <w:tr w14:paraId="13F7BC89" w14:textId="77777777" w:rsidTr="002C54D0">
        <w:tblPrEx>
          <w:tblW w:w="9604" w:type="dxa"/>
          <w:tblInd w:w="-5" w:type="dxa"/>
          <w:tblLayout w:type="fixed"/>
          <w:tblLook w:val="04A0"/>
        </w:tblPrEx>
        <w:trPr>
          <w:trHeight w:val="300"/>
          <w:tblHeader/>
        </w:trPr>
        <w:tc>
          <w:tcPr>
            <w:tcW w:w="3780" w:type="dxa"/>
            <w:tcBorders>
              <w:top w:val="single" w:sz="4" w:space="0" w:color="auto"/>
            </w:tcBorders>
          </w:tcPr>
          <w:p w:rsidR="005E485A" w:rsidRPr="00293F15" w:rsidP="00C31EC7" w14:paraId="5026C4C9" w14:textId="77777777">
            <w:pPr>
              <w:keepNext/>
              <w:autoSpaceDE w:val="0"/>
              <w:autoSpaceDN w:val="0"/>
              <w:adjustRightInd w:val="0"/>
              <w:contextualSpacing/>
            </w:pPr>
            <w:r w:rsidRPr="00293F15">
              <w:t xml:space="preserve">Reporting Activity; CFR citation, Guidance or Associated Form </w:t>
            </w:r>
          </w:p>
        </w:tc>
        <w:tc>
          <w:tcPr>
            <w:tcW w:w="1260" w:type="dxa"/>
            <w:tcBorders>
              <w:top w:val="single" w:sz="4" w:space="0" w:color="auto"/>
            </w:tcBorders>
          </w:tcPr>
          <w:p w:rsidR="005E485A" w:rsidRPr="00293F15" w:rsidP="00C31EC7" w14:paraId="7A582F54" w14:textId="77777777">
            <w:pPr>
              <w:pStyle w:val="BodyText"/>
              <w:keepNext/>
              <w:spacing w:after="0"/>
              <w:contextualSpacing/>
              <w:jc w:val="center"/>
            </w:pPr>
            <w:r w:rsidRPr="00293F15">
              <w:t>No. of Respondents</w:t>
            </w:r>
          </w:p>
        </w:tc>
        <w:tc>
          <w:tcPr>
            <w:tcW w:w="1440" w:type="dxa"/>
            <w:tcBorders>
              <w:top w:val="single" w:sz="4" w:space="0" w:color="auto"/>
            </w:tcBorders>
          </w:tcPr>
          <w:p w:rsidR="005E485A" w:rsidRPr="00293F15" w:rsidP="00C31EC7" w14:paraId="241CA154" w14:textId="77777777">
            <w:pPr>
              <w:pStyle w:val="BodyText"/>
              <w:keepNext/>
              <w:spacing w:after="0"/>
              <w:contextualSpacing/>
              <w:jc w:val="center"/>
            </w:pPr>
            <w:r w:rsidRPr="00293F15">
              <w:t>No. of Responses per Respondent</w:t>
            </w:r>
          </w:p>
        </w:tc>
        <w:tc>
          <w:tcPr>
            <w:tcW w:w="1080" w:type="dxa"/>
            <w:tcBorders>
              <w:top w:val="single" w:sz="4" w:space="0" w:color="auto"/>
            </w:tcBorders>
          </w:tcPr>
          <w:p w:rsidR="005E485A" w:rsidRPr="00293F15" w:rsidP="00C31EC7" w14:paraId="7965D812" w14:textId="77777777">
            <w:pPr>
              <w:pStyle w:val="BodyText"/>
              <w:keepNext/>
              <w:spacing w:after="0"/>
              <w:contextualSpacing/>
              <w:jc w:val="center"/>
            </w:pPr>
            <w:r w:rsidRPr="00293F15">
              <w:t>Total Annual Responses</w:t>
            </w:r>
          </w:p>
        </w:tc>
        <w:tc>
          <w:tcPr>
            <w:tcW w:w="1260" w:type="dxa"/>
            <w:tcBorders>
              <w:top w:val="single" w:sz="4" w:space="0" w:color="auto"/>
            </w:tcBorders>
          </w:tcPr>
          <w:p w:rsidR="005E485A" w:rsidRPr="00293F15" w:rsidP="00C31EC7" w14:paraId="531F3275" w14:textId="77777777">
            <w:pPr>
              <w:pStyle w:val="TableParagraph"/>
              <w:keepNext/>
              <w:contextualSpacing/>
              <w:jc w:val="center"/>
              <w:rPr>
                <w:rFonts w:ascii="Times New Roman" w:hAnsi="Times New Roman" w:cs="Times New Roman"/>
                <w:sz w:val="20"/>
                <w:szCs w:val="20"/>
              </w:rPr>
            </w:pPr>
            <w:r w:rsidRPr="00293F15">
              <w:rPr>
                <w:rFonts w:ascii="Times New Roman" w:hAnsi="Times New Roman" w:cs="Times New Roman"/>
                <w:sz w:val="20"/>
                <w:szCs w:val="20"/>
              </w:rPr>
              <w:t>Average Burden per Response</w:t>
            </w:r>
          </w:p>
        </w:tc>
        <w:tc>
          <w:tcPr>
            <w:tcW w:w="784" w:type="dxa"/>
            <w:tcBorders>
              <w:top w:val="single" w:sz="4" w:space="0" w:color="auto"/>
            </w:tcBorders>
          </w:tcPr>
          <w:p w:rsidR="005E485A" w:rsidRPr="00293F15" w:rsidP="00C31EC7" w14:paraId="6EDF9F86" w14:textId="77777777">
            <w:pPr>
              <w:pStyle w:val="BodyText"/>
              <w:keepNext/>
              <w:spacing w:after="0"/>
              <w:contextualSpacing/>
              <w:jc w:val="center"/>
            </w:pPr>
            <w:r w:rsidRPr="00293F15">
              <w:t>Total Hours</w:t>
            </w:r>
          </w:p>
        </w:tc>
      </w:tr>
      <w:tr w14:paraId="0CB39453" w14:textId="77777777" w:rsidTr="002C54D0">
        <w:tblPrEx>
          <w:tblW w:w="9604" w:type="dxa"/>
          <w:tblInd w:w="-5" w:type="dxa"/>
          <w:tblLayout w:type="fixed"/>
          <w:tblLook w:val="04A0"/>
        </w:tblPrEx>
        <w:trPr>
          <w:trHeight w:val="300"/>
          <w:tblHeader/>
        </w:trPr>
        <w:tc>
          <w:tcPr>
            <w:tcW w:w="3780" w:type="dxa"/>
            <w:tcBorders>
              <w:top w:val="single" w:sz="4" w:space="0" w:color="auto"/>
            </w:tcBorders>
          </w:tcPr>
          <w:p w:rsidR="005E485A" w:rsidRPr="00293F15" w:rsidP="00C31EC7" w14:paraId="22089A21" w14:textId="77777777">
            <w:pPr>
              <w:pStyle w:val="TableParagraph"/>
              <w:keepNext/>
              <w:rPr>
                <w:rFonts w:ascii="Times New Roman" w:hAnsi="Times New Roman" w:cs="Times New Roman"/>
                <w:sz w:val="20"/>
                <w:szCs w:val="20"/>
              </w:rPr>
            </w:pPr>
            <w:r w:rsidRPr="00293F15">
              <w:rPr>
                <w:rFonts w:ascii="Times New Roman" w:hAnsi="Times New Roman" w:cs="Times New Roman"/>
                <w:sz w:val="20"/>
                <w:szCs w:val="20"/>
              </w:rPr>
              <w:t>Electronic Submission of Registration Information Using the SPL Format; 21 CFR 207.61; Section III</w:t>
            </w:r>
            <w:r>
              <w:rPr>
                <w:rFonts w:ascii="Times New Roman" w:hAnsi="Times New Roman" w:cs="Times New Roman"/>
                <w:sz w:val="20"/>
                <w:szCs w:val="20"/>
              </w:rPr>
              <w:t>.</w:t>
            </w:r>
            <w:r w:rsidRPr="00293F15">
              <w:rPr>
                <w:rFonts w:ascii="Times New Roman" w:hAnsi="Times New Roman" w:cs="Times New Roman"/>
                <w:sz w:val="20"/>
                <w:szCs w:val="20"/>
              </w:rPr>
              <w:t xml:space="preserve"> of the eDRLS guidance </w:t>
            </w:r>
          </w:p>
        </w:tc>
        <w:tc>
          <w:tcPr>
            <w:tcW w:w="1260" w:type="dxa"/>
            <w:tcBorders>
              <w:top w:val="single" w:sz="4" w:space="0" w:color="auto"/>
            </w:tcBorders>
          </w:tcPr>
          <w:p w:rsidR="005E485A" w:rsidRPr="00293F15" w:rsidP="00C31EC7" w14:paraId="3F0DACF8" w14:textId="77777777">
            <w:pPr>
              <w:pStyle w:val="TableParagraph"/>
              <w:keepNext/>
              <w:ind w:right="77"/>
              <w:jc w:val="right"/>
              <w:rPr>
                <w:rFonts w:ascii="Times New Roman" w:hAnsi="Times New Roman" w:cs="Times New Roman"/>
                <w:sz w:val="20"/>
                <w:szCs w:val="20"/>
              </w:rPr>
            </w:pPr>
            <w:r w:rsidRPr="00293F15">
              <w:rPr>
                <w:rFonts w:ascii="Times New Roman" w:hAnsi="Times New Roman" w:cs="Times New Roman"/>
                <w:sz w:val="20"/>
                <w:szCs w:val="20"/>
              </w:rPr>
              <w:t>79</w:t>
            </w:r>
          </w:p>
        </w:tc>
        <w:tc>
          <w:tcPr>
            <w:tcW w:w="1440" w:type="dxa"/>
            <w:tcBorders>
              <w:top w:val="single" w:sz="4" w:space="0" w:color="auto"/>
            </w:tcBorders>
          </w:tcPr>
          <w:p w:rsidR="005E485A" w:rsidRPr="00293F15" w:rsidP="00C31EC7" w14:paraId="0AB17CCA" w14:textId="77777777">
            <w:pPr>
              <w:pStyle w:val="TableParagraph"/>
              <w:keepNext/>
              <w:ind w:right="77"/>
              <w:jc w:val="right"/>
              <w:rPr>
                <w:rFonts w:ascii="Times New Roman" w:hAnsi="Times New Roman" w:cs="Times New Roman"/>
                <w:sz w:val="20"/>
                <w:szCs w:val="20"/>
              </w:rPr>
            </w:pPr>
            <w:r w:rsidRPr="00293F15">
              <w:rPr>
                <w:rFonts w:ascii="Times New Roman" w:hAnsi="Times New Roman" w:cs="Times New Roman"/>
                <w:sz w:val="20"/>
                <w:szCs w:val="20"/>
              </w:rPr>
              <w:t>1</w:t>
            </w:r>
          </w:p>
        </w:tc>
        <w:tc>
          <w:tcPr>
            <w:tcW w:w="1080" w:type="dxa"/>
            <w:tcBorders>
              <w:top w:val="single" w:sz="4" w:space="0" w:color="auto"/>
            </w:tcBorders>
          </w:tcPr>
          <w:p w:rsidR="005E485A" w:rsidRPr="00293F15" w:rsidP="00C31EC7" w14:paraId="560D0AED" w14:textId="77777777">
            <w:pPr>
              <w:pStyle w:val="TableParagraph"/>
              <w:keepNext/>
              <w:ind w:right="78"/>
              <w:jc w:val="right"/>
              <w:rPr>
                <w:rFonts w:ascii="Times New Roman" w:hAnsi="Times New Roman" w:cs="Times New Roman"/>
                <w:sz w:val="20"/>
                <w:szCs w:val="20"/>
              </w:rPr>
            </w:pPr>
            <w:r w:rsidRPr="00293F15">
              <w:rPr>
                <w:rFonts w:ascii="Times New Roman" w:hAnsi="Times New Roman" w:cs="Times New Roman"/>
                <w:sz w:val="20"/>
                <w:szCs w:val="20"/>
              </w:rPr>
              <w:t>79</w:t>
            </w:r>
          </w:p>
        </w:tc>
        <w:tc>
          <w:tcPr>
            <w:tcW w:w="1260" w:type="dxa"/>
            <w:tcBorders>
              <w:top w:val="single" w:sz="4" w:space="0" w:color="auto"/>
            </w:tcBorders>
          </w:tcPr>
          <w:p w:rsidR="005E485A" w:rsidRPr="00293F15" w:rsidP="00C31EC7" w14:paraId="4D69131E" w14:textId="77777777">
            <w:pPr>
              <w:pStyle w:val="TableParagraph"/>
              <w:keepNext/>
              <w:ind w:left="80"/>
              <w:jc w:val="right"/>
              <w:rPr>
                <w:rFonts w:ascii="Times New Roman" w:hAnsi="Times New Roman" w:cs="Times New Roman"/>
                <w:sz w:val="20"/>
                <w:szCs w:val="20"/>
              </w:rPr>
            </w:pPr>
            <w:r w:rsidRPr="00293F15">
              <w:rPr>
                <w:rFonts w:ascii="Times New Roman" w:hAnsi="Times New Roman" w:cs="Times New Roman"/>
                <w:sz w:val="20"/>
                <w:szCs w:val="20"/>
              </w:rPr>
              <w:t>4.5</w:t>
            </w:r>
          </w:p>
        </w:tc>
        <w:tc>
          <w:tcPr>
            <w:tcW w:w="784" w:type="dxa"/>
            <w:tcBorders>
              <w:top w:val="single" w:sz="4" w:space="0" w:color="auto"/>
            </w:tcBorders>
          </w:tcPr>
          <w:p w:rsidR="005E485A" w:rsidRPr="00293F15" w:rsidP="00C31EC7" w14:paraId="530F4AC0" w14:textId="77777777">
            <w:pPr>
              <w:pStyle w:val="TableParagraph"/>
              <w:keepNext/>
              <w:jc w:val="right"/>
              <w:rPr>
                <w:rFonts w:ascii="Times New Roman" w:hAnsi="Times New Roman" w:cs="Times New Roman"/>
                <w:sz w:val="20"/>
                <w:szCs w:val="20"/>
              </w:rPr>
            </w:pPr>
            <w:r w:rsidRPr="00293F15">
              <w:rPr>
                <w:rFonts w:ascii="Times New Roman" w:hAnsi="Times New Roman" w:cs="Times New Roman"/>
                <w:sz w:val="20"/>
                <w:szCs w:val="20"/>
              </w:rPr>
              <w:t>355</w:t>
            </w:r>
          </w:p>
        </w:tc>
      </w:tr>
      <w:tr w14:paraId="7FBCB075" w14:textId="77777777" w:rsidTr="002C54D0">
        <w:tblPrEx>
          <w:tblW w:w="9604" w:type="dxa"/>
          <w:tblInd w:w="-5" w:type="dxa"/>
          <w:tblLayout w:type="fixed"/>
          <w:tblLook w:val="04A0"/>
        </w:tblPrEx>
        <w:trPr>
          <w:trHeight w:val="300"/>
          <w:tblHeader/>
        </w:trPr>
        <w:tc>
          <w:tcPr>
            <w:tcW w:w="3780" w:type="dxa"/>
            <w:tcBorders>
              <w:top w:val="single" w:sz="4" w:space="0" w:color="auto"/>
              <w:bottom w:val="single" w:sz="4" w:space="0" w:color="auto"/>
            </w:tcBorders>
          </w:tcPr>
          <w:p w:rsidR="005E485A" w:rsidRPr="00293F15" w:rsidP="00C31EC7" w14:paraId="604DEF32" w14:textId="77777777">
            <w:pPr>
              <w:pStyle w:val="TableParagraph"/>
              <w:keepNext/>
              <w:rPr>
                <w:rFonts w:ascii="Times New Roman" w:hAnsi="Times New Roman" w:cs="Times New Roman"/>
                <w:sz w:val="20"/>
                <w:szCs w:val="20"/>
              </w:rPr>
            </w:pPr>
            <w:r w:rsidRPr="00293F15">
              <w:rPr>
                <w:rFonts w:ascii="Times New Roman" w:hAnsi="Times New Roman" w:cs="Times New Roman"/>
                <w:sz w:val="20"/>
                <w:szCs w:val="20"/>
              </w:rPr>
              <w:t>Waiver Request from Electronic Submission of Registration Information; 21 CFR 207.65; Section VI</w:t>
            </w:r>
            <w:r>
              <w:rPr>
                <w:rFonts w:ascii="Times New Roman" w:hAnsi="Times New Roman" w:cs="Times New Roman"/>
                <w:sz w:val="20"/>
                <w:szCs w:val="20"/>
              </w:rPr>
              <w:t>.</w:t>
            </w:r>
            <w:r w:rsidRPr="00293F15">
              <w:rPr>
                <w:rFonts w:ascii="Times New Roman" w:hAnsi="Times New Roman" w:cs="Times New Roman"/>
                <w:sz w:val="20"/>
                <w:szCs w:val="20"/>
              </w:rPr>
              <w:t xml:space="preserve"> of the eDRLS guidance</w:t>
            </w:r>
          </w:p>
        </w:tc>
        <w:tc>
          <w:tcPr>
            <w:tcW w:w="1260" w:type="dxa"/>
            <w:tcBorders>
              <w:top w:val="single" w:sz="4" w:space="0" w:color="auto"/>
              <w:bottom w:val="single" w:sz="4" w:space="0" w:color="auto"/>
            </w:tcBorders>
          </w:tcPr>
          <w:p w:rsidR="005E485A" w:rsidRPr="00293F15" w:rsidP="00C31EC7" w14:paraId="28DE301A" w14:textId="77777777">
            <w:pPr>
              <w:pStyle w:val="BodyText"/>
              <w:keepNext/>
              <w:spacing w:after="0"/>
              <w:jc w:val="right"/>
            </w:pPr>
            <w:r w:rsidRPr="00293F15">
              <w:t>1</w:t>
            </w:r>
          </w:p>
        </w:tc>
        <w:tc>
          <w:tcPr>
            <w:tcW w:w="1440" w:type="dxa"/>
            <w:tcBorders>
              <w:top w:val="single" w:sz="4" w:space="0" w:color="auto"/>
              <w:bottom w:val="single" w:sz="4" w:space="0" w:color="auto"/>
            </w:tcBorders>
          </w:tcPr>
          <w:p w:rsidR="005E485A" w:rsidRPr="00293F15" w:rsidP="00C31EC7" w14:paraId="6EE80E3D" w14:textId="77777777">
            <w:pPr>
              <w:pStyle w:val="BodyText"/>
              <w:keepNext/>
              <w:spacing w:after="0"/>
              <w:jc w:val="right"/>
            </w:pPr>
            <w:r w:rsidRPr="00293F15">
              <w:t>1</w:t>
            </w:r>
          </w:p>
        </w:tc>
        <w:tc>
          <w:tcPr>
            <w:tcW w:w="1080" w:type="dxa"/>
            <w:tcBorders>
              <w:top w:val="single" w:sz="4" w:space="0" w:color="auto"/>
              <w:bottom w:val="single" w:sz="4" w:space="0" w:color="auto"/>
            </w:tcBorders>
          </w:tcPr>
          <w:p w:rsidR="005E485A" w:rsidRPr="00293F15" w:rsidP="00C31EC7" w14:paraId="57772E39" w14:textId="77777777">
            <w:pPr>
              <w:pStyle w:val="BodyText"/>
              <w:keepNext/>
              <w:spacing w:after="0"/>
              <w:jc w:val="right"/>
            </w:pPr>
            <w:r w:rsidRPr="00293F15">
              <w:t>1</w:t>
            </w:r>
          </w:p>
        </w:tc>
        <w:tc>
          <w:tcPr>
            <w:tcW w:w="1260" w:type="dxa"/>
            <w:tcBorders>
              <w:top w:val="single" w:sz="4" w:space="0" w:color="auto"/>
              <w:bottom w:val="single" w:sz="4" w:space="0" w:color="auto"/>
            </w:tcBorders>
          </w:tcPr>
          <w:p w:rsidR="005E485A" w:rsidRPr="00293F15" w:rsidP="00C31EC7" w14:paraId="1235287C" w14:textId="77777777">
            <w:pPr>
              <w:pStyle w:val="BodyText"/>
              <w:keepNext/>
              <w:spacing w:after="0"/>
              <w:jc w:val="right"/>
            </w:pPr>
            <w:r w:rsidRPr="00293F15">
              <w:t>1</w:t>
            </w:r>
          </w:p>
        </w:tc>
        <w:tc>
          <w:tcPr>
            <w:tcW w:w="784" w:type="dxa"/>
            <w:tcBorders>
              <w:top w:val="single" w:sz="4" w:space="0" w:color="auto"/>
              <w:bottom w:val="single" w:sz="4" w:space="0" w:color="auto"/>
            </w:tcBorders>
          </w:tcPr>
          <w:p w:rsidR="005E485A" w:rsidRPr="00293F15" w:rsidP="00C31EC7" w14:paraId="1C5EE67B" w14:textId="77777777">
            <w:pPr>
              <w:pStyle w:val="BodyText"/>
              <w:keepNext/>
              <w:spacing w:after="0"/>
              <w:jc w:val="right"/>
            </w:pPr>
            <w:r w:rsidRPr="00293F15">
              <w:t>1</w:t>
            </w:r>
          </w:p>
        </w:tc>
      </w:tr>
      <w:tr w14:paraId="71528159" w14:textId="77777777" w:rsidTr="002C54D0">
        <w:tblPrEx>
          <w:tblW w:w="9604" w:type="dxa"/>
          <w:tblInd w:w="-5" w:type="dxa"/>
          <w:tblLayout w:type="fixed"/>
          <w:tblLook w:val="04A0"/>
        </w:tblPrEx>
        <w:trPr>
          <w:trHeight w:val="300"/>
          <w:tblHeader/>
        </w:trPr>
        <w:tc>
          <w:tcPr>
            <w:tcW w:w="3780" w:type="dxa"/>
            <w:tcBorders>
              <w:top w:val="single" w:sz="4" w:space="0" w:color="auto"/>
              <w:bottom w:val="single" w:sz="4" w:space="0" w:color="auto"/>
            </w:tcBorders>
          </w:tcPr>
          <w:p w:rsidR="005E485A" w:rsidRPr="00293F15" w:rsidP="00C31EC7" w14:paraId="04CA660E" w14:textId="77777777">
            <w:pPr>
              <w:pStyle w:val="TableParagraph"/>
              <w:rPr>
                <w:rFonts w:ascii="Times New Roman" w:hAnsi="Times New Roman" w:cs="Times New Roman"/>
                <w:sz w:val="20"/>
                <w:szCs w:val="20"/>
              </w:rPr>
            </w:pPr>
            <w:r w:rsidRPr="00293F15">
              <w:rPr>
                <w:rFonts w:ascii="Times New Roman" w:hAnsi="Times New Roman" w:cs="Times New Roman"/>
                <w:sz w:val="20"/>
                <w:szCs w:val="20"/>
              </w:rPr>
              <w:t>Subtotal</w:t>
            </w:r>
          </w:p>
        </w:tc>
        <w:tc>
          <w:tcPr>
            <w:tcW w:w="1260" w:type="dxa"/>
            <w:tcBorders>
              <w:top w:val="single" w:sz="4" w:space="0" w:color="auto"/>
              <w:bottom w:val="single" w:sz="4" w:space="0" w:color="auto"/>
            </w:tcBorders>
          </w:tcPr>
          <w:p w:rsidR="005E485A" w:rsidRPr="00293F15" w:rsidP="00C31EC7" w14:paraId="63B9C9C7" w14:textId="77777777">
            <w:pPr>
              <w:pStyle w:val="BodyText"/>
              <w:spacing w:after="0"/>
              <w:jc w:val="right"/>
            </w:pPr>
          </w:p>
        </w:tc>
        <w:tc>
          <w:tcPr>
            <w:tcW w:w="1440" w:type="dxa"/>
            <w:tcBorders>
              <w:top w:val="single" w:sz="4" w:space="0" w:color="auto"/>
              <w:bottom w:val="single" w:sz="4" w:space="0" w:color="auto"/>
            </w:tcBorders>
          </w:tcPr>
          <w:p w:rsidR="005E485A" w:rsidRPr="00293F15" w:rsidP="00C31EC7" w14:paraId="697EB4F3" w14:textId="77777777">
            <w:pPr>
              <w:pStyle w:val="BodyText"/>
              <w:spacing w:after="0"/>
              <w:jc w:val="right"/>
            </w:pPr>
          </w:p>
        </w:tc>
        <w:tc>
          <w:tcPr>
            <w:tcW w:w="1080" w:type="dxa"/>
            <w:tcBorders>
              <w:top w:val="single" w:sz="4" w:space="0" w:color="auto"/>
              <w:bottom w:val="single" w:sz="4" w:space="0" w:color="auto"/>
            </w:tcBorders>
          </w:tcPr>
          <w:p w:rsidR="005E485A" w:rsidRPr="00293F15" w:rsidP="00C31EC7" w14:paraId="3CF0D06E" w14:textId="72C425DB">
            <w:pPr>
              <w:pStyle w:val="BodyText"/>
              <w:spacing w:after="0"/>
              <w:jc w:val="right"/>
            </w:pPr>
            <w:r>
              <w:t>80</w:t>
            </w:r>
          </w:p>
        </w:tc>
        <w:tc>
          <w:tcPr>
            <w:tcW w:w="1260" w:type="dxa"/>
            <w:tcBorders>
              <w:top w:val="single" w:sz="4" w:space="0" w:color="auto"/>
              <w:bottom w:val="single" w:sz="4" w:space="0" w:color="auto"/>
            </w:tcBorders>
          </w:tcPr>
          <w:p w:rsidR="005E485A" w:rsidRPr="00293F15" w:rsidP="00C31EC7" w14:paraId="7D78D2FD" w14:textId="77777777">
            <w:pPr>
              <w:pStyle w:val="BodyText"/>
              <w:spacing w:after="0"/>
              <w:jc w:val="right"/>
            </w:pPr>
          </w:p>
        </w:tc>
        <w:tc>
          <w:tcPr>
            <w:tcW w:w="784" w:type="dxa"/>
            <w:tcBorders>
              <w:top w:val="single" w:sz="4" w:space="0" w:color="auto"/>
              <w:bottom w:val="single" w:sz="4" w:space="0" w:color="auto"/>
            </w:tcBorders>
          </w:tcPr>
          <w:p w:rsidR="005E485A" w:rsidRPr="00293F15" w:rsidP="00C31EC7" w14:paraId="1F433B9C" w14:textId="3B931B21">
            <w:pPr>
              <w:pStyle w:val="BodyText"/>
              <w:spacing w:after="0"/>
              <w:jc w:val="right"/>
            </w:pPr>
            <w:r>
              <w:t>356</w:t>
            </w:r>
          </w:p>
        </w:tc>
      </w:tr>
      <w:tr w14:paraId="531A9996" w14:textId="77777777" w:rsidTr="002C54D0">
        <w:tblPrEx>
          <w:tblW w:w="9604" w:type="dxa"/>
          <w:tblInd w:w="-5" w:type="dxa"/>
          <w:tblLayout w:type="fixed"/>
          <w:tblLook w:val="04A0"/>
        </w:tblPrEx>
        <w:trPr>
          <w:trHeight w:val="300"/>
          <w:tblHeader/>
        </w:trPr>
        <w:tc>
          <w:tcPr>
            <w:tcW w:w="3780" w:type="dxa"/>
            <w:tcBorders>
              <w:top w:val="single" w:sz="4" w:space="0" w:color="auto"/>
              <w:bottom w:val="single" w:sz="4" w:space="0" w:color="auto"/>
            </w:tcBorders>
          </w:tcPr>
          <w:p w:rsidR="005E485A" w:rsidRPr="00293F15" w:rsidP="00C31EC7" w14:paraId="05391D96" w14:textId="77777777">
            <w:pPr>
              <w:pStyle w:val="TableParagraph"/>
              <w:rPr>
                <w:rFonts w:ascii="Times New Roman" w:hAnsi="Times New Roman" w:cs="Times New Roman"/>
                <w:sz w:val="20"/>
                <w:szCs w:val="20"/>
              </w:rPr>
            </w:pPr>
            <w:r w:rsidRPr="00293F15">
              <w:rPr>
                <w:rFonts w:ascii="Times New Roman" w:hAnsi="Times New Roman" w:cs="Times New Roman"/>
                <w:sz w:val="20"/>
                <w:szCs w:val="20"/>
              </w:rPr>
              <w:t>Remission of Annual Establishment Fee from FDA Invoice;</w:t>
            </w:r>
            <w:r>
              <w:rPr>
                <w:rFonts w:ascii="Times New Roman" w:hAnsi="Times New Roman" w:cs="Times New Roman"/>
                <w:sz w:val="20"/>
                <w:szCs w:val="20"/>
              </w:rPr>
              <w:t xml:space="preserve"> Section E.1. of the</w:t>
            </w:r>
            <w:r w:rsidRPr="00293F15">
              <w:rPr>
                <w:rFonts w:ascii="Times New Roman" w:hAnsi="Times New Roman" w:cs="Times New Roman"/>
                <w:sz w:val="20"/>
                <w:szCs w:val="20"/>
              </w:rPr>
              <w:t xml:space="preserve"> Fees for Human Drug Compounding Outsourcing Facilities guidance</w:t>
            </w:r>
          </w:p>
        </w:tc>
        <w:tc>
          <w:tcPr>
            <w:tcW w:w="1260" w:type="dxa"/>
            <w:tcBorders>
              <w:top w:val="single" w:sz="4" w:space="0" w:color="auto"/>
              <w:bottom w:val="single" w:sz="4" w:space="0" w:color="auto"/>
            </w:tcBorders>
          </w:tcPr>
          <w:p w:rsidR="005E485A" w:rsidRPr="00293F15" w:rsidP="00C31EC7" w14:paraId="7B30A67B" w14:textId="77777777">
            <w:pPr>
              <w:pStyle w:val="BodyText"/>
              <w:spacing w:after="0"/>
              <w:jc w:val="right"/>
            </w:pPr>
            <w:r w:rsidRPr="00293F15">
              <w:t>76</w:t>
            </w:r>
          </w:p>
        </w:tc>
        <w:tc>
          <w:tcPr>
            <w:tcW w:w="1440" w:type="dxa"/>
            <w:tcBorders>
              <w:top w:val="single" w:sz="4" w:space="0" w:color="auto"/>
              <w:bottom w:val="single" w:sz="4" w:space="0" w:color="auto"/>
            </w:tcBorders>
          </w:tcPr>
          <w:p w:rsidR="005E485A" w:rsidRPr="00293F15" w:rsidP="00C31EC7" w14:paraId="146FB638" w14:textId="77777777">
            <w:pPr>
              <w:pStyle w:val="BodyText"/>
              <w:spacing w:after="0"/>
              <w:jc w:val="right"/>
            </w:pPr>
            <w:r w:rsidRPr="00293F15">
              <w:t>1</w:t>
            </w:r>
          </w:p>
        </w:tc>
        <w:tc>
          <w:tcPr>
            <w:tcW w:w="1080" w:type="dxa"/>
            <w:tcBorders>
              <w:top w:val="single" w:sz="4" w:space="0" w:color="auto"/>
              <w:bottom w:val="single" w:sz="4" w:space="0" w:color="auto"/>
            </w:tcBorders>
          </w:tcPr>
          <w:p w:rsidR="005E485A" w:rsidRPr="00293F15" w:rsidP="00C31EC7" w14:paraId="1CAE4DCD" w14:textId="77777777">
            <w:pPr>
              <w:pStyle w:val="BodyText"/>
              <w:spacing w:after="0"/>
              <w:jc w:val="right"/>
            </w:pPr>
            <w:r w:rsidRPr="00293F15">
              <w:t>76</w:t>
            </w:r>
          </w:p>
        </w:tc>
        <w:tc>
          <w:tcPr>
            <w:tcW w:w="1260" w:type="dxa"/>
            <w:tcBorders>
              <w:top w:val="single" w:sz="4" w:space="0" w:color="auto"/>
              <w:bottom w:val="single" w:sz="4" w:space="0" w:color="auto"/>
            </w:tcBorders>
          </w:tcPr>
          <w:p w:rsidR="005E485A" w:rsidRPr="00293F15" w:rsidP="00C31EC7" w14:paraId="65EB6193" w14:textId="77777777">
            <w:pPr>
              <w:pStyle w:val="BodyText"/>
              <w:spacing w:after="0"/>
              <w:jc w:val="right"/>
            </w:pPr>
            <w:r w:rsidRPr="00293F15">
              <w:t>0.5 (30 minutes)</w:t>
            </w:r>
          </w:p>
        </w:tc>
        <w:tc>
          <w:tcPr>
            <w:tcW w:w="784" w:type="dxa"/>
            <w:tcBorders>
              <w:top w:val="single" w:sz="4" w:space="0" w:color="auto"/>
              <w:bottom w:val="single" w:sz="4" w:space="0" w:color="auto"/>
            </w:tcBorders>
          </w:tcPr>
          <w:p w:rsidR="005E485A" w:rsidRPr="00293F15" w:rsidP="00C31EC7" w14:paraId="120B35C6" w14:textId="77777777">
            <w:pPr>
              <w:pStyle w:val="BodyText"/>
              <w:spacing w:after="0"/>
              <w:jc w:val="right"/>
            </w:pPr>
            <w:r w:rsidRPr="00293F15">
              <w:t>38</w:t>
            </w:r>
          </w:p>
        </w:tc>
      </w:tr>
      <w:tr w14:paraId="100CF5F0" w14:textId="77777777" w:rsidTr="002C54D0">
        <w:tblPrEx>
          <w:tblW w:w="9604" w:type="dxa"/>
          <w:tblInd w:w="-5" w:type="dxa"/>
          <w:tblLayout w:type="fixed"/>
          <w:tblLook w:val="04A0"/>
        </w:tblPrEx>
        <w:trPr>
          <w:trHeight w:val="300"/>
          <w:tblHeader/>
        </w:trPr>
        <w:tc>
          <w:tcPr>
            <w:tcW w:w="3780" w:type="dxa"/>
            <w:tcBorders>
              <w:top w:val="single" w:sz="4" w:space="0" w:color="auto"/>
              <w:bottom w:val="single" w:sz="4" w:space="0" w:color="auto"/>
            </w:tcBorders>
          </w:tcPr>
          <w:p w:rsidR="005E485A" w:rsidRPr="00293F15" w:rsidP="00C31EC7" w14:paraId="3E82F339" w14:textId="77777777">
            <w:pPr>
              <w:pStyle w:val="TableParagraph"/>
              <w:rPr>
                <w:rFonts w:ascii="Times New Roman" w:hAnsi="Times New Roman" w:cs="Times New Roman"/>
                <w:sz w:val="20"/>
                <w:szCs w:val="20"/>
              </w:rPr>
            </w:pPr>
            <w:r w:rsidRPr="00293F15">
              <w:rPr>
                <w:rFonts w:ascii="Times New Roman" w:hAnsi="Times New Roman" w:cs="Times New Roman"/>
                <w:sz w:val="20"/>
                <w:szCs w:val="20"/>
              </w:rPr>
              <w:t>Request for Small Business Reduction (Form FDA 3908)</w:t>
            </w:r>
          </w:p>
        </w:tc>
        <w:tc>
          <w:tcPr>
            <w:tcW w:w="1260" w:type="dxa"/>
            <w:tcBorders>
              <w:top w:val="single" w:sz="4" w:space="0" w:color="auto"/>
              <w:bottom w:val="single" w:sz="4" w:space="0" w:color="auto"/>
            </w:tcBorders>
          </w:tcPr>
          <w:p w:rsidR="005E485A" w:rsidRPr="00293F15" w:rsidP="00C31EC7" w14:paraId="40B9A27B" w14:textId="77777777">
            <w:pPr>
              <w:pStyle w:val="BodyText"/>
              <w:spacing w:after="0"/>
              <w:jc w:val="right"/>
            </w:pPr>
            <w:r w:rsidRPr="00293F15">
              <w:t>18</w:t>
            </w:r>
          </w:p>
        </w:tc>
        <w:tc>
          <w:tcPr>
            <w:tcW w:w="1440" w:type="dxa"/>
            <w:tcBorders>
              <w:top w:val="single" w:sz="4" w:space="0" w:color="auto"/>
              <w:bottom w:val="single" w:sz="4" w:space="0" w:color="auto"/>
            </w:tcBorders>
          </w:tcPr>
          <w:p w:rsidR="005E485A" w:rsidRPr="00293F15" w:rsidP="00C31EC7" w14:paraId="2C9B1B2E" w14:textId="77777777">
            <w:pPr>
              <w:pStyle w:val="BodyText"/>
              <w:spacing w:after="0"/>
              <w:jc w:val="right"/>
            </w:pPr>
            <w:r w:rsidRPr="00293F15">
              <w:t>1</w:t>
            </w:r>
          </w:p>
        </w:tc>
        <w:tc>
          <w:tcPr>
            <w:tcW w:w="1080" w:type="dxa"/>
            <w:tcBorders>
              <w:top w:val="single" w:sz="4" w:space="0" w:color="auto"/>
              <w:bottom w:val="single" w:sz="4" w:space="0" w:color="auto"/>
            </w:tcBorders>
          </w:tcPr>
          <w:p w:rsidR="005E485A" w:rsidRPr="00293F15" w:rsidP="00C31EC7" w14:paraId="556E8D06" w14:textId="77777777">
            <w:pPr>
              <w:pStyle w:val="BodyText"/>
              <w:spacing w:after="0"/>
              <w:jc w:val="right"/>
            </w:pPr>
            <w:r w:rsidRPr="00293F15">
              <w:t>18</w:t>
            </w:r>
          </w:p>
        </w:tc>
        <w:tc>
          <w:tcPr>
            <w:tcW w:w="1260" w:type="dxa"/>
            <w:tcBorders>
              <w:top w:val="single" w:sz="4" w:space="0" w:color="auto"/>
              <w:bottom w:val="single" w:sz="4" w:space="0" w:color="auto"/>
            </w:tcBorders>
          </w:tcPr>
          <w:p w:rsidR="005E485A" w:rsidRPr="00293F15" w:rsidP="00C31EC7" w14:paraId="0D250CCE" w14:textId="77777777">
            <w:pPr>
              <w:pStyle w:val="BodyText"/>
              <w:spacing w:after="0"/>
              <w:jc w:val="right"/>
            </w:pPr>
            <w:r w:rsidRPr="00293F15">
              <w:t>25</w:t>
            </w:r>
          </w:p>
        </w:tc>
        <w:tc>
          <w:tcPr>
            <w:tcW w:w="784" w:type="dxa"/>
            <w:tcBorders>
              <w:top w:val="single" w:sz="4" w:space="0" w:color="auto"/>
              <w:bottom w:val="single" w:sz="4" w:space="0" w:color="auto"/>
            </w:tcBorders>
          </w:tcPr>
          <w:p w:rsidR="005E485A" w:rsidRPr="00293F15" w:rsidP="00C31EC7" w14:paraId="6168E458" w14:textId="77777777">
            <w:pPr>
              <w:pStyle w:val="BodyText"/>
              <w:spacing w:after="0"/>
              <w:jc w:val="right"/>
            </w:pPr>
            <w:r w:rsidRPr="00293F15">
              <w:t>450</w:t>
            </w:r>
          </w:p>
        </w:tc>
      </w:tr>
      <w:tr w14:paraId="1BA8C1A1" w14:textId="77777777" w:rsidTr="002C54D0">
        <w:tblPrEx>
          <w:tblW w:w="9604" w:type="dxa"/>
          <w:tblInd w:w="-5" w:type="dxa"/>
          <w:tblLayout w:type="fixed"/>
          <w:tblLook w:val="04A0"/>
        </w:tblPrEx>
        <w:trPr>
          <w:trHeight w:val="300"/>
          <w:tblHeader/>
        </w:trPr>
        <w:tc>
          <w:tcPr>
            <w:tcW w:w="3780" w:type="dxa"/>
            <w:tcBorders>
              <w:top w:val="single" w:sz="4" w:space="0" w:color="auto"/>
              <w:bottom w:val="single" w:sz="4" w:space="0" w:color="auto"/>
            </w:tcBorders>
          </w:tcPr>
          <w:p w:rsidR="005E485A" w:rsidRPr="00293F15" w:rsidP="00C31EC7" w14:paraId="5C43B63A" w14:textId="77777777">
            <w:pPr>
              <w:pStyle w:val="TableParagraph"/>
              <w:rPr>
                <w:rFonts w:ascii="Times New Roman" w:hAnsi="Times New Roman" w:cs="Times New Roman"/>
                <w:sz w:val="20"/>
                <w:szCs w:val="20"/>
              </w:rPr>
            </w:pPr>
            <w:r w:rsidRPr="00293F15">
              <w:rPr>
                <w:rFonts w:ascii="Times New Roman" w:hAnsi="Times New Roman" w:cs="Times New Roman"/>
                <w:sz w:val="20"/>
                <w:szCs w:val="20"/>
              </w:rPr>
              <w:t>Reinspection Fees; Section C</w:t>
            </w:r>
            <w:r>
              <w:rPr>
                <w:rFonts w:ascii="Times New Roman" w:hAnsi="Times New Roman" w:cs="Times New Roman"/>
                <w:sz w:val="20"/>
                <w:szCs w:val="20"/>
              </w:rPr>
              <w:t>.</w:t>
            </w:r>
            <w:r w:rsidRPr="00293F15">
              <w:rPr>
                <w:rFonts w:ascii="Times New Roman" w:hAnsi="Times New Roman" w:cs="Times New Roman"/>
                <w:sz w:val="20"/>
                <w:szCs w:val="20"/>
              </w:rPr>
              <w:t xml:space="preserve"> of the Fees for Human Drug Compounding Outsourcing Facilities guidance</w:t>
            </w:r>
          </w:p>
        </w:tc>
        <w:tc>
          <w:tcPr>
            <w:tcW w:w="1260" w:type="dxa"/>
            <w:tcBorders>
              <w:top w:val="single" w:sz="4" w:space="0" w:color="auto"/>
              <w:bottom w:val="single" w:sz="4" w:space="0" w:color="auto"/>
            </w:tcBorders>
          </w:tcPr>
          <w:p w:rsidR="005E485A" w:rsidRPr="00293F15" w:rsidP="00C31EC7" w14:paraId="2CB2B832" w14:textId="77777777">
            <w:pPr>
              <w:pStyle w:val="BodyText"/>
              <w:spacing w:after="0"/>
              <w:jc w:val="right"/>
            </w:pPr>
            <w:r w:rsidRPr="00293F15">
              <w:t>12</w:t>
            </w:r>
          </w:p>
        </w:tc>
        <w:tc>
          <w:tcPr>
            <w:tcW w:w="1440" w:type="dxa"/>
            <w:tcBorders>
              <w:top w:val="single" w:sz="4" w:space="0" w:color="auto"/>
              <w:bottom w:val="single" w:sz="4" w:space="0" w:color="auto"/>
            </w:tcBorders>
          </w:tcPr>
          <w:p w:rsidR="005E485A" w:rsidRPr="00293F15" w:rsidP="00C31EC7" w14:paraId="5F5129EF" w14:textId="77777777">
            <w:pPr>
              <w:pStyle w:val="BodyText"/>
              <w:spacing w:after="0"/>
              <w:jc w:val="right"/>
            </w:pPr>
            <w:r w:rsidRPr="00293F15">
              <w:t>1</w:t>
            </w:r>
          </w:p>
        </w:tc>
        <w:tc>
          <w:tcPr>
            <w:tcW w:w="1080" w:type="dxa"/>
            <w:tcBorders>
              <w:top w:val="single" w:sz="4" w:space="0" w:color="auto"/>
              <w:bottom w:val="single" w:sz="4" w:space="0" w:color="auto"/>
            </w:tcBorders>
          </w:tcPr>
          <w:p w:rsidR="005E485A" w:rsidRPr="00293F15" w:rsidP="00C31EC7" w14:paraId="47C29283" w14:textId="77777777">
            <w:pPr>
              <w:pStyle w:val="BodyText"/>
              <w:spacing w:after="0"/>
              <w:jc w:val="right"/>
            </w:pPr>
            <w:r w:rsidRPr="00293F15">
              <w:t>12</w:t>
            </w:r>
          </w:p>
        </w:tc>
        <w:tc>
          <w:tcPr>
            <w:tcW w:w="1260" w:type="dxa"/>
            <w:tcBorders>
              <w:top w:val="single" w:sz="4" w:space="0" w:color="auto"/>
              <w:bottom w:val="single" w:sz="4" w:space="0" w:color="auto"/>
            </w:tcBorders>
          </w:tcPr>
          <w:p w:rsidR="005E485A" w:rsidRPr="00293F15" w:rsidP="00C31EC7" w14:paraId="0E7B7985" w14:textId="77777777">
            <w:pPr>
              <w:pStyle w:val="BodyText"/>
              <w:spacing w:after="0"/>
              <w:jc w:val="right"/>
            </w:pPr>
            <w:r w:rsidRPr="00293F15">
              <w:t>0.5 (30 minutes)</w:t>
            </w:r>
          </w:p>
        </w:tc>
        <w:tc>
          <w:tcPr>
            <w:tcW w:w="784" w:type="dxa"/>
            <w:tcBorders>
              <w:top w:val="single" w:sz="4" w:space="0" w:color="auto"/>
              <w:bottom w:val="single" w:sz="4" w:space="0" w:color="auto"/>
            </w:tcBorders>
          </w:tcPr>
          <w:p w:rsidR="005E485A" w:rsidRPr="00293F15" w:rsidP="00C31EC7" w14:paraId="31F19332" w14:textId="77777777">
            <w:pPr>
              <w:pStyle w:val="BodyText"/>
              <w:spacing w:after="0"/>
              <w:jc w:val="right"/>
            </w:pPr>
            <w:r w:rsidRPr="00293F15">
              <w:t>6</w:t>
            </w:r>
          </w:p>
        </w:tc>
      </w:tr>
      <w:tr w14:paraId="1E60ABAB" w14:textId="77777777" w:rsidTr="002C54D0">
        <w:tblPrEx>
          <w:tblW w:w="9604" w:type="dxa"/>
          <w:tblInd w:w="-5" w:type="dxa"/>
          <w:tblLayout w:type="fixed"/>
          <w:tblLook w:val="04A0"/>
        </w:tblPrEx>
        <w:trPr>
          <w:trHeight w:val="300"/>
          <w:tblHeader/>
        </w:trPr>
        <w:tc>
          <w:tcPr>
            <w:tcW w:w="3780" w:type="dxa"/>
            <w:tcBorders>
              <w:top w:val="single" w:sz="4" w:space="0" w:color="auto"/>
              <w:bottom w:val="single" w:sz="4" w:space="0" w:color="auto"/>
            </w:tcBorders>
          </w:tcPr>
          <w:p w:rsidR="005E485A" w:rsidRPr="00293F15" w:rsidP="00C31EC7" w14:paraId="3418F683" w14:textId="77777777">
            <w:pPr>
              <w:pStyle w:val="TableParagraph"/>
              <w:rPr>
                <w:rFonts w:ascii="Times New Roman" w:hAnsi="Times New Roman" w:cs="Times New Roman"/>
                <w:sz w:val="20"/>
                <w:szCs w:val="20"/>
              </w:rPr>
            </w:pPr>
            <w:r w:rsidRPr="00293F15">
              <w:rPr>
                <w:rFonts w:ascii="Times New Roman" w:hAnsi="Times New Roman" w:cs="Times New Roman"/>
                <w:sz w:val="20"/>
                <w:szCs w:val="20"/>
              </w:rPr>
              <w:t xml:space="preserve">Reconsideration Requests; Section </w:t>
            </w:r>
            <w:r>
              <w:rPr>
                <w:rFonts w:ascii="Times New Roman" w:hAnsi="Times New Roman" w:cs="Times New Roman"/>
                <w:sz w:val="20"/>
                <w:szCs w:val="20"/>
              </w:rPr>
              <w:t>V.</w:t>
            </w:r>
            <w:r w:rsidRPr="00293F15">
              <w:rPr>
                <w:rFonts w:ascii="Times New Roman" w:hAnsi="Times New Roman" w:cs="Times New Roman"/>
                <w:sz w:val="20"/>
                <w:szCs w:val="20"/>
              </w:rPr>
              <w:t>B.1. of the Fees for Human Drug Compounding Outsourcing Facilities guidance</w:t>
            </w:r>
          </w:p>
        </w:tc>
        <w:tc>
          <w:tcPr>
            <w:tcW w:w="1260" w:type="dxa"/>
            <w:tcBorders>
              <w:top w:val="single" w:sz="4" w:space="0" w:color="auto"/>
              <w:bottom w:val="single" w:sz="4" w:space="0" w:color="auto"/>
            </w:tcBorders>
          </w:tcPr>
          <w:p w:rsidR="005E485A" w:rsidRPr="00293F15" w:rsidP="00C31EC7" w14:paraId="3CB5BBD5" w14:textId="77777777">
            <w:pPr>
              <w:pStyle w:val="BodyText"/>
              <w:spacing w:after="0"/>
              <w:jc w:val="right"/>
            </w:pPr>
            <w:r w:rsidRPr="00293F15">
              <w:t>1</w:t>
            </w:r>
          </w:p>
        </w:tc>
        <w:tc>
          <w:tcPr>
            <w:tcW w:w="1440" w:type="dxa"/>
            <w:tcBorders>
              <w:top w:val="single" w:sz="4" w:space="0" w:color="auto"/>
              <w:bottom w:val="single" w:sz="4" w:space="0" w:color="auto"/>
            </w:tcBorders>
          </w:tcPr>
          <w:p w:rsidR="005E485A" w:rsidRPr="00293F15" w:rsidP="00C31EC7" w14:paraId="22F3B5B8" w14:textId="77777777">
            <w:pPr>
              <w:pStyle w:val="BodyText"/>
              <w:spacing w:after="0"/>
              <w:jc w:val="right"/>
            </w:pPr>
            <w:r w:rsidRPr="00293F15">
              <w:t>1</w:t>
            </w:r>
          </w:p>
        </w:tc>
        <w:tc>
          <w:tcPr>
            <w:tcW w:w="1080" w:type="dxa"/>
            <w:tcBorders>
              <w:top w:val="single" w:sz="4" w:space="0" w:color="auto"/>
              <w:bottom w:val="single" w:sz="4" w:space="0" w:color="auto"/>
            </w:tcBorders>
          </w:tcPr>
          <w:p w:rsidR="005E485A" w:rsidRPr="00293F15" w:rsidP="00C31EC7" w14:paraId="7A8F176D" w14:textId="77777777">
            <w:pPr>
              <w:pStyle w:val="BodyText"/>
              <w:spacing w:after="0"/>
              <w:jc w:val="right"/>
            </w:pPr>
            <w:r w:rsidRPr="00293F15">
              <w:t>1</w:t>
            </w:r>
          </w:p>
        </w:tc>
        <w:tc>
          <w:tcPr>
            <w:tcW w:w="1260" w:type="dxa"/>
            <w:tcBorders>
              <w:top w:val="single" w:sz="4" w:space="0" w:color="auto"/>
              <w:bottom w:val="single" w:sz="4" w:space="0" w:color="auto"/>
            </w:tcBorders>
          </w:tcPr>
          <w:p w:rsidR="005E485A" w:rsidRPr="00293F15" w:rsidP="00C31EC7" w14:paraId="5E82AAA8" w14:textId="77777777">
            <w:pPr>
              <w:pStyle w:val="BodyText"/>
              <w:spacing w:after="0"/>
              <w:jc w:val="right"/>
            </w:pPr>
            <w:r w:rsidRPr="00293F15">
              <w:t>1</w:t>
            </w:r>
          </w:p>
        </w:tc>
        <w:tc>
          <w:tcPr>
            <w:tcW w:w="784" w:type="dxa"/>
            <w:tcBorders>
              <w:top w:val="single" w:sz="4" w:space="0" w:color="auto"/>
              <w:bottom w:val="single" w:sz="4" w:space="0" w:color="auto"/>
            </w:tcBorders>
          </w:tcPr>
          <w:p w:rsidR="005E485A" w:rsidRPr="00293F15" w:rsidP="00C31EC7" w14:paraId="55D9C4D3" w14:textId="77777777">
            <w:pPr>
              <w:pStyle w:val="BodyText"/>
              <w:spacing w:after="0"/>
              <w:jc w:val="right"/>
            </w:pPr>
            <w:r w:rsidRPr="00293F15">
              <w:t>1</w:t>
            </w:r>
          </w:p>
        </w:tc>
      </w:tr>
      <w:tr w14:paraId="70FAC69A" w14:textId="77777777" w:rsidTr="002C54D0">
        <w:tblPrEx>
          <w:tblW w:w="9604" w:type="dxa"/>
          <w:tblInd w:w="-5" w:type="dxa"/>
          <w:tblLayout w:type="fixed"/>
          <w:tblLook w:val="04A0"/>
        </w:tblPrEx>
        <w:trPr>
          <w:trHeight w:val="300"/>
          <w:tblHeader/>
        </w:trPr>
        <w:tc>
          <w:tcPr>
            <w:tcW w:w="3780" w:type="dxa"/>
            <w:tcBorders>
              <w:top w:val="single" w:sz="4" w:space="0" w:color="auto"/>
              <w:bottom w:val="single" w:sz="4" w:space="0" w:color="auto"/>
            </w:tcBorders>
          </w:tcPr>
          <w:p w:rsidR="005E485A" w:rsidRPr="00293F15" w:rsidP="00C31EC7" w14:paraId="7DA690DD" w14:textId="77777777">
            <w:pPr>
              <w:pStyle w:val="TableParagraph"/>
              <w:rPr>
                <w:rFonts w:ascii="Times New Roman" w:hAnsi="Times New Roman" w:cs="Times New Roman"/>
                <w:sz w:val="20"/>
                <w:szCs w:val="20"/>
              </w:rPr>
            </w:pPr>
            <w:r w:rsidRPr="00293F15">
              <w:rPr>
                <w:rFonts w:ascii="Times New Roman" w:hAnsi="Times New Roman" w:cs="Times New Roman"/>
                <w:sz w:val="20"/>
                <w:szCs w:val="20"/>
              </w:rPr>
              <w:t xml:space="preserve">Appeal of Reconsideration Denials; Section </w:t>
            </w:r>
            <w:r>
              <w:rPr>
                <w:rFonts w:ascii="Times New Roman" w:hAnsi="Times New Roman" w:cs="Times New Roman"/>
                <w:sz w:val="20"/>
                <w:szCs w:val="20"/>
              </w:rPr>
              <w:t>V.</w:t>
            </w:r>
            <w:r w:rsidRPr="00293F15">
              <w:rPr>
                <w:rFonts w:ascii="Times New Roman" w:hAnsi="Times New Roman" w:cs="Times New Roman"/>
                <w:sz w:val="20"/>
                <w:szCs w:val="20"/>
              </w:rPr>
              <w:t>B.2. of the Fees for Human Drug Compounding Outsourcing Facilities guidance</w:t>
            </w:r>
          </w:p>
        </w:tc>
        <w:tc>
          <w:tcPr>
            <w:tcW w:w="1260" w:type="dxa"/>
            <w:tcBorders>
              <w:top w:val="single" w:sz="4" w:space="0" w:color="auto"/>
              <w:bottom w:val="single" w:sz="4" w:space="0" w:color="auto"/>
            </w:tcBorders>
          </w:tcPr>
          <w:p w:rsidR="005E485A" w:rsidRPr="00293F15" w:rsidP="00C31EC7" w14:paraId="7A107501" w14:textId="77777777">
            <w:pPr>
              <w:pStyle w:val="BodyText"/>
              <w:spacing w:after="0"/>
              <w:jc w:val="right"/>
            </w:pPr>
            <w:r w:rsidRPr="00293F15">
              <w:t>1</w:t>
            </w:r>
          </w:p>
        </w:tc>
        <w:tc>
          <w:tcPr>
            <w:tcW w:w="1440" w:type="dxa"/>
            <w:tcBorders>
              <w:top w:val="single" w:sz="4" w:space="0" w:color="auto"/>
              <w:bottom w:val="single" w:sz="4" w:space="0" w:color="auto"/>
            </w:tcBorders>
          </w:tcPr>
          <w:p w:rsidR="005E485A" w:rsidRPr="00293F15" w:rsidP="00C31EC7" w14:paraId="646597FB" w14:textId="77777777">
            <w:pPr>
              <w:pStyle w:val="BodyText"/>
              <w:spacing w:after="0"/>
              <w:jc w:val="right"/>
            </w:pPr>
            <w:r w:rsidRPr="00293F15">
              <w:t>1</w:t>
            </w:r>
          </w:p>
        </w:tc>
        <w:tc>
          <w:tcPr>
            <w:tcW w:w="1080" w:type="dxa"/>
            <w:tcBorders>
              <w:top w:val="single" w:sz="4" w:space="0" w:color="auto"/>
              <w:bottom w:val="single" w:sz="4" w:space="0" w:color="auto"/>
            </w:tcBorders>
          </w:tcPr>
          <w:p w:rsidR="005E485A" w:rsidRPr="00293F15" w:rsidP="00C31EC7" w14:paraId="28845253" w14:textId="77777777">
            <w:pPr>
              <w:pStyle w:val="BodyText"/>
              <w:spacing w:after="0"/>
              <w:jc w:val="right"/>
            </w:pPr>
            <w:r w:rsidRPr="00293F15">
              <w:t>1</w:t>
            </w:r>
          </w:p>
        </w:tc>
        <w:tc>
          <w:tcPr>
            <w:tcW w:w="1260" w:type="dxa"/>
            <w:tcBorders>
              <w:top w:val="single" w:sz="4" w:space="0" w:color="auto"/>
              <w:bottom w:val="single" w:sz="4" w:space="0" w:color="auto"/>
            </w:tcBorders>
          </w:tcPr>
          <w:p w:rsidR="005E485A" w:rsidRPr="00293F15" w:rsidP="00C31EC7" w14:paraId="77570155" w14:textId="77777777">
            <w:pPr>
              <w:pStyle w:val="BodyText"/>
              <w:spacing w:after="0"/>
              <w:jc w:val="right"/>
            </w:pPr>
            <w:r w:rsidRPr="00293F15">
              <w:t>1</w:t>
            </w:r>
          </w:p>
        </w:tc>
        <w:tc>
          <w:tcPr>
            <w:tcW w:w="784" w:type="dxa"/>
            <w:tcBorders>
              <w:top w:val="single" w:sz="4" w:space="0" w:color="auto"/>
              <w:bottom w:val="single" w:sz="4" w:space="0" w:color="auto"/>
            </w:tcBorders>
          </w:tcPr>
          <w:p w:rsidR="005E485A" w:rsidRPr="00293F15" w:rsidP="00C31EC7" w14:paraId="5FDB0925" w14:textId="77777777">
            <w:pPr>
              <w:pStyle w:val="BodyText"/>
              <w:spacing w:after="0"/>
              <w:jc w:val="right"/>
            </w:pPr>
            <w:r w:rsidRPr="00293F15">
              <w:t>1</w:t>
            </w:r>
          </w:p>
        </w:tc>
      </w:tr>
      <w:tr w14:paraId="7BDE4F26" w14:textId="77777777" w:rsidTr="002C54D0">
        <w:tblPrEx>
          <w:tblW w:w="9604" w:type="dxa"/>
          <w:tblInd w:w="-5" w:type="dxa"/>
          <w:tblLayout w:type="fixed"/>
          <w:tblLook w:val="04A0"/>
        </w:tblPrEx>
        <w:trPr>
          <w:trHeight w:val="300"/>
          <w:tblHeader/>
        </w:trPr>
        <w:tc>
          <w:tcPr>
            <w:tcW w:w="3780" w:type="dxa"/>
            <w:tcBorders>
              <w:top w:val="single" w:sz="4" w:space="0" w:color="auto"/>
            </w:tcBorders>
          </w:tcPr>
          <w:p w:rsidR="007439E9" w:rsidRPr="00293F15" w:rsidP="00C31EC7" w14:paraId="614BCA63" w14:textId="07D415F4">
            <w:pPr>
              <w:pStyle w:val="TableParagraph"/>
              <w:rPr>
                <w:rFonts w:ascii="Times New Roman" w:hAnsi="Times New Roman" w:cs="Times New Roman"/>
                <w:sz w:val="20"/>
                <w:szCs w:val="20"/>
              </w:rPr>
            </w:pPr>
            <w:r>
              <w:rPr>
                <w:rFonts w:ascii="Times New Roman" w:hAnsi="Times New Roman" w:cs="Times New Roman"/>
                <w:sz w:val="20"/>
                <w:szCs w:val="20"/>
              </w:rPr>
              <w:t>Subtotal</w:t>
            </w:r>
          </w:p>
        </w:tc>
        <w:tc>
          <w:tcPr>
            <w:tcW w:w="1260" w:type="dxa"/>
            <w:tcBorders>
              <w:top w:val="single" w:sz="4" w:space="0" w:color="auto"/>
            </w:tcBorders>
          </w:tcPr>
          <w:p w:rsidR="007439E9" w:rsidRPr="00293F15" w:rsidP="00C31EC7" w14:paraId="33A0297B" w14:textId="77777777">
            <w:pPr>
              <w:pStyle w:val="BodyText"/>
              <w:spacing w:after="0"/>
              <w:jc w:val="right"/>
            </w:pPr>
          </w:p>
        </w:tc>
        <w:tc>
          <w:tcPr>
            <w:tcW w:w="1440" w:type="dxa"/>
            <w:tcBorders>
              <w:top w:val="single" w:sz="4" w:space="0" w:color="auto"/>
            </w:tcBorders>
          </w:tcPr>
          <w:p w:rsidR="007439E9" w:rsidRPr="00293F15" w:rsidP="00C31EC7" w14:paraId="226434A5" w14:textId="77777777">
            <w:pPr>
              <w:pStyle w:val="BodyText"/>
              <w:spacing w:after="0"/>
              <w:jc w:val="right"/>
            </w:pPr>
          </w:p>
        </w:tc>
        <w:tc>
          <w:tcPr>
            <w:tcW w:w="1080" w:type="dxa"/>
            <w:tcBorders>
              <w:top w:val="single" w:sz="4" w:space="0" w:color="auto"/>
            </w:tcBorders>
          </w:tcPr>
          <w:p w:rsidR="007439E9" w:rsidRPr="00293F15" w:rsidP="00C31EC7" w14:paraId="79445310" w14:textId="3ED26A2D">
            <w:pPr>
              <w:pStyle w:val="BodyText"/>
              <w:spacing w:after="0"/>
              <w:jc w:val="right"/>
              <w:rPr>
                <w:noProof/>
              </w:rPr>
            </w:pPr>
            <w:r>
              <w:rPr>
                <w:noProof/>
              </w:rPr>
              <w:t>10</w:t>
            </w:r>
            <w:r w:rsidR="003B1B44">
              <w:rPr>
                <w:noProof/>
              </w:rPr>
              <w:t>8</w:t>
            </w:r>
          </w:p>
        </w:tc>
        <w:tc>
          <w:tcPr>
            <w:tcW w:w="1260" w:type="dxa"/>
            <w:tcBorders>
              <w:top w:val="single" w:sz="4" w:space="0" w:color="auto"/>
            </w:tcBorders>
          </w:tcPr>
          <w:p w:rsidR="007439E9" w:rsidRPr="00293F15" w:rsidP="00C31EC7" w14:paraId="4D3384B3" w14:textId="77777777">
            <w:pPr>
              <w:pStyle w:val="BodyText"/>
              <w:spacing w:after="0"/>
              <w:jc w:val="right"/>
            </w:pPr>
          </w:p>
        </w:tc>
        <w:tc>
          <w:tcPr>
            <w:tcW w:w="784" w:type="dxa"/>
            <w:tcBorders>
              <w:top w:val="single" w:sz="4" w:space="0" w:color="auto"/>
            </w:tcBorders>
          </w:tcPr>
          <w:p w:rsidR="007439E9" w:rsidRPr="00293F15" w:rsidP="00C31EC7" w14:paraId="4C76927B" w14:textId="57B57939">
            <w:pPr>
              <w:pStyle w:val="BodyText"/>
              <w:spacing w:after="0"/>
              <w:jc w:val="right"/>
            </w:pPr>
            <w:r>
              <w:t>496</w:t>
            </w:r>
          </w:p>
        </w:tc>
      </w:tr>
      <w:tr w14:paraId="68781C22" w14:textId="77777777" w:rsidTr="002C54D0">
        <w:tblPrEx>
          <w:tblW w:w="9604" w:type="dxa"/>
          <w:tblInd w:w="-5" w:type="dxa"/>
          <w:tblLayout w:type="fixed"/>
          <w:tblLook w:val="04A0"/>
        </w:tblPrEx>
        <w:trPr>
          <w:trHeight w:val="300"/>
          <w:tblHeader/>
        </w:trPr>
        <w:tc>
          <w:tcPr>
            <w:tcW w:w="3780" w:type="dxa"/>
            <w:tcBorders>
              <w:top w:val="single" w:sz="4" w:space="0" w:color="auto"/>
            </w:tcBorders>
          </w:tcPr>
          <w:p w:rsidR="005E485A" w:rsidRPr="00293F15" w:rsidP="00C31EC7" w14:paraId="5FA1ECF1" w14:textId="77777777">
            <w:pPr>
              <w:pStyle w:val="TableParagraph"/>
              <w:rPr>
                <w:rFonts w:ascii="Times New Roman" w:hAnsi="Times New Roman" w:cs="Times New Roman"/>
                <w:sz w:val="20"/>
                <w:szCs w:val="20"/>
              </w:rPr>
            </w:pPr>
            <w:r w:rsidRPr="00293F15">
              <w:rPr>
                <w:rFonts w:ascii="Times New Roman" w:hAnsi="Times New Roman" w:cs="Times New Roman"/>
                <w:sz w:val="20"/>
                <w:szCs w:val="20"/>
              </w:rPr>
              <w:t>Total</w:t>
            </w:r>
          </w:p>
        </w:tc>
        <w:tc>
          <w:tcPr>
            <w:tcW w:w="1260" w:type="dxa"/>
            <w:tcBorders>
              <w:top w:val="single" w:sz="4" w:space="0" w:color="auto"/>
            </w:tcBorders>
          </w:tcPr>
          <w:p w:rsidR="005E485A" w:rsidRPr="00293F15" w:rsidP="00C31EC7" w14:paraId="620BC213" w14:textId="77777777">
            <w:pPr>
              <w:pStyle w:val="BodyText"/>
              <w:spacing w:after="0"/>
              <w:jc w:val="right"/>
            </w:pPr>
          </w:p>
        </w:tc>
        <w:tc>
          <w:tcPr>
            <w:tcW w:w="1440" w:type="dxa"/>
            <w:tcBorders>
              <w:top w:val="single" w:sz="4" w:space="0" w:color="auto"/>
            </w:tcBorders>
          </w:tcPr>
          <w:p w:rsidR="005E485A" w:rsidRPr="00293F15" w:rsidP="00C31EC7" w14:paraId="78213BA6" w14:textId="77777777">
            <w:pPr>
              <w:pStyle w:val="BodyText"/>
              <w:spacing w:after="0"/>
              <w:jc w:val="right"/>
            </w:pPr>
          </w:p>
        </w:tc>
        <w:tc>
          <w:tcPr>
            <w:tcW w:w="1080" w:type="dxa"/>
            <w:tcBorders>
              <w:top w:val="single" w:sz="4" w:space="0" w:color="auto"/>
            </w:tcBorders>
          </w:tcPr>
          <w:p w:rsidR="005E485A" w:rsidRPr="00293F15" w:rsidP="00C31EC7" w14:paraId="2DFA4CF6" w14:textId="77777777">
            <w:pPr>
              <w:pStyle w:val="BodyText"/>
              <w:spacing w:after="0"/>
              <w:jc w:val="right"/>
            </w:pPr>
            <w:r w:rsidRPr="00293F15">
              <w:rPr>
                <w:noProof/>
              </w:rPr>
              <w:t>188</w:t>
            </w:r>
          </w:p>
        </w:tc>
        <w:tc>
          <w:tcPr>
            <w:tcW w:w="1260" w:type="dxa"/>
            <w:tcBorders>
              <w:top w:val="single" w:sz="4" w:space="0" w:color="auto"/>
            </w:tcBorders>
          </w:tcPr>
          <w:p w:rsidR="005E485A" w:rsidRPr="00293F15" w:rsidP="00C31EC7" w14:paraId="7667445E" w14:textId="77777777">
            <w:pPr>
              <w:pStyle w:val="BodyText"/>
              <w:spacing w:after="0"/>
              <w:jc w:val="right"/>
            </w:pPr>
          </w:p>
        </w:tc>
        <w:tc>
          <w:tcPr>
            <w:tcW w:w="784" w:type="dxa"/>
            <w:tcBorders>
              <w:top w:val="single" w:sz="4" w:space="0" w:color="auto"/>
            </w:tcBorders>
          </w:tcPr>
          <w:p w:rsidR="005E485A" w:rsidRPr="00293F15" w:rsidP="00C31EC7" w14:paraId="72B6C388" w14:textId="77777777">
            <w:pPr>
              <w:pStyle w:val="BodyText"/>
              <w:spacing w:after="0"/>
              <w:jc w:val="right"/>
            </w:pPr>
            <w:r w:rsidRPr="00293F15">
              <w:t>852</w:t>
            </w:r>
          </w:p>
        </w:tc>
      </w:tr>
    </w:tbl>
    <w:p w:rsidR="00567341" w:rsidRPr="005372F4" w:rsidP="00567341" w14:paraId="56C15465" w14:textId="0CD64C1F">
      <w:pPr>
        <w:ind w:left="245"/>
        <w:rPr>
          <w:vertAlign w:val="superscript"/>
        </w:rPr>
      </w:pPr>
      <w:r w:rsidRPr="005372F4">
        <w:rPr>
          <w:vertAlign w:val="superscript"/>
        </w:rPr>
        <w:t>1</w:t>
      </w:r>
      <w:r w:rsidRPr="005372F4">
        <w:t xml:space="preserve"> There are no capital costs or operating and maintenance costs associated with this </w:t>
      </w:r>
      <w:r w:rsidRPr="005372F4" w:rsidR="00DF296C">
        <w:t xml:space="preserve">information </w:t>
      </w:r>
      <w:r w:rsidRPr="005372F4">
        <w:t>collection.</w:t>
      </w:r>
      <w:r w:rsidRPr="005372F4">
        <w:rPr>
          <w:vertAlign w:val="superscript"/>
        </w:rPr>
        <w:t xml:space="preserve">  </w:t>
      </w:r>
    </w:p>
    <w:p w:rsidR="00567341" w:rsidRPr="00B35A23" w:rsidP="00567341" w14:paraId="51CF9090" w14:textId="77777777">
      <w:pPr>
        <w:ind w:left="245"/>
        <w:rPr>
          <w:sz w:val="24"/>
          <w:szCs w:val="24"/>
          <w:vertAlign w:val="superscript"/>
        </w:rPr>
      </w:pPr>
    </w:p>
    <w:p w:rsidR="00567341" w:rsidRPr="00B35A23" w:rsidP="005372F4" w14:paraId="22E9D768" w14:textId="3307E7C8">
      <w:pPr>
        <w:pStyle w:val="BodyText"/>
        <w:spacing w:after="0"/>
        <w:rPr>
          <w:sz w:val="24"/>
          <w:szCs w:val="24"/>
        </w:rPr>
      </w:pPr>
      <w:r w:rsidRPr="00B35A23">
        <w:rPr>
          <w:sz w:val="24"/>
          <w:szCs w:val="24"/>
        </w:rPr>
        <w:t>We estimate 79 respondents annually will submit outsourcing facility registrations using the SPL format as specified in</w:t>
      </w:r>
      <w:r w:rsidR="002C54D0">
        <w:rPr>
          <w:sz w:val="24"/>
          <w:szCs w:val="24"/>
        </w:rPr>
        <w:t xml:space="preserve"> agency</w:t>
      </w:r>
      <w:r w:rsidRPr="00B35A23">
        <w:rPr>
          <w:sz w:val="24"/>
          <w:szCs w:val="24"/>
        </w:rPr>
        <w:t xml:space="preserve"> guidance and assume each registration will require 4.5 hours to prepare and complete.  We expect no more than </w:t>
      </w:r>
      <w:r w:rsidR="00B23C06">
        <w:rPr>
          <w:sz w:val="24"/>
          <w:szCs w:val="24"/>
        </w:rPr>
        <w:t>one</w:t>
      </w:r>
      <w:r w:rsidRPr="00B35A23">
        <w:rPr>
          <w:sz w:val="24"/>
          <w:szCs w:val="24"/>
        </w:rPr>
        <w:t xml:space="preserve"> waiver request </w:t>
      </w:r>
      <w:r w:rsidR="00DB3F85">
        <w:rPr>
          <w:sz w:val="24"/>
          <w:szCs w:val="24"/>
        </w:rPr>
        <w:t xml:space="preserve">annually </w:t>
      </w:r>
      <w:r w:rsidRPr="00B35A23">
        <w:rPr>
          <w:sz w:val="24"/>
          <w:szCs w:val="24"/>
        </w:rPr>
        <w:t>from the electronic submission requirement</w:t>
      </w:r>
      <w:r w:rsidRPr="00DB3F85">
        <w:rPr>
          <w:sz w:val="24"/>
          <w:szCs w:val="24"/>
        </w:rPr>
        <w:t xml:space="preserve"> and</w:t>
      </w:r>
      <w:r w:rsidRPr="00B35A23">
        <w:rPr>
          <w:sz w:val="24"/>
          <w:szCs w:val="24"/>
        </w:rPr>
        <w:t xml:space="preserve"> assume each waiver request will require 1 hour to prepare and submit.  We estimate each of the 76 registrants will remit annual establishment fees and assume this task </w:t>
      </w:r>
      <w:r w:rsidR="00DB3F85">
        <w:rPr>
          <w:sz w:val="24"/>
          <w:szCs w:val="24"/>
        </w:rPr>
        <w:t xml:space="preserve">will </w:t>
      </w:r>
      <w:r w:rsidRPr="00B35A23">
        <w:rPr>
          <w:sz w:val="24"/>
          <w:szCs w:val="24"/>
        </w:rPr>
        <w:t xml:space="preserve">require 30 minutes per respondent.  We estimate that 18 of those respondents will request a small business reduction in the amount of the annual establishment fee using Form FDA 3908.  </w:t>
      </w:r>
    </w:p>
    <w:p w:rsidR="00C21B2D" w:rsidRPr="00B35A23" w:rsidP="00567341" w14:paraId="4729AB9C" w14:textId="77777777">
      <w:pPr>
        <w:pStyle w:val="BodyText"/>
        <w:spacing w:after="0"/>
        <w:ind w:firstLine="720"/>
        <w:rPr>
          <w:sz w:val="24"/>
          <w:szCs w:val="24"/>
        </w:rPr>
      </w:pPr>
    </w:p>
    <w:p w:rsidR="00567341" w:rsidP="005372F4" w14:paraId="7FF96441" w14:textId="79B1BE55">
      <w:pPr>
        <w:pStyle w:val="BodyText"/>
        <w:spacing w:after="0"/>
        <w:rPr>
          <w:sz w:val="24"/>
          <w:szCs w:val="24"/>
        </w:rPr>
      </w:pPr>
      <w:r w:rsidRPr="00B35A23">
        <w:rPr>
          <w:sz w:val="24"/>
          <w:szCs w:val="24"/>
        </w:rPr>
        <w:t xml:space="preserve">We estimate 12 outsourcing facilities annually will remit reinspection fees and assume this will require 30 minutes.  We also estimate that we will receive </w:t>
      </w:r>
      <w:r w:rsidR="00367818">
        <w:rPr>
          <w:sz w:val="24"/>
          <w:szCs w:val="24"/>
        </w:rPr>
        <w:t>one</w:t>
      </w:r>
      <w:r w:rsidRPr="00B35A23">
        <w:rPr>
          <w:sz w:val="24"/>
          <w:szCs w:val="24"/>
        </w:rPr>
        <w:t xml:space="preserve"> request for reconsideration and</w:t>
      </w:r>
      <w:r w:rsidR="004D78AD">
        <w:rPr>
          <w:sz w:val="24"/>
          <w:szCs w:val="24"/>
        </w:rPr>
        <w:t xml:space="preserve"> </w:t>
      </w:r>
      <w:r w:rsidR="004D78AD">
        <w:rPr>
          <w:sz w:val="24"/>
          <w:szCs w:val="24"/>
        </w:rPr>
        <w:t>one</w:t>
      </w:r>
      <w:r w:rsidRPr="00B35A23">
        <w:rPr>
          <w:sz w:val="24"/>
          <w:szCs w:val="24"/>
        </w:rPr>
        <w:t xml:space="preserve"> appeal of a denial of a request for reconsideration and assume 1 hour per respondent for this activity.</w:t>
      </w:r>
    </w:p>
    <w:p w:rsidR="00055B6F" w:rsidRPr="00B35A23" w:rsidP="005372F4" w14:paraId="34DEB94B" w14:textId="77777777">
      <w:pPr>
        <w:pStyle w:val="BodyText"/>
        <w:spacing w:after="0"/>
        <w:rPr>
          <w:sz w:val="24"/>
          <w:szCs w:val="24"/>
        </w:rPr>
      </w:pPr>
    </w:p>
    <w:p w:rsidR="00567341" w:rsidRPr="00B35A23" w:rsidP="00567341" w14:paraId="1D8809A7" w14:textId="365D5E64">
      <w:pPr>
        <w:keepNext/>
        <w:contextualSpacing/>
        <w:jc w:val="center"/>
        <w:rPr>
          <w:sz w:val="24"/>
          <w:szCs w:val="24"/>
        </w:rPr>
      </w:pPr>
      <w:r w:rsidRPr="00B10704">
        <w:rPr>
          <w:sz w:val="22"/>
          <w:szCs w:val="22"/>
        </w:rPr>
        <w:t>Table 2.--Estimated Annual Recordkeeping Burden</w:t>
      </w:r>
      <w:r w:rsidRPr="00B35A23">
        <w:rPr>
          <w:sz w:val="24"/>
          <w:szCs w:val="24"/>
          <w:vertAlign w:val="superscript"/>
        </w:rPr>
        <w:t>1</w:t>
      </w:r>
    </w:p>
    <w:tbl>
      <w:tblPr>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2875"/>
        <w:gridCol w:w="1800"/>
        <w:gridCol w:w="1620"/>
        <w:gridCol w:w="1080"/>
        <w:gridCol w:w="1710"/>
        <w:gridCol w:w="810"/>
      </w:tblGrid>
      <w:tr w14:paraId="2596023E" w14:textId="77777777" w:rsidTr="005372F4">
        <w:tblPrEx>
          <w:tblW w:w="98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746"/>
          <w:tblHeader/>
        </w:trPr>
        <w:tc>
          <w:tcPr>
            <w:tcW w:w="2875" w:type="dxa"/>
            <w:tcBorders>
              <w:top w:val="single" w:sz="4" w:space="0" w:color="auto"/>
              <w:left w:val="single" w:sz="4" w:space="0" w:color="auto"/>
              <w:bottom w:val="single" w:sz="4" w:space="0" w:color="auto"/>
              <w:right w:val="single" w:sz="4" w:space="0" w:color="auto"/>
            </w:tcBorders>
            <w:hideMark/>
          </w:tcPr>
          <w:p w:rsidR="00567341" w:rsidRPr="00B10704" w:rsidP="00567341" w14:paraId="06E6FED9" w14:textId="77777777">
            <w:pPr>
              <w:keepNext/>
              <w:jc w:val="center"/>
            </w:pPr>
            <w:r w:rsidRPr="00B10704">
              <w:t>Activity</w:t>
            </w:r>
          </w:p>
        </w:tc>
        <w:tc>
          <w:tcPr>
            <w:tcW w:w="1800" w:type="dxa"/>
            <w:tcBorders>
              <w:top w:val="single" w:sz="4" w:space="0" w:color="auto"/>
              <w:left w:val="single" w:sz="4" w:space="0" w:color="auto"/>
              <w:bottom w:val="single" w:sz="4" w:space="0" w:color="auto"/>
              <w:right w:val="single" w:sz="4" w:space="0" w:color="auto"/>
            </w:tcBorders>
            <w:hideMark/>
          </w:tcPr>
          <w:p w:rsidR="00567341" w:rsidRPr="00B10704" w:rsidP="00567341" w14:paraId="66CB80A1" w14:textId="77777777">
            <w:pPr>
              <w:keepNext/>
              <w:jc w:val="center"/>
            </w:pPr>
            <w:r w:rsidRPr="00B10704">
              <w:t>No. of Recordkeepers</w:t>
            </w:r>
          </w:p>
        </w:tc>
        <w:tc>
          <w:tcPr>
            <w:tcW w:w="1620" w:type="dxa"/>
            <w:tcBorders>
              <w:top w:val="single" w:sz="4" w:space="0" w:color="auto"/>
              <w:left w:val="single" w:sz="4" w:space="0" w:color="auto"/>
              <w:bottom w:val="single" w:sz="4" w:space="0" w:color="auto"/>
              <w:right w:val="single" w:sz="4" w:space="0" w:color="auto"/>
            </w:tcBorders>
            <w:hideMark/>
          </w:tcPr>
          <w:p w:rsidR="00567341" w:rsidRPr="00B10704" w:rsidP="00567341" w14:paraId="28128A5D" w14:textId="77777777">
            <w:pPr>
              <w:keepNext/>
              <w:jc w:val="center"/>
            </w:pPr>
            <w:r w:rsidRPr="00B10704">
              <w:rPr>
                <w:bCs/>
              </w:rPr>
              <w:t>No. of Records per Recordkeeper</w:t>
            </w:r>
          </w:p>
        </w:tc>
        <w:tc>
          <w:tcPr>
            <w:tcW w:w="1080" w:type="dxa"/>
            <w:tcBorders>
              <w:top w:val="single" w:sz="4" w:space="0" w:color="auto"/>
              <w:left w:val="single" w:sz="4" w:space="0" w:color="auto"/>
              <w:bottom w:val="single" w:sz="4" w:space="0" w:color="auto"/>
              <w:right w:val="single" w:sz="4" w:space="0" w:color="auto"/>
            </w:tcBorders>
            <w:hideMark/>
          </w:tcPr>
          <w:p w:rsidR="00567341" w:rsidRPr="00B10704" w:rsidP="00567341" w14:paraId="6A52DE82" w14:textId="77777777">
            <w:pPr>
              <w:keepNext/>
              <w:jc w:val="center"/>
            </w:pPr>
            <w:r w:rsidRPr="00B10704">
              <w:t>Total Annual Records</w:t>
            </w:r>
          </w:p>
        </w:tc>
        <w:tc>
          <w:tcPr>
            <w:tcW w:w="1710" w:type="dxa"/>
            <w:tcBorders>
              <w:top w:val="single" w:sz="4" w:space="0" w:color="auto"/>
              <w:left w:val="single" w:sz="4" w:space="0" w:color="auto"/>
              <w:bottom w:val="single" w:sz="4" w:space="0" w:color="auto"/>
              <w:right w:val="single" w:sz="4" w:space="0" w:color="auto"/>
            </w:tcBorders>
            <w:hideMark/>
          </w:tcPr>
          <w:p w:rsidR="00567341" w:rsidRPr="00B10704" w:rsidP="00567341" w14:paraId="082F216F" w14:textId="77777777">
            <w:pPr>
              <w:keepNext/>
              <w:jc w:val="center"/>
            </w:pPr>
            <w:r w:rsidRPr="00B10704">
              <w:rPr>
                <w:bCs/>
              </w:rPr>
              <w:t xml:space="preserve">Average Burden per Recordkeeping </w:t>
            </w:r>
          </w:p>
        </w:tc>
        <w:tc>
          <w:tcPr>
            <w:tcW w:w="810" w:type="dxa"/>
            <w:tcBorders>
              <w:top w:val="single" w:sz="4" w:space="0" w:color="auto"/>
              <w:left w:val="single" w:sz="4" w:space="0" w:color="auto"/>
              <w:bottom w:val="single" w:sz="4" w:space="0" w:color="auto"/>
              <w:right w:val="single" w:sz="4" w:space="0" w:color="auto"/>
            </w:tcBorders>
            <w:hideMark/>
          </w:tcPr>
          <w:p w:rsidR="00567341" w:rsidRPr="00B10704" w:rsidP="00567341" w14:paraId="13224AA3" w14:textId="77777777">
            <w:pPr>
              <w:keepNext/>
              <w:jc w:val="center"/>
            </w:pPr>
            <w:r w:rsidRPr="00B10704">
              <w:t>Total Hours</w:t>
            </w:r>
          </w:p>
        </w:tc>
      </w:tr>
      <w:tr w14:paraId="7D4519B0" w14:textId="77777777" w:rsidTr="005372F4">
        <w:tblPrEx>
          <w:tblW w:w="9895" w:type="dxa"/>
          <w:tblLayout w:type="fixed"/>
          <w:tblLook w:val="01E0"/>
        </w:tblPrEx>
        <w:trPr>
          <w:trHeight w:val="539"/>
        </w:trPr>
        <w:tc>
          <w:tcPr>
            <w:tcW w:w="2875" w:type="dxa"/>
            <w:tcBorders>
              <w:top w:val="single" w:sz="4" w:space="0" w:color="auto"/>
              <w:left w:val="single" w:sz="4" w:space="0" w:color="auto"/>
              <w:bottom w:val="single" w:sz="4" w:space="0" w:color="auto"/>
              <w:right w:val="single" w:sz="4" w:space="0" w:color="auto"/>
            </w:tcBorders>
            <w:hideMark/>
          </w:tcPr>
          <w:p w:rsidR="00567341" w:rsidRPr="00B10704" w:rsidP="00567341" w14:paraId="06E0D2C1" w14:textId="77777777">
            <w:pPr>
              <w:keepNext/>
            </w:pPr>
            <w:r w:rsidRPr="00B10704">
              <w:t>Retention of Small Business Designation Notification Letter</w:t>
            </w:r>
          </w:p>
        </w:tc>
        <w:tc>
          <w:tcPr>
            <w:tcW w:w="1800" w:type="dxa"/>
            <w:tcBorders>
              <w:top w:val="single" w:sz="4" w:space="0" w:color="auto"/>
              <w:left w:val="single" w:sz="4" w:space="0" w:color="auto"/>
              <w:bottom w:val="single" w:sz="4" w:space="0" w:color="auto"/>
              <w:right w:val="single" w:sz="4" w:space="0" w:color="auto"/>
            </w:tcBorders>
            <w:hideMark/>
          </w:tcPr>
          <w:p w:rsidR="00567341" w:rsidRPr="00B10704" w:rsidP="00567341" w14:paraId="7A01DB80" w14:textId="77777777">
            <w:pPr>
              <w:keepNext/>
              <w:jc w:val="right"/>
            </w:pPr>
            <w:r w:rsidRPr="00B10704">
              <w:t>18</w:t>
            </w:r>
          </w:p>
        </w:tc>
        <w:tc>
          <w:tcPr>
            <w:tcW w:w="1620" w:type="dxa"/>
            <w:tcBorders>
              <w:top w:val="single" w:sz="4" w:space="0" w:color="auto"/>
              <w:left w:val="single" w:sz="4" w:space="0" w:color="auto"/>
              <w:bottom w:val="single" w:sz="4" w:space="0" w:color="auto"/>
              <w:right w:val="single" w:sz="4" w:space="0" w:color="auto"/>
            </w:tcBorders>
            <w:hideMark/>
          </w:tcPr>
          <w:p w:rsidR="00567341" w:rsidRPr="00B10704" w:rsidP="00567341" w14:paraId="344EAFD7" w14:textId="77777777">
            <w:pPr>
              <w:keepNext/>
              <w:jc w:val="right"/>
            </w:pPr>
            <w:r w:rsidRPr="00B10704">
              <w:t>1</w:t>
            </w:r>
          </w:p>
        </w:tc>
        <w:tc>
          <w:tcPr>
            <w:tcW w:w="1080" w:type="dxa"/>
            <w:tcBorders>
              <w:top w:val="single" w:sz="4" w:space="0" w:color="auto"/>
              <w:left w:val="single" w:sz="4" w:space="0" w:color="auto"/>
              <w:bottom w:val="single" w:sz="4" w:space="0" w:color="auto"/>
              <w:right w:val="single" w:sz="4" w:space="0" w:color="auto"/>
            </w:tcBorders>
            <w:hideMark/>
          </w:tcPr>
          <w:p w:rsidR="00567341" w:rsidRPr="00B10704" w:rsidP="00567341" w14:paraId="49BCAC23" w14:textId="77777777">
            <w:pPr>
              <w:keepNext/>
              <w:jc w:val="right"/>
            </w:pPr>
            <w:r w:rsidRPr="00B10704">
              <w:t>18</w:t>
            </w:r>
          </w:p>
        </w:tc>
        <w:tc>
          <w:tcPr>
            <w:tcW w:w="1710" w:type="dxa"/>
            <w:tcBorders>
              <w:top w:val="single" w:sz="4" w:space="0" w:color="auto"/>
              <w:left w:val="single" w:sz="4" w:space="0" w:color="auto"/>
              <w:bottom w:val="single" w:sz="4" w:space="0" w:color="auto"/>
              <w:right w:val="single" w:sz="4" w:space="0" w:color="auto"/>
            </w:tcBorders>
            <w:hideMark/>
          </w:tcPr>
          <w:p w:rsidR="00567341" w:rsidRPr="00B10704" w:rsidP="00567341" w14:paraId="66249D2B" w14:textId="77777777">
            <w:pPr>
              <w:keepNext/>
              <w:jc w:val="right"/>
            </w:pPr>
            <w:r w:rsidRPr="00B10704">
              <w:t>0.5</w:t>
            </w:r>
          </w:p>
          <w:p w:rsidR="00567341" w:rsidRPr="00B10704" w:rsidP="00567341" w14:paraId="25AE6E63" w14:textId="77777777">
            <w:pPr>
              <w:keepNext/>
              <w:jc w:val="right"/>
            </w:pPr>
            <w:r w:rsidRPr="00B10704">
              <w:t>(30 minutes)</w:t>
            </w:r>
          </w:p>
        </w:tc>
        <w:tc>
          <w:tcPr>
            <w:tcW w:w="810" w:type="dxa"/>
            <w:tcBorders>
              <w:top w:val="single" w:sz="4" w:space="0" w:color="auto"/>
              <w:left w:val="single" w:sz="4" w:space="0" w:color="auto"/>
              <w:bottom w:val="single" w:sz="4" w:space="0" w:color="auto"/>
              <w:right w:val="single" w:sz="4" w:space="0" w:color="auto"/>
            </w:tcBorders>
            <w:hideMark/>
          </w:tcPr>
          <w:p w:rsidR="00567341" w:rsidRPr="00B10704" w:rsidP="00567341" w14:paraId="2FCD97CB" w14:textId="77777777">
            <w:pPr>
              <w:keepNext/>
              <w:jc w:val="right"/>
            </w:pPr>
            <w:r w:rsidRPr="00B10704">
              <w:t>9</w:t>
            </w:r>
          </w:p>
        </w:tc>
      </w:tr>
    </w:tbl>
    <w:p w:rsidR="00567341" w:rsidRPr="005372F4" w:rsidP="00567341" w14:paraId="5EF7780F" w14:textId="32DFB3B9">
      <w:r w:rsidRPr="005372F4">
        <w:rPr>
          <w:vertAlign w:val="superscript"/>
        </w:rPr>
        <w:t>1</w:t>
      </w:r>
      <w:r w:rsidRPr="005372F4">
        <w:t xml:space="preserve"> There are no capital costs or operating and maintenance costs associated with this </w:t>
      </w:r>
      <w:r w:rsidRPr="005372F4" w:rsidR="00957CDB">
        <w:t xml:space="preserve">information </w:t>
      </w:r>
      <w:r w:rsidRPr="005372F4">
        <w:t>collection.</w:t>
      </w:r>
    </w:p>
    <w:p w:rsidR="00567341" w:rsidRPr="00B35A23" w:rsidP="005372F4" w14:paraId="56C5D2DB" w14:textId="77777777">
      <w:pPr>
        <w:pStyle w:val="BodyText"/>
        <w:spacing w:after="0"/>
        <w:rPr>
          <w:sz w:val="24"/>
          <w:szCs w:val="24"/>
        </w:rPr>
      </w:pPr>
    </w:p>
    <w:p w:rsidR="00567341" w:rsidRPr="00B35A23" w:rsidP="005372F4" w14:paraId="7E36FB9D" w14:textId="4AFE88F6">
      <w:pPr>
        <w:pStyle w:val="BodyText"/>
        <w:spacing w:after="0"/>
        <w:rPr>
          <w:sz w:val="24"/>
          <w:szCs w:val="24"/>
        </w:rPr>
      </w:pPr>
      <w:r w:rsidRPr="00B35A23">
        <w:rPr>
          <w:sz w:val="24"/>
          <w:szCs w:val="24"/>
        </w:rPr>
        <w:t xml:space="preserve">We estimate that 18 outsourcing facilities </w:t>
      </w:r>
      <w:r w:rsidR="00DB3F85">
        <w:rPr>
          <w:sz w:val="24"/>
          <w:szCs w:val="24"/>
        </w:rPr>
        <w:t xml:space="preserve">annually </w:t>
      </w:r>
      <w:r w:rsidRPr="00B35A23">
        <w:rPr>
          <w:sz w:val="24"/>
          <w:szCs w:val="24"/>
        </w:rPr>
        <w:t xml:space="preserve">will maintain a copy of their small business designation letter and that maintaining each record will require 30 minutes.  </w:t>
      </w:r>
    </w:p>
    <w:p w:rsidR="00496354" w:rsidRPr="00B35A23" w:rsidP="00E0773C" w14:paraId="72984171" w14:textId="77777777">
      <w:pPr>
        <w:rPr>
          <w:sz w:val="24"/>
          <w:szCs w:val="24"/>
        </w:rPr>
      </w:pPr>
    </w:p>
    <w:p w:rsidR="00E0773C" w:rsidRPr="002C54D0" w:rsidP="005372F4" w14:paraId="2A85EE08" w14:textId="21D92D85">
      <w:pPr>
        <w:ind w:left="450"/>
        <w:rPr>
          <w:i/>
          <w:iCs/>
          <w:sz w:val="24"/>
          <w:szCs w:val="24"/>
        </w:rPr>
      </w:pPr>
      <w:r w:rsidRPr="002C54D0">
        <w:rPr>
          <w:i/>
          <w:iCs/>
          <w:sz w:val="24"/>
          <w:szCs w:val="24"/>
        </w:rPr>
        <w:t>12b.  Annualized Cost Burden Estimate</w:t>
      </w:r>
    </w:p>
    <w:p w:rsidR="00E0773C" w:rsidRPr="00B35A23" w:rsidP="00E0773C" w14:paraId="6F097A0D" w14:textId="77777777">
      <w:pPr>
        <w:rPr>
          <w:sz w:val="24"/>
          <w:szCs w:val="24"/>
        </w:rPr>
      </w:pPr>
    </w:p>
    <w:p w:rsidR="00E0773C" w:rsidRPr="00B35A23" w:rsidP="00E0773C" w14:paraId="599C4590" w14:textId="0117CEC1">
      <w:pPr>
        <w:rPr>
          <w:sz w:val="24"/>
          <w:szCs w:val="24"/>
        </w:rPr>
      </w:pPr>
      <w:r w:rsidRPr="00B35A23">
        <w:rPr>
          <w:sz w:val="24"/>
          <w:szCs w:val="24"/>
        </w:rPr>
        <w:t xml:space="preserve">The industry burden estimate calculated above would result in labor costs.  Labor hours </w:t>
      </w:r>
      <w:r w:rsidRPr="00B35A23" w:rsidR="00542F83">
        <w:rPr>
          <w:sz w:val="24"/>
          <w:szCs w:val="24"/>
        </w:rPr>
        <w:t xml:space="preserve">for </w:t>
      </w:r>
      <w:r w:rsidR="002C59E1">
        <w:rPr>
          <w:sz w:val="24"/>
          <w:szCs w:val="24"/>
        </w:rPr>
        <w:t>f</w:t>
      </w:r>
      <w:r w:rsidRPr="00B35A23" w:rsidR="00542F83">
        <w:rPr>
          <w:sz w:val="24"/>
          <w:szCs w:val="24"/>
        </w:rPr>
        <w:t xml:space="preserve">acilities </w:t>
      </w:r>
      <w:r w:rsidR="0051106A">
        <w:rPr>
          <w:sz w:val="24"/>
          <w:szCs w:val="24"/>
        </w:rPr>
        <w:t>m</w:t>
      </w:r>
      <w:r w:rsidRPr="00B35A23" w:rsidR="00542F83">
        <w:rPr>
          <w:sz w:val="24"/>
          <w:szCs w:val="24"/>
        </w:rPr>
        <w:t xml:space="preserve">anagers </w:t>
      </w:r>
      <w:r w:rsidRPr="00B35A23">
        <w:rPr>
          <w:sz w:val="24"/>
          <w:szCs w:val="24"/>
        </w:rPr>
        <w:t xml:space="preserve">are valued </w:t>
      </w:r>
      <w:r w:rsidRPr="00B35A23" w:rsidR="00542F83">
        <w:rPr>
          <w:sz w:val="24"/>
          <w:szCs w:val="24"/>
        </w:rPr>
        <w:t xml:space="preserve">at </w:t>
      </w:r>
      <w:r w:rsidRPr="00B35A23">
        <w:rPr>
          <w:sz w:val="24"/>
          <w:szCs w:val="24"/>
        </w:rPr>
        <w:t xml:space="preserve">the mean hourly wage </w:t>
      </w:r>
      <w:r w:rsidRPr="00B35A23" w:rsidR="006C5807">
        <w:rPr>
          <w:sz w:val="24"/>
          <w:szCs w:val="24"/>
        </w:rPr>
        <w:t xml:space="preserve">rate </w:t>
      </w:r>
      <w:r w:rsidRPr="00B35A23">
        <w:rPr>
          <w:sz w:val="24"/>
          <w:szCs w:val="24"/>
        </w:rPr>
        <w:t>of $</w:t>
      </w:r>
      <w:r w:rsidRPr="00B35A23" w:rsidR="000A5930">
        <w:rPr>
          <w:sz w:val="24"/>
          <w:szCs w:val="24"/>
        </w:rPr>
        <w:t>70.21</w:t>
      </w:r>
      <w:r w:rsidRPr="00B35A23">
        <w:rPr>
          <w:sz w:val="24"/>
          <w:szCs w:val="24"/>
        </w:rPr>
        <w:t xml:space="preserve"> as reported by the U.S. Department of Labor, </w:t>
      </w:r>
      <w:r w:rsidRPr="00EC7806">
        <w:rPr>
          <w:sz w:val="24"/>
          <w:szCs w:val="24"/>
        </w:rPr>
        <w:t xml:space="preserve">Bureau of Labor Statistics, </w:t>
      </w:r>
      <w:r w:rsidR="00CE0484">
        <w:rPr>
          <w:sz w:val="24"/>
          <w:szCs w:val="24"/>
        </w:rPr>
        <w:t xml:space="preserve">in its </w:t>
      </w:r>
      <w:r w:rsidRPr="00EC7806" w:rsidR="00A84397">
        <w:rPr>
          <w:sz w:val="24"/>
          <w:szCs w:val="24"/>
        </w:rPr>
        <w:t>May</w:t>
      </w:r>
      <w:r w:rsidRPr="00B35A23" w:rsidR="00A84397">
        <w:rPr>
          <w:sz w:val="24"/>
          <w:szCs w:val="24"/>
        </w:rPr>
        <w:t xml:space="preserve"> </w:t>
      </w:r>
      <w:r w:rsidRPr="00B35A23">
        <w:rPr>
          <w:sz w:val="24"/>
          <w:szCs w:val="24"/>
        </w:rPr>
        <w:t>20</w:t>
      </w:r>
      <w:r w:rsidRPr="00B35A23" w:rsidR="00B36454">
        <w:rPr>
          <w:sz w:val="24"/>
          <w:szCs w:val="24"/>
        </w:rPr>
        <w:t>2</w:t>
      </w:r>
      <w:r w:rsidRPr="00B35A23" w:rsidR="00A84397">
        <w:rPr>
          <w:sz w:val="24"/>
          <w:szCs w:val="24"/>
        </w:rPr>
        <w:t xml:space="preserve">2 National </w:t>
      </w:r>
      <w:r w:rsidRPr="0061127D" w:rsidR="00A84397">
        <w:rPr>
          <w:sz w:val="24"/>
          <w:szCs w:val="24"/>
        </w:rPr>
        <w:t>Industry–Specific</w:t>
      </w:r>
      <w:r w:rsidRPr="00B35A23" w:rsidR="00A84397">
        <w:rPr>
          <w:sz w:val="24"/>
          <w:szCs w:val="24"/>
        </w:rPr>
        <w:t xml:space="preserve"> Occupational Employment and Wage Estimates for </w:t>
      </w:r>
      <w:r w:rsidRPr="00B35A23">
        <w:rPr>
          <w:sz w:val="24"/>
          <w:szCs w:val="24"/>
        </w:rPr>
        <w:t>Pharmaceutical and Medicine Manufacturing (</w:t>
      </w:r>
      <w:r w:rsidRPr="00DB3F85">
        <w:rPr>
          <w:sz w:val="24"/>
          <w:szCs w:val="24"/>
        </w:rPr>
        <w:t>NAICS,</w:t>
      </w:r>
      <w:r w:rsidRPr="00B35A23">
        <w:rPr>
          <w:sz w:val="24"/>
          <w:szCs w:val="24"/>
        </w:rPr>
        <w:t xml:space="preserve"> code 325400)</w:t>
      </w:r>
      <w:r w:rsidRPr="00B35A23" w:rsidR="00643145">
        <w:rPr>
          <w:sz w:val="24"/>
          <w:szCs w:val="24"/>
        </w:rPr>
        <w:t>, available at</w:t>
      </w:r>
      <w:r w:rsidRPr="00B35A23" w:rsidR="007B48F0">
        <w:rPr>
          <w:sz w:val="24"/>
          <w:szCs w:val="24"/>
        </w:rPr>
        <w:t xml:space="preserve"> </w:t>
      </w:r>
      <w:hyperlink r:id="rId13" w:history="1">
        <w:r w:rsidRPr="00B35A23" w:rsidR="007B48F0">
          <w:rPr>
            <w:rStyle w:val="Hyperlink"/>
            <w:sz w:val="24"/>
            <w:szCs w:val="24"/>
          </w:rPr>
          <w:t>https://www.bls.gov/oes/current/naics4_325400.htm</w:t>
        </w:r>
      </w:hyperlink>
      <w:r w:rsidRPr="00B35A23">
        <w:rPr>
          <w:sz w:val="24"/>
          <w:szCs w:val="24"/>
        </w:rPr>
        <w:t>.  Wages are further adjusted for benefits and overhead for an average hourly labor cost of $1</w:t>
      </w:r>
      <w:r w:rsidRPr="00B35A23" w:rsidR="004A509F">
        <w:rPr>
          <w:sz w:val="24"/>
          <w:szCs w:val="24"/>
        </w:rPr>
        <w:t>40.42</w:t>
      </w:r>
      <w:r w:rsidRPr="00B35A23">
        <w:rPr>
          <w:sz w:val="24"/>
          <w:szCs w:val="24"/>
        </w:rPr>
        <w:t xml:space="preserve"> ($</w:t>
      </w:r>
      <w:r w:rsidRPr="00B35A23" w:rsidR="004A509F">
        <w:rPr>
          <w:sz w:val="24"/>
          <w:szCs w:val="24"/>
        </w:rPr>
        <w:t>70.21</w:t>
      </w:r>
      <w:r w:rsidRPr="00B35A23">
        <w:rPr>
          <w:sz w:val="24"/>
          <w:szCs w:val="24"/>
        </w:rPr>
        <w:t xml:space="preserve"> x 2).  Using this wage rate</w:t>
      </w:r>
      <w:r w:rsidRPr="00B35A23" w:rsidR="005837E0">
        <w:rPr>
          <w:sz w:val="24"/>
          <w:szCs w:val="24"/>
        </w:rPr>
        <w:t xml:space="preserve"> multipl</w:t>
      </w:r>
      <w:r w:rsidR="005C44C3">
        <w:rPr>
          <w:sz w:val="24"/>
          <w:szCs w:val="24"/>
        </w:rPr>
        <w:t>ied</w:t>
      </w:r>
      <w:r w:rsidRPr="00B35A23" w:rsidR="00000385">
        <w:rPr>
          <w:sz w:val="24"/>
          <w:szCs w:val="24"/>
        </w:rPr>
        <w:t xml:space="preserve"> by </w:t>
      </w:r>
      <w:r w:rsidRPr="00B35A23" w:rsidR="005837E0">
        <w:rPr>
          <w:sz w:val="24"/>
          <w:szCs w:val="24"/>
        </w:rPr>
        <w:t xml:space="preserve">the total hours </w:t>
      </w:r>
      <w:r w:rsidRPr="00B35A23">
        <w:rPr>
          <w:sz w:val="24"/>
          <w:szCs w:val="24"/>
        </w:rPr>
        <w:t>calculated above for this information collection</w:t>
      </w:r>
      <w:r w:rsidRPr="00B35A23" w:rsidR="005837E0">
        <w:rPr>
          <w:sz w:val="24"/>
          <w:szCs w:val="24"/>
        </w:rPr>
        <w:t xml:space="preserve"> (</w:t>
      </w:r>
      <w:r w:rsidRPr="00B35A23" w:rsidR="00A95F58">
        <w:rPr>
          <w:sz w:val="24"/>
          <w:szCs w:val="24"/>
        </w:rPr>
        <w:t>861</w:t>
      </w:r>
      <w:r w:rsidRPr="00B35A23" w:rsidR="00000385">
        <w:rPr>
          <w:sz w:val="24"/>
          <w:szCs w:val="24"/>
        </w:rPr>
        <w:t>)</w:t>
      </w:r>
      <w:r w:rsidRPr="00B35A23">
        <w:rPr>
          <w:sz w:val="24"/>
          <w:szCs w:val="24"/>
        </w:rPr>
        <w:t xml:space="preserve">, </w:t>
      </w:r>
      <w:r w:rsidRPr="00B35A23" w:rsidR="00000385">
        <w:rPr>
          <w:sz w:val="24"/>
          <w:szCs w:val="24"/>
        </w:rPr>
        <w:t>we estimate</w:t>
      </w:r>
      <w:r w:rsidRPr="00B35A23">
        <w:rPr>
          <w:sz w:val="24"/>
          <w:szCs w:val="24"/>
        </w:rPr>
        <w:t xml:space="preserve"> approximately $</w:t>
      </w:r>
      <w:r w:rsidRPr="00B35A23" w:rsidR="00513D3B">
        <w:rPr>
          <w:sz w:val="24"/>
          <w:szCs w:val="24"/>
        </w:rPr>
        <w:t>120,901.62</w:t>
      </w:r>
      <w:r w:rsidRPr="00B35A23">
        <w:rPr>
          <w:sz w:val="24"/>
          <w:szCs w:val="24"/>
        </w:rPr>
        <w:t xml:space="preserve"> in labor costs</w:t>
      </w:r>
      <w:r w:rsidRPr="00B35A23" w:rsidR="00C65026">
        <w:rPr>
          <w:sz w:val="24"/>
          <w:szCs w:val="24"/>
        </w:rPr>
        <w:t xml:space="preserve"> </w:t>
      </w:r>
      <w:r w:rsidR="00F114F6">
        <w:rPr>
          <w:sz w:val="24"/>
          <w:szCs w:val="24"/>
        </w:rPr>
        <w:br/>
      </w:r>
      <w:r w:rsidRPr="00B35A23" w:rsidR="00C65026">
        <w:rPr>
          <w:sz w:val="24"/>
          <w:szCs w:val="24"/>
        </w:rPr>
        <w:t>($140.42 x 861)</w:t>
      </w:r>
      <w:r w:rsidRPr="00B35A23">
        <w:rPr>
          <w:sz w:val="24"/>
          <w:szCs w:val="24"/>
        </w:rPr>
        <w:t>.</w:t>
      </w:r>
    </w:p>
    <w:p w:rsidR="00702F49" w:rsidRPr="00B35A23" w:rsidP="00E0773C" w14:paraId="5B2578B5" w14:textId="77777777">
      <w:pPr>
        <w:rPr>
          <w:sz w:val="24"/>
          <w:szCs w:val="24"/>
        </w:rPr>
      </w:pPr>
    </w:p>
    <w:p w:rsidR="00E0773C" w:rsidRPr="00B35A23" w:rsidP="00E0773C" w14:paraId="479497F6" w14:textId="3461958D">
      <w:pPr>
        <w:rPr>
          <w:sz w:val="24"/>
          <w:szCs w:val="24"/>
        </w:rPr>
      </w:pPr>
      <w:r w:rsidRPr="00B35A23">
        <w:rPr>
          <w:sz w:val="24"/>
          <w:szCs w:val="24"/>
        </w:rPr>
        <w:t xml:space="preserve">13.  </w:t>
      </w:r>
      <w:r w:rsidRPr="00B35A23">
        <w:rPr>
          <w:sz w:val="24"/>
          <w:szCs w:val="24"/>
          <w:u w:val="single"/>
        </w:rPr>
        <w:t>Estimates of Other Total Annual Cost</w:t>
      </w:r>
      <w:r w:rsidR="009C43CF">
        <w:rPr>
          <w:sz w:val="24"/>
          <w:szCs w:val="24"/>
          <w:u w:val="single"/>
        </w:rPr>
        <w:t>s</w:t>
      </w:r>
      <w:r w:rsidRPr="00B35A23">
        <w:rPr>
          <w:sz w:val="24"/>
          <w:szCs w:val="24"/>
          <w:u w:val="single"/>
        </w:rPr>
        <w:t xml:space="preserve"> to Respondents</w:t>
      </w:r>
      <w:r w:rsidR="009C43CF">
        <w:rPr>
          <w:sz w:val="24"/>
          <w:szCs w:val="24"/>
          <w:u w:val="single"/>
        </w:rPr>
        <w:t>/</w:t>
      </w:r>
      <w:r w:rsidRPr="00B35A23">
        <w:rPr>
          <w:sz w:val="24"/>
          <w:szCs w:val="24"/>
          <w:u w:val="single"/>
        </w:rPr>
        <w:t>Recordkeepers</w:t>
      </w:r>
      <w:r w:rsidR="009C43CF">
        <w:rPr>
          <w:sz w:val="24"/>
          <w:szCs w:val="24"/>
          <w:u w:val="single"/>
        </w:rPr>
        <w:t xml:space="preserve"> or </w:t>
      </w:r>
      <w:r w:rsidRPr="00B35A23">
        <w:rPr>
          <w:sz w:val="24"/>
          <w:szCs w:val="24"/>
          <w:u w:val="single"/>
        </w:rPr>
        <w:t>Capital Costs</w:t>
      </w:r>
    </w:p>
    <w:p w:rsidR="00E0773C" w:rsidRPr="00B35A23" w:rsidP="00E0773C" w14:paraId="2A969AE6" w14:textId="77777777">
      <w:pPr>
        <w:rPr>
          <w:sz w:val="24"/>
          <w:szCs w:val="24"/>
        </w:rPr>
      </w:pPr>
      <w:r w:rsidRPr="00B35A23">
        <w:rPr>
          <w:sz w:val="24"/>
          <w:szCs w:val="24"/>
        </w:rPr>
        <w:tab/>
      </w:r>
    </w:p>
    <w:p w:rsidR="00E0773C" w:rsidRPr="00B35A23" w:rsidP="00E0773C" w14:paraId="6EC13DEC" w14:textId="1EB302F7">
      <w:pPr>
        <w:rPr>
          <w:sz w:val="24"/>
          <w:szCs w:val="24"/>
        </w:rPr>
      </w:pPr>
      <w:r w:rsidRPr="00B35A23">
        <w:rPr>
          <w:sz w:val="24"/>
          <w:szCs w:val="24"/>
        </w:rPr>
        <w:t xml:space="preserve">There </w:t>
      </w:r>
      <w:r w:rsidRPr="00B35A23" w:rsidR="009C43CF">
        <w:rPr>
          <w:sz w:val="24"/>
          <w:szCs w:val="24"/>
        </w:rPr>
        <w:t>is</w:t>
      </w:r>
      <w:r w:rsidRPr="00B35A23">
        <w:rPr>
          <w:sz w:val="24"/>
          <w:szCs w:val="24"/>
        </w:rPr>
        <w:t xml:space="preserve"> no capital, start-up, or operating or maintenance costs associated with this information collection.</w:t>
      </w:r>
    </w:p>
    <w:p w:rsidR="005C658D" w:rsidP="00E0773C" w14:paraId="537D1258" w14:textId="6DEC53FC">
      <w:pPr>
        <w:rPr>
          <w:sz w:val="24"/>
          <w:szCs w:val="24"/>
        </w:rPr>
      </w:pPr>
    </w:p>
    <w:p w:rsidR="00E0773C" w:rsidRPr="00B35A23" w:rsidP="00E0773C" w14:paraId="499AD63B" w14:textId="2D027274">
      <w:pPr>
        <w:rPr>
          <w:sz w:val="24"/>
          <w:szCs w:val="24"/>
        </w:rPr>
      </w:pPr>
      <w:r w:rsidRPr="00B35A23">
        <w:rPr>
          <w:sz w:val="24"/>
          <w:szCs w:val="24"/>
        </w:rPr>
        <w:t xml:space="preserve">14.  </w:t>
      </w:r>
      <w:r w:rsidRPr="00B35A23">
        <w:rPr>
          <w:sz w:val="24"/>
          <w:szCs w:val="24"/>
          <w:u w:val="single"/>
        </w:rPr>
        <w:t>Annualized Cost to the Federal Government</w:t>
      </w:r>
    </w:p>
    <w:p w:rsidR="00E0773C" w:rsidRPr="00552570" w:rsidP="00E0773C" w14:paraId="541975A4" w14:textId="77777777">
      <w:pPr>
        <w:rPr>
          <w:sz w:val="24"/>
          <w:szCs w:val="24"/>
        </w:rPr>
      </w:pPr>
    </w:p>
    <w:p w:rsidR="00E0773C" w:rsidRPr="00552570" w:rsidP="00E0773C" w14:paraId="6FC2F71B" w14:textId="61A3BE4B">
      <w:pPr>
        <w:rPr>
          <w:sz w:val="24"/>
          <w:szCs w:val="24"/>
        </w:rPr>
      </w:pPr>
      <w:r w:rsidRPr="00552570">
        <w:rPr>
          <w:sz w:val="24"/>
          <w:szCs w:val="24"/>
        </w:rPr>
        <w:t xml:space="preserve">Assuming </w:t>
      </w:r>
      <w:r w:rsidRPr="00552570" w:rsidR="00C4279B">
        <w:rPr>
          <w:sz w:val="24"/>
          <w:szCs w:val="24"/>
        </w:rPr>
        <w:t>2,0</w:t>
      </w:r>
      <w:r w:rsidRPr="00552570" w:rsidR="00417DAF">
        <w:rPr>
          <w:sz w:val="24"/>
          <w:szCs w:val="24"/>
        </w:rPr>
        <w:t>80</w:t>
      </w:r>
      <w:r w:rsidRPr="00552570" w:rsidR="00C4279B">
        <w:rPr>
          <w:sz w:val="24"/>
          <w:szCs w:val="24"/>
        </w:rPr>
        <w:t xml:space="preserve"> hours</w:t>
      </w:r>
      <w:r w:rsidR="00552570">
        <w:rPr>
          <w:sz w:val="24"/>
          <w:szCs w:val="24"/>
        </w:rPr>
        <w:t xml:space="preserve"> is expended</w:t>
      </w:r>
      <w:r w:rsidRPr="00552570">
        <w:rPr>
          <w:sz w:val="24"/>
          <w:szCs w:val="24"/>
        </w:rPr>
        <w:t xml:space="preserve"> </w:t>
      </w:r>
      <w:r w:rsidRPr="00552570" w:rsidR="00C4279B">
        <w:rPr>
          <w:sz w:val="24"/>
          <w:szCs w:val="24"/>
        </w:rPr>
        <w:t xml:space="preserve">annually </w:t>
      </w:r>
      <w:r w:rsidRPr="00552570" w:rsidR="006A5557">
        <w:rPr>
          <w:sz w:val="24"/>
          <w:szCs w:val="24"/>
        </w:rPr>
        <w:t>to</w:t>
      </w:r>
      <w:r w:rsidRPr="00552570" w:rsidR="007E17E3">
        <w:rPr>
          <w:sz w:val="24"/>
          <w:szCs w:val="24"/>
        </w:rPr>
        <w:t xml:space="preserve"> evaluat</w:t>
      </w:r>
      <w:r w:rsidRPr="00552570" w:rsidR="006A5557">
        <w:rPr>
          <w:sz w:val="24"/>
          <w:szCs w:val="24"/>
        </w:rPr>
        <w:t>e</w:t>
      </w:r>
      <w:r w:rsidRPr="00552570" w:rsidR="007E17E3">
        <w:rPr>
          <w:sz w:val="24"/>
          <w:szCs w:val="24"/>
        </w:rPr>
        <w:t xml:space="preserve"> submissions and administer the information collection</w:t>
      </w:r>
      <w:r w:rsidRPr="00552570">
        <w:rPr>
          <w:sz w:val="24"/>
          <w:szCs w:val="24"/>
        </w:rPr>
        <w:t xml:space="preserve">, and using a </w:t>
      </w:r>
      <w:r w:rsidRPr="00552570" w:rsidR="008E4C68">
        <w:rPr>
          <w:sz w:val="24"/>
          <w:szCs w:val="24"/>
        </w:rPr>
        <w:t xml:space="preserve">cost </w:t>
      </w:r>
      <w:r w:rsidRPr="00552570">
        <w:rPr>
          <w:sz w:val="24"/>
          <w:szCs w:val="24"/>
        </w:rPr>
        <w:t xml:space="preserve">factor </w:t>
      </w:r>
      <w:r w:rsidRPr="00552570" w:rsidR="008E4C68">
        <w:rPr>
          <w:sz w:val="24"/>
          <w:szCs w:val="24"/>
        </w:rPr>
        <w:t>of $32</w:t>
      </w:r>
      <w:r w:rsidRPr="00552570" w:rsidR="000F61F2">
        <w:rPr>
          <w:sz w:val="24"/>
          <w:szCs w:val="24"/>
        </w:rPr>
        <w:t>5</w:t>
      </w:r>
      <w:r w:rsidRPr="00552570" w:rsidR="008E4C68">
        <w:rPr>
          <w:sz w:val="24"/>
          <w:szCs w:val="24"/>
        </w:rPr>
        <w:t>,</w:t>
      </w:r>
      <w:r w:rsidRPr="00552570" w:rsidR="000F61F2">
        <w:rPr>
          <w:sz w:val="24"/>
          <w:szCs w:val="24"/>
        </w:rPr>
        <w:t>348</w:t>
      </w:r>
      <w:r w:rsidRPr="00552570" w:rsidR="008E4C68">
        <w:rPr>
          <w:sz w:val="24"/>
          <w:szCs w:val="24"/>
        </w:rPr>
        <w:t xml:space="preserve"> per one full time equivalent (salary plus overhead, full-time </w:t>
      </w:r>
      <w:r w:rsidRPr="00552570" w:rsidR="000805F4">
        <w:rPr>
          <w:sz w:val="24"/>
          <w:szCs w:val="24"/>
        </w:rPr>
        <w:t>40-hour</w:t>
      </w:r>
      <w:r w:rsidRPr="00552570" w:rsidR="008E4C68">
        <w:rPr>
          <w:sz w:val="24"/>
          <w:szCs w:val="24"/>
        </w:rPr>
        <w:t xml:space="preserve"> week)</w:t>
      </w:r>
      <w:r w:rsidRPr="00552570" w:rsidR="00417DAF">
        <w:rPr>
          <w:sz w:val="24"/>
          <w:szCs w:val="24"/>
        </w:rPr>
        <w:t xml:space="preserve"> </w:t>
      </w:r>
      <w:r w:rsidRPr="00552570" w:rsidR="00552570">
        <w:rPr>
          <w:sz w:val="24"/>
          <w:szCs w:val="24"/>
        </w:rPr>
        <w:t>we mu</w:t>
      </w:r>
      <w:r w:rsidRPr="00552570" w:rsidR="00417DAF">
        <w:rPr>
          <w:sz w:val="24"/>
          <w:szCs w:val="24"/>
        </w:rPr>
        <w:t>ltiplied the total number of hours worked (2,080 hours) by the fully loaded wage rate  $156 per hour</w:t>
      </w:r>
      <w:r w:rsidR="003D0813">
        <w:rPr>
          <w:sz w:val="24"/>
          <w:szCs w:val="24"/>
        </w:rPr>
        <w:t xml:space="preserve"> to </w:t>
      </w:r>
      <w:r w:rsidRPr="00552570">
        <w:rPr>
          <w:sz w:val="24"/>
          <w:szCs w:val="24"/>
        </w:rPr>
        <w:t xml:space="preserve">calculate the total cost to the Federal government to be </w:t>
      </w:r>
      <w:r w:rsidRPr="00552570">
        <w:rPr>
          <w:b/>
          <w:bCs/>
          <w:sz w:val="24"/>
          <w:szCs w:val="24"/>
        </w:rPr>
        <w:t>$312,000</w:t>
      </w:r>
      <w:r w:rsidRPr="00552570">
        <w:rPr>
          <w:sz w:val="24"/>
          <w:szCs w:val="24"/>
        </w:rPr>
        <w:t xml:space="preserve">. </w:t>
      </w:r>
    </w:p>
    <w:p w:rsidR="00E0773C" w:rsidP="00E0773C" w14:paraId="258EC18B" w14:textId="47F22F5A">
      <w:pPr>
        <w:rPr>
          <w:sz w:val="24"/>
          <w:szCs w:val="24"/>
        </w:rPr>
      </w:pPr>
    </w:p>
    <w:p w:rsidR="00E0773C" w:rsidRPr="00B35A23" w:rsidP="00E0773C" w14:paraId="70A3B95A" w14:textId="77777777">
      <w:pPr>
        <w:rPr>
          <w:sz w:val="24"/>
          <w:szCs w:val="24"/>
        </w:rPr>
      </w:pPr>
      <w:r w:rsidRPr="00B35A23">
        <w:rPr>
          <w:sz w:val="24"/>
          <w:szCs w:val="24"/>
        </w:rPr>
        <w:t xml:space="preserve">15.  </w:t>
      </w:r>
      <w:r w:rsidRPr="00B35A23">
        <w:rPr>
          <w:sz w:val="24"/>
          <w:szCs w:val="24"/>
          <w:u w:val="single"/>
        </w:rPr>
        <w:t>Explanation for Program Changes or Adjustments</w:t>
      </w:r>
    </w:p>
    <w:p w:rsidR="00E0773C" w:rsidRPr="00B35A23" w:rsidP="00E0773C" w14:paraId="540A92F4" w14:textId="77777777">
      <w:pPr>
        <w:rPr>
          <w:sz w:val="24"/>
          <w:szCs w:val="24"/>
        </w:rPr>
      </w:pPr>
    </w:p>
    <w:p w:rsidR="00C23D16" w:rsidRPr="00B35A23" w:rsidP="00C23D16" w14:paraId="1B27CE60" w14:textId="0397BB56">
      <w:pPr>
        <w:rPr>
          <w:sz w:val="24"/>
          <w:szCs w:val="24"/>
        </w:rPr>
      </w:pPr>
      <w:r w:rsidRPr="00B35A23">
        <w:rPr>
          <w:sz w:val="24"/>
          <w:szCs w:val="24"/>
        </w:rPr>
        <w:t>The information collection</w:t>
      </w:r>
      <w:r w:rsidRPr="00B35A23" w:rsidR="00062F77">
        <w:rPr>
          <w:sz w:val="24"/>
          <w:szCs w:val="24"/>
        </w:rPr>
        <w:t xml:space="preserve"> reflects </w:t>
      </w:r>
      <w:r w:rsidR="00EF30AF">
        <w:rPr>
          <w:sz w:val="24"/>
          <w:szCs w:val="24"/>
        </w:rPr>
        <w:t xml:space="preserve">an </w:t>
      </w:r>
      <w:r w:rsidRPr="00B35A23">
        <w:rPr>
          <w:sz w:val="24"/>
          <w:szCs w:val="24"/>
        </w:rPr>
        <w:t>increase in the number of annual registrations, but a decrease in reinspection fee submissions.</w:t>
      </w:r>
      <w:r w:rsidRPr="00B35A23" w:rsidR="00083100">
        <w:rPr>
          <w:sz w:val="24"/>
          <w:szCs w:val="24"/>
        </w:rPr>
        <w:t xml:space="preserve">  The adjustment</w:t>
      </w:r>
      <w:r w:rsidR="0082199B">
        <w:rPr>
          <w:sz w:val="24"/>
          <w:szCs w:val="24"/>
        </w:rPr>
        <w:t>s</w:t>
      </w:r>
      <w:r w:rsidRPr="00B35A23" w:rsidR="00083100">
        <w:rPr>
          <w:sz w:val="24"/>
          <w:szCs w:val="24"/>
        </w:rPr>
        <w:t xml:space="preserve"> result in an increase of </w:t>
      </w:r>
      <w:r w:rsidR="0054410A">
        <w:rPr>
          <w:sz w:val="24"/>
          <w:szCs w:val="24"/>
        </w:rPr>
        <w:t xml:space="preserve">90 </w:t>
      </w:r>
      <w:r w:rsidRPr="00B35A23" w:rsidR="00083100">
        <w:rPr>
          <w:sz w:val="24"/>
          <w:szCs w:val="24"/>
        </w:rPr>
        <w:t>response</w:t>
      </w:r>
      <w:r w:rsidRPr="00B35A23" w:rsidR="003E487C">
        <w:rPr>
          <w:sz w:val="24"/>
          <w:szCs w:val="24"/>
        </w:rPr>
        <w:t>s</w:t>
      </w:r>
      <w:r w:rsidRPr="00B35A23" w:rsidR="00083100">
        <w:rPr>
          <w:sz w:val="24"/>
          <w:szCs w:val="24"/>
        </w:rPr>
        <w:t xml:space="preserve"> and</w:t>
      </w:r>
      <w:r w:rsidRPr="00B35A23" w:rsidR="003E487C">
        <w:rPr>
          <w:sz w:val="24"/>
          <w:szCs w:val="24"/>
        </w:rPr>
        <w:t xml:space="preserve"> 4</w:t>
      </w:r>
      <w:r w:rsidR="0054410A">
        <w:rPr>
          <w:sz w:val="24"/>
          <w:szCs w:val="24"/>
        </w:rPr>
        <w:t>32</w:t>
      </w:r>
      <w:r w:rsidRPr="00B35A23" w:rsidR="003E487C">
        <w:rPr>
          <w:sz w:val="24"/>
          <w:szCs w:val="24"/>
        </w:rPr>
        <w:t xml:space="preserve"> </w:t>
      </w:r>
      <w:r w:rsidRPr="00B35A23" w:rsidR="009C7C3B">
        <w:rPr>
          <w:sz w:val="24"/>
          <w:szCs w:val="24"/>
        </w:rPr>
        <w:t>hours annually</w:t>
      </w:r>
      <w:r w:rsidR="00257867">
        <w:rPr>
          <w:sz w:val="24"/>
          <w:szCs w:val="24"/>
        </w:rPr>
        <w:t>.</w:t>
      </w:r>
      <w:r w:rsidRPr="00B35A23" w:rsidR="0026048C">
        <w:rPr>
          <w:sz w:val="24"/>
          <w:szCs w:val="24"/>
        </w:rPr>
        <w:t xml:space="preserve"> </w:t>
      </w:r>
    </w:p>
    <w:p w:rsidR="001738DE" w:rsidP="00E0773C" w14:paraId="0897F35C" w14:textId="5D5C2968">
      <w:pPr>
        <w:rPr>
          <w:sz w:val="24"/>
          <w:szCs w:val="24"/>
        </w:rPr>
      </w:pPr>
    </w:p>
    <w:p w:rsidR="00E0773C" w:rsidRPr="00B35A23" w:rsidP="00E0773C" w14:paraId="485FD522" w14:textId="77777777">
      <w:pPr>
        <w:rPr>
          <w:sz w:val="24"/>
          <w:szCs w:val="24"/>
        </w:rPr>
      </w:pPr>
      <w:r w:rsidRPr="00B35A23">
        <w:rPr>
          <w:sz w:val="24"/>
          <w:szCs w:val="24"/>
        </w:rPr>
        <w:t xml:space="preserve">16.  </w:t>
      </w:r>
      <w:r w:rsidRPr="00B35A23">
        <w:rPr>
          <w:sz w:val="24"/>
          <w:szCs w:val="24"/>
          <w:u w:val="single"/>
        </w:rPr>
        <w:t>Plans for Tabulation and Publication and Project Time Schedule</w:t>
      </w:r>
    </w:p>
    <w:p w:rsidR="001738DE" w:rsidRPr="00B35A23" w:rsidP="00E0773C" w14:paraId="1F80427C" w14:textId="77777777">
      <w:pPr>
        <w:rPr>
          <w:sz w:val="24"/>
          <w:szCs w:val="24"/>
        </w:rPr>
      </w:pPr>
    </w:p>
    <w:p w:rsidR="00E0773C" w:rsidRPr="00B35A23" w:rsidP="00E0773C" w14:paraId="16834D51" w14:textId="618ECBD3">
      <w:pPr>
        <w:rPr>
          <w:sz w:val="24"/>
          <w:szCs w:val="24"/>
        </w:rPr>
      </w:pPr>
      <w:r w:rsidRPr="0079189D">
        <w:rPr>
          <w:sz w:val="24"/>
          <w:szCs w:val="24"/>
        </w:rPr>
        <w:t>This information collected will not be published or tabulated</w:t>
      </w:r>
      <w:r w:rsidRPr="00E44668">
        <w:rPr>
          <w:sz w:val="24"/>
          <w:szCs w:val="24"/>
        </w:rPr>
        <w:t>.</w:t>
      </w:r>
    </w:p>
    <w:p w:rsidR="001738DE" w:rsidP="00E0773C" w14:paraId="4639CDBB" w14:textId="4782B864">
      <w:pPr>
        <w:rPr>
          <w:sz w:val="24"/>
          <w:szCs w:val="24"/>
        </w:rPr>
      </w:pPr>
    </w:p>
    <w:p w:rsidR="00E0773C" w:rsidRPr="00B35A23" w:rsidP="00E0773C" w14:paraId="32964657" w14:textId="77777777">
      <w:pPr>
        <w:rPr>
          <w:sz w:val="24"/>
          <w:szCs w:val="24"/>
        </w:rPr>
      </w:pPr>
      <w:r w:rsidRPr="00B35A23">
        <w:rPr>
          <w:sz w:val="24"/>
          <w:szCs w:val="24"/>
        </w:rPr>
        <w:t xml:space="preserve">17.  </w:t>
      </w:r>
      <w:r w:rsidRPr="00B35A23">
        <w:rPr>
          <w:sz w:val="24"/>
          <w:szCs w:val="24"/>
          <w:u w:val="single"/>
        </w:rPr>
        <w:t>Reason(s) Display of OMB Expiration Date is Inappropriate</w:t>
      </w:r>
    </w:p>
    <w:p w:rsidR="001738DE" w:rsidRPr="00B35A23" w:rsidP="00E0773C" w14:paraId="4A15556A" w14:textId="77777777">
      <w:pPr>
        <w:rPr>
          <w:sz w:val="24"/>
          <w:szCs w:val="24"/>
        </w:rPr>
      </w:pPr>
    </w:p>
    <w:p w:rsidR="00E0773C" w:rsidRPr="00B35A23" w:rsidP="00E0773C" w14:paraId="2F7AAD3C" w14:textId="77777777">
      <w:pPr>
        <w:rPr>
          <w:sz w:val="24"/>
          <w:szCs w:val="24"/>
        </w:rPr>
      </w:pPr>
      <w:r w:rsidRPr="00B35A23">
        <w:rPr>
          <w:sz w:val="24"/>
          <w:szCs w:val="24"/>
        </w:rPr>
        <w:t>The OMB expiration data will be displayed where required.</w:t>
      </w:r>
    </w:p>
    <w:p w:rsidR="001738DE" w:rsidP="00E0773C" w14:paraId="10549597" w14:textId="534C3811">
      <w:pPr>
        <w:rPr>
          <w:sz w:val="24"/>
          <w:szCs w:val="24"/>
        </w:rPr>
      </w:pPr>
    </w:p>
    <w:p w:rsidR="00E0773C" w:rsidRPr="00B35A23" w:rsidP="00E0773C" w14:paraId="17FB7D93" w14:textId="77777777">
      <w:pPr>
        <w:rPr>
          <w:sz w:val="24"/>
          <w:szCs w:val="24"/>
        </w:rPr>
      </w:pPr>
      <w:r w:rsidRPr="00B35A23">
        <w:rPr>
          <w:sz w:val="24"/>
          <w:szCs w:val="24"/>
        </w:rPr>
        <w:t xml:space="preserve">18.  </w:t>
      </w:r>
      <w:r w:rsidRPr="00B35A23">
        <w:rPr>
          <w:sz w:val="24"/>
          <w:szCs w:val="24"/>
          <w:u w:val="single"/>
        </w:rPr>
        <w:t>Exceptions to Certification for Paperwork Reduction Act Submissions</w:t>
      </w:r>
      <w:r w:rsidRPr="00B35A23">
        <w:rPr>
          <w:sz w:val="24"/>
          <w:szCs w:val="24"/>
        </w:rPr>
        <w:t xml:space="preserve"> </w:t>
      </w:r>
    </w:p>
    <w:p w:rsidR="001738DE" w:rsidRPr="00B35A23" w:rsidP="00E0773C" w14:paraId="260D4154" w14:textId="77777777">
      <w:pPr>
        <w:rPr>
          <w:sz w:val="24"/>
          <w:szCs w:val="24"/>
        </w:rPr>
      </w:pPr>
    </w:p>
    <w:p w:rsidR="00E0773C" w:rsidRPr="00B35A23" w:rsidP="00E0773C" w14:paraId="5D9A6490" w14:textId="4567A084">
      <w:pPr>
        <w:rPr>
          <w:sz w:val="24"/>
          <w:szCs w:val="24"/>
        </w:rPr>
      </w:pPr>
      <w:r w:rsidRPr="00B35A23">
        <w:rPr>
          <w:sz w:val="24"/>
          <w:szCs w:val="24"/>
        </w:rPr>
        <w:t>There are no exceptions to the certification.</w:t>
      </w:r>
    </w:p>
    <w:sectPr w:rsidSect="004D1E9E">
      <w:headerReference w:type="default" r:id="rId14"/>
      <w:footerReference w:type="default" r:id="rId15"/>
      <w:headerReference w:type="first" r:id="rId16"/>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240445265"/>
      <w:docPartObj>
        <w:docPartGallery w:val="Page Numbers (Bottom of Page)"/>
        <w:docPartUnique/>
      </w:docPartObj>
    </w:sdtPr>
    <w:sdtEndPr>
      <w:rPr>
        <w:noProof/>
        <w:sz w:val="24"/>
        <w:szCs w:val="24"/>
      </w:rPr>
    </w:sdtEndPr>
    <w:sdtContent>
      <w:p w:rsidR="00D76660" w:rsidP="0049693B" w14:paraId="41812793" w14:textId="0BDD44FB">
        <w:pPr>
          <w:pStyle w:val="Footer"/>
          <w:jc w:val="center"/>
        </w:pPr>
        <w:r w:rsidRPr="0049693B">
          <w:rPr>
            <w:sz w:val="24"/>
            <w:szCs w:val="24"/>
          </w:rPr>
          <w:fldChar w:fldCharType="begin"/>
        </w:r>
        <w:r w:rsidRPr="005372F4">
          <w:rPr>
            <w:sz w:val="24"/>
            <w:szCs w:val="24"/>
          </w:rPr>
          <w:instrText xml:space="preserve"> PAGE   \* MERGEFORMAT </w:instrText>
        </w:r>
        <w:r w:rsidRPr="0049693B">
          <w:rPr>
            <w:sz w:val="24"/>
            <w:szCs w:val="24"/>
          </w:rPr>
          <w:fldChar w:fldCharType="separate"/>
        </w:r>
        <w:r w:rsidRPr="005372F4" w:rsidR="008C3CAA">
          <w:rPr>
            <w:noProof/>
            <w:sz w:val="24"/>
            <w:szCs w:val="24"/>
          </w:rPr>
          <w:t>2</w:t>
        </w:r>
        <w:r w:rsidRPr="0049693B">
          <w:rPr>
            <w:noProof/>
            <w:sz w:val="24"/>
            <w:szCs w:val="24"/>
          </w:rPr>
          <w:fldChar w:fldCharType="end"/>
        </w:r>
      </w:p>
    </w:sdtContent>
  </w:sdt>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7717" w:rsidP="0049693B" w14:paraId="16ADE2F9" w14:textId="1C164B01">
    <w:pPr>
      <w:pStyle w:val="Header"/>
      <w:spacing w:after="120"/>
    </w:pPr>
    <w:r w:rsidRPr="0049693B">
      <w:rPr>
        <w:noProof/>
        <w:sz w:val="18"/>
        <w:szCs w:val="18"/>
      </w:rPr>
      <w:drawing>
        <wp:inline distT="0" distB="0" distL="0" distR="0">
          <wp:extent cx="2762250" cy="5715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p w:rsidR="002C54D0" w:rsidP="0049693B" w14:paraId="1E481A0A" w14:textId="77777777">
    <w:pPr>
      <w:pStyle w:val="Header"/>
      <w:spacing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57717" w:rsidP="004224FA" w14:paraId="0B71E8BD" w14:textId="76596B9D">
    <w:pPr>
      <w:pStyle w:val="Header"/>
      <w:spacing w:after="120"/>
    </w:pPr>
    <w:r w:rsidRPr="004224FA">
      <w:rPr>
        <w:noProof/>
        <w:sz w:val="18"/>
        <w:szCs w:val="18"/>
      </w:rPr>
      <w:drawing>
        <wp:inline distT="0" distB="0" distL="0" distR="0">
          <wp:extent cx="2762250" cy="571500"/>
          <wp:effectExtent l="0" t="0" r="0" b="0"/>
          <wp:docPr id="1046380909" name="Picture 10463809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6380909" name=""/>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2762250" cy="5715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5370DA1"/>
    <w:multiLevelType w:val="hybridMultilevel"/>
    <w:tmpl w:val="563CA25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49F2B7A"/>
    <w:multiLevelType w:val="hybridMultilevel"/>
    <w:tmpl w:val="6DE8CD6A"/>
    <w:lvl w:ilvl="0">
      <w:start w:val="4"/>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50D0AE1"/>
    <w:multiLevelType w:val="hybridMultilevel"/>
    <w:tmpl w:val="F6BA09D8"/>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41AA6A4E"/>
    <w:multiLevelType w:val="hybridMultilevel"/>
    <w:tmpl w:val="DB4CB5F2"/>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54285CF2"/>
    <w:multiLevelType w:val="hybridMultilevel"/>
    <w:tmpl w:val="C91E3FB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41B265E"/>
    <w:multiLevelType w:val="hybridMultilevel"/>
    <w:tmpl w:val="5096F0C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777330655">
    <w:abstractNumId w:val="2"/>
  </w:num>
  <w:num w:numId="2" w16cid:durableId="340161380">
    <w:abstractNumId w:val="4"/>
  </w:num>
  <w:num w:numId="3" w16cid:durableId="1220093362">
    <w:abstractNumId w:val="3"/>
  </w:num>
  <w:num w:numId="4" w16cid:durableId="1529487805">
    <w:abstractNumId w:val="5"/>
  </w:num>
  <w:num w:numId="5" w16cid:durableId="2134520368">
    <w:abstractNumId w:val="0"/>
  </w:num>
  <w:num w:numId="6" w16cid:durableId="11731078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removePersonalInformation/>
  <w:removeDateAndTim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C77"/>
    <w:rsid w:val="00000385"/>
    <w:rsid w:val="00011E1D"/>
    <w:rsid w:val="00012CAC"/>
    <w:rsid w:val="00017997"/>
    <w:rsid w:val="00020034"/>
    <w:rsid w:val="0002019E"/>
    <w:rsid w:val="000213F9"/>
    <w:rsid w:val="00021CDC"/>
    <w:rsid w:val="00026D18"/>
    <w:rsid w:val="00032437"/>
    <w:rsid w:val="00036DEE"/>
    <w:rsid w:val="00042D2D"/>
    <w:rsid w:val="00043201"/>
    <w:rsid w:val="00045159"/>
    <w:rsid w:val="00047775"/>
    <w:rsid w:val="00055B6F"/>
    <w:rsid w:val="00062F77"/>
    <w:rsid w:val="00064EAD"/>
    <w:rsid w:val="0006548F"/>
    <w:rsid w:val="0007479E"/>
    <w:rsid w:val="000766AA"/>
    <w:rsid w:val="000805F4"/>
    <w:rsid w:val="0008146E"/>
    <w:rsid w:val="00083100"/>
    <w:rsid w:val="000837AE"/>
    <w:rsid w:val="00083F8C"/>
    <w:rsid w:val="000954FE"/>
    <w:rsid w:val="00096EAD"/>
    <w:rsid w:val="000A2061"/>
    <w:rsid w:val="000A3F43"/>
    <w:rsid w:val="000A5930"/>
    <w:rsid w:val="000A5AD9"/>
    <w:rsid w:val="000B1D83"/>
    <w:rsid w:val="000F0A38"/>
    <w:rsid w:val="000F2B57"/>
    <w:rsid w:val="000F61F2"/>
    <w:rsid w:val="000F6AB6"/>
    <w:rsid w:val="0010087E"/>
    <w:rsid w:val="00114B8C"/>
    <w:rsid w:val="00145682"/>
    <w:rsid w:val="00154562"/>
    <w:rsid w:val="0015544A"/>
    <w:rsid w:val="00155CBD"/>
    <w:rsid w:val="00156816"/>
    <w:rsid w:val="0016217E"/>
    <w:rsid w:val="00163004"/>
    <w:rsid w:val="00166AA3"/>
    <w:rsid w:val="001738DE"/>
    <w:rsid w:val="00177FB0"/>
    <w:rsid w:val="00180F16"/>
    <w:rsid w:val="00182D47"/>
    <w:rsid w:val="00191145"/>
    <w:rsid w:val="0019694B"/>
    <w:rsid w:val="001A0983"/>
    <w:rsid w:val="001A378A"/>
    <w:rsid w:val="001A5B95"/>
    <w:rsid w:val="001A6767"/>
    <w:rsid w:val="001B3D60"/>
    <w:rsid w:val="001B64EC"/>
    <w:rsid w:val="001C06D4"/>
    <w:rsid w:val="001C113F"/>
    <w:rsid w:val="001C1F8A"/>
    <w:rsid w:val="001C5D40"/>
    <w:rsid w:val="001D0472"/>
    <w:rsid w:val="001D1653"/>
    <w:rsid w:val="001D606D"/>
    <w:rsid w:val="001E38E9"/>
    <w:rsid w:val="001E534E"/>
    <w:rsid w:val="001F5C67"/>
    <w:rsid w:val="001F674B"/>
    <w:rsid w:val="00200D50"/>
    <w:rsid w:val="0020637D"/>
    <w:rsid w:val="00217811"/>
    <w:rsid w:val="002247A3"/>
    <w:rsid w:val="002317C6"/>
    <w:rsid w:val="002375F1"/>
    <w:rsid w:val="002418B5"/>
    <w:rsid w:val="00241C6E"/>
    <w:rsid w:val="00244AB2"/>
    <w:rsid w:val="002469B8"/>
    <w:rsid w:val="002476C7"/>
    <w:rsid w:val="00257867"/>
    <w:rsid w:val="0026048C"/>
    <w:rsid w:val="00260DE2"/>
    <w:rsid w:val="0026275F"/>
    <w:rsid w:val="00267811"/>
    <w:rsid w:val="00270DA3"/>
    <w:rsid w:val="002766C5"/>
    <w:rsid w:val="0028027F"/>
    <w:rsid w:val="002816AA"/>
    <w:rsid w:val="00283E80"/>
    <w:rsid w:val="00293F15"/>
    <w:rsid w:val="002A4A98"/>
    <w:rsid w:val="002B2DA1"/>
    <w:rsid w:val="002B4F9A"/>
    <w:rsid w:val="002B7EC6"/>
    <w:rsid w:val="002C0EE9"/>
    <w:rsid w:val="002C54D0"/>
    <w:rsid w:val="002C59E1"/>
    <w:rsid w:val="002C6831"/>
    <w:rsid w:val="002C7CCC"/>
    <w:rsid w:val="002D3B60"/>
    <w:rsid w:val="002E2C35"/>
    <w:rsid w:val="002E3CB6"/>
    <w:rsid w:val="002E3D21"/>
    <w:rsid w:val="002E6497"/>
    <w:rsid w:val="002F0141"/>
    <w:rsid w:val="002F2EFD"/>
    <w:rsid w:val="002F43AD"/>
    <w:rsid w:val="002F4743"/>
    <w:rsid w:val="002F5E71"/>
    <w:rsid w:val="002F634C"/>
    <w:rsid w:val="0030362B"/>
    <w:rsid w:val="0030382F"/>
    <w:rsid w:val="00304893"/>
    <w:rsid w:val="00304C00"/>
    <w:rsid w:val="00310F24"/>
    <w:rsid w:val="00320002"/>
    <w:rsid w:val="00321505"/>
    <w:rsid w:val="0032229A"/>
    <w:rsid w:val="00343FE5"/>
    <w:rsid w:val="00345366"/>
    <w:rsid w:val="00362B97"/>
    <w:rsid w:val="00367818"/>
    <w:rsid w:val="00370BA6"/>
    <w:rsid w:val="0037174D"/>
    <w:rsid w:val="00371C6D"/>
    <w:rsid w:val="00382101"/>
    <w:rsid w:val="00386DD6"/>
    <w:rsid w:val="003906CD"/>
    <w:rsid w:val="003942E7"/>
    <w:rsid w:val="00396E52"/>
    <w:rsid w:val="003A0D4B"/>
    <w:rsid w:val="003A5336"/>
    <w:rsid w:val="003A5613"/>
    <w:rsid w:val="003A5F44"/>
    <w:rsid w:val="003A6E4E"/>
    <w:rsid w:val="003B1B44"/>
    <w:rsid w:val="003B6D53"/>
    <w:rsid w:val="003C0C5A"/>
    <w:rsid w:val="003C4EA5"/>
    <w:rsid w:val="003D0813"/>
    <w:rsid w:val="003D21E1"/>
    <w:rsid w:val="003D5941"/>
    <w:rsid w:val="003E3546"/>
    <w:rsid w:val="003E487C"/>
    <w:rsid w:val="003F1884"/>
    <w:rsid w:val="003F2B6C"/>
    <w:rsid w:val="003F62A7"/>
    <w:rsid w:val="003F79A5"/>
    <w:rsid w:val="00402279"/>
    <w:rsid w:val="0041167C"/>
    <w:rsid w:val="00414E07"/>
    <w:rsid w:val="00417075"/>
    <w:rsid w:val="00417DAF"/>
    <w:rsid w:val="004224FA"/>
    <w:rsid w:val="00423EB8"/>
    <w:rsid w:val="00431C8C"/>
    <w:rsid w:val="00436F62"/>
    <w:rsid w:val="00437050"/>
    <w:rsid w:val="0044106A"/>
    <w:rsid w:val="004449A7"/>
    <w:rsid w:val="00445352"/>
    <w:rsid w:val="004529F3"/>
    <w:rsid w:val="004606E7"/>
    <w:rsid w:val="004643A4"/>
    <w:rsid w:val="00464983"/>
    <w:rsid w:val="00466BEF"/>
    <w:rsid w:val="004678F7"/>
    <w:rsid w:val="00467B3F"/>
    <w:rsid w:val="00470E43"/>
    <w:rsid w:val="00470EE5"/>
    <w:rsid w:val="00471D6A"/>
    <w:rsid w:val="0047226C"/>
    <w:rsid w:val="00472540"/>
    <w:rsid w:val="004767B6"/>
    <w:rsid w:val="0048285E"/>
    <w:rsid w:val="00485563"/>
    <w:rsid w:val="00486648"/>
    <w:rsid w:val="004877B9"/>
    <w:rsid w:val="0049284A"/>
    <w:rsid w:val="00496354"/>
    <w:rsid w:val="00496562"/>
    <w:rsid w:val="0049693B"/>
    <w:rsid w:val="00497E6A"/>
    <w:rsid w:val="004A1B88"/>
    <w:rsid w:val="004A509F"/>
    <w:rsid w:val="004C1442"/>
    <w:rsid w:val="004C700E"/>
    <w:rsid w:val="004D1E9E"/>
    <w:rsid w:val="004D3B7B"/>
    <w:rsid w:val="004D4794"/>
    <w:rsid w:val="004D6530"/>
    <w:rsid w:val="004D724E"/>
    <w:rsid w:val="004D7644"/>
    <w:rsid w:val="004D78AD"/>
    <w:rsid w:val="004E06CC"/>
    <w:rsid w:val="004F5DCE"/>
    <w:rsid w:val="00500C79"/>
    <w:rsid w:val="00506D1E"/>
    <w:rsid w:val="00507DA5"/>
    <w:rsid w:val="0051106A"/>
    <w:rsid w:val="0051228B"/>
    <w:rsid w:val="00513D3B"/>
    <w:rsid w:val="00522641"/>
    <w:rsid w:val="0052799A"/>
    <w:rsid w:val="005372F4"/>
    <w:rsid w:val="0054284E"/>
    <w:rsid w:val="00542F83"/>
    <w:rsid w:val="0054302B"/>
    <w:rsid w:val="00543E00"/>
    <w:rsid w:val="0054410A"/>
    <w:rsid w:val="00544E37"/>
    <w:rsid w:val="0054781F"/>
    <w:rsid w:val="00552570"/>
    <w:rsid w:val="005525CC"/>
    <w:rsid w:val="00553D36"/>
    <w:rsid w:val="00557D51"/>
    <w:rsid w:val="0056069B"/>
    <w:rsid w:val="005626D1"/>
    <w:rsid w:val="00567341"/>
    <w:rsid w:val="0056763F"/>
    <w:rsid w:val="005837E0"/>
    <w:rsid w:val="00590F4E"/>
    <w:rsid w:val="00591EC0"/>
    <w:rsid w:val="00596712"/>
    <w:rsid w:val="005A3542"/>
    <w:rsid w:val="005A58C0"/>
    <w:rsid w:val="005B0037"/>
    <w:rsid w:val="005B0806"/>
    <w:rsid w:val="005B1859"/>
    <w:rsid w:val="005B20A1"/>
    <w:rsid w:val="005B66AF"/>
    <w:rsid w:val="005B6ECC"/>
    <w:rsid w:val="005B789A"/>
    <w:rsid w:val="005C1BBD"/>
    <w:rsid w:val="005C39B2"/>
    <w:rsid w:val="005C44C3"/>
    <w:rsid w:val="005C658D"/>
    <w:rsid w:val="005C6C2B"/>
    <w:rsid w:val="005C7967"/>
    <w:rsid w:val="005D128F"/>
    <w:rsid w:val="005D24AB"/>
    <w:rsid w:val="005D5BA0"/>
    <w:rsid w:val="005D7819"/>
    <w:rsid w:val="005E1F26"/>
    <w:rsid w:val="005E445A"/>
    <w:rsid w:val="005E485A"/>
    <w:rsid w:val="005F1375"/>
    <w:rsid w:val="005F6FD7"/>
    <w:rsid w:val="0061127D"/>
    <w:rsid w:val="006205AB"/>
    <w:rsid w:val="00621C2E"/>
    <w:rsid w:val="00622BB7"/>
    <w:rsid w:val="00626316"/>
    <w:rsid w:val="006320D1"/>
    <w:rsid w:val="0063222A"/>
    <w:rsid w:val="006368BD"/>
    <w:rsid w:val="0064023C"/>
    <w:rsid w:val="00643145"/>
    <w:rsid w:val="00646498"/>
    <w:rsid w:val="0065095E"/>
    <w:rsid w:val="00660DAE"/>
    <w:rsid w:val="00686541"/>
    <w:rsid w:val="00694B9D"/>
    <w:rsid w:val="006969EF"/>
    <w:rsid w:val="00696CDE"/>
    <w:rsid w:val="006A0C6C"/>
    <w:rsid w:val="006A5557"/>
    <w:rsid w:val="006A7C77"/>
    <w:rsid w:val="006B2DB2"/>
    <w:rsid w:val="006B4099"/>
    <w:rsid w:val="006C0DAE"/>
    <w:rsid w:val="006C5701"/>
    <w:rsid w:val="006C5807"/>
    <w:rsid w:val="006D0BB9"/>
    <w:rsid w:val="006E16A4"/>
    <w:rsid w:val="006F1F61"/>
    <w:rsid w:val="006F5464"/>
    <w:rsid w:val="00702F49"/>
    <w:rsid w:val="00703C75"/>
    <w:rsid w:val="00704A82"/>
    <w:rsid w:val="007073C2"/>
    <w:rsid w:val="0071557C"/>
    <w:rsid w:val="007171A2"/>
    <w:rsid w:val="007200A9"/>
    <w:rsid w:val="0073095D"/>
    <w:rsid w:val="007356B4"/>
    <w:rsid w:val="007364C9"/>
    <w:rsid w:val="00740C38"/>
    <w:rsid w:val="007439E9"/>
    <w:rsid w:val="007445C6"/>
    <w:rsid w:val="00756A2C"/>
    <w:rsid w:val="007601E2"/>
    <w:rsid w:val="007630E0"/>
    <w:rsid w:val="007657E6"/>
    <w:rsid w:val="0078133E"/>
    <w:rsid w:val="0079189D"/>
    <w:rsid w:val="0079372A"/>
    <w:rsid w:val="007A39FE"/>
    <w:rsid w:val="007A723E"/>
    <w:rsid w:val="007B2610"/>
    <w:rsid w:val="007B48F0"/>
    <w:rsid w:val="007B6C41"/>
    <w:rsid w:val="007C2467"/>
    <w:rsid w:val="007C4132"/>
    <w:rsid w:val="007C527A"/>
    <w:rsid w:val="007D2A6F"/>
    <w:rsid w:val="007D3356"/>
    <w:rsid w:val="007D657F"/>
    <w:rsid w:val="007E17E3"/>
    <w:rsid w:val="007E2133"/>
    <w:rsid w:val="007E5BCE"/>
    <w:rsid w:val="007E6613"/>
    <w:rsid w:val="007F0728"/>
    <w:rsid w:val="007F3E81"/>
    <w:rsid w:val="00800090"/>
    <w:rsid w:val="008036CD"/>
    <w:rsid w:val="008116DF"/>
    <w:rsid w:val="00812244"/>
    <w:rsid w:val="00813186"/>
    <w:rsid w:val="00815568"/>
    <w:rsid w:val="008165A7"/>
    <w:rsid w:val="0082199B"/>
    <w:rsid w:val="00822E66"/>
    <w:rsid w:val="0083372A"/>
    <w:rsid w:val="00851AC7"/>
    <w:rsid w:val="008536B8"/>
    <w:rsid w:val="00865C8F"/>
    <w:rsid w:val="00871F9B"/>
    <w:rsid w:val="008769AF"/>
    <w:rsid w:val="00881F83"/>
    <w:rsid w:val="00882C06"/>
    <w:rsid w:val="00890A83"/>
    <w:rsid w:val="00894F58"/>
    <w:rsid w:val="008959F5"/>
    <w:rsid w:val="008B1D69"/>
    <w:rsid w:val="008B28FF"/>
    <w:rsid w:val="008B694C"/>
    <w:rsid w:val="008B6A76"/>
    <w:rsid w:val="008C3CAA"/>
    <w:rsid w:val="008D2B1A"/>
    <w:rsid w:val="008E1356"/>
    <w:rsid w:val="008E2D8E"/>
    <w:rsid w:val="008E4C68"/>
    <w:rsid w:val="008E5CFA"/>
    <w:rsid w:val="008E5EA7"/>
    <w:rsid w:val="0090044B"/>
    <w:rsid w:val="00903080"/>
    <w:rsid w:val="00903CEA"/>
    <w:rsid w:val="00904AF1"/>
    <w:rsid w:val="009104CF"/>
    <w:rsid w:val="009146B8"/>
    <w:rsid w:val="009222F6"/>
    <w:rsid w:val="0092601C"/>
    <w:rsid w:val="00930C91"/>
    <w:rsid w:val="00943312"/>
    <w:rsid w:val="00945476"/>
    <w:rsid w:val="00945FC4"/>
    <w:rsid w:val="009508A3"/>
    <w:rsid w:val="00957CDB"/>
    <w:rsid w:val="00971AE3"/>
    <w:rsid w:val="009728BD"/>
    <w:rsid w:val="00973459"/>
    <w:rsid w:val="00980910"/>
    <w:rsid w:val="0098450F"/>
    <w:rsid w:val="00991ADC"/>
    <w:rsid w:val="009921FE"/>
    <w:rsid w:val="00993503"/>
    <w:rsid w:val="0099495A"/>
    <w:rsid w:val="00995F29"/>
    <w:rsid w:val="009A0073"/>
    <w:rsid w:val="009B11BC"/>
    <w:rsid w:val="009B27B4"/>
    <w:rsid w:val="009B2AB8"/>
    <w:rsid w:val="009B3605"/>
    <w:rsid w:val="009B630A"/>
    <w:rsid w:val="009C09C3"/>
    <w:rsid w:val="009C0EA2"/>
    <w:rsid w:val="009C43CF"/>
    <w:rsid w:val="009C664A"/>
    <w:rsid w:val="009C69A5"/>
    <w:rsid w:val="009C7C3B"/>
    <w:rsid w:val="009D0019"/>
    <w:rsid w:val="009D309A"/>
    <w:rsid w:val="009D45C1"/>
    <w:rsid w:val="009E22B6"/>
    <w:rsid w:val="009E41CC"/>
    <w:rsid w:val="009E6761"/>
    <w:rsid w:val="009E748E"/>
    <w:rsid w:val="009E7C04"/>
    <w:rsid w:val="009F1250"/>
    <w:rsid w:val="009F15B8"/>
    <w:rsid w:val="00A02197"/>
    <w:rsid w:val="00A0510B"/>
    <w:rsid w:val="00A100F3"/>
    <w:rsid w:val="00A23746"/>
    <w:rsid w:val="00A32CF4"/>
    <w:rsid w:val="00A34A9F"/>
    <w:rsid w:val="00A35B32"/>
    <w:rsid w:val="00A427AB"/>
    <w:rsid w:val="00A43366"/>
    <w:rsid w:val="00A43F23"/>
    <w:rsid w:val="00A47904"/>
    <w:rsid w:val="00A538BC"/>
    <w:rsid w:val="00A54174"/>
    <w:rsid w:val="00A57717"/>
    <w:rsid w:val="00A60A63"/>
    <w:rsid w:val="00A6243E"/>
    <w:rsid w:val="00A64918"/>
    <w:rsid w:val="00A7687A"/>
    <w:rsid w:val="00A76F0A"/>
    <w:rsid w:val="00A80B57"/>
    <w:rsid w:val="00A825B6"/>
    <w:rsid w:val="00A84397"/>
    <w:rsid w:val="00A95F58"/>
    <w:rsid w:val="00AA131E"/>
    <w:rsid w:val="00AA18A8"/>
    <w:rsid w:val="00AB79E7"/>
    <w:rsid w:val="00AC2E67"/>
    <w:rsid w:val="00AC69FF"/>
    <w:rsid w:val="00AD263C"/>
    <w:rsid w:val="00AD5B44"/>
    <w:rsid w:val="00AD60CF"/>
    <w:rsid w:val="00AD6AC1"/>
    <w:rsid w:val="00AF3852"/>
    <w:rsid w:val="00AF5B7E"/>
    <w:rsid w:val="00B059A8"/>
    <w:rsid w:val="00B10704"/>
    <w:rsid w:val="00B11C62"/>
    <w:rsid w:val="00B23C06"/>
    <w:rsid w:val="00B25CB7"/>
    <w:rsid w:val="00B343D8"/>
    <w:rsid w:val="00B35A23"/>
    <w:rsid w:val="00B36454"/>
    <w:rsid w:val="00B40D07"/>
    <w:rsid w:val="00B41754"/>
    <w:rsid w:val="00B45FB0"/>
    <w:rsid w:val="00B536AC"/>
    <w:rsid w:val="00B679EE"/>
    <w:rsid w:val="00B80DFB"/>
    <w:rsid w:val="00B84A26"/>
    <w:rsid w:val="00B909E2"/>
    <w:rsid w:val="00B924D6"/>
    <w:rsid w:val="00BA0482"/>
    <w:rsid w:val="00BA4F0D"/>
    <w:rsid w:val="00BA7C87"/>
    <w:rsid w:val="00BC099D"/>
    <w:rsid w:val="00BC4907"/>
    <w:rsid w:val="00BD3182"/>
    <w:rsid w:val="00BD690D"/>
    <w:rsid w:val="00BE1B37"/>
    <w:rsid w:val="00BE1D37"/>
    <w:rsid w:val="00BE3A3F"/>
    <w:rsid w:val="00BF162D"/>
    <w:rsid w:val="00BF3969"/>
    <w:rsid w:val="00C01503"/>
    <w:rsid w:val="00C02047"/>
    <w:rsid w:val="00C0216B"/>
    <w:rsid w:val="00C024BA"/>
    <w:rsid w:val="00C03C9F"/>
    <w:rsid w:val="00C13F1F"/>
    <w:rsid w:val="00C21B2D"/>
    <w:rsid w:val="00C23D16"/>
    <w:rsid w:val="00C254D1"/>
    <w:rsid w:val="00C301B4"/>
    <w:rsid w:val="00C31EC7"/>
    <w:rsid w:val="00C34619"/>
    <w:rsid w:val="00C37DCF"/>
    <w:rsid w:val="00C4279B"/>
    <w:rsid w:val="00C44D5A"/>
    <w:rsid w:val="00C50116"/>
    <w:rsid w:val="00C51F8D"/>
    <w:rsid w:val="00C53A66"/>
    <w:rsid w:val="00C55F87"/>
    <w:rsid w:val="00C62E6D"/>
    <w:rsid w:val="00C64E6F"/>
    <w:rsid w:val="00C65026"/>
    <w:rsid w:val="00C67335"/>
    <w:rsid w:val="00C70DFC"/>
    <w:rsid w:val="00C727DF"/>
    <w:rsid w:val="00C747EE"/>
    <w:rsid w:val="00C74EE1"/>
    <w:rsid w:val="00C75E19"/>
    <w:rsid w:val="00C7733C"/>
    <w:rsid w:val="00C8161D"/>
    <w:rsid w:val="00C85C2E"/>
    <w:rsid w:val="00C94B42"/>
    <w:rsid w:val="00C97988"/>
    <w:rsid w:val="00CA0FA3"/>
    <w:rsid w:val="00CB270D"/>
    <w:rsid w:val="00CB3186"/>
    <w:rsid w:val="00CB6994"/>
    <w:rsid w:val="00CB6B6B"/>
    <w:rsid w:val="00CC306A"/>
    <w:rsid w:val="00CC50EE"/>
    <w:rsid w:val="00CC77E0"/>
    <w:rsid w:val="00CD05D8"/>
    <w:rsid w:val="00CD0C67"/>
    <w:rsid w:val="00CD1EF5"/>
    <w:rsid w:val="00CD7083"/>
    <w:rsid w:val="00CE0484"/>
    <w:rsid w:val="00CE1AFB"/>
    <w:rsid w:val="00CF5625"/>
    <w:rsid w:val="00D04417"/>
    <w:rsid w:val="00D048A8"/>
    <w:rsid w:val="00D062A3"/>
    <w:rsid w:val="00D10FE9"/>
    <w:rsid w:val="00D222A1"/>
    <w:rsid w:val="00D2305C"/>
    <w:rsid w:val="00D23286"/>
    <w:rsid w:val="00D25B49"/>
    <w:rsid w:val="00D352B1"/>
    <w:rsid w:val="00D36CBA"/>
    <w:rsid w:val="00D4798E"/>
    <w:rsid w:val="00D56A76"/>
    <w:rsid w:val="00D6071A"/>
    <w:rsid w:val="00D621A8"/>
    <w:rsid w:val="00D63F89"/>
    <w:rsid w:val="00D76660"/>
    <w:rsid w:val="00D80BD3"/>
    <w:rsid w:val="00D821A5"/>
    <w:rsid w:val="00D87742"/>
    <w:rsid w:val="00DA467B"/>
    <w:rsid w:val="00DB3C55"/>
    <w:rsid w:val="00DB3F85"/>
    <w:rsid w:val="00DC0ACA"/>
    <w:rsid w:val="00DC0EBC"/>
    <w:rsid w:val="00DC76E7"/>
    <w:rsid w:val="00DD0599"/>
    <w:rsid w:val="00DD1233"/>
    <w:rsid w:val="00DE031F"/>
    <w:rsid w:val="00DE165F"/>
    <w:rsid w:val="00DE19DB"/>
    <w:rsid w:val="00DF1565"/>
    <w:rsid w:val="00DF1F09"/>
    <w:rsid w:val="00DF296C"/>
    <w:rsid w:val="00DF2C61"/>
    <w:rsid w:val="00E04E19"/>
    <w:rsid w:val="00E0551F"/>
    <w:rsid w:val="00E0773C"/>
    <w:rsid w:val="00E21484"/>
    <w:rsid w:val="00E220E1"/>
    <w:rsid w:val="00E22F56"/>
    <w:rsid w:val="00E25ECF"/>
    <w:rsid w:val="00E278C9"/>
    <w:rsid w:val="00E37A92"/>
    <w:rsid w:val="00E44668"/>
    <w:rsid w:val="00E6144A"/>
    <w:rsid w:val="00E64E0D"/>
    <w:rsid w:val="00E65DFD"/>
    <w:rsid w:val="00E6658A"/>
    <w:rsid w:val="00E724FC"/>
    <w:rsid w:val="00E72870"/>
    <w:rsid w:val="00E73FB6"/>
    <w:rsid w:val="00E84152"/>
    <w:rsid w:val="00E956CC"/>
    <w:rsid w:val="00E9614D"/>
    <w:rsid w:val="00EA2791"/>
    <w:rsid w:val="00EA31A9"/>
    <w:rsid w:val="00EA3F1E"/>
    <w:rsid w:val="00EA5763"/>
    <w:rsid w:val="00EA77CA"/>
    <w:rsid w:val="00EB22BF"/>
    <w:rsid w:val="00EB5629"/>
    <w:rsid w:val="00EC6847"/>
    <w:rsid w:val="00EC7806"/>
    <w:rsid w:val="00ED4FE8"/>
    <w:rsid w:val="00ED733B"/>
    <w:rsid w:val="00ED7639"/>
    <w:rsid w:val="00ED7F72"/>
    <w:rsid w:val="00EE1616"/>
    <w:rsid w:val="00EE47E5"/>
    <w:rsid w:val="00EF127A"/>
    <w:rsid w:val="00EF30AF"/>
    <w:rsid w:val="00EF45F8"/>
    <w:rsid w:val="00F0557E"/>
    <w:rsid w:val="00F114F6"/>
    <w:rsid w:val="00F21B2B"/>
    <w:rsid w:val="00F236A5"/>
    <w:rsid w:val="00F23B27"/>
    <w:rsid w:val="00F26099"/>
    <w:rsid w:val="00F2732F"/>
    <w:rsid w:val="00F457E5"/>
    <w:rsid w:val="00F46BAA"/>
    <w:rsid w:val="00F47550"/>
    <w:rsid w:val="00F5276B"/>
    <w:rsid w:val="00F545BE"/>
    <w:rsid w:val="00F736A7"/>
    <w:rsid w:val="00F80783"/>
    <w:rsid w:val="00F85771"/>
    <w:rsid w:val="00F90FDD"/>
    <w:rsid w:val="00F91B38"/>
    <w:rsid w:val="00F92EB0"/>
    <w:rsid w:val="00F9506B"/>
    <w:rsid w:val="00FA797D"/>
    <w:rsid w:val="00FB599D"/>
    <w:rsid w:val="00FC1DB0"/>
    <w:rsid w:val="00FC2B7B"/>
    <w:rsid w:val="00FC4B7F"/>
    <w:rsid w:val="00FD44D5"/>
    <w:rsid w:val="00FD4782"/>
    <w:rsid w:val="00FE06B4"/>
    <w:rsid w:val="00FE36E1"/>
    <w:rsid w:val="00FE54D7"/>
    <w:rsid w:val="00FE7507"/>
    <w:rsid w:val="00FF0309"/>
    <w:rsid w:val="00FF7908"/>
    <w:rsid w:val="00FF7BE4"/>
    <w:rsid w:val="00FF7F8B"/>
    <w:rsid w:val="6B4F32C7"/>
    <w:rsid w:val="7ED279A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9460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1F9B"/>
    <w:rPr>
      <w:rFonts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22BF"/>
    <w:rPr>
      <w:color w:val="0000FF" w:themeColor="hyperlink"/>
      <w:u w:val="single"/>
    </w:rPr>
  </w:style>
  <w:style w:type="character" w:styleId="FollowedHyperlink">
    <w:name w:val="FollowedHyperlink"/>
    <w:basedOn w:val="DefaultParagraphFont"/>
    <w:uiPriority w:val="99"/>
    <w:semiHidden/>
    <w:unhideWhenUsed/>
    <w:rsid w:val="00EB22BF"/>
    <w:rPr>
      <w:color w:val="800080" w:themeColor="followedHyperlink"/>
      <w:u w:val="single"/>
    </w:rPr>
  </w:style>
  <w:style w:type="paragraph" w:styleId="Header">
    <w:name w:val="header"/>
    <w:basedOn w:val="Normal"/>
    <w:link w:val="HeaderChar"/>
    <w:uiPriority w:val="99"/>
    <w:unhideWhenUsed/>
    <w:rsid w:val="00D76660"/>
    <w:pPr>
      <w:tabs>
        <w:tab w:val="center" w:pos="4680"/>
        <w:tab w:val="right" w:pos="9360"/>
      </w:tabs>
    </w:pPr>
  </w:style>
  <w:style w:type="character" w:customStyle="1" w:styleId="HeaderChar">
    <w:name w:val="Header Char"/>
    <w:basedOn w:val="DefaultParagraphFont"/>
    <w:link w:val="Header"/>
    <w:uiPriority w:val="99"/>
    <w:rsid w:val="00D76660"/>
    <w:rPr>
      <w:rFonts w:cs="Times New Roman"/>
      <w:sz w:val="20"/>
      <w:szCs w:val="20"/>
    </w:rPr>
  </w:style>
  <w:style w:type="paragraph" w:styleId="Footer">
    <w:name w:val="footer"/>
    <w:basedOn w:val="Normal"/>
    <w:link w:val="FooterChar"/>
    <w:uiPriority w:val="99"/>
    <w:unhideWhenUsed/>
    <w:rsid w:val="00D76660"/>
    <w:pPr>
      <w:tabs>
        <w:tab w:val="center" w:pos="4680"/>
        <w:tab w:val="right" w:pos="9360"/>
      </w:tabs>
    </w:pPr>
  </w:style>
  <w:style w:type="character" w:customStyle="1" w:styleId="FooterChar">
    <w:name w:val="Footer Char"/>
    <w:basedOn w:val="DefaultParagraphFont"/>
    <w:link w:val="Footer"/>
    <w:uiPriority w:val="99"/>
    <w:rsid w:val="00D76660"/>
    <w:rPr>
      <w:rFonts w:cs="Times New Roman"/>
      <w:sz w:val="20"/>
      <w:szCs w:val="20"/>
    </w:rPr>
  </w:style>
  <w:style w:type="paragraph" w:styleId="ListParagraph">
    <w:name w:val="List Paragraph"/>
    <w:basedOn w:val="Normal"/>
    <w:uiPriority w:val="34"/>
    <w:qFormat/>
    <w:rsid w:val="00B11C62"/>
    <w:pPr>
      <w:ind w:left="720"/>
      <w:contextualSpacing/>
    </w:pPr>
  </w:style>
  <w:style w:type="character" w:styleId="UnresolvedMention">
    <w:name w:val="Unresolved Mention"/>
    <w:basedOn w:val="DefaultParagraphFont"/>
    <w:uiPriority w:val="99"/>
    <w:semiHidden/>
    <w:unhideWhenUsed/>
    <w:rsid w:val="00BA7C87"/>
    <w:rPr>
      <w:color w:val="605E5C"/>
      <w:shd w:val="clear" w:color="auto" w:fill="E1DFDD"/>
    </w:rPr>
  </w:style>
  <w:style w:type="table" w:styleId="TableGrid">
    <w:name w:val="Table Grid"/>
    <w:basedOn w:val="TableNormal"/>
    <w:rsid w:val="00445352"/>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nhideWhenUsed/>
    <w:rsid w:val="00423EB8"/>
    <w:pPr>
      <w:spacing w:after="120"/>
    </w:pPr>
  </w:style>
  <w:style w:type="character" w:customStyle="1" w:styleId="BodyTextChar">
    <w:name w:val="Body Text Char"/>
    <w:basedOn w:val="DefaultParagraphFont"/>
    <w:link w:val="BodyText"/>
    <w:rsid w:val="00423EB8"/>
    <w:rPr>
      <w:rFonts w:cs="Times New Roman"/>
      <w:sz w:val="20"/>
      <w:szCs w:val="20"/>
    </w:rPr>
  </w:style>
  <w:style w:type="character" w:styleId="CommentReference">
    <w:name w:val="annotation reference"/>
    <w:basedOn w:val="DefaultParagraphFont"/>
    <w:uiPriority w:val="99"/>
    <w:semiHidden/>
    <w:unhideWhenUsed/>
    <w:rsid w:val="00945FC4"/>
    <w:rPr>
      <w:sz w:val="16"/>
      <w:szCs w:val="16"/>
    </w:rPr>
  </w:style>
  <w:style w:type="paragraph" w:styleId="CommentText">
    <w:name w:val="annotation text"/>
    <w:basedOn w:val="Normal"/>
    <w:link w:val="CommentTextChar"/>
    <w:uiPriority w:val="99"/>
    <w:unhideWhenUsed/>
    <w:rsid w:val="00945FC4"/>
  </w:style>
  <w:style w:type="character" w:customStyle="1" w:styleId="CommentTextChar">
    <w:name w:val="Comment Text Char"/>
    <w:basedOn w:val="DefaultParagraphFont"/>
    <w:link w:val="CommentText"/>
    <w:uiPriority w:val="99"/>
    <w:rsid w:val="00945FC4"/>
    <w:rPr>
      <w:rFonts w:cs="Times New Roman"/>
      <w:sz w:val="20"/>
      <w:szCs w:val="20"/>
    </w:rPr>
  </w:style>
  <w:style w:type="paragraph" w:styleId="CommentSubject">
    <w:name w:val="annotation subject"/>
    <w:basedOn w:val="CommentText"/>
    <w:next w:val="CommentText"/>
    <w:link w:val="CommentSubjectChar"/>
    <w:uiPriority w:val="99"/>
    <w:semiHidden/>
    <w:unhideWhenUsed/>
    <w:rsid w:val="00945FC4"/>
    <w:rPr>
      <w:b/>
      <w:bCs/>
    </w:rPr>
  </w:style>
  <w:style w:type="character" w:customStyle="1" w:styleId="CommentSubjectChar">
    <w:name w:val="Comment Subject Char"/>
    <w:basedOn w:val="CommentTextChar"/>
    <w:link w:val="CommentSubject"/>
    <w:uiPriority w:val="99"/>
    <w:semiHidden/>
    <w:rsid w:val="00945FC4"/>
    <w:rPr>
      <w:rFonts w:cs="Times New Roman"/>
      <w:b/>
      <w:bCs/>
      <w:sz w:val="20"/>
      <w:szCs w:val="20"/>
    </w:rPr>
  </w:style>
  <w:style w:type="paragraph" w:customStyle="1" w:styleId="TableParagraph">
    <w:name w:val="Table Paragraph"/>
    <w:basedOn w:val="Normal"/>
    <w:uiPriority w:val="1"/>
    <w:qFormat/>
    <w:rsid w:val="00567341"/>
    <w:pPr>
      <w:widowControl w:val="0"/>
    </w:pPr>
    <w:rPr>
      <w:rFonts w:asciiTheme="minorHAnsi" w:eastAsiaTheme="minorHAnsi" w:hAnsiTheme="minorHAnsi" w:cstheme="minorBidi"/>
      <w:sz w:val="22"/>
      <w:szCs w:val="22"/>
    </w:rPr>
  </w:style>
  <w:style w:type="paragraph" w:styleId="Revision">
    <w:name w:val="Revision"/>
    <w:hidden/>
    <w:uiPriority w:val="99"/>
    <w:semiHidden/>
    <w:rsid w:val="00011E1D"/>
    <w:rPr>
      <w:rFonts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da.gov/media/136683/download" TargetMode="External" /><Relationship Id="rId11" Type="http://schemas.openxmlformats.org/officeDocument/2006/relationships/hyperlink" Target="http://www.fda.gov/aboutfda/centersoffices/officeofmedicalproductsandtobacco/cder/ucm382846.htm" TargetMode="External" /><Relationship Id="rId12" Type="http://schemas.openxmlformats.org/officeDocument/2006/relationships/hyperlink" Target="https://www.fda.gov/industry/small-business-assistance" TargetMode="External" /><Relationship Id="rId13" Type="http://schemas.openxmlformats.org/officeDocument/2006/relationships/hyperlink" Target="https://www.bls.gov/oes/current/naics4_325400.htm" TargetMode="External" /><Relationship Id="rId14" Type="http://schemas.openxmlformats.org/officeDocument/2006/relationships/header" Target="header1.xml" /><Relationship Id="rId15" Type="http://schemas.openxmlformats.org/officeDocument/2006/relationships/footer" Target="footer1.xml" /><Relationship Id="rId16" Type="http://schemas.openxmlformats.org/officeDocument/2006/relationships/header" Target="header2.xml" /><Relationship Id="rId17" Type="http://schemas.openxmlformats.org/officeDocument/2006/relationships/theme" Target="theme/theme1.xml" /><Relationship Id="rId18" Type="http://schemas.openxmlformats.org/officeDocument/2006/relationships/numbering" Target="numbering.xml" /><Relationship Id="rId19"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www.fda.gov/media/71146/download" TargetMode="External" /><Relationship Id="rId5" Type="http://schemas.openxmlformats.org/officeDocument/2006/relationships/hyperlink" Target="https://www.fda.gov/drugs/guidance-compliance-regulatory-information/human-drug-compounding" TargetMode="External" /><Relationship Id="rId6" Type="http://schemas.openxmlformats.org/officeDocument/2006/relationships/hyperlink" Target="mailto:CDERCollections@fda.hhs.gov" TargetMode="External" /><Relationship Id="rId7" Type="http://schemas.openxmlformats.org/officeDocument/2006/relationships/hyperlink" Target="https://www.fda.gov/media/90740/download" TargetMode="External" /><Relationship Id="rId8" Type="http://schemas.openxmlformats.org/officeDocument/2006/relationships/hyperlink" Target="https://www.fda.gov/industry/fda-user-fee-programs/human-drug-compounding-outsourcing-facility-fees" TargetMode="External" /><Relationship Id="rId9" Type="http://schemas.openxmlformats.org/officeDocument/2006/relationships/hyperlink" Target="https://www.fda.gov/media/87570/download" TargetMode="External" /></Relationships>
</file>

<file path=word/_rels/header1.xml.rels><?xml version="1.0" encoding="utf-8" standalone="yes"?><Relationships xmlns="http://schemas.openxmlformats.org/package/2006/relationships"><Relationship Id="rId1" Type="http://schemas.openxmlformats.org/officeDocument/2006/relationships/image" Target="media/image1.png" /></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2780</Words>
  <Characters>15849</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2023-12-01T12:19:00Z</dcterms:created>
  <dcterms:modified xsi:type="dcterms:W3CDTF">2023-12-01T12:19:00Z</dcterms:modified>
</cp:coreProperties>
</file>