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98D" w:rsidP="005A798D" w14:paraId="65C87D72" w14:textId="77777777">
      <w:pPr>
        <w:jc w:val="center"/>
        <w:rPr>
          <w:b/>
          <w:sz w:val="22"/>
          <w:szCs w:val="22"/>
        </w:rPr>
      </w:pPr>
    </w:p>
    <w:p w:rsidR="005A798D" w:rsidRPr="00102F0E" w:rsidP="005A798D" w14:paraId="57817387" w14:textId="77777777">
      <w:pPr>
        <w:jc w:val="center"/>
        <w:rPr>
          <w:b/>
          <w:sz w:val="28"/>
          <w:szCs w:val="28"/>
        </w:rPr>
      </w:pPr>
      <w:r>
        <w:rPr>
          <w:b/>
          <w:sz w:val="28"/>
          <w:szCs w:val="28"/>
        </w:rPr>
        <w:t xml:space="preserve">Supporting Statement </w:t>
      </w:r>
      <w:r>
        <w:rPr>
          <w:b/>
          <w:sz w:val="28"/>
          <w:szCs w:val="28"/>
        </w:rPr>
        <w:t>Part</w:t>
      </w:r>
      <w:r>
        <w:rPr>
          <w:b/>
          <w:sz w:val="28"/>
          <w:szCs w:val="28"/>
        </w:rPr>
        <w:t xml:space="preserve"> A</w:t>
      </w:r>
    </w:p>
    <w:p w:rsidR="005A798D" w:rsidP="005A798D" w14:paraId="1C39D837" w14:textId="77777777">
      <w:pPr>
        <w:jc w:val="center"/>
        <w:rPr>
          <w:b/>
          <w:sz w:val="22"/>
          <w:szCs w:val="22"/>
        </w:rPr>
      </w:pPr>
    </w:p>
    <w:p w:rsidR="005A798D" w:rsidP="005A798D" w14:paraId="7228651C" w14:textId="77777777">
      <w:pPr>
        <w:jc w:val="center"/>
        <w:rPr>
          <w:b/>
          <w:sz w:val="22"/>
          <w:szCs w:val="22"/>
        </w:rPr>
      </w:pPr>
    </w:p>
    <w:p w:rsidR="005A798D" w:rsidP="005A798D" w14:paraId="12BBC6AE" w14:textId="77777777">
      <w:pPr>
        <w:jc w:val="center"/>
        <w:rPr>
          <w:b/>
          <w:sz w:val="22"/>
          <w:szCs w:val="22"/>
        </w:rPr>
      </w:pPr>
    </w:p>
    <w:p w:rsidR="005A798D" w:rsidP="005A798D" w14:paraId="48C1BD14" w14:textId="77777777">
      <w:pPr>
        <w:jc w:val="center"/>
        <w:rPr>
          <w:color w:val="000000" w:themeColor="text1"/>
        </w:rPr>
      </w:pPr>
      <w:r w:rsidRPr="730468BC">
        <w:rPr>
          <w:color w:val="000000" w:themeColor="text1"/>
        </w:rPr>
        <w:t>Assessing Knowledge, Attitudes, and Practices (KAPs) of Hispanic or Latina Women of Reproductive Age about Folic Acid Fortification and Supplementation</w:t>
      </w:r>
    </w:p>
    <w:p w:rsidR="005A798D" w:rsidP="005A798D" w14:paraId="4B7F8720" w14:textId="77777777">
      <w:pPr>
        <w:jc w:val="center"/>
        <w:rPr>
          <w:b/>
          <w:bCs/>
        </w:rPr>
      </w:pPr>
    </w:p>
    <w:p w:rsidR="005A798D" w:rsidP="005A798D" w14:paraId="766FAED0" w14:textId="77777777">
      <w:pPr>
        <w:jc w:val="center"/>
        <w:rPr>
          <w:b/>
          <w:sz w:val="22"/>
          <w:szCs w:val="22"/>
        </w:rPr>
      </w:pPr>
    </w:p>
    <w:p w:rsidR="005A798D" w:rsidP="005A798D" w14:paraId="359259C0" w14:textId="77777777">
      <w:pPr>
        <w:jc w:val="center"/>
        <w:rPr>
          <w:b/>
          <w:sz w:val="22"/>
          <w:szCs w:val="22"/>
        </w:rPr>
      </w:pPr>
    </w:p>
    <w:p w:rsidR="005A798D" w:rsidP="005A798D" w14:paraId="4A89DBB6" w14:textId="77777777">
      <w:pPr>
        <w:jc w:val="center"/>
        <w:rPr>
          <w:b/>
          <w:sz w:val="22"/>
          <w:szCs w:val="22"/>
        </w:rPr>
      </w:pPr>
    </w:p>
    <w:p w:rsidR="005A798D" w:rsidP="005A798D" w14:paraId="25BEC177" w14:textId="77777777">
      <w:pPr>
        <w:jc w:val="center"/>
        <w:rPr>
          <w:b/>
          <w:sz w:val="22"/>
          <w:szCs w:val="22"/>
        </w:rPr>
      </w:pPr>
    </w:p>
    <w:p w:rsidR="005A798D" w:rsidP="005A798D" w14:paraId="2210BEBC" w14:textId="77777777">
      <w:pPr>
        <w:jc w:val="center"/>
        <w:rPr>
          <w:b/>
          <w:sz w:val="22"/>
          <w:szCs w:val="22"/>
        </w:rPr>
      </w:pPr>
    </w:p>
    <w:p w:rsidR="005A798D" w:rsidP="005A798D" w14:paraId="7771F73A" w14:textId="77777777">
      <w:pPr>
        <w:jc w:val="center"/>
        <w:rPr>
          <w:b/>
          <w:bCs/>
        </w:rPr>
      </w:pPr>
      <w:r w:rsidRPr="730468BC">
        <w:rPr>
          <w:b/>
          <w:bCs/>
          <w:sz w:val="22"/>
          <w:szCs w:val="22"/>
        </w:rPr>
        <w:t>New</w:t>
      </w:r>
    </w:p>
    <w:p w:rsidR="005A798D" w:rsidP="005A798D" w14:paraId="6A267077" w14:textId="77777777">
      <w:pPr>
        <w:jc w:val="center"/>
        <w:rPr>
          <w:b/>
          <w:sz w:val="22"/>
          <w:szCs w:val="22"/>
        </w:rPr>
      </w:pPr>
    </w:p>
    <w:p w:rsidR="005A798D" w:rsidP="005A798D" w14:paraId="5FB583EF" w14:textId="77777777">
      <w:pPr>
        <w:jc w:val="center"/>
        <w:rPr>
          <w:b/>
          <w:sz w:val="22"/>
          <w:szCs w:val="22"/>
        </w:rPr>
      </w:pPr>
    </w:p>
    <w:p w:rsidR="005A798D" w:rsidP="005A798D" w14:paraId="51934795" w14:textId="77777777">
      <w:pPr>
        <w:jc w:val="center"/>
        <w:rPr>
          <w:b/>
          <w:sz w:val="22"/>
          <w:szCs w:val="22"/>
        </w:rPr>
      </w:pPr>
    </w:p>
    <w:p w:rsidR="005A798D" w:rsidP="005A798D" w14:paraId="1A2DFE37" w14:textId="77777777">
      <w:pPr>
        <w:jc w:val="center"/>
        <w:rPr>
          <w:b/>
          <w:sz w:val="22"/>
          <w:szCs w:val="22"/>
        </w:rPr>
      </w:pPr>
    </w:p>
    <w:p w:rsidR="005A798D" w:rsidP="005A798D" w14:paraId="717E4AB6" w14:textId="77777777">
      <w:pPr>
        <w:jc w:val="center"/>
        <w:rPr>
          <w:b/>
          <w:sz w:val="22"/>
          <w:szCs w:val="22"/>
        </w:rPr>
      </w:pPr>
    </w:p>
    <w:p w:rsidR="005A798D" w:rsidP="005A798D" w14:paraId="150513F1" w14:textId="77777777">
      <w:pPr>
        <w:jc w:val="center"/>
        <w:rPr>
          <w:b/>
          <w:sz w:val="22"/>
          <w:szCs w:val="22"/>
        </w:rPr>
      </w:pPr>
    </w:p>
    <w:p w:rsidR="005A798D" w:rsidP="005A798D" w14:paraId="7EDAC6B5" w14:textId="77777777">
      <w:pPr>
        <w:jc w:val="center"/>
        <w:rPr>
          <w:b/>
          <w:sz w:val="22"/>
          <w:szCs w:val="22"/>
        </w:rPr>
      </w:pPr>
    </w:p>
    <w:p w:rsidR="005A798D" w:rsidP="005A798D" w14:paraId="2A061CDE" w14:textId="77777777">
      <w:pPr>
        <w:jc w:val="center"/>
        <w:rPr>
          <w:b/>
          <w:sz w:val="22"/>
          <w:szCs w:val="22"/>
        </w:rPr>
      </w:pPr>
    </w:p>
    <w:p w:rsidR="005A798D" w:rsidP="005A798D" w14:paraId="478E4817" w14:textId="77777777">
      <w:pPr>
        <w:jc w:val="center"/>
        <w:rPr>
          <w:b/>
          <w:sz w:val="22"/>
          <w:szCs w:val="22"/>
        </w:rPr>
      </w:pPr>
    </w:p>
    <w:p w:rsidR="005A798D" w:rsidP="005A798D" w14:paraId="38707339" w14:textId="77777777">
      <w:pPr>
        <w:jc w:val="center"/>
        <w:rPr>
          <w:b/>
          <w:bCs/>
          <w:sz w:val="22"/>
          <w:szCs w:val="22"/>
        </w:rPr>
      </w:pPr>
    </w:p>
    <w:p w:rsidR="005A798D" w:rsidP="005A798D" w14:paraId="4D011584" w14:textId="77777777">
      <w:pPr>
        <w:jc w:val="center"/>
        <w:rPr>
          <w:rFonts w:cs="Calibri"/>
          <w:b/>
          <w:bCs/>
          <w:noProof/>
        </w:rPr>
        <w:sectPr w:rsidSect="009253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A798D" w:rsidP="00062553" w14:paraId="3DA3518E" w14:textId="35AE1FFC">
      <w:pPr>
        <w:jc w:val="center"/>
        <w:rPr>
          <w:noProof/>
          <w:color w:val="000000" w:themeColor="text1"/>
          <w:sz w:val="22"/>
          <w:szCs w:val="22"/>
        </w:rPr>
      </w:pPr>
      <w:r>
        <w:rPr>
          <w:b/>
          <w:bCs/>
          <w:noProof/>
          <w:color w:val="000000" w:themeColor="text1"/>
          <w:sz w:val="22"/>
          <w:szCs w:val="22"/>
        </w:rPr>
        <w:t>Jennifer Farramola</w:t>
      </w:r>
    </w:p>
    <w:p w:rsidR="005A798D" w:rsidP="00062553" w14:paraId="3D7C7DF1" w14:textId="4B42E932">
      <w:pPr>
        <w:jc w:val="center"/>
        <w:rPr>
          <w:noProof/>
          <w:color w:val="000000" w:themeColor="text1"/>
          <w:sz w:val="22"/>
          <w:szCs w:val="22"/>
        </w:rPr>
      </w:pPr>
      <w:r w:rsidRPr="00617B9D">
        <w:rPr>
          <w:noProof/>
          <w:color w:val="000000" w:themeColor="text1"/>
          <w:sz w:val="22"/>
          <w:szCs w:val="22"/>
        </w:rPr>
        <w:t xml:space="preserve">Health </w:t>
      </w:r>
      <w:r w:rsidR="00012C92">
        <w:rPr>
          <w:noProof/>
          <w:color w:val="000000" w:themeColor="text1"/>
          <w:sz w:val="22"/>
          <w:szCs w:val="22"/>
        </w:rPr>
        <w:t>Communication Specialist</w:t>
      </w:r>
    </w:p>
    <w:p w:rsidR="005A798D" w:rsidRPr="00617B9D" w:rsidP="00062553" w14:paraId="6BF859B8" w14:textId="77777777">
      <w:pPr>
        <w:jc w:val="center"/>
        <w:rPr>
          <w:noProof/>
          <w:color w:val="000000" w:themeColor="text1"/>
          <w:sz w:val="22"/>
          <w:szCs w:val="22"/>
        </w:rPr>
      </w:pPr>
      <w:r>
        <w:rPr>
          <w:noProof/>
          <w:color w:val="000000" w:themeColor="text1"/>
          <w:sz w:val="22"/>
          <w:szCs w:val="22"/>
        </w:rPr>
        <w:t>Centers for Disease Control and Prevention</w:t>
      </w:r>
    </w:p>
    <w:p w:rsidR="005A798D" w:rsidRPr="00617B9D" w:rsidP="00062553" w14:paraId="3196D983" w14:textId="592FF340">
      <w:pPr>
        <w:jc w:val="center"/>
        <w:rPr>
          <w:noProof/>
          <w:color w:val="000000" w:themeColor="text1"/>
        </w:rPr>
      </w:pPr>
      <w:r>
        <w:t>Emai</w:t>
      </w:r>
      <w:r w:rsidRPr="00617B9D">
        <w:t xml:space="preserve">l: </w:t>
      </w:r>
      <w:r w:rsidR="00012C92">
        <w:rPr>
          <w:noProof/>
        </w:rPr>
        <w:t>oy</w:t>
      </w:r>
      <w:r w:rsidR="002424F0">
        <w:rPr>
          <w:noProof/>
        </w:rPr>
        <w:t>q1@cdc.gov</w:t>
      </w:r>
    </w:p>
    <w:p w:rsidR="005A798D" w:rsidRPr="00617B9D" w:rsidP="00062553" w14:paraId="03233F33" w14:textId="6820015E">
      <w:pPr>
        <w:jc w:val="center"/>
        <w:rPr>
          <w:noProof/>
          <w:color w:val="000000" w:themeColor="text1"/>
        </w:rPr>
      </w:pPr>
      <w:r w:rsidRPr="00617B9D">
        <w:rPr>
          <w:noProof/>
          <w:color w:val="000000" w:themeColor="text1"/>
        </w:rPr>
        <w:t>Phone: 404.4</w:t>
      </w:r>
      <w:r w:rsidR="00FF4688">
        <w:rPr>
          <w:noProof/>
          <w:color w:val="000000" w:themeColor="text1"/>
        </w:rPr>
        <w:t>98.2262</w:t>
      </w:r>
    </w:p>
    <w:p w:rsidR="005A798D" w:rsidP="005A798D" w14:paraId="7A3C3B60" w14:textId="77777777">
      <w:pPr>
        <w:jc w:val="center"/>
        <w:rPr>
          <w:noProof/>
          <w:color w:val="000000" w:themeColor="text1"/>
          <w:sz w:val="22"/>
          <w:szCs w:val="22"/>
        </w:rPr>
      </w:pPr>
    </w:p>
    <w:p w:rsidR="005A798D" w:rsidP="005A798D" w14:paraId="73BEC663" w14:textId="77777777">
      <w:pPr>
        <w:jc w:val="center"/>
        <w:rPr>
          <w:noProof/>
        </w:rPr>
      </w:pPr>
    </w:p>
    <w:p w:rsidR="00E966D0" w:rsidP="00E966D0" w14:paraId="2B36C131" w14:textId="77777777">
      <w:pPr>
        <w:jc w:val="center"/>
        <w:rPr>
          <w:b/>
          <w:bCs/>
          <w:noProof/>
          <w:color w:val="000000" w:themeColor="text1"/>
          <w:sz w:val="22"/>
          <w:szCs w:val="22"/>
        </w:rPr>
      </w:pPr>
    </w:p>
    <w:p w:rsidR="00E966D0" w:rsidP="00E966D0" w14:paraId="455C3361" w14:textId="77777777">
      <w:pPr>
        <w:jc w:val="center"/>
        <w:rPr>
          <w:b/>
          <w:bCs/>
          <w:noProof/>
          <w:color w:val="000000" w:themeColor="text1"/>
          <w:sz w:val="22"/>
          <w:szCs w:val="22"/>
        </w:rPr>
      </w:pPr>
    </w:p>
    <w:p w:rsidR="00E966D0" w:rsidP="00E966D0" w14:paraId="1680ECCE" w14:textId="77777777">
      <w:pPr>
        <w:jc w:val="center"/>
        <w:rPr>
          <w:b/>
          <w:bCs/>
          <w:noProof/>
          <w:color w:val="000000" w:themeColor="text1"/>
          <w:sz w:val="22"/>
          <w:szCs w:val="22"/>
        </w:rPr>
      </w:pPr>
    </w:p>
    <w:p w:rsidR="00E966D0" w:rsidP="00E966D0" w14:paraId="67034F7D" w14:textId="3281CE87">
      <w:pPr>
        <w:jc w:val="center"/>
        <w:rPr>
          <w:noProof/>
          <w:color w:val="000000" w:themeColor="text1"/>
          <w:sz w:val="22"/>
          <w:szCs w:val="22"/>
        </w:rPr>
      </w:pPr>
      <w:r>
        <w:rPr>
          <w:b/>
          <w:bCs/>
          <w:noProof/>
          <w:color w:val="000000" w:themeColor="text1"/>
          <w:sz w:val="22"/>
          <w:szCs w:val="22"/>
        </w:rPr>
        <w:t>Kara Polen</w:t>
      </w:r>
    </w:p>
    <w:p w:rsidR="00E966D0" w:rsidP="00E966D0" w14:paraId="050D4BC6" w14:textId="03D701EE">
      <w:pPr>
        <w:jc w:val="center"/>
        <w:rPr>
          <w:noProof/>
          <w:color w:val="000000" w:themeColor="text1"/>
          <w:sz w:val="22"/>
          <w:szCs w:val="22"/>
        </w:rPr>
      </w:pPr>
      <w:r>
        <w:rPr>
          <w:noProof/>
          <w:color w:val="000000" w:themeColor="text1"/>
          <w:sz w:val="22"/>
          <w:szCs w:val="22"/>
        </w:rPr>
        <w:t>Lead Health Scientist</w:t>
      </w:r>
    </w:p>
    <w:p w:rsidR="00E966D0" w:rsidRPr="00617B9D" w:rsidP="00E966D0" w14:paraId="6A20AAD7" w14:textId="77777777">
      <w:pPr>
        <w:jc w:val="center"/>
        <w:rPr>
          <w:noProof/>
          <w:color w:val="000000" w:themeColor="text1"/>
          <w:sz w:val="22"/>
          <w:szCs w:val="22"/>
        </w:rPr>
      </w:pPr>
      <w:r>
        <w:rPr>
          <w:noProof/>
          <w:color w:val="000000" w:themeColor="text1"/>
          <w:sz w:val="22"/>
          <w:szCs w:val="22"/>
        </w:rPr>
        <w:t>Centers for Disease Control and Prevention</w:t>
      </w:r>
    </w:p>
    <w:p w:rsidR="00E966D0" w:rsidRPr="00617B9D" w:rsidP="00E966D0" w14:paraId="0246F7FD" w14:textId="4ACDF407">
      <w:pPr>
        <w:jc w:val="center"/>
        <w:rPr>
          <w:noProof/>
          <w:color w:val="000000" w:themeColor="text1"/>
        </w:rPr>
      </w:pPr>
      <w:r>
        <w:t>Emai</w:t>
      </w:r>
      <w:r w:rsidRPr="00617B9D">
        <w:t xml:space="preserve">l: </w:t>
      </w:r>
      <w:r w:rsidR="004E4BA0">
        <w:rPr>
          <w:noProof/>
        </w:rPr>
        <w:t>fvc</w:t>
      </w:r>
      <w:r>
        <w:rPr>
          <w:noProof/>
        </w:rPr>
        <w:t>1@cdc.gov</w:t>
      </w:r>
    </w:p>
    <w:p w:rsidR="00E966D0" w:rsidRPr="00617B9D" w:rsidP="00E966D0" w14:paraId="77A45E61" w14:textId="5615BEAF">
      <w:pPr>
        <w:jc w:val="center"/>
        <w:rPr>
          <w:noProof/>
          <w:color w:val="000000" w:themeColor="text1"/>
        </w:rPr>
      </w:pPr>
      <w:r w:rsidRPr="00617B9D">
        <w:rPr>
          <w:noProof/>
          <w:color w:val="000000" w:themeColor="text1"/>
        </w:rPr>
        <w:t>Phone: 404.4</w:t>
      </w:r>
      <w:r>
        <w:rPr>
          <w:noProof/>
          <w:color w:val="000000" w:themeColor="text1"/>
        </w:rPr>
        <w:t>98.</w:t>
      </w:r>
      <w:r w:rsidR="00062553">
        <w:rPr>
          <w:noProof/>
          <w:color w:val="000000" w:themeColor="text1"/>
        </w:rPr>
        <w:t>3914</w:t>
      </w:r>
    </w:p>
    <w:p w:rsidR="005A798D" w:rsidRPr="00FA59BB" w:rsidP="005A798D" w14:paraId="78CDC61D" w14:textId="77777777">
      <w:pPr>
        <w:jc w:val="center"/>
        <w:rPr>
          <w:rFonts w:cs="Calibri"/>
          <w:noProof/>
        </w:rPr>
      </w:pPr>
    </w:p>
    <w:p w:rsidR="005A798D" w:rsidRPr="00FA59BB" w:rsidP="005A798D" w14:paraId="09363402" w14:textId="77777777">
      <w:pPr>
        <w:jc w:val="center"/>
        <w:rPr>
          <w:rFonts w:cs="Calibri"/>
          <w:noProof/>
        </w:rPr>
      </w:pPr>
    </w:p>
    <w:p w:rsidR="005A798D" w:rsidRPr="00FA59BB" w:rsidP="005A798D" w14:paraId="7F75F2BC" w14:textId="77777777">
      <w:pPr>
        <w:jc w:val="center"/>
        <w:rPr>
          <w:rFonts w:cs="Calibri"/>
          <w:noProof/>
        </w:rPr>
      </w:pPr>
    </w:p>
    <w:p w:rsidR="005A798D" w:rsidRPr="00FA59BB" w:rsidP="005A798D" w14:paraId="6AEE1779" w14:textId="77777777">
      <w:pPr>
        <w:jc w:val="center"/>
        <w:rPr>
          <w:rFonts w:cs="Courier New"/>
          <w:b/>
        </w:rPr>
      </w:pPr>
    </w:p>
    <w:p w:rsidR="005A798D" w:rsidRPr="00FA59BB" w:rsidP="005A798D" w14:paraId="4B075C7E" w14:textId="77777777">
      <w:pPr>
        <w:jc w:val="center"/>
        <w:rPr>
          <w:rFonts w:cs="Courier New"/>
          <w:b/>
        </w:rPr>
      </w:pPr>
    </w:p>
    <w:p w:rsidR="005A798D" w:rsidP="005A798D" w14:paraId="74741806" w14:textId="77777777">
      <w:pPr>
        <w:jc w:val="center"/>
        <w:rPr>
          <w:b/>
          <w:sz w:val="22"/>
          <w:szCs w:val="22"/>
        </w:rPr>
        <w:sectPr w:rsidSect="00E966D0">
          <w:type w:val="continuous"/>
          <w:pgSz w:w="12240" w:h="15840"/>
          <w:pgMar w:top="1440" w:right="1440" w:bottom="1440" w:left="1440" w:header="720" w:footer="720" w:gutter="0"/>
          <w:cols w:num="2" w:space="759"/>
          <w:docGrid w:linePitch="360"/>
        </w:sectPr>
      </w:pPr>
    </w:p>
    <w:p w:rsidR="005A798D" w:rsidP="005A798D" w14:paraId="24CA9E9C" w14:textId="77777777">
      <w:pPr>
        <w:jc w:val="center"/>
        <w:rPr>
          <w:b/>
          <w:sz w:val="22"/>
          <w:szCs w:val="22"/>
        </w:rPr>
      </w:pPr>
    </w:p>
    <w:p w:rsidR="005A798D" w:rsidP="005A798D" w14:paraId="0C33870A" w14:textId="77777777">
      <w:pPr>
        <w:jc w:val="center"/>
        <w:rPr>
          <w:b/>
          <w:sz w:val="22"/>
          <w:szCs w:val="22"/>
        </w:rPr>
      </w:pPr>
    </w:p>
    <w:p w:rsidR="005A798D" w:rsidP="005A798D" w14:paraId="2FD03F3C" w14:textId="77777777">
      <w:pPr>
        <w:jc w:val="center"/>
        <w:rPr>
          <w:b/>
          <w:sz w:val="22"/>
          <w:szCs w:val="22"/>
        </w:rPr>
      </w:pPr>
    </w:p>
    <w:p w:rsidR="005A798D" w:rsidP="005A798D" w14:paraId="6316A7E7" w14:textId="77777777">
      <w:pPr>
        <w:jc w:val="center"/>
        <w:rPr>
          <w:b/>
          <w:sz w:val="22"/>
          <w:szCs w:val="22"/>
        </w:rPr>
      </w:pPr>
    </w:p>
    <w:p w:rsidR="005A798D" w:rsidP="005A798D" w14:paraId="77343137" w14:textId="77777777">
      <w:pPr>
        <w:jc w:val="center"/>
        <w:rPr>
          <w:b/>
          <w:sz w:val="22"/>
          <w:szCs w:val="22"/>
        </w:rPr>
      </w:pPr>
    </w:p>
    <w:p w:rsidR="005A798D" w:rsidP="005A798D" w14:paraId="28510531" w14:textId="77777777">
      <w:pPr>
        <w:jc w:val="center"/>
        <w:rPr>
          <w:b/>
          <w:sz w:val="22"/>
          <w:szCs w:val="22"/>
        </w:rPr>
      </w:pPr>
    </w:p>
    <w:p w:rsidR="005A798D" w:rsidP="005A798D" w14:paraId="4740E62B" w14:textId="77777777">
      <w:pPr>
        <w:jc w:val="center"/>
        <w:rPr>
          <w:b/>
          <w:sz w:val="22"/>
          <w:szCs w:val="22"/>
        </w:rPr>
      </w:pPr>
    </w:p>
    <w:p w:rsidR="005A798D" w:rsidP="005A798D" w14:paraId="1FCAD065" w14:textId="77777777">
      <w:pPr>
        <w:jc w:val="center"/>
        <w:rPr>
          <w:b/>
          <w:sz w:val="22"/>
          <w:szCs w:val="22"/>
        </w:rPr>
      </w:pPr>
    </w:p>
    <w:p w:rsidR="005A798D" w:rsidP="005A798D" w14:paraId="42A98530" w14:textId="77777777">
      <w:pPr>
        <w:jc w:val="center"/>
        <w:rPr>
          <w:b/>
          <w:sz w:val="22"/>
          <w:szCs w:val="22"/>
        </w:rPr>
      </w:pPr>
    </w:p>
    <w:p w:rsidR="005A798D" w:rsidP="005A798D" w14:paraId="7C675BC0" w14:textId="77777777">
      <w:pPr>
        <w:jc w:val="center"/>
        <w:rPr>
          <w:b/>
          <w:sz w:val="22"/>
          <w:szCs w:val="22"/>
        </w:rPr>
      </w:pPr>
    </w:p>
    <w:p w:rsidR="005A798D" w:rsidP="005A798D" w14:paraId="2437C25F" w14:textId="3FCFF5FB">
      <w:pPr>
        <w:jc w:val="center"/>
        <w:rPr>
          <w:b/>
          <w:bCs/>
          <w:sz w:val="22"/>
          <w:szCs w:val="22"/>
        </w:rPr>
        <w:sectPr w:rsidSect="00925307">
          <w:type w:val="continuous"/>
          <w:pgSz w:w="12240" w:h="15840"/>
          <w:pgMar w:top="1440" w:right="1440" w:bottom="1440" w:left="1440" w:header="720" w:footer="720" w:gutter="0"/>
          <w:cols w:space="720"/>
          <w:docGrid w:linePitch="360"/>
        </w:sectPr>
      </w:pPr>
      <w:r>
        <w:rPr>
          <w:b/>
          <w:bCs/>
          <w:sz w:val="22"/>
          <w:szCs w:val="22"/>
        </w:rPr>
        <w:t>September 29</w:t>
      </w:r>
      <w:r w:rsidRPr="4313BCE6" w:rsidR="303F4D71">
        <w:rPr>
          <w:b/>
          <w:bCs/>
          <w:sz w:val="22"/>
          <w:szCs w:val="22"/>
        </w:rPr>
        <w:t xml:space="preserve">, </w:t>
      </w:r>
      <w:r w:rsidRPr="4313BCE6">
        <w:rPr>
          <w:b/>
          <w:bCs/>
          <w:sz w:val="22"/>
          <w:szCs w:val="22"/>
        </w:rPr>
        <w:t>2023</w:t>
      </w:r>
    </w:p>
    <w:p w:rsidR="005A798D" w:rsidRPr="00B6712C" w:rsidP="005A798D" w14:paraId="0A288677" w14:textId="0CFF70B0">
      <w:pPr>
        <w:rPr>
          <w:bCs/>
          <w:sz w:val="22"/>
          <w:szCs w:val="22"/>
        </w:rPr>
      </w:pPr>
    </w:p>
    <w:sdt>
      <w:sdtPr>
        <w:rPr>
          <w:rFonts w:ascii="Times New Roman" w:eastAsia="Times New Roman" w:hAnsi="Times New Roman" w:cs="Times New Roman"/>
          <w:color w:val="auto"/>
          <w:sz w:val="24"/>
          <w:szCs w:val="24"/>
        </w:rPr>
        <w:id w:val="871591874"/>
        <w:docPartObj>
          <w:docPartGallery w:val="Table of Contents"/>
          <w:docPartUnique/>
        </w:docPartObj>
      </w:sdtPr>
      <w:sdtContent>
        <w:p w:rsidR="005A798D" w:rsidRPr="00FC569E" w:rsidP="005A798D" w14:paraId="4FBB2F70" w14:textId="77777777">
          <w:pPr>
            <w:pStyle w:val="TOCHeading"/>
            <w:rPr>
              <w:rFonts w:ascii="Times New Roman" w:hAnsi="Times New Roman" w:cs="Times New Roman"/>
              <w:b/>
              <w:bCs/>
              <w:color w:val="auto"/>
              <w:sz w:val="28"/>
              <w:szCs w:val="28"/>
            </w:rPr>
          </w:pPr>
          <w:r w:rsidRPr="59F4798D">
            <w:rPr>
              <w:rFonts w:ascii="Times New Roman" w:hAnsi="Times New Roman" w:cs="Times New Roman"/>
              <w:b/>
              <w:bCs/>
              <w:color w:val="auto"/>
              <w:sz w:val="28"/>
              <w:szCs w:val="28"/>
            </w:rPr>
            <w:t>Table of Contents</w:t>
          </w:r>
        </w:p>
        <w:p w:rsidR="00A30B1F" w14:paraId="63FC3B26" w14:textId="503A976F">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"1-2" \h \z \u </w:instrText>
          </w:r>
          <w:r>
            <w:fldChar w:fldCharType="separate"/>
          </w:r>
          <w:hyperlink w:anchor="_Toc141811867" w:history="1">
            <w:r w:rsidRPr="0022257A">
              <w:rPr>
                <w:rStyle w:val="Hyperlink"/>
                <w:noProof/>
              </w:rPr>
              <w:t>Section A.1. Circumstances Making the Collection of Information Necessary</w:t>
            </w:r>
            <w:r>
              <w:rPr>
                <w:noProof/>
                <w:webHidden/>
              </w:rPr>
              <w:tab/>
            </w:r>
            <w:r>
              <w:rPr>
                <w:noProof/>
                <w:webHidden/>
              </w:rPr>
              <w:fldChar w:fldCharType="begin"/>
            </w:r>
            <w:r>
              <w:rPr>
                <w:noProof/>
                <w:webHidden/>
              </w:rPr>
              <w:instrText xml:space="preserve"> PAGEREF _Toc141811867 \h </w:instrText>
            </w:r>
            <w:r>
              <w:rPr>
                <w:noProof/>
                <w:webHidden/>
              </w:rPr>
              <w:fldChar w:fldCharType="separate"/>
            </w:r>
            <w:r>
              <w:rPr>
                <w:noProof/>
                <w:webHidden/>
              </w:rPr>
              <w:t>4</w:t>
            </w:r>
            <w:r>
              <w:rPr>
                <w:noProof/>
                <w:webHidden/>
              </w:rPr>
              <w:fldChar w:fldCharType="end"/>
            </w:r>
          </w:hyperlink>
        </w:p>
        <w:p w:rsidR="00A30B1F" w14:paraId="5E76074E" w14:textId="1BFAF913">
          <w:pPr>
            <w:pStyle w:val="TOC1"/>
            <w:rPr>
              <w:rFonts w:asciiTheme="minorHAnsi" w:eastAsiaTheme="minorEastAsia" w:hAnsiTheme="minorHAnsi" w:cstheme="minorBidi"/>
              <w:noProof/>
              <w:kern w:val="2"/>
              <w:sz w:val="22"/>
              <w:szCs w:val="22"/>
              <w14:ligatures w14:val="standardContextual"/>
            </w:rPr>
          </w:pPr>
          <w:hyperlink w:anchor="_Toc141811868" w:history="1">
            <w:r w:rsidRPr="0022257A">
              <w:rPr>
                <w:rStyle w:val="Hyperlink"/>
                <w:noProof/>
              </w:rPr>
              <w:t>Section A.2. Purpose and Use of Information Collection</w:t>
            </w:r>
            <w:r>
              <w:rPr>
                <w:noProof/>
                <w:webHidden/>
              </w:rPr>
              <w:tab/>
            </w:r>
            <w:r>
              <w:rPr>
                <w:noProof/>
                <w:webHidden/>
              </w:rPr>
              <w:fldChar w:fldCharType="begin"/>
            </w:r>
            <w:r>
              <w:rPr>
                <w:noProof/>
                <w:webHidden/>
              </w:rPr>
              <w:instrText xml:space="preserve"> PAGEREF _Toc141811868 \h </w:instrText>
            </w:r>
            <w:r>
              <w:rPr>
                <w:noProof/>
                <w:webHidden/>
              </w:rPr>
              <w:fldChar w:fldCharType="separate"/>
            </w:r>
            <w:r>
              <w:rPr>
                <w:noProof/>
                <w:webHidden/>
              </w:rPr>
              <w:t>5</w:t>
            </w:r>
            <w:r>
              <w:rPr>
                <w:noProof/>
                <w:webHidden/>
              </w:rPr>
              <w:fldChar w:fldCharType="end"/>
            </w:r>
          </w:hyperlink>
        </w:p>
        <w:p w:rsidR="00A30B1F" w14:paraId="710327C1" w14:textId="1603B487">
          <w:pPr>
            <w:pStyle w:val="TOC1"/>
            <w:rPr>
              <w:rFonts w:asciiTheme="minorHAnsi" w:eastAsiaTheme="minorEastAsia" w:hAnsiTheme="minorHAnsi" w:cstheme="minorBidi"/>
              <w:noProof/>
              <w:kern w:val="2"/>
              <w:sz w:val="22"/>
              <w:szCs w:val="22"/>
              <w14:ligatures w14:val="standardContextual"/>
            </w:rPr>
          </w:pPr>
          <w:hyperlink w:anchor="_Toc141811869" w:history="1">
            <w:r w:rsidRPr="0022257A">
              <w:rPr>
                <w:rStyle w:val="Hyperlink"/>
                <w:noProof/>
              </w:rPr>
              <w:t>Section A.3. Use of Improved Information Technology and Burden Reduction</w:t>
            </w:r>
            <w:r>
              <w:rPr>
                <w:noProof/>
                <w:webHidden/>
              </w:rPr>
              <w:tab/>
            </w:r>
            <w:r>
              <w:rPr>
                <w:noProof/>
                <w:webHidden/>
              </w:rPr>
              <w:fldChar w:fldCharType="begin"/>
            </w:r>
            <w:r>
              <w:rPr>
                <w:noProof/>
                <w:webHidden/>
              </w:rPr>
              <w:instrText xml:space="preserve"> PAGEREF _Toc141811869 \h </w:instrText>
            </w:r>
            <w:r>
              <w:rPr>
                <w:noProof/>
                <w:webHidden/>
              </w:rPr>
              <w:fldChar w:fldCharType="separate"/>
            </w:r>
            <w:r>
              <w:rPr>
                <w:noProof/>
                <w:webHidden/>
              </w:rPr>
              <w:t>6</w:t>
            </w:r>
            <w:r>
              <w:rPr>
                <w:noProof/>
                <w:webHidden/>
              </w:rPr>
              <w:fldChar w:fldCharType="end"/>
            </w:r>
          </w:hyperlink>
        </w:p>
        <w:p w:rsidR="00A30B1F" w14:paraId="211910F3" w14:textId="17E9EEAE">
          <w:pPr>
            <w:pStyle w:val="TOC1"/>
            <w:rPr>
              <w:rFonts w:asciiTheme="minorHAnsi" w:eastAsiaTheme="minorEastAsia" w:hAnsiTheme="minorHAnsi" w:cstheme="minorBidi"/>
              <w:noProof/>
              <w:kern w:val="2"/>
              <w:sz w:val="22"/>
              <w:szCs w:val="22"/>
              <w14:ligatures w14:val="standardContextual"/>
            </w:rPr>
          </w:pPr>
          <w:hyperlink w:anchor="_Toc141811870" w:history="1">
            <w:r w:rsidRPr="0022257A">
              <w:rPr>
                <w:rStyle w:val="Hyperlink"/>
                <w:noProof/>
              </w:rPr>
              <w:t>Section A.4. Efforts to Identify Duplication and Use of Similar Information</w:t>
            </w:r>
            <w:r>
              <w:rPr>
                <w:noProof/>
                <w:webHidden/>
              </w:rPr>
              <w:tab/>
            </w:r>
            <w:r>
              <w:rPr>
                <w:noProof/>
                <w:webHidden/>
              </w:rPr>
              <w:fldChar w:fldCharType="begin"/>
            </w:r>
            <w:r>
              <w:rPr>
                <w:noProof/>
                <w:webHidden/>
              </w:rPr>
              <w:instrText xml:space="preserve"> PAGEREF _Toc141811870 \h </w:instrText>
            </w:r>
            <w:r>
              <w:rPr>
                <w:noProof/>
                <w:webHidden/>
              </w:rPr>
              <w:fldChar w:fldCharType="separate"/>
            </w:r>
            <w:r>
              <w:rPr>
                <w:noProof/>
                <w:webHidden/>
              </w:rPr>
              <w:t>7</w:t>
            </w:r>
            <w:r>
              <w:rPr>
                <w:noProof/>
                <w:webHidden/>
              </w:rPr>
              <w:fldChar w:fldCharType="end"/>
            </w:r>
          </w:hyperlink>
        </w:p>
        <w:p w:rsidR="00A30B1F" w14:paraId="59ABFB3D" w14:textId="1D2C05E7">
          <w:pPr>
            <w:pStyle w:val="TOC1"/>
            <w:rPr>
              <w:rFonts w:asciiTheme="minorHAnsi" w:eastAsiaTheme="minorEastAsia" w:hAnsiTheme="minorHAnsi" w:cstheme="minorBidi"/>
              <w:noProof/>
              <w:kern w:val="2"/>
              <w:sz w:val="22"/>
              <w:szCs w:val="22"/>
              <w14:ligatures w14:val="standardContextual"/>
            </w:rPr>
          </w:pPr>
          <w:hyperlink w:anchor="_Toc141811871" w:history="1">
            <w:r w:rsidRPr="0022257A">
              <w:rPr>
                <w:rStyle w:val="Hyperlink"/>
                <w:noProof/>
              </w:rPr>
              <w:t>Section A.5. Impact on Small Businesses or Other Small Entities</w:t>
            </w:r>
            <w:r>
              <w:rPr>
                <w:noProof/>
                <w:webHidden/>
              </w:rPr>
              <w:tab/>
            </w:r>
            <w:r>
              <w:rPr>
                <w:noProof/>
                <w:webHidden/>
              </w:rPr>
              <w:fldChar w:fldCharType="begin"/>
            </w:r>
            <w:r>
              <w:rPr>
                <w:noProof/>
                <w:webHidden/>
              </w:rPr>
              <w:instrText xml:space="preserve"> PAGEREF _Toc141811871 \h </w:instrText>
            </w:r>
            <w:r>
              <w:rPr>
                <w:noProof/>
                <w:webHidden/>
              </w:rPr>
              <w:fldChar w:fldCharType="separate"/>
            </w:r>
            <w:r>
              <w:rPr>
                <w:noProof/>
                <w:webHidden/>
              </w:rPr>
              <w:t>7</w:t>
            </w:r>
            <w:r>
              <w:rPr>
                <w:noProof/>
                <w:webHidden/>
              </w:rPr>
              <w:fldChar w:fldCharType="end"/>
            </w:r>
          </w:hyperlink>
        </w:p>
        <w:p w:rsidR="00A30B1F" w14:paraId="35D23F82" w14:textId="5CDBE047">
          <w:pPr>
            <w:pStyle w:val="TOC1"/>
            <w:rPr>
              <w:rFonts w:asciiTheme="minorHAnsi" w:eastAsiaTheme="minorEastAsia" w:hAnsiTheme="minorHAnsi" w:cstheme="minorBidi"/>
              <w:noProof/>
              <w:kern w:val="2"/>
              <w:sz w:val="22"/>
              <w:szCs w:val="22"/>
              <w14:ligatures w14:val="standardContextual"/>
            </w:rPr>
          </w:pPr>
          <w:hyperlink w:anchor="_Toc141811872" w:history="1">
            <w:r w:rsidRPr="0022257A">
              <w:rPr>
                <w:rStyle w:val="Hyperlink"/>
                <w:noProof/>
              </w:rPr>
              <w:t>Section A.6. Consequences of Collecting the Information Less Frequently</w:t>
            </w:r>
            <w:r>
              <w:rPr>
                <w:noProof/>
                <w:webHidden/>
              </w:rPr>
              <w:tab/>
            </w:r>
            <w:r>
              <w:rPr>
                <w:noProof/>
                <w:webHidden/>
              </w:rPr>
              <w:fldChar w:fldCharType="begin"/>
            </w:r>
            <w:r>
              <w:rPr>
                <w:noProof/>
                <w:webHidden/>
              </w:rPr>
              <w:instrText xml:space="preserve"> PAGEREF _Toc141811872 \h </w:instrText>
            </w:r>
            <w:r>
              <w:rPr>
                <w:noProof/>
                <w:webHidden/>
              </w:rPr>
              <w:fldChar w:fldCharType="separate"/>
            </w:r>
            <w:r>
              <w:rPr>
                <w:noProof/>
                <w:webHidden/>
              </w:rPr>
              <w:t>7</w:t>
            </w:r>
            <w:r>
              <w:rPr>
                <w:noProof/>
                <w:webHidden/>
              </w:rPr>
              <w:fldChar w:fldCharType="end"/>
            </w:r>
          </w:hyperlink>
        </w:p>
        <w:p w:rsidR="00A30B1F" w14:paraId="5DDB2ABA" w14:textId="08374392">
          <w:pPr>
            <w:pStyle w:val="TOC1"/>
            <w:rPr>
              <w:rFonts w:asciiTheme="minorHAnsi" w:eastAsiaTheme="minorEastAsia" w:hAnsiTheme="minorHAnsi" w:cstheme="minorBidi"/>
              <w:noProof/>
              <w:kern w:val="2"/>
              <w:sz w:val="22"/>
              <w:szCs w:val="22"/>
              <w14:ligatures w14:val="standardContextual"/>
            </w:rPr>
          </w:pPr>
          <w:hyperlink w:anchor="_Toc141811873" w:history="1">
            <w:r w:rsidRPr="0022257A">
              <w:rPr>
                <w:rStyle w:val="Hyperlink"/>
                <w:noProof/>
              </w:rPr>
              <w:t>Section A.7. Special Circumstances Relating to the Guidelines of 5 CFR 1320.5</w:t>
            </w:r>
            <w:r>
              <w:rPr>
                <w:noProof/>
                <w:webHidden/>
              </w:rPr>
              <w:tab/>
            </w:r>
            <w:r>
              <w:rPr>
                <w:noProof/>
                <w:webHidden/>
              </w:rPr>
              <w:fldChar w:fldCharType="begin"/>
            </w:r>
            <w:r>
              <w:rPr>
                <w:noProof/>
                <w:webHidden/>
              </w:rPr>
              <w:instrText xml:space="preserve"> PAGEREF _Toc141811873 \h </w:instrText>
            </w:r>
            <w:r>
              <w:rPr>
                <w:noProof/>
                <w:webHidden/>
              </w:rPr>
              <w:fldChar w:fldCharType="separate"/>
            </w:r>
            <w:r>
              <w:rPr>
                <w:noProof/>
                <w:webHidden/>
              </w:rPr>
              <w:t>7</w:t>
            </w:r>
            <w:r>
              <w:rPr>
                <w:noProof/>
                <w:webHidden/>
              </w:rPr>
              <w:fldChar w:fldCharType="end"/>
            </w:r>
          </w:hyperlink>
        </w:p>
        <w:p w:rsidR="00A30B1F" w14:paraId="3C030CDE" w14:textId="3F9EC06A">
          <w:pPr>
            <w:pStyle w:val="TOC1"/>
            <w:rPr>
              <w:rFonts w:asciiTheme="minorHAnsi" w:eastAsiaTheme="minorEastAsia" w:hAnsiTheme="minorHAnsi" w:cstheme="minorBidi"/>
              <w:noProof/>
              <w:kern w:val="2"/>
              <w:sz w:val="22"/>
              <w:szCs w:val="22"/>
              <w14:ligatures w14:val="standardContextual"/>
            </w:rPr>
          </w:pPr>
          <w:hyperlink w:anchor="_Toc141811874" w:history="1">
            <w:r w:rsidRPr="0022257A">
              <w:rPr>
                <w:rStyle w:val="Hyperlink"/>
                <w:noProof/>
              </w:rPr>
              <w:t>Section 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_Toc141811874 \h </w:instrText>
            </w:r>
            <w:r>
              <w:rPr>
                <w:noProof/>
                <w:webHidden/>
              </w:rPr>
              <w:fldChar w:fldCharType="separate"/>
            </w:r>
            <w:r>
              <w:rPr>
                <w:noProof/>
                <w:webHidden/>
              </w:rPr>
              <w:t>8</w:t>
            </w:r>
            <w:r>
              <w:rPr>
                <w:noProof/>
                <w:webHidden/>
              </w:rPr>
              <w:fldChar w:fldCharType="end"/>
            </w:r>
          </w:hyperlink>
        </w:p>
        <w:p w:rsidR="00A30B1F" w14:paraId="5C117EAF" w14:textId="6F165F26">
          <w:pPr>
            <w:pStyle w:val="TOC1"/>
            <w:rPr>
              <w:rFonts w:asciiTheme="minorHAnsi" w:eastAsiaTheme="minorEastAsia" w:hAnsiTheme="minorHAnsi" w:cstheme="minorBidi"/>
              <w:noProof/>
              <w:kern w:val="2"/>
              <w:sz w:val="22"/>
              <w:szCs w:val="22"/>
              <w14:ligatures w14:val="standardContextual"/>
            </w:rPr>
          </w:pPr>
          <w:hyperlink w:anchor="_Toc141811875" w:history="1">
            <w:r w:rsidRPr="0022257A">
              <w:rPr>
                <w:rStyle w:val="Hyperlink"/>
                <w:noProof/>
              </w:rPr>
              <w:t>Section A.9. Explanation of Any Payment or Gift to Respondents</w:t>
            </w:r>
            <w:r>
              <w:rPr>
                <w:noProof/>
                <w:webHidden/>
              </w:rPr>
              <w:tab/>
            </w:r>
            <w:r>
              <w:rPr>
                <w:noProof/>
                <w:webHidden/>
              </w:rPr>
              <w:fldChar w:fldCharType="begin"/>
            </w:r>
            <w:r>
              <w:rPr>
                <w:noProof/>
                <w:webHidden/>
              </w:rPr>
              <w:instrText xml:space="preserve"> PAGEREF _Toc141811875 \h </w:instrText>
            </w:r>
            <w:r>
              <w:rPr>
                <w:noProof/>
                <w:webHidden/>
              </w:rPr>
              <w:fldChar w:fldCharType="separate"/>
            </w:r>
            <w:r>
              <w:rPr>
                <w:noProof/>
                <w:webHidden/>
              </w:rPr>
              <w:t>8</w:t>
            </w:r>
            <w:r>
              <w:rPr>
                <w:noProof/>
                <w:webHidden/>
              </w:rPr>
              <w:fldChar w:fldCharType="end"/>
            </w:r>
          </w:hyperlink>
        </w:p>
        <w:p w:rsidR="00A30B1F" w14:paraId="2635D7D7" w14:textId="1BD0412A">
          <w:pPr>
            <w:pStyle w:val="TOC1"/>
            <w:rPr>
              <w:rFonts w:asciiTheme="minorHAnsi" w:eastAsiaTheme="minorEastAsia" w:hAnsiTheme="minorHAnsi" w:cstheme="minorBidi"/>
              <w:noProof/>
              <w:kern w:val="2"/>
              <w:sz w:val="22"/>
              <w:szCs w:val="22"/>
              <w14:ligatures w14:val="standardContextual"/>
            </w:rPr>
          </w:pPr>
          <w:hyperlink w:anchor="_Toc141811876" w:history="1">
            <w:r w:rsidRPr="0022257A">
              <w:rPr>
                <w:rStyle w:val="Hyperlink"/>
                <w:noProof/>
              </w:rPr>
              <w:t>Section A.10. Assurance of Confidentiality Provided to Respondents</w:t>
            </w:r>
            <w:r>
              <w:rPr>
                <w:noProof/>
                <w:webHidden/>
              </w:rPr>
              <w:tab/>
            </w:r>
            <w:r>
              <w:rPr>
                <w:noProof/>
                <w:webHidden/>
              </w:rPr>
              <w:fldChar w:fldCharType="begin"/>
            </w:r>
            <w:r>
              <w:rPr>
                <w:noProof/>
                <w:webHidden/>
              </w:rPr>
              <w:instrText xml:space="preserve"> PAGEREF _Toc141811876 \h </w:instrText>
            </w:r>
            <w:r>
              <w:rPr>
                <w:noProof/>
                <w:webHidden/>
              </w:rPr>
              <w:fldChar w:fldCharType="separate"/>
            </w:r>
            <w:r>
              <w:rPr>
                <w:noProof/>
                <w:webHidden/>
              </w:rPr>
              <w:t>8</w:t>
            </w:r>
            <w:r>
              <w:rPr>
                <w:noProof/>
                <w:webHidden/>
              </w:rPr>
              <w:fldChar w:fldCharType="end"/>
            </w:r>
          </w:hyperlink>
        </w:p>
        <w:p w:rsidR="00A30B1F" w14:paraId="7AA62BE4" w14:textId="3E16A666">
          <w:pPr>
            <w:pStyle w:val="TOC1"/>
            <w:rPr>
              <w:rFonts w:asciiTheme="minorHAnsi" w:eastAsiaTheme="minorEastAsia" w:hAnsiTheme="minorHAnsi" w:cstheme="minorBidi"/>
              <w:noProof/>
              <w:kern w:val="2"/>
              <w:sz w:val="22"/>
              <w:szCs w:val="22"/>
              <w14:ligatures w14:val="standardContextual"/>
            </w:rPr>
          </w:pPr>
          <w:hyperlink w:anchor="_Toc141811877" w:history="1">
            <w:r w:rsidRPr="0022257A">
              <w:rPr>
                <w:rStyle w:val="Hyperlink"/>
                <w:noProof/>
              </w:rPr>
              <w:t>Section A.11. Justification for Sensitive Questions</w:t>
            </w:r>
            <w:r>
              <w:rPr>
                <w:noProof/>
                <w:webHidden/>
              </w:rPr>
              <w:tab/>
            </w:r>
            <w:r>
              <w:rPr>
                <w:noProof/>
                <w:webHidden/>
              </w:rPr>
              <w:fldChar w:fldCharType="begin"/>
            </w:r>
            <w:r>
              <w:rPr>
                <w:noProof/>
                <w:webHidden/>
              </w:rPr>
              <w:instrText xml:space="preserve"> PAGEREF _Toc141811877 \h </w:instrText>
            </w:r>
            <w:r>
              <w:rPr>
                <w:noProof/>
                <w:webHidden/>
              </w:rPr>
              <w:fldChar w:fldCharType="separate"/>
            </w:r>
            <w:r>
              <w:rPr>
                <w:noProof/>
                <w:webHidden/>
              </w:rPr>
              <w:t>10</w:t>
            </w:r>
            <w:r>
              <w:rPr>
                <w:noProof/>
                <w:webHidden/>
              </w:rPr>
              <w:fldChar w:fldCharType="end"/>
            </w:r>
          </w:hyperlink>
        </w:p>
        <w:p w:rsidR="00A30B1F" w14:paraId="53EED365" w14:textId="2C33B72B">
          <w:pPr>
            <w:pStyle w:val="TOC1"/>
            <w:rPr>
              <w:rFonts w:asciiTheme="minorHAnsi" w:eastAsiaTheme="minorEastAsia" w:hAnsiTheme="minorHAnsi" w:cstheme="minorBidi"/>
              <w:noProof/>
              <w:kern w:val="2"/>
              <w:sz w:val="22"/>
              <w:szCs w:val="22"/>
              <w14:ligatures w14:val="standardContextual"/>
            </w:rPr>
          </w:pPr>
          <w:hyperlink w:anchor="_Toc141811878" w:history="1">
            <w:r w:rsidRPr="0022257A">
              <w:rPr>
                <w:rStyle w:val="Hyperlink"/>
                <w:noProof/>
              </w:rPr>
              <w:t>Section A.12. Estimates of Annualized Burden Hours and Costs</w:t>
            </w:r>
            <w:r>
              <w:rPr>
                <w:noProof/>
                <w:webHidden/>
              </w:rPr>
              <w:tab/>
            </w:r>
            <w:r>
              <w:rPr>
                <w:noProof/>
                <w:webHidden/>
              </w:rPr>
              <w:fldChar w:fldCharType="begin"/>
            </w:r>
            <w:r>
              <w:rPr>
                <w:noProof/>
                <w:webHidden/>
              </w:rPr>
              <w:instrText xml:space="preserve"> PAGEREF _Toc141811878 \h </w:instrText>
            </w:r>
            <w:r>
              <w:rPr>
                <w:noProof/>
                <w:webHidden/>
              </w:rPr>
              <w:fldChar w:fldCharType="separate"/>
            </w:r>
            <w:r>
              <w:rPr>
                <w:noProof/>
                <w:webHidden/>
              </w:rPr>
              <w:t>10</w:t>
            </w:r>
            <w:r>
              <w:rPr>
                <w:noProof/>
                <w:webHidden/>
              </w:rPr>
              <w:fldChar w:fldCharType="end"/>
            </w:r>
          </w:hyperlink>
        </w:p>
        <w:p w:rsidR="00A30B1F" w14:paraId="0C30B66A" w14:textId="66161BE1">
          <w:pPr>
            <w:pStyle w:val="TOC1"/>
            <w:rPr>
              <w:rFonts w:asciiTheme="minorHAnsi" w:eastAsiaTheme="minorEastAsia" w:hAnsiTheme="minorHAnsi" w:cstheme="minorBidi"/>
              <w:noProof/>
              <w:kern w:val="2"/>
              <w:sz w:val="22"/>
              <w:szCs w:val="22"/>
              <w14:ligatures w14:val="standardContextual"/>
            </w:rPr>
          </w:pPr>
          <w:hyperlink w:anchor="_Toc141811879" w:history="1">
            <w:r w:rsidRPr="0022257A">
              <w:rPr>
                <w:rStyle w:val="Hyperlink"/>
                <w:noProof/>
              </w:rPr>
              <w:t>Section A.13. Estimates of Other Total Annual Cost Burden to Respondents or Record Keepers</w:t>
            </w:r>
            <w:r>
              <w:rPr>
                <w:noProof/>
                <w:webHidden/>
              </w:rPr>
              <w:tab/>
            </w:r>
            <w:r>
              <w:rPr>
                <w:noProof/>
                <w:webHidden/>
              </w:rPr>
              <w:fldChar w:fldCharType="begin"/>
            </w:r>
            <w:r>
              <w:rPr>
                <w:noProof/>
                <w:webHidden/>
              </w:rPr>
              <w:instrText xml:space="preserve"> PAGEREF _Toc141811879 \h </w:instrText>
            </w:r>
            <w:r>
              <w:rPr>
                <w:noProof/>
                <w:webHidden/>
              </w:rPr>
              <w:fldChar w:fldCharType="separate"/>
            </w:r>
            <w:r>
              <w:rPr>
                <w:noProof/>
                <w:webHidden/>
              </w:rPr>
              <w:t>11</w:t>
            </w:r>
            <w:r>
              <w:rPr>
                <w:noProof/>
                <w:webHidden/>
              </w:rPr>
              <w:fldChar w:fldCharType="end"/>
            </w:r>
          </w:hyperlink>
        </w:p>
        <w:p w:rsidR="00A30B1F" w14:paraId="43D2C97D" w14:textId="593587FD">
          <w:pPr>
            <w:pStyle w:val="TOC1"/>
            <w:rPr>
              <w:rFonts w:asciiTheme="minorHAnsi" w:eastAsiaTheme="minorEastAsia" w:hAnsiTheme="minorHAnsi" w:cstheme="minorBidi"/>
              <w:noProof/>
              <w:kern w:val="2"/>
              <w:sz w:val="22"/>
              <w:szCs w:val="22"/>
              <w14:ligatures w14:val="standardContextual"/>
            </w:rPr>
          </w:pPr>
          <w:hyperlink w:anchor="_Toc141811880" w:history="1">
            <w:r w:rsidRPr="0022257A">
              <w:rPr>
                <w:rStyle w:val="Hyperlink"/>
                <w:noProof/>
              </w:rPr>
              <w:t>Section A.14. Annualized Cost to the Government</w:t>
            </w:r>
            <w:r>
              <w:rPr>
                <w:noProof/>
                <w:webHidden/>
              </w:rPr>
              <w:tab/>
            </w:r>
            <w:r>
              <w:rPr>
                <w:noProof/>
                <w:webHidden/>
              </w:rPr>
              <w:fldChar w:fldCharType="begin"/>
            </w:r>
            <w:r>
              <w:rPr>
                <w:noProof/>
                <w:webHidden/>
              </w:rPr>
              <w:instrText xml:space="preserve"> PAGEREF _Toc141811880 \h </w:instrText>
            </w:r>
            <w:r>
              <w:rPr>
                <w:noProof/>
                <w:webHidden/>
              </w:rPr>
              <w:fldChar w:fldCharType="separate"/>
            </w:r>
            <w:r>
              <w:rPr>
                <w:noProof/>
                <w:webHidden/>
              </w:rPr>
              <w:t>11</w:t>
            </w:r>
            <w:r>
              <w:rPr>
                <w:noProof/>
                <w:webHidden/>
              </w:rPr>
              <w:fldChar w:fldCharType="end"/>
            </w:r>
          </w:hyperlink>
        </w:p>
        <w:p w:rsidR="00A30B1F" w14:paraId="0888971B" w14:textId="5336DAA2">
          <w:pPr>
            <w:pStyle w:val="TOC1"/>
            <w:rPr>
              <w:rFonts w:asciiTheme="minorHAnsi" w:eastAsiaTheme="minorEastAsia" w:hAnsiTheme="minorHAnsi" w:cstheme="minorBidi"/>
              <w:noProof/>
              <w:kern w:val="2"/>
              <w:sz w:val="22"/>
              <w:szCs w:val="22"/>
              <w14:ligatures w14:val="standardContextual"/>
            </w:rPr>
          </w:pPr>
          <w:hyperlink w:anchor="_Toc141811881" w:history="1">
            <w:r w:rsidRPr="0022257A">
              <w:rPr>
                <w:rStyle w:val="Hyperlink"/>
                <w:noProof/>
              </w:rPr>
              <w:t>Section A.15. Explanation for Program Changes or Adjustments</w:t>
            </w:r>
            <w:r>
              <w:rPr>
                <w:noProof/>
                <w:webHidden/>
              </w:rPr>
              <w:tab/>
            </w:r>
            <w:r>
              <w:rPr>
                <w:noProof/>
                <w:webHidden/>
              </w:rPr>
              <w:fldChar w:fldCharType="begin"/>
            </w:r>
            <w:r>
              <w:rPr>
                <w:noProof/>
                <w:webHidden/>
              </w:rPr>
              <w:instrText xml:space="preserve"> PAGEREF _Toc141811881 \h </w:instrText>
            </w:r>
            <w:r>
              <w:rPr>
                <w:noProof/>
                <w:webHidden/>
              </w:rPr>
              <w:fldChar w:fldCharType="separate"/>
            </w:r>
            <w:r>
              <w:rPr>
                <w:noProof/>
                <w:webHidden/>
              </w:rPr>
              <w:t>12</w:t>
            </w:r>
            <w:r>
              <w:rPr>
                <w:noProof/>
                <w:webHidden/>
              </w:rPr>
              <w:fldChar w:fldCharType="end"/>
            </w:r>
          </w:hyperlink>
        </w:p>
        <w:p w:rsidR="00A30B1F" w14:paraId="7B19A05A" w14:textId="593D4651">
          <w:pPr>
            <w:pStyle w:val="TOC1"/>
            <w:rPr>
              <w:rFonts w:asciiTheme="minorHAnsi" w:eastAsiaTheme="minorEastAsia" w:hAnsiTheme="minorHAnsi" w:cstheme="minorBidi"/>
              <w:noProof/>
              <w:kern w:val="2"/>
              <w:sz w:val="22"/>
              <w:szCs w:val="22"/>
              <w14:ligatures w14:val="standardContextual"/>
            </w:rPr>
          </w:pPr>
          <w:hyperlink w:anchor="_Toc141811882" w:history="1">
            <w:r w:rsidRPr="0022257A">
              <w:rPr>
                <w:rStyle w:val="Hyperlink"/>
                <w:noProof/>
              </w:rPr>
              <w:t>Section A.16. Plans for Tabulation and Publication and Project Time Schedule</w:t>
            </w:r>
            <w:r>
              <w:rPr>
                <w:noProof/>
                <w:webHidden/>
              </w:rPr>
              <w:tab/>
            </w:r>
            <w:r>
              <w:rPr>
                <w:noProof/>
                <w:webHidden/>
              </w:rPr>
              <w:fldChar w:fldCharType="begin"/>
            </w:r>
            <w:r>
              <w:rPr>
                <w:noProof/>
                <w:webHidden/>
              </w:rPr>
              <w:instrText xml:space="preserve"> PAGEREF _Toc141811882 \h </w:instrText>
            </w:r>
            <w:r>
              <w:rPr>
                <w:noProof/>
                <w:webHidden/>
              </w:rPr>
              <w:fldChar w:fldCharType="separate"/>
            </w:r>
            <w:r>
              <w:rPr>
                <w:noProof/>
                <w:webHidden/>
              </w:rPr>
              <w:t>13</w:t>
            </w:r>
            <w:r>
              <w:rPr>
                <w:noProof/>
                <w:webHidden/>
              </w:rPr>
              <w:fldChar w:fldCharType="end"/>
            </w:r>
          </w:hyperlink>
        </w:p>
        <w:p w:rsidR="00A30B1F" w14:paraId="212989B8" w14:textId="3FD892E3">
          <w:pPr>
            <w:pStyle w:val="TOC1"/>
            <w:rPr>
              <w:rFonts w:asciiTheme="minorHAnsi" w:eastAsiaTheme="minorEastAsia" w:hAnsiTheme="minorHAnsi" w:cstheme="minorBidi"/>
              <w:noProof/>
              <w:kern w:val="2"/>
              <w:sz w:val="22"/>
              <w:szCs w:val="22"/>
              <w14:ligatures w14:val="standardContextual"/>
            </w:rPr>
          </w:pPr>
          <w:hyperlink w:anchor="_Toc141811883" w:history="1">
            <w:r w:rsidRPr="0022257A">
              <w:rPr>
                <w:rStyle w:val="Hyperlink"/>
                <w:noProof/>
              </w:rPr>
              <w:t>Section A.17. Reason(s) Display of OMB Expiration Date Is Inappropriate</w:t>
            </w:r>
            <w:r>
              <w:rPr>
                <w:noProof/>
                <w:webHidden/>
              </w:rPr>
              <w:tab/>
            </w:r>
            <w:r>
              <w:rPr>
                <w:noProof/>
                <w:webHidden/>
              </w:rPr>
              <w:fldChar w:fldCharType="begin"/>
            </w:r>
            <w:r>
              <w:rPr>
                <w:noProof/>
                <w:webHidden/>
              </w:rPr>
              <w:instrText xml:space="preserve"> PAGEREF _Toc141811883 \h </w:instrText>
            </w:r>
            <w:r>
              <w:rPr>
                <w:noProof/>
                <w:webHidden/>
              </w:rPr>
              <w:fldChar w:fldCharType="separate"/>
            </w:r>
            <w:r>
              <w:rPr>
                <w:noProof/>
                <w:webHidden/>
              </w:rPr>
              <w:t>13</w:t>
            </w:r>
            <w:r>
              <w:rPr>
                <w:noProof/>
                <w:webHidden/>
              </w:rPr>
              <w:fldChar w:fldCharType="end"/>
            </w:r>
          </w:hyperlink>
        </w:p>
        <w:p w:rsidR="00A30B1F" w14:paraId="51951668" w14:textId="30693344">
          <w:pPr>
            <w:pStyle w:val="TOC1"/>
            <w:rPr>
              <w:rFonts w:asciiTheme="minorHAnsi" w:eastAsiaTheme="minorEastAsia" w:hAnsiTheme="minorHAnsi" w:cstheme="minorBidi"/>
              <w:noProof/>
              <w:kern w:val="2"/>
              <w:sz w:val="22"/>
              <w:szCs w:val="22"/>
              <w14:ligatures w14:val="standardContextual"/>
            </w:rPr>
          </w:pPr>
          <w:hyperlink w:anchor="_Toc141811884" w:history="1">
            <w:r w:rsidRPr="0022257A">
              <w:rPr>
                <w:rStyle w:val="Hyperlink"/>
                <w:noProof/>
              </w:rPr>
              <w:t>Section A.18. Exceptions to Certification for Paperwork Reduction Act Submissions</w:t>
            </w:r>
            <w:r>
              <w:rPr>
                <w:noProof/>
                <w:webHidden/>
              </w:rPr>
              <w:tab/>
            </w:r>
            <w:r>
              <w:rPr>
                <w:noProof/>
                <w:webHidden/>
              </w:rPr>
              <w:fldChar w:fldCharType="begin"/>
            </w:r>
            <w:r>
              <w:rPr>
                <w:noProof/>
                <w:webHidden/>
              </w:rPr>
              <w:instrText xml:space="preserve"> PAGEREF _Toc141811884 \h </w:instrText>
            </w:r>
            <w:r>
              <w:rPr>
                <w:noProof/>
                <w:webHidden/>
              </w:rPr>
              <w:fldChar w:fldCharType="separate"/>
            </w:r>
            <w:r>
              <w:rPr>
                <w:noProof/>
                <w:webHidden/>
              </w:rPr>
              <w:t>13</w:t>
            </w:r>
            <w:r>
              <w:rPr>
                <w:noProof/>
                <w:webHidden/>
              </w:rPr>
              <w:fldChar w:fldCharType="end"/>
            </w:r>
          </w:hyperlink>
        </w:p>
        <w:p w:rsidR="00A30B1F" w14:paraId="5F898752" w14:textId="70EFEC2E">
          <w:pPr>
            <w:pStyle w:val="TOC1"/>
            <w:rPr>
              <w:rFonts w:asciiTheme="minorHAnsi" w:eastAsiaTheme="minorEastAsia" w:hAnsiTheme="minorHAnsi" w:cstheme="minorBidi"/>
              <w:noProof/>
              <w:kern w:val="2"/>
              <w:sz w:val="22"/>
              <w:szCs w:val="22"/>
              <w14:ligatures w14:val="standardContextual"/>
            </w:rPr>
          </w:pPr>
          <w:hyperlink w:anchor="_Toc141811885" w:history="1">
            <w:r w:rsidRPr="0022257A">
              <w:rPr>
                <w:rStyle w:val="Hyperlink"/>
                <w:noProof/>
              </w:rPr>
              <w:t>Attachments</w:t>
            </w:r>
            <w:r>
              <w:rPr>
                <w:noProof/>
                <w:webHidden/>
              </w:rPr>
              <w:tab/>
            </w:r>
            <w:r>
              <w:rPr>
                <w:noProof/>
                <w:webHidden/>
              </w:rPr>
              <w:fldChar w:fldCharType="begin"/>
            </w:r>
            <w:r>
              <w:rPr>
                <w:noProof/>
                <w:webHidden/>
              </w:rPr>
              <w:instrText xml:space="preserve"> PAGEREF _Toc141811885 \h </w:instrText>
            </w:r>
            <w:r>
              <w:rPr>
                <w:noProof/>
                <w:webHidden/>
              </w:rPr>
              <w:fldChar w:fldCharType="separate"/>
            </w:r>
            <w:r>
              <w:rPr>
                <w:noProof/>
                <w:webHidden/>
              </w:rPr>
              <w:t>14</w:t>
            </w:r>
            <w:r>
              <w:rPr>
                <w:noProof/>
                <w:webHidden/>
              </w:rPr>
              <w:fldChar w:fldCharType="end"/>
            </w:r>
          </w:hyperlink>
        </w:p>
        <w:p w:rsidR="005A798D" w:rsidP="005A798D" w14:paraId="6100A874" w14:textId="3A193213">
          <w:pPr>
            <w:pStyle w:val="TOC1"/>
            <w:rPr>
              <w:noProof/>
            </w:rPr>
          </w:pPr>
          <w:r>
            <w:fldChar w:fldCharType="end"/>
          </w:r>
        </w:p>
      </w:sdtContent>
    </w:sdt>
    <w:p w:rsidR="005A798D" w:rsidP="005A798D" w14:paraId="714B4FD1" w14:textId="77777777">
      <w:pPr>
        <w:spacing w:after="200" w:line="276" w:lineRule="auto"/>
        <w:rPr>
          <w:b/>
          <w:bCs/>
          <w:sz w:val="28"/>
          <w:szCs w:val="28"/>
        </w:rPr>
      </w:pPr>
      <w:r>
        <w:rPr>
          <w:b/>
          <w:bCs/>
          <w:sz w:val="28"/>
          <w:szCs w:val="28"/>
        </w:rPr>
        <w:br w:type="page"/>
      </w:r>
    </w:p>
    <w:p w:rsidR="005A798D" w:rsidP="005A798D" w14:paraId="7141F16B" w14:textId="77777777">
      <w:pPr>
        <w:rPr>
          <w:b/>
          <w:bCs/>
          <w:sz w:val="28"/>
          <w:szCs w:val="28"/>
        </w:rPr>
      </w:pPr>
      <w:r w:rsidRPr="00C966E1">
        <w:rPr>
          <w:b/>
          <w:bCs/>
          <w:sz w:val="28"/>
          <w:szCs w:val="28"/>
        </w:rPr>
        <w:t>Attachments</w:t>
      </w:r>
    </w:p>
    <w:p w:rsidR="009F7113" w:rsidRPr="009F7113" w:rsidP="007342F7" w14:paraId="5104769E" w14:textId="5CB44236">
      <w:r w:rsidRPr="009F7113">
        <w:t>Attachment 1. Authorizing Legislation</w:t>
      </w:r>
    </w:p>
    <w:p w:rsidR="009F7113" w:rsidRPr="009F7113" w:rsidP="007342F7" w14:paraId="3347635E" w14:textId="5522C9B3">
      <w:r w:rsidRPr="009F7113">
        <w:t>Attachment 2. 60-Day Federal Register Notice</w:t>
      </w:r>
    </w:p>
    <w:p w:rsidR="009F7113" w:rsidRPr="009F7113" w:rsidP="007342F7" w14:paraId="54BBCA10" w14:textId="264F608E">
      <w:r w:rsidRPr="009F7113">
        <w:t>Attachment 3. IRB Approval Letter</w:t>
      </w:r>
    </w:p>
    <w:p w:rsidR="009F7113" w:rsidRPr="009F7113" w:rsidP="007342F7" w14:paraId="4343BB80" w14:textId="0025CDC2">
      <w:r w:rsidRPr="009F7113">
        <w:t>Attachment 4. Public Comment</w:t>
      </w:r>
    </w:p>
    <w:p w:rsidR="009F7113" w:rsidRPr="009F7113" w:rsidP="007342F7" w14:paraId="187D08BA" w14:textId="30E5C9B9">
      <w:r w:rsidRPr="009F7113">
        <w:t>Attachment 5. Research Determination</w:t>
      </w:r>
    </w:p>
    <w:p w:rsidR="009F7113" w:rsidRPr="009F7113" w:rsidP="007342F7" w14:paraId="0FC47847" w14:textId="110E4541">
      <w:r w:rsidRPr="009F7113">
        <w:t>Attachment 6. Privacy Impact Assessment</w:t>
      </w:r>
    </w:p>
    <w:p w:rsidR="009F7113" w:rsidRPr="009F7113" w:rsidP="007342F7" w14:paraId="7F46F1D0" w14:textId="1C091EE4">
      <w:r w:rsidRPr="009F7113">
        <w:t>Attachment 7. References</w:t>
      </w:r>
    </w:p>
    <w:p w:rsidR="009F7113" w:rsidRPr="009F7113" w:rsidP="007342F7" w14:paraId="5FB7B757" w14:textId="4A5D95B8">
      <w:r w:rsidRPr="009F7113">
        <w:t>Attachment 8. Invitation Email/Letter – English</w:t>
      </w:r>
    </w:p>
    <w:p w:rsidR="009F7113" w:rsidRPr="009F7113" w:rsidP="007342F7" w14:paraId="26016B56" w14:textId="0340ED4A">
      <w:r w:rsidRPr="009F7113">
        <w:t>Attachment 9. Invitation Email/Letter – Spanish</w:t>
      </w:r>
    </w:p>
    <w:p w:rsidR="009F7113" w:rsidRPr="009F7113" w:rsidP="007342F7" w14:paraId="1F7F76D8" w14:textId="6312D2A2">
      <w:r w:rsidRPr="009F7113">
        <w:t>Attachment 10. Follow-up Invitation Email/Letter – English</w:t>
      </w:r>
    </w:p>
    <w:p w:rsidR="009F7113" w:rsidRPr="009F7113" w:rsidP="007342F7" w14:paraId="77FF0393" w14:textId="7D8DF552">
      <w:r w:rsidRPr="009F7113">
        <w:t>Attachment 11. Follow-up Invitation Email/Letter – Spanish</w:t>
      </w:r>
    </w:p>
    <w:p w:rsidR="009F7113" w:rsidRPr="009F7113" w:rsidP="007342F7" w14:paraId="0D3906B5" w14:textId="5460A24B">
      <w:r w:rsidRPr="009F7113">
        <w:t>Attachment 12. Final Follow-up Invitation Email/Letter – English</w:t>
      </w:r>
    </w:p>
    <w:p w:rsidR="009F7113" w:rsidRPr="009F7113" w:rsidP="007342F7" w14:paraId="5FC2FB3C" w14:textId="4A43975E">
      <w:r w:rsidRPr="009F7113">
        <w:t>Attachment 13. Final Follow-up Invitation Email/Letter – Spanish</w:t>
      </w:r>
    </w:p>
    <w:p w:rsidR="009F7113" w:rsidRPr="009F7113" w:rsidP="007342F7" w14:paraId="562D1073" w14:textId="47485C98">
      <w:r w:rsidRPr="009F7113">
        <w:t>Attachment 14. Email to Community Based Organizations – English</w:t>
      </w:r>
    </w:p>
    <w:p w:rsidR="009F7113" w:rsidRPr="009F7113" w:rsidP="007342F7" w14:paraId="19DCFBF3" w14:textId="18949487">
      <w:r w:rsidRPr="009F7113">
        <w:t>Attachment 15. Email to Community Based Organizations – Spanish</w:t>
      </w:r>
    </w:p>
    <w:p w:rsidR="009F7113" w:rsidRPr="009F7113" w:rsidP="007342F7" w14:paraId="4DBA4988" w14:textId="7648503A">
      <w:r w:rsidRPr="009F7113">
        <w:t>Attachment 16. Scheduling Email – English</w:t>
      </w:r>
    </w:p>
    <w:p w:rsidR="009F7113" w:rsidRPr="009F7113" w:rsidP="007342F7" w14:paraId="7EA3BF58" w14:textId="2DFF7880">
      <w:r w:rsidRPr="009F7113">
        <w:t>Attachment 17. Scheduling Email – Spanish</w:t>
      </w:r>
    </w:p>
    <w:p w:rsidR="009F7113" w:rsidRPr="009F7113" w:rsidP="007342F7" w14:paraId="6AF0841C" w14:textId="6C3C514E">
      <w:r w:rsidRPr="009F7113">
        <w:t>Attachment 18. Confirmation Email – English</w:t>
      </w:r>
    </w:p>
    <w:p w:rsidR="009F7113" w:rsidRPr="009F7113" w:rsidP="007342F7" w14:paraId="28090ACD" w14:textId="6B14FC85">
      <w:r w:rsidRPr="009F7113">
        <w:t>Attachment 19. Confirmation Email – Spanish</w:t>
      </w:r>
    </w:p>
    <w:p w:rsidR="009F7113" w:rsidRPr="009F7113" w:rsidP="007342F7" w14:paraId="7DF03236" w14:textId="21CC47BE">
      <w:r w:rsidRPr="009F7113">
        <w:t>Attachment 20. Online Screener – English</w:t>
      </w:r>
    </w:p>
    <w:p w:rsidR="009F7113" w:rsidRPr="009F7113" w:rsidP="007342F7" w14:paraId="02C3365C" w14:textId="66E95E1C">
      <w:r w:rsidRPr="009F7113">
        <w:t>Attachment 21. Online Screener – Spanish</w:t>
      </w:r>
    </w:p>
    <w:p w:rsidR="009F7113" w:rsidRPr="009F7113" w:rsidP="007342F7" w14:paraId="16091AE7" w14:textId="0CDF1BE4">
      <w:r w:rsidRPr="009F7113">
        <w:t>Attachment 22. Telephone Script Screener – English</w:t>
      </w:r>
    </w:p>
    <w:p w:rsidR="009F7113" w:rsidRPr="009F7113" w:rsidP="007342F7" w14:paraId="7659BB3A" w14:textId="7DB03275">
      <w:r w:rsidRPr="009F7113">
        <w:t>Attachment 23. Telephone Script Screener – Spanish</w:t>
      </w:r>
    </w:p>
    <w:p w:rsidR="009F7113" w:rsidRPr="009F7113" w:rsidP="007342F7" w14:paraId="6B709076" w14:textId="76348E9F">
      <w:r w:rsidRPr="009F7113">
        <w:t>Attachment 24. Thank You Letter/Email – English</w:t>
      </w:r>
    </w:p>
    <w:p w:rsidR="009F7113" w:rsidRPr="009F7113" w:rsidP="007342F7" w14:paraId="5862EA63" w14:textId="10BE78FF">
      <w:r w:rsidRPr="009F7113">
        <w:t>Attachment 25. Thank You Letter/Email – Spanish</w:t>
      </w:r>
    </w:p>
    <w:p w:rsidR="009F7113" w:rsidRPr="009F7113" w:rsidP="007342F7" w14:paraId="65C6CAFA" w14:textId="71031462">
      <w:r w:rsidRPr="009F7113">
        <w:t>Attachment 26. Frequently Asked Questions (FAQ)</w:t>
      </w:r>
      <w:r w:rsidR="00BB5B73">
        <w:t>/Landing Page</w:t>
      </w:r>
      <w:r w:rsidRPr="009F7113">
        <w:t xml:space="preserve"> – English</w:t>
      </w:r>
    </w:p>
    <w:p w:rsidR="009F7113" w:rsidRPr="009F7113" w:rsidP="007342F7" w14:paraId="1665D20F" w14:textId="60C76438">
      <w:r w:rsidRPr="009F7113">
        <w:t>Attachment 27. Frequently Asked Questions (FAQ)</w:t>
      </w:r>
      <w:r w:rsidR="00BB5B73">
        <w:t>/Landing Page</w:t>
      </w:r>
      <w:r w:rsidRPr="009F7113">
        <w:t xml:space="preserve"> – Spanish</w:t>
      </w:r>
    </w:p>
    <w:p w:rsidR="009F7113" w:rsidRPr="009F7113" w:rsidP="007342F7" w14:paraId="5B3838E1" w14:textId="03D13FBF">
      <w:r w:rsidRPr="009F7113">
        <w:t>Attachment 28. Consent Form– English</w:t>
      </w:r>
    </w:p>
    <w:p w:rsidR="009F7113" w:rsidRPr="009F7113" w:rsidP="007342F7" w14:paraId="16EAE8C2" w14:textId="2B6F3208">
      <w:r w:rsidRPr="009F7113">
        <w:t>Attachment 29. Consent Form – Spanish</w:t>
      </w:r>
    </w:p>
    <w:p w:rsidR="009F7113" w:rsidRPr="009F7113" w:rsidP="007342F7" w14:paraId="4CF005DC" w14:textId="5E854DEA">
      <w:r w:rsidRPr="009F7113">
        <w:t>Attachment 30. Moderator Guide – English</w:t>
      </w:r>
    </w:p>
    <w:p w:rsidR="009F7113" w:rsidRPr="009F7113" w:rsidP="007342F7" w14:paraId="2F1DA948" w14:textId="664E2243">
      <w:r w:rsidRPr="009F7113">
        <w:t>Attachment 31. Moderator Guide – Spanish</w:t>
      </w:r>
    </w:p>
    <w:p w:rsidR="009F7113" w:rsidRPr="009F7113" w:rsidP="007342F7" w14:paraId="1FF3F943" w14:textId="462D915F">
      <w:r w:rsidRPr="009F7113">
        <w:t>Attachment 32. Visual Aids</w:t>
      </w:r>
    </w:p>
    <w:p w:rsidR="009F7113" w:rsidRPr="009F7113" w:rsidP="007342F7" w14:paraId="6DAE4B77" w14:textId="30123950">
      <w:r w:rsidRPr="009F7113">
        <w:t>Attachment 33. Flyer (English and Spanish)</w:t>
      </w:r>
    </w:p>
    <w:p w:rsidR="009F7113" w:rsidRPr="009F7113" w:rsidP="007342F7" w14:paraId="5292030C" w14:textId="4E27BE3E">
      <w:r w:rsidRPr="009F7113">
        <w:t>Attachment 34. Social Media Advertisements (English and Spanish)</w:t>
      </w:r>
    </w:p>
    <w:p w:rsidR="009F7113" w:rsidP="007342F7" w14:paraId="4D6C6F24" w14:textId="50EF40F6">
      <w:r w:rsidRPr="009F7113">
        <w:t>Attachment 35. Screenshots of Screener – English</w:t>
      </w:r>
    </w:p>
    <w:p w:rsidR="009F7113" w:rsidRPr="00C966E1" w:rsidP="007342F7" w14:paraId="5536C33F" w14:textId="597EEB77">
      <w:r>
        <w:t>Attachment 36. Screenshots of Screener – Spanish</w:t>
      </w:r>
    </w:p>
    <w:p w:rsidR="009F7113" w:rsidRPr="00C966E1" w:rsidP="007342F7" w14:paraId="1AF45318" w14:textId="55C12C17">
      <w:r>
        <w:t>Attachment 37. Screenshots of Online Consent Form – English</w:t>
      </w:r>
    </w:p>
    <w:p w:rsidR="00FF6D3A" w:rsidP="007342F7" w14:paraId="1C73644B" w14:textId="23D13FEA">
      <w:r>
        <w:t xml:space="preserve">Attachment 38. Screenshots of Online Consent Form </w:t>
      </w:r>
      <w:r>
        <w:t>–</w:t>
      </w:r>
      <w:r>
        <w:t xml:space="preserve"> Spanish</w:t>
      </w:r>
    </w:p>
    <w:p w:rsidR="00FF6D3A" w:rsidP="00FF6D3A" w14:paraId="2D8DC801" w14:textId="4142B0F1">
      <w:r w:rsidRPr="009F7113">
        <w:t xml:space="preserve">Attachment </w:t>
      </w:r>
      <w:r>
        <w:t>39</w:t>
      </w:r>
      <w:r w:rsidRPr="009F7113">
        <w:t xml:space="preserve">. </w:t>
      </w:r>
      <w:r w:rsidR="00F92967">
        <w:t xml:space="preserve">Reminder Email – English </w:t>
      </w:r>
    </w:p>
    <w:p w:rsidR="00FF6D3A" w:rsidRPr="00C966E1" w:rsidP="00FF6D3A" w14:paraId="333E9998" w14:textId="0AB88D99">
      <w:r>
        <w:t xml:space="preserve">Attachment 40. </w:t>
      </w:r>
      <w:r w:rsidR="00F92967">
        <w:t xml:space="preserve">Reminder Email – Spanish </w:t>
      </w:r>
    </w:p>
    <w:p w:rsidR="00FF6D3A" w:rsidRPr="00C966E1" w:rsidP="00FF6D3A" w14:paraId="03971DC9" w14:textId="3ECF1C15">
      <w:r>
        <w:t xml:space="preserve">Attachment 41. </w:t>
      </w:r>
      <w:r w:rsidR="00F92967">
        <w:t xml:space="preserve">Reminder Phone Script Voicemail &amp; Text Message – English </w:t>
      </w:r>
    </w:p>
    <w:p w:rsidR="00FF6D3A" w:rsidRPr="00C966E1" w:rsidP="00FF6D3A" w14:paraId="575E5906" w14:textId="406500C6">
      <w:r>
        <w:t xml:space="preserve">Attachment 42. </w:t>
      </w:r>
      <w:r w:rsidR="00F92967">
        <w:t>Reminder Phone Script Voicemail &amp; Text Message – Spanish</w:t>
      </w:r>
      <w:r>
        <w:tab/>
      </w:r>
    </w:p>
    <w:p w:rsidR="009F7113" w:rsidRPr="00C966E1" w:rsidP="007342F7" w14:paraId="00BBAC84" w14:textId="3446D558">
      <w:r>
        <w:tab/>
      </w:r>
    </w:p>
    <w:p w:rsidR="009F7113" w14:paraId="6D2EB891" w14:textId="5DE6BEB2">
      <w:pPr>
        <w:spacing w:after="200" w:line="276" w:lineRule="auto"/>
        <w:rPr>
          <w:b/>
          <w:sz w:val="28"/>
          <w:szCs w:val="28"/>
        </w:rPr>
      </w:pPr>
      <w:r>
        <w:rPr>
          <w:b/>
          <w:sz w:val="28"/>
          <w:szCs w:val="28"/>
        </w:rPr>
        <w:br w:type="page"/>
      </w:r>
    </w:p>
    <w:p w:rsidR="005A798D" w:rsidRPr="001F4AE3" w:rsidP="005A798D" w14:paraId="346B81A5" w14:textId="77777777">
      <w:pPr>
        <w:rPr>
          <w:b/>
          <w:sz w:val="28"/>
          <w:szCs w:val="28"/>
        </w:rPr>
      </w:pPr>
      <w:r w:rsidRPr="001F4AE3">
        <w:rPr>
          <w:b/>
          <w:sz w:val="28"/>
          <w:szCs w:val="28"/>
        </w:rPr>
        <w:t xml:space="preserve">Supporting Statement Part A. Justification </w:t>
      </w:r>
    </w:p>
    <w:p w:rsidR="005A798D" w:rsidRPr="007F0EE0" w:rsidP="005A798D" w14:paraId="1B59713C" w14:textId="77777777">
      <w:pPr>
        <w:rPr>
          <w:b/>
          <w:sz w:val="22"/>
          <w:szCs w:val="22"/>
        </w:rPr>
      </w:pPr>
    </w:p>
    <w:p w:rsidR="005A798D" w:rsidP="005A798D" w14:paraId="5159B98D" w14:textId="77777777">
      <w:pPr>
        <w:pStyle w:val="ListBullet"/>
        <w:numPr>
          <w:ilvl w:val="0"/>
          <w:numId w:val="0"/>
        </w:numPr>
        <w:ind w:left="1440" w:hanging="360"/>
        <w:rPr>
          <w:b/>
          <w:bCs/>
          <w:sz w:val="24"/>
          <w:szCs w:val="24"/>
        </w:rPr>
      </w:pPr>
    </w:p>
    <w:p w:rsidR="005A798D" w:rsidP="005A798D" w14:paraId="7A303D3F" w14:textId="77777777">
      <w:pPr>
        <w:pStyle w:val="ListBullet"/>
        <w:numPr>
          <w:ilvl w:val="0"/>
          <w:numId w:val="0"/>
        </w:numPr>
        <w:rPr>
          <w:b/>
          <w:bCs/>
          <w:sz w:val="24"/>
          <w:szCs w:val="24"/>
        </w:rPr>
      </w:pPr>
      <w:r w:rsidRPr="59F4798D">
        <w:rPr>
          <w:b/>
          <w:bCs/>
          <w:sz w:val="24"/>
          <w:szCs w:val="24"/>
        </w:rPr>
        <w:t>A. Justification</w:t>
      </w:r>
    </w:p>
    <w:tbl>
      <w:tblPr>
        <w:tblCaption w:val="Example Summary 2"/>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65"/>
      </w:tblGrid>
      <w:tr w14:paraId="00578F58" w14:textId="77777777" w:rsidTr="6EA679F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165" w:type="dxa"/>
            <w:tcBorders>
              <w:top w:val="single" w:sz="6" w:space="0" w:color="auto"/>
              <w:left w:val="single" w:sz="6" w:space="0" w:color="auto"/>
              <w:bottom w:val="nil"/>
              <w:right w:val="single" w:sz="6" w:space="0" w:color="auto"/>
            </w:tcBorders>
            <w:shd w:val="clear" w:color="auto" w:fill="auto"/>
            <w:hideMark/>
          </w:tcPr>
          <w:p w:rsidR="005A798D" w:rsidP="00895CEF" w14:paraId="27AA90BA" w14:textId="77777777">
            <w:pPr>
              <w:rPr>
                <w:color w:val="000000" w:themeColor="text1"/>
              </w:rPr>
            </w:pPr>
            <w:r w:rsidRPr="2DA58A6F">
              <w:rPr>
                <w:b/>
                <w:bCs/>
              </w:rPr>
              <w:t xml:space="preserve">Goal of the project:  </w:t>
            </w:r>
            <w:r w:rsidRPr="2DA58A6F">
              <w:rPr>
                <w:color w:val="000000" w:themeColor="text1"/>
              </w:rPr>
              <w:t>The purpose of th</w:t>
            </w:r>
            <w:r>
              <w:rPr>
                <w:color w:val="000000" w:themeColor="text1"/>
              </w:rPr>
              <w:t xml:space="preserve">is project is </w:t>
            </w:r>
            <w:r w:rsidRPr="2DA58A6F">
              <w:rPr>
                <w:color w:val="000000" w:themeColor="text1"/>
              </w:rPr>
              <w:t xml:space="preserve">to conduct formative research with Hispanic/Latina women of reproductive age to examine folic acid and fortified food awareness, </w:t>
            </w:r>
            <w:r w:rsidRPr="2DA58A6F">
              <w:rPr>
                <w:color w:val="000000" w:themeColor="text1"/>
              </w:rPr>
              <w:t>food</w:t>
            </w:r>
            <w:r w:rsidRPr="2DA58A6F">
              <w:rPr>
                <w:color w:val="000000" w:themeColor="text1"/>
              </w:rPr>
              <w:t xml:space="preserve"> and supplement use practices, as well as messaging and channels to reach Hispanic/Latina women.</w:t>
            </w:r>
          </w:p>
          <w:p w:rsidR="005A798D" w:rsidRPr="004E29F4" w:rsidP="00895CEF" w14:paraId="557EE658" w14:textId="77777777">
            <w:pPr>
              <w:pStyle w:val="ListBullet"/>
              <w:numPr>
                <w:ilvl w:val="0"/>
                <w:numId w:val="0"/>
              </w:numPr>
              <w:rPr>
                <w:sz w:val="24"/>
                <w:szCs w:val="24"/>
              </w:rPr>
            </w:pPr>
            <w:r w:rsidRPr="59F4798D">
              <w:rPr>
                <w:sz w:val="24"/>
                <w:szCs w:val="24"/>
              </w:rPr>
              <w:t> </w:t>
            </w:r>
          </w:p>
        </w:tc>
      </w:tr>
      <w:tr w14:paraId="670AD3C1" w14:textId="77777777" w:rsidTr="6EA679FD">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5A798D" w:rsidRPr="004E29F4" w:rsidP="00895CEF" w14:paraId="3A22E07C" w14:textId="5F2A2A20">
            <w:pPr>
              <w:rPr>
                <w:color w:val="000000" w:themeColor="text1"/>
              </w:rPr>
            </w:pPr>
            <w:r w:rsidRPr="6EA679FD">
              <w:rPr>
                <w:b/>
                <w:bCs/>
              </w:rPr>
              <w:t>Intended use of the resulting data:</w:t>
            </w:r>
            <w:r>
              <w:t xml:space="preserve">  </w:t>
            </w:r>
            <w:r w:rsidRPr="6EA679FD">
              <w:rPr>
                <w:color w:val="000000" w:themeColor="text1"/>
              </w:rPr>
              <w:t>The resulting data are expected to be used for developing new messaging and communication products to improve knowledge, awareness, and practices regarding folic acid fortification and supplementation among Hispanic/Latina women of reproductive age. Additionally, the findings from the project will inform future intervention activities to prevent neural tube defects among</w:t>
            </w:r>
            <w:r w:rsidRPr="6EA679FD" w:rsidR="6BD65A99">
              <w:rPr>
                <w:color w:val="000000" w:themeColor="text1"/>
              </w:rPr>
              <w:t xml:space="preserve"> babies born to</w:t>
            </w:r>
            <w:r w:rsidRPr="6EA679FD">
              <w:rPr>
                <w:color w:val="000000" w:themeColor="text1"/>
              </w:rPr>
              <w:t xml:space="preserve"> Hispanic</w:t>
            </w:r>
            <w:r w:rsidRPr="6EA679FD" w:rsidR="7C56CA58">
              <w:rPr>
                <w:color w:val="000000" w:themeColor="text1"/>
              </w:rPr>
              <w:t>/Latina</w:t>
            </w:r>
            <w:r w:rsidRPr="6EA679FD">
              <w:rPr>
                <w:color w:val="000000" w:themeColor="text1"/>
              </w:rPr>
              <w:t xml:space="preserve"> women.</w:t>
            </w:r>
          </w:p>
        </w:tc>
      </w:tr>
      <w:tr w14:paraId="575760F0" w14:textId="77777777" w:rsidTr="6EA679FD">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5A798D" w:rsidP="00895CEF" w14:paraId="256A921E" w14:textId="77777777">
            <w:pPr>
              <w:pStyle w:val="ListBullet"/>
              <w:numPr>
                <w:ilvl w:val="0"/>
                <w:numId w:val="0"/>
              </w:numPr>
              <w:rPr>
                <w:sz w:val="24"/>
                <w:szCs w:val="24"/>
              </w:rPr>
            </w:pPr>
          </w:p>
          <w:p w:rsidR="005A798D" w:rsidP="00895CEF" w14:paraId="04745E2C" w14:textId="77777777">
            <w:pPr>
              <w:pStyle w:val="ListBullet"/>
              <w:numPr>
                <w:ilvl w:val="0"/>
                <w:numId w:val="0"/>
              </w:numPr>
              <w:rPr>
                <w:sz w:val="24"/>
                <w:szCs w:val="24"/>
              </w:rPr>
            </w:pPr>
            <w:r w:rsidRPr="4313BCE6">
              <w:rPr>
                <w:b/>
                <w:bCs/>
                <w:sz w:val="24"/>
                <w:szCs w:val="24"/>
              </w:rPr>
              <w:t>Methods to be used to collect:</w:t>
            </w:r>
            <w:r w:rsidRPr="4313BCE6">
              <w:rPr>
                <w:sz w:val="24"/>
                <w:szCs w:val="24"/>
              </w:rPr>
              <w:t xml:space="preserve"> Nine focus groups will be conducted in Spanish, in both in-person and virtual formats.</w:t>
            </w:r>
          </w:p>
          <w:p w:rsidR="005A798D" w:rsidRPr="004E29F4" w:rsidP="00895CEF" w14:paraId="7F4D6638" w14:textId="77777777">
            <w:pPr>
              <w:pStyle w:val="ListBullet"/>
              <w:numPr>
                <w:ilvl w:val="0"/>
                <w:numId w:val="0"/>
              </w:numPr>
            </w:pPr>
          </w:p>
        </w:tc>
      </w:tr>
      <w:tr w14:paraId="70DFA47D" w14:textId="77777777" w:rsidTr="6EA679FD">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5A798D" w:rsidRPr="004E29F4" w:rsidP="00895CEF" w14:paraId="4E2EB4EC" w14:textId="77777777">
            <w:pPr>
              <w:rPr>
                <w:color w:val="000000" w:themeColor="text1"/>
              </w:rPr>
            </w:pPr>
            <w:r w:rsidRPr="6EA679FD">
              <w:rPr>
                <w:b/>
                <w:bCs/>
              </w:rPr>
              <w:t>The subpopulation to be studied:</w:t>
            </w:r>
            <w:r>
              <w:t xml:space="preserve">  </w:t>
            </w:r>
            <w:r w:rsidRPr="6EA679FD">
              <w:rPr>
                <w:color w:val="000000" w:themeColor="text1"/>
              </w:rPr>
              <w:t>Hispanic/Latina Women of Reproductive Age</w:t>
            </w:r>
          </w:p>
        </w:tc>
      </w:tr>
      <w:tr w14:paraId="62BB4578" w14:textId="77777777" w:rsidTr="6EA679FD">
        <w:tblPrEx>
          <w:tblW w:w="0" w:type="dxa"/>
          <w:tblCellMar>
            <w:left w:w="0" w:type="dxa"/>
            <w:right w:w="0" w:type="dxa"/>
          </w:tblCellMar>
          <w:tblLook w:val="04A0"/>
        </w:tblPrEx>
        <w:tc>
          <w:tcPr>
            <w:tcW w:w="9165" w:type="dxa"/>
            <w:tcBorders>
              <w:top w:val="nil"/>
              <w:left w:val="single" w:sz="6" w:space="0" w:color="auto"/>
              <w:bottom w:val="single" w:sz="6" w:space="0" w:color="auto"/>
              <w:right w:val="single" w:sz="6" w:space="0" w:color="auto"/>
            </w:tcBorders>
            <w:shd w:val="clear" w:color="auto" w:fill="auto"/>
            <w:hideMark/>
          </w:tcPr>
          <w:p w:rsidR="005A798D" w:rsidP="00895CEF" w14:paraId="4EB638AF" w14:textId="77777777">
            <w:pPr>
              <w:pStyle w:val="ListBullet"/>
              <w:numPr>
                <w:ilvl w:val="0"/>
                <w:numId w:val="0"/>
              </w:numPr>
              <w:rPr>
                <w:sz w:val="24"/>
                <w:szCs w:val="24"/>
              </w:rPr>
            </w:pPr>
          </w:p>
          <w:p w:rsidR="005A798D" w:rsidRPr="004E29F4" w:rsidP="00895CEF" w14:paraId="3FA9735B" w14:textId="09DFE49A">
            <w:pPr>
              <w:rPr>
                <w:color w:val="000000" w:themeColor="text1"/>
              </w:rPr>
            </w:pPr>
            <w:r w:rsidRPr="1E662D20">
              <w:rPr>
                <w:b/>
                <w:bCs/>
              </w:rPr>
              <w:t>How the data will be analyzed:</w:t>
            </w:r>
            <w:r w:rsidRPr="1E662D20" w:rsidR="1083C531">
              <w:rPr>
                <w:b/>
                <w:bCs/>
              </w:rPr>
              <w:t xml:space="preserve"> </w:t>
            </w:r>
            <w:r w:rsidRPr="1E662D20">
              <w:rPr>
                <w:color w:val="000000" w:themeColor="text1"/>
              </w:rPr>
              <w:t>Deductive and inductive coding will be used to analyze focus group findings. Using deductive coding, a set of predetermined codes will be created from the interviewer’s guide and then transcript excerpts will be extracted to fit those codes. Using an inductive, “bottom-up” approach, codes will also be developed as we analyze the transcripts. Analysts will meet to agree on salient themes related to focus group feedback to arrive at consensus on conclusions and recommendations.</w:t>
            </w:r>
          </w:p>
        </w:tc>
      </w:tr>
    </w:tbl>
    <w:p w:rsidR="005A798D" w:rsidP="005A798D" w14:paraId="4564FD83" w14:textId="77777777">
      <w:pPr>
        <w:pStyle w:val="ListBullet"/>
        <w:numPr>
          <w:ilvl w:val="0"/>
          <w:numId w:val="0"/>
        </w:numPr>
        <w:rPr>
          <w:b/>
          <w:bCs/>
          <w:sz w:val="24"/>
          <w:szCs w:val="24"/>
        </w:rPr>
      </w:pPr>
    </w:p>
    <w:p w:rsidR="005A798D" w:rsidRPr="008A3731" w:rsidP="005A798D" w14:paraId="4E5E5A2A" w14:textId="77777777">
      <w:pPr>
        <w:pStyle w:val="Style1"/>
        <w:rPr>
          <w:sz w:val="24"/>
          <w:szCs w:val="24"/>
        </w:rPr>
      </w:pPr>
      <w:bookmarkStart w:id="0" w:name="_Toc141811867"/>
      <w:r w:rsidRPr="59F4798D">
        <w:rPr>
          <w:sz w:val="24"/>
          <w:szCs w:val="24"/>
        </w:rPr>
        <w:t>Section A.1. Circumstances Making the Collection of Information Necessary</w:t>
      </w:r>
      <w:bookmarkEnd w:id="0"/>
    </w:p>
    <w:p w:rsidR="005A798D" w:rsidP="005A798D" w14:paraId="14B5D35A" w14:textId="77777777">
      <w:pPr>
        <w:pStyle w:val="ListBullet"/>
        <w:numPr>
          <w:ilvl w:val="0"/>
          <w:numId w:val="0"/>
        </w:numPr>
        <w:rPr>
          <w:sz w:val="24"/>
          <w:szCs w:val="24"/>
        </w:rPr>
      </w:pPr>
    </w:p>
    <w:p w:rsidR="005A798D" w:rsidRPr="00B96A38" w:rsidP="005A798D" w14:paraId="1E79F239" w14:textId="30153D4A">
      <w:r w:rsidRPr="59F4798D">
        <w:t xml:space="preserve">This Information Collection Request is submitted under the classification </w:t>
      </w:r>
      <w:r>
        <w:t>“N</w:t>
      </w:r>
      <w:r w:rsidRPr="59F4798D">
        <w:t>ew</w:t>
      </w:r>
      <w:r>
        <w:t>” request</w:t>
      </w:r>
      <w:r w:rsidRPr="59F4798D">
        <w:t>.  The length of data collection requested for OMB-PRA approval is 3 years.</w:t>
      </w:r>
      <w:r w:rsidRPr="59F4798D">
        <w:rPr>
          <w:rFonts w:ascii="MDJIA B+ Melior" w:hAnsi="MDJIA B+ Melior" w:cs="MDJIA B+ Melior"/>
        </w:rPr>
        <w:t xml:space="preserve"> </w:t>
      </w:r>
      <w:r w:rsidRPr="59F4798D">
        <w:t xml:space="preserve">The National Center on Birth Defects and Developmental Disabilities (NCBDDD) at the Centers for Disease Control and Prevention (CDC) is making this request as authorized by Section 301 of the Public Health Service Act (42 U.S.C. 241) </w:t>
      </w:r>
      <w:r w:rsidRPr="59F4798D">
        <w:rPr>
          <w:b/>
          <w:bCs/>
        </w:rPr>
        <w:t>(</w:t>
      </w:r>
      <w:r w:rsidR="00A87298">
        <w:rPr>
          <w:b/>
          <w:bCs/>
        </w:rPr>
        <w:t>Attachment 1</w:t>
      </w:r>
      <w:r w:rsidRPr="59F4798D">
        <w:rPr>
          <w:b/>
          <w:bCs/>
        </w:rPr>
        <w:t>)</w:t>
      </w:r>
      <w:r w:rsidRPr="59F4798D">
        <w:t>.</w:t>
      </w:r>
    </w:p>
    <w:p w:rsidR="005A798D" w:rsidP="005A798D" w14:paraId="474E35F8" w14:textId="77777777">
      <w:pPr>
        <w:pStyle w:val="ListBullet"/>
        <w:numPr>
          <w:ilvl w:val="0"/>
          <w:numId w:val="0"/>
        </w:numPr>
        <w:rPr>
          <w:sz w:val="24"/>
          <w:szCs w:val="24"/>
        </w:rPr>
      </w:pPr>
    </w:p>
    <w:p w:rsidR="005A798D" w:rsidRPr="004A0452" w:rsidP="005A798D" w14:paraId="1E794CF4" w14:textId="77777777">
      <w:pPr>
        <w:pStyle w:val="ListBullet"/>
        <w:numPr>
          <w:ilvl w:val="0"/>
          <w:numId w:val="0"/>
        </w:numPr>
        <w:rPr>
          <w:rFonts w:ascii="MDJIA B+ Melior" w:hAnsi="MDJIA B+ Melior" w:cs="MDJIA B+ Melior"/>
          <w:i/>
          <w:iCs/>
          <w:sz w:val="24"/>
          <w:szCs w:val="24"/>
        </w:rPr>
      </w:pPr>
      <w:r w:rsidRPr="59F4798D">
        <w:rPr>
          <w:sz w:val="24"/>
          <w:szCs w:val="24"/>
          <w:u w:val="single"/>
        </w:rPr>
        <w:t>Background</w:t>
      </w:r>
    </w:p>
    <w:p w:rsidR="005A798D" w:rsidRPr="006D027C" w:rsidP="005A798D" w14:paraId="2E89E8A9" w14:textId="77777777">
      <w:pPr>
        <w:pStyle w:val="ListBullet"/>
        <w:numPr>
          <w:ilvl w:val="0"/>
          <w:numId w:val="0"/>
        </w:numPr>
        <w:ind w:left="1440" w:hanging="360"/>
        <w:rPr>
          <w:sz w:val="24"/>
          <w:szCs w:val="24"/>
        </w:rPr>
      </w:pPr>
    </w:p>
    <w:p w:rsidR="005A798D" w:rsidP="005A798D" w14:paraId="7BAF61D3" w14:textId="77777777">
      <w:pPr>
        <w:ind w:firstLine="360"/>
        <w:rPr>
          <w:color w:val="000000" w:themeColor="text1"/>
        </w:rPr>
      </w:pPr>
      <w:r w:rsidRPr="59F4798D">
        <w:rPr>
          <w:color w:val="000000" w:themeColor="text1"/>
        </w:rPr>
        <w:t>Consuming 400 micrograms (mcg) of folic acid daily in the periconceptional period can reduce the risk of having a pregnancy affected by a neural tube defect (NTD), a severe birth defect of the brain and spine. To increase the amount of folic acid consumed in the U.S. population, the U.S. Food and Drug Administration (FDA) mandated fortification of enriched cereal grain products with folic acid in 1998. Although strides have been made in preventing neural tube defects, ethnic disparities remain. Hispanic women in the U.S. have the highest risk of having a child affected by a NTD, with birth prevalence of approximately 7 NTDs per 10,000 live births</w:t>
      </w:r>
      <w:hyperlink r:id="rId14" w:anchor="_ftn1">
        <w:r w:rsidRPr="59F4798D">
          <w:rPr>
            <w:rStyle w:val="Hyperlink"/>
            <w:vertAlign w:val="superscript"/>
          </w:rPr>
          <w:t>[1]</w:t>
        </w:r>
      </w:hyperlink>
      <w:r w:rsidRPr="59F4798D">
        <w:rPr>
          <w:color w:val="000000" w:themeColor="text1"/>
        </w:rPr>
        <w:t>. In addition, Hispanic women:</w:t>
      </w:r>
    </w:p>
    <w:p w:rsidR="005A798D" w:rsidP="005A798D" w14:paraId="1248D1F8" w14:textId="77777777">
      <w:pPr>
        <w:ind w:firstLine="360"/>
        <w:rPr>
          <w:color w:val="000000" w:themeColor="text1"/>
        </w:rPr>
      </w:pPr>
    </w:p>
    <w:p w:rsidR="005A798D" w:rsidP="005A798D" w14:paraId="0EABC361" w14:textId="77777777">
      <w:pPr>
        <w:pStyle w:val="ListParagraph"/>
        <w:numPr>
          <w:ilvl w:val="0"/>
          <w:numId w:val="1"/>
        </w:numPr>
        <w:spacing w:line="240" w:lineRule="auto"/>
        <w:rPr>
          <w:rFonts w:asciiTheme="minorHAnsi" w:eastAsiaTheme="minorEastAsia" w:hAnsiTheme="minorHAnsi" w:cstheme="minorBidi"/>
          <w:color w:val="000000" w:themeColor="text1"/>
          <w:sz w:val="24"/>
          <w:szCs w:val="24"/>
        </w:rPr>
      </w:pPr>
      <w:r w:rsidRPr="59F4798D">
        <w:rPr>
          <w:color w:val="000000" w:themeColor="text1"/>
          <w:sz w:val="24"/>
          <w:szCs w:val="24"/>
        </w:rPr>
        <w:t xml:space="preserve">Have lower levels of folate in their blood compared to non-Hispanic white </w:t>
      </w:r>
      <w:r w:rsidRPr="59F4798D">
        <w:rPr>
          <w:color w:val="000000" w:themeColor="text1"/>
          <w:sz w:val="24"/>
          <w:szCs w:val="24"/>
        </w:rPr>
        <w:t>women;</w:t>
      </w:r>
    </w:p>
    <w:p w:rsidR="005A798D" w:rsidP="005A798D" w14:paraId="6E732120" w14:textId="77777777">
      <w:pPr>
        <w:pStyle w:val="ListParagraph"/>
        <w:numPr>
          <w:ilvl w:val="0"/>
          <w:numId w:val="1"/>
        </w:numPr>
        <w:spacing w:line="240" w:lineRule="auto"/>
        <w:rPr>
          <w:rFonts w:asciiTheme="minorHAnsi" w:eastAsiaTheme="minorEastAsia" w:hAnsiTheme="minorHAnsi" w:cstheme="minorBidi"/>
          <w:color w:val="000000" w:themeColor="text1"/>
          <w:sz w:val="24"/>
          <w:szCs w:val="24"/>
        </w:rPr>
      </w:pPr>
      <w:r w:rsidRPr="59F4798D">
        <w:rPr>
          <w:color w:val="000000" w:themeColor="text1"/>
          <w:sz w:val="24"/>
          <w:szCs w:val="24"/>
        </w:rPr>
        <w:t xml:space="preserve">Are more likely than non-Hispanic white and non-Hispanic black women to have the MTHFR C677T gene </w:t>
      </w:r>
      <w:r w:rsidRPr="59F4798D">
        <w:rPr>
          <w:color w:val="000000" w:themeColor="text1"/>
          <w:sz w:val="24"/>
          <w:szCs w:val="24"/>
        </w:rPr>
        <w:t>variant;</w:t>
      </w:r>
    </w:p>
    <w:p w:rsidR="005A798D" w:rsidP="005A798D" w14:paraId="51CAAE01" w14:textId="77777777">
      <w:pPr>
        <w:pStyle w:val="ListParagraph"/>
        <w:numPr>
          <w:ilvl w:val="0"/>
          <w:numId w:val="1"/>
        </w:numPr>
        <w:spacing w:line="240" w:lineRule="auto"/>
        <w:rPr>
          <w:rFonts w:asciiTheme="minorHAnsi" w:eastAsiaTheme="minorEastAsia" w:hAnsiTheme="minorHAnsi" w:cstheme="minorBidi"/>
          <w:color w:val="000000" w:themeColor="text1"/>
          <w:sz w:val="24"/>
          <w:szCs w:val="24"/>
        </w:rPr>
      </w:pPr>
      <w:r w:rsidRPr="59F4798D">
        <w:rPr>
          <w:color w:val="000000" w:themeColor="text1"/>
          <w:sz w:val="24"/>
          <w:szCs w:val="24"/>
        </w:rPr>
        <w:t xml:space="preserve">Are less likely to know about the benefits of folic </w:t>
      </w:r>
      <w:r w:rsidRPr="59F4798D">
        <w:rPr>
          <w:color w:val="000000" w:themeColor="text1"/>
          <w:sz w:val="24"/>
          <w:szCs w:val="24"/>
        </w:rPr>
        <w:t>acid;</w:t>
      </w:r>
    </w:p>
    <w:p w:rsidR="005A798D" w:rsidP="005A798D" w14:paraId="67822D0F" w14:textId="77777777">
      <w:pPr>
        <w:pStyle w:val="ListParagraph"/>
        <w:numPr>
          <w:ilvl w:val="0"/>
          <w:numId w:val="1"/>
        </w:numPr>
        <w:spacing w:line="240" w:lineRule="auto"/>
        <w:rPr>
          <w:rFonts w:asciiTheme="minorHAnsi" w:eastAsiaTheme="minorEastAsia" w:hAnsiTheme="minorHAnsi" w:cstheme="minorBidi"/>
          <w:color w:val="000000" w:themeColor="text1"/>
          <w:sz w:val="24"/>
          <w:szCs w:val="24"/>
        </w:rPr>
      </w:pPr>
      <w:r w:rsidRPr="59F4798D">
        <w:rPr>
          <w:color w:val="000000" w:themeColor="text1"/>
          <w:sz w:val="24"/>
          <w:szCs w:val="24"/>
        </w:rPr>
        <w:t>Are less likely to get folic acid from fortified foods or take a multivitamin with folic acid in it, particularly those women who primarily speak Spanish, were born outside of the United States, and have lived in the United States for a shorter period of time</w:t>
      </w:r>
      <w:r w:rsidRPr="59F4798D">
        <w:rPr>
          <w:color w:val="000000" w:themeColor="text1"/>
          <w:sz w:val="24"/>
          <w:szCs w:val="24"/>
          <w:vertAlign w:val="superscript"/>
        </w:rPr>
        <w:t>1</w:t>
      </w:r>
      <w:r w:rsidRPr="59F4798D">
        <w:rPr>
          <w:color w:val="000000" w:themeColor="text1"/>
          <w:sz w:val="24"/>
          <w:szCs w:val="24"/>
        </w:rPr>
        <w:t>.</w:t>
      </w:r>
    </w:p>
    <w:p w:rsidR="005A798D" w:rsidP="005A798D" w14:paraId="08078A58" w14:textId="006EF3BC">
      <w:pPr>
        <w:ind w:firstLine="360"/>
        <w:rPr>
          <w:color w:val="000000" w:themeColor="text1"/>
        </w:rPr>
      </w:pPr>
      <w:r w:rsidRPr="6EA679FD">
        <w:rPr>
          <w:color w:val="000000" w:themeColor="text1"/>
        </w:rPr>
        <w:t xml:space="preserve">To </w:t>
      </w:r>
      <w:r w:rsidRPr="6EA679FD">
        <w:rPr>
          <w:color w:val="000000" w:themeColor="text1"/>
        </w:rPr>
        <w:t xml:space="preserve">effectively </w:t>
      </w:r>
      <w:r w:rsidRPr="6EA679FD" w:rsidR="67EBE2BC">
        <w:rPr>
          <w:color w:val="000000" w:themeColor="text1"/>
        </w:rPr>
        <w:t>reach</w:t>
      </w:r>
      <w:r w:rsidRPr="6EA679FD">
        <w:rPr>
          <w:color w:val="000000" w:themeColor="text1"/>
        </w:rPr>
        <w:t xml:space="preserve"> Hispanic women of reproductive age (WRA) </w:t>
      </w:r>
      <w:r w:rsidRPr="6EA679FD" w:rsidR="725B48A8">
        <w:rPr>
          <w:color w:val="000000" w:themeColor="text1"/>
        </w:rPr>
        <w:t>and</w:t>
      </w:r>
      <w:r w:rsidRPr="6EA679FD">
        <w:rPr>
          <w:color w:val="000000" w:themeColor="text1"/>
        </w:rPr>
        <w:t xml:space="preserve"> increase their knowledge and intake of folic acid for NTD prevention, a contemporary understanding of cultural factors in the decision-making process and how these women obtain information is needed. Previous research highlighted important nuances in potential cultural beliefs regarding folic acid. A study of Spanish-speaking Hispanic women in the southwest U.S. found no cultural barriers to incorporating folic-acid rich foods into their diets; however, focus groups of Mexican American women did find several cultural barriers. These included misperception</w:t>
      </w:r>
      <w:r w:rsidRPr="6EA679FD" w:rsidR="16EA5B95">
        <w:rPr>
          <w:color w:val="000000" w:themeColor="text1"/>
        </w:rPr>
        <w:t>s</w:t>
      </w:r>
      <w:r w:rsidRPr="6EA679FD">
        <w:rPr>
          <w:color w:val="000000" w:themeColor="text1"/>
        </w:rPr>
        <w:t xml:space="preserve"> of the term folic acid as an illegal substance, as the word “acid” is similar to LSD; its importance for NTD prevention since their healthcare providers did not talk to them about folic acid; its absence in injectable form at the pharmacy; and mistaken belief that birth defects are not preventable (resulting from an act of God).</w:t>
      </w:r>
      <w:hyperlink r:id="rId14" w:anchor="_ftn2">
        <w:r w:rsidRPr="6EA679FD">
          <w:rPr>
            <w:rStyle w:val="Hyperlink"/>
            <w:vertAlign w:val="superscript"/>
          </w:rPr>
          <w:t>[2]</w:t>
        </w:r>
      </w:hyperlink>
      <w:r w:rsidRPr="6EA679FD">
        <w:rPr>
          <w:color w:val="000000" w:themeColor="text1"/>
        </w:rPr>
        <w:t xml:space="preserve"> </w:t>
      </w:r>
      <w:r w:rsidRPr="6EA679FD">
        <w:rPr>
          <w:color w:val="000000" w:themeColor="text1"/>
        </w:rPr>
        <w:t>Habek</w:t>
      </w:r>
      <w:r w:rsidRPr="6EA679FD">
        <w:rPr>
          <w:color w:val="000000" w:themeColor="text1"/>
        </w:rPr>
        <w:t xml:space="preserve"> and colleagues (2003) found contradictory findings, suggesting that Mexican American women have increased awareness of the association between folate and birth defects compared to English-speaking women.</w:t>
      </w:r>
      <w:hyperlink r:id="rId14" w:anchor="_ftn3">
        <w:r w:rsidRPr="6EA679FD">
          <w:rPr>
            <w:rStyle w:val="Hyperlink"/>
            <w:vertAlign w:val="superscript"/>
          </w:rPr>
          <w:t>[3]</w:t>
        </w:r>
      </w:hyperlink>
      <w:r w:rsidRPr="6EA679FD">
        <w:rPr>
          <w:color w:val="000000" w:themeColor="text1"/>
        </w:rPr>
        <w:t xml:space="preserve"> More </w:t>
      </w:r>
      <w:r w:rsidRPr="6EA679FD" w:rsidR="00CA1527">
        <w:rPr>
          <w:color w:val="000000" w:themeColor="text1"/>
        </w:rPr>
        <w:t xml:space="preserve">current </w:t>
      </w:r>
      <w:r w:rsidRPr="6EA679FD">
        <w:rPr>
          <w:color w:val="000000" w:themeColor="text1"/>
        </w:rPr>
        <w:t>research is needed to determine cultural factors in the decision-making process around folic acid intake for Hispanic WRA</w:t>
      </w:r>
      <w:r w:rsidRPr="6EA679FD" w:rsidR="3C44811D">
        <w:rPr>
          <w:color w:val="000000" w:themeColor="text1"/>
        </w:rPr>
        <w:t>.</w:t>
      </w:r>
    </w:p>
    <w:p w:rsidR="005A798D" w:rsidP="005A798D" w14:paraId="2453090B" w14:textId="77777777">
      <w:pPr>
        <w:rPr>
          <w:color w:val="000000" w:themeColor="text1"/>
        </w:rPr>
      </w:pPr>
      <w:r>
        <w:br/>
      </w:r>
    </w:p>
    <w:p w:rsidR="005A798D" w:rsidP="005A798D" w14:paraId="208EB1E1" w14:textId="77777777">
      <w:pPr>
        <w:rPr>
          <w:color w:val="000000" w:themeColor="text1"/>
          <w:sz w:val="20"/>
          <w:szCs w:val="20"/>
        </w:rPr>
      </w:pPr>
      <w:hyperlink r:id="rId14" w:anchor="_ftnref1">
        <w:r w:rsidRPr="59F4798D">
          <w:rPr>
            <w:rStyle w:val="Hyperlink"/>
            <w:sz w:val="20"/>
            <w:szCs w:val="20"/>
            <w:vertAlign w:val="superscript"/>
          </w:rPr>
          <w:t>[1]</w:t>
        </w:r>
      </w:hyperlink>
      <w:r w:rsidRPr="59F4798D">
        <w:rPr>
          <w:color w:val="000000" w:themeColor="text1"/>
          <w:sz w:val="20"/>
          <w:szCs w:val="20"/>
        </w:rPr>
        <w:t xml:space="preserve"> CDC. "Folic Acid Data and Statistics." Retrieved May 3, </w:t>
      </w:r>
      <w:r w:rsidRPr="59F4798D">
        <w:rPr>
          <w:color w:val="000000" w:themeColor="text1"/>
          <w:sz w:val="20"/>
          <w:szCs w:val="20"/>
        </w:rPr>
        <w:t>2022</w:t>
      </w:r>
      <w:r w:rsidRPr="59F4798D">
        <w:rPr>
          <w:color w:val="000000" w:themeColor="text1"/>
          <w:sz w:val="20"/>
          <w:szCs w:val="20"/>
        </w:rPr>
        <w:t xml:space="preserve"> from </w:t>
      </w:r>
      <w:hyperlink r:id="rId15">
        <w:r w:rsidRPr="59F4798D">
          <w:rPr>
            <w:rStyle w:val="Hyperlink"/>
            <w:sz w:val="20"/>
            <w:szCs w:val="20"/>
          </w:rPr>
          <w:t>https://www.cdc.gov/ncbddd/folicacid/data.html</w:t>
        </w:r>
      </w:hyperlink>
      <w:r w:rsidRPr="59F4798D">
        <w:rPr>
          <w:color w:val="000000" w:themeColor="text1"/>
          <w:sz w:val="20"/>
          <w:szCs w:val="20"/>
        </w:rPr>
        <w:t>.</w:t>
      </w:r>
    </w:p>
    <w:p w:rsidR="005A798D" w:rsidP="005A798D" w14:paraId="1D4AD823" w14:textId="77777777">
      <w:pPr>
        <w:rPr>
          <w:color w:val="222222"/>
          <w:sz w:val="20"/>
          <w:szCs w:val="20"/>
        </w:rPr>
      </w:pPr>
      <w:hyperlink r:id="rId14" w:anchor="_ftnref2">
        <w:r w:rsidRPr="00340830">
          <w:rPr>
            <w:rStyle w:val="Hyperlink"/>
            <w:sz w:val="20"/>
            <w:szCs w:val="20"/>
            <w:vertAlign w:val="superscript"/>
            <w:lang w:val="es-ES"/>
          </w:rPr>
          <w:t>[2]</w:t>
        </w:r>
      </w:hyperlink>
      <w:r w:rsidRPr="00340830">
        <w:rPr>
          <w:color w:val="000000" w:themeColor="text1"/>
          <w:sz w:val="20"/>
          <w:szCs w:val="20"/>
          <w:lang w:val="es-ES"/>
        </w:rPr>
        <w:t xml:space="preserve"> </w:t>
      </w:r>
      <w:r w:rsidRPr="59F4798D">
        <w:rPr>
          <w:color w:val="222222"/>
          <w:sz w:val="20"/>
          <w:szCs w:val="20"/>
          <w:lang w:val="es-CO"/>
        </w:rPr>
        <w:t xml:space="preserve">Quinn, G. P., Hauser, K., Bell-Ellison, B. A., Rodriguez, N. Y., &amp; Frías, J. L. (2006). </w:t>
      </w:r>
      <w:r w:rsidRPr="59F4798D">
        <w:rPr>
          <w:color w:val="222222"/>
          <w:sz w:val="20"/>
          <w:szCs w:val="20"/>
        </w:rPr>
        <w:t xml:space="preserve">Promoting pre-conceptional use of folic acid to Hispanic women: a social marketing approach. </w:t>
      </w:r>
      <w:r w:rsidRPr="59F4798D">
        <w:rPr>
          <w:i/>
          <w:iCs/>
          <w:color w:val="222222"/>
          <w:sz w:val="20"/>
          <w:szCs w:val="20"/>
        </w:rPr>
        <w:t>Maternal and Child Health Journal</w:t>
      </w:r>
      <w:r w:rsidRPr="59F4798D">
        <w:rPr>
          <w:color w:val="222222"/>
          <w:sz w:val="20"/>
          <w:szCs w:val="20"/>
        </w:rPr>
        <w:t xml:space="preserve">, </w:t>
      </w:r>
      <w:r w:rsidRPr="59F4798D">
        <w:rPr>
          <w:i/>
          <w:iCs/>
          <w:color w:val="222222"/>
          <w:sz w:val="20"/>
          <w:szCs w:val="20"/>
        </w:rPr>
        <w:t>10</w:t>
      </w:r>
      <w:r w:rsidRPr="59F4798D">
        <w:rPr>
          <w:color w:val="222222"/>
          <w:sz w:val="20"/>
          <w:szCs w:val="20"/>
        </w:rPr>
        <w:t>(5), 403-412.</w:t>
      </w:r>
    </w:p>
    <w:p w:rsidR="005A798D" w:rsidP="005A798D" w14:paraId="5B52708F" w14:textId="77777777">
      <w:pPr>
        <w:rPr>
          <w:color w:val="000000" w:themeColor="text1"/>
          <w:sz w:val="20"/>
          <w:szCs w:val="20"/>
        </w:rPr>
      </w:pPr>
      <w:hyperlink r:id="rId14" w:anchor="_ftnref3">
        <w:r w:rsidRPr="4313BCE6">
          <w:rPr>
            <w:rStyle w:val="Hyperlink"/>
            <w:sz w:val="20"/>
            <w:szCs w:val="20"/>
            <w:vertAlign w:val="superscript"/>
          </w:rPr>
          <w:t>[3]</w:t>
        </w:r>
      </w:hyperlink>
      <w:r w:rsidRPr="4313BCE6">
        <w:rPr>
          <w:color w:val="000000" w:themeColor="text1"/>
          <w:sz w:val="20"/>
          <w:szCs w:val="20"/>
        </w:rPr>
        <w:t xml:space="preserve"> </w:t>
      </w:r>
      <w:r w:rsidRPr="4313BCE6">
        <w:rPr>
          <w:color w:val="000000" w:themeColor="text1"/>
          <w:sz w:val="20"/>
          <w:szCs w:val="20"/>
        </w:rPr>
        <w:t>Habak</w:t>
      </w:r>
      <w:r w:rsidRPr="4313BCE6">
        <w:rPr>
          <w:color w:val="000000" w:themeColor="text1"/>
          <w:sz w:val="20"/>
          <w:szCs w:val="20"/>
        </w:rPr>
        <w:t xml:space="preserve">, P. J., </w:t>
      </w:r>
      <w:r w:rsidRPr="4313BCE6">
        <w:rPr>
          <w:color w:val="000000" w:themeColor="text1"/>
          <w:sz w:val="20"/>
          <w:szCs w:val="20"/>
        </w:rPr>
        <w:t>Coonrod</w:t>
      </w:r>
      <w:r w:rsidRPr="4313BCE6">
        <w:rPr>
          <w:color w:val="000000" w:themeColor="text1"/>
          <w:sz w:val="20"/>
          <w:szCs w:val="20"/>
        </w:rPr>
        <w:t xml:space="preserve">, D. V., Brady, M. J., Bay, R. C., &amp; Mills, T. E. (2003). Knowledge regarding </w:t>
      </w:r>
      <w:r w:rsidRPr="4313BCE6">
        <w:rPr>
          <w:color w:val="000000" w:themeColor="text1"/>
          <w:sz w:val="20"/>
          <w:szCs w:val="20"/>
        </w:rPr>
        <w:t>preconceptional</w:t>
      </w:r>
      <w:r w:rsidRPr="4313BCE6">
        <w:rPr>
          <w:color w:val="000000" w:themeColor="text1"/>
          <w:sz w:val="20"/>
          <w:szCs w:val="20"/>
        </w:rPr>
        <w:t xml:space="preserve"> folic acid use in a </w:t>
      </w:r>
      <w:bookmarkStart w:id="1" w:name="_Int_e5Fppqw4"/>
      <w:r w:rsidRPr="4313BCE6">
        <w:rPr>
          <w:color w:val="000000" w:themeColor="text1"/>
          <w:sz w:val="20"/>
          <w:szCs w:val="20"/>
        </w:rPr>
        <w:t>Mexican-American</w:t>
      </w:r>
      <w:bookmarkEnd w:id="1"/>
      <w:r w:rsidRPr="4313BCE6">
        <w:rPr>
          <w:color w:val="000000" w:themeColor="text1"/>
          <w:sz w:val="20"/>
          <w:szCs w:val="20"/>
        </w:rPr>
        <w:t xml:space="preserve"> patient population. Primary care update for </w:t>
      </w:r>
      <w:r w:rsidRPr="4313BCE6">
        <w:rPr>
          <w:color w:val="000000" w:themeColor="text1"/>
          <w:sz w:val="20"/>
          <w:szCs w:val="20"/>
        </w:rPr>
        <w:t>ob</w:t>
      </w:r>
      <w:r w:rsidRPr="4313BCE6">
        <w:rPr>
          <w:color w:val="000000" w:themeColor="text1"/>
          <w:sz w:val="20"/>
          <w:szCs w:val="20"/>
        </w:rPr>
        <w:t>/gyns, 10(6), 274-277.</w:t>
      </w:r>
    </w:p>
    <w:p w:rsidR="005A798D" w:rsidP="005A798D" w14:paraId="04B5007C" w14:textId="77777777">
      <w:pPr>
        <w:tabs>
          <w:tab w:val="num" w:pos="1440"/>
        </w:tabs>
        <w:ind w:left="1440" w:hanging="360"/>
        <w:rPr>
          <w:color w:val="000000" w:themeColor="text1"/>
        </w:rPr>
      </w:pPr>
    </w:p>
    <w:p w:rsidR="005A798D" w:rsidP="005A798D" w14:paraId="2EE0430E" w14:textId="77777777">
      <w:pPr>
        <w:pStyle w:val="Style1"/>
        <w:rPr>
          <w:sz w:val="24"/>
          <w:szCs w:val="24"/>
        </w:rPr>
      </w:pPr>
      <w:bookmarkStart w:id="2" w:name="_Toc141811868"/>
      <w:r w:rsidRPr="4313BCE6">
        <w:rPr>
          <w:sz w:val="24"/>
          <w:szCs w:val="24"/>
        </w:rPr>
        <w:t>Section A.2. Purpose and Use of Information Collection</w:t>
      </w:r>
      <w:bookmarkEnd w:id="2"/>
    </w:p>
    <w:p w:rsidR="005A798D" w:rsidP="005A798D" w14:paraId="6C7937CA" w14:textId="77777777">
      <w:pPr>
        <w:rPr>
          <w:b/>
          <w:bCs/>
          <w:i/>
          <w:iCs/>
          <w:u w:val="single"/>
        </w:rPr>
      </w:pPr>
    </w:p>
    <w:p w:rsidR="005A798D" w:rsidP="4313BCE6" w14:paraId="015E3A12" w14:textId="4FADCAEF">
      <w:pPr>
        <w:rPr>
          <w:color w:val="000000" w:themeColor="text1"/>
        </w:rPr>
      </w:pPr>
      <w:r w:rsidRPr="4313BCE6">
        <w:rPr>
          <w:color w:val="000000" w:themeColor="text1"/>
        </w:rPr>
        <w:t xml:space="preserve">This new information collection will be requested for use within three years. Information will be collected through focus groups with Hispanic/Latina women of reproductive age. CDC’s </w:t>
      </w:r>
      <w:r w:rsidRPr="4313BCE6" w:rsidR="041A67D8">
        <w:rPr>
          <w:color w:val="000000" w:themeColor="text1"/>
        </w:rPr>
        <w:t>Prevention and Health Disparities</w:t>
      </w:r>
      <w:r w:rsidRPr="4313BCE6" w:rsidR="4296CB5B">
        <w:rPr>
          <w:color w:val="000000" w:themeColor="text1"/>
        </w:rPr>
        <w:t xml:space="preserve"> (PHD)</w:t>
      </w:r>
      <w:r w:rsidRPr="4313BCE6" w:rsidR="041A67D8">
        <w:rPr>
          <w:color w:val="000000" w:themeColor="text1"/>
        </w:rPr>
        <w:t xml:space="preserve"> </w:t>
      </w:r>
      <w:r w:rsidRPr="4313BCE6">
        <w:rPr>
          <w:color w:val="000000" w:themeColor="text1"/>
        </w:rPr>
        <w:t xml:space="preserve">Team’s health equity goal is to enhance the prevention of neural tube defects among Hispanic/Latina women of reproductive age in the United States. Despite mandatory folic acid fortification of enriched cereal grain products (like bread and cereal), research shows that some U.S. women still do not get enough folic acid to prevent neural tube defects (NTD), which are severe birth defects of the brain and spine. To better understand these issues and improve this disparity, the </w:t>
      </w:r>
      <w:r w:rsidRPr="4313BCE6" w:rsidR="3C661E00">
        <w:rPr>
          <w:color w:val="000000" w:themeColor="text1"/>
        </w:rPr>
        <w:t xml:space="preserve">PHD </w:t>
      </w:r>
      <w:r w:rsidRPr="4313BCE6">
        <w:rPr>
          <w:color w:val="000000" w:themeColor="text1"/>
        </w:rPr>
        <w:t xml:space="preserve">Team plans to assess awareness of appropriate interventions among </w:t>
      </w:r>
      <w:r w:rsidRPr="4313BCE6" w:rsidR="6E527920">
        <w:rPr>
          <w:color w:val="000000" w:themeColor="text1"/>
        </w:rPr>
        <w:t>intended</w:t>
      </w:r>
      <w:r w:rsidRPr="4313BCE6">
        <w:rPr>
          <w:color w:val="000000" w:themeColor="text1"/>
        </w:rPr>
        <w:t xml:space="preserve"> audiences to help guide future activities. Prior activities that CDC </w:t>
      </w:r>
      <w:r w:rsidRPr="4313BCE6">
        <w:rPr>
          <w:color w:val="000000" w:themeColor="text1"/>
        </w:rPr>
        <w:t>funded</w:t>
      </w:r>
      <w:r w:rsidRPr="37C3D0E9" w:rsidR="0820FC59">
        <w:rPr>
          <w:color w:val="000000" w:themeColor="text1"/>
        </w:rPr>
        <w:t xml:space="preserve"> </w:t>
      </w:r>
      <w:r w:rsidRPr="36182677" w:rsidR="0820FC59">
        <w:rPr>
          <w:color w:val="000000" w:themeColor="text1"/>
        </w:rPr>
        <w:t xml:space="preserve">more than </w:t>
      </w:r>
      <w:r w:rsidRPr="07578F37" w:rsidR="0820FC59">
        <w:rPr>
          <w:color w:val="000000" w:themeColor="text1"/>
        </w:rPr>
        <w:t>a</w:t>
      </w:r>
      <w:r w:rsidRPr="7AEBFCBE" w:rsidR="0820FC59">
        <w:rPr>
          <w:color w:val="000000" w:themeColor="text1"/>
        </w:rPr>
        <w:t xml:space="preserve"> decade ago</w:t>
      </w:r>
      <w:r w:rsidRPr="4313BCE6">
        <w:rPr>
          <w:color w:val="000000" w:themeColor="text1"/>
        </w:rPr>
        <w:t xml:space="preserve"> to assess knowledge, awareness, and behaviors related to folic acid use among Hispanic populations </w:t>
      </w:r>
      <w:r w:rsidRPr="5DC3025C">
        <w:rPr>
          <w:color w:val="000000" w:themeColor="text1"/>
        </w:rPr>
        <w:t>include</w:t>
      </w:r>
      <w:r w:rsidRPr="5DC3025C" w:rsidR="73B3D3B5">
        <w:rPr>
          <w:color w:val="000000" w:themeColor="text1"/>
        </w:rPr>
        <w:t>d</w:t>
      </w:r>
      <w:r w:rsidRPr="4313BCE6">
        <w:rPr>
          <w:color w:val="000000" w:themeColor="text1"/>
        </w:rPr>
        <w:t>: 1 )</w:t>
      </w:r>
      <w:r w:rsidRPr="4313BCE6" w:rsidR="2466A586">
        <w:rPr>
          <w:color w:val="000000" w:themeColor="text1"/>
        </w:rPr>
        <w:t xml:space="preserve"> </w:t>
      </w:r>
      <w:r w:rsidRPr="4313BCE6">
        <w:rPr>
          <w:color w:val="000000" w:themeColor="text1"/>
        </w:rPr>
        <w:t xml:space="preserve">qualitative and quantitative research to guide the development of new educational materials to reach Latinas, which was highlighted in a publication titled, </w:t>
      </w:r>
      <w:r w:rsidRPr="4313BCE6">
        <w:rPr>
          <w:i/>
          <w:iCs/>
          <w:color w:val="000000" w:themeColor="text1"/>
        </w:rPr>
        <w:t>But I’ve Already Had a Healthy Baby: Folic Acid Formative Research with Latina Mothers</w:t>
      </w:r>
      <w:r w:rsidRPr="4313BCE6">
        <w:rPr>
          <w:color w:val="000000" w:themeColor="text1"/>
        </w:rPr>
        <w:t xml:space="preserve"> (2008), and 2) formative research to understand barriers and motivators to folic acid consumption and guide materials development for young Latina adults, which was highlighted in a publication titled, </w:t>
      </w:r>
      <w:r w:rsidRPr="4313BCE6">
        <w:rPr>
          <w:i/>
          <w:iCs/>
          <w:color w:val="000000" w:themeColor="text1"/>
        </w:rPr>
        <w:t>Preparing for a Healthy Future Today</w:t>
      </w:r>
      <w:r w:rsidRPr="4313BCE6">
        <w:rPr>
          <w:color w:val="000000" w:themeColor="text1"/>
        </w:rPr>
        <w:t xml:space="preserve"> (2010). To effectively </w:t>
      </w:r>
      <w:r w:rsidRPr="4313BCE6" w:rsidR="643B0B2F">
        <w:rPr>
          <w:color w:val="000000" w:themeColor="text1"/>
        </w:rPr>
        <w:t>reach</w:t>
      </w:r>
      <w:r w:rsidRPr="4313BCE6">
        <w:rPr>
          <w:color w:val="000000" w:themeColor="text1"/>
        </w:rPr>
        <w:t xml:space="preserve"> Hispanic</w:t>
      </w:r>
      <w:r w:rsidRPr="4313BCE6" w:rsidR="38CB3847">
        <w:rPr>
          <w:color w:val="000000" w:themeColor="text1"/>
        </w:rPr>
        <w:t>/Latina</w:t>
      </w:r>
      <w:r w:rsidRPr="4313BCE6">
        <w:rPr>
          <w:color w:val="000000" w:themeColor="text1"/>
        </w:rPr>
        <w:t xml:space="preserve"> women of reproductive age (WRA) to increase their knowledge and intake of folic acid for NTD prevention, a contemporary understanding of cultural factors in the decision-making process and how these women obtain information is needed.</w:t>
      </w:r>
    </w:p>
    <w:p w:rsidR="005A798D" w:rsidP="005A798D" w14:paraId="16E6776B" w14:textId="77777777">
      <w:pPr>
        <w:rPr>
          <w:highlight w:val="yellow"/>
        </w:rPr>
      </w:pPr>
    </w:p>
    <w:p w:rsidR="005A798D" w:rsidRPr="007B638F" w:rsidP="005A798D" w14:paraId="2280042A" w14:textId="77777777">
      <w:pPr>
        <w:pStyle w:val="Style1"/>
        <w:rPr>
          <w:sz w:val="24"/>
          <w:szCs w:val="24"/>
        </w:rPr>
      </w:pPr>
      <w:bookmarkStart w:id="3" w:name="_Toc141811869"/>
      <w:r w:rsidRPr="59F4798D">
        <w:rPr>
          <w:sz w:val="24"/>
          <w:szCs w:val="24"/>
        </w:rPr>
        <w:t>Section A.3. Use of Improved Information Technology and Burden Reduction</w:t>
      </w:r>
      <w:bookmarkEnd w:id="3"/>
    </w:p>
    <w:p w:rsidR="005A798D" w:rsidP="005A798D" w14:paraId="242C7865" w14:textId="77777777">
      <w:pPr>
        <w:pStyle w:val="ListBullet"/>
        <w:numPr>
          <w:ilvl w:val="0"/>
          <w:numId w:val="0"/>
        </w:numPr>
        <w:rPr>
          <w:sz w:val="24"/>
          <w:szCs w:val="24"/>
        </w:rPr>
      </w:pPr>
    </w:p>
    <w:p w:rsidR="005A798D" w:rsidP="4313BCE6" w14:paraId="59136E34" w14:textId="48707AA2">
      <w:r>
        <w:t>Focus groups will be conducted both online and in person</w:t>
      </w:r>
      <w:r w:rsidR="417C872E">
        <w:t xml:space="preserve"> by </w:t>
      </w:r>
      <w:r w:rsidR="417C872E">
        <w:t>EurekaFacts</w:t>
      </w:r>
      <w:r w:rsidR="417C872E">
        <w:t xml:space="preserve"> staff, who have been contracted by CDC to complete data collection</w:t>
      </w:r>
      <w:r>
        <w:t xml:space="preserve">. </w:t>
      </w:r>
      <w:r w:rsidR="1F1933AE">
        <w:t xml:space="preserve">All qualitative data will be collected via moderator’s notes </w:t>
      </w:r>
      <w:r w:rsidR="39D79449">
        <w:t xml:space="preserve">and transcribed recordings </w:t>
      </w:r>
      <w:r w:rsidR="1F1933AE">
        <w:t>captured during the focus groups.</w:t>
      </w:r>
      <w:r>
        <w:t xml:space="preserve"> Participants in online focus groups, particularly those in rural areas, will be able to participate without needing to drive long distances and</w:t>
      </w:r>
      <w:r w:rsidR="1E844144">
        <w:t xml:space="preserve"> if applicable,</w:t>
      </w:r>
      <w:r>
        <w:t xml:space="preserve"> will not have to arrange childcare. This will also allow data to reflect more diverse geographic locations and help reduce the burden to participate in the study. Additionally, the focus groups will be moderated completely in Spanish (</w:t>
      </w:r>
      <w:r w:rsidRPr="6EA679FD" w:rsidR="007D53C7">
        <w:rPr>
          <w:b/>
          <w:bCs/>
          <w:color w:val="000000" w:themeColor="text1"/>
        </w:rPr>
        <w:t>Attachment 3</w:t>
      </w:r>
      <w:r w:rsidRPr="6EA679FD" w:rsidR="2D3D1997">
        <w:rPr>
          <w:b/>
          <w:bCs/>
          <w:color w:val="000000" w:themeColor="text1"/>
        </w:rPr>
        <w:t>0</w:t>
      </w:r>
      <w:r w:rsidRPr="6EA679FD" w:rsidR="007D53C7">
        <w:rPr>
          <w:b/>
          <w:bCs/>
          <w:color w:val="000000" w:themeColor="text1"/>
        </w:rPr>
        <w:t xml:space="preserve"> </w:t>
      </w:r>
      <w:r w:rsidRPr="6EA679FD">
        <w:rPr>
          <w:b/>
          <w:bCs/>
          <w:color w:val="000000" w:themeColor="text1"/>
        </w:rPr>
        <w:t xml:space="preserve">and </w:t>
      </w:r>
      <w:r w:rsidRPr="6EA679FD" w:rsidR="007D53C7">
        <w:rPr>
          <w:b/>
          <w:bCs/>
          <w:color w:val="000000" w:themeColor="text1"/>
        </w:rPr>
        <w:t>3</w:t>
      </w:r>
      <w:r w:rsidRPr="6EA679FD" w:rsidR="50A8EFED">
        <w:rPr>
          <w:b/>
          <w:bCs/>
          <w:color w:val="000000" w:themeColor="text1"/>
        </w:rPr>
        <w:t>1</w:t>
      </w:r>
      <w:r>
        <w:t>)</w:t>
      </w:r>
      <w:r w:rsidRPr="6EA679FD">
        <w:rPr>
          <w:b/>
          <w:bCs/>
        </w:rPr>
        <w:t xml:space="preserve"> </w:t>
      </w:r>
      <w:r>
        <w:t>to match the primary language that participants use in their daily lives.</w:t>
      </w:r>
    </w:p>
    <w:p w:rsidR="005A798D" w:rsidP="005A798D" w14:paraId="5977A93A" w14:textId="77777777"/>
    <w:p w:rsidR="005A798D" w:rsidP="4313BCE6" w14:paraId="5EA4009E" w14:textId="176ECF43">
      <w:r>
        <w:t xml:space="preserve">Prior to collection of qualitative data, participants will be </w:t>
      </w:r>
      <w:r w:rsidR="539EA137">
        <w:t xml:space="preserve">sent an email </w:t>
      </w:r>
      <w:r>
        <w:t>invite</w:t>
      </w:r>
      <w:r w:rsidR="139445BD">
        <w:t xml:space="preserve"> or letter</w:t>
      </w:r>
      <w:r w:rsidR="4DBC3CF5">
        <w:t xml:space="preserve"> (</w:t>
      </w:r>
      <w:r w:rsidRPr="4313BCE6" w:rsidR="4DBC3CF5">
        <w:rPr>
          <w:b/>
          <w:bCs/>
          <w:color w:val="000000" w:themeColor="text1"/>
        </w:rPr>
        <w:t>Attachment</w:t>
      </w:r>
      <w:r w:rsidRPr="4313BCE6" w:rsidR="1E1F0884">
        <w:rPr>
          <w:b/>
          <w:bCs/>
          <w:color w:val="000000" w:themeColor="text1"/>
        </w:rPr>
        <w:t xml:space="preserve"> 8 and</w:t>
      </w:r>
      <w:r w:rsidRPr="4313BCE6" w:rsidR="4DBC3CF5">
        <w:rPr>
          <w:b/>
          <w:bCs/>
          <w:color w:val="000000" w:themeColor="text1"/>
        </w:rPr>
        <w:t xml:space="preserve"> 9</w:t>
      </w:r>
      <w:r w:rsidR="4DBC3CF5">
        <w:t>)</w:t>
      </w:r>
      <w:r>
        <w:t xml:space="preserve"> to participat</w:t>
      </w:r>
      <w:r w:rsidR="275FD5CD">
        <w:t>e</w:t>
      </w:r>
      <w:r w:rsidR="7CC61B12">
        <w:t xml:space="preserve"> in a conversation (or focus group) to share their experiences</w:t>
      </w:r>
      <w:r>
        <w:t>. If there are not enough responses, a follow-up invitation (</w:t>
      </w:r>
      <w:r w:rsidRPr="4313BCE6" w:rsidR="00A40EDC">
        <w:rPr>
          <w:b/>
          <w:bCs/>
          <w:color w:val="000000" w:themeColor="text1"/>
        </w:rPr>
        <w:t xml:space="preserve">Attachment </w:t>
      </w:r>
      <w:r w:rsidRPr="4313BCE6" w:rsidR="267859EC">
        <w:rPr>
          <w:b/>
          <w:bCs/>
          <w:color w:val="000000" w:themeColor="text1"/>
        </w:rPr>
        <w:t xml:space="preserve">10 and </w:t>
      </w:r>
      <w:r w:rsidRPr="4313BCE6" w:rsidR="00A40EDC">
        <w:rPr>
          <w:b/>
          <w:bCs/>
          <w:color w:val="000000" w:themeColor="text1"/>
        </w:rPr>
        <w:t>11</w:t>
      </w:r>
      <w:r w:rsidRPr="4313BCE6" w:rsidR="229FC1A5">
        <w:rPr>
          <w:b/>
          <w:bCs/>
          <w:color w:val="000000" w:themeColor="text1"/>
        </w:rPr>
        <w:t>)</w:t>
      </w:r>
      <w:r>
        <w:t xml:space="preserve"> will be sent with a final/second follow-up</w:t>
      </w:r>
      <w:r w:rsidR="5F6A9A19">
        <w:t xml:space="preserve"> (</w:t>
      </w:r>
      <w:r w:rsidRPr="4313BCE6" w:rsidR="5F6A9A19">
        <w:rPr>
          <w:b/>
          <w:bCs/>
          <w:color w:val="000000" w:themeColor="text1"/>
        </w:rPr>
        <w:t xml:space="preserve">Attachment </w:t>
      </w:r>
      <w:r w:rsidRPr="4313BCE6" w:rsidR="19798892">
        <w:rPr>
          <w:b/>
          <w:bCs/>
          <w:color w:val="000000" w:themeColor="text1"/>
        </w:rPr>
        <w:t xml:space="preserve">12 and </w:t>
      </w:r>
      <w:r w:rsidRPr="4313BCE6" w:rsidR="5F6A9A19">
        <w:rPr>
          <w:b/>
          <w:bCs/>
          <w:color w:val="000000" w:themeColor="text1"/>
        </w:rPr>
        <w:t>13</w:t>
      </w:r>
      <w:r w:rsidR="5F6A9A19">
        <w:t>)</w:t>
      </w:r>
      <w:r>
        <w:t xml:space="preserve">, if needed. Once an agreed upon date and time has been determined, </w:t>
      </w:r>
      <w:r>
        <w:t>EurekaFacts</w:t>
      </w:r>
      <w:r>
        <w:t xml:space="preserve"> staff will send a scheduling email</w:t>
      </w:r>
      <w:r w:rsidR="3EBD0CB2">
        <w:t xml:space="preserve"> (</w:t>
      </w:r>
      <w:r w:rsidRPr="4313BCE6" w:rsidR="3EBD0CB2">
        <w:rPr>
          <w:b/>
          <w:bCs/>
          <w:color w:val="000000" w:themeColor="text1"/>
        </w:rPr>
        <w:t>Attachment</w:t>
      </w:r>
      <w:r w:rsidRPr="4313BCE6" w:rsidR="24859EE8">
        <w:rPr>
          <w:b/>
          <w:bCs/>
          <w:color w:val="000000" w:themeColor="text1"/>
        </w:rPr>
        <w:t xml:space="preserve"> 16 and</w:t>
      </w:r>
      <w:r w:rsidRPr="4313BCE6" w:rsidR="3EBD0CB2">
        <w:rPr>
          <w:b/>
          <w:bCs/>
          <w:color w:val="000000" w:themeColor="text1"/>
        </w:rPr>
        <w:t xml:space="preserve"> 17</w:t>
      </w:r>
      <w:r w:rsidR="3EBD0CB2">
        <w:t>)</w:t>
      </w:r>
      <w:r>
        <w:t xml:space="preserve"> to confirm attendance</w:t>
      </w:r>
      <w:r w:rsidR="00177E2E">
        <w:t xml:space="preserve"> for </w:t>
      </w:r>
      <w:r w:rsidR="41650935">
        <w:t xml:space="preserve">their </w:t>
      </w:r>
      <w:r w:rsidR="00177E2E">
        <w:t xml:space="preserve">selected </w:t>
      </w:r>
      <w:r w:rsidR="657F2390">
        <w:t xml:space="preserve">focus group </w:t>
      </w:r>
      <w:r w:rsidR="00177E2E">
        <w:t>format (</w:t>
      </w:r>
      <w:r w:rsidR="0A77D2A4">
        <w:t>i</w:t>
      </w:r>
      <w:r w:rsidR="00D105BB">
        <w:t>.</w:t>
      </w:r>
      <w:r w:rsidR="1EA66826">
        <w:t>e.,</w:t>
      </w:r>
      <w:r w:rsidR="00D105BB">
        <w:t xml:space="preserve"> online or in person)</w:t>
      </w:r>
      <w:r>
        <w:t>. Upon response to the scheduling email, participants will then be sent a confirmation email</w:t>
      </w:r>
      <w:r w:rsidR="7D61F1E3">
        <w:t xml:space="preserve"> (</w:t>
      </w:r>
      <w:r w:rsidRPr="4313BCE6" w:rsidR="7D61F1E3">
        <w:rPr>
          <w:b/>
          <w:bCs/>
          <w:color w:val="000000" w:themeColor="text1"/>
        </w:rPr>
        <w:t xml:space="preserve">Attachment </w:t>
      </w:r>
      <w:r w:rsidRPr="4313BCE6" w:rsidR="517436EE">
        <w:rPr>
          <w:b/>
          <w:bCs/>
          <w:color w:val="000000" w:themeColor="text1"/>
        </w:rPr>
        <w:t xml:space="preserve">18 and </w:t>
      </w:r>
      <w:r w:rsidRPr="4313BCE6" w:rsidR="7D61F1E3">
        <w:rPr>
          <w:b/>
          <w:bCs/>
          <w:color w:val="000000" w:themeColor="text1"/>
        </w:rPr>
        <w:t>19</w:t>
      </w:r>
      <w:r w:rsidR="7D61F1E3">
        <w:t>)</w:t>
      </w:r>
      <w:r>
        <w:t xml:space="preserve"> with more details of the session. </w:t>
      </w:r>
      <w:r w:rsidR="005606EF">
        <w:t xml:space="preserve">This will be followed up with a </w:t>
      </w:r>
      <w:r w:rsidR="0090558B">
        <w:t>reminder email (</w:t>
      </w:r>
      <w:r w:rsidRPr="00EB6395" w:rsidR="0090558B">
        <w:rPr>
          <w:b/>
          <w:bCs/>
        </w:rPr>
        <w:t xml:space="preserve">Attachment </w:t>
      </w:r>
      <w:r w:rsidRPr="00EB6395" w:rsidR="00EB6395">
        <w:rPr>
          <w:b/>
          <w:bCs/>
        </w:rPr>
        <w:t>39 and 40</w:t>
      </w:r>
      <w:r w:rsidR="00EB6395">
        <w:t xml:space="preserve">). </w:t>
      </w:r>
      <w:r>
        <w:t xml:space="preserve">The invitation </w:t>
      </w:r>
      <w:r w:rsidR="51E1E372">
        <w:t>email</w:t>
      </w:r>
      <w:r>
        <w:t>s</w:t>
      </w:r>
      <w:r w:rsidR="7E5F2029">
        <w:t xml:space="preserve"> (</w:t>
      </w:r>
      <w:r w:rsidRPr="4313BCE6" w:rsidR="7E5F2029">
        <w:rPr>
          <w:b/>
          <w:bCs/>
        </w:rPr>
        <w:t xml:space="preserve">Attachments </w:t>
      </w:r>
      <w:r w:rsidRPr="4313BCE6" w:rsidR="494C2A8B">
        <w:rPr>
          <w:b/>
          <w:bCs/>
        </w:rPr>
        <w:t xml:space="preserve">8 and </w:t>
      </w:r>
      <w:r w:rsidRPr="4313BCE6" w:rsidR="7E5F2029">
        <w:rPr>
          <w:b/>
          <w:bCs/>
        </w:rPr>
        <w:t>9</w:t>
      </w:r>
      <w:r w:rsidR="7E5F2029">
        <w:t>)</w:t>
      </w:r>
      <w:r>
        <w:t xml:space="preserve"> will lead the participants to the self-administered screener (</w:t>
      </w:r>
      <w:r w:rsidRPr="4313BCE6" w:rsidR="00AC0475">
        <w:rPr>
          <w:b/>
          <w:bCs/>
          <w:color w:val="000000" w:themeColor="text1"/>
        </w:rPr>
        <w:t>Attachment</w:t>
      </w:r>
      <w:r w:rsidRPr="4313BCE6" w:rsidR="01C51E37">
        <w:rPr>
          <w:b/>
          <w:bCs/>
          <w:color w:val="000000" w:themeColor="text1"/>
        </w:rPr>
        <w:t>s</w:t>
      </w:r>
      <w:r w:rsidRPr="4313BCE6" w:rsidR="00AC0475">
        <w:rPr>
          <w:b/>
          <w:bCs/>
          <w:color w:val="000000" w:themeColor="text1"/>
        </w:rPr>
        <w:t xml:space="preserve"> </w:t>
      </w:r>
      <w:r w:rsidRPr="4313BCE6" w:rsidR="00030734">
        <w:rPr>
          <w:b/>
          <w:bCs/>
          <w:color w:val="000000" w:themeColor="text1"/>
        </w:rPr>
        <w:t>20</w:t>
      </w:r>
      <w:r w:rsidRPr="4313BCE6" w:rsidR="59BB3497">
        <w:rPr>
          <w:b/>
          <w:bCs/>
          <w:color w:val="000000" w:themeColor="text1"/>
        </w:rPr>
        <w:t xml:space="preserve"> and </w:t>
      </w:r>
      <w:r w:rsidRPr="4313BCE6" w:rsidR="2E825A03">
        <w:rPr>
          <w:b/>
          <w:bCs/>
          <w:color w:val="000000" w:themeColor="text1"/>
        </w:rPr>
        <w:t>21</w:t>
      </w:r>
      <w:r w:rsidRPr="4313BCE6">
        <w:rPr>
          <w:b/>
          <w:bCs/>
        </w:rPr>
        <w:t>)</w:t>
      </w:r>
      <w:r>
        <w:t xml:space="preserve">. Participants are also given the option of calling and a bilingual </w:t>
      </w:r>
      <w:r>
        <w:t>EurekaFacts</w:t>
      </w:r>
      <w:r>
        <w:t xml:space="preserve"> staff member will s</w:t>
      </w:r>
      <w:r w:rsidR="5F9D98D9">
        <w:t>creen</w:t>
      </w:r>
      <w:r>
        <w:t xml:space="preserve"> </w:t>
      </w:r>
      <w:r w:rsidR="716BC95B">
        <w:t>(</w:t>
      </w:r>
      <w:r w:rsidRPr="4313BCE6" w:rsidR="716BC95B">
        <w:rPr>
          <w:b/>
          <w:bCs/>
          <w:color w:val="000000" w:themeColor="text1"/>
        </w:rPr>
        <w:t xml:space="preserve">Attachment </w:t>
      </w:r>
      <w:r w:rsidRPr="4313BCE6" w:rsidR="33D1CDA6">
        <w:rPr>
          <w:b/>
          <w:bCs/>
          <w:color w:val="000000" w:themeColor="text1"/>
        </w:rPr>
        <w:t xml:space="preserve">22 and </w:t>
      </w:r>
      <w:r w:rsidRPr="4313BCE6" w:rsidR="716BC95B">
        <w:rPr>
          <w:b/>
          <w:bCs/>
          <w:color w:val="000000" w:themeColor="text1"/>
        </w:rPr>
        <w:t>23</w:t>
      </w:r>
      <w:r w:rsidRPr="4313BCE6" w:rsidR="0CAD8BDE">
        <w:rPr>
          <w:color w:val="000000" w:themeColor="text1"/>
        </w:rPr>
        <w:t>)</w:t>
      </w:r>
      <w:r w:rsidRPr="4313BCE6" w:rsidR="0CAD8BDE">
        <w:rPr>
          <w:b/>
          <w:bCs/>
          <w:color w:val="000000" w:themeColor="text1"/>
        </w:rPr>
        <w:t xml:space="preserve"> </w:t>
      </w:r>
      <w:r>
        <w:t>the participant via phone call. Please reference</w:t>
      </w:r>
      <w:r w:rsidR="002552DE">
        <w:t xml:space="preserve"> </w:t>
      </w:r>
      <w:r w:rsidRPr="4313BCE6" w:rsidR="002552DE">
        <w:rPr>
          <w:b/>
          <w:bCs/>
        </w:rPr>
        <w:t xml:space="preserve">Attachment </w:t>
      </w:r>
      <w:r w:rsidRPr="4313BCE6" w:rsidR="00CD4D0E">
        <w:rPr>
          <w:b/>
          <w:bCs/>
        </w:rPr>
        <w:t>3</w:t>
      </w:r>
      <w:r w:rsidRPr="4313BCE6" w:rsidR="03D81181">
        <w:rPr>
          <w:b/>
          <w:bCs/>
        </w:rPr>
        <w:t>5 and 36</w:t>
      </w:r>
      <w:r>
        <w:t xml:space="preserve"> for the screenshots of how the </w:t>
      </w:r>
      <w:r w:rsidR="390DA730">
        <w:t>online</w:t>
      </w:r>
      <w:r>
        <w:t xml:space="preserve"> screener will be presented.</w:t>
      </w:r>
      <w:r w:rsidR="0954EF99">
        <w:t xml:space="preserve"> It is estimated that it will take up to 10 minutes to complete the screener.</w:t>
      </w:r>
    </w:p>
    <w:p w:rsidR="005A798D" w:rsidP="005A798D" w14:paraId="54B8927A" w14:textId="77777777"/>
    <w:p w:rsidR="005A798D" w:rsidP="4313BCE6" w14:paraId="47D82D6F" w14:textId="68F9C067">
      <w:r>
        <w:t xml:space="preserve">Due to the nature of the study, </w:t>
      </w:r>
      <w:r>
        <w:t>EurekaFacts</w:t>
      </w:r>
      <w:r>
        <w:t xml:space="preserve"> will also </w:t>
      </w:r>
      <w:r w:rsidR="09DDEB4A">
        <w:t>email</w:t>
      </w:r>
      <w:r>
        <w:t xml:space="preserve"> </w:t>
      </w:r>
      <w:r w:rsidR="0E8A03F3">
        <w:t>(</w:t>
      </w:r>
      <w:r w:rsidRPr="4313BCE6" w:rsidR="0E8A03F3">
        <w:rPr>
          <w:b/>
          <w:bCs/>
          <w:color w:val="000000" w:themeColor="text1"/>
        </w:rPr>
        <w:t xml:space="preserve">Attachment </w:t>
      </w:r>
      <w:r w:rsidRPr="4313BCE6" w:rsidR="13F717E6">
        <w:rPr>
          <w:b/>
          <w:bCs/>
          <w:color w:val="000000" w:themeColor="text1"/>
        </w:rPr>
        <w:t>14 and 1</w:t>
      </w:r>
      <w:r w:rsidRPr="4313BCE6" w:rsidR="0E8A03F3">
        <w:rPr>
          <w:b/>
          <w:bCs/>
          <w:color w:val="000000" w:themeColor="text1"/>
        </w:rPr>
        <w:t>5</w:t>
      </w:r>
      <w:r w:rsidRPr="4313BCE6" w:rsidR="251A24A5">
        <w:rPr>
          <w:color w:val="000000" w:themeColor="text1"/>
        </w:rPr>
        <w:t>)</w:t>
      </w:r>
      <w:r w:rsidRPr="4313BCE6" w:rsidR="0E8A03F3">
        <w:rPr>
          <w:color w:val="000000" w:themeColor="text1"/>
        </w:rPr>
        <w:t xml:space="preserve"> </w:t>
      </w:r>
      <w:r>
        <w:t>a list of community-based organizations that work with this population and supply flyers (</w:t>
      </w:r>
      <w:r w:rsidRPr="4313BCE6" w:rsidR="00580BA6">
        <w:rPr>
          <w:b/>
          <w:bCs/>
          <w:color w:val="000000" w:themeColor="text1"/>
        </w:rPr>
        <w:t>Attachment 33</w:t>
      </w:r>
      <w:r>
        <w:t>)</w:t>
      </w:r>
      <w:r w:rsidR="5704FEFA">
        <w:t xml:space="preserve"> for advertising</w:t>
      </w:r>
      <w:r>
        <w:t xml:space="preserve"> and </w:t>
      </w:r>
      <w:r w:rsidR="509E6896">
        <w:t>Frequently Asked Questions</w:t>
      </w:r>
      <w:r>
        <w:t xml:space="preserve"> (</w:t>
      </w:r>
      <w:r w:rsidRPr="4313BCE6" w:rsidR="00580BA6">
        <w:rPr>
          <w:b/>
          <w:bCs/>
          <w:color w:val="000000" w:themeColor="text1"/>
        </w:rPr>
        <w:t xml:space="preserve">Attachment </w:t>
      </w:r>
      <w:r w:rsidRPr="4313BCE6" w:rsidR="6ACEA0F1">
        <w:rPr>
          <w:b/>
          <w:bCs/>
          <w:color w:val="000000" w:themeColor="text1"/>
        </w:rPr>
        <w:t xml:space="preserve">26 and </w:t>
      </w:r>
      <w:r w:rsidRPr="4313BCE6" w:rsidR="00A5000D">
        <w:rPr>
          <w:b/>
          <w:bCs/>
          <w:color w:val="000000" w:themeColor="text1"/>
        </w:rPr>
        <w:t>27</w:t>
      </w:r>
      <w:r>
        <w:t>), as needed</w:t>
      </w:r>
      <w:r w:rsidR="1B8C486E">
        <w:t xml:space="preserve"> for potential participants</w:t>
      </w:r>
      <w:r>
        <w:t xml:space="preserve">. </w:t>
      </w:r>
      <w:r w:rsidR="00691593">
        <w:t>The FAQ</w:t>
      </w:r>
      <w:r w:rsidR="00E106F9">
        <w:t xml:space="preserve"> will also be </w:t>
      </w:r>
      <w:r w:rsidR="00B477C6">
        <w:t>programmed into a</w:t>
      </w:r>
      <w:r w:rsidR="00E106F9">
        <w:t xml:space="preserve"> landing page. </w:t>
      </w:r>
      <w:r>
        <w:t xml:space="preserve">In addition, </w:t>
      </w:r>
      <w:r>
        <w:t>EurekaFacts</w:t>
      </w:r>
      <w:r>
        <w:t xml:space="preserve"> has prepared social media advertisements (</w:t>
      </w:r>
      <w:r w:rsidRPr="4313BCE6" w:rsidR="00356501">
        <w:rPr>
          <w:b/>
          <w:bCs/>
          <w:color w:val="000000" w:themeColor="text1"/>
        </w:rPr>
        <w:t>Attachment 34)</w:t>
      </w:r>
      <w:r>
        <w:t xml:space="preserve"> that may be used </w:t>
      </w:r>
      <w:r w:rsidR="53CA973B">
        <w:t>to</w:t>
      </w:r>
      <w:r>
        <w:t xml:space="preserve"> </w:t>
      </w:r>
      <w:r w:rsidR="2690C7EE">
        <w:t>reach</w:t>
      </w:r>
      <w:r>
        <w:t xml:space="preserve"> </w:t>
      </w:r>
      <w:r w:rsidR="5A86F415">
        <w:t xml:space="preserve">Hispanic/Latina women with </w:t>
      </w:r>
      <w:r>
        <w:t xml:space="preserve">the specific demographics </w:t>
      </w:r>
      <w:r w:rsidR="1018DE23">
        <w:t xml:space="preserve">intended for </w:t>
      </w:r>
      <w:r>
        <w:t xml:space="preserve">this study using </w:t>
      </w:r>
      <w:r>
        <w:t xml:space="preserve">platforms such as Instagram and Facebook. Social media postings </w:t>
      </w:r>
      <w:r w:rsidR="001F22D1">
        <w:t>are</w:t>
      </w:r>
      <w:r>
        <w:t xml:space="preserve"> the third option </w:t>
      </w:r>
      <w:r w:rsidR="0145516B">
        <w:t>for</w:t>
      </w:r>
      <w:r>
        <w:t xml:space="preserve"> recruitment</w:t>
      </w:r>
      <w:r w:rsidR="6DFBCD1C">
        <w:t xml:space="preserve"> to cast</w:t>
      </w:r>
      <w:r>
        <w:t xml:space="preserve"> a wider net and will be monitored twice a week.</w:t>
      </w:r>
    </w:p>
    <w:p w:rsidR="005A798D" w:rsidP="005A798D" w14:paraId="4B53D05E" w14:textId="77777777">
      <w:pPr>
        <w:pStyle w:val="Style1"/>
        <w:rPr>
          <w:sz w:val="24"/>
          <w:szCs w:val="24"/>
        </w:rPr>
      </w:pPr>
      <w:bookmarkStart w:id="4" w:name="_Toc141811870"/>
      <w:r w:rsidRPr="4313BCE6">
        <w:rPr>
          <w:sz w:val="24"/>
          <w:szCs w:val="24"/>
        </w:rPr>
        <w:t>Section A.4. Efforts to Identify Duplication and Use of Similar Information</w:t>
      </w:r>
      <w:bookmarkEnd w:id="4"/>
    </w:p>
    <w:p w:rsidR="4313BCE6" w:rsidP="4313BCE6" w14:paraId="103D0A6E" w14:textId="226458DB">
      <w:pPr>
        <w:rPr>
          <w:color w:val="000000" w:themeColor="text1"/>
        </w:rPr>
      </w:pPr>
    </w:p>
    <w:p w:rsidR="005A798D" w:rsidP="005A798D" w14:paraId="29C273DA" w14:textId="2A42CFE4">
      <w:pPr>
        <w:rPr>
          <w:color w:val="000000" w:themeColor="text1"/>
        </w:rPr>
      </w:pPr>
      <w:r w:rsidRPr="6EA679FD">
        <w:rPr>
          <w:color w:val="000000" w:themeColor="text1"/>
        </w:rPr>
        <w:t>Currently, no related activities exist with other federal agencies, academic institutions, or NGOs to conduct formative research with Hispanic/Latina women of reproductive age about their folic acid knowledge, awareness, and practices. The CDC’s OMB Information Collection Request Tracking System was reviewed to identify any open requests for similar information. No open information collections were available to provide information related to folic acid fortification and supplementation use among the intended subpopulation of Hispanic/Latina women of reproductive age. Before the information collection beg</w:t>
      </w:r>
      <w:r w:rsidRPr="6EA679FD" w:rsidR="206A57AB">
        <w:rPr>
          <w:color w:val="000000" w:themeColor="text1"/>
        </w:rPr>
        <w:t>an</w:t>
      </w:r>
      <w:r w:rsidRPr="6EA679FD">
        <w:rPr>
          <w:color w:val="000000" w:themeColor="text1"/>
        </w:rPr>
        <w:t>, consultants gather</w:t>
      </w:r>
      <w:r w:rsidRPr="6EA679FD" w:rsidR="385947B1">
        <w:rPr>
          <w:color w:val="000000" w:themeColor="text1"/>
        </w:rPr>
        <w:t>ed</w:t>
      </w:r>
      <w:r w:rsidRPr="6EA679FD">
        <w:rPr>
          <w:color w:val="000000" w:themeColor="text1"/>
        </w:rPr>
        <w:t xml:space="preserve"> feedback from subject matter experts that represent</w:t>
      </w:r>
      <w:r w:rsidRPr="6EA679FD" w:rsidR="6E5ACFEF">
        <w:rPr>
          <w:color w:val="000000" w:themeColor="text1"/>
        </w:rPr>
        <w:t>ed</w:t>
      </w:r>
      <w:r w:rsidRPr="6EA679FD">
        <w:rPr>
          <w:color w:val="000000" w:themeColor="text1"/>
        </w:rPr>
        <w:t xml:space="preserve"> national or community-based organizations that serve</w:t>
      </w:r>
      <w:r w:rsidRPr="6EA679FD" w:rsidR="490D96FF">
        <w:rPr>
          <w:color w:val="000000" w:themeColor="text1"/>
        </w:rPr>
        <w:t>d</w:t>
      </w:r>
      <w:r w:rsidRPr="6EA679FD">
        <w:rPr>
          <w:color w:val="000000" w:themeColor="text1"/>
        </w:rPr>
        <w:t xml:space="preserve"> the subpopulation to understand the value of the information collection. In addition, to determine opportunities to work with other federal agencies a search for “folic acid” was conducted on regulations.gov to determine if other Federal Register Notices exist, and no current FRNs were found.</w:t>
      </w:r>
    </w:p>
    <w:p w:rsidR="005A798D" w:rsidRPr="007B638F" w:rsidP="005A798D" w14:paraId="23E32872" w14:textId="77777777">
      <w:pPr>
        <w:pStyle w:val="Style1"/>
        <w:rPr>
          <w:sz w:val="24"/>
          <w:szCs w:val="24"/>
          <w:highlight w:val="yellow"/>
        </w:rPr>
      </w:pPr>
      <w:bookmarkStart w:id="5" w:name="_Toc141811871"/>
      <w:r w:rsidRPr="0049397B">
        <w:rPr>
          <w:sz w:val="24"/>
          <w:szCs w:val="24"/>
        </w:rPr>
        <w:t>Section A.5. Impact on Small Businesses or Other Small Entities</w:t>
      </w:r>
      <w:bookmarkEnd w:id="5"/>
    </w:p>
    <w:p w:rsidR="005A798D" w:rsidRPr="008750CA" w:rsidP="005A798D" w14:paraId="5C93645F" w14:textId="77777777"/>
    <w:p w:rsidR="005A798D" w:rsidP="005A798D" w14:paraId="1D7E6AE1" w14:textId="4052F09B">
      <w:pPr>
        <w:rPr>
          <w:color w:val="000000" w:themeColor="text1"/>
        </w:rPr>
      </w:pPr>
      <w:r w:rsidRPr="4313BCE6">
        <w:rPr>
          <w:color w:val="000000" w:themeColor="text1"/>
        </w:rPr>
        <w:t xml:space="preserve">The CDC is contracting with </w:t>
      </w:r>
      <w:r w:rsidRPr="4313BCE6">
        <w:rPr>
          <w:color w:val="000000" w:themeColor="text1"/>
        </w:rPr>
        <w:t>EurekaFacts</w:t>
      </w:r>
      <w:r w:rsidRPr="4313BCE6">
        <w:rPr>
          <w:color w:val="000000" w:themeColor="text1"/>
        </w:rPr>
        <w:t xml:space="preserve">, LLC, a small business based in Rockville, MD, to develop and implement the </w:t>
      </w:r>
      <w:r w:rsidRPr="4313BCE6" w:rsidR="5F756FA4">
        <w:rPr>
          <w:color w:val="000000" w:themeColor="text1"/>
        </w:rPr>
        <w:t xml:space="preserve">data </w:t>
      </w:r>
      <w:r w:rsidRPr="4313BCE6">
        <w:rPr>
          <w:color w:val="000000" w:themeColor="text1"/>
        </w:rPr>
        <w:t>collection.</w:t>
      </w:r>
    </w:p>
    <w:p w:rsidR="005A798D" w:rsidRPr="007B638F" w:rsidP="005A798D" w14:paraId="15D6EF77" w14:textId="77777777">
      <w:pPr>
        <w:pStyle w:val="Style1"/>
        <w:rPr>
          <w:sz w:val="24"/>
          <w:szCs w:val="24"/>
        </w:rPr>
      </w:pPr>
      <w:bookmarkStart w:id="6" w:name="_Toc141811872"/>
      <w:r w:rsidRPr="59F4798D">
        <w:rPr>
          <w:sz w:val="24"/>
          <w:szCs w:val="24"/>
        </w:rPr>
        <w:t>Section A.6. Consequences of Collecting the Information Less Frequently</w:t>
      </w:r>
      <w:bookmarkEnd w:id="6"/>
    </w:p>
    <w:p w:rsidR="005A798D" w:rsidRPr="008750CA" w:rsidP="005A798D" w14:paraId="71AD64C5" w14:textId="77777777"/>
    <w:p w:rsidR="005A798D" w:rsidP="005A798D" w14:paraId="23FFD0C8" w14:textId="77777777">
      <w:r w:rsidRPr="59F4798D">
        <w:t xml:space="preserve">The consequence of not collecting the information would be to not have a contemporary body of data on the folic acid knowledge, awareness, and practices of Hispanic/Latina </w:t>
      </w:r>
      <w:r>
        <w:t>women of reproductive age</w:t>
      </w:r>
      <w:r w:rsidRPr="59F4798D">
        <w:t xml:space="preserve"> in the U.S. to inform prevention efforts in </w:t>
      </w:r>
      <w:r>
        <w:t>a</w:t>
      </w:r>
      <w:r w:rsidRPr="59F4798D">
        <w:t xml:space="preserve"> population</w:t>
      </w:r>
      <w:r>
        <w:t xml:space="preserve"> that is at increased risk for a pregnancy affected by a neural tube defect</w:t>
      </w:r>
      <w:r w:rsidRPr="59F4798D">
        <w:t>.</w:t>
      </w:r>
    </w:p>
    <w:p w:rsidR="005A798D" w:rsidP="005A798D" w14:paraId="27F93BD6" w14:textId="77777777"/>
    <w:p w:rsidR="005A798D" w:rsidP="005A798D" w14:paraId="1F79368B" w14:textId="77777777">
      <w:pPr>
        <w:rPr>
          <w:color w:val="000000" w:themeColor="text1"/>
        </w:rPr>
      </w:pPr>
      <w:r w:rsidRPr="59F4798D">
        <w:rPr>
          <w:color w:val="000000" w:themeColor="text1"/>
        </w:rPr>
        <w:t>Each respondent will be asked to respond once.</w:t>
      </w:r>
    </w:p>
    <w:p w:rsidR="005A798D" w:rsidP="005A798D" w14:paraId="082E3603" w14:textId="77777777">
      <w:pPr>
        <w:rPr>
          <w:color w:val="000000" w:themeColor="text1"/>
        </w:rPr>
      </w:pPr>
    </w:p>
    <w:p w:rsidR="005A798D" w:rsidRPr="008750CA" w:rsidP="4313BCE6" w14:paraId="34BCB6FB" w14:textId="30722051">
      <w:pPr>
        <w:rPr>
          <w:color w:val="000000" w:themeColor="text1"/>
        </w:rPr>
      </w:pPr>
      <w:r w:rsidRPr="4313BCE6">
        <w:rPr>
          <w:color w:val="000000" w:themeColor="text1"/>
        </w:rPr>
        <w:t>There are no legal obstacles to reduce the burden.</w:t>
      </w:r>
    </w:p>
    <w:p w:rsidR="005A798D" w:rsidRPr="007B638F" w:rsidP="005A798D" w14:paraId="46C48CEE" w14:textId="77777777">
      <w:pPr>
        <w:pStyle w:val="Style1"/>
        <w:rPr>
          <w:sz w:val="24"/>
          <w:szCs w:val="24"/>
        </w:rPr>
      </w:pPr>
      <w:bookmarkStart w:id="7" w:name="_Toc141811873"/>
      <w:r w:rsidRPr="59F4798D">
        <w:rPr>
          <w:sz w:val="24"/>
          <w:szCs w:val="24"/>
        </w:rPr>
        <w:t>Section A.7. Special Circumstances Relating to the Guidelines of 5 CFR 1320.5</w:t>
      </w:r>
      <w:bookmarkEnd w:id="7"/>
    </w:p>
    <w:p w:rsidR="005A798D" w:rsidP="005A798D" w14:paraId="7D5F66D1" w14:textId="77777777">
      <w:pPr>
        <w:rPr>
          <w:i/>
          <w:iCs/>
          <w:u w:val="single"/>
        </w:rPr>
      </w:pPr>
    </w:p>
    <w:p w:rsidR="005A798D" w:rsidP="005A798D" w14:paraId="4FF85064" w14:textId="45630939">
      <w:pPr>
        <w:rPr>
          <w:color w:val="000000" w:themeColor="text1"/>
        </w:rPr>
      </w:pPr>
      <w:r w:rsidRPr="4313BCE6">
        <w:rPr>
          <w:color w:val="000000" w:themeColor="text1"/>
        </w:rPr>
        <w:t>This request fully complies with regulation 5 CFR 1320.</w:t>
      </w:r>
      <w:r w:rsidRPr="4313BCE6" w:rsidR="65DC0608">
        <w:rPr>
          <w:color w:val="000000" w:themeColor="text1"/>
        </w:rPr>
        <w:t>5.</w:t>
      </w:r>
    </w:p>
    <w:p w:rsidR="005A798D" w:rsidRPr="007B638F" w:rsidP="005A798D" w14:paraId="0430FEE6" w14:textId="77777777">
      <w:pPr>
        <w:pStyle w:val="Style1"/>
        <w:rPr>
          <w:sz w:val="24"/>
          <w:szCs w:val="24"/>
        </w:rPr>
      </w:pPr>
      <w:bookmarkStart w:id="8" w:name="_Toc141811874"/>
      <w:r w:rsidRPr="59F4798D">
        <w:rPr>
          <w:sz w:val="24"/>
          <w:szCs w:val="24"/>
        </w:rPr>
        <w:t>Section A.8. Comments in Response to the Federal Register Notice and Efforts to Consult Outside the Agency</w:t>
      </w:r>
      <w:bookmarkEnd w:id="8"/>
    </w:p>
    <w:p w:rsidR="005A798D" w:rsidRPr="008750CA" w:rsidP="005A798D" w14:paraId="66AF669D" w14:textId="77777777">
      <w:pPr>
        <w:rPr>
          <w:i/>
          <w:iCs/>
          <w:u w:val="single"/>
        </w:rPr>
      </w:pPr>
    </w:p>
    <w:p w:rsidR="005A798D" w:rsidP="4313BCE6" w14:paraId="7200838D" w14:textId="03756E34">
      <w:pPr>
        <w:numPr>
          <w:ilvl w:val="0"/>
          <w:numId w:val="4"/>
        </w:numPr>
        <w:rPr>
          <w:rFonts w:asciiTheme="minorHAnsi" w:eastAsiaTheme="minorEastAsia" w:hAnsiTheme="minorHAnsi" w:cstheme="minorBidi"/>
        </w:rPr>
      </w:pPr>
      <w:r>
        <w:t>A copy of the agency’s 60-day Federal Register Notice is attached (</w:t>
      </w:r>
      <w:r w:rsidRPr="4313BCE6">
        <w:rPr>
          <w:i/>
          <w:iCs/>
        </w:rPr>
        <w:t xml:space="preserve">60-day Federal Register Notice </w:t>
      </w:r>
      <w:r w:rsidRPr="4313BCE6">
        <w:rPr>
          <w:b/>
          <w:bCs/>
        </w:rPr>
        <w:t>Attachment 2</w:t>
      </w:r>
      <w:r>
        <w:t xml:space="preserve">). The notice, as required by 5 CFR 1320.8 (d), was published on November 22, 2022 (Volume 87, Issue 224, pages </w:t>
      </w:r>
      <w:r w:rsidRPr="4313BCE6">
        <w:rPr>
          <w:color w:val="01203B"/>
        </w:rPr>
        <w:t>71329-71330</w:t>
      </w:r>
      <w:r>
        <w:t>). CDC received one public comment in response to this notice</w:t>
      </w:r>
      <w:r w:rsidR="001F2B82">
        <w:t xml:space="preserve"> (</w:t>
      </w:r>
      <w:r w:rsidRPr="4313BCE6" w:rsidR="001F2B82">
        <w:rPr>
          <w:b/>
          <w:bCs/>
        </w:rPr>
        <w:t xml:space="preserve">Attachment </w:t>
      </w:r>
      <w:r w:rsidRPr="4313BCE6" w:rsidR="0F982657">
        <w:rPr>
          <w:b/>
          <w:bCs/>
        </w:rPr>
        <w:t>4)</w:t>
      </w:r>
      <w:r>
        <w:t xml:space="preserve">. </w:t>
      </w:r>
    </w:p>
    <w:p w:rsidR="005A798D" w:rsidP="005A798D" w14:paraId="18C3B55B" w14:textId="77777777"/>
    <w:p w:rsidR="005A798D" w:rsidP="005A798D" w14:paraId="271124B9" w14:textId="2AF2AB5F">
      <w:r w:rsidRPr="4313BCE6">
        <w:rPr>
          <w:b/>
          <w:bCs/>
        </w:rPr>
        <w:t xml:space="preserve">Comment 1 (Attachment </w:t>
      </w:r>
      <w:r w:rsidRPr="4313BCE6" w:rsidR="42053CA6">
        <w:rPr>
          <w:b/>
          <w:bCs/>
        </w:rPr>
        <w:t>4</w:t>
      </w:r>
      <w:r w:rsidRPr="4313BCE6">
        <w:rPr>
          <w:b/>
          <w:bCs/>
        </w:rPr>
        <w:t xml:space="preserve">): </w:t>
      </w:r>
      <w:r>
        <w:t xml:space="preserve">this is a waste of </w:t>
      </w:r>
      <w:r>
        <w:t>american</w:t>
      </w:r>
      <w:r>
        <w:t xml:space="preserve"> tax dollars. there is no need to racialize this comment from women on folic acid. all women would have the same views. </w:t>
      </w:r>
      <w:bookmarkStart w:id="9" w:name="_Int_84xDXso6"/>
      <w:r>
        <w:t>this</w:t>
      </w:r>
      <w:bookmarkEnd w:id="9"/>
      <w:r>
        <w:t xml:space="preserve"> is not a racial issue which this agency is trying to racialize everything. all women would have the same thoughts on this issue and that survey has already been done. </w:t>
      </w:r>
      <w:bookmarkStart w:id="10" w:name="_Int_qZjiGKfh"/>
      <w:r>
        <w:t>close down</w:t>
      </w:r>
      <w:bookmarkEnd w:id="10"/>
      <w:r>
        <w:t xml:space="preserve"> this </w:t>
      </w:r>
      <w:bookmarkStart w:id="11" w:name="_Int_peIB4EU3"/>
      <w:r>
        <w:t>out of control</w:t>
      </w:r>
      <w:bookmarkEnd w:id="11"/>
      <w:r>
        <w:t xml:space="preserve"> spending and the racializing of </w:t>
      </w:r>
      <w:r>
        <w:t>eerythign</w:t>
      </w:r>
      <w:r>
        <w:t xml:space="preserve"> in </w:t>
      </w:r>
      <w:r>
        <w:t>america</w:t>
      </w:r>
      <w:r>
        <w:t xml:space="preserve">. </w:t>
      </w:r>
      <w:bookmarkStart w:id="12" w:name="_Int_bcRRcgEv"/>
      <w:r>
        <w:t>this</w:t>
      </w:r>
      <w:bookmarkEnd w:id="12"/>
      <w:r>
        <w:t xml:space="preserve"> comment is for the public record. who are you leaving out with this attempt to </w:t>
      </w:r>
      <w:r>
        <w:t>racizlize</w:t>
      </w:r>
      <w:r>
        <w:t xml:space="preserve"> this issue? are you leaving out brown people? are you leaving out </w:t>
      </w:r>
      <w:r>
        <w:t>indians</w:t>
      </w:r>
      <w:r>
        <w:t xml:space="preserve">? Are you leaving out </w:t>
      </w:r>
      <w:bookmarkStart w:id="13" w:name="_Int_gHyMzl5m"/>
      <w:r>
        <w:t>whites.</w:t>
      </w:r>
      <w:bookmarkEnd w:id="13"/>
      <w:r>
        <w:t xml:space="preserve"> why are you </w:t>
      </w:r>
      <w:r>
        <w:t>dismising</w:t>
      </w:r>
      <w:r>
        <w:t xml:space="preserve"> their </w:t>
      </w:r>
      <w:bookmarkStart w:id="14" w:name="_Int_TTEfiepj"/>
      <w:r>
        <w:t>thoughts.</w:t>
      </w:r>
      <w:bookmarkEnd w:id="14"/>
      <w:r>
        <w:t xml:space="preserve"> </w:t>
      </w:r>
      <w:bookmarkStart w:id="15" w:name="_Int_GMhRiKMx"/>
      <w:r>
        <w:t>this</w:t>
      </w:r>
      <w:bookmarkEnd w:id="15"/>
      <w:r>
        <w:t xml:space="preserve"> is stupid govt.</w:t>
      </w:r>
    </w:p>
    <w:p w:rsidR="005A798D" w:rsidP="005A798D" w14:paraId="57BA9DAE" w14:textId="77777777">
      <w:pPr>
        <w:rPr>
          <w:b/>
          <w:bCs/>
        </w:rPr>
      </w:pPr>
    </w:p>
    <w:p w:rsidR="005A798D" w:rsidP="005A798D" w14:paraId="2D3FF933" w14:textId="7D2A1CB2">
      <w:r w:rsidRPr="6EA679FD">
        <w:rPr>
          <w:b/>
          <w:bCs/>
        </w:rPr>
        <w:t xml:space="preserve">Response to Comment 1: </w:t>
      </w:r>
      <w:r>
        <w:t xml:space="preserve">Thank you for your comment.  Focus groups of Mexican American women have found several cultural barriers regarding knowledge and intake of folic acid for NTD prevention.  A contemporary understanding of cultural factors in the decision-making process and how these women obtain information is needed to effectively </w:t>
      </w:r>
      <w:r w:rsidR="3E44F022">
        <w:t>reach</w:t>
      </w:r>
      <w:r>
        <w:t xml:space="preserve"> Hispanic women of reproductive age (WRA) </w:t>
      </w:r>
      <w:r w:rsidR="001443A6">
        <w:t xml:space="preserve">and </w:t>
      </w:r>
      <w:r>
        <w:t>increase their knowledge and intake of folic acid for NTD prevention.</w:t>
      </w:r>
    </w:p>
    <w:p w:rsidR="005A798D" w:rsidRPr="008750CA" w:rsidP="005A798D" w14:paraId="0A47DCF7" w14:textId="77777777">
      <w:pPr>
        <w:pStyle w:val="Style1"/>
        <w:rPr>
          <w:sz w:val="24"/>
          <w:szCs w:val="24"/>
        </w:rPr>
      </w:pPr>
      <w:bookmarkStart w:id="16" w:name="_Toc141811875"/>
      <w:r w:rsidRPr="59F4798D">
        <w:rPr>
          <w:sz w:val="24"/>
          <w:szCs w:val="24"/>
        </w:rPr>
        <w:t>Section A.9. Explanation of Any Payment or Gift to Respondents</w:t>
      </w:r>
      <w:bookmarkEnd w:id="16"/>
    </w:p>
    <w:p w:rsidR="005A798D" w:rsidRPr="008750CA" w:rsidP="005A798D" w14:paraId="01F4B57E" w14:textId="77777777"/>
    <w:p w:rsidR="005A798D" w:rsidP="4313BCE6" w14:paraId="23E35A5F" w14:textId="4CAD623A">
      <w:pPr>
        <w:rPr>
          <w:color w:val="000000" w:themeColor="text1"/>
        </w:rPr>
      </w:pPr>
      <w:r w:rsidRPr="6EA679FD">
        <w:rPr>
          <w:color w:val="000000" w:themeColor="text1"/>
        </w:rPr>
        <w:t xml:space="preserve">Respondents will receive </w:t>
      </w:r>
      <w:r w:rsidRPr="6EA679FD" w:rsidR="19B3D130">
        <w:rPr>
          <w:color w:val="000000" w:themeColor="text1"/>
        </w:rPr>
        <w:t>a $75</w:t>
      </w:r>
      <w:r w:rsidRPr="6EA679FD">
        <w:rPr>
          <w:color w:val="000000" w:themeColor="text1"/>
        </w:rPr>
        <w:t xml:space="preserve"> gift card for their participation in the focus group and a thank you letter/email</w:t>
      </w:r>
      <w:r w:rsidRPr="6EA679FD" w:rsidR="65703008">
        <w:rPr>
          <w:color w:val="000000" w:themeColor="text1"/>
        </w:rPr>
        <w:t xml:space="preserve"> (</w:t>
      </w:r>
      <w:r w:rsidRPr="6EA679FD" w:rsidR="65703008">
        <w:rPr>
          <w:b/>
          <w:bCs/>
          <w:color w:val="000000" w:themeColor="text1"/>
        </w:rPr>
        <w:t xml:space="preserve">Attachment </w:t>
      </w:r>
      <w:r w:rsidRPr="6EA679FD" w:rsidR="26388EED">
        <w:rPr>
          <w:b/>
          <w:bCs/>
          <w:color w:val="000000" w:themeColor="text1"/>
        </w:rPr>
        <w:t>24</w:t>
      </w:r>
      <w:r w:rsidRPr="6EA679FD" w:rsidR="632A8419">
        <w:rPr>
          <w:b/>
          <w:bCs/>
          <w:color w:val="000000" w:themeColor="text1"/>
        </w:rPr>
        <w:t xml:space="preserve"> and </w:t>
      </w:r>
      <w:r w:rsidRPr="6EA679FD" w:rsidR="7BFB80A7">
        <w:rPr>
          <w:b/>
          <w:bCs/>
          <w:color w:val="000000" w:themeColor="text1"/>
        </w:rPr>
        <w:t>25</w:t>
      </w:r>
      <w:r w:rsidRPr="6EA679FD" w:rsidR="65703008">
        <w:rPr>
          <w:color w:val="000000" w:themeColor="text1"/>
        </w:rPr>
        <w:t>)</w:t>
      </w:r>
      <w:r w:rsidRPr="6EA679FD">
        <w:rPr>
          <w:color w:val="000000" w:themeColor="text1"/>
        </w:rPr>
        <w:t xml:space="preserve"> as a token of appreciation</w:t>
      </w:r>
      <w:r w:rsidRPr="6EA679FD">
        <w:rPr>
          <w:b/>
          <w:bCs/>
          <w:color w:val="000000" w:themeColor="text1"/>
        </w:rPr>
        <w:t>.</w:t>
      </w:r>
      <w:r w:rsidRPr="6EA679FD">
        <w:rPr>
          <w:color w:val="000000" w:themeColor="text1"/>
        </w:rPr>
        <w:t xml:space="preserve">  Research suggests that providing monetary incentives to study participants, either prepaid or promised, increases response rates and prevents bias, making findings generalizable to our intended population (Hispanic</w:t>
      </w:r>
      <w:r w:rsidRPr="6EA679FD" w:rsidR="2E24DC07">
        <w:rPr>
          <w:color w:val="000000" w:themeColor="text1"/>
        </w:rPr>
        <w:t>/Latina</w:t>
      </w:r>
      <w:r w:rsidRPr="6EA679FD">
        <w:rPr>
          <w:color w:val="000000" w:themeColor="text1"/>
        </w:rPr>
        <w:t xml:space="preserve"> women of reproductive age) </w:t>
      </w:r>
      <w:r w:rsidRPr="6EA679FD" w:rsidR="009D244A">
        <w:rPr>
          <w:color w:val="000000" w:themeColor="text1"/>
        </w:rPr>
        <w:t xml:space="preserve">in </w:t>
      </w:r>
      <w:r w:rsidRPr="6EA679FD">
        <w:rPr>
          <w:color w:val="000000" w:themeColor="text1"/>
        </w:rPr>
        <w:t xml:space="preserve">the </w:t>
      </w:r>
      <w:bookmarkStart w:id="17" w:name="_Int_SGClnZIE"/>
      <w:r w:rsidRPr="6EA679FD">
        <w:rPr>
          <w:color w:val="000000" w:themeColor="text1"/>
        </w:rPr>
        <w:t>U.S.</w:t>
      </w:r>
      <w:r w:rsidRPr="6EA679FD">
        <w:rPr>
          <w:color w:val="000000" w:themeColor="text1"/>
          <w:vertAlign w:val="superscript"/>
        </w:rPr>
        <w:t>[</w:t>
      </w:r>
      <w:bookmarkEnd w:id="17"/>
      <w:r w:rsidRPr="6EA679FD">
        <w:rPr>
          <w:color w:val="000000" w:themeColor="text1"/>
          <w:vertAlign w:val="superscript"/>
        </w:rPr>
        <w:t>4]</w:t>
      </w:r>
      <w:r w:rsidRPr="6EA679FD">
        <w:rPr>
          <w:color w:val="000000" w:themeColor="text1"/>
        </w:rPr>
        <w:t xml:space="preserve"> The</w:t>
      </w:r>
      <w:r w:rsidRPr="6EA679FD" w:rsidR="64D7A963">
        <w:rPr>
          <w:color w:val="000000" w:themeColor="text1"/>
        </w:rPr>
        <w:t xml:space="preserve"> </w:t>
      </w:r>
      <w:r w:rsidRPr="6EA679FD" w:rsidR="64D7A963">
        <w:rPr>
          <w:color w:val="000000" w:themeColor="text1"/>
        </w:rPr>
        <w:t>EurekaFacts</w:t>
      </w:r>
      <w:r w:rsidRPr="6EA679FD">
        <w:rPr>
          <w:color w:val="000000" w:themeColor="text1"/>
        </w:rPr>
        <w:t xml:space="preserve"> IRB approval of the study </w:t>
      </w:r>
      <w:r w:rsidRPr="6EA679FD">
        <w:rPr>
          <w:b/>
          <w:bCs/>
          <w:color w:val="000000" w:themeColor="text1"/>
        </w:rPr>
        <w:t>(</w:t>
      </w:r>
      <w:r w:rsidRPr="6EA679FD" w:rsidR="24DC0589">
        <w:rPr>
          <w:b/>
          <w:bCs/>
          <w:color w:val="000000" w:themeColor="text1"/>
        </w:rPr>
        <w:t>Attachment 3</w:t>
      </w:r>
      <w:r w:rsidRPr="6EA679FD">
        <w:rPr>
          <w:b/>
          <w:bCs/>
          <w:color w:val="000000" w:themeColor="text1"/>
        </w:rPr>
        <w:t>)</w:t>
      </w:r>
      <w:r w:rsidRPr="6EA679FD">
        <w:rPr>
          <w:color w:val="000000" w:themeColor="text1"/>
        </w:rPr>
        <w:t xml:space="preserve"> is also included </w:t>
      </w:r>
      <w:r w:rsidRPr="6EA679FD" w:rsidR="7D29A584">
        <w:rPr>
          <w:color w:val="000000" w:themeColor="text1"/>
        </w:rPr>
        <w:t>and was</w:t>
      </w:r>
      <w:r w:rsidRPr="6EA679FD">
        <w:rPr>
          <w:color w:val="000000" w:themeColor="text1"/>
        </w:rPr>
        <w:t xml:space="preserve"> review</w:t>
      </w:r>
      <w:r w:rsidRPr="6EA679FD" w:rsidR="278F2095">
        <w:rPr>
          <w:color w:val="000000" w:themeColor="text1"/>
        </w:rPr>
        <w:t>ed</w:t>
      </w:r>
      <w:r w:rsidRPr="6EA679FD">
        <w:rPr>
          <w:color w:val="000000" w:themeColor="text1"/>
        </w:rPr>
        <w:t xml:space="preserve"> and approv</w:t>
      </w:r>
      <w:r w:rsidRPr="6EA679FD" w:rsidR="2D75DEF7">
        <w:rPr>
          <w:color w:val="000000" w:themeColor="text1"/>
        </w:rPr>
        <w:t>ed</w:t>
      </w:r>
      <w:r w:rsidRPr="6EA679FD">
        <w:rPr>
          <w:color w:val="000000" w:themeColor="text1"/>
        </w:rPr>
        <w:t xml:space="preserve"> </w:t>
      </w:r>
      <w:r w:rsidRPr="6EA679FD" w:rsidR="410C6F88">
        <w:rPr>
          <w:color w:val="000000" w:themeColor="text1"/>
        </w:rPr>
        <w:t xml:space="preserve">at </w:t>
      </w:r>
      <w:r w:rsidRPr="6EA679FD">
        <w:rPr>
          <w:color w:val="000000" w:themeColor="text1"/>
        </w:rPr>
        <w:t>this level of remuneration.</w:t>
      </w:r>
    </w:p>
    <w:p w:rsidR="005A798D" w:rsidP="005A798D" w14:paraId="640EBFCF" w14:textId="77777777">
      <w:pPr>
        <w:rPr>
          <w:color w:val="000000" w:themeColor="text1"/>
          <w:vertAlign w:val="superscript"/>
        </w:rPr>
      </w:pPr>
    </w:p>
    <w:p w:rsidR="005A798D" w:rsidP="005A798D" w14:paraId="24E15C1E" w14:textId="77777777">
      <w:pPr>
        <w:rPr>
          <w:color w:val="000000" w:themeColor="text1"/>
          <w:vertAlign w:val="superscript"/>
        </w:rPr>
      </w:pPr>
      <w:r w:rsidRPr="2757279B">
        <w:rPr>
          <w:color w:val="000000" w:themeColor="text1"/>
          <w:vertAlign w:val="superscript"/>
        </w:rPr>
        <w:t xml:space="preserve">[4] Yu, J., &amp; Cooper, H. (1983). A Quantitative Review of Research Design Effects on Response Rates to Questionnaires. Journal of Marketing Research, 20(1), 36–44. </w:t>
      </w:r>
      <w:hyperlink r:id="rId16">
        <w:r w:rsidRPr="2757279B">
          <w:rPr>
            <w:rStyle w:val="Hyperlink"/>
            <w:vertAlign w:val="superscript"/>
          </w:rPr>
          <w:t>https://doi.org/10.1177/002224378302000105</w:t>
        </w:r>
      </w:hyperlink>
      <w:r w:rsidRPr="2757279B">
        <w:rPr>
          <w:color w:val="000000" w:themeColor="text1"/>
          <w:vertAlign w:val="superscript"/>
        </w:rPr>
        <w:t xml:space="preserve"> </w:t>
      </w:r>
    </w:p>
    <w:p w:rsidR="005A798D" w:rsidRPr="007B638F" w:rsidP="005A798D" w14:paraId="74979E4C" w14:textId="77777777">
      <w:pPr>
        <w:pStyle w:val="Style1"/>
        <w:rPr>
          <w:sz w:val="24"/>
          <w:szCs w:val="24"/>
        </w:rPr>
      </w:pPr>
      <w:bookmarkStart w:id="18" w:name="_Toc141811876"/>
      <w:r w:rsidRPr="59F4798D">
        <w:rPr>
          <w:sz w:val="24"/>
          <w:szCs w:val="24"/>
        </w:rPr>
        <w:t>Section A.10. Assurance of Confidentiality Provided to Respondents</w:t>
      </w:r>
      <w:bookmarkEnd w:id="18"/>
    </w:p>
    <w:p w:rsidR="005A798D" w:rsidP="005A798D" w14:paraId="77A0BAAC" w14:textId="77777777">
      <w:pPr>
        <w:keepNext/>
        <w:autoSpaceDE w:val="0"/>
        <w:autoSpaceDN w:val="0"/>
        <w:adjustRightInd w:val="0"/>
        <w:outlineLvl w:val="7"/>
      </w:pPr>
    </w:p>
    <w:p w:rsidR="005A798D" w:rsidRPr="00084C6C" w:rsidP="4313BCE6" w14:paraId="16B4E339" w14:textId="43A6B252">
      <w:pPr>
        <w:rPr>
          <w:highlight w:val="yellow"/>
        </w:rPr>
      </w:pPr>
      <w:r w:rsidRPr="4313BCE6">
        <w:t xml:space="preserve">The proposed data collection will have no anticipated effect on the respondent’s privacy.  The </w:t>
      </w:r>
      <w:r w:rsidRPr="4313BCE6" w:rsidR="239EBF48">
        <w:t xml:space="preserve">CDC </w:t>
      </w:r>
      <w:r w:rsidRPr="4313BCE6">
        <w:t>research determination for this project has declared it “Not Research – Public Health Surveillance” and therefore exempt from IRB review (</w:t>
      </w:r>
      <w:r w:rsidRPr="4313BCE6">
        <w:rPr>
          <w:b/>
          <w:bCs/>
        </w:rPr>
        <w:t xml:space="preserve">Attachment </w:t>
      </w:r>
      <w:r w:rsidRPr="4313BCE6" w:rsidR="702DA337">
        <w:rPr>
          <w:b/>
          <w:bCs/>
        </w:rPr>
        <w:t>5</w:t>
      </w:r>
      <w:r w:rsidRPr="4313BCE6">
        <w:t xml:space="preserve">). </w:t>
      </w:r>
      <w:r w:rsidRPr="4313BCE6" w:rsidR="18BEBF49">
        <w:t xml:space="preserve">The contractor, </w:t>
      </w:r>
      <w:r w:rsidRPr="4313BCE6" w:rsidR="18BEBF49">
        <w:t>EurekaFacts</w:t>
      </w:r>
      <w:r w:rsidRPr="4313BCE6" w:rsidR="29CA8AB3">
        <w:t xml:space="preserve">, completed an IRB approval </w:t>
      </w:r>
      <w:r w:rsidRPr="4313BCE6" w:rsidR="77E57D7B">
        <w:t>(</w:t>
      </w:r>
      <w:r w:rsidRPr="4313BCE6" w:rsidR="77E57D7B">
        <w:rPr>
          <w:b/>
          <w:bCs/>
        </w:rPr>
        <w:t>Attachment 3</w:t>
      </w:r>
      <w:r w:rsidRPr="4313BCE6" w:rsidR="77E57D7B">
        <w:t xml:space="preserve">) </w:t>
      </w:r>
      <w:r w:rsidRPr="4313BCE6" w:rsidR="29CA8AB3">
        <w:t>of the study</w:t>
      </w:r>
      <w:r w:rsidRPr="4313BCE6" w:rsidR="37CD0767">
        <w:t xml:space="preserve"> due to their role in data collection.</w:t>
      </w:r>
      <w:r w:rsidRPr="4313BCE6" w:rsidR="29CA8AB3">
        <w:t xml:space="preserve"> </w:t>
      </w:r>
      <w:r w:rsidRPr="4313BCE6" w:rsidR="2D7CB791">
        <w:t xml:space="preserve"> </w:t>
      </w:r>
      <w:r w:rsidRPr="4313BCE6">
        <w:t>However, this data collection effort is subject to the Privacy Act and will be managed in accordance with CDC’s System of Records Notice (SORN) #09-20-01</w:t>
      </w:r>
      <w:r w:rsidRPr="4313BCE6" w:rsidR="43B41CEE">
        <w:t>36</w:t>
      </w:r>
      <w:r w:rsidRPr="4313BCE6">
        <w:t xml:space="preserve">, </w:t>
      </w:r>
      <w:r w:rsidRPr="4313BCE6" w:rsidR="216F1F54">
        <w:t>Epidemiologic Studies and Surveillance of Disease Problems</w:t>
      </w:r>
      <w:r w:rsidRPr="4313BCE6">
        <w:t xml:space="preserve">, Department of </w:t>
      </w:r>
      <w:r w:rsidRPr="4313BCE6">
        <w:t>Health</w:t>
      </w:r>
      <w:r w:rsidRPr="4313BCE6">
        <w:t xml:space="preserve"> and Human Services/CDC/National Center </w:t>
      </w:r>
      <w:r w:rsidR="005630C9">
        <w:t xml:space="preserve">for </w:t>
      </w:r>
      <w:r w:rsidRPr="4313BCE6" w:rsidR="0DCCFED3">
        <w:t>Infectious Diseases</w:t>
      </w:r>
      <w:r w:rsidRPr="4313BCE6">
        <w:t>. A privacy impact assessment</w:t>
      </w:r>
      <w:r w:rsidRPr="4313BCE6" w:rsidR="69C70CD3">
        <w:t xml:space="preserve"> </w:t>
      </w:r>
      <w:r w:rsidRPr="4313BCE6" w:rsidR="5679F8DD">
        <w:t>(</w:t>
      </w:r>
      <w:r w:rsidRPr="4313BCE6" w:rsidR="69C70CD3">
        <w:rPr>
          <w:b/>
          <w:bCs/>
        </w:rPr>
        <w:t>Attachment 6</w:t>
      </w:r>
      <w:r w:rsidRPr="4313BCE6" w:rsidR="69C70CD3">
        <w:t>)</w:t>
      </w:r>
      <w:r w:rsidRPr="4313BCE6">
        <w:t xml:space="preserve"> for this project was reviewed and approved by a CDC Senior Official for Privacy</w:t>
      </w:r>
      <w:r w:rsidRPr="4313BCE6" w:rsidR="7B49B1CF">
        <w:t>.</w:t>
      </w:r>
      <w:r w:rsidRPr="4313BCE6">
        <w:t xml:space="preserve"> </w:t>
      </w:r>
    </w:p>
    <w:p w:rsidR="005A798D" w:rsidP="4313BCE6" w14:paraId="347DAD8B" w14:textId="77777777"/>
    <w:p w:rsidR="005A798D" w:rsidP="4313BCE6" w14:paraId="54776AF0" w14:textId="75BAE75E">
      <w:pPr>
        <w:pStyle w:val="ListBullet"/>
        <w:numPr>
          <w:ilvl w:val="0"/>
          <w:numId w:val="0"/>
        </w:numPr>
        <w:rPr>
          <w:sz w:val="24"/>
          <w:szCs w:val="24"/>
        </w:rPr>
      </w:pPr>
      <w:r w:rsidRPr="132FB9CE">
        <w:rPr>
          <w:sz w:val="24"/>
          <w:szCs w:val="24"/>
        </w:rPr>
        <w:t xml:space="preserve">When focus groups are conducted online, the online platform will record the session and a back-up audio recorder will also be set to record the session. When focus groups are conducted in person, </w:t>
      </w:r>
      <w:r w:rsidRPr="132FB9CE">
        <w:rPr>
          <w:sz w:val="24"/>
          <w:szCs w:val="24"/>
        </w:rPr>
        <w:t>EurekaFacts</w:t>
      </w:r>
      <w:r w:rsidRPr="132FB9CE">
        <w:rPr>
          <w:sz w:val="24"/>
          <w:szCs w:val="24"/>
        </w:rPr>
        <w:t xml:space="preserve"> will use an audio recorder to record each session. A Zoom link</w:t>
      </w:r>
      <w:r w:rsidRPr="132FB9CE" w:rsidR="1FB1009E">
        <w:rPr>
          <w:sz w:val="24"/>
          <w:szCs w:val="24"/>
        </w:rPr>
        <w:t xml:space="preserve"> will</w:t>
      </w:r>
      <w:r w:rsidRPr="132FB9CE">
        <w:rPr>
          <w:sz w:val="24"/>
          <w:szCs w:val="24"/>
        </w:rPr>
        <w:t xml:space="preserve"> also be set up and sent for remote observers</w:t>
      </w:r>
      <w:r w:rsidRPr="132FB9CE" w:rsidR="00F90218">
        <w:rPr>
          <w:sz w:val="24"/>
          <w:szCs w:val="24"/>
        </w:rPr>
        <w:t>;</w:t>
      </w:r>
      <w:r w:rsidRPr="132FB9CE">
        <w:rPr>
          <w:sz w:val="24"/>
          <w:szCs w:val="24"/>
        </w:rPr>
        <w:t xml:space="preserve"> this can also be used as an additional system to record the session. Information that will be collected is </w:t>
      </w:r>
      <w:r w:rsidRPr="132FB9CE" w:rsidR="3295459A">
        <w:rPr>
          <w:sz w:val="24"/>
          <w:szCs w:val="24"/>
        </w:rPr>
        <w:t xml:space="preserve">qualitative </w:t>
      </w:r>
      <w:r w:rsidRPr="132FB9CE">
        <w:rPr>
          <w:sz w:val="24"/>
          <w:szCs w:val="24"/>
        </w:rPr>
        <w:t>responses to a set of questions, which participants have the choice to answer or not, such as experiences with healthcare providers, intake of vitamins or supplements, knowledge on folic acid, and consumption of corn masa flour (</w:t>
      </w:r>
      <w:r w:rsidRPr="132FB9CE" w:rsidR="00395063">
        <w:rPr>
          <w:b/>
          <w:bCs/>
          <w:color w:val="000000" w:themeColor="text1"/>
          <w:sz w:val="24"/>
          <w:szCs w:val="24"/>
        </w:rPr>
        <w:t>Attachment 3</w:t>
      </w:r>
      <w:r w:rsidRPr="132FB9CE" w:rsidR="00E81EBF">
        <w:rPr>
          <w:b/>
          <w:bCs/>
          <w:color w:val="000000" w:themeColor="text1"/>
          <w:sz w:val="24"/>
          <w:szCs w:val="24"/>
        </w:rPr>
        <w:t>0 and 3</w:t>
      </w:r>
      <w:r w:rsidRPr="132FB9CE" w:rsidR="00395063">
        <w:rPr>
          <w:b/>
          <w:bCs/>
          <w:color w:val="000000" w:themeColor="text1"/>
          <w:sz w:val="24"/>
          <w:szCs w:val="24"/>
        </w:rPr>
        <w:t>1</w:t>
      </w:r>
      <w:r w:rsidRPr="132FB9CE">
        <w:rPr>
          <w:sz w:val="24"/>
          <w:szCs w:val="24"/>
        </w:rPr>
        <w:t>). In addition, participants will look at visuals in supplement</w:t>
      </w:r>
      <w:r w:rsidRPr="132FB9CE" w:rsidR="64384A11">
        <w:rPr>
          <w:sz w:val="24"/>
          <w:szCs w:val="24"/>
        </w:rPr>
        <w:t>s</w:t>
      </w:r>
      <w:r w:rsidRPr="132FB9CE">
        <w:rPr>
          <w:sz w:val="24"/>
          <w:szCs w:val="24"/>
        </w:rPr>
        <w:t xml:space="preserve"> as references or aids (</w:t>
      </w:r>
      <w:r w:rsidRPr="132FB9CE" w:rsidR="0023173B">
        <w:rPr>
          <w:b/>
          <w:bCs/>
          <w:sz w:val="24"/>
          <w:szCs w:val="24"/>
        </w:rPr>
        <w:t>Attachment 32</w:t>
      </w:r>
      <w:r w:rsidRPr="132FB9CE" w:rsidR="00223885">
        <w:rPr>
          <w:b/>
          <w:bCs/>
          <w:sz w:val="24"/>
          <w:szCs w:val="24"/>
        </w:rPr>
        <w:t>)</w:t>
      </w:r>
      <w:r w:rsidRPr="132FB9CE" w:rsidR="6A9EE075">
        <w:rPr>
          <w:b/>
          <w:bCs/>
          <w:sz w:val="24"/>
          <w:szCs w:val="24"/>
        </w:rPr>
        <w:t xml:space="preserve"> </w:t>
      </w:r>
      <w:r w:rsidRPr="132FB9CE" w:rsidR="6A9EE075">
        <w:rPr>
          <w:sz w:val="24"/>
          <w:szCs w:val="24"/>
        </w:rPr>
        <w:t>for recall when responding to questions during the focus group</w:t>
      </w:r>
      <w:r w:rsidRPr="132FB9CE">
        <w:rPr>
          <w:sz w:val="24"/>
          <w:szCs w:val="24"/>
        </w:rPr>
        <w:t>.</w:t>
      </w:r>
    </w:p>
    <w:p w:rsidR="00223885" w:rsidP="4313BCE6" w14:paraId="5ACB0F7D" w14:textId="77777777">
      <w:pPr>
        <w:pStyle w:val="ListBullet"/>
        <w:numPr>
          <w:ilvl w:val="0"/>
          <w:numId w:val="0"/>
        </w:numPr>
        <w:rPr>
          <w:sz w:val="24"/>
          <w:szCs w:val="24"/>
        </w:rPr>
      </w:pPr>
    </w:p>
    <w:p w:rsidR="005A798D" w:rsidRPr="00BE5979" w:rsidP="4313BCE6" w14:paraId="044E50EF" w14:textId="26AE607B">
      <w:pPr>
        <w:pStyle w:val="ListBullet"/>
        <w:numPr>
          <w:ilvl w:val="0"/>
          <w:numId w:val="0"/>
        </w:numPr>
        <w:rPr>
          <w:sz w:val="24"/>
          <w:szCs w:val="24"/>
        </w:rPr>
      </w:pPr>
      <w:r w:rsidRPr="4313BCE6">
        <w:rPr>
          <w:sz w:val="24"/>
          <w:szCs w:val="24"/>
        </w:rPr>
        <w:t xml:space="preserve">All focus group recordings will be transcribed in their original language, Spanish. </w:t>
      </w:r>
      <w:r w:rsidRPr="4313BCE6">
        <w:rPr>
          <w:sz w:val="24"/>
          <w:szCs w:val="24"/>
        </w:rPr>
        <w:t>EurekaFacts</w:t>
      </w:r>
      <w:r w:rsidRPr="4313BCE6">
        <w:rPr>
          <w:sz w:val="24"/>
          <w:szCs w:val="24"/>
        </w:rPr>
        <w:t xml:space="preserve">’ bicultural/bilingual research team members will code the Spanish to English transcripts using a codebook. </w:t>
      </w:r>
      <w:r w:rsidRPr="4313BCE6">
        <w:rPr>
          <w:sz w:val="24"/>
          <w:szCs w:val="24"/>
        </w:rPr>
        <w:t>EurekaFacts</w:t>
      </w:r>
      <w:r w:rsidRPr="4313BCE6">
        <w:rPr>
          <w:sz w:val="24"/>
          <w:szCs w:val="24"/>
        </w:rPr>
        <w:t xml:space="preserve"> will remove all personally identifiable information (PII) from transcripts, should they exist. Electronic data will be kept on </w:t>
      </w:r>
      <w:r w:rsidRPr="4313BCE6">
        <w:rPr>
          <w:sz w:val="24"/>
          <w:szCs w:val="24"/>
        </w:rPr>
        <w:t>EurekaFacts</w:t>
      </w:r>
      <w:r w:rsidRPr="4313BCE6">
        <w:rPr>
          <w:sz w:val="24"/>
          <w:szCs w:val="24"/>
        </w:rPr>
        <w:t>’ secured server. All data (hard copy and electronic) will be scanned and stored within the project folder via SharePoint. All study materials (tapes and research notes) will be properly scanned, filed, maintained, and secured within the project folder via SharePoint.</w:t>
      </w:r>
    </w:p>
    <w:p w:rsidR="005A798D" w:rsidP="4313BCE6" w14:paraId="1025536F" w14:textId="38100B5B"/>
    <w:p w:rsidR="005A798D" w:rsidP="7FAA3053" w14:paraId="02FE8D10" w14:textId="1A052D80">
      <w:r>
        <w:t>An Informed Consent Form, either an online</w:t>
      </w:r>
      <w:r w:rsidR="022FA1DC">
        <w:t xml:space="preserve"> (</w:t>
      </w:r>
      <w:r w:rsidRPr="4313BCE6" w:rsidR="022FA1DC">
        <w:rPr>
          <w:b/>
          <w:bCs/>
        </w:rPr>
        <w:t>Attachment 37 and 38</w:t>
      </w:r>
      <w:r w:rsidR="022FA1DC">
        <w:t>)</w:t>
      </w:r>
      <w:r>
        <w:t xml:space="preserve"> or paper form</w:t>
      </w:r>
      <w:r w:rsidR="13518B3D">
        <w:t xml:space="preserve"> (</w:t>
      </w:r>
      <w:r w:rsidRPr="4313BCE6" w:rsidR="13518B3D">
        <w:rPr>
          <w:b/>
          <w:bCs/>
          <w:color w:val="000000" w:themeColor="text1"/>
        </w:rPr>
        <w:t>Attachment 2</w:t>
      </w:r>
      <w:r w:rsidRPr="4313BCE6" w:rsidR="21CB743D">
        <w:rPr>
          <w:b/>
          <w:bCs/>
          <w:color w:val="000000" w:themeColor="text1"/>
        </w:rPr>
        <w:t>8 and 2</w:t>
      </w:r>
      <w:r w:rsidRPr="4313BCE6" w:rsidR="13518B3D">
        <w:rPr>
          <w:b/>
          <w:bCs/>
          <w:color w:val="000000" w:themeColor="text1"/>
        </w:rPr>
        <w:t>9</w:t>
      </w:r>
      <w:r w:rsidR="13518B3D">
        <w:t>)</w:t>
      </w:r>
      <w:r>
        <w:t xml:space="preserve">, will be obtained from all the participants </w:t>
      </w:r>
      <w:r w:rsidR="553919CE">
        <w:t>of</w:t>
      </w:r>
      <w:r>
        <w:t xml:space="preserve"> the focus group.</w:t>
      </w:r>
    </w:p>
    <w:p w:rsidR="005A798D" w:rsidRPr="00503FE3" w:rsidP="005A798D" w14:paraId="7A765A14" w14:textId="77777777"/>
    <w:p w:rsidR="005A798D" w:rsidP="4313BCE6" w14:paraId="296AA51C" w14:textId="27C48548">
      <w:r>
        <w:t>Frequently Asked Questions</w:t>
      </w:r>
      <w:r w:rsidR="08587DF1">
        <w:t xml:space="preserve"> (FAQs)</w:t>
      </w:r>
      <w:r>
        <w:t xml:space="preserve"> </w:t>
      </w:r>
      <w:r w:rsidRPr="00503FE3">
        <w:t>will be provided to all individuals eligible to participate in the project</w:t>
      </w:r>
      <w:r w:rsidRPr="00931B80">
        <w:t>.</w:t>
      </w:r>
      <w:r w:rsidRPr="00503FE3">
        <w:t xml:space="preserve"> Completion of the</w:t>
      </w:r>
      <w:r>
        <w:t xml:space="preserve"> informed consent form</w:t>
      </w:r>
      <w:r w:rsidRPr="00503FE3">
        <w:t xml:space="preserve"> will be taken as consent to participate. Because this work presents no more than minimal risk of harm to subjects and involves no procedures for which written consent is normally required outside of the research context, we will not request written documentation of informed consent. </w:t>
      </w:r>
      <w:r w:rsidRPr="00503FE3" w:rsidR="4B7ADB0A">
        <w:t>FAQs will</w:t>
      </w:r>
      <w:r w:rsidRPr="00503FE3">
        <w:t xml:space="preserve"> inform the participant about the purpose and procedures of the project. Additionally, the</w:t>
      </w:r>
      <w:r w:rsidRPr="00503FE3" w:rsidR="74E34452">
        <w:t>se FAQs</w:t>
      </w:r>
      <w:r w:rsidRPr="00503FE3">
        <w:t xml:space="preserve"> state that there are no known risks to the participant and all personal information will be kept private to the extent allowed under federal laws. The</w:t>
      </w:r>
      <w:r w:rsidRPr="00503FE3" w:rsidR="0EBF1455">
        <w:t xml:space="preserve"> FAQs</w:t>
      </w:r>
      <w:r w:rsidRPr="00503FE3">
        <w:t xml:space="preserve"> also state there is no benefit to completing the </w:t>
      </w:r>
      <w:r>
        <w:t>study</w:t>
      </w:r>
      <w:r w:rsidRPr="00503FE3">
        <w:t xml:space="preserve">, but answers may help identify unmet needs of Hispanic/Latina women of reproductive age and their families. Further, the participants will be reminded </w:t>
      </w:r>
      <w:r>
        <w:t>during the introductions of the study</w:t>
      </w:r>
      <w:r w:rsidR="006A493A">
        <w:t xml:space="preserve"> </w:t>
      </w:r>
      <w:r w:rsidRPr="00503FE3">
        <w:t>that their participation is voluntary and that they may choose not to answer a question at any time or may withdraw their input from the project</w:t>
      </w:r>
      <w:r w:rsidRPr="2FC2D724">
        <w:rPr>
          <w:sz w:val="22"/>
          <w:szCs w:val="22"/>
        </w:rPr>
        <w:t xml:space="preserve">. </w:t>
      </w:r>
      <w:r w:rsidRPr="00CE1E0D" w:rsidR="00CE1E0D">
        <w:t>Should they decide to withdraw from the focus group discussion, they may forfeit all or a part of their incentive, proportional to their level of participation</w:t>
      </w:r>
      <w:r w:rsidRPr="72F6D62C">
        <w:t xml:space="preserve">. The moderator will also orally present relevant information about the study to the participants to further enable them to make informed decisions about their involvement in the study. Respondents will be informed during the screening process that all notes and transcripts from the data collection will </w:t>
      </w:r>
      <w:r w:rsidRPr="72F6D62C" w:rsidR="60744E7C">
        <w:t>be used solely</w:t>
      </w:r>
      <w:r w:rsidRPr="72F6D62C">
        <w:t xml:space="preserve"> to write the final report. </w:t>
      </w:r>
      <w:r w:rsidRPr="72F6D62C" w:rsidR="18B29D4A">
        <w:t>All transcripts and notes from the focus groups will only be available to project staff.</w:t>
      </w:r>
      <w:r w:rsidRPr="72F6D62C">
        <w:t xml:space="preserve">  In addition, this information will also be disclosed to the respondents in the informed consent form.</w:t>
      </w:r>
    </w:p>
    <w:p w:rsidR="005A798D" w:rsidP="005A798D" w14:paraId="7B4CE6AE" w14:textId="77777777"/>
    <w:p w:rsidR="005A798D" w:rsidRPr="00503FE3" w:rsidP="005A798D" w14:paraId="503A944D" w14:textId="77777777">
      <w:pPr>
        <w:rPr>
          <w:sz w:val="22"/>
          <w:szCs w:val="22"/>
        </w:rPr>
      </w:pPr>
    </w:p>
    <w:p w:rsidR="005A798D" w:rsidRPr="007B638F" w:rsidP="005A798D" w14:paraId="725827CF" w14:textId="77777777">
      <w:pPr>
        <w:pStyle w:val="Style1"/>
        <w:rPr>
          <w:sz w:val="24"/>
          <w:szCs w:val="24"/>
        </w:rPr>
      </w:pPr>
      <w:bookmarkStart w:id="19" w:name="_Toc141811877"/>
      <w:r w:rsidRPr="59F4798D">
        <w:rPr>
          <w:sz w:val="24"/>
          <w:szCs w:val="24"/>
        </w:rPr>
        <w:t>Section A.11. Justification for Sensitive Questions</w:t>
      </w:r>
      <w:bookmarkEnd w:id="19"/>
    </w:p>
    <w:p w:rsidR="005A798D" w:rsidRPr="00625901" w:rsidP="4313BCE6" w14:paraId="01764268" w14:textId="557F6BAE"/>
    <w:p w:rsidR="005A798D" w:rsidP="005A798D" w14:paraId="30DE5371" w14:textId="1BA11F09">
      <w:r>
        <w:t>Within the moderator guide, participants will be asked health</w:t>
      </w:r>
      <w:r w:rsidR="575CF157">
        <w:t xml:space="preserve"> questions</w:t>
      </w:r>
      <w:r>
        <w:t xml:space="preserve"> (e.g., vitamin/supplement intake, health care provider</w:t>
      </w:r>
      <w:r w:rsidR="20D3A441">
        <w:t xml:space="preserve"> interactions</w:t>
      </w:r>
      <w:r>
        <w:t xml:space="preserve">, pregnancy, and food consumption) which they may feel uncomfortable answering. At the beginning of this guide, within the introductions, participants are reminded that “Your participation is completely voluntary. You may refuse to answer any question asked during the discussion” </w:t>
      </w:r>
      <w:r w:rsidR="006A493A">
        <w:t>(</w:t>
      </w:r>
      <w:r w:rsidRPr="4313BCE6" w:rsidR="007C6620">
        <w:rPr>
          <w:b/>
          <w:bCs/>
          <w:color w:val="000000" w:themeColor="text1"/>
        </w:rPr>
        <w:t>Attachment 3</w:t>
      </w:r>
      <w:r w:rsidRPr="4313BCE6" w:rsidR="4EC5F158">
        <w:rPr>
          <w:b/>
          <w:bCs/>
          <w:color w:val="000000" w:themeColor="text1"/>
        </w:rPr>
        <w:t>0 and 3</w:t>
      </w:r>
      <w:r w:rsidRPr="4313BCE6" w:rsidR="007C6620">
        <w:rPr>
          <w:b/>
          <w:bCs/>
          <w:color w:val="000000" w:themeColor="text1"/>
        </w:rPr>
        <w:t>1</w:t>
      </w:r>
      <w:r w:rsidRPr="4313BCE6" w:rsidR="6E927185">
        <w:rPr>
          <w:color w:val="000000" w:themeColor="text1"/>
        </w:rPr>
        <w:t>)</w:t>
      </w:r>
      <w:r w:rsidR="006A493A">
        <w:t>.</w:t>
      </w:r>
    </w:p>
    <w:p w:rsidR="005A798D" w:rsidRPr="007B638F" w:rsidP="005A798D" w14:paraId="4FA67994" w14:textId="53D29282">
      <w:pPr>
        <w:pStyle w:val="Style1"/>
        <w:keepLines/>
        <w:rPr>
          <w:sz w:val="24"/>
          <w:szCs w:val="24"/>
        </w:rPr>
      </w:pPr>
      <w:bookmarkStart w:id="20" w:name="_Toc141811878"/>
      <w:r w:rsidRPr="4313BCE6">
        <w:rPr>
          <w:sz w:val="24"/>
          <w:szCs w:val="24"/>
        </w:rPr>
        <w:t>Section A.12. Estimates of Annualized Burden Hours and Costs</w:t>
      </w:r>
      <w:bookmarkEnd w:id="20"/>
    </w:p>
    <w:p w:rsidR="005A798D" w:rsidP="005A798D" w14:paraId="409303DF" w14:textId="77777777">
      <w:pPr>
        <w:keepNext/>
        <w:keepLines/>
      </w:pPr>
    </w:p>
    <w:p w:rsidR="005A798D" w:rsidP="4313BCE6" w14:paraId="63086B6F" w14:textId="498A35B3">
      <w:pPr>
        <w:rPr>
          <w:color w:val="000000" w:themeColor="text1"/>
        </w:rPr>
      </w:pPr>
      <w:bookmarkStart w:id="21" w:name="_Int_hGeQvz7r"/>
      <w:r w:rsidRPr="4313BCE6">
        <w:rPr>
          <w:color w:val="000000" w:themeColor="text1"/>
        </w:rPr>
        <w:t xml:space="preserve">It is estimated that 81 respondents will have to be screened </w:t>
      </w:r>
      <w:r w:rsidRPr="4313BCE6" w:rsidR="0F9B4025">
        <w:rPr>
          <w:color w:val="000000" w:themeColor="text1"/>
        </w:rPr>
        <w:t>by telephone (</w:t>
      </w:r>
      <w:r w:rsidRPr="4313BCE6" w:rsidR="0F9B4025">
        <w:rPr>
          <w:b/>
          <w:bCs/>
          <w:color w:val="000000" w:themeColor="text1"/>
        </w:rPr>
        <w:t xml:space="preserve">Attachment </w:t>
      </w:r>
      <w:r w:rsidRPr="4313BCE6" w:rsidR="2BA7222C">
        <w:rPr>
          <w:b/>
          <w:bCs/>
          <w:color w:val="000000" w:themeColor="text1"/>
        </w:rPr>
        <w:t xml:space="preserve">22 and </w:t>
      </w:r>
      <w:r w:rsidRPr="4313BCE6" w:rsidR="0F9B4025">
        <w:rPr>
          <w:b/>
          <w:bCs/>
          <w:color w:val="000000" w:themeColor="text1"/>
        </w:rPr>
        <w:t>23</w:t>
      </w:r>
      <w:r w:rsidR="0F9B4025">
        <w:t>)</w:t>
      </w:r>
      <w:r w:rsidRPr="4313BCE6" w:rsidR="0F9B4025">
        <w:rPr>
          <w:color w:val="000000" w:themeColor="text1"/>
        </w:rPr>
        <w:t xml:space="preserve"> or online (</w:t>
      </w:r>
      <w:r w:rsidRPr="4313BCE6" w:rsidR="0F9B4025">
        <w:rPr>
          <w:b/>
          <w:bCs/>
          <w:color w:val="000000" w:themeColor="text1"/>
        </w:rPr>
        <w:t>Attachment 35 and 36</w:t>
      </w:r>
      <w:r w:rsidRPr="4313BCE6" w:rsidR="0F9B4025">
        <w:rPr>
          <w:color w:val="000000" w:themeColor="text1"/>
        </w:rPr>
        <w:t>)</w:t>
      </w:r>
      <w:r w:rsidRPr="4313BCE6">
        <w:rPr>
          <w:color w:val="000000" w:themeColor="text1"/>
        </w:rPr>
        <w:t xml:space="preserve"> </w:t>
      </w:r>
      <w:r w:rsidRPr="4313BCE6" w:rsidR="0C60D866">
        <w:rPr>
          <w:color w:val="000000" w:themeColor="text1"/>
        </w:rPr>
        <w:t>to</w:t>
      </w:r>
      <w:r w:rsidRPr="4313BCE6">
        <w:rPr>
          <w:color w:val="000000" w:themeColor="text1"/>
        </w:rPr>
        <w:t xml:space="preserve"> recruit participants.</w:t>
      </w:r>
      <w:bookmarkEnd w:id="21"/>
      <w:r w:rsidRPr="4313BCE6">
        <w:rPr>
          <w:color w:val="000000" w:themeColor="text1"/>
        </w:rPr>
        <w:t xml:space="preserve"> Each screening will take approximately 10 minutes</w:t>
      </w:r>
      <w:r>
        <w:t>.</w:t>
      </w:r>
      <w:r w:rsidRPr="4313BCE6">
        <w:rPr>
          <w:color w:val="000000" w:themeColor="text1"/>
        </w:rPr>
        <w:t xml:space="preserve"> The estimated response burden for the screening process is 13.5 hours. </w:t>
      </w:r>
    </w:p>
    <w:p w:rsidR="005A798D" w:rsidP="005A798D" w14:paraId="550E70F7" w14:textId="77777777">
      <w:pPr>
        <w:rPr>
          <w:color w:val="000000" w:themeColor="text1"/>
        </w:rPr>
      </w:pPr>
    </w:p>
    <w:p w:rsidR="005A798D" w:rsidP="005A798D" w14:paraId="2610A64C" w14:textId="789768F0">
      <w:pPr>
        <w:rPr>
          <w:color w:val="000000" w:themeColor="text1"/>
        </w:rPr>
      </w:pPr>
      <w:r w:rsidRPr="4E0C4D35">
        <w:rPr>
          <w:color w:val="000000" w:themeColor="text1"/>
        </w:rPr>
        <w:t xml:space="preserve">The focus groups will have an average of </w:t>
      </w:r>
      <w:r w:rsidRPr="4E0C4D35" w:rsidR="2B8A45CA">
        <w:rPr>
          <w:color w:val="000000" w:themeColor="text1"/>
        </w:rPr>
        <w:t>up to 9</w:t>
      </w:r>
      <w:r w:rsidRPr="4E0C4D35">
        <w:rPr>
          <w:color w:val="000000" w:themeColor="text1"/>
        </w:rPr>
        <w:t xml:space="preserve"> participants each</w:t>
      </w:r>
      <w:r w:rsidRPr="4E0C4D35" w:rsidR="21499D49">
        <w:rPr>
          <w:color w:val="000000" w:themeColor="text1"/>
        </w:rPr>
        <w:t xml:space="preserve"> and</w:t>
      </w:r>
      <w:r w:rsidRPr="4E0C4D35">
        <w:rPr>
          <w:color w:val="000000" w:themeColor="text1"/>
        </w:rPr>
        <w:t xml:space="preserve"> 9 focus groups will be conducted with</w:t>
      </w:r>
      <w:r w:rsidRPr="4E0C4D35" w:rsidR="285A6F4F">
        <w:rPr>
          <w:color w:val="000000" w:themeColor="text1"/>
        </w:rPr>
        <w:t xml:space="preserve"> up to</w:t>
      </w:r>
      <w:r w:rsidRPr="4E0C4D35" w:rsidR="7ADEDDA8">
        <w:rPr>
          <w:color w:val="000000" w:themeColor="text1"/>
        </w:rPr>
        <w:t xml:space="preserve"> 81</w:t>
      </w:r>
      <w:r w:rsidRPr="4E0C4D35">
        <w:rPr>
          <w:color w:val="000000" w:themeColor="text1"/>
        </w:rPr>
        <w:t xml:space="preserve"> participants. Each focus group will take 90 minutes for a </w:t>
      </w:r>
      <w:r w:rsidRPr="4E0C4D35" w:rsidR="492DCB31">
        <w:rPr>
          <w:color w:val="000000" w:themeColor="text1"/>
        </w:rPr>
        <w:t>total of</w:t>
      </w:r>
      <w:r w:rsidRPr="4E0C4D35">
        <w:rPr>
          <w:color w:val="000000" w:themeColor="text1"/>
        </w:rPr>
        <w:t xml:space="preserve"> </w:t>
      </w:r>
      <w:r w:rsidRPr="4E0C4D35" w:rsidR="5B5474DC">
        <w:rPr>
          <w:color w:val="000000" w:themeColor="text1"/>
        </w:rPr>
        <w:t>121.5</w:t>
      </w:r>
      <w:r w:rsidRPr="4E0C4D35" w:rsidR="577F99F1">
        <w:rPr>
          <w:color w:val="000000" w:themeColor="text1"/>
        </w:rPr>
        <w:t xml:space="preserve"> </w:t>
      </w:r>
      <w:r w:rsidRPr="4E0C4D35">
        <w:rPr>
          <w:color w:val="000000" w:themeColor="text1"/>
        </w:rPr>
        <w:t>burden hours.</w:t>
      </w:r>
    </w:p>
    <w:p w:rsidR="005A798D" w:rsidP="005A798D" w14:paraId="67C88108" w14:textId="77777777">
      <w:pPr>
        <w:rPr>
          <w:color w:val="000000" w:themeColor="text1"/>
        </w:rPr>
      </w:pPr>
    </w:p>
    <w:p w:rsidR="005A798D" w:rsidP="005A798D" w14:paraId="120AFE6E" w14:textId="461F62F0">
      <w:pPr>
        <w:rPr>
          <w:color w:val="000000" w:themeColor="text1"/>
        </w:rPr>
      </w:pPr>
      <w:r w:rsidRPr="4E0C4D35">
        <w:rPr>
          <w:color w:val="000000" w:themeColor="text1"/>
        </w:rPr>
        <w:t xml:space="preserve">The </w:t>
      </w:r>
      <w:r w:rsidRPr="4E0C4D35" w:rsidR="27B033AD">
        <w:rPr>
          <w:color w:val="000000" w:themeColor="text1"/>
        </w:rPr>
        <w:t>paper-based (</w:t>
      </w:r>
      <w:r w:rsidRPr="4E0C4D35" w:rsidR="27B033AD">
        <w:rPr>
          <w:b/>
          <w:bCs/>
          <w:color w:val="000000" w:themeColor="text1"/>
        </w:rPr>
        <w:t>Attachment 2</w:t>
      </w:r>
      <w:r w:rsidRPr="4E0C4D35" w:rsidR="58471B13">
        <w:rPr>
          <w:b/>
          <w:bCs/>
          <w:color w:val="000000" w:themeColor="text1"/>
        </w:rPr>
        <w:t>8</w:t>
      </w:r>
      <w:r w:rsidRPr="4E0C4D35" w:rsidR="27B033AD">
        <w:rPr>
          <w:b/>
          <w:bCs/>
          <w:color w:val="000000" w:themeColor="text1"/>
        </w:rPr>
        <w:t xml:space="preserve"> and 2</w:t>
      </w:r>
      <w:r w:rsidRPr="4E0C4D35" w:rsidR="7ABB457F">
        <w:rPr>
          <w:b/>
          <w:bCs/>
          <w:color w:val="000000" w:themeColor="text1"/>
        </w:rPr>
        <w:t>9</w:t>
      </w:r>
      <w:r w:rsidRPr="4E0C4D35" w:rsidR="27B033AD">
        <w:rPr>
          <w:color w:val="000000" w:themeColor="text1"/>
        </w:rPr>
        <w:t>) or online (</w:t>
      </w:r>
      <w:r w:rsidRPr="4E0C4D35" w:rsidR="27B033AD">
        <w:rPr>
          <w:b/>
          <w:bCs/>
          <w:color w:val="000000" w:themeColor="text1"/>
        </w:rPr>
        <w:t>Attachment 3</w:t>
      </w:r>
      <w:r w:rsidRPr="4E0C4D35" w:rsidR="7306BEC1">
        <w:rPr>
          <w:b/>
          <w:bCs/>
          <w:color w:val="000000" w:themeColor="text1"/>
        </w:rPr>
        <w:t>7 and</w:t>
      </w:r>
      <w:r w:rsidRPr="4E0C4D35" w:rsidR="27B033AD">
        <w:rPr>
          <w:b/>
          <w:bCs/>
          <w:color w:val="000000" w:themeColor="text1"/>
        </w:rPr>
        <w:t xml:space="preserve"> 38</w:t>
      </w:r>
      <w:r w:rsidRPr="4E0C4D35" w:rsidR="27B033AD">
        <w:rPr>
          <w:color w:val="000000" w:themeColor="text1"/>
        </w:rPr>
        <w:t xml:space="preserve">) </w:t>
      </w:r>
      <w:r w:rsidRPr="4E0C4D35">
        <w:rPr>
          <w:color w:val="000000" w:themeColor="text1"/>
        </w:rPr>
        <w:t>informed consent</w:t>
      </w:r>
      <w:r w:rsidRPr="4E0C4D35" w:rsidR="36A12AD6">
        <w:rPr>
          <w:color w:val="000000" w:themeColor="text1"/>
        </w:rPr>
        <w:t xml:space="preserve"> process</w:t>
      </w:r>
      <w:r w:rsidRPr="4E0C4D35">
        <w:rPr>
          <w:color w:val="000000" w:themeColor="text1"/>
        </w:rPr>
        <w:t xml:space="preserve"> will take approximately 2 minutes to complete</w:t>
      </w:r>
      <w:r w:rsidRPr="4E0C4D35" w:rsidR="5D2F0058">
        <w:rPr>
          <w:color w:val="000000" w:themeColor="text1"/>
        </w:rPr>
        <w:t xml:space="preserve"> </w:t>
      </w:r>
      <w:r w:rsidRPr="4E0C4D35">
        <w:rPr>
          <w:color w:val="000000" w:themeColor="text1"/>
        </w:rPr>
        <w:t>for a total burden of 2.</w:t>
      </w:r>
      <w:r w:rsidRPr="4E0C4D35" w:rsidR="2291F3ED">
        <w:rPr>
          <w:color w:val="000000" w:themeColor="text1"/>
        </w:rPr>
        <w:t>7</w:t>
      </w:r>
      <w:r w:rsidRPr="4E0C4D35">
        <w:rPr>
          <w:color w:val="000000" w:themeColor="text1"/>
        </w:rPr>
        <w:t xml:space="preserve"> hours.</w:t>
      </w:r>
    </w:p>
    <w:p w:rsidR="005A798D" w:rsidP="005A798D" w14:paraId="4ACF725D" w14:textId="77777777">
      <w:pPr>
        <w:rPr>
          <w:color w:val="000000" w:themeColor="text1"/>
        </w:rPr>
      </w:pPr>
    </w:p>
    <w:p w:rsidR="005A798D" w:rsidP="005A798D" w14:paraId="136340AA" w14:textId="77777777">
      <w:pPr>
        <w:rPr>
          <w:color w:val="000000" w:themeColor="text1"/>
        </w:rPr>
      </w:pPr>
      <w:r w:rsidRPr="59F4798D">
        <w:rPr>
          <w:color w:val="000000" w:themeColor="text1"/>
        </w:rPr>
        <w:t>There are no costs to respondents other than their time.</w:t>
      </w:r>
    </w:p>
    <w:p w:rsidR="005A798D" w:rsidP="005A798D" w14:paraId="61B47C4B" w14:textId="77777777">
      <w:pPr>
        <w:keepNext/>
      </w:pPr>
    </w:p>
    <w:p w:rsidR="005A798D" w:rsidP="005A798D" w14:paraId="64112E79" w14:textId="77777777">
      <w:pPr>
        <w:rPr>
          <w:color w:val="000000" w:themeColor="text1"/>
        </w:rPr>
      </w:pPr>
      <w:r w:rsidRPr="4E0C4D35">
        <w:rPr>
          <w:b/>
          <w:bCs/>
          <w:i/>
          <w:iCs/>
          <w:color w:val="000000" w:themeColor="text1"/>
        </w:rPr>
        <w:t xml:space="preserve">A.12.A. Estimated Annualized Burden Hours </w:t>
      </w:r>
    </w:p>
    <w:tbl>
      <w:tblPr>
        <w:tblStyle w:val="TableGrid"/>
        <w:tblW w:w="0" w:type="auto"/>
        <w:tblLayout w:type="fixed"/>
        <w:tblLook w:val="04A0"/>
      </w:tblPr>
      <w:tblGrid>
        <w:gridCol w:w="1845"/>
        <w:gridCol w:w="1845"/>
        <w:gridCol w:w="1620"/>
        <w:gridCol w:w="1485"/>
        <w:gridCol w:w="1260"/>
        <w:gridCol w:w="1125"/>
      </w:tblGrid>
      <w:tr w14:paraId="6FFEB2C5" w14:textId="77777777" w:rsidTr="08A9F35D">
        <w:tblPrEx>
          <w:tblW w:w="0" w:type="auto"/>
          <w:tblLayout w:type="fixed"/>
          <w:tblLook w:val="04A0"/>
        </w:tblPrEx>
        <w:trPr>
          <w:trHeight w:val="1125"/>
        </w:trPr>
        <w:tc>
          <w:tcPr>
            <w:tcW w:w="1845" w:type="dxa"/>
            <w:tcBorders>
              <w:top w:val="single" w:sz="6" w:space="0" w:color="auto"/>
              <w:left w:val="single" w:sz="6" w:space="0" w:color="auto"/>
              <w:bottom w:val="single" w:sz="6" w:space="0" w:color="auto"/>
              <w:right w:val="single" w:sz="6" w:space="0" w:color="auto"/>
            </w:tcBorders>
          </w:tcPr>
          <w:p w:rsidR="005A798D" w:rsidP="00895CEF" w14:paraId="0230C103" w14:textId="77777777">
            <w:pPr>
              <w:spacing w:line="276" w:lineRule="auto"/>
              <w:rPr>
                <w:color w:val="000000" w:themeColor="text1"/>
              </w:rPr>
            </w:pPr>
            <w:r w:rsidRPr="59F4798D">
              <w:rPr>
                <w:b/>
                <w:bCs/>
                <w:color w:val="000000" w:themeColor="text1"/>
              </w:rPr>
              <w:t>Type of Respondents</w:t>
            </w:r>
          </w:p>
        </w:tc>
        <w:tc>
          <w:tcPr>
            <w:tcW w:w="1845" w:type="dxa"/>
            <w:tcBorders>
              <w:top w:val="single" w:sz="6" w:space="0" w:color="auto"/>
              <w:left w:val="single" w:sz="6" w:space="0" w:color="auto"/>
              <w:bottom w:val="single" w:sz="6" w:space="0" w:color="auto"/>
              <w:right w:val="single" w:sz="6" w:space="0" w:color="auto"/>
            </w:tcBorders>
          </w:tcPr>
          <w:p w:rsidR="005A798D" w:rsidP="00895CEF" w14:paraId="23693688" w14:textId="77777777">
            <w:pPr>
              <w:spacing w:line="276" w:lineRule="auto"/>
              <w:rPr>
                <w:color w:val="000000" w:themeColor="text1"/>
              </w:rPr>
            </w:pPr>
            <w:r w:rsidRPr="59F4798D">
              <w:rPr>
                <w:b/>
                <w:bCs/>
                <w:color w:val="000000" w:themeColor="text1"/>
              </w:rPr>
              <w:t>Form Name</w:t>
            </w:r>
          </w:p>
        </w:tc>
        <w:tc>
          <w:tcPr>
            <w:tcW w:w="1620" w:type="dxa"/>
            <w:tcBorders>
              <w:top w:val="single" w:sz="6" w:space="0" w:color="auto"/>
              <w:left w:val="single" w:sz="6" w:space="0" w:color="auto"/>
              <w:bottom w:val="single" w:sz="6" w:space="0" w:color="auto"/>
              <w:right w:val="single" w:sz="6" w:space="0" w:color="auto"/>
            </w:tcBorders>
          </w:tcPr>
          <w:p w:rsidR="005A798D" w:rsidP="00895CEF" w14:paraId="165DB9DB" w14:textId="77777777">
            <w:pPr>
              <w:spacing w:line="276" w:lineRule="auto"/>
              <w:rPr>
                <w:color w:val="000000" w:themeColor="text1"/>
              </w:rPr>
            </w:pPr>
            <w:r w:rsidRPr="59F4798D">
              <w:rPr>
                <w:b/>
                <w:bCs/>
                <w:color w:val="000000" w:themeColor="text1"/>
              </w:rPr>
              <w:t>No. of Respondents</w:t>
            </w:r>
          </w:p>
        </w:tc>
        <w:tc>
          <w:tcPr>
            <w:tcW w:w="1485" w:type="dxa"/>
            <w:tcBorders>
              <w:top w:val="single" w:sz="6" w:space="0" w:color="auto"/>
              <w:left w:val="single" w:sz="6" w:space="0" w:color="auto"/>
              <w:bottom w:val="single" w:sz="6" w:space="0" w:color="auto"/>
              <w:right w:val="single" w:sz="6" w:space="0" w:color="auto"/>
            </w:tcBorders>
          </w:tcPr>
          <w:p w:rsidR="005A798D" w:rsidP="00895CEF" w14:paraId="24AFC4C0" w14:textId="77777777">
            <w:pPr>
              <w:spacing w:line="276" w:lineRule="auto"/>
              <w:rPr>
                <w:color w:val="000000" w:themeColor="text1"/>
              </w:rPr>
            </w:pPr>
            <w:r w:rsidRPr="59F4798D">
              <w:rPr>
                <w:b/>
                <w:bCs/>
                <w:color w:val="000000" w:themeColor="text1"/>
              </w:rPr>
              <w:t>No. of Responses per Respondent</w:t>
            </w:r>
          </w:p>
        </w:tc>
        <w:tc>
          <w:tcPr>
            <w:tcW w:w="1260" w:type="dxa"/>
            <w:tcBorders>
              <w:top w:val="single" w:sz="6" w:space="0" w:color="auto"/>
              <w:left w:val="single" w:sz="6" w:space="0" w:color="auto"/>
              <w:bottom w:val="single" w:sz="6" w:space="0" w:color="auto"/>
              <w:right w:val="single" w:sz="6" w:space="0" w:color="auto"/>
            </w:tcBorders>
          </w:tcPr>
          <w:p w:rsidR="005A798D" w14:paraId="061BCA74" w14:textId="0467FA31">
            <w:pPr>
              <w:spacing w:line="276" w:lineRule="auto"/>
              <w:rPr>
                <w:b/>
                <w:bCs/>
                <w:color w:val="000000" w:themeColor="text1"/>
              </w:rPr>
            </w:pPr>
            <w:r w:rsidRPr="08A9F35D">
              <w:rPr>
                <w:b/>
                <w:bCs/>
                <w:color w:val="000000" w:themeColor="text1"/>
              </w:rPr>
              <w:t>Average Burden per Response (in hours)</w:t>
            </w:r>
          </w:p>
        </w:tc>
        <w:tc>
          <w:tcPr>
            <w:tcW w:w="1125" w:type="dxa"/>
            <w:tcBorders>
              <w:top w:val="single" w:sz="6" w:space="0" w:color="auto"/>
              <w:left w:val="single" w:sz="6" w:space="0" w:color="auto"/>
              <w:bottom w:val="single" w:sz="6" w:space="0" w:color="auto"/>
              <w:right w:val="single" w:sz="6" w:space="0" w:color="auto"/>
            </w:tcBorders>
          </w:tcPr>
          <w:p w:rsidR="005A798D" w:rsidP="00895CEF" w14:paraId="7332694D" w14:textId="77777777">
            <w:pPr>
              <w:spacing w:line="276" w:lineRule="auto"/>
              <w:rPr>
                <w:color w:val="000000" w:themeColor="text1"/>
              </w:rPr>
            </w:pPr>
            <w:r w:rsidRPr="59F4798D">
              <w:rPr>
                <w:b/>
                <w:bCs/>
                <w:color w:val="000000" w:themeColor="text1"/>
              </w:rPr>
              <w:t>Total Burden Hours</w:t>
            </w:r>
          </w:p>
        </w:tc>
      </w:tr>
      <w:tr w14:paraId="43CEDE78" w14:textId="77777777" w:rsidTr="08A9F35D">
        <w:tblPrEx>
          <w:tblW w:w="0" w:type="auto"/>
          <w:tblLayout w:type="fixed"/>
          <w:tblLook w:val="04A0"/>
        </w:tblPrEx>
        <w:tc>
          <w:tcPr>
            <w:tcW w:w="1845" w:type="dxa"/>
            <w:tcBorders>
              <w:top w:val="single" w:sz="6" w:space="0" w:color="auto"/>
              <w:left w:val="single" w:sz="6" w:space="0" w:color="auto"/>
              <w:bottom w:val="single" w:sz="12" w:space="0" w:color="auto"/>
              <w:right w:val="single" w:sz="6" w:space="0" w:color="auto"/>
            </w:tcBorders>
          </w:tcPr>
          <w:p w:rsidR="005A798D" w:rsidP="00895CEF" w14:paraId="191D1CE4" w14:textId="77777777">
            <w:pPr>
              <w:spacing w:line="276" w:lineRule="auto"/>
            </w:pPr>
            <w:r w:rsidRPr="59F4798D">
              <w:t>Hispanic/Latina Women of Reproductive Age</w:t>
            </w:r>
          </w:p>
        </w:tc>
        <w:tc>
          <w:tcPr>
            <w:tcW w:w="1845" w:type="dxa"/>
            <w:tcBorders>
              <w:top w:val="single" w:sz="6" w:space="0" w:color="auto"/>
              <w:left w:val="single" w:sz="6" w:space="0" w:color="auto"/>
              <w:bottom w:val="single" w:sz="12" w:space="0" w:color="auto"/>
              <w:right w:val="single" w:sz="6" w:space="0" w:color="auto"/>
            </w:tcBorders>
          </w:tcPr>
          <w:p w:rsidR="005A798D" w:rsidP="00895CEF" w14:paraId="0CEA0AE8" w14:textId="77777777">
            <w:pPr>
              <w:spacing w:line="276" w:lineRule="auto"/>
            </w:pPr>
            <w:r w:rsidRPr="59F4798D">
              <w:t>Knowledge, Attitudes, and Practices (KAPs) of Hispanic/Latina Women of Reproductive Age: Focus Group Interview Guide</w:t>
            </w:r>
          </w:p>
        </w:tc>
        <w:tc>
          <w:tcPr>
            <w:tcW w:w="1620" w:type="dxa"/>
            <w:tcBorders>
              <w:top w:val="single" w:sz="6" w:space="0" w:color="auto"/>
              <w:left w:val="single" w:sz="6" w:space="0" w:color="auto"/>
              <w:bottom w:val="single" w:sz="12" w:space="0" w:color="auto"/>
              <w:right w:val="single" w:sz="6" w:space="0" w:color="auto"/>
            </w:tcBorders>
          </w:tcPr>
          <w:p w:rsidR="005A798D" w:rsidP="00895CEF" w14:paraId="09B122FA" w14:textId="38205307">
            <w:pPr>
              <w:spacing w:line="276" w:lineRule="auto"/>
            </w:pPr>
            <w:r>
              <w:t>81</w:t>
            </w:r>
          </w:p>
        </w:tc>
        <w:tc>
          <w:tcPr>
            <w:tcW w:w="1485" w:type="dxa"/>
            <w:tcBorders>
              <w:top w:val="single" w:sz="6" w:space="0" w:color="auto"/>
              <w:left w:val="single" w:sz="6" w:space="0" w:color="auto"/>
              <w:bottom w:val="single" w:sz="12" w:space="0" w:color="auto"/>
              <w:right w:val="single" w:sz="6" w:space="0" w:color="auto"/>
            </w:tcBorders>
          </w:tcPr>
          <w:p w:rsidR="005A798D" w:rsidP="00895CEF" w14:paraId="6B97893D" w14:textId="30AC1A68">
            <w:pPr>
              <w:spacing w:line="276" w:lineRule="auto"/>
              <w:rPr>
                <w:color w:val="000000" w:themeColor="text1"/>
              </w:rPr>
            </w:pPr>
            <w:r w:rsidRPr="6EA679FD">
              <w:rPr>
                <w:color w:val="000000" w:themeColor="text1"/>
              </w:rPr>
              <w:t>1</w:t>
            </w:r>
          </w:p>
        </w:tc>
        <w:tc>
          <w:tcPr>
            <w:tcW w:w="1260" w:type="dxa"/>
            <w:tcBorders>
              <w:top w:val="single" w:sz="6" w:space="0" w:color="auto"/>
              <w:left w:val="single" w:sz="6" w:space="0" w:color="auto"/>
              <w:bottom w:val="single" w:sz="12" w:space="0" w:color="auto"/>
              <w:right w:val="single" w:sz="6" w:space="0" w:color="auto"/>
            </w:tcBorders>
          </w:tcPr>
          <w:p w:rsidR="005A798D" w14:paraId="2F78E0BF" w14:textId="265E2D8A">
            <w:pPr>
              <w:spacing w:line="276" w:lineRule="auto"/>
              <w:rPr>
                <w:color w:val="000000" w:themeColor="text1"/>
              </w:rPr>
            </w:pPr>
            <w:r w:rsidRPr="08A9F35D">
              <w:rPr>
                <w:color w:val="000000" w:themeColor="text1"/>
              </w:rPr>
              <w:t>1.5</w:t>
            </w:r>
          </w:p>
        </w:tc>
        <w:tc>
          <w:tcPr>
            <w:tcW w:w="1125" w:type="dxa"/>
            <w:tcBorders>
              <w:top w:val="single" w:sz="6" w:space="0" w:color="auto"/>
              <w:left w:val="single" w:sz="6" w:space="0" w:color="auto"/>
              <w:bottom w:val="single" w:sz="12" w:space="0" w:color="auto"/>
              <w:right w:val="single" w:sz="6" w:space="0" w:color="auto"/>
            </w:tcBorders>
          </w:tcPr>
          <w:p w:rsidR="005A798D" w:rsidP="00895CEF" w14:paraId="4B52D554" w14:textId="205C402E">
            <w:pPr>
              <w:spacing w:line="276" w:lineRule="auto"/>
              <w:rPr>
                <w:color w:val="000000" w:themeColor="text1"/>
              </w:rPr>
            </w:pPr>
            <w:r w:rsidRPr="6EA679FD">
              <w:rPr>
                <w:color w:val="000000" w:themeColor="text1"/>
              </w:rPr>
              <w:t>121.5</w:t>
            </w:r>
          </w:p>
        </w:tc>
      </w:tr>
      <w:tr w14:paraId="4CB9A46A" w14:textId="77777777" w:rsidTr="08A9F35D">
        <w:tblPrEx>
          <w:tblW w:w="0" w:type="auto"/>
          <w:tblLayout w:type="fixed"/>
          <w:tblLook w:val="04A0"/>
        </w:tblPrEx>
        <w:tc>
          <w:tcPr>
            <w:tcW w:w="1845" w:type="dxa"/>
            <w:tcBorders>
              <w:top w:val="single" w:sz="12" w:space="0" w:color="auto"/>
              <w:left w:val="single" w:sz="6" w:space="0" w:color="auto"/>
              <w:bottom w:val="single" w:sz="6" w:space="0" w:color="auto"/>
              <w:right w:val="single" w:sz="6" w:space="0" w:color="auto"/>
            </w:tcBorders>
          </w:tcPr>
          <w:p w:rsidR="005A798D" w:rsidP="00895CEF" w14:paraId="72396B18" w14:textId="77777777">
            <w:pPr>
              <w:spacing w:line="276" w:lineRule="auto"/>
            </w:pPr>
            <w:r w:rsidRPr="59F4798D">
              <w:t>TOTAL</w:t>
            </w:r>
          </w:p>
        </w:tc>
        <w:tc>
          <w:tcPr>
            <w:tcW w:w="1845" w:type="dxa"/>
            <w:tcBorders>
              <w:top w:val="single" w:sz="12" w:space="0" w:color="auto"/>
              <w:left w:val="single" w:sz="6" w:space="0" w:color="auto"/>
              <w:bottom w:val="single" w:sz="6" w:space="0" w:color="auto"/>
              <w:right w:val="single" w:sz="6" w:space="0" w:color="auto"/>
            </w:tcBorders>
          </w:tcPr>
          <w:p w:rsidR="005A798D" w:rsidP="00895CEF" w14:paraId="1FCE7F31" w14:textId="77777777">
            <w:pPr>
              <w:spacing w:line="276" w:lineRule="auto"/>
            </w:pPr>
            <w:r w:rsidRPr="59F4798D">
              <w:t xml:space="preserve"> </w:t>
            </w:r>
          </w:p>
        </w:tc>
        <w:tc>
          <w:tcPr>
            <w:tcW w:w="1620" w:type="dxa"/>
            <w:tcBorders>
              <w:top w:val="single" w:sz="12" w:space="0" w:color="auto"/>
              <w:left w:val="single" w:sz="6" w:space="0" w:color="auto"/>
              <w:bottom w:val="single" w:sz="6" w:space="0" w:color="auto"/>
              <w:right w:val="single" w:sz="6" w:space="0" w:color="auto"/>
            </w:tcBorders>
          </w:tcPr>
          <w:p w:rsidR="005A798D" w:rsidP="00895CEF" w14:paraId="4FF23DDC" w14:textId="77777777">
            <w:pPr>
              <w:spacing w:line="276" w:lineRule="auto"/>
            </w:pPr>
            <w:r w:rsidRPr="59F4798D">
              <w:t xml:space="preserve"> </w:t>
            </w:r>
          </w:p>
        </w:tc>
        <w:tc>
          <w:tcPr>
            <w:tcW w:w="1485" w:type="dxa"/>
            <w:tcBorders>
              <w:top w:val="single" w:sz="12" w:space="0" w:color="auto"/>
              <w:left w:val="single" w:sz="6" w:space="0" w:color="auto"/>
              <w:bottom w:val="single" w:sz="6" w:space="0" w:color="auto"/>
              <w:right w:val="single" w:sz="6" w:space="0" w:color="auto"/>
            </w:tcBorders>
          </w:tcPr>
          <w:p w:rsidR="005A798D" w:rsidP="00895CEF" w14:paraId="1B3C1091" w14:textId="77777777">
            <w:pPr>
              <w:spacing w:line="276" w:lineRule="auto"/>
              <w:rPr>
                <w:color w:val="000000" w:themeColor="text1"/>
              </w:rPr>
            </w:pPr>
            <w:r w:rsidRPr="59F4798D">
              <w:rPr>
                <w:color w:val="000000" w:themeColor="text1"/>
              </w:rPr>
              <w:t xml:space="preserve"> </w:t>
            </w:r>
          </w:p>
        </w:tc>
        <w:tc>
          <w:tcPr>
            <w:tcW w:w="1260" w:type="dxa"/>
            <w:tcBorders>
              <w:top w:val="single" w:sz="12" w:space="0" w:color="auto"/>
              <w:left w:val="single" w:sz="6" w:space="0" w:color="auto"/>
              <w:bottom w:val="single" w:sz="6" w:space="0" w:color="auto"/>
              <w:right w:val="single" w:sz="6" w:space="0" w:color="auto"/>
            </w:tcBorders>
          </w:tcPr>
          <w:p w:rsidR="005A798D" w:rsidP="00895CEF" w14:paraId="6A5456E0" w14:textId="77777777">
            <w:pPr>
              <w:spacing w:line="276" w:lineRule="auto"/>
              <w:rPr>
                <w:color w:val="000000" w:themeColor="text1"/>
              </w:rPr>
            </w:pPr>
            <w:r w:rsidRPr="59F4798D">
              <w:rPr>
                <w:color w:val="000000" w:themeColor="text1"/>
              </w:rPr>
              <w:t xml:space="preserve"> </w:t>
            </w:r>
          </w:p>
        </w:tc>
        <w:tc>
          <w:tcPr>
            <w:tcW w:w="1125" w:type="dxa"/>
            <w:tcBorders>
              <w:top w:val="single" w:sz="12" w:space="0" w:color="auto"/>
              <w:left w:val="single" w:sz="6" w:space="0" w:color="auto"/>
              <w:bottom w:val="single" w:sz="6" w:space="0" w:color="auto"/>
              <w:right w:val="single" w:sz="6" w:space="0" w:color="auto"/>
            </w:tcBorders>
          </w:tcPr>
          <w:p w:rsidR="005A798D" w:rsidP="00895CEF" w14:paraId="4095C52A" w14:textId="33B24FE9">
            <w:pPr>
              <w:spacing w:line="276" w:lineRule="auto"/>
              <w:rPr>
                <w:color w:val="000000" w:themeColor="text1"/>
              </w:rPr>
            </w:pPr>
            <w:r w:rsidRPr="6EA679FD">
              <w:rPr>
                <w:color w:val="000000" w:themeColor="text1"/>
              </w:rPr>
              <w:t>121.5</w:t>
            </w:r>
          </w:p>
        </w:tc>
      </w:tr>
    </w:tbl>
    <w:p w:rsidR="005A798D" w:rsidP="005A798D" w14:paraId="08E54D47" w14:textId="77777777">
      <w:pPr>
        <w:pStyle w:val="ListBullet"/>
        <w:numPr>
          <w:ilvl w:val="0"/>
          <w:numId w:val="0"/>
        </w:numPr>
        <w:tabs>
          <w:tab w:val="num" w:pos="1440"/>
        </w:tabs>
        <w:rPr>
          <w:color w:val="000000" w:themeColor="text1"/>
          <w:sz w:val="24"/>
          <w:szCs w:val="24"/>
        </w:rPr>
      </w:pPr>
      <w:r w:rsidRPr="59F4798D">
        <w:rPr>
          <w:color w:val="000000" w:themeColor="text1"/>
          <w:sz w:val="24"/>
          <w:szCs w:val="24"/>
        </w:rPr>
        <w:t xml:space="preserve"> </w:t>
      </w:r>
    </w:p>
    <w:p w:rsidR="005A798D" w:rsidP="005A798D" w14:paraId="5FD25D4E" w14:textId="70B04E0D">
      <w:pPr>
        <w:tabs>
          <w:tab w:val="num" w:pos="1440"/>
        </w:tabs>
        <w:rPr>
          <w:color w:val="000000" w:themeColor="text1"/>
        </w:rPr>
      </w:pPr>
      <w:r w:rsidRPr="4313BCE6">
        <w:rPr>
          <w:color w:val="000000" w:themeColor="text1"/>
        </w:rPr>
        <w:t>The annualized cost burden is shown in Table A.12.B. The median hourly wage rate is based on the most recent (May 202</w:t>
      </w:r>
      <w:r w:rsidRPr="4313BCE6" w:rsidR="61F40C30">
        <w:rPr>
          <w:color w:val="000000" w:themeColor="text1"/>
        </w:rPr>
        <w:t>2</w:t>
      </w:r>
      <w:r w:rsidRPr="4313BCE6">
        <w:rPr>
          <w:color w:val="000000" w:themeColor="text1"/>
        </w:rPr>
        <w:t>) National Occupational Employment and Wage Estimates for all occupations, published on the Bureau of Labor Statistics website which is $2</w:t>
      </w:r>
      <w:r w:rsidRPr="4313BCE6" w:rsidR="7A8E269A">
        <w:rPr>
          <w:color w:val="000000" w:themeColor="text1"/>
        </w:rPr>
        <w:t>2.26</w:t>
      </w:r>
      <w:r w:rsidRPr="4313BCE6">
        <w:rPr>
          <w:color w:val="000000" w:themeColor="text1"/>
        </w:rPr>
        <w:t xml:space="preserve">. </w:t>
      </w:r>
    </w:p>
    <w:p w:rsidR="005A798D" w:rsidP="005A798D" w14:paraId="2452623D" w14:textId="77777777">
      <w:pPr>
        <w:tabs>
          <w:tab w:val="num" w:pos="1440"/>
        </w:tabs>
        <w:ind w:left="1440" w:hanging="360"/>
        <w:rPr>
          <w:color w:val="000000" w:themeColor="text1"/>
        </w:rPr>
      </w:pPr>
    </w:p>
    <w:p w:rsidR="005A798D" w:rsidP="005A798D" w14:paraId="078F7D07" w14:textId="77777777">
      <w:pPr>
        <w:pStyle w:val="ListBullet"/>
        <w:numPr>
          <w:ilvl w:val="0"/>
          <w:numId w:val="0"/>
        </w:numPr>
        <w:tabs>
          <w:tab w:val="num" w:pos="1440"/>
        </w:tabs>
        <w:rPr>
          <w:color w:val="000000" w:themeColor="text1"/>
          <w:sz w:val="24"/>
          <w:szCs w:val="24"/>
        </w:rPr>
      </w:pPr>
      <w:r w:rsidRPr="59F4798D">
        <w:rPr>
          <w:b/>
          <w:bCs/>
          <w:i/>
          <w:iCs/>
          <w:color w:val="000000" w:themeColor="text1"/>
          <w:sz w:val="24"/>
          <w:szCs w:val="24"/>
        </w:rPr>
        <w:t>A.12.B. Estimated Annualized Burden Costs</w:t>
      </w:r>
      <w:r w:rsidRPr="59F4798D">
        <w:rPr>
          <w:b/>
          <w:bCs/>
          <w:color w:val="000000" w:themeColor="text1"/>
          <w:sz w:val="24"/>
          <w:szCs w:val="24"/>
        </w:rPr>
        <w:t xml:space="preserve"> </w:t>
      </w:r>
    </w:p>
    <w:tbl>
      <w:tblPr>
        <w:tblW w:w="0" w:type="auto"/>
        <w:tblLayout w:type="fixed"/>
        <w:tblLook w:val="01E0"/>
      </w:tblPr>
      <w:tblGrid>
        <w:gridCol w:w="1845"/>
        <w:gridCol w:w="1410"/>
        <w:gridCol w:w="1305"/>
        <w:gridCol w:w="1215"/>
        <w:gridCol w:w="1095"/>
        <w:gridCol w:w="1080"/>
        <w:gridCol w:w="1350"/>
      </w:tblGrid>
      <w:tr w14:paraId="6CF63534" w14:textId="77777777" w:rsidTr="4E0C4D35">
        <w:tblPrEx>
          <w:tblW w:w="0" w:type="auto"/>
          <w:tblLayout w:type="fixed"/>
          <w:tblLook w:val="01E0"/>
        </w:tblPrEx>
        <w:tc>
          <w:tcPr>
            <w:tcW w:w="1845" w:type="dxa"/>
            <w:tcBorders>
              <w:top w:val="single" w:sz="6" w:space="0" w:color="auto"/>
              <w:left w:val="single" w:sz="6" w:space="0" w:color="auto"/>
              <w:bottom w:val="single" w:sz="6" w:space="0" w:color="auto"/>
              <w:right w:val="single" w:sz="6" w:space="0" w:color="auto"/>
            </w:tcBorders>
          </w:tcPr>
          <w:p w:rsidR="005A798D" w:rsidP="00895CEF" w14:paraId="26BC38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59F4798D">
              <w:rPr>
                <w:b/>
                <w:bCs/>
                <w:color w:val="000000" w:themeColor="text1"/>
              </w:rPr>
              <w:t>Type of Respondents</w:t>
            </w:r>
          </w:p>
        </w:tc>
        <w:tc>
          <w:tcPr>
            <w:tcW w:w="1410" w:type="dxa"/>
            <w:tcBorders>
              <w:top w:val="single" w:sz="6" w:space="0" w:color="auto"/>
              <w:left w:val="single" w:sz="6" w:space="0" w:color="auto"/>
              <w:bottom w:val="single" w:sz="6" w:space="0" w:color="auto"/>
              <w:right w:val="single" w:sz="6" w:space="0" w:color="auto"/>
            </w:tcBorders>
          </w:tcPr>
          <w:p w:rsidR="005A798D" w:rsidP="00895CEF" w14:paraId="1DC5FC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59F4798D">
              <w:rPr>
                <w:b/>
                <w:bCs/>
                <w:color w:val="000000" w:themeColor="text1"/>
              </w:rPr>
              <w:t>No. of Respondents</w:t>
            </w:r>
          </w:p>
        </w:tc>
        <w:tc>
          <w:tcPr>
            <w:tcW w:w="1305" w:type="dxa"/>
            <w:tcBorders>
              <w:top w:val="single" w:sz="6" w:space="0" w:color="auto"/>
              <w:left w:val="single" w:sz="6" w:space="0" w:color="auto"/>
              <w:bottom w:val="single" w:sz="6" w:space="0" w:color="auto"/>
              <w:right w:val="single" w:sz="6" w:space="0" w:color="auto"/>
            </w:tcBorders>
          </w:tcPr>
          <w:p w:rsidR="005A798D" w:rsidP="00895CEF" w14:paraId="4F6A6A9B" w14:textId="6766A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4E0C4D35">
              <w:rPr>
                <w:b/>
                <w:bCs/>
                <w:color w:val="000000" w:themeColor="text1"/>
              </w:rPr>
              <w:t>No. Re</w:t>
            </w:r>
            <w:r w:rsidRPr="4E0C4D35" w:rsidR="78A819D4">
              <w:rPr>
                <w:b/>
                <w:bCs/>
                <w:color w:val="000000" w:themeColor="text1"/>
              </w:rPr>
              <w:t>s</w:t>
            </w:r>
            <w:r w:rsidRPr="4E0C4D35">
              <w:rPr>
                <w:b/>
                <w:bCs/>
                <w:color w:val="000000" w:themeColor="text1"/>
              </w:rPr>
              <w:t>ponses per Respondent</w:t>
            </w:r>
          </w:p>
        </w:tc>
        <w:tc>
          <w:tcPr>
            <w:tcW w:w="1215" w:type="dxa"/>
            <w:tcBorders>
              <w:top w:val="single" w:sz="6" w:space="0" w:color="auto"/>
              <w:left w:val="single" w:sz="6" w:space="0" w:color="auto"/>
              <w:bottom w:val="single" w:sz="6" w:space="0" w:color="auto"/>
              <w:right w:val="single" w:sz="6" w:space="0" w:color="auto"/>
            </w:tcBorders>
          </w:tcPr>
          <w:p w:rsidR="005A798D" w:rsidP="00895CEF" w14:paraId="408889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59F4798D">
              <w:rPr>
                <w:b/>
                <w:bCs/>
                <w:color w:val="000000" w:themeColor="text1"/>
              </w:rPr>
              <w:t>Avg. Burden per Response (in hours)</w:t>
            </w:r>
          </w:p>
        </w:tc>
        <w:tc>
          <w:tcPr>
            <w:tcW w:w="1095" w:type="dxa"/>
            <w:tcBorders>
              <w:top w:val="single" w:sz="6" w:space="0" w:color="auto"/>
              <w:left w:val="single" w:sz="6" w:space="0" w:color="auto"/>
              <w:bottom w:val="single" w:sz="6" w:space="0" w:color="auto"/>
              <w:right w:val="single" w:sz="6" w:space="0" w:color="auto"/>
            </w:tcBorders>
          </w:tcPr>
          <w:p w:rsidR="005A798D" w:rsidP="00895CEF" w14:paraId="511D96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59F4798D">
              <w:rPr>
                <w:b/>
                <w:bCs/>
                <w:color w:val="000000" w:themeColor="text1"/>
              </w:rPr>
              <w:t>Total Burden Hours</w:t>
            </w:r>
          </w:p>
        </w:tc>
        <w:tc>
          <w:tcPr>
            <w:tcW w:w="1080" w:type="dxa"/>
            <w:tcBorders>
              <w:top w:val="single" w:sz="6" w:space="0" w:color="auto"/>
              <w:left w:val="single" w:sz="6" w:space="0" w:color="auto"/>
              <w:bottom w:val="single" w:sz="6" w:space="0" w:color="auto"/>
              <w:right w:val="single" w:sz="6" w:space="0" w:color="auto"/>
            </w:tcBorders>
          </w:tcPr>
          <w:p w:rsidR="005A798D" w:rsidP="00895CEF" w14:paraId="772AA8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59F4798D">
              <w:rPr>
                <w:b/>
                <w:bCs/>
                <w:color w:val="000000" w:themeColor="text1"/>
              </w:rPr>
              <w:t>Hourly Wage Rate</w:t>
            </w:r>
            <w:hyperlink r:id="rId14" w:anchor="_ftn1">
              <w:r w:rsidRPr="59F4798D">
                <w:rPr>
                  <w:rStyle w:val="Hyperlink"/>
                  <w:b/>
                  <w:bCs/>
                  <w:vertAlign w:val="superscript"/>
                </w:rPr>
                <w:t>[1]</w:t>
              </w:r>
            </w:hyperlink>
          </w:p>
        </w:tc>
        <w:tc>
          <w:tcPr>
            <w:tcW w:w="1350" w:type="dxa"/>
            <w:tcBorders>
              <w:top w:val="single" w:sz="6" w:space="0" w:color="auto"/>
              <w:left w:val="single" w:sz="6" w:space="0" w:color="auto"/>
              <w:bottom w:val="single" w:sz="6" w:space="0" w:color="auto"/>
              <w:right w:val="single" w:sz="6" w:space="0" w:color="auto"/>
            </w:tcBorders>
          </w:tcPr>
          <w:p w:rsidR="005A798D" w:rsidP="00895CEF" w14:paraId="3A9479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59F4798D">
              <w:rPr>
                <w:b/>
                <w:bCs/>
                <w:color w:val="000000" w:themeColor="text1"/>
              </w:rPr>
              <w:t>Total Respondent Costs</w:t>
            </w:r>
          </w:p>
        </w:tc>
      </w:tr>
      <w:tr w14:paraId="3067D587" w14:textId="77777777" w:rsidTr="4E0C4D35">
        <w:tblPrEx>
          <w:tblW w:w="0" w:type="auto"/>
          <w:tblLayout w:type="fixed"/>
          <w:tblLook w:val="01E0"/>
        </w:tblPrEx>
        <w:tc>
          <w:tcPr>
            <w:tcW w:w="1845" w:type="dxa"/>
            <w:tcBorders>
              <w:top w:val="single" w:sz="6" w:space="0" w:color="auto"/>
              <w:left w:val="single" w:sz="6" w:space="0" w:color="auto"/>
              <w:bottom w:val="single" w:sz="6" w:space="0" w:color="auto"/>
              <w:right w:val="single" w:sz="6" w:space="0" w:color="auto"/>
            </w:tcBorders>
          </w:tcPr>
          <w:p w:rsidR="005A798D" w:rsidP="00895CEF" w14:paraId="3C6401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59F4798D">
              <w:t>Hispanic/Latina Women of Reproductive Age</w:t>
            </w:r>
          </w:p>
        </w:tc>
        <w:tc>
          <w:tcPr>
            <w:tcW w:w="1410" w:type="dxa"/>
            <w:tcBorders>
              <w:top w:val="single" w:sz="6" w:space="0" w:color="auto"/>
              <w:left w:val="single" w:sz="6" w:space="0" w:color="auto"/>
              <w:bottom w:val="single" w:sz="6" w:space="0" w:color="auto"/>
              <w:right w:val="single" w:sz="6" w:space="0" w:color="auto"/>
            </w:tcBorders>
          </w:tcPr>
          <w:p w:rsidR="005A798D" w:rsidP="00895CEF" w14:paraId="639B78C6" w14:textId="202C4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81</w:t>
            </w:r>
          </w:p>
        </w:tc>
        <w:tc>
          <w:tcPr>
            <w:tcW w:w="1305" w:type="dxa"/>
            <w:tcBorders>
              <w:top w:val="single" w:sz="6" w:space="0" w:color="auto"/>
              <w:left w:val="single" w:sz="6" w:space="0" w:color="auto"/>
              <w:bottom w:val="single" w:sz="6" w:space="0" w:color="auto"/>
              <w:right w:val="single" w:sz="6" w:space="0" w:color="auto"/>
            </w:tcBorders>
          </w:tcPr>
          <w:p w:rsidR="005A798D" w:rsidP="00895CEF" w14:paraId="5E753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1</w:t>
            </w:r>
          </w:p>
        </w:tc>
        <w:tc>
          <w:tcPr>
            <w:tcW w:w="1215" w:type="dxa"/>
            <w:tcBorders>
              <w:top w:val="single" w:sz="6" w:space="0" w:color="auto"/>
              <w:left w:val="single" w:sz="6" w:space="0" w:color="auto"/>
              <w:bottom w:val="single" w:sz="6" w:space="0" w:color="auto"/>
              <w:right w:val="single" w:sz="6" w:space="0" w:color="auto"/>
            </w:tcBorders>
          </w:tcPr>
          <w:p w:rsidR="005A798D" w:rsidP="00895CEF" w14:paraId="50E0DF42" w14:textId="78B9B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w:t>
            </w:r>
            <w:r w:rsidR="32919EC0">
              <w:t>.5</w:t>
            </w:r>
          </w:p>
        </w:tc>
        <w:tc>
          <w:tcPr>
            <w:tcW w:w="1095" w:type="dxa"/>
            <w:tcBorders>
              <w:top w:val="single" w:sz="6" w:space="0" w:color="auto"/>
              <w:left w:val="single" w:sz="6" w:space="0" w:color="auto"/>
              <w:bottom w:val="single" w:sz="6" w:space="0" w:color="auto"/>
              <w:right w:val="single" w:sz="6" w:space="0" w:color="auto"/>
            </w:tcBorders>
          </w:tcPr>
          <w:p w:rsidR="005A798D" w:rsidP="00895CEF" w14:paraId="5DE1D7AB" w14:textId="43E0C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121.5</w:t>
            </w:r>
          </w:p>
        </w:tc>
        <w:tc>
          <w:tcPr>
            <w:tcW w:w="1080" w:type="dxa"/>
            <w:tcBorders>
              <w:top w:val="single" w:sz="6" w:space="0" w:color="auto"/>
              <w:left w:val="single" w:sz="6" w:space="0" w:color="auto"/>
              <w:bottom w:val="single" w:sz="6" w:space="0" w:color="auto"/>
              <w:right w:val="single" w:sz="6" w:space="0" w:color="auto"/>
            </w:tcBorders>
          </w:tcPr>
          <w:p w:rsidR="005A798D" w:rsidP="00895CEF" w14:paraId="3C1B9C27" w14:textId="485DF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w:t>
            </w:r>
            <w:r w:rsidR="57CF1082">
              <w:t>2.26</w:t>
            </w:r>
          </w:p>
        </w:tc>
        <w:tc>
          <w:tcPr>
            <w:tcW w:w="1350" w:type="dxa"/>
            <w:tcBorders>
              <w:top w:val="single" w:sz="6" w:space="0" w:color="auto"/>
              <w:left w:val="single" w:sz="6" w:space="0" w:color="auto"/>
              <w:bottom w:val="single" w:sz="6" w:space="0" w:color="auto"/>
              <w:right w:val="single" w:sz="6" w:space="0" w:color="auto"/>
            </w:tcBorders>
          </w:tcPr>
          <w:p w:rsidR="005A798D" w:rsidP="00895CEF" w14:paraId="0A4266A1" w14:textId="6802E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w:t>
            </w:r>
            <w:r w:rsidR="7EB837E0">
              <w:t>704.59</w:t>
            </w:r>
          </w:p>
        </w:tc>
      </w:tr>
      <w:tr w14:paraId="3EEBF510" w14:textId="77777777" w:rsidTr="4E0C4D35">
        <w:tblPrEx>
          <w:tblW w:w="0" w:type="auto"/>
          <w:tblLayout w:type="fixed"/>
          <w:tblLook w:val="01E0"/>
        </w:tblPrEx>
        <w:trPr>
          <w:trHeight w:val="360"/>
        </w:trPr>
        <w:tc>
          <w:tcPr>
            <w:tcW w:w="1845" w:type="dxa"/>
            <w:tcBorders>
              <w:top w:val="single" w:sz="6" w:space="0" w:color="auto"/>
              <w:left w:val="single" w:sz="6" w:space="0" w:color="auto"/>
              <w:bottom w:val="single" w:sz="6" w:space="0" w:color="auto"/>
              <w:right w:val="single" w:sz="6" w:space="0" w:color="auto"/>
            </w:tcBorders>
          </w:tcPr>
          <w:p w:rsidR="005A798D" w:rsidP="00895CEF" w14:paraId="1A7767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59F4798D">
              <w:t>TOTAL</w:t>
            </w:r>
          </w:p>
        </w:tc>
        <w:tc>
          <w:tcPr>
            <w:tcW w:w="1410" w:type="dxa"/>
            <w:tcBorders>
              <w:top w:val="single" w:sz="6" w:space="0" w:color="auto"/>
              <w:left w:val="single" w:sz="6" w:space="0" w:color="auto"/>
              <w:bottom w:val="single" w:sz="6" w:space="0" w:color="auto"/>
              <w:right w:val="single" w:sz="6" w:space="0" w:color="auto"/>
            </w:tcBorders>
          </w:tcPr>
          <w:p w:rsidR="005A798D" w:rsidP="00895CEF" w14:paraId="71D8A8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 xml:space="preserve"> </w:t>
            </w:r>
          </w:p>
        </w:tc>
        <w:tc>
          <w:tcPr>
            <w:tcW w:w="1305" w:type="dxa"/>
            <w:tcBorders>
              <w:top w:val="single" w:sz="6" w:space="0" w:color="auto"/>
              <w:left w:val="single" w:sz="6" w:space="0" w:color="auto"/>
              <w:bottom w:val="single" w:sz="6" w:space="0" w:color="auto"/>
              <w:right w:val="single" w:sz="6" w:space="0" w:color="auto"/>
            </w:tcBorders>
          </w:tcPr>
          <w:p w:rsidR="005A798D" w:rsidP="00895CEF" w14:paraId="1FD69B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 xml:space="preserve"> </w:t>
            </w:r>
          </w:p>
        </w:tc>
        <w:tc>
          <w:tcPr>
            <w:tcW w:w="1215" w:type="dxa"/>
            <w:tcBorders>
              <w:top w:val="single" w:sz="6" w:space="0" w:color="auto"/>
              <w:left w:val="single" w:sz="6" w:space="0" w:color="auto"/>
              <w:bottom w:val="single" w:sz="6" w:space="0" w:color="auto"/>
              <w:right w:val="single" w:sz="6" w:space="0" w:color="auto"/>
            </w:tcBorders>
          </w:tcPr>
          <w:p w:rsidR="005A798D" w:rsidP="00895CEF" w14:paraId="07228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 xml:space="preserve"> </w:t>
            </w:r>
          </w:p>
        </w:tc>
        <w:tc>
          <w:tcPr>
            <w:tcW w:w="1095" w:type="dxa"/>
            <w:tcBorders>
              <w:top w:val="single" w:sz="6" w:space="0" w:color="auto"/>
              <w:left w:val="single" w:sz="6" w:space="0" w:color="auto"/>
              <w:bottom w:val="single" w:sz="6" w:space="0" w:color="auto"/>
              <w:right w:val="single" w:sz="6" w:space="0" w:color="auto"/>
            </w:tcBorders>
          </w:tcPr>
          <w:p w:rsidR="005A798D" w:rsidP="00895CEF" w14:paraId="5211E7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 xml:space="preserve"> </w:t>
            </w:r>
          </w:p>
        </w:tc>
        <w:tc>
          <w:tcPr>
            <w:tcW w:w="1080" w:type="dxa"/>
            <w:tcBorders>
              <w:top w:val="single" w:sz="6" w:space="0" w:color="auto"/>
              <w:left w:val="single" w:sz="6" w:space="0" w:color="auto"/>
              <w:bottom w:val="single" w:sz="6" w:space="0" w:color="auto"/>
              <w:right w:val="single" w:sz="6" w:space="0" w:color="auto"/>
            </w:tcBorders>
          </w:tcPr>
          <w:p w:rsidR="005A798D" w:rsidP="00895CEF" w14:paraId="13FC03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59F4798D">
              <w:t xml:space="preserve"> </w:t>
            </w:r>
          </w:p>
        </w:tc>
        <w:tc>
          <w:tcPr>
            <w:tcW w:w="1350" w:type="dxa"/>
            <w:tcBorders>
              <w:top w:val="single" w:sz="6" w:space="0" w:color="auto"/>
              <w:left w:val="single" w:sz="6" w:space="0" w:color="auto"/>
              <w:bottom w:val="single" w:sz="6" w:space="0" w:color="auto"/>
              <w:right w:val="single" w:sz="6" w:space="0" w:color="auto"/>
            </w:tcBorders>
          </w:tcPr>
          <w:p w:rsidR="005A798D" w:rsidP="00895CEF" w14:paraId="461F6ED6" w14:textId="21B09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w:t>
            </w:r>
            <w:r w:rsidR="76BF8BFB">
              <w:t>704.59</w:t>
            </w:r>
          </w:p>
        </w:tc>
      </w:tr>
    </w:tbl>
    <w:p w:rsidR="005A798D" w:rsidP="005A798D" w14:paraId="7D25412C" w14:textId="77777777">
      <w:pPr>
        <w:rPr>
          <w:color w:val="000000" w:themeColor="text1"/>
        </w:rPr>
      </w:pPr>
    </w:p>
    <w:p w:rsidR="005A798D" w:rsidP="005A798D" w14:paraId="194237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hyperlink r:id="rId14" w:anchor="_ftnref1">
        <w:r w:rsidRPr="59F4798D">
          <w:rPr>
            <w:rStyle w:val="Hyperlink"/>
            <w:vertAlign w:val="superscript"/>
          </w:rPr>
          <w:t>[1]</w:t>
        </w:r>
      </w:hyperlink>
      <w:r w:rsidRPr="59F4798D">
        <w:rPr>
          <w:color w:val="000000" w:themeColor="text1"/>
        </w:rPr>
        <w:t xml:space="preserve"> Annualized burden costs are estimated using the Bureau of Labor Statistics, National Compensation Survey, available at </w:t>
      </w:r>
      <w:hyperlink r:id="rId17">
        <w:r w:rsidRPr="59F4798D">
          <w:rPr>
            <w:rStyle w:val="Hyperlink"/>
          </w:rPr>
          <w:t>http://www.bls.gov/oes/current/oes_nat.htm</w:t>
        </w:r>
      </w:hyperlink>
      <w:r w:rsidRPr="59F4798D">
        <w:rPr>
          <w:color w:val="000000" w:themeColor="text1"/>
        </w:rPr>
        <w:t>.</w:t>
      </w:r>
    </w:p>
    <w:p w:rsidR="005A798D" w:rsidP="005A798D" w14:paraId="1C55804F" w14:textId="77777777">
      <w:pPr>
        <w:pStyle w:val="ListBullet"/>
        <w:numPr>
          <w:ilvl w:val="0"/>
          <w:numId w:val="0"/>
        </w:numPr>
        <w:rPr>
          <w:sz w:val="24"/>
          <w:szCs w:val="24"/>
        </w:rPr>
      </w:pPr>
    </w:p>
    <w:p w:rsidR="005A798D" w:rsidRPr="00514FCA" w:rsidP="005A798D" w14:paraId="17280828" w14:textId="77777777"/>
    <w:p w:rsidR="005A798D" w:rsidRPr="005C7272" w:rsidP="005A798D" w14:paraId="75CD9582" w14:textId="77777777">
      <w:pPr>
        <w:pStyle w:val="Style1"/>
        <w:rPr>
          <w:sz w:val="24"/>
          <w:szCs w:val="24"/>
        </w:rPr>
      </w:pPr>
      <w:bookmarkStart w:id="22" w:name="_Toc141811879"/>
      <w:r w:rsidRPr="59F4798D">
        <w:rPr>
          <w:sz w:val="24"/>
          <w:szCs w:val="24"/>
        </w:rPr>
        <w:t>Section A.13. Estimates of Other Total Annual Cost Burden to Respondents or Record Keepers</w:t>
      </w:r>
      <w:bookmarkEnd w:id="22"/>
    </w:p>
    <w:p w:rsidR="005A798D" w:rsidRPr="00514FCA" w:rsidP="005A798D" w14:paraId="6AED9828" w14:textId="77777777"/>
    <w:p w:rsidR="005A798D" w:rsidRPr="00514FCA" w:rsidP="005A798D" w14:paraId="37F32128" w14:textId="77777777">
      <w:pPr>
        <w:rPr>
          <w:color w:val="000000" w:themeColor="text1"/>
        </w:rPr>
      </w:pPr>
      <w:r w:rsidRPr="59F4798D">
        <w:rPr>
          <w:color w:val="000000" w:themeColor="text1"/>
        </w:rPr>
        <w:t>There are no costs to respondents associated with either capital and startup efforts or operation and maintenance of services for this project.</w:t>
      </w:r>
    </w:p>
    <w:p w:rsidR="005A798D" w:rsidRPr="005C7272" w:rsidP="005A798D" w14:paraId="054BC14B" w14:textId="77777777">
      <w:pPr>
        <w:pStyle w:val="Style1"/>
        <w:rPr>
          <w:sz w:val="24"/>
          <w:szCs w:val="24"/>
        </w:rPr>
      </w:pPr>
      <w:bookmarkStart w:id="23" w:name="_Toc141811880"/>
      <w:r w:rsidRPr="59F4798D">
        <w:rPr>
          <w:sz w:val="24"/>
          <w:szCs w:val="24"/>
        </w:rPr>
        <w:t>Section A.14. Annualized Cost to the Government</w:t>
      </w:r>
      <w:bookmarkEnd w:id="23"/>
    </w:p>
    <w:p w:rsidR="005A798D" w:rsidRPr="00514FCA" w:rsidP="005A798D" w14:paraId="464311D8" w14:textId="77777777"/>
    <w:p w:rsidR="005A798D" w:rsidP="005A798D" w14:paraId="16105CC5" w14:textId="6599D649">
      <w:r w:rsidRPr="59F4798D">
        <w:t>The average annualized cost to the Government to collect this information is $</w:t>
      </w:r>
      <w:r w:rsidR="00C65CEE">
        <w:rPr>
          <w:color w:val="000000" w:themeColor="text1"/>
        </w:rPr>
        <w:t>346,502</w:t>
      </w:r>
      <w:r w:rsidRPr="59F4798D">
        <w:t xml:space="preserve"> for this 3</w:t>
      </w:r>
      <w:r>
        <w:t>-</w:t>
      </w:r>
      <w:r w:rsidRPr="59F4798D">
        <w:t xml:space="preserve"> year OMB approval period that is requested.   </w:t>
      </w:r>
    </w:p>
    <w:p w:rsidR="005A798D" w:rsidP="005A798D" w14:paraId="0CC3A81E" w14:textId="77777777">
      <w:pPr>
        <w:rPr>
          <w:b/>
          <w:bCs/>
        </w:rPr>
      </w:pPr>
    </w:p>
    <w:tbl>
      <w:tblPr>
        <w:tblW w:w="9330" w:type="dxa"/>
        <w:tblInd w:w="135" w:type="dxa"/>
        <w:tblLayout w:type="fixed"/>
        <w:tblLook w:val="04A0"/>
      </w:tblPr>
      <w:tblGrid>
        <w:gridCol w:w="2520"/>
        <w:gridCol w:w="3600"/>
        <w:gridCol w:w="825"/>
        <w:gridCol w:w="2385"/>
      </w:tblGrid>
      <w:tr w14:paraId="19519C09" w14:textId="77777777" w:rsidTr="6EA679FD">
        <w:tblPrEx>
          <w:tblW w:w="9330" w:type="dxa"/>
          <w:tblInd w:w="135" w:type="dxa"/>
          <w:tblLayout w:type="fixed"/>
          <w:tblLook w:val="04A0"/>
        </w:tblPrEx>
        <w:tc>
          <w:tcPr>
            <w:tcW w:w="2520" w:type="dxa"/>
            <w:tcBorders>
              <w:top w:val="double" w:sz="6" w:space="0" w:color="auto"/>
              <w:left w:val="double" w:sz="6" w:space="0" w:color="auto"/>
              <w:bottom w:val="single" w:sz="6" w:space="0" w:color="auto"/>
              <w:right w:val="single" w:sz="6" w:space="0" w:color="auto"/>
            </w:tcBorders>
          </w:tcPr>
          <w:p w:rsidR="005A798D" w:rsidP="00895CEF" w14:paraId="4915435E" w14:textId="77777777">
            <w:pPr>
              <w:rPr>
                <w:color w:val="000000" w:themeColor="text1"/>
              </w:rPr>
            </w:pPr>
          </w:p>
        </w:tc>
        <w:tc>
          <w:tcPr>
            <w:tcW w:w="3600" w:type="dxa"/>
            <w:tcBorders>
              <w:top w:val="double" w:sz="6" w:space="0" w:color="auto"/>
              <w:left w:val="single" w:sz="6" w:space="0" w:color="auto"/>
              <w:bottom w:val="single" w:sz="6" w:space="0" w:color="auto"/>
              <w:right w:val="single" w:sz="6" w:space="0" w:color="auto"/>
            </w:tcBorders>
          </w:tcPr>
          <w:p w:rsidR="005A798D" w:rsidP="00895CEF" w14:paraId="4FC63707" w14:textId="77777777">
            <w:pPr>
              <w:rPr>
                <w:color w:val="000000" w:themeColor="text1"/>
              </w:rPr>
            </w:pPr>
            <w:r w:rsidRPr="59F4798D">
              <w:rPr>
                <w:color w:val="000000" w:themeColor="text1"/>
              </w:rPr>
              <w:t xml:space="preserve"> </w:t>
            </w:r>
          </w:p>
          <w:p w:rsidR="005A798D" w:rsidP="00895CEF" w14:paraId="0239E522" w14:textId="77777777">
            <w:pPr>
              <w:rPr>
                <w:color w:val="000000" w:themeColor="text1"/>
              </w:rPr>
            </w:pPr>
            <w:r w:rsidRPr="59F4798D">
              <w:rPr>
                <w:color w:val="000000" w:themeColor="text1"/>
              </w:rPr>
              <w:t xml:space="preserve"> </w:t>
            </w:r>
          </w:p>
          <w:p w:rsidR="005A798D" w:rsidP="00895CEF" w14:paraId="0217F7D0" w14:textId="77777777">
            <w:pPr>
              <w:rPr>
                <w:color w:val="000000" w:themeColor="text1"/>
              </w:rPr>
            </w:pPr>
            <w:r w:rsidRPr="59F4798D">
              <w:rPr>
                <w:b/>
                <w:bCs/>
                <w:color w:val="000000" w:themeColor="text1"/>
              </w:rPr>
              <w:t>CDC and Contract Personnel*</w:t>
            </w:r>
          </w:p>
        </w:tc>
        <w:tc>
          <w:tcPr>
            <w:tcW w:w="825" w:type="dxa"/>
            <w:tcBorders>
              <w:top w:val="double" w:sz="6" w:space="0" w:color="auto"/>
              <w:left w:val="single" w:sz="6" w:space="0" w:color="auto"/>
              <w:bottom w:val="single" w:sz="6" w:space="0" w:color="auto"/>
              <w:right w:val="single" w:sz="6" w:space="0" w:color="auto"/>
            </w:tcBorders>
          </w:tcPr>
          <w:p w:rsidR="005A798D" w:rsidP="00895CEF" w14:paraId="6C8A8B5A" w14:textId="77777777">
            <w:pPr>
              <w:rPr>
                <w:color w:val="000000" w:themeColor="text1"/>
              </w:rPr>
            </w:pPr>
            <w:r w:rsidRPr="59F4798D">
              <w:rPr>
                <w:color w:val="000000" w:themeColor="text1"/>
              </w:rPr>
              <w:t xml:space="preserve"> </w:t>
            </w:r>
          </w:p>
          <w:p w:rsidR="005A798D" w:rsidP="00895CEF" w14:paraId="1A10F3A7" w14:textId="77777777">
            <w:pPr>
              <w:rPr>
                <w:color w:val="000000" w:themeColor="text1"/>
              </w:rPr>
            </w:pPr>
            <w:r w:rsidRPr="59F4798D">
              <w:rPr>
                <w:color w:val="000000" w:themeColor="text1"/>
              </w:rPr>
              <w:t xml:space="preserve"> </w:t>
            </w:r>
          </w:p>
          <w:p w:rsidR="005A798D" w:rsidP="00895CEF" w14:paraId="17601886" w14:textId="77777777">
            <w:pPr>
              <w:rPr>
                <w:color w:val="000000" w:themeColor="text1"/>
              </w:rPr>
            </w:pPr>
            <w:r w:rsidRPr="59F4798D">
              <w:rPr>
                <w:b/>
                <w:bCs/>
                <w:color w:val="000000" w:themeColor="text1"/>
              </w:rPr>
              <w:t>FTEs</w:t>
            </w:r>
          </w:p>
        </w:tc>
        <w:tc>
          <w:tcPr>
            <w:tcW w:w="2385" w:type="dxa"/>
            <w:tcBorders>
              <w:top w:val="double" w:sz="6" w:space="0" w:color="auto"/>
              <w:left w:val="single" w:sz="6" w:space="0" w:color="auto"/>
              <w:bottom w:val="single" w:sz="6" w:space="0" w:color="auto"/>
              <w:right w:val="double" w:sz="6" w:space="0" w:color="auto"/>
            </w:tcBorders>
          </w:tcPr>
          <w:p w:rsidR="005A798D" w:rsidP="00895CEF" w14:paraId="5C9991C3" w14:textId="77777777">
            <w:pPr>
              <w:rPr>
                <w:color w:val="000000" w:themeColor="text1"/>
              </w:rPr>
            </w:pPr>
            <w:r w:rsidRPr="59F4798D">
              <w:rPr>
                <w:color w:val="000000" w:themeColor="text1"/>
              </w:rPr>
              <w:t xml:space="preserve"> </w:t>
            </w:r>
          </w:p>
          <w:p w:rsidR="005A798D" w:rsidP="00895CEF" w14:paraId="0A79D1D1" w14:textId="77777777">
            <w:pPr>
              <w:jc w:val="both"/>
              <w:rPr>
                <w:color w:val="000000" w:themeColor="text1"/>
              </w:rPr>
            </w:pPr>
            <w:r w:rsidRPr="59F4798D">
              <w:rPr>
                <w:color w:val="000000" w:themeColor="text1"/>
              </w:rPr>
              <w:t xml:space="preserve"> </w:t>
            </w:r>
          </w:p>
          <w:p w:rsidR="005A798D" w:rsidP="00895CEF" w14:paraId="7E72E895" w14:textId="77777777">
            <w:pPr>
              <w:jc w:val="both"/>
              <w:rPr>
                <w:color w:val="000000" w:themeColor="text1"/>
              </w:rPr>
            </w:pPr>
            <w:r w:rsidRPr="59F4798D">
              <w:rPr>
                <w:b/>
                <w:bCs/>
                <w:color w:val="000000" w:themeColor="text1"/>
              </w:rPr>
              <w:t>Costs* (dollars)</w:t>
            </w:r>
          </w:p>
        </w:tc>
      </w:tr>
      <w:tr w14:paraId="5512BB38" w14:textId="77777777" w:rsidTr="6EA679FD">
        <w:tblPrEx>
          <w:tblW w:w="9330" w:type="dxa"/>
          <w:tblInd w:w="135" w:type="dxa"/>
          <w:tblLayout w:type="fixed"/>
          <w:tblLook w:val="04A0"/>
        </w:tblPrEx>
        <w:trPr>
          <w:trHeight w:val="300"/>
        </w:trPr>
        <w:tc>
          <w:tcPr>
            <w:tcW w:w="2520" w:type="dxa"/>
            <w:tcBorders>
              <w:top w:val="single" w:sz="6" w:space="0" w:color="auto"/>
              <w:left w:val="double" w:sz="6" w:space="0" w:color="auto"/>
              <w:bottom w:val="nil"/>
              <w:right w:val="single" w:sz="6" w:space="0" w:color="auto"/>
            </w:tcBorders>
          </w:tcPr>
          <w:p w:rsidR="005A798D" w:rsidP="00895CEF" w14:paraId="6ADBBB24" w14:textId="77777777">
            <w:pPr>
              <w:rPr>
                <w:color w:val="000000" w:themeColor="text1"/>
              </w:rPr>
            </w:pPr>
            <w:r w:rsidRPr="59F4798D">
              <w:rPr>
                <w:b/>
                <w:bCs/>
                <w:color w:val="000000" w:themeColor="text1"/>
              </w:rPr>
              <w:t>Federal Government Personnel Costs</w:t>
            </w:r>
          </w:p>
        </w:tc>
        <w:tc>
          <w:tcPr>
            <w:tcW w:w="3600" w:type="dxa"/>
            <w:tcBorders>
              <w:top w:val="single" w:sz="6" w:space="0" w:color="auto"/>
              <w:left w:val="single" w:sz="6" w:space="0" w:color="auto"/>
              <w:bottom w:val="single" w:sz="6" w:space="0" w:color="auto"/>
              <w:right w:val="single" w:sz="6" w:space="0" w:color="auto"/>
            </w:tcBorders>
          </w:tcPr>
          <w:p w:rsidR="005A798D" w:rsidP="00895CEF" w14:paraId="0AA744EC" w14:textId="77777777">
            <w:pPr>
              <w:rPr>
                <w:color w:val="000000" w:themeColor="text1"/>
              </w:rPr>
            </w:pPr>
            <w:r>
              <w:rPr>
                <w:color w:val="000000" w:themeColor="text1"/>
              </w:rPr>
              <w:t>CDC Project Officer/Project Lead</w:t>
            </w:r>
          </w:p>
        </w:tc>
        <w:tc>
          <w:tcPr>
            <w:tcW w:w="825" w:type="dxa"/>
            <w:tcBorders>
              <w:top w:val="single" w:sz="6" w:space="0" w:color="auto"/>
              <w:left w:val="single" w:sz="6" w:space="0" w:color="auto"/>
              <w:bottom w:val="single" w:sz="6" w:space="0" w:color="auto"/>
              <w:right w:val="single" w:sz="6" w:space="0" w:color="auto"/>
            </w:tcBorders>
          </w:tcPr>
          <w:p w:rsidR="005A798D" w:rsidP="00895CEF" w14:paraId="4E0BDA7D" w14:textId="77777777">
            <w:pPr>
              <w:jc w:val="right"/>
              <w:rPr>
                <w:color w:val="000000" w:themeColor="text1"/>
              </w:rPr>
            </w:pPr>
            <w:r w:rsidRPr="59F4798D">
              <w:rPr>
                <w:color w:val="000000" w:themeColor="text1"/>
              </w:rPr>
              <w:t>.1</w:t>
            </w:r>
          </w:p>
        </w:tc>
        <w:tc>
          <w:tcPr>
            <w:tcW w:w="2385" w:type="dxa"/>
            <w:tcBorders>
              <w:top w:val="single" w:sz="6" w:space="0" w:color="auto"/>
              <w:left w:val="single" w:sz="6" w:space="0" w:color="auto"/>
              <w:bottom w:val="single" w:sz="6" w:space="0" w:color="auto"/>
              <w:right w:val="double" w:sz="6" w:space="0" w:color="auto"/>
            </w:tcBorders>
          </w:tcPr>
          <w:p w:rsidR="005A798D" w:rsidP="4313BCE6" w14:paraId="37C9D590" w14:textId="7AAC708C">
            <w:pPr>
              <w:jc w:val="right"/>
              <w:rPr>
                <w:color w:val="000000" w:themeColor="text1"/>
              </w:rPr>
            </w:pPr>
            <w:r w:rsidRPr="4313BCE6">
              <w:rPr>
                <w:color w:val="000000" w:themeColor="text1"/>
              </w:rPr>
              <w:t>10,747</w:t>
            </w:r>
          </w:p>
        </w:tc>
      </w:tr>
      <w:tr w14:paraId="6926DAFF" w14:textId="77777777" w:rsidTr="6EA679FD">
        <w:tblPrEx>
          <w:tblW w:w="9330" w:type="dxa"/>
          <w:tblInd w:w="135" w:type="dxa"/>
          <w:tblLayout w:type="fixed"/>
          <w:tblLook w:val="04A0"/>
        </w:tblPrEx>
        <w:trPr>
          <w:trHeight w:val="300"/>
        </w:trPr>
        <w:tc>
          <w:tcPr>
            <w:tcW w:w="2520" w:type="dxa"/>
            <w:tcBorders>
              <w:top w:val="single" w:sz="6" w:space="0" w:color="auto"/>
              <w:left w:val="double" w:sz="6" w:space="0" w:color="auto"/>
              <w:bottom w:val="nil"/>
              <w:right w:val="single" w:sz="6" w:space="0" w:color="auto"/>
            </w:tcBorders>
          </w:tcPr>
          <w:p w:rsidR="005A798D" w:rsidRPr="59F4798D" w:rsidP="00895CEF" w14:paraId="4AA53F3D" w14:textId="77777777">
            <w:pPr>
              <w:rPr>
                <w:b/>
                <w:bCs/>
                <w:color w:val="000000" w:themeColor="text1"/>
              </w:rPr>
            </w:pPr>
          </w:p>
        </w:tc>
        <w:tc>
          <w:tcPr>
            <w:tcW w:w="3600" w:type="dxa"/>
            <w:tcBorders>
              <w:top w:val="single" w:sz="6" w:space="0" w:color="auto"/>
              <w:left w:val="single" w:sz="6" w:space="0" w:color="auto"/>
              <w:bottom w:val="single" w:sz="6" w:space="0" w:color="auto"/>
              <w:right w:val="single" w:sz="6" w:space="0" w:color="auto"/>
            </w:tcBorders>
          </w:tcPr>
          <w:p w:rsidR="005A798D" w:rsidP="00895CEF" w14:paraId="4077F694" w14:textId="77777777">
            <w:pPr>
              <w:rPr>
                <w:color w:val="000000" w:themeColor="text1"/>
              </w:rPr>
            </w:pPr>
            <w:r>
              <w:rPr>
                <w:color w:val="000000" w:themeColor="text1"/>
              </w:rPr>
              <w:t>CDC Contracting Officer Representative</w:t>
            </w:r>
          </w:p>
        </w:tc>
        <w:tc>
          <w:tcPr>
            <w:tcW w:w="825" w:type="dxa"/>
            <w:tcBorders>
              <w:top w:val="single" w:sz="6" w:space="0" w:color="auto"/>
              <w:left w:val="single" w:sz="6" w:space="0" w:color="auto"/>
              <w:bottom w:val="single" w:sz="6" w:space="0" w:color="auto"/>
              <w:right w:val="single" w:sz="6" w:space="0" w:color="auto"/>
            </w:tcBorders>
          </w:tcPr>
          <w:p w:rsidR="005A798D" w:rsidRPr="59F4798D" w:rsidP="00895CEF" w14:paraId="553B696D" w14:textId="77777777">
            <w:pPr>
              <w:jc w:val="right"/>
              <w:rPr>
                <w:color w:val="000000" w:themeColor="text1"/>
              </w:rPr>
            </w:pPr>
            <w:r>
              <w:rPr>
                <w:color w:val="000000" w:themeColor="text1"/>
              </w:rPr>
              <w:t>.1</w:t>
            </w:r>
          </w:p>
        </w:tc>
        <w:tc>
          <w:tcPr>
            <w:tcW w:w="2385" w:type="dxa"/>
            <w:tcBorders>
              <w:top w:val="single" w:sz="6" w:space="0" w:color="auto"/>
              <w:left w:val="single" w:sz="6" w:space="0" w:color="auto"/>
              <w:bottom w:val="single" w:sz="6" w:space="0" w:color="auto"/>
              <w:right w:val="double" w:sz="6" w:space="0" w:color="auto"/>
            </w:tcBorders>
          </w:tcPr>
          <w:p w:rsidR="005A798D" w:rsidP="00895CEF" w14:paraId="63485662" w14:textId="51A46CDF">
            <w:pPr>
              <w:jc w:val="right"/>
              <w:rPr>
                <w:color w:val="000000" w:themeColor="text1"/>
              </w:rPr>
            </w:pPr>
            <w:r w:rsidRPr="4313BCE6">
              <w:rPr>
                <w:color w:val="000000" w:themeColor="text1"/>
              </w:rPr>
              <w:t>9,038</w:t>
            </w:r>
          </w:p>
        </w:tc>
      </w:tr>
      <w:tr w14:paraId="40CCAB12" w14:textId="77777777" w:rsidTr="6EA679FD">
        <w:tblPrEx>
          <w:tblW w:w="9330" w:type="dxa"/>
          <w:tblInd w:w="135" w:type="dxa"/>
          <w:tblLayout w:type="fixed"/>
          <w:tblLook w:val="04A0"/>
        </w:tblPrEx>
        <w:trPr>
          <w:trHeight w:val="300"/>
        </w:trPr>
        <w:tc>
          <w:tcPr>
            <w:tcW w:w="2520" w:type="dxa"/>
            <w:tcBorders>
              <w:top w:val="single" w:sz="6" w:space="0" w:color="auto"/>
              <w:left w:val="double" w:sz="6" w:space="0" w:color="auto"/>
              <w:bottom w:val="nil"/>
              <w:right w:val="single" w:sz="6" w:space="0" w:color="auto"/>
            </w:tcBorders>
          </w:tcPr>
          <w:p w:rsidR="005A798D" w:rsidRPr="59F4798D" w:rsidP="00895CEF" w14:paraId="12AC49F9" w14:textId="77777777">
            <w:pPr>
              <w:rPr>
                <w:b/>
                <w:bCs/>
                <w:color w:val="000000" w:themeColor="text1"/>
              </w:rPr>
            </w:pPr>
          </w:p>
        </w:tc>
        <w:tc>
          <w:tcPr>
            <w:tcW w:w="3600" w:type="dxa"/>
            <w:tcBorders>
              <w:top w:val="single" w:sz="6" w:space="0" w:color="auto"/>
              <w:left w:val="single" w:sz="6" w:space="0" w:color="auto"/>
              <w:bottom w:val="single" w:sz="6" w:space="0" w:color="auto"/>
              <w:right w:val="single" w:sz="6" w:space="0" w:color="auto"/>
            </w:tcBorders>
          </w:tcPr>
          <w:p w:rsidR="005A798D" w:rsidP="00895CEF" w14:paraId="769E870E" w14:textId="77777777">
            <w:pPr>
              <w:rPr>
                <w:color w:val="000000" w:themeColor="text1"/>
              </w:rPr>
            </w:pPr>
            <w:r>
              <w:rPr>
                <w:color w:val="000000" w:themeColor="text1"/>
              </w:rPr>
              <w:t>CDC Subject Matter Expert</w:t>
            </w:r>
          </w:p>
        </w:tc>
        <w:tc>
          <w:tcPr>
            <w:tcW w:w="825" w:type="dxa"/>
            <w:tcBorders>
              <w:top w:val="single" w:sz="6" w:space="0" w:color="auto"/>
              <w:left w:val="single" w:sz="6" w:space="0" w:color="auto"/>
              <w:bottom w:val="single" w:sz="6" w:space="0" w:color="auto"/>
              <w:right w:val="single" w:sz="6" w:space="0" w:color="auto"/>
            </w:tcBorders>
          </w:tcPr>
          <w:p w:rsidR="005A798D" w:rsidRPr="59F4798D" w:rsidP="00895CEF" w14:paraId="3AB02DBB" w14:textId="77777777">
            <w:pPr>
              <w:jc w:val="right"/>
              <w:rPr>
                <w:color w:val="000000" w:themeColor="text1"/>
              </w:rPr>
            </w:pPr>
            <w:r>
              <w:rPr>
                <w:color w:val="000000" w:themeColor="text1"/>
              </w:rPr>
              <w:t>.05</w:t>
            </w:r>
          </w:p>
        </w:tc>
        <w:tc>
          <w:tcPr>
            <w:tcW w:w="2385" w:type="dxa"/>
            <w:tcBorders>
              <w:top w:val="single" w:sz="6" w:space="0" w:color="auto"/>
              <w:left w:val="single" w:sz="6" w:space="0" w:color="auto"/>
              <w:bottom w:val="single" w:sz="6" w:space="0" w:color="auto"/>
              <w:right w:val="double" w:sz="6" w:space="0" w:color="auto"/>
            </w:tcBorders>
          </w:tcPr>
          <w:p w:rsidR="005A798D" w:rsidP="00895CEF" w14:paraId="13D72C56" w14:textId="4EB45C6D">
            <w:pPr>
              <w:jc w:val="right"/>
              <w:rPr>
                <w:color w:val="000000" w:themeColor="text1"/>
              </w:rPr>
            </w:pPr>
            <w:r w:rsidRPr="6EA679FD">
              <w:rPr>
                <w:color w:val="000000" w:themeColor="text1"/>
              </w:rPr>
              <w:t>6</w:t>
            </w:r>
            <w:r w:rsidRPr="6EA679FD" w:rsidR="01EE00FB">
              <w:rPr>
                <w:color w:val="000000" w:themeColor="text1"/>
              </w:rPr>
              <w:t>,</w:t>
            </w:r>
            <w:r w:rsidRPr="6EA679FD">
              <w:rPr>
                <w:color w:val="000000" w:themeColor="text1"/>
              </w:rPr>
              <w:t>3</w:t>
            </w:r>
            <w:r w:rsidRPr="6EA679FD" w:rsidR="697DE78A">
              <w:rPr>
                <w:color w:val="000000" w:themeColor="text1"/>
              </w:rPr>
              <w:t>50</w:t>
            </w:r>
          </w:p>
        </w:tc>
      </w:tr>
      <w:tr w14:paraId="7161D9F0" w14:textId="77777777" w:rsidTr="6EA679FD">
        <w:tblPrEx>
          <w:tblW w:w="9330" w:type="dxa"/>
          <w:tblInd w:w="135" w:type="dxa"/>
          <w:tblLayout w:type="fixed"/>
          <w:tblLook w:val="04A0"/>
        </w:tblPrEx>
        <w:trPr>
          <w:trHeight w:val="270"/>
        </w:trPr>
        <w:tc>
          <w:tcPr>
            <w:tcW w:w="2520" w:type="dxa"/>
            <w:tcBorders>
              <w:top w:val="nil"/>
              <w:left w:val="double" w:sz="6" w:space="0" w:color="auto"/>
              <w:bottom w:val="single" w:sz="6" w:space="0" w:color="auto"/>
              <w:right w:val="single" w:sz="6" w:space="0" w:color="auto"/>
            </w:tcBorders>
            <w:vAlign w:val="center"/>
          </w:tcPr>
          <w:p w:rsidR="005A798D" w:rsidP="00895CEF" w14:paraId="06CBA47D" w14:textId="77777777">
            <w:pPr>
              <w:rPr>
                <w:color w:val="000000" w:themeColor="text1"/>
              </w:rPr>
            </w:pPr>
          </w:p>
        </w:tc>
        <w:tc>
          <w:tcPr>
            <w:tcW w:w="3600" w:type="dxa"/>
            <w:tcBorders>
              <w:top w:val="single" w:sz="6" w:space="0" w:color="auto"/>
              <w:left w:val="single" w:sz="6" w:space="0" w:color="auto"/>
              <w:bottom w:val="single" w:sz="6" w:space="0" w:color="auto"/>
              <w:right w:val="single" w:sz="6" w:space="0" w:color="auto"/>
            </w:tcBorders>
          </w:tcPr>
          <w:p w:rsidR="005A798D" w:rsidP="00895CEF" w14:paraId="4D7205CF" w14:textId="77777777">
            <w:pPr>
              <w:rPr>
                <w:color w:val="000000" w:themeColor="text1"/>
              </w:rPr>
            </w:pPr>
            <w:r>
              <w:rPr>
                <w:color w:val="000000" w:themeColor="text1"/>
              </w:rPr>
              <w:t>CDC Subject Matter Expert</w:t>
            </w:r>
          </w:p>
        </w:tc>
        <w:tc>
          <w:tcPr>
            <w:tcW w:w="825" w:type="dxa"/>
            <w:tcBorders>
              <w:top w:val="single" w:sz="6" w:space="0" w:color="auto"/>
              <w:left w:val="single" w:sz="6" w:space="0" w:color="auto"/>
              <w:bottom w:val="single" w:sz="6" w:space="0" w:color="auto"/>
              <w:right w:val="single" w:sz="6" w:space="0" w:color="auto"/>
            </w:tcBorders>
          </w:tcPr>
          <w:p w:rsidR="005A798D" w:rsidP="00895CEF" w14:paraId="2A55AB18" w14:textId="77777777">
            <w:pPr>
              <w:jc w:val="right"/>
              <w:rPr>
                <w:color w:val="000000" w:themeColor="text1"/>
              </w:rPr>
            </w:pPr>
            <w:r w:rsidRPr="59F4798D">
              <w:rPr>
                <w:color w:val="000000" w:themeColor="text1"/>
              </w:rPr>
              <w:t>.05</w:t>
            </w:r>
          </w:p>
        </w:tc>
        <w:tc>
          <w:tcPr>
            <w:tcW w:w="2385" w:type="dxa"/>
            <w:tcBorders>
              <w:top w:val="single" w:sz="6" w:space="0" w:color="auto"/>
              <w:left w:val="single" w:sz="6" w:space="0" w:color="auto"/>
              <w:bottom w:val="single" w:sz="6" w:space="0" w:color="auto"/>
              <w:right w:val="double" w:sz="6" w:space="0" w:color="auto"/>
            </w:tcBorders>
          </w:tcPr>
          <w:p w:rsidR="005A798D" w:rsidP="4313BCE6" w14:paraId="339189D7" w14:textId="433BDF5A">
            <w:pPr>
              <w:jc w:val="right"/>
            </w:pPr>
            <w:r w:rsidRPr="6EA679FD">
              <w:rPr>
                <w:color w:val="000000" w:themeColor="text1"/>
              </w:rPr>
              <w:t>6</w:t>
            </w:r>
            <w:r w:rsidRPr="6EA679FD" w:rsidR="71101703">
              <w:rPr>
                <w:color w:val="000000" w:themeColor="text1"/>
              </w:rPr>
              <w:t>,</w:t>
            </w:r>
            <w:r w:rsidRPr="6EA679FD">
              <w:rPr>
                <w:color w:val="000000" w:themeColor="text1"/>
              </w:rPr>
              <w:t>350</w:t>
            </w:r>
          </w:p>
        </w:tc>
      </w:tr>
      <w:tr w14:paraId="0FDE7F74" w14:textId="77777777" w:rsidTr="6EA679FD">
        <w:tblPrEx>
          <w:tblW w:w="9330" w:type="dxa"/>
          <w:tblInd w:w="135" w:type="dxa"/>
          <w:tblLayout w:type="fixed"/>
          <w:tblLook w:val="04A0"/>
        </w:tblPrEx>
        <w:trPr>
          <w:trHeight w:val="270"/>
        </w:trPr>
        <w:tc>
          <w:tcPr>
            <w:tcW w:w="2520" w:type="dxa"/>
            <w:tcBorders>
              <w:top w:val="nil"/>
              <w:left w:val="double" w:sz="6" w:space="0" w:color="auto"/>
              <w:bottom w:val="single" w:sz="6" w:space="0" w:color="auto"/>
              <w:right w:val="single" w:sz="6" w:space="0" w:color="auto"/>
            </w:tcBorders>
            <w:vAlign w:val="center"/>
          </w:tcPr>
          <w:p w:rsidR="005A798D" w:rsidP="00895CEF" w14:paraId="51F2CE6A" w14:textId="77777777">
            <w:pPr>
              <w:rPr>
                <w:color w:val="000000" w:themeColor="text1"/>
              </w:rPr>
            </w:pPr>
          </w:p>
        </w:tc>
        <w:tc>
          <w:tcPr>
            <w:tcW w:w="3600" w:type="dxa"/>
            <w:tcBorders>
              <w:top w:val="single" w:sz="6" w:space="0" w:color="auto"/>
              <w:left w:val="single" w:sz="6" w:space="0" w:color="auto"/>
              <w:bottom w:val="single" w:sz="6" w:space="0" w:color="auto"/>
              <w:right w:val="single" w:sz="6" w:space="0" w:color="auto"/>
            </w:tcBorders>
          </w:tcPr>
          <w:p w:rsidR="005A798D" w:rsidP="00895CEF" w14:paraId="6AE586A8" w14:textId="77777777">
            <w:pPr>
              <w:rPr>
                <w:color w:val="000000" w:themeColor="text1"/>
              </w:rPr>
            </w:pPr>
            <w:r>
              <w:rPr>
                <w:color w:val="000000" w:themeColor="text1"/>
              </w:rPr>
              <w:t>CDC Subject Matter Expert</w:t>
            </w:r>
          </w:p>
        </w:tc>
        <w:tc>
          <w:tcPr>
            <w:tcW w:w="825" w:type="dxa"/>
            <w:tcBorders>
              <w:top w:val="single" w:sz="6" w:space="0" w:color="auto"/>
              <w:left w:val="single" w:sz="6" w:space="0" w:color="auto"/>
              <w:bottom w:val="single" w:sz="6" w:space="0" w:color="auto"/>
              <w:right w:val="single" w:sz="6" w:space="0" w:color="auto"/>
            </w:tcBorders>
          </w:tcPr>
          <w:p w:rsidR="005A798D" w:rsidRPr="59F4798D" w:rsidP="00895CEF" w14:paraId="026BC62F" w14:textId="77777777">
            <w:pPr>
              <w:jc w:val="right"/>
              <w:rPr>
                <w:color w:val="000000" w:themeColor="text1"/>
              </w:rPr>
            </w:pPr>
            <w:r>
              <w:rPr>
                <w:color w:val="000000" w:themeColor="text1"/>
              </w:rPr>
              <w:t>.025</w:t>
            </w:r>
          </w:p>
        </w:tc>
        <w:tc>
          <w:tcPr>
            <w:tcW w:w="2385" w:type="dxa"/>
            <w:tcBorders>
              <w:top w:val="single" w:sz="6" w:space="0" w:color="auto"/>
              <w:left w:val="single" w:sz="6" w:space="0" w:color="auto"/>
              <w:bottom w:val="single" w:sz="6" w:space="0" w:color="auto"/>
              <w:right w:val="double" w:sz="6" w:space="0" w:color="auto"/>
            </w:tcBorders>
          </w:tcPr>
          <w:p w:rsidR="005A798D" w:rsidP="00895CEF" w14:paraId="7B9EA2F5" w14:textId="2D1B00AB">
            <w:pPr>
              <w:jc w:val="right"/>
              <w:rPr>
                <w:color w:val="000000" w:themeColor="text1"/>
              </w:rPr>
            </w:pPr>
            <w:r w:rsidRPr="4313BCE6">
              <w:rPr>
                <w:color w:val="000000" w:themeColor="text1"/>
              </w:rPr>
              <w:t>3,</w:t>
            </w:r>
            <w:r w:rsidRPr="4313BCE6" w:rsidR="1034424C">
              <w:rPr>
                <w:color w:val="000000" w:themeColor="text1"/>
              </w:rPr>
              <w:t>175</w:t>
            </w:r>
          </w:p>
        </w:tc>
      </w:tr>
      <w:tr w14:paraId="1AE87BE6" w14:textId="77777777" w:rsidTr="6EA679FD">
        <w:tblPrEx>
          <w:tblW w:w="9330" w:type="dxa"/>
          <w:tblInd w:w="135" w:type="dxa"/>
          <w:tblLayout w:type="fixed"/>
          <w:tblLook w:val="04A0"/>
        </w:tblPrEx>
        <w:trPr>
          <w:trHeight w:val="270"/>
        </w:trPr>
        <w:tc>
          <w:tcPr>
            <w:tcW w:w="2520" w:type="dxa"/>
            <w:tcBorders>
              <w:top w:val="single" w:sz="6" w:space="0" w:color="auto"/>
              <w:left w:val="double" w:sz="6" w:space="0" w:color="auto"/>
              <w:bottom w:val="single" w:sz="6" w:space="0" w:color="auto"/>
              <w:right w:val="single" w:sz="6" w:space="0" w:color="auto"/>
            </w:tcBorders>
            <w:vAlign w:val="center"/>
          </w:tcPr>
          <w:p w:rsidR="005A798D" w:rsidP="00895CEF" w14:paraId="65CC45A7" w14:textId="77777777">
            <w:pPr>
              <w:rPr>
                <w:color w:val="000000" w:themeColor="text1"/>
              </w:rPr>
            </w:pPr>
            <w:r w:rsidRPr="59F4798D">
              <w:rPr>
                <w:b/>
                <w:bCs/>
                <w:color w:val="000000" w:themeColor="text1"/>
              </w:rPr>
              <w:t>Federal Government Other Direct Costs</w:t>
            </w:r>
          </w:p>
        </w:tc>
        <w:tc>
          <w:tcPr>
            <w:tcW w:w="3600" w:type="dxa"/>
            <w:tcBorders>
              <w:top w:val="single" w:sz="6" w:space="0" w:color="auto"/>
              <w:left w:val="single" w:sz="6" w:space="0" w:color="auto"/>
              <w:bottom w:val="single" w:sz="6" w:space="0" w:color="auto"/>
              <w:right w:val="single" w:sz="6" w:space="0" w:color="auto"/>
            </w:tcBorders>
          </w:tcPr>
          <w:p w:rsidR="005A798D" w:rsidP="00895CEF" w14:paraId="68990091" w14:textId="77777777">
            <w:pPr>
              <w:rPr>
                <w:color w:val="000000" w:themeColor="text1"/>
              </w:rPr>
            </w:pPr>
            <w:r w:rsidRPr="59F4798D">
              <w:rPr>
                <w:color w:val="000000" w:themeColor="text1"/>
              </w:rPr>
              <w:t>Office supplies</w:t>
            </w:r>
          </w:p>
        </w:tc>
        <w:tc>
          <w:tcPr>
            <w:tcW w:w="825" w:type="dxa"/>
            <w:tcBorders>
              <w:top w:val="single" w:sz="6" w:space="0" w:color="auto"/>
              <w:left w:val="single" w:sz="6" w:space="0" w:color="auto"/>
              <w:bottom w:val="single" w:sz="6" w:space="0" w:color="auto"/>
              <w:right w:val="single" w:sz="6" w:space="0" w:color="auto"/>
            </w:tcBorders>
          </w:tcPr>
          <w:p w:rsidR="005A798D" w:rsidP="00895CEF" w14:paraId="50B79FE7" w14:textId="77777777">
            <w:pPr>
              <w:jc w:val="right"/>
              <w:rPr>
                <w:color w:val="000000" w:themeColor="text1"/>
              </w:rPr>
            </w:pPr>
            <w:r w:rsidRPr="59F4798D">
              <w:rPr>
                <w:color w:val="000000" w:themeColor="text1"/>
              </w:rPr>
              <w:t xml:space="preserve"> </w:t>
            </w:r>
          </w:p>
        </w:tc>
        <w:tc>
          <w:tcPr>
            <w:tcW w:w="2385" w:type="dxa"/>
            <w:tcBorders>
              <w:top w:val="single" w:sz="6" w:space="0" w:color="auto"/>
              <w:left w:val="single" w:sz="6" w:space="0" w:color="auto"/>
              <w:bottom w:val="single" w:sz="6" w:space="0" w:color="auto"/>
              <w:right w:val="double" w:sz="6" w:space="0" w:color="auto"/>
            </w:tcBorders>
          </w:tcPr>
          <w:p w:rsidR="005A798D" w:rsidP="00895CEF" w14:paraId="2F7E49F8" w14:textId="77777777">
            <w:pPr>
              <w:jc w:val="right"/>
              <w:rPr>
                <w:color w:val="000000" w:themeColor="text1"/>
              </w:rPr>
            </w:pPr>
            <w:r w:rsidRPr="59F4798D">
              <w:rPr>
                <w:color w:val="000000" w:themeColor="text1"/>
              </w:rPr>
              <w:t>100</w:t>
            </w:r>
          </w:p>
        </w:tc>
      </w:tr>
      <w:tr w14:paraId="1722C48C" w14:textId="77777777" w:rsidTr="6EA679FD">
        <w:tblPrEx>
          <w:tblW w:w="9330" w:type="dxa"/>
          <w:tblInd w:w="135" w:type="dxa"/>
          <w:tblLayout w:type="fixed"/>
          <w:tblLook w:val="04A0"/>
        </w:tblPrEx>
        <w:tc>
          <w:tcPr>
            <w:tcW w:w="2520" w:type="dxa"/>
            <w:tcBorders>
              <w:top w:val="single" w:sz="6" w:space="0" w:color="auto"/>
              <w:left w:val="double" w:sz="6" w:space="0" w:color="auto"/>
              <w:bottom w:val="nil"/>
              <w:right w:val="single" w:sz="6" w:space="0" w:color="auto"/>
            </w:tcBorders>
          </w:tcPr>
          <w:p w:rsidR="005A798D" w:rsidP="00895CEF" w14:paraId="63E5E0FF" w14:textId="77777777">
            <w:pPr>
              <w:rPr>
                <w:color w:val="000000" w:themeColor="text1"/>
              </w:rPr>
            </w:pPr>
            <w:r w:rsidRPr="59F4798D">
              <w:rPr>
                <w:b/>
                <w:bCs/>
                <w:color w:val="000000" w:themeColor="text1"/>
              </w:rPr>
              <w:t>Contractor Direct Labor</w:t>
            </w:r>
          </w:p>
        </w:tc>
        <w:tc>
          <w:tcPr>
            <w:tcW w:w="3600" w:type="dxa"/>
            <w:tcBorders>
              <w:top w:val="single" w:sz="6" w:space="0" w:color="auto"/>
              <w:left w:val="single" w:sz="6" w:space="0" w:color="auto"/>
              <w:bottom w:val="single" w:sz="6" w:space="0" w:color="auto"/>
              <w:right w:val="single" w:sz="6" w:space="0" w:color="auto"/>
            </w:tcBorders>
          </w:tcPr>
          <w:p w:rsidR="005A798D" w:rsidP="00895CEF" w14:paraId="04F58A8E" w14:textId="05E37A39">
            <w:pPr>
              <w:rPr>
                <w:color w:val="000000" w:themeColor="text1"/>
              </w:rPr>
            </w:pPr>
            <w:r w:rsidRPr="59F4798D">
              <w:rPr>
                <w:color w:val="000000" w:themeColor="text1"/>
              </w:rPr>
              <w:t>EurekaFacts</w:t>
            </w:r>
            <w:r w:rsidRPr="59F4798D">
              <w:rPr>
                <w:color w:val="000000" w:themeColor="text1"/>
              </w:rPr>
              <w:t xml:space="preserve"> Consultants </w:t>
            </w:r>
          </w:p>
        </w:tc>
        <w:tc>
          <w:tcPr>
            <w:tcW w:w="825" w:type="dxa"/>
            <w:tcBorders>
              <w:top w:val="single" w:sz="6" w:space="0" w:color="auto"/>
              <w:left w:val="single" w:sz="6" w:space="0" w:color="auto"/>
              <w:bottom w:val="single" w:sz="6" w:space="0" w:color="auto"/>
              <w:right w:val="single" w:sz="6" w:space="0" w:color="auto"/>
            </w:tcBorders>
          </w:tcPr>
          <w:p w:rsidR="005A798D" w:rsidP="4313BCE6" w14:paraId="5AD11CFC" w14:textId="27C77F8A">
            <w:pPr>
              <w:jc w:val="right"/>
            </w:pPr>
            <w:r w:rsidRPr="4313BCE6">
              <w:rPr>
                <w:color w:val="000000" w:themeColor="text1"/>
              </w:rPr>
              <w:t>1</w:t>
            </w:r>
          </w:p>
        </w:tc>
        <w:tc>
          <w:tcPr>
            <w:tcW w:w="2385" w:type="dxa"/>
            <w:tcBorders>
              <w:top w:val="single" w:sz="6" w:space="0" w:color="auto"/>
              <w:left w:val="single" w:sz="6" w:space="0" w:color="auto"/>
              <w:bottom w:val="single" w:sz="6" w:space="0" w:color="auto"/>
              <w:right w:val="double" w:sz="6" w:space="0" w:color="auto"/>
            </w:tcBorders>
          </w:tcPr>
          <w:p w:rsidR="005A798D" w:rsidP="00895CEF" w14:paraId="2351E09E" w14:textId="206F8508">
            <w:pPr>
              <w:jc w:val="right"/>
              <w:rPr>
                <w:color w:val="000000" w:themeColor="text1"/>
              </w:rPr>
            </w:pPr>
            <w:r w:rsidRPr="4313BCE6">
              <w:rPr>
                <w:color w:val="000000" w:themeColor="text1"/>
              </w:rPr>
              <w:t>3</w:t>
            </w:r>
            <w:r w:rsidRPr="4313BCE6" w:rsidR="284935D4">
              <w:rPr>
                <w:color w:val="000000" w:themeColor="text1"/>
              </w:rPr>
              <w:t>10</w:t>
            </w:r>
            <w:r w:rsidRPr="4313BCE6">
              <w:rPr>
                <w:color w:val="000000" w:themeColor="text1"/>
              </w:rPr>
              <w:t>,</w:t>
            </w:r>
            <w:r w:rsidRPr="4313BCE6" w:rsidR="25D1BF2C">
              <w:rPr>
                <w:color w:val="000000" w:themeColor="text1"/>
              </w:rPr>
              <w:t>742</w:t>
            </w:r>
          </w:p>
        </w:tc>
      </w:tr>
      <w:tr w14:paraId="6E46A5B0" w14:textId="77777777" w:rsidTr="6EA679FD">
        <w:tblPrEx>
          <w:tblW w:w="9330" w:type="dxa"/>
          <w:tblInd w:w="135" w:type="dxa"/>
          <w:tblLayout w:type="fixed"/>
          <w:tblLook w:val="04A0"/>
        </w:tblPrEx>
        <w:tc>
          <w:tcPr>
            <w:tcW w:w="2520" w:type="dxa"/>
            <w:tcBorders>
              <w:top w:val="double" w:sz="6" w:space="0" w:color="auto"/>
              <w:left w:val="double" w:sz="6" w:space="0" w:color="auto"/>
              <w:bottom w:val="double" w:sz="6" w:space="0" w:color="auto"/>
              <w:right w:val="single" w:sz="6" w:space="0" w:color="auto"/>
            </w:tcBorders>
          </w:tcPr>
          <w:p w:rsidR="005A798D" w:rsidP="00895CEF" w14:paraId="2BDAFCB6" w14:textId="77777777">
            <w:pPr>
              <w:rPr>
                <w:color w:val="000000" w:themeColor="text1"/>
              </w:rPr>
            </w:pPr>
            <w:r w:rsidRPr="59F4798D">
              <w:rPr>
                <w:b/>
                <w:bCs/>
                <w:color w:val="000000" w:themeColor="text1"/>
              </w:rPr>
              <w:t xml:space="preserve"> </w:t>
            </w:r>
          </w:p>
          <w:p w:rsidR="005A798D" w:rsidP="00895CEF" w14:paraId="0B1DA165" w14:textId="77777777">
            <w:pPr>
              <w:rPr>
                <w:color w:val="000000" w:themeColor="text1"/>
              </w:rPr>
            </w:pPr>
            <w:r w:rsidRPr="59F4798D">
              <w:rPr>
                <w:b/>
                <w:bCs/>
                <w:color w:val="000000" w:themeColor="text1"/>
              </w:rPr>
              <w:t>TOTAL COSTS</w:t>
            </w:r>
          </w:p>
        </w:tc>
        <w:tc>
          <w:tcPr>
            <w:tcW w:w="3600" w:type="dxa"/>
            <w:tcBorders>
              <w:top w:val="single" w:sz="6" w:space="0" w:color="auto"/>
              <w:left w:val="single" w:sz="6" w:space="0" w:color="auto"/>
              <w:bottom w:val="double" w:sz="6" w:space="0" w:color="auto"/>
              <w:right w:val="single" w:sz="6" w:space="0" w:color="auto"/>
            </w:tcBorders>
          </w:tcPr>
          <w:p w:rsidR="005A798D" w:rsidP="00895CEF" w14:paraId="0AC559EA" w14:textId="77777777">
            <w:pPr>
              <w:rPr>
                <w:color w:val="000000" w:themeColor="text1"/>
              </w:rPr>
            </w:pPr>
          </w:p>
        </w:tc>
        <w:tc>
          <w:tcPr>
            <w:tcW w:w="825" w:type="dxa"/>
            <w:tcBorders>
              <w:top w:val="single" w:sz="6" w:space="0" w:color="auto"/>
              <w:left w:val="single" w:sz="6" w:space="0" w:color="auto"/>
              <w:bottom w:val="double" w:sz="6" w:space="0" w:color="auto"/>
              <w:right w:val="single" w:sz="6" w:space="0" w:color="auto"/>
            </w:tcBorders>
          </w:tcPr>
          <w:p w:rsidR="005A798D" w:rsidP="00895CEF" w14:paraId="50171EA7" w14:textId="5D449CD4">
            <w:pPr>
              <w:jc w:val="right"/>
              <w:rPr>
                <w:color w:val="000000" w:themeColor="text1"/>
              </w:rPr>
            </w:pPr>
          </w:p>
        </w:tc>
        <w:tc>
          <w:tcPr>
            <w:tcW w:w="2385" w:type="dxa"/>
            <w:tcBorders>
              <w:top w:val="single" w:sz="6" w:space="0" w:color="auto"/>
              <w:left w:val="single" w:sz="6" w:space="0" w:color="auto"/>
              <w:bottom w:val="double" w:sz="6" w:space="0" w:color="auto"/>
              <w:right w:val="double" w:sz="6" w:space="0" w:color="auto"/>
            </w:tcBorders>
          </w:tcPr>
          <w:p w:rsidR="005A798D" w:rsidP="4313BCE6" w14:paraId="21FFD2CC" w14:textId="37B2D3E3">
            <w:pPr>
              <w:jc w:val="right"/>
            </w:pPr>
            <w:r w:rsidRPr="4313BCE6">
              <w:rPr>
                <w:color w:val="000000" w:themeColor="text1"/>
              </w:rPr>
              <w:t>346,502</w:t>
            </w:r>
          </w:p>
        </w:tc>
      </w:tr>
    </w:tbl>
    <w:p w:rsidR="005A798D" w:rsidP="005A798D" w14:paraId="274F3904" w14:textId="77777777">
      <w:pPr>
        <w:rPr>
          <w:b/>
          <w:bCs/>
        </w:rPr>
      </w:pPr>
    </w:p>
    <w:p w:rsidR="005A798D" w:rsidRPr="00514FCA" w:rsidP="005A798D" w14:paraId="254B0D78" w14:textId="77777777"/>
    <w:p w:rsidR="005A798D" w:rsidRPr="005C7272" w:rsidP="005A798D" w14:paraId="4B508537" w14:textId="77777777">
      <w:pPr>
        <w:pStyle w:val="Style1"/>
        <w:rPr>
          <w:sz w:val="24"/>
          <w:szCs w:val="24"/>
        </w:rPr>
      </w:pPr>
      <w:bookmarkStart w:id="24" w:name="_Toc141811881"/>
      <w:r w:rsidRPr="59F4798D">
        <w:rPr>
          <w:sz w:val="24"/>
          <w:szCs w:val="24"/>
        </w:rPr>
        <w:t>Section A.15. Explanation for Program Changes or Adjustments</w:t>
      </w:r>
      <w:bookmarkEnd w:id="24"/>
    </w:p>
    <w:p w:rsidR="005A798D" w:rsidRPr="00514FCA" w:rsidP="005A798D" w14:paraId="6B1379E7" w14:textId="77777777"/>
    <w:p w:rsidR="005A798D" w:rsidP="005A798D" w14:paraId="65387479" w14:textId="77777777">
      <w:pPr>
        <w:rPr>
          <w:color w:val="000000" w:themeColor="text1"/>
        </w:rPr>
      </w:pPr>
      <w:r w:rsidRPr="59F4798D">
        <w:rPr>
          <w:color w:val="000000" w:themeColor="text1"/>
        </w:rPr>
        <w:t>This is a new data collection.</w:t>
      </w:r>
    </w:p>
    <w:p w:rsidR="005A798D" w:rsidP="005A798D" w14:paraId="41D932FA" w14:textId="77777777"/>
    <w:p w:rsidR="005A798D" w:rsidP="005A798D" w14:paraId="448585AD" w14:textId="77777777">
      <w:pPr>
        <w:spacing w:after="200" w:line="276" w:lineRule="auto"/>
        <w:rPr>
          <w:b/>
          <w:bCs/>
          <w:i/>
          <w:kern w:val="32"/>
          <w:u w:val="single"/>
        </w:rPr>
      </w:pPr>
      <w:r>
        <w:br w:type="page"/>
      </w:r>
    </w:p>
    <w:p w:rsidR="005A798D" w:rsidRPr="005C7272" w:rsidP="005A798D" w14:paraId="5166040E" w14:textId="77777777">
      <w:pPr>
        <w:pStyle w:val="Style1"/>
        <w:rPr>
          <w:sz w:val="24"/>
          <w:szCs w:val="24"/>
        </w:rPr>
      </w:pPr>
      <w:bookmarkStart w:id="25" w:name="_Toc141811882"/>
      <w:r w:rsidRPr="59F4798D">
        <w:rPr>
          <w:sz w:val="24"/>
          <w:szCs w:val="24"/>
        </w:rPr>
        <w:t>Section A.16. Plans for Tabulation and Publication and Project Time Schedule</w:t>
      </w:r>
      <w:bookmarkEnd w:id="25"/>
    </w:p>
    <w:p w:rsidR="005A798D" w:rsidP="005A798D" w14:paraId="633CA974" w14:textId="77777777"/>
    <w:p w:rsidR="005A798D" w:rsidP="005A798D" w14:paraId="293DAFF8" w14:textId="77777777"/>
    <w:tbl>
      <w:tblPr>
        <w:tblW w:w="9877"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ayout w:type="fixed"/>
        <w:tblLook w:val="01E0"/>
      </w:tblPr>
      <w:tblGrid>
        <w:gridCol w:w="2902"/>
        <w:gridCol w:w="2475"/>
        <w:gridCol w:w="1800"/>
        <w:gridCol w:w="1350"/>
        <w:gridCol w:w="1350"/>
      </w:tblGrid>
      <w:tr w14:paraId="6058FB14" w14:textId="77777777" w:rsidTr="6EA679FD">
        <w:tblPrEx>
          <w:tblW w:w="9877"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ayout w:type="fixed"/>
          <w:tblLook w:val="01E0"/>
        </w:tblPrEx>
        <w:trPr>
          <w:tblHeader/>
          <w:jc w:val="center"/>
        </w:trPr>
        <w:tc>
          <w:tcPr>
            <w:tcW w:w="9877" w:type="dxa"/>
            <w:gridSpan w:val="5"/>
            <w:tcBorders>
              <w:top w:val="single" w:sz="6" w:space="0" w:color="auto"/>
              <w:bottom w:val="single" w:sz="6" w:space="0" w:color="auto"/>
            </w:tcBorders>
            <w:shd w:val="clear" w:color="auto" w:fill="BFBFBF" w:themeFill="background1" w:themeFillShade="BF"/>
          </w:tcPr>
          <w:p w:rsidR="005A798D" w:rsidRPr="59F4798D" w:rsidP="00895CEF" w14:paraId="3E9474FE" w14:textId="77777777">
            <w:pPr>
              <w:spacing w:before="48" w:beforeLines="20" w:after="48" w:afterLines="20"/>
              <w:ind w:left="33"/>
              <w:jc w:val="center"/>
              <w:rPr>
                <w:rFonts w:cs="Arial"/>
                <w:b/>
                <w:bCs/>
              </w:rPr>
            </w:pPr>
            <w:r w:rsidRPr="59F4798D">
              <w:rPr>
                <w:rFonts w:cs="Arial"/>
                <w:b/>
                <w:bCs/>
              </w:rPr>
              <w:t>A.16.</w:t>
            </w:r>
            <w:r w:rsidRPr="59F4798D">
              <w:rPr>
                <w:b/>
                <w:bCs/>
              </w:rPr>
              <w:t>—</w:t>
            </w:r>
            <w:r w:rsidRPr="59F4798D">
              <w:rPr>
                <w:rFonts w:cs="Arial"/>
                <w:b/>
                <w:bCs/>
              </w:rPr>
              <w:t xml:space="preserve">Project Time Schedule </w:t>
            </w:r>
          </w:p>
        </w:tc>
      </w:tr>
      <w:tr w14:paraId="274F1873" w14:textId="77777777" w:rsidTr="6EA679FD">
        <w:tblPrEx>
          <w:tblW w:w="9877" w:type="dxa"/>
          <w:jc w:val="center"/>
          <w:tblLayout w:type="fixed"/>
          <w:tblLook w:val="01E0"/>
        </w:tblPrEx>
        <w:trPr>
          <w:tblHeader/>
          <w:jc w:val="center"/>
        </w:trPr>
        <w:tc>
          <w:tcPr>
            <w:tcW w:w="2902" w:type="dxa"/>
            <w:tcBorders>
              <w:top w:val="single" w:sz="6" w:space="0" w:color="auto"/>
              <w:bottom w:val="single" w:sz="6" w:space="0" w:color="auto"/>
            </w:tcBorders>
            <w:shd w:val="clear" w:color="auto" w:fill="BFBFBF" w:themeFill="background1" w:themeFillShade="BF"/>
          </w:tcPr>
          <w:p w:rsidR="005A798D" w:rsidRPr="00B10784" w:rsidP="00895CEF" w14:paraId="1440CFA7" w14:textId="77777777">
            <w:pPr>
              <w:spacing w:before="48" w:after="48"/>
              <w:ind w:left="33"/>
              <w:jc w:val="center"/>
              <w:rPr>
                <w:b/>
                <w:bCs/>
              </w:rPr>
            </w:pPr>
            <w:r w:rsidRPr="59F4798D">
              <w:rPr>
                <w:b/>
                <w:bCs/>
              </w:rPr>
              <w:t>Activity</w:t>
            </w:r>
          </w:p>
        </w:tc>
        <w:tc>
          <w:tcPr>
            <w:tcW w:w="4275" w:type="dxa"/>
            <w:gridSpan w:val="2"/>
            <w:tcBorders>
              <w:top w:val="single" w:sz="6" w:space="0" w:color="auto"/>
              <w:bottom w:val="single" w:sz="6" w:space="0" w:color="auto"/>
            </w:tcBorders>
            <w:shd w:val="clear" w:color="auto" w:fill="BFBFBF" w:themeFill="background1" w:themeFillShade="BF"/>
          </w:tcPr>
          <w:p w:rsidR="005A798D" w:rsidRPr="00195563" w:rsidP="00895CEF" w14:paraId="156AEF9F" w14:textId="77777777">
            <w:pPr>
              <w:spacing w:before="48" w:after="48"/>
              <w:ind w:left="33"/>
              <w:jc w:val="center"/>
              <w:rPr>
                <w:b/>
                <w:bCs/>
              </w:rPr>
            </w:pPr>
            <w:r w:rsidRPr="00195563">
              <w:rPr>
                <w:b/>
                <w:bCs/>
              </w:rPr>
              <w:t>Timeframe</w:t>
            </w:r>
          </w:p>
        </w:tc>
        <w:tc>
          <w:tcPr>
            <w:tcW w:w="1350" w:type="dxa"/>
            <w:tcBorders>
              <w:top w:val="single" w:sz="6" w:space="0" w:color="auto"/>
              <w:bottom w:val="single" w:sz="6" w:space="0" w:color="auto"/>
            </w:tcBorders>
            <w:shd w:val="clear" w:color="auto" w:fill="BFBFBF" w:themeFill="background1" w:themeFillShade="BF"/>
          </w:tcPr>
          <w:p w:rsidR="005A798D" w:rsidRPr="59F4798D" w:rsidP="00895CEF" w14:paraId="427768D9" w14:textId="77777777">
            <w:pPr>
              <w:spacing w:before="48" w:after="48"/>
              <w:ind w:left="33"/>
              <w:jc w:val="center"/>
              <w:rPr>
                <w:b/>
                <w:bCs/>
              </w:rPr>
            </w:pPr>
            <w:r>
              <w:rPr>
                <w:b/>
                <w:bCs/>
              </w:rPr>
              <w:t>Estimated Start</w:t>
            </w:r>
          </w:p>
        </w:tc>
        <w:tc>
          <w:tcPr>
            <w:tcW w:w="1350" w:type="dxa"/>
            <w:tcBorders>
              <w:top w:val="single" w:sz="6" w:space="0" w:color="auto"/>
              <w:bottom w:val="single" w:sz="6" w:space="0" w:color="auto"/>
            </w:tcBorders>
            <w:shd w:val="clear" w:color="auto" w:fill="BFBFBF" w:themeFill="background1" w:themeFillShade="BF"/>
          </w:tcPr>
          <w:p w:rsidR="005A798D" w:rsidP="00895CEF" w14:paraId="79FE2E9C" w14:textId="77777777">
            <w:pPr>
              <w:spacing w:before="48" w:after="48"/>
              <w:ind w:left="33"/>
              <w:jc w:val="center"/>
              <w:rPr>
                <w:b/>
                <w:bCs/>
              </w:rPr>
            </w:pPr>
            <w:r>
              <w:rPr>
                <w:b/>
                <w:bCs/>
              </w:rPr>
              <w:t>Estimated End</w:t>
            </w:r>
          </w:p>
        </w:tc>
      </w:tr>
      <w:tr w14:paraId="047A423D" w14:textId="77777777" w:rsidTr="6EA679FD">
        <w:tblPrEx>
          <w:tblW w:w="9877" w:type="dxa"/>
          <w:jc w:val="center"/>
          <w:tblLayout w:type="fixed"/>
          <w:tblLook w:val="01E0"/>
        </w:tblPrEx>
        <w:trPr>
          <w:jc w:val="center"/>
        </w:trPr>
        <w:tc>
          <w:tcPr>
            <w:tcW w:w="2902" w:type="dxa"/>
            <w:tcBorders>
              <w:top w:val="single" w:sz="6" w:space="0" w:color="auto"/>
              <w:bottom w:val="single" w:sz="6" w:space="0" w:color="auto"/>
            </w:tcBorders>
            <w:shd w:val="clear" w:color="auto" w:fill="BFBFBF" w:themeFill="background1" w:themeFillShade="BF"/>
          </w:tcPr>
          <w:p w:rsidR="005A798D" w:rsidRPr="59F4798D" w:rsidP="00895CEF" w14:paraId="2069BE55" w14:textId="77777777">
            <w:pPr>
              <w:spacing w:before="48" w:after="48"/>
              <w:ind w:left="33"/>
              <w:jc w:val="center"/>
              <w:rPr>
                <w:b/>
                <w:bCs/>
              </w:rPr>
            </w:pPr>
            <w:r>
              <w:rPr>
                <w:rFonts w:cs="Arial"/>
              </w:rPr>
              <w:t>OMB Approval</w:t>
            </w:r>
          </w:p>
        </w:tc>
        <w:tc>
          <w:tcPr>
            <w:tcW w:w="6975" w:type="dxa"/>
            <w:gridSpan w:val="4"/>
            <w:tcBorders>
              <w:top w:val="single" w:sz="6" w:space="0" w:color="auto"/>
              <w:bottom w:val="single" w:sz="6" w:space="0" w:color="auto"/>
            </w:tcBorders>
            <w:shd w:val="clear" w:color="auto" w:fill="BFBFBF" w:themeFill="background1" w:themeFillShade="BF"/>
          </w:tcPr>
          <w:p w:rsidR="005A798D" w:rsidP="00895CEF" w14:paraId="13B79275" w14:textId="39932141">
            <w:pPr>
              <w:spacing w:before="48" w:after="48"/>
              <w:ind w:left="33"/>
              <w:jc w:val="center"/>
              <w:rPr>
                <w:b/>
                <w:bCs/>
              </w:rPr>
            </w:pPr>
            <w:r w:rsidRPr="4313BCE6">
              <w:rPr>
                <w:rFonts w:cs="Arial"/>
              </w:rPr>
              <w:t xml:space="preserve">Estimated: </w:t>
            </w:r>
            <w:r w:rsidRPr="4313BCE6" w:rsidR="44F4E78D">
              <w:rPr>
                <w:rFonts w:cs="Arial"/>
              </w:rPr>
              <w:t>December</w:t>
            </w:r>
            <w:r w:rsidRPr="4313BCE6">
              <w:rPr>
                <w:rFonts w:cs="Arial"/>
              </w:rPr>
              <w:t xml:space="preserve"> </w:t>
            </w:r>
            <w:r w:rsidRPr="4313BCE6" w:rsidR="2FEC119E">
              <w:rPr>
                <w:rFonts w:cs="Arial"/>
              </w:rPr>
              <w:t>4</w:t>
            </w:r>
            <w:r w:rsidRPr="4313BCE6">
              <w:rPr>
                <w:rFonts w:cs="Arial"/>
              </w:rPr>
              <w:t>, 2023</w:t>
            </w:r>
          </w:p>
        </w:tc>
      </w:tr>
      <w:tr w14:paraId="49F94609" w14:textId="77777777" w:rsidTr="6EA679FD">
        <w:tblPrEx>
          <w:tblW w:w="9877" w:type="dxa"/>
          <w:jc w:val="center"/>
          <w:tblLayout w:type="fixed"/>
          <w:tblLook w:val="01E0"/>
        </w:tblPrEx>
        <w:trPr>
          <w:jc w:val="center"/>
        </w:trPr>
        <w:tc>
          <w:tcPr>
            <w:tcW w:w="2902" w:type="dxa"/>
            <w:vMerge w:val="restart"/>
            <w:tcBorders>
              <w:top w:val="single" w:sz="6" w:space="0" w:color="auto"/>
              <w:bottom w:val="single" w:sz="6" w:space="0" w:color="auto"/>
            </w:tcBorders>
            <w:shd w:val="clear" w:color="auto" w:fill="auto"/>
            <w:vAlign w:val="center"/>
          </w:tcPr>
          <w:p w:rsidR="005A798D" w:rsidRPr="0029146B" w:rsidP="00895CEF" w14:paraId="614BC652" w14:textId="5A40CE8B">
            <w:pPr>
              <w:spacing w:before="48" w:beforeLines="20" w:after="48" w:afterLines="20"/>
              <w:ind w:left="33"/>
            </w:pPr>
            <w:r w:rsidRPr="6EA679FD">
              <w:rPr>
                <w:rFonts w:cs="Arial"/>
              </w:rPr>
              <w:t>Implementation of Formative Research Plan (Recruitment and Data Collection)</w:t>
            </w:r>
          </w:p>
        </w:tc>
        <w:tc>
          <w:tcPr>
            <w:tcW w:w="2475" w:type="dxa"/>
            <w:tcBorders>
              <w:top w:val="single" w:sz="6" w:space="0" w:color="auto"/>
              <w:bottom w:val="single" w:sz="6" w:space="0" w:color="auto"/>
            </w:tcBorders>
            <w:shd w:val="clear" w:color="auto" w:fill="auto"/>
          </w:tcPr>
          <w:p w:rsidR="005A798D" w:rsidRPr="00625901" w:rsidP="00895CEF" w14:paraId="33041F6A" w14:textId="3D2CFBFC">
            <w:pPr>
              <w:spacing w:before="48" w:beforeLines="20" w:after="48" w:afterLines="20"/>
              <w:ind w:left="33"/>
              <w:rPr>
                <w:highlight w:val="magenta"/>
              </w:rPr>
            </w:pPr>
            <w:r>
              <w:rPr>
                <w:rFonts w:cs="Arial"/>
              </w:rPr>
              <w:t>Recruitment</w:t>
            </w:r>
          </w:p>
        </w:tc>
        <w:tc>
          <w:tcPr>
            <w:tcW w:w="1800" w:type="dxa"/>
            <w:tcBorders>
              <w:top w:val="single" w:sz="6" w:space="0" w:color="auto"/>
              <w:bottom w:val="single" w:sz="6" w:space="0" w:color="auto"/>
            </w:tcBorders>
            <w:shd w:val="clear" w:color="auto" w:fill="auto"/>
          </w:tcPr>
          <w:p w:rsidR="005A798D" w:rsidRPr="00625901" w:rsidP="00895CEF" w14:paraId="4036075D" w14:textId="68423BD4">
            <w:pPr>
              <w:spacing w:before="48" w:beforeLines="20" w:after="48" w:afterLines="20"/>
              <w:ind w:left="33"/>
              <w:rPr>
                <w:highlight w:val="magenta"/>
              </w:rPr>
            </w:pPr>
            <w:r w:rsidRPr="00625901">
              <w:rPr>
                <w:rFonts w:cs="Arial"/>
              </w:rPr>
              <w:t xml:space="preserve">2 weeks - </w:t>
            </w:r>
            <w:r w:rsidRPr="00C87C9B">
              <w:rPr>
                <w:rFonts w:cs="Arial"/>
              </w:rPr>
              <w:t>1</w:t>
            </w:r>
            <w:r w:rsidRPr="00625901">
              <w:rPr>
                <w:rFonts w:cs="Arial"/>
              </w:rPr>
              <w:t xml:space="preserve"> </w:t>
            </w:r>
            <w:r w:rsidRPr="00C87C9B">
              <w:rPr>
                <w:rFonts w:cs="Arial"/>
              </w:rPr>
              <w:t>month after OMB approval</w:t>
            </w:r>
          </w:p>
        </w:tc>
        <w:tc>
          <w:tcPr>
            <w:tcW w:w="1350" w:type="dxa"/>
            <w:tcBorders>
              <w:top w:val="single" w:sz="6" w:space="0" w:color="auto"/>
              <w:bottom w:val="single" w:sz="6" w:space="0" w:color="auto"/>
            </w:tcBorders>
            <w:shd w:val="clear" w:color="auto" w:fill="auto"/>
          </w:tcPr>
          <w:p w:rsidR="005A798D" w:rsidRPr="00625901" w:rsidP="00895CEF" w14:paraId="73C55D2A" w14:textId="64E426A3">
            <w:pPr>
              <w:spacing w:before="48" w:beforeLines="20" w:after="48" w:afterLines="20"/>
              <w:ind w:left="33"/>
              <w:rPr>
                <w:rFonts w:cs="Arial"/>
              </w:rPr>
            </w:pPr>
            <w:r w:rsidRPr="4313BCE6">
              <w:rPr>
                <w:rFonts w:cs="Arial"/>
              </w:rPr>
              <w:t>1</w:t>
            </w:r>
            <w:r w:rsidRPr="4313BCE6" w:rsidR="7A401568">
              <w:rPr>
                <w:rFonts w:cs="Arial"/>
              </w:rPr>
              <w:t>2</w:t>
            </w:r>
            <w:r w:rsidRPr="4313BCE6">
              <w:rPr>
                <w:rFonts w:cs="Arial"/>
              </w:rPr>
              <w:t>/11/2023</w:t>
            </w:r>
          </w:p>
        </w:tc>
        <w:tc>
          <w:tcPr>
            <w:tcW w:w="1350" w:type="dxa"/>
            <w:tcBorders>
              <w:top w:val="single" w:sz="6" w:space="0" w:color="auto"/>
              <w:bottom w:val="single" w:sz="6" w:space="0" w:color="auto"/>
            </w:tcBorders>
            <w:shd w:val="clear" w:color="auto" w:fill="auto"/>
          </w:tcPr>
          <w:p w:rsidR="005A798D" w:rsidRPr="00625901" w:rsidP="00895CEF" w14:paraId="7594010D" w14:textId="049F0E8F">
            <w:pPr>
              <w:spacing w:before="48" w:beforeLines="20" w:after="48" w:afterLines="20"/>
              <w:ind w:left="33"/>
              <w:rPr>
                <w:rFonts w:cs="Arial"/>
              </w:rPr>
            </w:pPr>
            <w:r>
              <w:rPr>
                <w:rFonts w:cs="Arial"/>
              </w:rPr>
              <w:t>4</w:t>
            </w:r>
            <w:r w:rsidRPr="4313BCE6">
              <w:rPr>
                <w:rFonts w:cs="Arial"/>
              </w:rPr>
              <w:t>/</w:t>
            </w:r>
            <w:r>
              <w:rPr>
                <w:rFonts w:cs="Arial"/>
              </w:rPr>
              <w:t>1</w:t>
            </w:r>
            <w:r w:rsidRPr="4313BCE6">
              <w:rPr>
                <w:rFonts w:cs="Arial"/>
              </w:rPr>
              <w:t>/2024</w:t>
            </w:r>
          </w:p>
        </w:tc>
      </w:tr>
      <w:tr w14:paraId="30893551" w14:textId="77777777" w:rsidTr="6EA679FD">
        <w:tblPrEx>
          <w:tblW w:w="9877" w:type="dxa"/>
          <w:jc w:val="center"/>
          <w:tblLayout w:type="fixed"/>
          <w:tblLook w:val="01E0"/>
        </w:tblPrEx>
        <w:trPr>
          <w:jc w:val="center"/>
        </w:trPr>
        <w:tc>
          <w:tcPr>
            <w:tcW w:w="2902" w:type="dxa"/>
            <w:vMerge/>
          </w:tcPr>
          <w:p w:rsidR="005A798D" w:rsidRPr="0029146B" w:rsidP="00895CEF" w14:paraId="7B0099EA" w14:textId="77777777">
            <w:pPr>
              <w:spacing w:before="48" w:beforeLines="20" w:after="48" w:afterLines="20"/>
              <w:ind w:left="33"/>
              <w:rPr>
                <w:sz w:val="20"/>
                <w:szCs w:val="20"/>
              </w:rPr>
            </w:pPr>
          </w:p>
        </w:tc>
        <w:tc>
          <w:tcPr>
            <w:tcW w:w="2475" w:type="dxa"/>
            <w:tcBorders>
              <w:top w:val="single" w:sz="6" w:space="0" w:color="auto"/>
              <w:bottom w:val="single" w:sz="6" w:space="0" w:color="auto"/>
            </w:tcBorders>
            <w:shd w:val="clear" w:color="auto" w:fill="auto"/>
          </w:tcPr>
          <w:p w:rsidR="005A798D" w:rsidRPr="00625901" w:rsidP="00895CEF" w14:paraId="611D8D42" w14:textId="77777777">
            <w:pPr>
              <w:rPr>
                <w:highlight w:val="magenta"/>
              </w:rPr>
            </w:pPr>
            <w:r w:rsidRPr="00356265">
              <w:rPr>
                <w:rFonts w:cs="Arial"/>
              </w:rPr>
              <w:t>Conduct focus groups</w:t>
            </w:r>
          </w:p>
        </w:tc>
        <w:tc>
          <w:tcPr>
            <w:tcW w:w="1800" w:type="dxa"/>
            <w:tcBorders>
              <w:top w:val="single" w:sz="6" w:space="0" w:color="auto"/>
              <w:bottom w:val="single" w:sz="6" w:space="0" w:color="auto"/>
            </w:tcBorders>
            <w:shd w:val="clear" w:color="auto" w:fill="auto"/>
          </w:tcPr>
          <w:p w:rsidR="005A798D" w:rsidRPr="00845AA9" w:rsidP="00895CEF" w14:paraId="45C10281" w14:textId="4FFE2213">
            <w:pPr>
              <w:spacing w:before="48" w:beforeLines="20" w:after="48" w:afterLines="20"/>
              <w:ind w:left="33"/>
            </w:pPr>
            <w:r w:rsidRPr="00625901">
              <w:t>1 -2</w:t>
            </w:r>
            <w:r w:rsidRPr="00845AA9">
              <w:t xml:space="preserve"> months after OMB approval</w:t>
            </w:r>
          </w:p>
        </w:tc>
        <w:tc>
          <w:tcPr>
            <w:tcW w:w="1350" w:type="dxa"/>
            <w:tcBorders>
              <w:top w:val="single" w:sz="6" w:space="0" w:color="auto"/>
              <w:bottom w:val="single" w:sz="6" w:space="0" w:color="auto"/>
            </w:tcBorders>
          </w:tcPr>
          <w:p w:rsidR="005A798D" w:rsidRPr="00625901" w:rsidP="00895CEF" w14:paraId="1889ED6D" w14:textId="1C6C760B">
            <w:pPr>
              <w:spacing w:before="48" w:beforeLines="20" w:after="48" w:afterLines="20"/>
              <w:ind w:left="33"/>
            </w:pPr>
            <w:r>
              <w:t>1/2</w:t>
            </w:r>
            <w:r w:rsidR="4B313D83">
              <w:t>2</w:t>
            </w:r>
            <w:r>
              <w:t>/2023</w:t>
            </w:r>
          </w:p>
        </w:tc>
        <w:tc>
          <w:tcPr>
            <w:tcW w:w="1350" w:type="dxa"/>
            <w:tcBorders>
              <w:top w:val="single" w:sz="6" w:space="0" w:color="auto"/>
              <w:bottom w:val="single" w:sz="6" w:space="0" w:color="auto"/>
            </w:tcBorders>
          </w:tcPr>
          <w:p w:rsidR="005A798D" w:rsidRPr="00625901" w:rsidP="00895CEF" w14:paraId="7E662AE9" w14:textId="32C77F60">
            <w:pPr>
              <w:spacing w:before="48" w:beforeLines="20" w:after="48" w:afterLines="20"/>
              <w:ind w:left="33"/>
            </w:pPr>
            <w:r>
              <w:t>4</w:t>
            </w:r>
            <w:r>
              <w:t>/8/2024</w:t>
            </w:r>
          </w:p>
        </w:tc>
      </w:tr>
      <w:tr w14:paraId="6A8E8AE3" w14:textId="77777777" w:rsidTr="6EA679FD">
        <w:tblPrEx>
          <w:tblW w:w="9877" w:type="dxa"/>
          <w:jc w:val="center"/>
          <w:tblLayout w:type="fixed"/>
          <w:tblLook w:val="01E0"/>
        </w:tblPrEx>
        <w:trPr>
          <w:jc w:val="center"/>
        </w:trPr>
        <w:tc>
          <w:tcPr>
            <w:tcW w:w="2902" w:type="dxa"/>
            <w:vMerge/>
          </w:tcPr>
          <w:p w:rsidR="005A798D" w:rsidRPr="0029146B" w:rsidP="00895CEF" w14:paraId="1ACF23E5" w14:textId="77777777">
            <w:pPr>
              <w:spacing w:before="48" w:beforeLines="20" w:after="48" w:afterLines="20"/>
              <w:ind w:left="33"/>
              <w:rPr>
                <w:sz w:val="20"/>
                <w:szCs w:val="20"/>
              </w:rPr>
            </w:pPr>
          </w:p>
        </w:tc>
        <w:tc>
          <w:tcPr>
            <w:tcW w:w="2475" w:type="dxa"/>
            <w:tcBorders>
              <w:top w:val="single" w:sz="6" w:space="0" w:color="auto"/>
              <w:bottom w:val="single" w:sz="6" w:space="0" w:color="auto"/>
            </w:tcBorders>
            <w:shd w:val="clear" w:color="auto" w:fill="auto"/>
          </w:tcPr>
          <w:p w:rsidR="005A798D" w:rsidRPr="00577A70" w:rsidP="00895CEF" w14:paraId="17A0B5E7" w14:textId="636E1D4C">
            <w:pPr>
              <w:spacing w:before="48" w:beforeLines="20" w:after="48" w:afterLines="20"/>
              <w:ind w:left="33"/>
            </w:pPr>
            <w:r w:rsidRPr="00577A70">
              <w:rPr>
                <w:rFonts w:cs="Arial"/>
              </w:rPr>
              <w:t xml:space="preserve">Notes/transcripts/audiotapes from </w:t>
            </w:r>
            <w:r w:rsidRPr="00625901">
              <w:rPr>
                <w:rFonts w:cs="Arial"/>
              </w:rPr>
              <w:t>focus groups</w:t>
            </w:r>
          </w:p>
        </w:tc>
        <w:tc>
          <w:tcPr>
            <w:tcW w:w="1800" w:type="dxa"/>
            <w:tcBorders>
              <w:top w:val="single" w:sz="6" w:space="0" w:color="auto"/>
              <w:bottom w:val="single" w:sz="6" w:space="0" w:color="auto"/>
            </w:tcBorders>
            <w:shd w:val="clear" w:color="auto" w:fill="auto"/>
          </w:tcPr>
          <w:p w:rsidR="005A798D" w:rsidRPr="00577A70" w:rsidP="00895CEF" w14:paraId="0B6F0AC1" w14:textId="77777777">
            <w:pPr>
              <w:spacing w:before="48" w:beforeLines="20" w:after="48" w:afterLines="20"/>
              <w:ind w:left="33"/>
            </w:pPr>
            <w:r w:rsidRPr="00577A70">
              <w:rPr>
                <w:rFonts w:cs="Arial"/>
              </w:rPr>
              <w:t>5 months after OMB approval</w:t>
            </w:r>
          </w:p>
        </w:tc>
        <w:tc>
          <w:tcPr>
            <w:tcW w:w="1350" w:type="dxa"/>
            <w:tcBorders>
              <w:top w:val="single" w:sz="6" w:space="0" w:color="auto"/>
              <w:bottom w:val="single" w:sz="6" w:space="0" w:color="auto"/>
            </w:tcBorders>
          </w:tcPr>
          <w:p w:rsidR="005A798D" w:rsidRPr="00625901" w:rsidP="00895CEF" w14:paraId="3DFC4B8E" w14:textId="47634D39">
            <w:pPr>
              <w:spacing w:before="48" w:beforeLines="20" w:after="48" w:afterLines="20"/>
              <w:ind w:left="33"/>
              <w:rPr>
                <w:rFonts w:cs="Arial"/>
              </w:rPr>
            </w:pPr>
            <w:r w:rsidRPr="4313BCE6">
              <w:rPr>
                <w:rFonts w:cs="Arial"/>
              </w:rPr>
              <w:t>5</w:t>
            </w:r>
            <w:r w:rsidRPr="4313BCE6">
              <w:rPr>
                <w:rFonts w:cs="Arial"/>
              </w:rPr>
              <w:t>/</w:t>
            </w:r>
            <w:r w:rsidRPr="4313BCE6" w:rsidR="56056A49">
              <w:rPr>
                <w:rFonts w:cs="Arial"/>
              </w:rPr>
              <w:t>6</w:t>
            </w:r>
            <w:r w:rsidRPr="4313BCE6">
              <w:rPr>
                <w:rFonts w:cs="Arial"/>
              </w:rPr>
              <w:t>/2024</w:t>
            </w:r>
          </w:p>
        </w:tc>
        <w:tc>
          <w:tcPr>
            <w:tcW w:w="1350" w:type="dxa"/>
            <w:tcBorders>
              <w:top w:val="single" w:sz="6" w:space="0" w:color="auto"/>
              <w:bottom w:val="single" w:sz="6" w:space="0" w:color="auto"/>
            </w:tcBorders>
          </w:tcPr>
          <w:p w:rsidR="005A798D" w:rsidRPr="00625901" w:rsidP="00895CEF" w14:paraId="12EB5E54" w14:textId="4F4B1F6B">
            <w:pPr>
              <w:spacing w:before="48" w:beforeLines="20" w:after="48" w:afterLines="20"/>
              <w:ind w:left="33"/>
              <w:rPr>
                <w:rFonts w:cs="Arial"/>
              </w:rPr>
            </w:pPr>
            <w:r w:rsidRPr="4313BCE6">
              <w:rPr>
                <w:rFonts w:cs="Arial"/>
              </w:rPr>
              <w:t>6</w:t>
            </w:r>
            <w:r w:rsidRPr="4313BCE6">
              <w:rPr>
                <w:rFonts w:cs="Arial"/>
              </w:rPr>
              <w:t>/</w:t>
            </w:r>
            <w:r w:rsidRPr="4313BCE6" w:rsidR="4F986B1F">
              <w:rPr>
                <w:rFonts w:cs="Arial"/>
              </w:rPr>
              <w:t>3</w:t>
            </w:r>
            <w:r w:rsidRPr="4313BCE6">
              <w:rPr>
                <w:rFonts w:cs="Arial"/>
              </w:rPr>
              <w:t>/2024</w:t>
            </w:r>
          </w:p>
        </w:tc>
      </w:tr>
      <w:tr w14:paraId="7FC9CF7F" w14:textId="77777777" w:rsidTr="6EA679FD">
        <w:tblPrEx>
          <w:tblW w:w="9877" w:type="dxa"/>
          <w:jc w:val="center"/>
          <w:tblLayout w:type="fixed"/>
          <w:tblLook w:val="01E0"/>
        </w:tblPrEx>
        <w:trPr>
          <w:jc w:val="center"/>
        </w:trPr>
        <w:tc>
          <w:tcPr>
            <w:tcW w:w="2902" w:type="dxa"/>
            <w:vMerge w:val="restart"/>
            <w:tcBorders>
              <w:top w:val="single" w:sz="6" w:space="0" w:color="auto"/>
            </w:tcBorders>
            <w:shd w:val="clear" w:color="auto" w:fill="auto"/>
            <w:vAlign w:val="center"/>
          </w:tcPr>
          <w:p w:rsidR="005A798D" w:rsidRPr="00993D82" w:rsidP="00895CEF" w14:paraId="79732684" w14:textId="0C1CB2AB">
            <w:pPr>
              <w:rPr>
                <w:rFonts w:cs="Arial"/>
              </w:rPr>
            </w:pPr>
            <w:r w:rsidRPr="6EA679FD">
              <w:rPr>
                <w:rFonts w:cs="Arial"/>
              </w:rPr>
              <w:t>Analysis and Development of Final Products</w:t>
            </w:r>
          </w:p>
        </w:tc>
        <w:tc>
          <w:tcPr>
            <w:tcW w:w="2475" w:type="dxa"/>
            <w:tcBorders>
              <w:top w:val="single" w:sz="6" w:space="0" w:color="auto"/>
              <w:bottom w:val="single" w:sz="6" w:space="0" w:color="auto"/>
            </w:tcBorders>
            <w:shd w:val="clear" w:color="auto" w:fill="auto"/>
          </w:tcPr>
          <w:p w:rsidR="005A798D" w:rsidRPr="00625901" w:rsidP="00895CEF" w14:paraId="5199800D" w14:textId="77777777">
            <w:pPr>
              <w:spacing w:before="48" w:beforeLines="20" w:after="48" w:afterLines="20"/>
              <w:ind w:left="33"/>
              <w:rPr>
                <w:rFonts w:cs="Arial"/>
              </w:rPr>
            </w:pPr>
            <w:r w:rsidRPr="00625901">
              <w:rPr>
                <w:rFonts w:cs="Arial"/>
              </w:rPr>
              <w:t>Analyze Results</w:t>
            </w:r>
          </w:p>
        </w:tc>
        <w:tc>
          <w:tcPr>
            <w:tcW w:w="1800" w:type="dxa"/>
            <w:tcBorders>
              <w:top w:val="single" w:sz="6" w:space="0" w:color="auto"/>
              <w:bottom w:val="single" w:sz="6" w:space="0" w:color="auto"/>
            </w:tcBorders>
            <w:shd w:val="clear" w:color="auto" w:fill="auto"/>
          </w:tcPr>
          <w:p w:rsidR="005A798D" w:rsidRPr="00625901" w:rsidP="00895CEF" w14:paraId="08D2545C" w14:textId="77777777">
            <w:pPr>
              <w:spacing w:before="48" w:beforeLines="20" w:after="48" w:afterLines="20"/>
              <w:ind w:left="33"/>
              <w:rPr>
                <w:rFonts w:cs="Arial"/>
              </w:rPr>
            </w:pPr>
            <w:r w:rsidRPr="00625901">
              <w:rPr>
                <w:rFonts w:cs="Arial"/>
              </w:rPr>
              <w:t>5 months after OMB approval</w:t>
            </w:r>
          </w:p>
        </w:tc>
        <w:tc>
          <w:tcPr>
            <w:tcW w:w="1350" w:type="dxa"/>
            <w:tcBorders>
              <w:top w:val="single" w:sz="6" w:space="0" w:color="auto"/>
              <w:bottom w:val="single" w:sz="6" w:space="0" w:color="auto"/>
            </w:tcBorders>
          </w:tcPr>
          <w:p w:rsidR="005A798D" w:rsidRPr="00625901" w:rsidP="00895CEF" w14:paraId="07FAF48A" w14:textId="713A4EC4">
            <w:pPr>
              <w:spacing w:before="48" w:beforeLines="20" w:after="48" w:afterLines="20"/>
              <w:ind w:left="33"/>
              <w:rPr>
                <w:rFonts w:cs="Arial"/>
              </w:rPr>
            </w:pPr>
            <w:r w:rsidRPr="4313BCE6">
              <w:rPr>
                <w:rFonts w:cs="Arial"/>
              </w:rPr>
              <w:t>5</w:t>
            </w:r>
            <w:r w:rsidRPr="4313BCE6">
              <w:rPr>
                <w:rFonts w:cs="Arial"/>
              </w:rPr>
              <w:t>/</w:t>
            </w:r>
            <w:r w:rsidRPr="4313BCE6" w:rsidR="04E41FD5">
              <w:rPr>
                <w:rFonts w:cs="Arial"/>
              </w:rPr>
              <w:t>13</w:t>
            </w:r>
            <w:r w:rsidRPr="4313BCE6">
              <w:rPr>
                <w:rFonts w:cs="Arial"/>
              </w:rPr>
              <w:t>/2024</w:t>
            </w:r>
          </w:p>
        </w:tc>
        <w:tc>
          <w:tcPr>
            <w:tcW w:w="1350" w:type="dxa"/>
            <w:tcBorders>
              <w:top w:val="single" w:sz="6" w:space="0" w:color="auto"/>
              <w:bottom w:val="single" w:sz="6" w:space="0" w:color="auto"/>
            </w:tcBorders>
          </w:tcPr>
          <w:p w:rsidR="005A798D" w:rsidRPr="00625901" w:rsidP="00895CEF" w14:paraId="4183FE91" w14:textId="116DB11E">
            <w:pPr>
              <w:spacing w:before="48" w:beforeLines="20" w:after="48" w:afterLines="20"/>
              <w:ind w:left="33"/>
              <w:rPr>
                <w:rFonts w:cs="Arial"/>
              </w:rPr>
            </w:pPr>
            <w:r w:rsidRPr="4313BCE6">
              <w:rPr>
                <w:rFonts w:cs="Arial"/>
              </w:rPr>
              <w:t>6</w:t>
            </w:r>
            <w:r w:rsidRPr="4313BCE6">
              <w:rPr>
                <w:rFonts w:cs="Arial"/>
              </w:rPr>
              <w:t>/</w:t>
            </w:r>
            <w:r w:rsidRPr="4313BCE6" w:rsidR="45E56D68">
              <w:rPr>
                <w:rFonts w:cs="Arial"/>
              </w:rPr>
              <w:t>7</w:t>
            </w:r>
            <w:r w:rsidRPr="4313BCE6">
              <w:rPr>
                <w:rFonts w:cs="Arial"/>
              </w:rPr>
              <w:t>/2024</w:t>
            </w:r>
          </w:p>
        </w:tc>
      </w:tr>
      <w:tr w14:paraId="29F4B9C4" w14:textId="77777777" w:rsidTr="6EA679FD">
        <w:tblPrEx>
          <w:tblW w:w="9877" w:type="dxa"/>
          <w:jc w:val="center"/>
          <w:tblLayout w:type="fixed"/>
          <w:tblLook w:val="01E0"/>
        </w:tblPrEx>
        <w:trPr>
          <w:jc w:val="center"/>
        </w:trPr>
        <w:tc>
          <w:tcPr>
            <w:tcW w:w="2902" w:type="dxa"/>
            <w:vMerge/>
          </w:tcPr>
          <w:p w:rsidR="005A798D" w:rsidRPr="00993D82" w:rsidP="00895CEF" w14:paraId="7C2A3EA2" w14:textId="77777777">
            <w:pPr>
              <w:rPr>
                <w:rFonts w:cs="Arial"/>
              </w:rPr>
            </w:pPr>
          </w:p>
        </w:tc>
        <w:tc>
          <w:tcPr>
            <w:tcW w:w="2475" w:type="dxa"/>
            <w:tcBorders>
              <w:top w:val="single" w:sz="6" w:space="0" w:color="auto"/>
              <w:bottom w:val="single" w:sz="6" w:space="0" w:color="auto"/>
            </w:tcBorders>
            <w:shd w:val="clear" w:color="auto" w:fill="auto"/>
          </w:tcPr>
          <w:p w:rsidR="005A798D" w:rsidRPr="00993D82" w:rsidP="00895CEF" w14:paraId="7BB1C4A9" w14:textId="77777777">
            <w:pPr>
              <w:spacing w:before="48" w:beforeLines="20" w:after="48" w:afterLines="20"/>
              <w:ind w:left="33"/>
              <w:rPr>
                <w:rFonts w:cs="Arial"/>
              </w:rPr>
            </w:pPr>
            <w:r w:rsidRPr="00993D82">
              <w:rPr>
                <w:rFonts w:cs="Arial"/>
              </w:rPr>
              <w:t>Draft Report</w:t>
            </w:r>
          </w:p>
        </w:tc>
        <w:tc>
          <w:tcPr>
            <w:tcW w:w="1800" w:type="dxa"/>
            <w:tcBorders>
              <w:top w:val="single" w:sz="6" w:space="0" w:color="auto"/>
              <w:bottom w:val="single" w:sz="6" w:space="0" w:color="auto"/>
            </w:tcBorders>
            <w:shd w:val="clear" w:color="auto" w:fill="auto"/>
          </w:tcPr>
          <w:p w:rsidR="005A798D" w:rsidRPr="00993D82" w:rsidP="00895CEF" w14:paraId="6DD27251" w14:textId="11303DE5">
            <w:pPr>
              <w:spacing w:before="48" w:beforeLines="20" w:after="48" w:afterLines="20"/>
              <w:ind w:left="33"/>
              <w:rPr>
                <w:rFonts w:cs="Arial"/>
              </w:rPr>
            </w:pPr>
            <w:r w:rsidRPr="00993D82">
              <w:rPr>
                <w:rFonts w:cs="Arial"/>
              </w:rPr>
              <w:t>7 months after OMB approval</w:t>
            </w:r>
          </w:p>
        </w:tc>
        <w:tc>
          <w:tcPr>
            <w:tcW w:w="1350" w:type="dxa"/>
            <w:tcBorders>
              <w:top w:val="single" w:sz="6" w:space="0" w:color="auto"/>
              <w:bottom w:val="single" w:sz="6" w:space="0" w:color="auto"/>
            </w:tcBorders>
          </w:tcPr>
          <w:p w:rsidR="005A798D" w:rsidRPr="00625901" w:rsidP="00895CEF" w14:paraId="3D786F0F" w14:textId="656308D4">
            <w:pPr>
              <w:spacing w:before="48" w:beforeLines="20" w:after="48" w:afterLines="20"/>
              <w:ind w:left="33"/>
              <w:rPr>
                <w:rFonts w:cs="Arial"/>
              </w:rPr>
            </w:pPr>
            <w:r w:rsidRPr="4313BCE6">
              <w:rPr>
                <w:rFonts w:cs="Arial"/>
              </w:rPr>
              <w:t>6</w:t>
            </w:r>
            <w:r w:rsidRPr="4313BCE6">
              <w:rPr>
                <w:rFonts w:cs="Arial"/>
              </w:rPr>
              <w:t>/</w:t>
            </w:r>
            <w:r w:rsidRPr="4313BCE6" w:rsidR="2537E001">
              <w:rPr>
                <w:rFonts w:cs="Arial"/>
              </w:rPr>
              <w:t>10</w:t>
            </w:r>
            <w:r w:rsidRPr="4313BCE6">
              <w:rPr>
                <w:rFonts w:cs="Arial"/>
              </w:rPr>
              <w:t>/2024</w:t>
            </w:r>
          </w:p>
        </w:tc>
        <w:tc>
          <w:tcPr>
            <w:tcW w:w="1350" w:type="dxa"/>
            <w:tcBorders>
              <w:top w:val="single" w:sz="6" w:space="0" w:color="auto"/>
              <w:bottom w:val="single" w:sz="6" w:space="0" w:color="auto"/>
            </w:tcBorders>
          </w:tcPr>
          <w:p w:rsidR="005A798D" w:rsidRPr="00625901" w:rsidP="00895CEF" w14:paraId="50496000" w14:textId="31569351">
            <w:pPr>
              <w:spacing w:before="48" w:beforeLines="20" w:after="48" w:afterLines="20"/>
              <w:ind w:left="33"/>
              <w:rPr>
                <w:rFonts w:cs="Arial"/>
              </w:rPr>
            </w:pPr>
            <w:r w:rsidRPr="4313BCE6">
              <w:rPr>
                <w:rFonts w:cs="Arial"/>
              </w:rPr>
              <w:t>7</w:t>
            </w:r>
            <w:r w:rsidRPr="4313BCE6">
              <w:rPr>
                <w:rFonts w:cs="Arial"/>
              </w:rPr>
              <w:t>/</w:t>
            </w:r>
            <w:r w:rsidRPr="4313BCE6" w:rsidR="55FF0183">
              <w:rPr>
                <w:rFonts w:cs="Arial"/>
              </w:rPr>
              <w:t>1</w:t>
            </w:r>
            <w:r w:rsidRPr="4313BCE6">
              <w:rPr>
                <w:rFonts w:cs="Arial"/>
              </w:rPr>
              <w:t>/24</w:t>
            </w:r>
          </w:p>
        </w:tc>
      </w:tr>
      <w:tr w14:paraId="01561E17" w14:textId="77777777" w:rsidTr="6EA679FD">
        <w:tblPrEx>
          <w:tblW w:w="9877" w:type="dxa"/>
          <w:jc w:val="center"/>
          <w:tblLayout w:type="fixed"/>
          <w:tblLook w:val="01E0"/>
        </w:tblPrEx>
        <w:trPr>
          <w:jc w:val="center"/>
        </w:trPr>
        <w:tc>
          <w:tcPr>
            <w:tcW w:w="2902" w:type="dxa"/>
            <w:vMerge/>
          </w:tcPr>
          <w:p w:rsidR="005A798D" w:rsidRPr="00993D82" w:rsidP="00895CEF" w14:paraId="2C875EE8" w14:textId="77777777">
            <w:pPr>
              <w:rPr>
                <w:rFonts w:cs="Arial"/>
              </w:rPr>
            </w:pPr>
          </w:p>
        </w:tc>
        <w:tc>
          <w:tcPr>
            <w:tcW w:w="2475" w:type="dxa"/>
            <w:tcBorders>
              <w:top w:val="single" w:sz="6" w:space="0" w:color="auto"/>
              <w:bottom w:val="single" w:sz="6" w:space="0" w:color="auto"/>
            </w:tcBorders>
            <w:shd w:val="clear" w:color="auto" w:fill="auto"/>
          </w:tcPr>
          <w:p w:rsidR="005A798D" w:rsidRPr="00993D82" w:rsidP="00895CEF" w14:paraId="6050C7CA" w14:textId="77777777">
            <w:pPr>
              <w:spacing w:before="48" w:beforeLines="20" w:after="48" w:afterLines="20"/>
              <w:ind w:left="33"/>
              <w:rPr>
                <w:rFonts w:cs="Arial"/>
              </w:rPr>
            </w:pPr>
            <w:r w:rsidRPr="00625901">
              <w:t>Final Report</w:t>
            </w:r>
          </w:p>
        </w:tc>
        <w:tc>
          <w:tcPr>
            <w:tcW w:w="1800" w:type="dxa"/>
            <w:tcBorders>
              <w:top w:val="single" w:sz="6" w:space="0" w:color="auto"/>
              <w:bottom w:val="single" w:sz="6" w:space="0" w:color="auto"/>
            </w:tcBorders>
            <w:shd w:val="clear" w:color="auto" w:fill="auto"/>
          </w:tcPr>
          <w:p w:rsidR="005A798D" w:rsidRPr="00993D82" w:rsidP="00895CEF" w14:paraId="160D8499" w14:textId="77777777">
            <w:pPr>
              <w:spacing w:before="48" w:beforeLines="20" w:after="48" w:afterLines="20"/>
              <w:ind w:left="33"/>
              <w:rPr>
                <w:rFonts w:cs="Arial"/>
              </w:rPr>
            </w:pPr>
            <w:r w:rsidRPr="00625901">
              <w:t>8 months after OMB approval</w:t>
            </w:r>
          </w:p>
        </w:tc>
        <w:tc>
          <w:tcPr>
            <w:tcW w:w="1350" w:type="dxa"/>
            <w:tcBorders>
              <w:top w:val="single" w:sz="6" w:space="0" w:color="auto"/>
              <w:bottom w:val="single" w:sz="6" w:space="0" w:color="auto"/>
            </w:tcBorders>
          </w:tcPr>
          <w:p w:rsidR="005A798D" w:rsidRPr="00993D82" w:rsidP="00895CEF" w14:paraId="1FA4B0DC" w14:textId="60A1EA50">
            <w:pPr>
              <w:spacing w:before="48" w:beforeLines="20" w:after="48" w:afterLines="20"/>
              <w:ind w:left="33"/>
              <w:rPr>
                <w:rFonts w:cs="Arial"/>
              </w:rPr>
            </w:pPr>
            <w:r>
              <w:t>7</w:t>
            </w:r>
            <w:r>
              <w:t>/</w:t>
            </w:r>
            <w:r w:rsidR="10BAF91D">
              <w:t>1</w:t>
            </w:r>
            <w:r w:rsidR="0C041C78">
              <w:t>5</w:t>
            </w:r>
            <w:r>
              <w:t>/2024</w:t>
            </w:r>
          </w:p>
        </w:tc>
        <w:tc>
          <w:tcPr>
            <w:tcW w:w="1350" w:type="dxa"/>
            <w:tcBorders>
              <w:top w:val="single" w:sz="6" w:space="0" w:color="auto"/>
              <w:bottom w:val="single" w:sz="6" w:space="0" w:color="auto"/>
            </w:tcBorders>
          </w:tcPr>
          <w:p w:rsidR="005A798D" w:rsidRPr="00993D82" w:rsidP="00895CEF" w14:paraId="0C21A225" w14:textId="3303F994">
            <w:pPr>
              <w:spacing w:before="48" w:beforeLines="20" w:after="48" w:afterLines="20"/>
              <w:ind w:left="33"/>
              <w:rPr>
                <w:rFonts w:cs="Arial"/>
              </w:rPr>
            </w:pPr>
            <w:r>
              <w:t>8</w:t>
            </w:r>
            <w:r>
              <w:t>/</w:t>
            </w:r>
            <w:r w:rsidR="3363345E">
              <w:t>2</w:t>
            </w:r>
            <w:r>
              <w:t>/2024</w:t>
            </w:r>
          </w:p>
        </w:tc>
      </w:tr>
      <w:tr w14:paraId="1CC520E1" w14:textId="77777777" w:rsidTr="6EA679FD">
        <w:tblPrEx>
          <w:tblW w:w="9877" w:type="dxa"/>
          <w:jc w:val="center"/>
          <w:tblLayout w:type="fixed"/>
          <w:tblLook w:val="01E0"/>
        </w:tblPrEx>
        <w:trPr>
          <w:jc w:val="center"/>
        </w:trPr>
        <w:tc>
          <w:tcPr>
            <w:tcW w:w="2902" w:type="dxa"/>
            <w:vMerge/>
          </w:tcPr>
          <w:p w:rsidR="005A798D" w:rsidRPr="00993D82" w:rsidP="00895CEF" w14:paraId="5FCD181E" w14:textId="77777777">
            <w:pPr>
              <w:rPr>
                <w:rFonts w:cs="Arial"/>
                <w:sz w:val="20"/>
                <w:szCs w:val="20"/>
              </w:rPr>
            </w:pPr>
          </w:p>
        </w:tc>
        <w:tc>
          <w:tcPr>
            <w:tcW w:w="2475" w:type="dxa"/>
            <w:tcBorders>
              <w:top w:val="single" w:sz="6" w:space="0" w:color="auto"/>
              <w:bottom w:val="single" w:sz="6" w:space="0" w:color="auto"/>
            </w:tcBorders>
            <w:shd w:val="clear" w:color="auto" w:fill="auto"/>
          </w:tcPr>
          <w:p w:rsidR="005A798D" w:rsidRPr="00625901" w:rsidP="00895CEF" w14:paraId="5A2326D7" w14:textId="77777777">
            <w:pPr>
              <w:spacing w:before="48" w:beforeLines="20" w:after="48" w:afterLines="20"/>
              <w:ind w:left="33"/>
            </w:pPr>
            <w:r w:rsidRPr="00625901">
              <w:t>Draft PowerPoint</w:t>
            </w:r>
          </w:p>
        </w:tc>
        <w:tc>
          <w:tcPr>
            <w:tcW w:w="1800" w:type="dxa"/>
            <w:tcBorders>
              <w:top w:val="single" w:sz="6" w:space="0" w:color="auto"/>
              <w:bottom w:val="single" w:sz="6" w:space="0" w:color="auto"/>
            </w:tcBorders>
            <w:shd w:val="clear" w:color="auto" w:fill="auto"/>
          </w:tcPr>
          <w:p w:rsidR="005A798D" w:rsidRPr="00625901" w:rsidP="00895CEF" w14:paraId="1195F9A6" w14:textId="77777777">
            <w:pPr>
              <w:spacing w:before="48" w:beforeLines="20" w:after="48" w:afterLines="20"/>
              <w:ind w:left="33"/>
            </w:pPr>
            <w:r w:rsidRPr="00625901">
              <w:t>9 months after OMB approval</w:t>
            </w:r>
          </w:p>
        </w:tc>
        <w:tc>
          <w:tcPr>
            <w:tcW w:w="1350" w:type="dxa"/>
            <w:tcBorders>
              <w:top w:val="single" w:sz="6" w:space="0" w:color="auto"/>
              <w:bottom w:val="single" w:sz="6" w:space="0" w:color="auto"/>
            </w:tcBorders>
          </w:tcPr>
          <w:p w:rsidR="005A798D" w:rsidRPr="00625901" w:rsidP="00895CEF" w14:paraId="41970C3A" w14:textId="1816C955">
            <w:pPr>
              <w:spacing w:before="48" w:beforeLines="20" w:after="48" w:afterLines="20"/>
              <w:ind w:left="33"/>
            </w:pPr>
            <w:r>
              <w:t>8</w:t>
            </w:r>
            <w:r>
              <w:t>/</w:t>
            </w:r>
            <w:r w:rsidR="7CB3A201">
              <w:t>5</w:t>
            </w:r>
            <w:r>
              <w:t>/2024</w:t>
            </w:r>
          </w:p>
        </w:tc>
        <w:tc>
          <w:tcPr>
            <w:tcW w:w="1350" w:type="dxa"/>
            <w:tcBorders>
              <w:top w:val="single" w:sz="6" w:space="0" w:color="auto"/>
              <w:bottom w:val="single" w:sz="6" w:space="0" w:color="auto"/>
            </w:tcBorders>
          </w:tcPr>
          <w:p w:rsidR="005A798D" w:rsidRPr="00625901" w:rsidP="00895CEF" w14:paraId="5ABCEC61" w14:textId="1CEBB377">
            <w:pPr>
              <w:spacing w:before="48" w:beforeLines="20" w:after="48" w:afterLines="20"/>
              <w:ind w:left="33"/>
            </w:pPr>
            <w:r>
              <w:t>8/</w:t>
            </w:r>
            <w:r w:rsidR="126AB2DC">
              <w:t>16</w:t>
            </w:r>
            <w:r>
              <w:t>/2024</w:t>
            </w:r>
          </w:p>
        </w:tc>
      </w:tr>
      <w:tr w14:paraId="43A954E8" w14:textId="77777777" w:rsidTr="6EA679FD">
        <w:tblPrEx>
          <w:tblW w:w="9877" w:type="dxa"/>
          <w:jc w:val="center"/>
          <w:tblLayout w:type="fixed"/>
          <w:tblLook w:val="01E0"/>
        </w:tblPrEx>
        <w:trPr>
          <w:jc w:val="center"/>
        </w:trPr>
        <w:tc>
          <w:tcPr>
            <w:tcW w:w="2902" w:type="dxa"/>
            <w:vMerge/>
          </w:tcPr>
          <w:p w:rsidR="005A798D" w:rsidRPr="00993D82" w:rsidP="00895CEF" w14:paraId="518B10D5" w14:textId="77777777">
            <w:pPr>
              <w:rPr>
                <w:rFonts w:cs="Arial"/>
                <w:sz w:val="20"/>
                <w:szCs w:val="20"/>
              </w:rPr>
            </w:pPr>
          </w:p>
        </w:tc>
        <w:tc>
          <w:tcPr>
            <w:tcW w:w="2475" w:type="dxa"/>
            <w:tcBorders>
              <w:top w:val="single" w:sz="6" w:space="0" w:color="auto"/>
              <w:bottom w:val="single" w:sz="6" w:space="0" w:color="auto"/>
            </w:tcBorders>
            <w:shd w:val="clear" w:color="auto" w:fill="auto"/>
          </w:tcPr>
          <w:p w:rsidR="005A798D" w:rsidRPr="00993D82" w:rsidP="00895CEF" w14:paraId="5F11A4F4" w14:textId="02C32820">
            <w:pPr>
              <w:spacing w:before="48" w:beforeLines="20" w:after="48" w:afterLines="20"/>
              <w:ind w:left="33"/>
            </w:pPr>
            <w:r w:rsidRPr="00625901">
              <w:t>Final PowerPoint</w:t>
            </w:r>
          </w:p>
        </w:tc>
        <w:tc>
          <w:tcPr>
            <w:tcW w:w="1800" w:type="dxa"/>
            <w:tcBorders>
              <w:top w:val="single" w:sz="6" w:space="0" w:color="auto"/>
              <w:bottom w:val="single" w:sz="6" w:space="0" w:color="auto"/>
            </w:tcBorders>
            <w:shd w:val="clear" w:color="auto" w:fill="auto"/>
          </w:tcPr>
          <w:p w:rsidR="005A798D" w:rsidRPr="00993D82" w:rsidP="00895CEF" w14:paraId="42F1FBDB" w14:textId="23050B3B">
            <w:pPr>
              <w:spacing w:before="48" w:beforeLines="20" w:after="48" w:afterLines="20"/>
              <w:ind w:left="33"/>
            </w:pPr>
            <w:r w:rsidRPr="00625901">
              <w:t>10 months after OMB approval</w:t>
            </w:r>
          </w:p>
        </w:tc>
        <w:tc>
          <w:tcPr>
            <w:tcW w:w="1350" w:type="dxa"/>
            <w:tcBorders>
              <w:top w:val="single" w:sz="6" w:space="0" w:color="auto"/>
              <w:bottom w:val="single" w:sz="6" w:space="0" w:color="auto"/>
            </w:tcBorders>
          </w:tcPr>
          <w:p w:rsidR="005A798D" w:rsidRPr="00625901" w:rsidP="00895CEF" w14:paraId="5857EAE1" w14:textId="02564C5D">
            <w:pPr>
              <w:spacing w:before="48" w:beforeLines="20" w:after="48" w:afterLines="20"/>
              <w:ind w:left="33"/>
            </w:pPr>
            <w:r>
              <w:t>8/2</w:t>
            </w:r>
            <w:r w:rsidR="4AA901A9">
              <w:t>6</w:t>
            </w:r>
            <w:r>
              <w:t>/2024</w:t>
            </w:r>
          </w:p>
        </w:tc>
        <w:tc>
          <w:tcPr>
            <w:tcW w:w="1350" w:type="dxa"/>
            <w:tcBorders>
              <w:top w:val="single" w:sz="6" w:space="0" w:color="auto"/>
              <w:bottom w:val="single" w:sz="6" w:space="0" w:color="auto"/>
            </w:tcBorders>
          </w:tcPr>
          <w:p w:rsidR="005A798D" w:rsidRPr="00625901" w:rsidP="00895CEF" w14:paraId="3FDAB046" w14:textId="77A8839D">
            <w:pPr>
              <w:spacing w:before="48" w:beforeLines="20" w:after="48" w:afterLines="20"/>
              <w:ind w:left="33"/>
            </w:pPr>
            <w:r>
              <w:t>9/</w:t>
            </w:r>
            <w:r w:rsidR="27376ED2">
              <w:t>16/</w:t>
            </w:r>
            <w:r>
              <w:t>2024</w:t>
            </w:r>
          </w:p>
        </w:tc>
      </w:tr>
    </w:tbl>
    <w:p w:rsidR="005A798D" w:rsidP="005A798D" w14:paraId="522B1C33" w14:textId="77777777"/>
    <w:p w:rsidR="005A798D" w:rsidRPr="005C7272" w:rsidP="005A798D" w14:paraId="5AE5BB26" w14:textId="77777777">
      <w:pPr>
        <w:pStyle w:val="Style1"/>
        <w:rPr>
          <w:sz w:val="24"/>
          <w:szCs w:val="24"/>
        </w:rPr>
      </w:pPr>
      <w:bookmarkStart w:id="26" w:name="_Toc141811883"/>
      <w:r w:rsidRPr="59F4798D">
        <w:rPr>
          <w:sz w:val="24"/>
          <w:szCs w:val="24"/>
        </w:rPr>
        <w:t>Section A.17. Reason(s) Display of OMB Expiration Date Is Inappropriate</w:t>
      </w:r>
      <w:bookmarkEnd w:id="26"/>
    </w:p>
    <w:p w:rsidR="005A798D" w:rsidRPr="008750CA" w:rsidP="005A798D" w14:paraId="3A498CDA" w14:textId="77777777">
      <w:pPr>
        <w:ind w:left="360"/>
      </w:pPr>
      <w:r w:rsidRPr="59F4798D">
        <w:t xml:space="preserve"> </w:t>
      </w:r>
    </w:p>
    <w:p w:rsidR="005A798D" w:rsidRPr="007157DB" w:rsidP="005A798D" w14:paraId="32AD5E30" w14:textId="77777777">
      <w:r w:rsidRPr="59F4798D">
        <w:t>NA</w:t>
      </w:r>
    </w:p>
    <w:p w:rsidR="005A798D" w:rsidRPr="005C7272" w:rsidP="005A798D" w14:paraId="40032CDB" w14:textId="77777777">
      <w:pPr>
        <w:pStyle w:val="Style1"/>
        <w:rPr>
          <w:sz w:val="24"/>
          <w:szCs w:val="24"/>
        </w:rPr>
      </w:pPr>
      <w:bookmarkStart w:id="27" w:name="_Toc141811884"/>
      <w:r w:rsidRPr="59F4798D">
        <w:rPr>
          <w:sz w:val="24"/>
          <w:szCs w:val="24"/>
        </w:rPr>
        <w:t>Section A.18. Exceptions to Certification for Paperwork Reduction Act Submissions</w:t>
      </w:r>
      <w:bookmarkEnd w:id="27"/>
    </w:p>
    <w:p w:rsidR="005A798D" w:rsidP="005A798D" w14:paraId="54DCAA18" w14:textId="77777777"/>
    <w:p w:rsidR="005A798D" w:rsidP="005A798D" w14:paraId="43AB2E06" w14:textId="07B275AD">
      <w:r w:rsidRPr="59F4798D">
        <w:t>There are no exceptions to the certification.</w:t>
      </w:r>
      <w:r>
        <w:t xml:space="preserve"> </w:t>
      </w:r>
    </w:p>
    <w:p w:rsidR="005A798D" w:rsidP="005A798D" w14:paraId="191177E5" w14:textId="77777777"/>
    <w:p w:rsidR="002C4F70" w:rsidRPr="002C4F70" w:rsidP="002C4F70" w14:paraId="0854A7F3" w14:textId="77777777"/>
    <w:sectPr w:rsidSect="00E62F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DJIA B+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98D" w14:paraId="3B14E2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2251673"/>
      <w:docPartObj>
        <w:docPartGallery w:val="Page Numbers (Bottom of Page)"/>
        <w:docPartUnique/>
      </w:docPartObj>
    </w:sdtPr>
    <w:sdtEndPr>
      <w:rPr>
        <w:noProof/>
      </w:rPr>
    </w:sdtEndPr>
    <w:sdtContent>
      <w:p w:rsidR="005A798D" w14:paraId="5562F2E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A798D" w14:paraId="500E85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98D" w14:paraId="5EDEC59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ED" w14:paraId="6E85E7C5" w14:textId="77777777">
    <w:pPr>
      <w:pStyle w:val="Footer"/>
    </w:pPr>
  </w:p>
  <w:p w:rsidR="00993D82" w14:paraId="6BD57497"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589254"/>
      <w:docPartObj>
        <w:docPartGallery w:val="Page Numbers (Bottom of Page)"/>
        <w:docPartUnique/>
      </w:docPartObj>
    </w:sdtPr>
    <w:sdtEndPr>
      <w:rPr>
        <w:noProof/>
      </w:rPr>
    </w:sdtEndPr>
    <w:sdtContent>
      <w:p w:rsidR="00D27047" w14:paraId="522929ED" w14:textId="24B6D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202D" w14:paraId="0007C299" w14:textId="77777777">
    <w:pPr>
      <w:pStyle w:val="Footer"/>
    </w:pPr>
  </w:p>
  <w:p w:rsidR="00993D82" w14:paraId="528829EE"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ED" w14:paraId="154D63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98D" w14:paraId="0ABCCF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98D" w14:paraId="5B26AD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98D" w14:paraId="753592D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ED" w14:paraId="7E009A5B" w14:textId="77777777">
    <w:pPr>
      <w:pStyle w:val="Header"/>
    </w:pPr>
  </w:p>
  <w:p w:rsidR="00993D82" w14:paraId="50898D6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ED" w14:paraId="2AEDC205" w14:textId="77777777">
    <w:pPr>
      <w:pStyle w:val="Header"/>
    </w:pPr>
  </w:p>
  <w:p w:rsidR="00993D82" w14:paraId="16BAA573"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ED" w14:paraId="435E9A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725A6"/>
    <w:multiLevelType w:val="hybridMultilevel"/>
    <w:tmpl w:val="278A33E0"/>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FD1ACE"/>
    <w:multiLevelType w:val="hybridMultilevel"/>
    <w:tmpl w:val="11B6EF1A"/>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6620FB6"/>
    <w:multiLevelType w:val="multilevel"/>
    <w:tmpl w:val="2DF0CC2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FC2E70"/>
    <w:multiLevelType w:val="multilevel"/>
    <w:tmpl w:val="7E6800A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874441"/>
    <w:multiLevelType w:val="multilevel"/>
    <w:tmpl w:val="582AAAE2"/>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7">
    <w:nsid w:val="0A005AB8"/>
    <w:multiLevelType w:val="hybridMultilevel"/>
    <w:tmpl w:val="278A33E0"/>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58183A"/>
    <w:multiLevelType w:val="hybridMultilevel"/>
    <w:tmpl w:val="CACED5F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00130A"/>
    <w:multiLevelType w:val="multilevel"/>
    <w:tmpl w:val="7E6800A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37D4705"/>
    <w:multiLevelType w:val="multilevel"/>
    <w:tmpl w:val="267A96C4"/>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F608BD"/>
    <w:multiLevelType w:val="multilevel"/>
    <w:tmpl w:val="FADA27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4">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7">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12628B8"/>
    <w:multiLevelType w:val="hybridMultilevel"/>
    <w:tmpl w:val="C1C89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4184417"/>
    <w:multiLevelType w:val="hybridMultilevel"/>
    <w:tmpl w:val="A6D85800"/>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36FD4390"/>
    <w:multiLevelType w:val="hybridMultilevel"/>
    <w:tmpl w:val="FE4082F4"/>
    <w:lvl w:ilvl="0">
      <w:start w:val="1"/>
      <w:numFmt w:val="bullet"/>
      <w:pStyle w:val="ListBullet1"/>
      <w:lvlText w:val=""/>
      <w:lvlJc w:val="left"/>
      <w:pPr>
        <w:ind w:left="1440" w:hanging="360"/>
      </w:pPr>
      <w:rPr>
        <w:rFonts w:ascii="Wingdings" w:hAnsi="Wingdings" w:hint="default"/>
      </w:rPr>
    </w:lvl>
    <w:lvl w:ilvl="1">
      <w:start w:val="0"/>
      <w:numFmt w:val="bullet"/>
      <w:lvlText w:val="-"/>
      <w:lvlJc w:val="left"/>
      <w:pPr>
        <w:ind w:left="1800" w:hanging="360"/>
      </w:pPr>
      <w:rPr>
        <w:rFonts w:ascii="Calibri" w:eastAsia="Times New Roman" w:hAnsi="Calibri" w:cs="Times New Roman"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378C3870"/>
    <w:multiLevelType w:val="hybridMultilevel"/>
    <w:tmpl w:val="3D78921C"/>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87918"/>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8A41C17"/>
    <w:multiLevelType w:val="hybridMultilevel"/>
    <w:tmpl w:val="C1C89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9704B9"/>
    <w:multiLevelType w:val="hybridMultilevel"/>
    <w:tmpl w:val="5A142ECC"/>
    <w:lvl w:ilvl="0">
      <w:start w:val="1"/>
      <w:numFmt w:val="decimal"/>
      <w:pStyle w:val="Attachment"/>
      <w:lvlText w:val="Attachment %1."/>
      <w:lvlJc w:val="right"/>
      <w:pPr>
        <w:ind w:left="18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44">
    <w:nsid w:val="3AB45301"/>
    <w:multiLevelType w:val="hybridMultilevel"/>
    <w:tmpl w:val="166A5184"/>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5">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124408C"/>
    <w:multiLevelType w:val="hybridMultilevel"/>
    <w:tmpl w:val="ED207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29A4C45"/>
    <w:multiLevelType w:val="hybridMultilevel"/>
    <w:tmpl w:val="CACED5F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50A5C06"/>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4801C016"/>
    <w:multiLevelType w:val="hybridMultilevel"/>
    <w:tmpl w:val="E7E283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F1767E0"/>
    <w:multiLevelType w:val="hybridMultilevel"/>
    <w:tmpl w:val="8294FF7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F8E4428"/>
    <w:multiLevelType w:val="hybridMultilevel"/>
    <w:tmpl w:val="166A5184"/>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1">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0808035"/>
    <w:multiLevelType w:val="hybridMultilevel"/>
    <w:tmpl w:val="657CC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49A6EB7"/>
    <w:multiLevelType w:val="multilevel"/>
    <w:tmpl w:val="FADA27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586E2D84"/>
    <w:multiLevelType w:val="hybridMultilevel"/>
    <w:tmpl w:val="E7E283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8C9693A"/>
    <w:multiLevelType w:val="hybridMultilevel"/>
    <w:tmpl w:val="A6D85800"/>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5B0045EA"/>
    <w:multiLevelType w:val="hybridMultilevel"/>
    <w:tmpl w:val="2DC8B05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BAD468E"/>
    <w:multiLevelType w:val="hybridMultilevel"/>
    <w:tmpl w:val="CF383BA2"/>
    <w:lvl w:ilvl="0">
      <w:start w:val="1"/>
      <w:numFmt w:val="decimal"/>
      <w:lvlText w:val="%1."/>
      <w:lvlJc w:val="left"/>
      <w:pPr>
        <w:ind w:left="720" w:hanging="360"/>
      </w:pPr>
      <w:rPr>
        <w:rFonts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75">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9BA4C26"/>
    <w:multiLevelType w:val="hybridMultilevel"/>
    <w:tmpl w:val="3D78921C"/>
    <w:lvl w:ilvl="0">
      <w:start w:val="1"/>
      <w:numFmt w:val="decimal"/>
      <w:lvlText w:val="%1."/>
      <w:lvlJc w:val="left"/>
      <w:pPr>
        <w:ind w:left="720" w:hanging="360"/>
      </w:pPr>
      <w:rPr>
        <w:rFonts w:hint="default"/>
        <w:b w:val="0"/>
        <w:bCs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A3A7E8F"/>
    <w:multiLevelType w:val="multilevel"/>
    <w:tmpl w:val="582AAAE2"/>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F531AF8"/>
    <w:multiLevelType w:val="hybridMultilevel"/>
    <w:tmpl w:val="91862BEE"/>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2A4514D"/>
    <w:multiLevelType w:val="multilevel"/>
    <w:tmpl w:val="2DF0CC2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76823DE"/>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77764478"/>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1706178325">
    <w:abstractNumId w:val="62"/>
  </w:num>
  <w:num w:numId="2" w16cid:durableId="574828442">
    <w:abstractNumId w:val="37"/>
  </w:num>
  <w:num w:numId="3" w16cid:durableId="1628388884">
    <w:abstractNumId w:val="24"/>
  </w:num>
  <w:num w:numId="4" w16cid:durableId="1882744799">
    <w:abstractNumId w:val="55"/>
  </w:num>
  <w:num w:numId="5" w16cid:durableId="569581804">
    <w:abstractNumId w:val="41"/>
  </w:num>
  <w:num w:numId="6" w16cid:durableId="1450081459">
    <w:abstractNumId w:val="54"/>
  </w:num>
  <w:num w:numId="7" w16cid:durableId="1120029986">
    <w:abstractNumId w:val="3"/>
  </w:num>
  <w:num w:numId="8" w16cid:durableId="1663240716">
    <w:abstractNumId w:val="7"/>
  </w:num>
  <w:num w:numId="9" w16cid:durableId="488835163">
    <w:abstractNumId w:val="33"/>
  </w:num>
  <w:num w:numId="10" w16cid:durableId="974211826">
    <w:abstractNumId w:val="69"/>
  </w:num>
  <w:num w:numId="11" w16cid:durableId="1946182544">
    <w:abstractNumId w:val="72"/>
  </w:num>
  <w:num w:numId="12" w16cid:durableId="1426342163">
    <w:abstractNumId w:val="58"/>
  </w:num>
  <w:num w:numId="13" w16cid:durableId="986201313">
    <w:abstractNumId w:val="38"/>
  </w:num>
  <w:num w:numId="14" w16cid:durableId="1393309187">
    <w:abstractNumId w:val="2"/>
  </w:num>
  <w:num w:numId="15" w16cid:durableId="1362048723">
    <w:abstractNumId w:val="48"/>
  </w:num>
  <w:num w:numId="16" w16cid:durableId="1885215488">
    <w:abstractNumId w:val="77"/>
  </w:num>
  <w:num w:numId="17" w16cid:durableId="325403753">
    <w:abstractNumId w:val="15"/>
  </w:num>
  <w:num w:numId="18" w16cid:durableId="672802540">
    <w:abstractNumId w:val="49"/>
  </w:num>
  <w:num w:numId="19" w16cid:durableId="1913813812">
    <w:abstractNumId w:val="79"/>
  </w:num>
  <w:num w:numId="20" w16cid:durableId="1520461770">
    <w:abstractNumId w:val="14"/>
  </w:num>
  <w:num w:numId="21" w16cid:durableId="157619596">
    <w:abstractNumId w:val="19"/>
  </w:num>
  <w:num w:numId="22" w16cid:durableId="1342125637">
    <w:abstractNumId w:val="44"/>
  </w:num>
  <w:num w:numId="23" w16cid:durableId="1060322099">
    <w:abstractNumId w:val="65"/>
  </w:num>
  <w:num w:numId="24" w16cid:durableId="1647976908">
    <w:abstractNumId w:val="60"/>
  </w:num>
  <w:num w:numId="25" w16cid:durableId="1006054879">
    <w:abstractNumId w:val="64"/>
  </w:num>
  <w:num w:numId="26" w16cid:durableId="2019576956">
    <w:abstractNumId w:val="51"/>
  </w:num>
  <w:num w:numId="27" w16cid:durableId="840465657">
    <w:abstractNumId w:val="71"/>
  </w:num>
  <w:num w:numId="28" w16cid:durableId="1099521485">
    <w:abstractNumId w:val="39"/>
  </w:num>
  <w:num w:numId="29" w16cid:durableId="1605653450">
    <w:abstractNumId w:val="59"/>
  </w:num>
  <w:num w:numId="30" w16cid:durableId="727461240">
    <w:abstractNumId w:val="82"/>
  </w:num>
  <w:num w:numId="31" w16cid:durableId="2110810894">
    <w:abstractNumId w:val="31"/>
  </w:num>
  <w:num w:numId="32" w16cid:durableId="1047292656">
    <w:abstractNumId w:val="57"/>
  </w:num>
  <w:num w:numId="33" w16cid:durableId="1407722583">
    <w:abstractNumId w:val="43"/>
  </w:num>
  <w:num w:numId="34" w16cid:durableId="1201936883">
    <w:abstractNumId w:val="6"/>
  </w:num>
  <w:num w:numId="35" w16cid:durableId="998773041">
    <w:abstractNumId w:val="53"/>
  </w:num>
  <w:num w:numId="36" w16cid:durableId="746726072">
    <w:abstractNumId w:val="86"/>
  </w:num>
  <w:num w:numId="37" w16cid:durableId="630092508">
    <w:abstractNumId w:val="73"/>
  </w:num>
  <w:num w:numId="38" w16cid:durableId="979265640">
    <w:abstractNumId w:val="56"/>
  </w:num>
  <w:num w:numId="39" w16cid:durableId="585042655">
    <w:abstractNumId w:val="29"/>
  </w:num>
  <w:num w:numId="40" w16cid:durableId="1090614225">
    <w:abstractNumId w:val="70"/>
  </w:num>
  <w:num w:numId="41" w16cid:durableId="1544364866">
    <w:abstractNumId w:val="9"/>
  </w:num>
  <w:num w:numId="42" w16cid:durableId="1154838329">
    <w:abstractNumId w:val="78"/>
  </w:num>
  <w:num w:numId="43" w16cid:durableId="1062827360">
    <w:abstractNumId w:val="80"/>
  </w:num>
  <w:num w:numId="44" w16cid:durableId="974336972">
    <w:abstractNumId w:val="1"/>
  </w:num>
  <w:num w:numId="45" w16cid:durableId="1618247007">
    <w:abstractNumId w:val="10"/>
  </w:num>
  <w:num w:numId="46" w16cid:durableId="526722570">
    <w:abstractNumId w:val="74"/>
  </w:num>
  <w:num w:numId="47" w16cid:durableId="1266499916">
    <w:abstractNumId w:val="67"/>
  </w:num>
  <w:num w:numId="48" w16cid:durableId="1271207501">
    <w:abstractNumId w:val="45"/>
  </w:num>
  <w:num w:numId="49" w16cid:durableId="576592018">
    <w:abstractNumId w:val="89"/>
  </w:num>
  <w:num w:numId="50" w16cid:durableId="442893141">
    <w:abstractNumId w:val="23"/>
  </w:num>
  <w:num w:numId="51" w16cid:durableId="267855697">
    <w:abstractNumId w:val="18"/>
  </w:num>
  <w:num w:numId="52" w16cid:durableId="382025225">
    <w:abstractNumId w:val="13"/>
  </w:num>
  <w:num w:numId="53" w16cid:durableId="1133673499">
    <w:abstractNumId w:val="20"/>
  </w:num>
  <w:num w:numId="54" w16cid:durableId="1120802104">
    <w:abstractNumId w:val="87"/>
  </w:num>
  <w:num w:numId="55" w16cid:durableId="119301185">
    <w:abstractNumId w:val="50"/>
  </w:num>
  <w:num w:numId="56" w16cid:durableId="1193494021">
    <w:abstractNumId w:val="52"/>
  </w:num>
  <w:num w:numId="57" w16cid:durableId="1951819523">
    <w:abstractNumId w:val="30"/>
  </w:num>
  <w:num w:numId="58" w16cid:durableId="609508766">
    <w:abstractNumId w:val="61"/>
  </w:num>
  <w:num w:numId="59" w16cid:durableId="1605108734">
    <w:abstractNumId w:val="27"/>
  </w:num>
  <w:num w:numId="60" w16cid:durableId="1487472739">
    <w:abstractNumId w:val="16"/>
  </w:num>
  <w:num w:numId="61" w16cid:durableId="37319693">
    <w:abstractNumId w:val="25"/>
  </w:num>
  <w:num w:numId="62" w16cid:durableId="1267734962">
    <w:abstractNumId w:val="17"/>
  </w:num>
  <w:num w:numId="63" w16cid:durableId="1800223435">
    <w:abstractNumId w:val="32"/>
  </w:num>
  <w:num w:numId="64" w16cid:durableId="838928909">
    <w:abstractNumId w:val="85"/>
  </w:num>
  <w:num w:numId="65" w16cid:durableId="1050374645">
    <w:abstractNumId w:val="42"/>
  </w:num>
  <w:num w:numId="66" w16cid:durableId="568198874">
    <w:abstractNumId w:val="88"/>
  </w:num>
  <w:num w:numId="67" w16cid:durableId="312955699">
    <w:abstractNumId w:val="46"/>
  </w:num>
  <w:num w:numId="68" w16cid:durableId="419103206">
    <w:abstractNumId w:val="28"/>
  </w:num>
  <w:num w:numId="69" w16cid:durableId="159665719">
    <w:abstractNumId w:val="63"/>
  </w:num>
  <w:num w:numId="70" w16cid:durableId="1748964570">
    <w:abstractNumId w:val="22"/>
  </w:num>
  <w:num w:numId="71" w16cid:durableId="287393537">
    <w:abstractNumId w:val="35"/>
  </w:num>
  <w:num w:numId="72" w16cid:durableId="578827135">
    <w:abstractNumId w:val="36"/>
  </w:num>
  <w:num w:numId="73" w16cid:durableId="1105422581">
    <w:abstractNumId w:val="21"/>
  </w:num>
  <w:num w:numId="74" w16cid:durableId="1241401983">
    <w:abstractNumId w:val="26"/>
  </w:num>
  <w:num w:numId="75" w16cid:durableId="743920336">
    <w:abstractNumId w:val="11"/>
  </w:num>
  <w:num w:numId="76" w16cid:durableId="1215191484">
    <w:abstractNumId w:val="66"/>
  </w:num>
  <w:num w:numId="77" w16cid:durableId="1224294755">
    <w:abstractNumId w:val="47"/>
  </w:num>
  <w:num w:numId="78" w16cid:durableId="388118216">
    <w:abstractNumId w:val="8"/>
  </w:num>
  <w:num w:numId="79" w16cid:durableId="1316687452">
    <w:abstractNumId w:val="75"/>
  </w:num>
  <w:num w:numId="80" w16cid:durableId="1071539101">
    <w:abstractNumId w:val="83"/>
  </w:num>
  <w:num w:numId="81" w16cid:durableId="1868370517">
    <w:abstractNumId w:val="84"/>
  </w:num>
  <w:num w:numId="82" w16cid:durableId="1161313851">
    <w:abstractNumId w:val="81"/>
  </w:num>
  <w:num w:numId="83" w16cid:durableId="1031151939">
    <w:abstractNumId w:val="4"/>
  </w:num>
  <w:num w:numId="84" w16cid:durableId="1092896665">
    <w:abstractNumId w:val="5"/>
  </w:num>
  <w:num w:numId="85" w16cid:durableId="469441443">
    <w:abstractNumId w:val="76"/>
  </w:num>
  <w:num w:numId="86" w16cid:durableId="1937669139">
    <w:abstractNumId w:val="34"/>
  </w:num>
  <w:num w:numId="87" w16cid:durableId="288824188">
    <w:abstractNumId w:val="0"/>
  </w:num>
  <w:num w:numId="88" w16cid:durableId="1632439103">
    <w:abstractNumId w:val="40"/>
  </w:num>
  <w:num w:numId="89" w16cid:durableId="246228264">
    <w:abstractNumId w:val="12"/>
  </w:num>
  <w:num w:numId="90" w16cid:durableId="1347904916">
    <w:abstractNumId w:val="6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014DF"/>
    <w:rsid w:val="00001ADE"/>
    <w:rsid w:val="00004F00"/>
    <w:rsid w:val="0000546E"/>
    <w:rsid w:val="00005B02"/>
    <w:rsid w:val="000101F5"/>
    <w:rsid w:val="00012C92"/>
    <w:rsid w:val="0001302A"/>
    <w:rsid w:val="00013852"/>
    <w:rsid w:val="00016F42"/>
    <w:rsid w:val="0002048F"/>
    <w:rsid w:val="00022267"/>
    <w:rsid w:val="00024BF7"/>
    <w:rsid w:val="00026033"/>
    <w:rsid w:val="00026BC8"/>
    <w:rsid w:val="000274D5"/>
    <w:rsid w:val="00030734"/>
    <w:rsid w:val="00030C5F"/>
    <w:rsid w:val="00030C97"/>
    <w:rsid w:val="00031360"/>
    <w:rsid w:val="00031617"/>
    <w:rsid w:val="00031851"/>
    <w:rsid w:val="00032812"/>
    <w:rsid w:val="00033231"/>
    <w:rsid w:val="00035D62"/>
    <w:rsid w:val="00037052"/>
    <w:rsid w:val="00041206"/>
    <w:rsid w:val="000434EA"/>
    <w:rsid w:val="0004625C"/>
    <w:rsid w:val="00047279"/>
    <w:rsid w:val="0005079F"/>
    <w:rsid w:val="00051FC1"/>
    <w:rsid w:val="0005318E"/>
    <w:rsid w:val="00054C72"/>
    <w:rsid w:val="0005507A"/>
    <w:rsid w:val="00055B0E"/>
    <w:rsid w:val="00056117"/>
    <w:rsid w:val="00056178"/>
    <w:rsid w:val="0005684D"/>
    <w:rsid w:val="000570B5"/>
    <w:rsid w:val="00060440"/>
    <w:rsid w:val="00060AE9"/>
    <w:rsid w:val="00062553"/>
    <w:rsid w:val="00062AC0"/>
    <w:rsid w:val="00064426"/>
    <w:rsid w:val="00066BFC"/>
    <w:rsid w:val="0006774C"/>
    <w:rsid w:val="0006776C"/>
    <w:rsid w:val="00067E9C"/>
    <w:rsid w:val="00071A09"/>
    <w:rsid w:val="000721CD"/>
    <w:rsid w:val="000728F4"/>
    <w:rsid w:val="000730F0"/>
    <w:rsid w:val="00073ED3"/>
    <w:rsid w:val="00082CA7"/>
    <w:rsid w:val="00084C6C"/>
    <w:rsid w:val="00086240"/>
    <w:rsid w:val="0008748F"/>
    <w:rsid w:val="0009285A"/>
    <w:rsid w:val="00092B53"/>
    <w:rsid w:val="000941BE"/>
    <w:rsid w:val="000944BF"/>
    <w:rsid w:val="00094B70"/>
    <w:rsid w:val="00096E55"/>
    <w:rsid w:val="000A13FD"/>
    <w:rsid w:val="000A22E6"/>
    <w:rsid w:val="000A2CCE"/>
    <w:rsid w:val="000A3E52"/>
    <w:rsid w:val="000A46BD"/>
    <w:rsid w:val="000A53E3"/>
    <w:rsid w:val="000A5D00"/>
    <w:rsid w:val="000A60A7"/>
    <w:rsid w:val="000A7A76"/>
    <w:rsid w:val="000B04CC"/>
    <w:rsid w:val="000B3579"/>
    <w:rsid w:val="000B50B4"/>
    <w:rsid w:val="000B5DAF"/>
    <w:rsid w:val="000B7615"/>
    <w:rsid w:val="000C47DA"/>
    <w:rsid w:val="000C5D2E"/>
    <w:rsid w:val="000C62C2"/>
    <w:rsid w:val="000C6D57"/>
    <w:rsid w:val="000C70E6"/>
    <w:rsid w:val="000C70E9"/>
    <w:rsid w:val="000C75EA"/>
    <w:rsid w:val="000C772C"/>
    <w:rsid w:val="000D0243"/>
    <w:rsid w:val="000D1D85"/>
    <w:rsid w:val="000D2DD5"/>
    <w:rsid w:val="000D42BF"/>
    <w:rsid w:val="000D447D"/>
    <w:rsid w:val="000D502B"/>
    <w:rsid w:val="000D579A"/>
    <w:rsid w:val="000D6F47"/>
    <w:rsid w:val="000E2755"/>
    <w:rsid w:val="000E29DE"/>
    <w:rsid w:val="000E3608"/>
    <w:rsid w:val="000E4FFF"/>
    <w:rsid w:val="000E5E47"/>
    <w:rsid w:val="000F6F88"/>
    <w:rsid w:val="00101EA6"/>
    <w:rsid w:val="00102F0E"/>
    <w:rsid w:val="00103D08"/>
    <w:rsid w:val="00103DC3"/>
    <w:rsid w:val="001041B2"/>
    <w:rsid w:val="00112493"/>
    <w:rsid w:val="00113018"/>
    <w:rsid w:val="00114E9E"/>
    <w:rsid w:val="001161FB"/>
    <w:rsid w:val="0011630C"/>
    <w:rsid w:val="00117FBF"/>
    <w:rsid w:val="00121713"/>
    <w:rsid w:val="001225F9"/>
    <w:rsid w:val="00123400"/>
    <w:rsid w:val="0012725A"/>
    <w:rsid w:val="00127AA3"/>
    <w:rsid w:val="001307EE"/>
    <w:rsid w:val="00130FEF"/>
    <w:rsid w:val="0013180F"/>
    <w:rsid w:val="00131D1E"/>
    <w:rsid w:val="001335F1"/>
    <w:rsid w:val="0013391D"/>
    <w:rsid w:val="00134C53"/>
    <w:rsid w:val="00135FAF"/>
    <w:rsid w:val="001360E5"/>
    <w:rsid w:val="00137EB2"/>
    <w:rsid w:val="00140D7A"/>
    <w:rsid w:val="00142999"/>
    <w:rsid w:val="001443A6"/>
    <w:rsid w:val="00146880"/>
    <w:rsid w:val="00147026"/>
    <w:rsid w:val="001504F2"/>
    <w:rsid w:val="00150F60"/>
    <w:rsid w:val="00153A0D"/>
    <w:rsid w:val="00155688"/>
    <w:rsid w:val="0015587D"/>
    <w:rsid w:val="00156947"/>
    <w:rsid w:val="00157915"/>
    <w:rsid w:val="00157F6B"/>
    <w:rsid w:val="001615BD"/>
    <w:rsid w:val="00163B23"/>
    <w:rsid w:val="00163F96"/>
    <w:rsid w:val="00164BC6"/>
    <w:rsid w:val="00165CC9"/>
    <w:rsid w:val="00170392"/>
    <w:rsid w:val="0017428F"/>
    <w:rsid w:val="001757BB"/>
    <w:rsid w:val="00175A83"/>
    <w:rsid w:val="00176079"/>
    <w:rsid w:val="00176DF7"/>
    <w:rsid w:val="00176EC1"/>
    <w:rsid w:val="001779F2"/>
    <w:rsid w:val="00177E2E"/>
    <w:rsid w:val="001812DD"/>
    <w:rsid w:val="001862F3"/>
    <w:rsid w:val="001871F2"/>
    <w:rsid w:val="0018775E"/>
    <w:rsid w:val="00190628"/>
    <w:rsid w:val="00190A8C"/>
    <w:rsid w:val="00190C67"/>
    <w:rsid w:val="00191356"/>
    <w:rsid w:val="00191DC4"/>
    <w:rsid w:val="00192959"/>
    <w:rsid w:val="001950D2"/>
    <w:rsid w:val="001954B0"/>
    <w:rsid w:val="00195563"/>
    <w:rsid w:val="001A116F"/>
    <w:rsid w:val="001A530F"/>
    <w:rsid w:val="001A587F"/>
    <w:rsid w:val="001A6284"/>
    <w:rsid w:val="001A6750"/>
    <w:rsid w:val="001B0B91"/>
    <w:rsid w:val="001B1EAD"/>
    <w:rsid w:val="001B202D"/>
    <w:rsid w:val="001B469A"/>
    <w:rsid w:val="001B5446"/>
    <w:rsid w:val="001B5640"/>
    <w:rsid w:val="001C048B"/>
    <w:rsid w:val="001C0D7A"/>
    <w:rsid w:val="001C28A6"/>
    <w:rsid w:val="001C6546"/>
    <w:rsid w:val="001C7A82"/>
    <w:rsid w:val="001D166E"/>
    <w:rsid w:val="001D5D45"/>
    <w:rsid w:val="001D6F7A"/>
    <w:rsid w:val="001D7985"/>
    <w:rsid w:val="001D7C92"/>
    <w:rsid w:val="001E652C"/>
    <w:rsid w:val="001E666F"/>
    <w:rsid w:val="001E6D21"/>
    <w:rsid w:val="001F0145"/>
    <w:rsid w:val="001F22D1"/>
    <w:rsid w:val="001F2B82"/>
    <w:rsid w:val="001F3B9C"/>
    <w:rsid w:val="001F4AE3"/>
    <w:rsid w:val="001F632E"/>
    <w:rsid w:val="001F6C11"/>
    <w:rsid w:val="001F78AD"/>
    <w:rsid w:val="001F7C04"/>
    <w:rsid w:val="0020093B"/>
    <w:rsid w:val="00205381"/>
    <w:rsid w:val="00205911"/>
    <w:rsid w:val="00205E00"/>
    <w:rsid w:val="00205F5A"/>
    <w:rsid w:val="00210677"/>
    <w:rsid w:val="0021684C"/>
    <w:rsid w:val="00217496"/>
    <w:rsid w:val="002205AD"/>
    <w:rsid w:val="002209F5"/>
    <w:rsid w:val="00222011"/>
    <w:rsid w:val="0022243F"/>
    <w:rsid w:val="0022257A"/>
    <w:rsid w:val="00223885"/>
    <w:rsid w:val="00223CFB"/>
    <w:rsid w:val="00230D80"/>
    <w:rsid w:val="0023173B"/>
    <w:rsid w:val="00231D0B"/>
    <w:rsid w:val="00232142"/>
    <w:rsid w:val="002352E7"/>
    <w:rsid w:val="002400C7"/>
    <w:rsid w:val="00240AA3"/>
    <w:rsid w:val="00240BB1"/>
    <w:rsid w:val="002411EA"/>
    <w:rsid w:val="002424F0"/>
    <w:rsid w:val="00242E0F"/>
    <w:rsid w:val="00242ECE"/>
    <w:rsid w:val="00250C43"/>
    <w:rsid w:val="00252869"/>
    <w:rsid w:val="00252C7D"/>
    <w:rsid w:val="002533E8"/>
    <w:rsid w:val="00253873"/>
    <w:rsid w:val="00254FD9"/>
    <w:rsid w:val="002552DE"/>
    <w:rsid w:val="00256EFE"/>
    <w:rsid w:val="002575C5"/>
    <w:rsid w:val="00257866"/>
    <w:rsid w:val="00260A16"/>
    <w:rsid w:val="00261D1C"/>
    <w:rsid w:val="0027022F"/>
    <w:rsid w:val="00270F37"/>
    <w:rsid w:val="00271490"/>
    <w:rsid w:val="00273212"/>
    <w:rsid w:val="0027354B"/>
    <w:rsid w:val="00277946"/>
    <w:rsid w:val="0027795F"/>
    <w:rsid w:val="00277FBB"/>
    <w:rsid w:val="00282AA4"/>
    <w:rsid w:val="00282B97"/>
    <w:rsid w:val="00285460"/>
    <w:rsid w:val="00285C6E"/>
    <w:rsid w:val="0028687B"/>
    <w:rsid w:val="002868A4"/>
    <w:rsid w:val="00286A0A"/>
    <w:rsid w:val="0028761F"/>
    <w:rsid w:val="002910F5"/>
    <w:rsid w:val="0029146B"/>
    <w:rsid w:val="00293B15"/>
    <w:rsid w:val="0029605F"/>
    <w:rsid w:val="002A0BAB"/>
    <w:rsid w:val="002A135F"/>
    <w:rsid w:val="002A1FB0"/>
    <w:rsid w:val="002A2550"/>
    <w:rsid w:val="002A4B9F"/>
    <w:rsid w:val="002A6C15"/>
    <w:rsid w:val="002A6ED8"/>
    <w:rsid w:val="002A7A47"/>
    <w:rsid w:val="002B136F"/>
    <w:rsid w:val="002B1D71"/>
    <w:rsid w:val="002B38D3"/>
    <w:rsid w:val="002B4079"/>
    <w:rsid w:val="002B7E49"/>
    <w:rsid w:val="002C46D2"/>
    <w:rsid w:val="002C4F70"/>
    <w:rsid w:val="002C58EA"/>
    <w:rsid w:val="002C6C2C"/>
    <w:rsid w:val="002D063C"/>
    <w:rsid w:val="002D334D"/>
    <w:rsid w:val="002D3B59"/>
    <w:rsid w:val="002D3D66"/>
    <w:rsid w:val="002D5696"/>
    <w:rsid w:val="002E3FBB"/>
    <w:rsid w:val="002E4AE3"/>
    <w:rsid w:val="002E644E"/>
    <w:rsid w:val="002E75FD"/>
    <w:rsid w:val="002F38BE"/>
    <w:rsid w:val="002F3CA6"/>
    <w:rsid w:val="002F4275"/>
    <w:rsid w:val="002F54EE"/>
    <w:rsid w:val="002F7892"/>
    <w:rsid w:val="00300B36"/>
    <w:rsid w:val="003013D4"/>
    <w:rsid w:val="0030171D"/>
    <w:rsid w:val="00302248"/>
    <w:rsid w:val="00304434"/>
    <w:rsid w:val="00305B27"/>
    <w:rsid w:val="00307475"/>
    <w:rsid w:val="00310E1E"/>
    <w:rsid w:val="00313A4B"/>
    <w:rsid w:val="00316E36"/>
    <w:rsid w:val="00317FFE"/>
    <w:rsid w:val="003203BC"/>
    <w:rsid w:val="003214BA"/>
    <w:rsid w:val="00321F09"/>
    <w:rsid w:val="003230B5"/>
    <w:rsid w:val="003249D2"/>
    <w:rsid w:val="00325BDB"/>
    <w:rsid w:val="00325C30"/>
    <w:rsid w:val="00327ECB"/>
    <w:rsid w:val="00330512"/>
    <w:rsid w:val="00332067"/>
    <w:rsid w:val="0033218E"/>
    <w:rsid w:val="0033549B"/>
    <w:rsid w:val="00336656"/>
    <w:rsid w:val="0034005F"/>
    <w:rsid w:val="00340830"/>
    <w:rsid w:val="00340BE0"/>
    <w:rsid w:val="00342404"/>
    <w:rsid w:val="00342CE5"/>
    <w:rsid w:val="003444EC"/>
    <w:rsid w:val="003461E2"/>
    <w:rsid w:val="003469C6"/>
    <w:rsid w:val="00347748"/>
    <w:rsid w:val="00347AF1"/>
    <w:rsid w:val="00347C26"/>
    <w:rsid w:val="00350579"/>
    <w:rsid w:val="00352EE9"/>
    <w:rsid w:val="00353BFF"/>
    <w:rsid w:val="00353C7F"/>
    <w:rsid w:val="0035446B"/>
    <w:rsid w:val="00356265"/>
    <w:rsid w:val="00356501"/>
    <w:rsid w:val="00357347"/>
    <w:rsid w:val="003614F4"/>
    <w:rsid w:val="00363B50"/>
    <w:rsid w:val="00364BA9"/>
    <w:rsid w:val="00366990"/>
    <w:rsid w:val="00367B76"/>
    <w:rsid w:val="003714C1"/>
    <w:rsid w:val="0037242C"/>
    <w:rsid w:val="003727EB"/>
    <w:rsid w:val="00373B1E"/>
    <w:rsid w:val="00373CA3"/>
    <w:rsid w:val="00375684"/>
    <w:rsid w:val="00375885"/>
    <w:rsid w:val="003770A5"/>
    <w:rsid w:val="00384063"/>
    <w:rsid w:val="00385237"/>
    <w:rsid w:val="00385A0F"/>
    <w:rsid w:val="0038711A"/>
    <w:rsid w:val="00387F9F"/>
    <w:rsid w:val="00395063"/>
    <w:rsid w:val="003952F5"/>
    <w:rsid w:val="003954E2"/>
    <w:rsid w:val="003957ED"/>
    <w:rsid w:val="003A111A"/>
    <w:rsid w:val="003A2BB4"/>
    <w:rsid w:val="003A32F7"/>
    <w:rsid w:val="003A3532"/>
    <w:rsid w:val="003A49DD"/>
    <w:rsid w:val="003A4B2B"/>
    <w:rsid w:val="003A587A"/>
    <w:rsid w:val="003A5BF8"/>
    <w:rsid w:val="003A621E"/>
    <w:rsid w:val="003A6D3C"/>
    <w:rsid w:val="003A7FB4"/>
    <w:rsid w:val="003B3098"/>
    <w:rsid w:val="003B4655"/>
    <w:rsid w:val="003C0B4E"/>
    <w:rsid w:val="003C0D01"/>
    <w:rsid w:val="003C2FCB"/>
    <w:rsid w:val="003C6AFC"/>
    <w:rsid w:val="003C6FC0"/>
    <w:rsid w:val="003C75D9"/>
    <w:rsid w:val="003C7627"/>
    <w:rsid w:val="003D0CD8"/>
    <w:rsid w:val="003D1D77"/>
    <w:rsid w:val="003D2E4A"/>
    <w:rsid w:val="003D5DE2"/>
    <w:rsid w:val="003D747E"/>
    <w:rsid w:val="003E4D3A"/>
    <w:rsid w:val="003E680F"/>
    <w:rsid w:val="003F02D4"/>
    <w:rsid w:val="003F0A85"/>
    <w:rsid w:val="003F482B"/>
    <w:rsid w:val="003F5672"/>
    <w:rsid w:val="0040027A"/>
    <w:rsid w:val="00400A64"/>
    <w:rsid w:val="004030E8"/>
    <w:rsid w:val="004060BE"/>
    <w:rsid w:val="00406D6B"/>
    <w:rsid w:val="00410B5C"/>
    <w:rsid w:val="00411777"/>
    <w:rsid w:val="004117DF"/>
    <w:rsid w:val="00413A8C"/>
    <w:rsid w:val="00413B92"/>
    <w:rsid w:val="004151FD"/>
    <w:rsid w:val="00416607"/>
    <w:rsid w:val="004166AC"/>
    <w:rsid w:val="004169C2"/>
    <w:rsid w:val="0041743B"/>
    <w:rsid w:val="004174E1"/>
    <w:rsid w:val="00422138"/>
    <w:rsid w:val="00425822"/>
    <w:rsid w:val="00425E66"/>
    <w:rsid w:val="004270FA"/>
    <w:rsid w:val="0043020B"/>
    <w:rsid w:val="00430CF4"/>
    <w:rsid w:val="00431014"/>
    <w:rsid w:val="0043152A"/>
    <w:rsid w:val="00432396"/>
    <w:rsid w:val="00432B05"/>
    <w:rsid w:val="00432F40"/>
    <w:rsid w:val="004345EA"/>
    <w:rsid w:val="00434EB3"/>
    <w:rsid w:val="004364DE"/>
    <w:rsid w:val="004365CC"/>
    <w:rsid w:val="00436783"/>
    <w:rsid w:val="00437BEE"/>
    <w:rsid w:val="004424F0"/>
    <w:rsid w:val="004430DF"/>
    <w:rsid w:val="00443168"/>
    <w:rsid w:val="004436B9"/>
    <w:rsid w:val="00443795"/>
    <w:rsid w:val="0044447F"/>
    <w:rsid w:val="00444C25"/>
    <w:rsid w:val="00450702"/>
    <w:rsid w:val="00453B87"/>
    <w:rsid w:val="00454490"/>
    <w:rsid w:val="0045455D"/>
    <w:rsid w:val="004551EA"/>
    <w:rsid w:val="004578E1"/>
    <w:rsid w:val="00457DC6"/>
    <w:rsid w:val="0046019B"/>
    <w:rsid w:val="00460664"/>
    <w:rsid w:val="00461738"/>
    <w:rsid w:val="0046507D"/>
    <w:rsid w:val="004658B5"/>
    <w:rsid w:val="004661BA"/>
    <w:rsid w:val="00466E38"/>
    <w:rsid w:val="00470103"/>
    <w:rsid w:val="00472C2B"/>
    <w:rsid w:val="00473438"/>
    <w:rsid w:val="004750CD"/>
    <w:rsid w:val="004767AD"/>
    <w:rsid w:val="00480E4E"/>
    <w:rsid w:val="00481BA7"/>
    <w:rsid w:val="00483751"/>
    <w:rsid w:val="004838B9"/>
    <w:rsid w:val="00484D68"/>
    <w:rsid w:val="004872CB"/>
    <w:rsid w:val="00487C56"/>
    <w:rsid w:val="00493637"/>
    <w:rsid w:val="0049397B"/>
    <w:rsid w:val="00494B37"/>
    <w:rsid w:val="00495647"/>
    <w:rsid w:val="00497C6C"/>
    <w:rsid w:val="004A0148"/>
    <w:rsid w:val="004A0452"/>
    <w:rsid w:val="004A1CBB"/>
    <w:rsid w:val="004A2A6E"/>
    <w:rsid w:val="004A675C"/>
    <w:rsid w:val="004A77CB"/>
    <w:rsid w:val="004B2D60"/>
    <w:rsid w:val="004B4C96"/>
    <w:rsid w:val="004B4EC4"/>
    <w:rsid w:val="004B7106"/>
    <w:rsid w:val="004C04F9"/>
    <w:rsid w:val="004C325F"/>
    <w:rsid w:val="004C3903"/>
    <w:rsid w:val="004C4199"/>
    <w:rsid w:val="004C48B0"/>
    <w:rsid w:val="004C5BEF"/>
    <w:rsid w:val="004C73B9"/>
    <w:rsid w:val="004C7668"/>
    <w:rsid w:val="004D2B24"/>
    <w:rsid w:val="004D58EF"/>
    <w:rsid w:val="004E08F8"/>
    <w:rsid w:val="004E16C6"/>
    <w:rsid w:val="004E1AB4"/>
    <w:rsid w:val="004E2336"/>
    <w:rsid w:val="004E26E6"/>
    <w:rsid w:val="004E291D"/>
    <w:rsid w:val="004E29F4"/>
    <w:rsid w:val="004E301A"/>
    <w:rsid w:val="004E434B"/>
    <w:rsid w:val="004E4BA0"/>
    <w:rsid w:val="004E5D63"/>
    <w:rsid w:val="004E6072"/>
    <w:rsid w:val="004E636F"/>
    <w:rsid w:val="004E76F6"/>
    <w:rsid w:val="004F00D9"/>
    <w:rsid w:val="004F167F"/>
    <w:rsid w:val="004F3912"/>
    <w:rsid w:val="004F6DFD"/>
    <w:rsid w:val="004F6F1C"/>
    <w:rsid w:val="004F7131"/>
    <w:rsid w:val="00500469"/>
    <w:rsid w:val="00501948"/>
    <w:rsid w:val="005037BD"/>
    <w:rsid w:val="00503914"/>
    <w:rsid w:val="00503FE3"/>
    <w:rsid w:val="005053B7"/>
    <w:rsid w:val="00507251"/>
    <w:rsid w:val="00507878"/>
    <w:rsid w:val="00510A5F"/>
    <w:rsid w:val="00512E49"/>
    <w:rsid w:val="005146B3"/>
    <w:rsid w:val="00514FCA"/>
    <w:rsid w:val="0051555C"/>
    <w:rsid w:val="00516C44"/>
    <w:rsid w:val="00522993"/>
    <w:rsid w:val="00525AD6"/>
    <w:rsid w:val="00531C54"/>
    <w:rsid w:val="0053334D"/>
    <w:rsid w:val="00533B0F"/>
    <w:rsid w:val="0053764D"/>
    <w:rsid w:val="005403AA"/>
    <w:rsid w:val="0054123E"/>
    <w:rsid w:val="0054262F"/>
    <w:rsid w:val="00542B3A"/>
    <w:rsid w:val="0054368E"/>
    <w:rsid w:val="00547659"/>
    <w:rsid w:val="00553010"/>
    <w:rsid w:val="005533D8"/>
    <w:rsid w:val="005538D8"/>
    <w:rsid w:val="00553ED2"/>
    <w:rsid w:val="005606EF"/>
    <w:rsid w:val="00561220"/>
    <w:rsid w:val="00561AAA"/>
    <w:rsid w:val="005630C9"/>
    <w:rsid w:val="00564560"/>
    <w:rsid w:val="0056498E"/>
    <w:rsid w:val="00564A40"/>
    <w:rsid w:val="00570C1D"/>
    <w:rsid w:val="00574548"/>
    <w:rsid w:val="00574AAD"/>
    <w:rsid w:val="00575538"/>
    <w:rsid w:val="005776F2"/>
    <w:rsid w:val="00577A70"/>
    <w:rsid w:val="00580443"/>
    <w:rsid w:val="00580BA6"/>
    <w:rsid w:val="00581F7C"/>
    <w:rsid w:val="00582A79"/>
    <w:rsid w:val="0058648D"/>
    <w:rsid w:val="00591A97"/>
    <w:rsid w:val="00591B21"/>
    <w:rsid w:val="00592383"/>
    <w:rsid w:val="00592711"/>
    <w:rsid w:val="00592D4C"/>
    <w:rsid w:val="00594C8F"/>
    <w:rsid w:val="00596056"/>
    <w:rsid w:val="0059626B"/>
    <w:rsid w:val="00597609"/>
    <w:rsid w:val="005A174B"/>
    <w:rsid w:val="005A404D"/>
    <w:rsid w:val="005A46F9"/>
    <w:rsid w:val="005A4A70"/>
    <w:rsid w:val="005A652B"/>
    <w:rsid w:val="005A798D"/>
    <w:rsid w:val="005B0147"/>
    <w:rsid w:val="005B06FE"/>
    <w:rsid w:val="005B08BE"/>
    <w:rsid w:val="005B3D3A"/>
    <w:rsid w:val="005B3F2B"/>
    <w:rsid w:val="005B636D"/>
    <w:rsid w:val="005B7DB0"/>
    <w:rsid w:val="005C130A"/>
    <w:rsid w:val="005C2FBC"/>
    <w:rsid w:val="005C415E"/>
    <w:rsid w:val="005C46EC"/>
    <w:rsid w:val="005C56A1"/>
    <w:rsid w:val="005C7272"/>
    <w:rsid w:val="005C7DCF"/>
    <w:rsid w:val="005D0A6F"/>
    <w:rsid w:val="005D3104"/>
    <w:rsid w:val="005D35C3"/>
    <w:rsid w:val="005D4434"/>
    <w:rsid w:val="005D45FB"/>
    <w:rsid w:val="005D4EAA"/>
    <w:rsid w:val="005D6843"/>
    <w:rsid w:val="005D7F66"/>
    <w:rsid w:val="005E0B30"/>
    <w:rsid w:val="005E12F5"/>
    <w:rsid w:val="005E20AF"/>
    <w:rsid w:val="005E2383"/>
    <w:rsid w:val="005E3B7E"/>
    <w:rsid w:val="005E5670"/>
    <w:rsid w:val="005E759C"/>
    <w:rsid w:val="005E7CF7"/>
    <w:rsid w:val="005E7EDC"/>
    <w:rsid w:val="005F0B36"/>
    <w:rsid w:val="005F1317"/>
    <w:rsid w:val="005F136F"/>
    <w:rsid w:val="005F49F8"/>
    <w:rsid w:val="005F7EAB"/>
    <w:rsid w:val="0060139E"/>
    <w:rsid w:val="00601418"/>
    <w:rsid w:val="00601D09"/>
    <w:rsid w:val="00601EA0"/>
    <w:rsid w:val="006046CD"/>
    <w:rsid w:val="006047B8"/>
    <w:rsid w:val="00604ECA"/>
    <w:rsid w:val="006079AD"/>
    <w:rsid w:val="006108FA"/>
    <w:rsid w:val="00611714"/>
    <w:rsid w:val="00612AE1"/>
    <w:rsid w:val="00616266"/>
    <w:rsid w:val="00617B9D"/>
    <w:rsid w:val="0062084C"/>
    <w:rsid w:val="006211D3"/>
    <w:rsid w:val="006241E9"/>
    <w:rsid w:val="00624276"/>
    <w:rsid w:val="006247CE"/>
    <w:rsid w:val="00625901"/>
    <w:rsid w:val="00626651"/>
    <w:rsid w:val="00626BFD"/>
    <w:rsid w:val="00631119"/>
    <w:rsid w:val="00632154"/>
    <w:rsid w:val="0063253D"/>
    <w:rsid w:val="00633A22"/>
    <w:rsid w:val="00633E44"/>
    <w:rsid w:val="006349E8"/>
    <w:rsid w:val="00636B26"/>
    <w:rsid w:val="00640576"/>
    <w:rsid w:val="0064098D"/>
    <w:rsid w:val="0064285F"/>
    <w:rsid w:val="00642E55"/>
    <w:rsid w:val="00643344"/>
    <w:rsid w:val="006435E4"/>
    <w:rsid w:val="006446C9"/>
    <w:rsid w:val="00650279"/>
    <w:rsid w:val="0065165F"/>
    <w:rsid w:val="00653856"/>
    <w:rsid w:val="00655CE1"/>
    <w:rsid w:val="006565D8"/>
    <w:rsid w:val="00656CFE"/>
    <w:rsid w:val="00657BE3"/>
    <w:rsid w:val="0066049F"/>
    <w:rsid w:val="00660C65"/>
    <w:rsid w:val="00662361"/>
    <w:rsid w:val="00662F48"/>
    <w:rsid w:val="0066457C"/>
    <w:rsid w:val="00664874"/>
    <w:rsid w:val="00667277"/>
    <w:rsid w:val="00667449"/>
    <w:rsid w:val="00667B57"/>
    <w:rsid w:val="00667EFC"/>
    <w:rsid w:val="006802B1"/>
    <w:rsid w:val="00681B63"/>
    <w:rsid w:val="00681EBD"/>
    <w:rsid w:val="00682DDF"/>
    <w:rsid w:val="006843EE"/>
    <w:rsid w:val="0069052F"/>
    <w:rsid w:val="00690BC4"/>
    <w:rsid w:val="006913D6"/>
    <w:rsid w:val="00691593"/>
    <w:rsid w:val="006930E3"/>
    <w:rsid w:val="006957CC"/>
    <w:rsid w:val="006961DF"/>
    <w:rsid w:val="00696EB2"/>
    <w:rsid w:val="006972C3"/>
    <w:rsid w:val="00697366"/>
    <w:rsid w:val="006A1F94"/>
    <w:rsid w:val="006A493A"/>
    <w:rsid w:val="006B110C"/>
    <w:rsid w:val="006B1C25"/>
    <w:rsid w:val="006B2D3B"/>
    <w:rsid w:val="006B600E"/>
    <w:rsid w:val="006C2260"/>
    <w:rsid w:val="006D027C"/>
    <w:rsid w:val="006D17E9"/>
    <w:rsid w:val="006D28C4"/>
    <w:rsid w:val="006D4DC4"/>
    <w:rsid w:val="006D6471"/>
    <w:rsid w:val="006D7C2A"/>
    <w:rsid w:val="006E0F68"/>
    <w:rsid w:val="006E11DD"/>
    <w:rsid w:val="006E1E35"/>
    <w:rsid w:val="006E2745"/>
    <w:rsid w:val="006E5C60"/>
    <w:rsid w:val="006E6758"/>
    <w:rsid w:val="006E6D0C"/>
    <w:rsid w:val="006E70E1"/>
    <w:rsid w:val="006F17B9"/>
    <w:rsid w:val="006F2518"/>
    <w:rsid w:val="006F3231"/>
    <w:rsid w:val="006F3AA8"/>
    <w:rsid w:val="006F69A9"/>
    <w:rsid w:val="006F69D8"/>
    <w:rsid w:val="0070023C"/>
    <w:rsid w:val="00703A48"/>
    <w:rsid w:val="00705A6A"/>
    <w:rsid w:val="00705A99"/>
    <w:rsid w:val="00706A7F"/>
    <w:rsid w:val="00707A96"/>
    <w:rsid w:val="00710186"/>
    <w:rsid w:val="007108A6"/>
    <w:rsid w:val="00711209"/>
    <w:rsid w:val="007122C4"/>
    <w:rsid w:val="0071359E"/>
    <w:rsid w:val="00713903"/>
    <w:rsid w:val="007157DB"/>
    <w:rsid w:val="0071656D"/>
    <w:rsid w:val="00716F3B"/>
    <w:rsid w:val="00717073"/>
    <w:rsid w:val="00717DD3"/>
    <w:rsid w:val="007224D6"/>
    <w:rsid w:val="0072409B"/>
    <w:rsid w:val="00724698"/>
    <w:rsid w:val="00726122"/>
    <w:rsid w:val="00730109"/>
    <w:rsid w:val="00731B04"/>
    <w:rsid w:val="0073289B"/>
    <w:rsid w:val="00733C41"/>
    <w:rsid w:val="007342F7"/>
    <w:rsid w:val="00736A47"/>
    <w:rsid w:val="00736F92"/>
    <w:rsid w:val="00737766"/>
    <w:rsid w:val="00737A9C"/>
    <w:rsid w:val="00740FF1"/>
    <w:rsid w:val="00741205"/>
    <w:rsid w:val="007436D0"/>
    <w:rsid w:val="007442AD"/>
    <w:rsid w:val="0074430B"/>
    <w:rsid w:val="007449BA"/>
    <w:rsid w:val="00746396"/>
    <w:rsid w:val="0075032D"/>
    <w:rsid w:val="0075046C"/>
    <w:rsid w:val="00750FFC"/>
    <w:rsid w:val="00752032"/>
    <w:rsid w:val="00752FB1"/>
    <w:rsid w:val="007560ED"/>
    <w:rsid w:val="007571C7"/>
    <w:rsid w:val="00757950"/>
    <w:rsid w:val="00761BA7"/>
    <w:rsid w:val="00763014"/>
    <w:rsid w:val="00763E76"/>
    <w:rsid w:val="00764D98"/>
    <w:rsid w:val="0076E6A5"/>
    <w:rsid w:val="007703AA"/>
    <w:rsid w:val="00771F41"/>
    <w:rsid w:val="00775BCD"/>
    <w:rsid w:val="0077716C"/>
    <w:rsid w:val="00777520"/>
    <w:rsid w:val="00783099"/>
    <w:rsid w:val="00785708"/>
    <w:rsid w:val="007862BB"/>
    <w:rsid w:val="007862E3"/>
    <w:rsid w:val="007901C7"/>
    <w:rsid w:val="00790BC6"/>
    <w:rsid w:val="00791DFD"/>
    <w:rsid w:val="007931AC"/>
    <w:rsid w:val="00795262"/>
    <w:rsid w:val="00795322"/>
    <w:rsid w:val="007954BA"/>
    <w:rsid w:val="007A09FA"/>
    <w:rsid w:val="007A1332"/>
    <w:rsid w:val="007A2334"/>
    <w:rsid w:val="007A4DB2"/>
    <w:rsid w:val="007A4FCB"/>
    <w:rsid w:val="007A5DCB"/>
    <w:rsid w:val="007B0DBC"/>
    <w:rsid w:val="007B18D1"/>
    <w:rsid w:val="007B44F8"/>
    <w:rsid w:val="007B638F"/>
    <w:rsid w:val="007B65A9"/>
    <w:rsid w:val="007B661D"/>
    <w:rsid w:val="007B6887"/>
    <w:rsid w:val="007B7A33"/>
    <w:rsid w:val="007C0C1F"/>
    <w:rsid w:val="007C2659"/>
    <w:rsid w:val="007C655D"/>
    <w:rsid w:val="007C6620"/>
    <w:rsid w:val="007D0626"/>
    <w:rsid w:val="007D0C54"/>
    <w:rsid w:val="007D22D2"/>
    <w:rsid w:val="007D2A60"/>
    <w:rsid w:val="007D332A"/>
    <w:rsid w:val="007D4CA0"/>
    <w:rsid w:val="007D4CD8"/>
    <w:rsid w:val="007D4D97"/>
    <w:rsid w:val="007D53C7"/>
    <w:rsid w:val="007E387B"/>
    <w:rsid w:val="007E4CFA"/>
    <w:rsid w:val="007E55DF"/>
    <w:rsid w:val="007E5FF6"/>
    <w:rsid w:val="007F0635"/>
    <w:rsid w:val="007F0D7B"/>
    <w:rsid w:val="007F0EE0"/>
    <w:rsid w:val="007F347D"/>
    <w:rsid w:val="007F4E6A"/>
    <w:rsid w:val="007F6446"/>
    <w:rsid w:val="007F6457"/>
    <w:rsid w:val="007F72D8"/>
    <w:rsid w:val="008011B8"/>
    <w:rsid w:val="00801804"/>
    <w:rsid w:val="00802244"/>
    <w:rsid w:val="0080442B"/>
    <w:rsid w:val="00804605"/>
    <w:rsid w:val="008051D5"/>
    <w:rsid w:val="008065A0"/>
    <w:rsid w:val="0081144D"/>
    <w:rsid w:val="00811995"/>
    <w:rsid w:val="0081250B"/>
    <w:rsid w:val="0081448A"/>
    <w:rsid w:val="008147ED"/>
    <w:rsid w:val="008155F5"/>
    <w:rsid w:val="00816692"/>
    <w:rsid w:val="00817754"/>
    <w:rsid w:val="008209AA"/>
    <w:rsid w:val="00823056"/>
    <w:rsid w:val="008231E3"/>
    <w:rsid w:val="00827D4B"/>
    <w:rsid w:val="00831668"/>
    <w:rsid w:val="00832ED5"/>
    <w:rsid w:val="00833640"/>
    <w:rsid w:val="00834CAC"/>
    <w:rsid w:val="00836389"/>
    <w:rsid w:val="00837BDF"/>
    <w:rsid w:val="008403AB"/>
    <w:rsid w:val="008406D3"/>
    <w:rsid w:val="0084128A"/>
    <w:rsid w:val="00841CC8"/>
    <w:rsid w:val="0084257E"/>
    <w:rsid w:val="00844EB5"/>
    <w:rsid w:val="00844FAB"/>
    <w:rsid w:val="00845AA9"/>
    <w:rsid w:val="0084600D"/>
    <w:rsid w:val="00846793"/>
    <w:rsid w:val="00847BFB"/>
    <w:rsid w:val="00850546"/>
    <w:rsid w:val="008507D9"/>
    <w:rsid w:val="00852280"/>
    <w:rsid w:val="008543F1"/>
    <w:rsid w:val="00863089"/>
    <w:rsid w:val="008637D8"/>
    <w:rsid w:val="00867215"/>
    <w:rsid w:val="008707DA"/>
    <w:rsid w:val="008725F5"/>
    <w:rsid w:val="00873BFC"/>
    <w:rsid w:val="008750CA"/>
    <w:rsid w:val="00875902"/>
    <w:rsid w:val="0087603F"/>
    <w:rsid w:val="00880AE6"/>
    <w:rsid w:val="00881DC2"/>
    <w:rsid w:val="008859B9"/>
    <w:rsid w:val="00886837"/>
    <w:rsid w:val="00887030"/>
    <w:rsid w:val="0089364D"/>
    <w:rsid w:val="00894031"/>
    <w:rsid w:val="008946B7"/>
    <w:rsid w:val="00895CEF"/>
    <w:rsid w:val="0089600B"/>
    <w:rsid w:val="00897D11"/>
    <w:rsid w:val="008A0390"/>
    <w:rsid w:val="008A3731"/>
    <w:rsid w:val="008A39CB"/>
    <w:rsid w:val="008A6EAA"/>
    <w:rsid w:val="008B043F"/>
    <w:rsid w:val="008B0EC4"/>
    <w:rsid w:val="008B100C"/>
    <w:rsid w:val="008B1711"/>
    <w:rsid w:val="008B1BD8"/>
    <w:rsid w:val="008B2BCC"/>
    <w:rsid w:val="008B4D98"/>
    <w:rsid w:val="008B4DF8"/>
    <w:rsid w:val="008B54D0"/>
    <w:rsid w:val="008B76DB"/>
    <w:rsid w:val="008B7EEC"/>
    <w:rsid w:val="008C04E3"/>
    <w:rsid w:val="008C345F"/>
    <w:rsid w:val="008C384E"/>
    <w:rsid w:val="008C5C0C"/>
    <w:rsid w:val="008C5E62"/>
    <w:rsid w:val="008C6B83"/>
    <w:rsid w:val="008C7579"/>
    <w:rsid w:val="008D0AEA"/>
    <w:rsid w:val="008D3557"/>
    <w:rsid w:val="008D535E"/>
    <w:rsid w:val="008D5FA3"/>
    <w:rsid w:val="008D6BDD"/>
    <w:rsid w:val="008D6DBC"/>
    <w:rsid w:val="008E16D6"/>
    <w:rsid w:val="008E67DD"/>
    <w:rsid w:val="008E6B79"/>
    <w:rsid w:val="008E7BDC"/>
    <w:rsid w:val="008E7BE1"/>
    <w:rsid w:val="008EF05C"/>
    <w:rsid w:val="008F25A4"/>
    <w:rsid w:val="008F2F01"/>
    <w:rsid w:val="008F5FFA"/>
    <w:rsid w:val="008F6A91"/>
    <w:rsid w:val="008F7A23"/>
    <w:rsid w:val="008F7EB7"/>
    <w:rsid w:val="0090253B"/>
    <w:rsid w:val="00903F6D"/>
    <w:rsid w:val="0090558B"/>
    <w:rsid w:val="0090759D"/>
    <w:rsid w:val="009137DA"/>
    <w:rsid w:val="00921D39"/>
    <w:rsid w:val="009229DB"/>
    <w:rsid w:val="00923D35"/>
    <w:rsid w:val="00924815"/>
    <w:rsid w:val="00925307"/>
    <w:rsid w:val="00926B3C"/>
    <w:rsid w:val="00930853"/>
    <w:rsid w:val="00931360"/>
    <w:rsid w:val="00931B80"/>
    <w:rsid w:val="00932334"/>
    <w:rsid w:val="00932A93"/>
    <w:rsid w:val="00932A97"/>
    <w:rsid w:val="009331BB"/>
    <w:rsid w:val="0093328C"/>
    <w:rsid w:val="00933B27"/>
    <w:rsid w:val="00934895"/>
    <w:rsid w:val="00936DDC"/>
    <w:rsid w:val="0094075C"/>
    <w:rsid w:val="00940F35"/>
    <w:rsid w:val="00941DF2"/>
    <w:rsid w:val="009429C7"/>
    <w:rsid w:val="009453C4"/>
    <w:rsid w:val="009455AC"/>
    <w:rsid w:val="00947AF6"/>
    <w:rsid w:val="00947D67"/>
    <w:rsid w:val="009505C6"/>
    <w:rsid w:val="00950767"/>
    <w:rsid w:val="00956A18"/>
    <w:rsid w:val="00961B3D"/>
    <w:rsid w:val="009632FD"/>
    <w:rsid w:val="00963BCB"/>
    <w:rsid w:val="00964DEB"/>
    <w:rsid w:val="00965B95"/>
    <w:rsid w:val="00967089"/>
    <w:rsid w:val="00970FD1"/>
    <w:rsid w:val="00971E65"/>
    <w:rsid w:val="00972E7B"/>
    <w:rsid w:val="0097590F"/>
    <w:rsid w:val="00975C3A"/>
    <w:rsid w:val="0097F675"/>
    <w:rsid w:val="00984FC5"/>
    <w:rsid w:val="00987928"/>
    <w:rsid w:val="00987C14"/>
    <w:rsid w:val="00990B75"/>
    <w:rsid w:val="0099114D"/>
    <w:rsid w:val="009915FC"/>
    <w:rsid w:val="00991A13"/>
    <w:rsid w:val="00991CD0"/>
    <w:rsid w:val="00992674"/>
    <w:rsid w:val="00992C15"/>
    <w:rsid w:val="009939DB"/>
    <w:rsid w:val="00993A8C"/>
    <w:rsid w:val="00993D82"/>
    <w:rsid w:val="009A0091"/>
    <w:rsid w:val="009A1061"/>
    <w:rsid w:val="009A4C4E"/>
    <w:rsid w:val="009A694B"/>
    <w:rsid w:val="009A6AF9"/>
    <w:rsid w:val="009B215F"/>
    <w:rsid w:val="009B4520"/>
    <w:rsid w:val="009B746B"/>
    <w:rsid w:val="009C0786"/>
    <w:rsid w:val="009C08FC"/>
    <w:rsid w:val="009C17F2"/>
    <w:rsid w:val="009C2C67"/>
    <w:rsid w:val="009C322E"/>
    <w:rsid w:val="009C432D"/>
    <w:rsid w:val="009C4521"/>
    <w:rsid w:val="009C4CFF"/>
    <w:rsid w:val="009C4F2C"/>
    <w:rsid w:val="009C50F6"/>
    <w:rsid w:val="009C64F5"/>
    <w:rsid w:val="009D244A"/>
    <w:rsid w:val="009D29BE"/>
    <w:rsid w:val="009D696E"/>
    <w:rsid w:val="009D6CE2"/>
    <w:rsid w:val="009D74CE"/>
    <w:rsid w:val="009E1D9E"/>
    <w:rsid w:val="009E352A"/>
    <w:rsid w:val="009E47FF"/>
    <w:rsid w:val="009E6CD8"/>
    <w:rsid w:val="009E7AC0"/>
    <w:rsid w:val="009E7B6A"/>
    <w:rsid w:val="009F1381"/>
    <w:rsid w:val="009F34EB"/>
    <w:rsid w:val="009F378E"/>
    <w:rsid w:val="009F4243"/>
    <w:rsid w:val="009F6948"/>
    <w:rsid w:val="009F7113"/>
    <w:rsid w:val="009F77B8"/>
    <w:rsid w:val="00A04547"/>
    <w:rsid w:val="00A04743"/>
    <w:rsid w:val="00A06CC6"/>
    <w:rsid w:val="00A07B31"/>
    <w:rsid w:val="00A10E57"/>
    <w:rsid w:val="00A11110"/>
    <w:rsid w:val="00A1429A"/>
    <w:rsid w:val="00A2075E"/>
    <w:rsid w:val="00A213C8"/>
    <w:rsid w:val="00A21419"/>
    <w:rsid w:val="00A2295B"/>
    <w:rsid w:val="00A23FB5"/>
    <w:rsid w:val="00A25CDD"/>
    <w:rsid w:val="00A26316"/>
    <w:rsid w:val="00A3047C"/>
    <w:rsid w:val="00A30B1F"/>
    <w:rsid w:val="00A320F7"/>
    <w:rsid w:val="00A333C9"/>
    <w:rsid w:val="00A34F52"/>
    <w:rsid w:val="00A37315"/>
    <w:rsid w:val="00A40EDC"/>
    <w:rsid w:val="00A42304"/>
    <w:rsid w:val="00A42DBB"/>
    <w:rsid w:val="00A44CA3"/>
    <w:rsid w:val="00A45459"/>
    <w:rsid w:val="00A45BC9"/>
    <w:rsid w:val="00A46D7D"/>
    <w:rsid w:val="00A5000D"/>
    <w:rsid w:val="00A5044E"/>
    <w:rsid w:val="00A512E2"/>
    <w:rsid w:val="00A51FEE"/>
    <w:rsid w:val="00A52A0D"/>
    <w:rsid w:val="00A52CE1"/>
    <w:rsid w:val="00A53938"/>
    <w:rsid w:val="00A54F3D"/>
    <w:rsid w:val="00A55D71"/>
    <w:rsid w:val="00A5698C"/>
    <w:rsid w:val="00A575A4"/>
    <w:rsid w:val="00A57FFD"/>
    <w:rsid w:val="00A61761"/>
    <w:rsid w:val="00A63432"/>
    <w:rsid w:val="00A64969"/>
    <w:rsid w:val="00A64B08"/>
    <w:rsid w:val="00A660BC"/>
    <w:rsid w:val="00A7030A"/>
    <w:rsid w:val="00A710C1"/>
    <w:rsid w:val="00A71117"/>
    <w:rsid w:val="00A720DD"/>
    <w:rsid w:val="00A731BE"/>
    <w:rsid w:val="00A732A7"/>
    <w:rsid w:val="00A748AC"/>
    <w:rsid w:val="00A75224"/>
    <w:rsid w:val="00A77304"/>
    <w:rsid w:val="00A80F83"/>
    <w:rsid w:val="00A81088"/>
    <w:rsid w:val="00A85932"/>
    <w:rsid w:val="00A87298"/>
    <w:rsid w:val="00A92F7F"/>
    <w:rsid w:val="00A9360F"/>
    <w:rsid w:val="00A9534E"/>
    <w:rsid w:val="00A96907"/>
    <w:rsid w:val="00A96FE6"/>
    <w:rsid w:val="00AA26D6"/>
    <w:rsid w:val="00AA280D"/>
    <w:rsid w:val="00AA36DF"/>
    <w:rsid w:val="00AA3AA1"/>
    <w:rsid w:val="00AA3C75"/>
    <w:rsid w:val="00AA3E1E"/>
    <w:rsid w:val="00AA4DFF"/>
    <w:rsid w:val="00AA5E18"/>
    <w:rsid w:val="00AA5FFA"/>
    <w:rsid w:val="00AA6057"/>
    <w:rsid w:val="00AA6471"/>
    <w:rsid w:val="00AA7404"/>
    <w:rsid w:val="00AB2C96"/>
    <w:rsid w:val="00AB3DDC"/>
    <w:rsid w:val="00AB605F"/>
    <w:rsid w:val="00AC0475"/>
    <w:rsid w:val="00AC10CB"/>
    <w:rsid w:val="00AC1D0D"/>
    <w:rsid w:val="00AC44F2"/>
    <w:rsid w:val="00AC4CF8"/>
    <w:rsid w:val="00AC5163"/>
    <w:rsid w:val="00AC54BB"/>
    <w:rsid w:val="00AD050F"/>
    <w:rsid w:val="00AD0D60"/>
    <w:rsid w:val="00AD301C"/>
    <w:rsid w:val="00AD30F5"/>
    <w:rsid w:val="00AD36A0"/>
    <w:rsid w:val="00AD4EAB"/>
    <w:rsid w:val="00AE0DCD"/>
    <w:rsid w:val="00AE3DF8"/>
    <w:rsid w:val="00AE6442"/>
    <w:rsid w:val="00AE68E4"/>
    <w:rsid w:val="00AF0006"/>
    <w:rsid w:val="00AF0DB8"/>
    <w:rsid w:val="00AF1CFB"/>
    <w:rsid w:val="00AF217A"/>
    <w:rsid w:val="00AF3C6A"/>
    <w:rsid w:val="00AF5198"/>
    <w:rsid w:val="00AF7488"/>
    <w:rsid w:val="00AF7D72"/>
    <w:rsid w:val="00B00BB5"/>
    <w:rsid w:val="00B00BC8"/>
    <w:rsid w:val="00B0296B"/>
    <w:rsid w:val="00B052BC"/>
    <w:rsid w:val="00B10784"/>
    <w:rsid w:val="00B10965"/>
    <w:rsid w:val="00B114B5"/>
    <w:rsid w:val="00B11614"/>
    <w:rsid w:val="00B11773"/>
    <w:rsid w:val="00B11A9E"/>
    <w:rsid w:val="00B12D81"/>
    <w:rsid w:val="00B137B2"/>
    <w:rsid w:val="00B14D39"/>
    <w:rsid w:val="00B1769A"/>
    <w:rsid w:val="00B21359"/>
    <w:rsid w:val="00B214A9"/>
    <w:rsid w:val="00B22277"/>
    <w:rsid w:val="00B22913"/>
    <w:rsid w:val="00B22D73"/>
    <w:rsid w:val="00B2764D"/>
    <w:rsid w:val="00B27B70"/>
    <w:rsid w:val="00B31CE2"/>
    <w:rsid w:val="00B324F1"/>
    <w:rsid w:val="00B33B1E"/>
    <w:rsid w:val="00B35248"/>
    <w:rsid w:val="00B37377"/>
    <w:rsid w:val="00B37837"/>
    <w:rsid w:val="00B37922"/>
    <w:rsid w:val="00B41FBE"/>
    <w:rsid w:val="00B464E9"/>
    <w:rsid w:val="00B46CC4"/>
    <w:rsid w:val="00B472DE"/>
    <w:rsid w:val="00B477C6"/>
    <w:rsid w:val="00B509C5"/>
    <w:rsid w:val="00B51963"/>
    <w:rsid w:val="00B5198E"/>
    <w:rsid w:val="00B529BB"/>
    <w:rsid w:val="00B53644"/>
    <w:rsid w:val="00B54A36"/>
    <w:rsid w:val="00B555AA"/>
    <w:rsid w:val="00B55B2B"/>
    <w:rsid w:val="00B6105B"/>
    <w:rsid w:val="00B630CD"/>
    <w:rsid w:val="00B6444E"/>
    <w:rsid w:val="00B6712C"/>
    <w:rsid w:val="00B67434"/>
    <w:rsid w:val="00B67BD0"/>
    <w:rsid w:val="00B70109"/>
    <w:rsid w:val="00B70EFA"/>
    <w:rsid w:val="00B715C9"/>
    <w:rsid w:val="00B71E43"/>
    <w:rsid w:val="00B7201B"/>
    <w:rsid w:val="00B721B2"/>
    <w:rsid w:val="00B72750"/>
    <w:rsid w:val="00B7389A"/>
    <w:rsid w:val="00B73C36"/>
    <w:rsid w:val="00B77F4D"/>
    <w:rsid w:val="00B817F6"/>
    <w:rsid w:val="00B82702"/>
    <w:rsid w:val="00B86CCB"/>
    <w:rsid w:val="00B90CA7"/>
    <w:rsid w:val="00B93C1C"/>
    <w:rsid w:val="00B9543A"/>
    <w:rsid w:val="00B95A61"/>
    <w:rsid w:val="00B95ABA"/>
    <w:rsid w:val="00B961C6"/>
    <w:rsid w:val="00B96A38"/>
    <w:rsid w:val="00B97F62"/>
    <w:rsid w:val="00BA0E02"/>
    <w:rsid w:val="00BA10C4"/>
    <w:rsid w:val="00BA329B"/>
    <w:rsid w:val="00BA4303"/>
    <w:rsid w:val="00BA4D56"/>
    <w:rsid w:val="00BA6297"/>
    <w:rsid w:val="00BA6E16"/>
    <w:rsid w:val="00BA7691"/>
    <w:rsid w:val="00BB164B"/>
    <w:rsid w:val="00BB2320"/>
    <w:rsid w:val="00BB2C81"/>
    <w:rsid w:val="00BB3BBC"/>
    <w:rsid w:val="00BB5B73"/>
    <w:rsid w:val="00BC04D1"/>
    <w:rsid w:val="00BC2BA4"/>
    <w:rsid w:val="00BC32C3"/>
    <w:rsid w:val="00BC47AD"/>
    <w:rsid w:val="00BC64B9"/>
    <w:rsid w:val="00BC7E1A"/>
    <w:rsid w:val="00BD02BF"/>
    <w:rsid w:val="00BD05E3"/>
    <w:rsid w:val="00BD0F63"/>
    <w:rsid w:val="00BD17D5"/>
    <w:rsid w:val="00BD5FE9"/>
    <w:rsid w:val="00BD7BDE"/>
    <w:rsid w:val="00BE229B"/>
    <w:rsid w:val="00BE28DE"/>
    <w:rsid w:val="00BE3519"/>
    <w:rsid w:val="00BE3929"/>
    <w:rsid w:val="00BE4FAB"/>
    <w:rsid w:val="00BE524E"/>
    <w:rsid w:val="00BE5979"/>
    <w:rsid w:val="00BE62D3"/>
    <w:rsid w:val="00BE7A17"/>
    <w:rsid w:val="00BE7CCE"/>
    <w:rsid w:val="00BF18F3"/>
    <w:rsid w:val="00BF25A2"/>
    <w:rsid w:val="00BF39E2"/>
    <w:rsid w:val="00BF3AE6"/>
    <w:rsid w:val="00C04D16"/>
    <w:rsid w:val="00C10467"/>
    <w:rsid w:val="00C10E8C"/>
    <w:rsid w:val="00C1231A"/>
    <w:rsid w:val="00C124DA"/>
    <w:rsid w:val="00C13DEE"/>
    <w:rsid w:val="00C147A6"/>
    <w:rsid w:val="00C17BC2"/>
    <w:rsid w:val="00C200E9"/>
    <w:rsid w:val="00C246ED"/>
    <w:rsid w:val="00C270F4"/>
    <w:rsid w:val="00C30D59"/>
    <w:rsid w:val="00C32874"/>
    <w:rsid w:val="00C342C8"/>
    <w:rsid w:val="00C34D44"/>
    <w:rsid w:val="00C35272"/>
    <w:rsid w:val="00C35752"/>
    <w:rsid w:val="00C36997"/>
    <w:rsid w:val="00C403A2"/>
    <w:rsid w:val="00C42506"/>
    <w:rsid w:val="00C42630"/>
    <w:rsid w:val="00C44C84"/>
    <w:rsid w:val="00C50582"/>
    <w:rsid w:val="00C5197D"/>
    <w:rsid w:val="00C56C82"/>
    <w:rsid w:val="00C632E1"/>
    <w:rsid w:val="00C63934"/>
    <w:rsid w:val="00C6576B"/>
    <w:rsid w:val="00C65875"/>
    <w:rsid w:val="00C65C47"/>
    <w:rsid w:val="00C65CEE"/>
    <w:rsid w:val="00C66039"/>
    <w:rsid w:val="00C67707"/>
    <w:rsid w:val="00C679B9"/>
    <w:rsid w:val="00C701F2"/>
    <w:rsid w:val="00C7055C"/>
    <w:rsid w:val="00C725D3"/>
    <w:rsid w:val="00C73172"/>
    <w:rsid w:val="00C732C5"/>
    <w:rsid w:val="00C7357D"/>
    <w:rsid w:val="00C735EB"/>
    <w:rsid w:val="00C749BC"/>
    <w:rsid w:val="00C75CD7"/>
    <w:rsid w:val="00C7742B"/>
    <w:rsid w:val="00C8271B"/>
    <w:rsid w:val="00C86F0D"/>
    <w:rsid w:val="00C87C9B"/>
    <w:rsid w:val="00C90A45"/>
    <w:rsid w:val="00C910F3"/>
    <w:rsid w:val="00C913EC"/>
    <w:rsid w:val="00C922DD"/>
    <w:rsid w:val="00C94A04"/>
    <w:rsid w:val="00C94F27"/>
    <w:rsid w:val="00C9507E"/>
    <w:rsid w:val="00C96254"/>
    <w:rsid w:val="00C9653F"/>
    <w:rsid w:val="00C966E1"/>
    <w:rsid w:val="00CA085F"/>
    <w:rsid w:val="00CA1527"/>
    <w:rsid w:val="00CA2303"/>
    <w:rsid w:val="00CA5C47"/>
    <w:rsid w:val="00CB30A9"/>
    <w:rsid w:val="00CB349B"/>
    <w:rsid w:val="00CB56A1"/>
    <w:rsid w:val="00CB5A8B"/>
    <w:rsid w:val="00CB6E1B"/>
    <w:rsid w:val="00CB7439"/>
    <w:rsid w:val="00CB7999"/>
    <w:rsid w:val="00CC32E7"/>
    <w:rsid w:val="00CC4FA7"/>
    <w:rsid w:val="00CC65D4"/>
    <w:rsid w:val="00CC65F3"/>
    <w:rsid w:val="00CC69F7"/>
    <w:rsid w:val="00CC70C1"/>
    <w:rsid w:val="00CC796F"/>
    <w:rsid w:val="00CD1582"/>
    <w:rsid w:val="00CD2A38"/>
    <w:rsid w:val="00CD2A9A"/>
    <w:rsid w:val="00CD3125"/>
    <w:rsid w:val="00CD3156"/>
    <w:rsid w:val="00CD4D0E"/>
    <w:rsid w:val="00CD745D"/>
    <w:rsid w:val="00CD7AB5"/>
    <w:rsid w:val="00CD7FCA"/>
    <w:rsid w:val="00CE1E0D"/>
    <w:rsid w:val="00CE3918"/>
    <w:rsid w:val="00CE3A88"/>
    <w:rsid w:val="00CF3BD4"/>
    <w:rsid w:val="00CF4179"/>
    <w:rsid w:val="00CF5382"/>
    <w:rsid w:val="00CF6234"/>
    <w:rsid w:val="00D00626"/>
    <w:rsid w:val="00D02EF7"/>
    <w:rsid w:val="00D04692"/>
    <w:rsid w:val="00D04A9A"/>
    <w:rsid w:val="00D05790"/>
    <w:rsid w:val="00D05CFE"/>
    <w:rsid w:val="00D06480"/>
    <w:rsid w:val="00D105BB"/>
    <w:rsid w:val="00D11C79"/>
    <w:rsid w:val="00D11E15"/>
    <w:rsid w:val="00D14FD6"/>
    <w:rsid w:val="00D1569C"/>
    <w:rsid w:val="00D15A65"/>
    <w:rsid w:val="00D15B48"/>
    <w:rsid w:val="00D15D3C"/>
    <w:rsid w:val="00D16FF0"/>
    <w:rsid w:val="00D20B2F"/>
    <w:rsid w:val="00D211C9"/>
    <w:rsid w:val="00D2174D"/>
    <w:rsid w:val="00D217AF"/>
    <w:rsid w:val="00D21D57"/>
    <w:rsid w:val="00D22C74"/>
    <w:rsid w:val="00D27047"/>
    <w:rsid w:val="00D30428"/>
    <w:rsid w:val="00D30430"/>
    <w:rsid w:val="00D30E11"/>
    <w:rsid w:val="00D364DF"/>
    <w:rsid w:val="00D4036E"/>
    <w:rsid w:val="00D41262"/>
    <w:rsid w:val="00D447F0"/>
    <w:rsid w:val="00D45550"/>
    <w:rsid w:val="00D47CC7"/>
    <w:rsid w:val="00D51E6E"/>
    <w:rsid w:val="00D52427"/>
    <w:rsid w:val="00D5351E"/>
    <w:rsid w:val="00D53780"/>
    <w:rsid w:val="00D53AD7"/>
    <w:rsid w:val="00D53CEB"/>
    <w:rsid w:val="00D55D5C"/>
    <w:rsid w:val="00D60078"/>
    <w:rsid w:val="00D6547A"/>
    <w:rsid w:val="00D656E7"/>
    <w:rsid w:val="00D6588A"/>
    <w:rsid w:val="00D65CD1"/>
    <w:rsid w:val="00D73A7B"/>
    <w:rsid w:val="00D74A29"/>
    <w:rsid w:val="00D76742"/>
    <w:rsid w:val="00D77681"/>
    <w:rsid w:val="00D81173"/>
    <w:rsid w:val="00D8135C"/>
    <w:rsid w:val="00D81B0B"/>
    <w:rsid w:val="00D821C7"/>
    <w:rsid w:val="00D8471C"/>
    <w:rsid w:val="00D8475E"/>
    <w:rsid w:val="00D85B2D"/>
    <w:rsid w:val="00D8690D"/>
    <w:rsid w:val="00D90739"/>
    <w:rsid w:val="00D90A81"/>
    <w:rsid w:val="00D94DC0"/>
    <w:rsid w:val="00D97E94"/>
    <w:rsid w:val="00DA2E17"/>
    <w:rsid w:val="00DA45DE"/>
    <w:rsid w:val="00DA5F5E"/>
    <w:rsid w:val="00DA6E33"/>
    <w:rsid w:val="00DB0D01"/>
    <w:rsid w:val="00DB1040"/>
    <w:rsid w:val="00DB2E3B"/>
    <w:rsid w:val="00DB3958"/>
    <w:rsid w:val="00DB606C"/>
    <w:rsid w:val="00DB6318"/>
    <w:rsid w:val="00DB6F56"/>
    <w:rsid w:val="00DB709B"/>
    <w:rsid w:val="00DC0603"/>
    <w:rsid w:val="00DC073E"/>
    <w:rsid w:val="00DC23FC"/>
    <w:rsid w:val="00DC25BE"/>
    <w:rsid w:val="00DC2D16"/>
    <w:rsid w:val="00DC3E93"/>
    <w:rsid w:val="00DC40F2"/>
    <w:rsid w:val="00DC5F5C"/>
    <w:rsid w:val="00DC71BF"/>
    <w:rsid w:val="00DC7272"/>
    <w:rsid w:val="00DD0508"/>
    <w:rsid w:val="00DD061E"/>
    <w:rsid w:val="00DD2008"/>
    <w:rsid w:val="00DD5B75"/>
    <w:rsid w:val="00DD5D40"/>
    <w:rsid w:val="00DD5FB4"/>
    <w:rsid w:val="00DD6DA6"/>
    <w:rsid w:val="00DD7A5B"/>
    <w:rsid w:val="00DE0401"/>
    <w:rsid w:val="00DE329E"/>
    <w:rsid w:val="00DE3C43"/>
    <w:rsid w:val="00DE3F37"/>
    <w:rsid w:val="00DE4690"/>
    <w:rsid w:val="00DE4A6D"/>
    <w:rsid w:val="00DE5628"/>
    <w:rsid w:val="00DF1095"/>
    <w:rsid w:val="00DF165A"/>
    <w:rsid w:val="00DF1686"/>
    <w:rsid w:val="00DF1776"/>
    <w:rsid w:val="00DF1955"/>
    <w:rsid w:val="00DF3026"/>
    <w:rsid w:val="00DF72E6"/>
    <w:rsid w:val="00DF7A00"/>
    <w:rsid w:val="00DF7C1D"/>
    <w:rsid w:val="00E00922"/>
    <w:rsid w:val="00E00C4B"/>
    <w:rsid w:val="00E07F77"/>
    <w:rsid w:val="00E10394"/>
    <w:rsid w:val="00E106F9"/>
    <w:rsid w:val="00E10F07"/>
    <w:rsid w:val="00E1493F"/>
    <w:rsid w:val="00E14BE9"/>
    <w:rsid w:val="00E1696F"/>
    <w:rsid w:val="00E16A18"/>
    <w:rsid w:val="00E17B12"/>
    <w:rsid w:val="00E20863"/>
    <w:rsid w:val="00E22A84"/>
    <w:rsid w:val="00E243F8"/>
    <w:rsid w:val="00E2591E"/>
    <w:rsid w:val="00E26B74"/>
    <w:rsid w:val="00E318BC"/>
    <w:rsid w:val="00E34798"/>
    <w:rsid w:val="00E347FA"/>
    <w:rsid w:val="00E34AF3"/>
    <w:rsid w:val="00E35D1E"/>
    <w:rsid w:val="00E35E27"/>
    <w:rsid w:val="00E40A8D"/>
    <w:rsid w:val="00E437A6"/>
    <w:rsid w:val="00E44336"/>
    <w:rsid w:val="00E446A2"/>
    <w:rsid w:val="00E46082"/>
    <w:rsid w:val="00E52320"/>
    <w:rsid w:val="00E52784"/>
    <w:rsid w:val="00E53116"/>
    <w:rsid w:val="00E558AB"/>
    <w:rsid w:val="00E57413"/>
    <w:rsid w:val="00E57DBE"/>
    <w:rsid w:val="00E622BB"/>
    <w:rsid w:val="00E62FB0"/>
    <w:rsid w:val="00E65074"/>
    <w:rsid w:val="00E67264"/>
    <w:rsid w:val="00E7160B"/>
    <w:rsid w:val="00E7400B"/>
    <w:rsid w:val="00E75651"/>
    <w:rsid w:val="00E76767"/>
    <w:rsid w:val="00E775C8"/>
    <w:rsid w:val="00E81EBF"/>
    <w:rsid w:val="00E838E1"/>
    <w:rsid w:val="00E839FD"/>
    <w:rsid w:val="00E83BE3"/>
    <w:rsid w:val="00E86260"/>
    <w:rsid w:val="00E90042"/>
    <w:rsid w:val="00E92C96"/>
    <w:rsid w:val="00E930E4"/>
    <w:rsid w:val="00E957A1"/>
    <w:rsid w:val="00E957B3"/>
    <w:rsid w:val="00E966D0"/>
    <w:rsid w:val="00E97DCB"/>
    <w:rsid w:val="00EA06D5"/>
    <w:rsid w:val="00EA18CF"/>
    <w:rsid w:val="00EA1B43"/>
    <w:rsid w:val="00EA1D3B"/>
    <w:rsid w:val="00EA1E96"/>
    <w:rsid w:val="00EA2706"/>
    <w:rsid w:val="00EA3CC3"/>
    <w:rsid w:val="00EA75A9"/>
    <w:rsid w:val="00EA779D"/>
    <w:rsid w:val="00EB105C"/>
    <w:rsid w:val="00EB3E1E"/>
    <w:rsid w:val="00EB454C"/>
    <w:rsid w:val="00EB6395"/>
    <w:rsid w:val="00EB63CE"/>
    <w:rsid w:val="00EB77DE"/>
    <w:rsid w:val="00EC1945"/>
    <w:rsid w:val="00EC1C1D"/>
    <w:rsid w:val="00EC2EA1"/>
    <w:rsid w:val="00EC3793"/>
    <w:rsid w:val="00EC54F7"/>
    <w:rsid w:val="00EC5DDA"/>
    <w:rsid w:val="00EC6395"/>
    <w:rsid w:val="00EC6460"/>
    <w:rsid w:val="00EC64F9"/>
    <w:rsid w:val="00EC66FE"/>
    <w:rsid w:val="00EC6D2B"/>
    <w:rsid w:val="00EC7020"/>
    <w:rsid w:val="00EC7B9F"/>
    <w:rsid w:val="00ED29C8"/>
    <w:rsid w:val="00ED50C1"/>
    <w:rsid w:val="00ED5672"/>
    <w:rsid w:val="00ED6B2C"/>
    <w:rsid w:val="00ED7389"/>
    <w:rsid w:val="00EE26FF"/>
    <w:rsid w:val="00EE2FA3"/>
    <w:rsid w:val="00EE563B"/>
    <w:rsid w:val="00EE5CE3"/>
    <w:rsid w:val="00EE6611"/>
    <w:rsid w:val="00EE7FBD"/>
    <w:rsid w:val="00EF1289"/>
    <w:rsid w:val="00EF3344"/>
    <w:rsid w:val="00EF3B03"/>
    <w:rsid w:val="00EF4D15"/>
    <w:rsid w:val="00EF5FB2"/>
    <w:rsid w:val="00EF6116"/>
    <w:rsid w:val="00EF6D01"/>
    <w:rsid w:val="00EF6FC4"/>
    <w:rsid w:val="00F01095"/>
    <w:rsid w:val="00F023E6"/>
    <w:rsid w:val="00F02548"/>
    <w:rsid w:val="00F04D7C"/>
    <w:rsid w:val="00F06FAA"/>
    <w:rsid w:val="00F07734"/>
    <w:rsid w:val="00F112A1"/>
    <w:rsid w:val="00F11482"/>
    <w:rsid w:val="00F1198A"/>
    <w:rsid w:val="00F12E34"/>
    <w:rsid w:val="00F20C79"/>
    <w:rsid w:val="00F20DC0"/>
    <w:rsid w:val="00F211F3"/>
    <w:rsid w:val="00F21CBC"/>
    <w:rsid w:val="00F2345A"/>
    <w:rsid w:val="00F2430C"/>
    <w:rsid w:val="00F25F10"/>
    <w:rsid w:val="00F30521"/>
    <w:rsid w:val="00F328A9"/>
    <w:rsid w:val="00F329EA"/>
    <w:rsid w:val="00F34B51"/>
    <w:rsid w:val="00F35E33"/>
    <w:rsid w:val="00F40389"/>
    <w:rsid w:val="00F41103"/>
    <w:rsid w:val="00F41B8B"/>
    <w:rsid w:val="00F43572"/>
    <w:rsid w:val="00F47834"/>
    <w:rsid w:val="00F50BE8"/>
    <w:rsid w:val="00F518FC"/>
    <w:rsid w:val="00F51999"/>
    <w:rsid w:val="00F530BD"/>
    <w:rsid w:val="00F54BE4"/>
    <w:rsid w:val="00F54E4E"/>
    <w:rsid w:val="00F55AA3"/>
    <w:rsid w:val="00F57721"/>
    <w:rsid w:val="00F6245E"/>
    <w:rsid w:val="00F64FFD"/>
    <w:rsid w:val="00F65A25"/>
    <w:rsid w:val="00F66462"/>
    <w:rsid w:val="00F72C35"/>
    <w:rsid w:val="00F7573F"/>
    <w:rsid w:val="00F75774"/>
    <w:rsid w:val="00F773A3"/>
    <w:rsid w:val="00F81366"/>
    <w:rsid w:val="00F8441C"/>
    <w:rsid w:val="00F84F85"/>
    <w:rsid w:val="00F85EAC"/>
    <w:rsid w:val="00F87A83"/>
    <w:rsid w:val="00F90218"/>
    <w:rsid w:val="00F90CBE"/>
    <w:rsid w:val="00F90FAD"/>
    <w:rsid w:val="00F911D2"/>
    <w:rsid w:val="00F92967"/>
    <w:rsid w:val="00F92F42"/>
    <w:rsid w:val="00FA1772"/>
    <w:rsid w:val="00FA18CF"/>
    <w:rsid w:val="00FA4606"/>
    <w:rsid w:val="00FA4642"/>
    <w:rsid w:val="00FA59BB"/>
    <w:rsid w:val="00FA7130"/>
    <w:rsid w:val="00FA7388"/>
    <w:rsid w:val="00FB25D1"/>
    <w:rsid w:val="00FB3717"/>
    <w:rsid w:val="00FB612B"/>
    <w:rsid w:val="00FC185A"/>
    <w:rsid w:val="00FC2C24"/>
    <w:rsid w:val="00FC480B"/>
    <w:rsid w:val="00FC569E"/>
    <w:rsid w:val="00FC58FF"/>
    <w:rsid w:val="00FC64E5"/>
    <w:rsid w:val="00FC732B"/>
    <w:rsid w:val="00FD0118"/>
    <w:rsid w:val="00FD3B89"/>
    <w:rsid w:val="00FD6EEC"/>
    <w:rsid w:val="00FD774B"/>
    <w:rsid w:val="00FE1A09"/>
    <w:rsid w:val="00FE283A"/>
    <w:rsid w:val="00FE2EC3"/>
    <w:rsid w:val="00FE2F34"/>
    <w:rsid w:val="00FE4B19"/>
    <w:rsid w:val="00FE4C56"/>
    <w:rsid w:val="00FE664B"/>
    <w:rsid w:val="00FE6717"/>
    <w:rsid w:val="00FE6725"/>
    <w:rsid w:val="00FE68AD"/>
    <w:rsid w:val="00FE7F97"/>
    <w:rsid w:val="00FF0733"/>
    <w:rsid w:val="00FF2020"/>
    <w:rsid w:val="00FF21E2"/>
    <w:rsid w:val="00FF2DC4"/>
    <w:rsid w:val="00FF3295"/>
    <w:rsid w:val="00FF3F0F"/>
    <w:rsid w:val="00FF4688"/>
    <w:rsid w:val="00FF5571"/>
    <w:rsid w:val="00FF5CD4"/>
    <w:rsid w:val="00FF620A"/>
    <w:rsid w:val="00FF6D3A"/>
    <w:rsid w:val="00FF7768"/>
    <w:rsid w:val="01019175"/>
    <w:rsid w:val="01257CF8"/>
    <w:rsid w:val="012FDEF2"/>
    <w:rsid w:val="0145516B"/>
    <w:rsid w:val="0173D58D"/>
    <w:rsid w:val="01904CEF"/>
    <w:rsid w:val="01915C2C"/>
    <w:rsid w:val="01C43905"/>
    <w:rsid w:val="01C51E37"/>
    <w:rsid w:val="01EE00FB"/>
    <w:rsid w:val="020E31F0"/>
    <w:rsid w:val="022247DB"/>
    <w:rsid w:val="022FA1DC"/>
    <w:rsid w:val="023A1A26"/>
    <w:rsid w:val="02658ECD"/>
    <w:rsid w:val="029FE7BD"/>
    <w:rsid w:val="02C8276F"/>
    <w:rsid w:val="02CB7898"/>
    <w:rsid w:val="02CED920"/>
    <w:rsid w:val="0302E146"/>
    <w:rsid w:val="03191AEF"/>
    <w:rsid w:val="03237114"/>
    <w:rsid w:val="032B2F63"/>
    <w:rsid w:val="03A356DA"/>
    <w:rsid w:val="03D81181"/>
    <w:rsid w:val="04051194"/>
    <w:rsid w:val="041A67D8"/>
    <w:rsid w:val="0449DBDE"/>
    <w:rsid w:val="046A5BA0"/>
    <w:rsid w:val="04A1226B"/>
    <w:rsid w:val="04C4DAEA"/>
    <w:rsid w:val="04E41FD5"/>
    <w:rsid w:val="04E5DF88"/>
    <w:rsid w:val="050706C1"/>
    <w:rsid w:val="051B3E72"/>
    <w:rsid w:val="051D4D0B"/>
    <w:rsid w:val="051D7FDC"/>
    <w:rsid w:val="05A6AE9F"/>
    <w:rsid w:val="05D30098"/>
    <w:rsid w:val="0605074E"/>
    <w:rsid w:val="062E0DD9"/>
    <w:rsid w:val="064A3BA6"/>
    <w:rsid w:val="067304C8"/>
    <w:rsid w:val="067A960D"/>
    <w:rsid w:val="06C9DB9A"/>
    <w:rsid w:val="06EE64B3"/>
    <w:rsid w:val="07578F37"/>
    <w:rsid w:val="078B825C"/>
    <w:rsid w:val="07905037"/>
    <w:rsid w:val="07F8F0A0"/>
    <w:rsid w:val="0820FC59"/>
    <w:rsid w:val="08587DF1"/>
    <w:rsid w:val="0890DF96"/>
    <w:rsid w:val="08964007"/>
    <w:rsid w:val="08A9F35D"/>
    <w:rsid w:val="08D11A75"/>
    <w:rsid w:val="08D75BEA"/>
    <w:rsid w:val="08E4E5B3"/>
    <w:rsid w:val="093A8D7C"/>
    <w:rsid w:val="0954EF99"/>
    <w:rsid w:val="09A43F5B"/>
    <w:rsid w:val="09D5BBE1"/>
    <w:rsid w:val="09DDEB4A"/>
    <w:rsid w:val="09E4C111"/>
    <w:rsid w:val="0A607244"/>
    <w:rsid w:val="0A77D2A4"/>
    <w:rsid w:val="0ACA3E10"/>
    <w:rsid w:val="0B1FFE6B"/>
    <w:rsid w:val="0B282B36"/>
    <w:rsid w:val="0B2BA22A"/>
    <w:rsid w:val="0B431B5F"/>
    <w:rsid w:val="0B4DA33D"/>
    <w:rsid w:val="0B95DC68"/>
    <w:rsid w:val="0BB564DA"/>
    <w:rsid w:val="0BDAA91C"/>
    <w:rsid w:val="0C041C78"/>
    <w:rsid w:val="0C0EFCAC"/>
    <w:rsid w:val="0C60D866"/>
    <w:rsid w:val="0CAD8BDE"/>
    <w:rsid w:val="0CC0256E"/>
    <w:rsid w:val="0CCD558C"/>
    <w:rsid w:val="0D0E719F"/>
    <w:rsid w:val="0D57026E"/>
    <w:rsid w:val="0DAEF3AE"/>
    <w:rsid w:val="0DCCFED3"/>
    <w:rsid w:val="0DEBA06C"/>
    <w:rsid w:val="0E460477"/>
    <w:rsid w:val="0E5748ED"/>
    <w:rsid w:val="0E8A03F3"/>
    <w:rsid w:val="0EA65AFF"/>
    <w:rsid w:val="0EBF1455"/>
    <w:rsid w:val="0EEC2177"/>
    <w:rsid w:val="0F5927F8"/>
    <w:rsid w:val="0F7392CD"/>
    <w:rsid w:val="0F982657"/>
    <w:rsid w:val="0F9B4025"/>
    <w:rsid w:val="0F9CE5C3"/>
    <w:rsid w:val="0FA72437"/>
    <w:rsid w:val="0FA74FDD"/>
    <w:rsid w:val="0FB8BC8D"/>
    <w:rsid w:val="0FBFF61F"/>
    <w:rsid w:val="0FDB2F93"/>
    <w:rsid w:val="100FA3A4"/>
    <w:rsid w:val="1018DE23"/>
    <w:rsid w:val="1034424C"/>
    <w:rsid w:val="10446043"/>
    <w:rsid w:val="1083C531"/>
    <w:rsid w:val="108C3F49"/>
    <w:rsid w:val="10BAF91D"/>
    <w:rsid w:val="10C94A8A"/>
    <w:rsid w:val="1142F498"/>
    <w:rsid w:val="117549F2"/>
    <w:rsid w:val="11D2995A"/>
    <w:rsid w:val="1220E10A"/>
    <w:rsid w:val="126AB2DC"/>
    <w:rsid w:val="12BAD664"/>
    <w:rsid w:val="12E4F034"/>
    <w:rsid w:val="131EBF63"/>
    <w:rsid w:val="1324186C"/>
    <w:rsid w:val="132FB9CE"/>
    <w:rsid w:val="13518B3D"/>
    <w:rsid w:val="13675EB8"/>
    <w:rsid w:val="1382B13F"/>
    <w:rsid w:val="139445BD"/>
    <w:rsid w:val="139D7F61"/>
    <w:rsid w:val="13DDC699"/>
    <w:rsid w:val="13DDFF00"/>
    <w:rsid w:val="13E85A67"/>
    <w:rsid w:val="13F717E6"/>
    <w:rsid w:val="148ED43E"/>
    <w:rsid w:val="14DB8CE3"/>
    <w:rsid w:val="150A3A1C"/>
    <w:rsid w:val="151F5C48"/>
    <w:rsid w:val="15440543"/>
    <w:rsid w:val="15BA3510"/>
    <w:rsid w:val="161400B3"/>
    <w:rsid w:val="16EA5B95"/>
    <w:rsid w:val="16F76B13"/>
    <w:rsid w:val="1703DDEC"/>
    <w:rsid w:val="176BA399"/>
    <w:rsid w:val="177F9B41"/>
    <w:rsid w:val="178D9B2E"/>
    <w:rsid w:val="1828B281"/>
    <w:rsid w:val="18352B6B"/>
    <w:rsid w:val="18B29D4A"/>
    <w:rsid w:val="18BEBF49"/>
    <w:rsid w:val="19798892"/>
    <w:rsid w:val="19925DD1"/>
    <w:rsid w:val="19B1DF22"/>
    <w:rsid w:val="19B3D130"/>
    <w:rsid w:val="1A49239B"/>
    <w:rsid w:val="1B0E16BC"/>
    <w:rsid w:val="1B22CEC8"/>
    <w:rsid w:val="1B2F971B"/>
    <w:rsid w:val="1B3896EB"/>
    <w:rsid w:val="1B45EBDE"/>
    <w:rsid w:val="1B63EAAB"/>
    <w:rsid w:val="1B677680"/>
    <w:rsid w:val="1B690091"/>
    <w:rsid w:val="1B8C486E"/>
    <w:rsid w:val="1B9E9B4C"/>
    <w:rsid w:val="1BA89146"/>
    <w:rsid w:val="1BBBCF88"/>
    <w:rsid w:val="1BCC297D"/>
    <w:rsid w:val="1BD88434"/>
    <w:rsid w:val="1BE57E39"/>
    <w:rsid w:val="1BFF48EE"/>
    <w:rsid w:val="1C0E2745"/>
    <w:rsid w:val="1C37CBC3"/>
    <w:rsid w:val="1C59F8A7"/>
    <w:rsid w:val="1CBB3EEF"/>
    <w:rsid w:val="1CCB677C"/>
    <w:rsid w:val="1D0346E1"/>
    <w:rsid w:val="1D142065"/>
    <w:rsid w:val="1DB553D8"/>
    <w:rsid w:val="1DCAEF65"/>
    <w:rsid w:val="1DCC41F9"/>
    <w:rsid w:val="1DF7AA0C"/>
    <w:rsid w:val="1E1674BA"/>
    <w:rsid w:val="1E1F0884"/>
    <w:rsid w:val="1E51AF81"/>
    <w:rsid w:val="1E570F50"/>
    <w:rsid w:val="1E662D20"/>
    <w:rsid w:val="1E844144"/>
    <w:rsid w:val="1EA66826"/>
    <w:rsid w:val="1ED5A496"/>
    <w:rsid w:val="1F1933AE"/>
    <w:rsid w:val="1F3773EA"/>
    <w:rsid w:val="1F3E89EB"/>
    <w:rsid w:val="1F768FC2"/>
    <w:rsid w:val="1F7FC6AE"/>
    <w:rsid w:val="1FA2017D"/>
    <w:rsid w:val="1FAD445E"/>
    <w:rsid w:val="1FB1009E"/>
    <w:rsid w:val="1FE85162"/>
    <w:rsid w:val="2007CB68"/>
    <w:rsid w:val="20375BCE"/>
    <w:rsid w:val="205298A7"/>
    <w:rsid w:val="206A57AB"/>
    <w:rsid w:val="207C0269"/>
    <w:rsid w:val="208A1EE6"/>
    <w:rsid w:val="20935A03"/>
    <w:rsid w:val="20C8678E"/>
    <w:rsid w:val="20D3A441"/>
    <w:rsid w:val="20D93F62"/>
    <w:rsid w:val="2128F7CF"/>
    <w:rsid w:val="2138FB39"/>
    <w:rsid w:val="21499D49"/>
    <w:rsid w:val="214EAF79"/>
    <w:rsid w:val="216F1F54"/>
    <w:rsid w:val="2192356C"/>
    <w:rsid w:val="21CB743D"/>
    <w:rsid w:val="222E4E00"/>
    <w:rsid w:val="2231ACE3"/>
    <w:rsid w:val="2268A21D"/>
    <w:rsid w:val="2272AB9E"/>
    <w:rsid w:val="2291F3ED"/>
    <w:rsid w:val="229FC1A5"/>
    <w:rsid w:val="22E82EB8"/>
    <w:rsid w:val="23068F87"/>
    <w:rsid w:val="231F5AAC"/>
    <w:rsid w:val="232A8073"/>
    <w:rsid w:val="2331B833"/>
    <w:rsid w:val="23672A77"/>
    <w:rsid w:val="236C0C50"/>
    <w:rsid w:val="236EFC90"/>
    <w:rsid w:val="2378BEE5"/>
    <w:rsid w:val="237C5594"/>
    <w:rsid w:val="239AAF77"/>
    <w:rsid w:val="239EBF48"/>
    <w:rsid w:val="23A3ACA4"/>
    <w:rsid w:val="23AA5075"/>
    <w:rsid w:val="23BB7340"/>
    <w:rsid w:val="23C8FCAC"/>
    <w:rsid w:val="24329E6D"/>
    <w:rsid w:val="244026B4"/>
    <w:rsid w:val="244CB5BE"/>
    <w:rsid w:val="2466A586"/>
    <w:rsid w:val="2485058C"/>
    <w:rsid w:val="24859EE8"/>
    <w:rsid w:val="2490705A"/>
    <w:rsid w:val="24DC0589"/>
    <w:rsid w:val="251A24A5"/>
    <w:rsid w:val="2537E001"/>
    <w:rsid w:val="2548AED9"/>
    <w:rsid w:val="2571214F"/>
    <w:rsid w:val="25B7C8E8"/>
    <w:rsid w:val="25C6B93F"/>
    <w:rsid w:val="25D1BF2C"/>
    <w:rsid w:val="25E1B57D"/>
    <w:rsid w:val="25E4A256"/>
    <w:rsid w:val="26388EED"/>
    <w:rsid w:val="26653955"/>
    <w:rsid w:val="267859EC"/>
    <w:rsid w:val="2690C7EE"/>
    <w:rsid w:val="2695F8D1"/>
    <w:rsid w:val="26BB0F07"/>
    <w:rsid w:val="26C82D0C"/>
    <w:rsid w:val="26F081D7"/>
    <w:rsid w:val="272734C1"/>
    <w:rsid w:val="27376ED2"/>
    <w:rsid w:val="2757279B"/>
    <w:rsid w:val="275FD5CD"/>
    <w:rsid w:val="278F2095"/>
    <w:rsid w:val="27B033AD"/>
    <w:rsid w:val="27B68797"/>
    <w:rsid w:val="27F33872"/>
    <w:rsid w:val="27FF7649"/>
    <w:rsid w:val="284935D4"/>
    <w:rsid w:val="285A6F4F"/>
    <w:rsid w:val="287B02DF"/>
    <w:rsid w:val="289A56BA"/>
    <w:rsid w:val="28A9B72F"/>
    <w:rsid w:val="28ACAD1B"/>
    <w:rsid w:val="28EE1B49"/>
    <w:rsid w:val="28F39675"/>
    <w:rsid w:val="28F88A51"/>
    <w:rsid w:val="290F149A"/>
    <w:rsid w:val="293B5FC2"/>
    <w:rsid w:val="299527F5"/>
    <w:rsid w:val="29ACBCA4"/>
    <w:rsid w:val="29AD2162"/>
    <w:rsid w:val="29CA8AB3"/>
    <w:rsid w:val="2A23CC7B"/>
    <w:rsid w:val="2A4588E0"/>
    <w:rsid w:val="2A4939F6"/>
    <w:rsid w:val="2A685AA4"/>
    <w:rsid w:val="2A838E13"/>
    <w:rsid w:val="2A8CB9D8"/>
    <w:rsid w:val="2A8F66D6"/>
    <w:rsid w:val="2AC88502"/>
    <w:rsid w:val="2B09CE5E"/>
    <w:rsid w:val="2B0CA72D"/>
    <w:rsid w:val="2B207641"/>
    <w:rsid w:val="2B4AFB9B"/>
    <w:rsid w:val="2B8A45CA"/>
    <w:rsid w:val="2BA7222C"/>
    <w:rsid w:val="2C79EAFB"/>
    <w:rsid w:val="2CB72D2A"/>
    <w:rsid w:val="2CC3DD9D"/>
    <w:rsid w:val="2CCC313F"/>
    <w:rsid w:val="2CEDC466"/>
    <w:rsid w:val="2D026A45"/>
    <w:rsid w:val="2D215831"/>
    <w:rsid w:val="2D3D1997"/>
    <w:rsid w:val="2D5599B3"/>
    <w:rsid w:val="2D75DEF7"/>
    <w:rsid w:val="2D7CB791"/>
    <w:rsid w:val="2DA58A6F"/>
    <w:rsid w:val="2DD72356"/>
    <w:rsid w:val="2DDCC97B"/>
    <w:rsid w:val="2DE4EE51"/>
    <w:rsid w:val="2E11EBD3"/>
    <w:rsid w:val="2E24DC07"/>
    <w:rsid w:val="2E3D4EEC"/>
    <w:rsid w:val="2E65B8A6"/>
    <w:rsid w:val="2E825A03"/>
    <w:rsid w:val="2E98DD81"/>
    <w:rsid w:val="2EB4AEE4"/>
    <w:rsid w:val="2EBE850D"/>
    <w:rsid w:val="2EC32719"/>
    <w:rsid w:val="2EE7F26F"/>
    <w:rsid w:val="2F87EC57"/>
    <w:rsid w:val="2FA3A39F"/>
    <w:rsid w:val="2FBB9D0C"/>
    <w:rsid w:val="2FC2D724"/>
    <w:rsid w:val="2FEC119E"/>
    <w:rsid w:val="3007B53E"/>
    <w:rsid w:val="303F4D71"/>
    <w:rsid w:val="304B4183"/>
    <w:rsid w:val="30778C57"/>
    <w:rsid w:val="30D281E5"/>
    <w:rsid w:val="30EC4710"/>
    <w:rsid w:val="31099A14"/>
    <w:rsid w:val="312C4CEC"/>
    <w:rsid w:val="314D5C1E"/>
    <w:rsid w:val="31618B37"/>
    <w:rsid w:val="318ED3B4"/>
    <w:rsid w:val="319573F0"/>
    <w:rsid w:val="31A3C20D"/>
    <w:rsid w:val="31A4850E"/>
    <w:rsid w:val="31B603D8"/>
    <w:rsid w:val="31DA6ADF"/>
    <w:rsid w:val="31DF46ED"/>
    <w:rsid w:val="31F5AC67"/>
    <w:rsid w:val="3215B603"/>
    <w:rsid w:val="325CCD80"/>
    <w:rsid w:val="327906F0"/>
    <w:rsid w:val="32919EC0"/>
    <w:rsid w:val="3295459A"/>
    <w:rsid w:val="329B7A19"/>
    <w:rsid w:val="32B1F1F4"/>
    <w:rsid w:val="32CD5BF0"/>
    <w:rsid w:val="3305DC84"/>
    <w:rsid w:val="3361B9AB"/>
    <w:rsid w:val="3363345E"/>
    <w:rsid w:val="336BD7D9"/>
    <w:rsid w:val="33B18664"/>
    <w:rsid w:val="33C3F9E6"/>
    <w:rsid w:val="33D1CDA6"/>
    <w:rsid w:val="33E2B747"/>
    <w:rsid w:val="3455018C"/>
    <w:rsid w:val="3463190C"/>
    <w:rsid w:val="3495A217"/>
    <w:rsid w:val="351BA29B"/>
    <w:rsid w:val="353E9670"/>
    <w:rsid w:val="3572F711"/>
    <w:rsid w:val="35B7EE00"/>
    <w:rsid w:val="35C5E0F3"/>
    <w:rsid w:val="35FCB91F"/>
    <w:rsid w:val="36182677"/>
    <w:rsid w:val="3631CF1B"/>
    <w:rsid w:val="3678F4DD"/>
    <w:rsid w:val="368E5AB1"/>
    <w:rsid w:val="36988923"/>
    <w:rsid w:val="36A12AD6"/>
    <w:rsid w:val="36D7EF81"/>
    <w:rsid w:val="36EDBECA"/>
    <w:rsid w:val="3732B5B9"/>
    <w:rsid w:val="373A706E"/>
    <w:rsid w:val="37C3D0E9"/>
    <w:rsid w:val="37CD0767"/>
    <w:rsid w:val="38125C4A"/>
    <w:rsid w:val="382C2B73"/>
    <w:rsid w:val="382DA2EA"/>
    <w:rsid w:val="3840FDB2"/>
    <w:rsid w:val="385947B1"/>
    <w:rsid w:val="3884F787"/>
    <w:rsid w:val="38CB3847"/>
    <w:rsid w:val="390CFB59"/>
    <w:rsid w:val="390DA730"/>
    <w:rsid w:val="3984E99C"/>
    <w:rsid w:val="39986679"/>
    <w:rsid w:val="39D79449"/>
    <w:rsid w:val="3A20C7E8"/>
    <w:rsid w:val="3A2E8617"/>
    <w:rsid w:val="3A3CE162"/>
    <w:rsid w:val="3A4149F0"/>
    <w:rsid w:val="3A49E5C1"/>
    <w:rsid w:val="3A84D923"/>
    <w:rsid w:val="3AA0246C"/>
    <w:rsid w:val="3AD41CDB"/>
    <w:rsid w:val="3AE2EAFC"/>
    <w:rsid w:val="3AF8C6DE"/>
    <w:rsid w:val="3B49991B"/>
    <w:rsid w:val="3BD87056"/>
    <w:rsid w:val="3C17D16A"/>
    <w:rsid w:val="3C44811D"/>
    <w:rsid w:val="3C661E00"/>
    <w:rsid w:val="3C96AC42"/>
    <w:rsid w:val="3CD9ABE6"/>
    <w:rsid w:val="3D2AD0D5"/>
    <w:rsid w:val="3D48EC18"/>
    <w:rsid w:val="3D658F61"/>
    <w:rsid w:val="3D753CD6"/>
    <w:rsid w:val="3D818683"/>
    <w:rsid w:val="3E0BBD9D"/>
    <w:rsid w:val="3E1927C0"/>
    <w:rsid w:val="3E27CC66"/>
    <w:rsid w:val="3E44F022"/>
    <w:rsid w:val="3E504DEB"/>
    <w:rsid w:val="3E757C47"/>
    <w:rsid w:val="3EA37090"/>
    <w:rsid w:val="3EBD0CB2"/>
    <w:rsid w:val="3ED03AE4"/>
    <w:rsid w:val="3F59EEF0"/>
    <w:rsid w:val="3F7ED704"/>
    <w:rsid w:val="3F848F0A"/>
    <w:rsid w:val="3FA78DFE"/>
    <w:rsid w:val="3FFF14B7"/>
    <w:rsid w:val="40088C9F"/>
    <w:rsid w:val="40114CA8"/>
    <w:rsid w:val="40D4870D"/>
    <w:rsid w:val="40F9C1DB"/>
    <w:rsid w:val="40FCCC95"/>
    <w:rsid w:val="40FCE3E3"/>
    <w:rsid w:val="410C6F88"/>
    <w:rsid w:val="4133C5D4"/>
    <w:rsid w:val="41650935"/>
    <w:rsid w:val="417C872E"/>
    <w:rsid w:val="42050EA8"/>
    <w:rsid w:val="42053CA6"/>
    <w:rsid w:val="420A3202"/>
    <w:rsid w:val="4265611C"/>
    <w:rsid w:val="4296CB5B"/>
    <w:rsid w:val="42BB4F2E"/>
    <w:rsid w:val="4313BCE6"/>
    <w:rsid w:val="431B0730"/>
    <w:rsid w:val="434DF0D1"/>
    <w:rsid w:val="43A8A570"/>
    <w:rsid w:val="43AC24C5"/>
    <w:rsid w:val="43B41CEE"/>
    <w:rsid w:val="43F02855"/>
    <w:rsid w:val="4408F333"/>
    <w:rsid w:val="4443A0C9"/>
    <w:rsid w:val="4462A10D"/>
    <w:rsid w:val="448D1359"/>
    <w:rsid w:val="449F5484"/>
    <w:rsid w:val="44E484BF"/>
    <w:rsid w:val="44F4E78D"/>
    <w:rsid w:val="450F981D"/>
    <w:rsid w:val="45806407"/>
    <w:rsid w:val="4581E738"/>
    <w:rsid w:val="45E2E770"/>
    <w:rsid w:val="45E56D68"/>
    <w:rsid w:val="45F25878"/>
    <w:rsid w:val="465DA5A3"/>
    <w:rsid w:val="466BC5A7"/>
    <w:rsid w:val="46808E2C"/>
    <w:rsid w:val="468BD215"/>
    <w:rsid w:val="46B7AC84"/>
    <w:rsid w:val="46CE610F"/>
    <w:rsid w:val="46CFB61C"/>
    <w:rsid w:val="4719B310"/>
    <w:rsid w:val="47A15A8B"/>
    <w:rsid w:val="47B8F8D7"/>
    <w:rsid w:val="47ED3A59"/>
    <w:rsid w:val="47F0735C"/>
    <w:rsid w:val="4847B02F"/>
    <w:rsid w:val="4897F93B"/>
    <w:rsid w:val="490D96FF"/>
    <w:rsid w:val="49147C55"/>
    <w:rsid w:val="4929D36D"/>
    <w:rsid w:val="492DCB31"/>
    <w:rsid w:val="494C2A8B"/>
    <w:rsid w:val="495E3FD4"/>
    <w:rsid w:val="49ABBE7F"/>
    <w:rsid w:val="49CEB1B2"/>
    <w:rsid w:val="4A290059"/>
    <w:rsid w:val="4A5A4A0B"/>
    <w:rsid w:val="4A9D1FD9"/>
    <w:rsid w:val="4AA901A9"/>
    <w:rsid w:val="4AA93DA2"/>
    <w:rsid w:val="4AB7AF77"/>
    <w:rsid w:val="4AF8FF1E"/>
    <w:rsid w:val="4B313D83"/>
    <w:rsid w:val="4B3F35D1"/>
    <w:rsid w:val="4B454E79"/>
    <w:rsid w:val="4B46AFE0"/>
    <w:rsid w:val="4B7ADB0A"/>
    <w:rsid w:val="4B9E0E4D"/>
    <w:rsid w:val="4BC17919"/>
    <w:rsid w:val="4C2594D5"/>
    <w:rsid w:val="4C26A781"/>
    <w:rsid w:val="4C548A95"/>
    <w:rsid w:val="4C74CBAE"/>
    <w:rsid w:val="4C7E005F"/>
    <w:rsid w:val="4CCAB203"/>
    <w:rsid w:val="4CEC87BC"/>
    <w:rsid w:val="4D331ABF"/>
    <w:rsid w:val="4D89CBFA"/>
    <w:rsid w:val="4D9F97D3"/>
    <w:rsid w:val="4DBC3CF5"/>
    <w:rsid w:val="4DFC753F"/>
    <w:rsid w:val="4E0C4D35"/>
    <w:rsid w:val="4EA36B0A"/>
    <w:rsid w:val="4EC5F158"/>
    <w:rsid w:val="4EDB4371"/>
    <w:rsid w:val="4F003D18"/>
    <w:rsid w:val="4F220A70"/>
    <w:rsid w:val="4F548A94"/>
    <w:rsid w:val="4F5D2D74"/>
    <w:rsid w:val="4F61B98C"/>
    <w:rsid w:val="4F7C02CA"/>
    <w:rsid w:val="4F9303B2"/>
    <w:rsid w:val="4F986B1F"/>
    <w:rsid w:val="50489E3A"/>
    <w:rsid w:val="50717F70"/>
    <w:rsid w:val="509E6896"/>
    <w:rsid w:val="50A8EFED"/>
    <w:rsid w:val="51370458"/>
    <w:rsid w:val="51667844"/>
    <w:rsid w:val="51699DC0"/>
    <w:rsid w:val="517436EE"/>
    <w:rsid w:val="51E1E372"/>
    <w:rsid w:val="51E9DB1E"/>
    <w:rsid w:val="520A95AD"/>
    <w:rsid w:val="520D7218"/>
    <w:rsid w:val="52DEF74C"/>
    <w:rsid w:val="531DC4BF"/>
    <w:rsid w:val="539EA137"/>
    <w:rsid w:val="53C0BD1B"/>
    <w:rsid w:val="53C19C25"/>
    <w:rsid w:val="53C441EF"/>
    <w:rsid w:val="53CA973B"/>
    <w:rsid w:val="53E369C5"/>
    <w:rsid w:val="5418CD47"/>
    <w:rsid w:val="542916B3"/>
    <w:rsid w:val="54D974E9"/>
    <w:rsid w:val="553919CE"/>
    <w:rsid w:val="557B51EA"/>
    <w:rsid w:val="558537AE"/>
    <w:rsid w:val="55967285"/>
    <w:rsid w:val="55B0657F"/>
    <w:rsid w:val="55D5C7F3"/>
    <w:rsid w:val="55FF0183"/>
    <w:rsid w:val="56056A49"/>
    <w:rsid w:val="565F75F3"/>
    <w:rsid w:val="565FF1B8"/>
    <w:rsid w:val="5662C284"/>
    <w:rsid w:val="5679F8DD"/>
    <w:rsid w:val="56A19138"/>
    <w:rsid w:val="56E09362"/>
    <w:rsid w:val="56EE5E5D"/>
    <w:rsid w:val="5704FEFA"/>
    <w:rsid w:val="573107C9"/>
    <w:rsid w:val="573952C0"/>
    <w:rsid w:val="5755FE78"/>
    <w:rsid w:val="575CF157"/>
    <w:rsid w:val="577F99F1"/>
    <w:rsid w:val="578897BF"/>
    <w:rsid w:val="57CF1082"/>
    <w:rsid w:val="57F5FE98"/>
    <w:rsid w:val="58471B13"/>
    <w:rsid w:val="58C353EB"/>
    <w:rsid w:val="592069D9"/>
    <w:rsid w:val="5951A184"/>
    <w:rsid w:val="59891C42"/>
    <w:rsid w:val="599F11B7"/>
    <w:rsid w:val="59BB3497"/>
    <w:rsid w:val="59CB6932"/>
    <w:rsid w:val="59D5CDE6"/>
    <w:rsid w:val="59F4798D"/>
    <w:rsid w:val="59F681DB"/>
    <w:rsid w:val="5A0B3635"/>
    <w:rsid w:val="5A20C5BC"/>
    <w:rsid w:val="5A84CBC0"/>
    <w:rsid w:val="5A86F415"/>
    <w:rsid w:val="5AE3A81A"/>
    <w:rsid w:val="5B1ED095"/>
    <w:rsid w:val="5B2AE76B"/>
    <w:rsid w:val="5B2D2B48"/>
    <w:rsid w:val="5B4515B6"/>
    <w:rsid w:val="5B5474DC"/>
    <w:rsid w:val="5B77C46A"/>
    <w:rsid w:val="5C19ABB5"/>
    <w:rsid w:val="5C44BDAF"/>
    <w:rsid w:val="5C5F1160"/>
    <w:rsid w:val="5CAAF147"/>
    <w:rsid w:val="5CF970C7"/>
    <w:rsid w:val="5D2F0058"/>
    <w:rsid w:val="5D516FF3"/>
    <w:rsid w:val="5D8844F8"/>
    <w:rsid w:val="5D90108D"/>
    <w:rsid w:val="5DC3025C"/>
    <w:rsid w:val="5E3850CC"/>
    <w:rsid w:val="5E3E1CD4"/>
    <w:rsid w:val="5E5CDE4B"/>
    <w:rsid w:val="5E99FC70"/>
    <w:rsid w:val="5EE62240"/>
    <w:rsid w:val="5F6A9A19"/>
    <w:rsid w:val="5F6DC5BB"/>
    <w:rsid w:val="5F75357F"/>
    <w:rsid w:val="5F756FA4"/>
    <w:rsid w:val="5F785FC1"/>
    <w:rsid w:val="5F9797EC"/>
    <w:rsid w:val="5F9D98D9"/>
    <w:rsid w:val="5FBE4F35"/>
    <w:rsid w:val="5FDCEDA6"/>
    <w:rsid w:val="5FEF99AF"/>
    <w:rsid w:val="6009909D"/>
    <w:rsid w:val="600D6158"/>
    <w:rsid w:val="6016DBBD"/>
    <w:rsid w:val="60560B30"/>
    <w:rsid w:val="60744E7C"/>
    <w:rsid w:val="60E7246E"/>
    <w:rsid w:val="610220ED"/>
    <w:rsid w:val="61182ED2"/>
    <w:rsid w:val="6153ED80"/>
    <w:rsid w:val="616FC23D"/>
    <w:rsid w:val="61ECCEE0"/>
    <w:rsid w:val="61F40C30"/>
    <w:rsid w:val="62058B20"/>
    <w:rsid w:val="6208918B"/>
    <w:rsid w:val="6231E275"/>
    <w:rsid w:val="6242C75A"/>
    <w:rsid w:val="62C25382"/>
    <w:rsid w:val="62FFBAB6"/>
    <w:rsid w:val="6320FFD3"/>
    <w:rsid w:val="632A8419"/>
    <w:rsid w:val="6365E5AF"/>
    <w:rsid w:val="63BC4B29"/>
    <w:rsid w:val="63D4CB92"/>
    <w:rsid w:val="63EA37A7"/>
    <w:rsid w:val="64384A11"/>
    <w:rsid w:val="643B0B2F"/>
    <w:rsid w:val="6463812B"/>
    <w:rsid w:val="64712314"/>
    <w:rsid w:val="64788540"/>
    <w:rsid w:val="64A37601"/>
    <w:rsid w:val="64BCD034"/>
    <w:rsid w:val="64D679DE"/>
    <w:rsid w:val="64D7A963"/>
    <w:rsid w:val="65476A0D"/>
    <w:rsid w:val="65492CFB"/>
    <w:rsid w:val="65703008"/>
    <w:rsid w:val="657F2390"/>
    <w:rsid w:val="65811702"/>
    <w:rsid w:val="65DC0608"/>
    <w:rsid w:val="660055CE"/>
    <w:rsid w:val="6613E2D2"/>
    <w:rsid w:val="66255EA2"/>
    <w:rsid w:val="6635AEF3"/>
    <w:rsid w:val="663F4662"/>
    <w:rsid w:val="664CCEBD"/>
    <w:rsid w:val="667C9D6A"/>
    <w:rsid w:val="66C7A4E2"/>
    <w:rsid w:val="66D65B7A"/>
    <w:rsid w:val="670C6C54"/>
    <w:rsid w:val="6719D660"/>
    <w:rsid w:val="673FC134"/>
    <w:rsid w:val="674BFD09"/>
    <w:rsid w:val="67882CEE"/>
    <w:rsid w:val="67D107C3"/>
    <w:rsid w:val="67E73C19"/>
    <w:rsid w:val="67EBE2BC"/>
    <w:rsid w:val="6801730D"/>
    <w:rsid w:val="681406CA"/>
    <w:rsid w:val="687EF583"/>
    <w:rsid w:val="689351D6"/>
    <w:rsid w:val="68A771B5"/>
    <w:rsid w:val="68A91697"/>
    <w:rsid w:val="68E7CD6A"/>
    <w:rsid w:val="68F87510"/>
    <w:rsid w:val="691C5C35"/>
    <w:rsid w:val="6968B2B8"/>
    <w:rsid w:val="6976E724"/>
    <w:rsid w:val="697DE78A"/>
    <w:rsid w:val="6995740E"/>
    <w:rsid w:val="69AEB576"/>
    <w:rsid w:val="69C70CD3"/>
    <w:rsid w:val="69FE8D4D"/>
    <w:rsid w:val="6A0DFC3C"/>
    <w:rsid w:val="6A10385E"/>
    <w:rsid w:val="6A310381"/>
    <w:rsid w:val="6A45FDB9"/>
    <w:rsid w:val="6A47AF54"/>
    <w:rsid w:val="6A5F9F4E"/>
    <w:rsid w:val="6A6D28BA"/>
    <w:rsid w:val="6A839DCB"/>
    <w:rsid w:val="6A9EE075"/>
    <w:rsid w:val="6ACEA0F1"/>
    <w:rsid w:val="6AE3B6B8"/>
    <w:rsid w:val="6AE95B3A"/>
    <w:rsid w:val="6B02FA1A"/>
    <w:rsid w:val="6B092016"/>
    <w:rsid w:val="6B2441D3"/>
    <w:rsid w:val="6B2FED04"/>
    <w:rsid w:val="6BAF73D1"/>
    <w:rsid w:val="6BD65A99"/>
    <w:rsid w:val="6C74D083"/>
    <w:rsid w:val="6CEA1981"/>
    <w:rsid w:val="6D059870"/>
    <w:rsid w:val="6D0AA99C"/>
    <w:rsid w:val="6D10D3F3"/>
    <w:rsid w:val="6D22FAFA"/>
    <w:rsid w:val="6DF4E957"/>
    <w:rsid w:val="6DFBCD1C"/>
    <w:rsid w:val="6E527920"/>
    <w:rsid w:val="6E5ACFEF"/>
    <w:rsid w:val="6E927185"/>
    <w:rsid w:val="6E976480"/>
    <w:rsid w:val="6EA679FD"/>
    <w:rsid w:val="6F126853"/>
    <w:rsid w:val="6FC73A3B"/>
    <w:rsid w:val="702DA337"/>
    <w:rsid w:val="703DA220"/>
    <w:rsid w:val="70504CF1"/>
    <w:rsid w:val="70AE38B4"/>
    <w:rsid w:val="70C2060D"/>
    <w:rsid w:val="70C7BC8A"/>
    <w:rsid w:val="70F2DF4F"/>
    <w:rsid w:val="70F7C747"/>
    <w:rsid w:val="71101703"/>
    <w:rsid w:val="71360716"/>
    <w:rsid w:val="716BC95B"/>
    <w:rsid w:val="717F0E97"/>
    <w:rsid w:val="71C73D97"/>
    <w:rsid w:val="72010B88"/>
    <w:rsid w:val="72072BF0"/>
    <w:rsid w:val="7208C9A4"/>
    <w:rsid w:val="720B2AF1"/>
    <w:rsid w:val="721B310D"/>
    <w:rsid w:val="723FF598"/>
    <w:rsid w:val="724D3FE6"/>
    <w:rsid w:val="725B48A8"/>
    <w:rsid w:val="72F6D62C"/>
    <w:rsid w:val="730468BC"/>
    <w:rsid w:val="7306BEC1"/>
    <w:rsid w:val="730CB726"/>
    <w:rsid w:val="732A5A68"/>
    <w:rsid w:val="733FE3D2"/>
    <w:rsid w:val="7340AB4E"/>
    <w:rsid w:val="73451677"/>
    <w:rsid w:val="736A25DD"/>
    <w:rsid w:val="73987E6A"/>
    <w:rsid w:val="73B3D3B5"/>
    <w:rsid w:val="742A8011"/>
    <w:rsid w:val="743D43E7"/>
    <w:rsid w:val="74483C09"/>
    <w:rsid w:val="745EC36B"/>
    <w:rsid w:val="74E31563"/>
    <w:rsid w:val="74E34452"/>
    <w:rsid w:val="74E791F3"/>
    <w:rsid w:val="75280C52"/>
    <w:rsid w:val="7552D1CF"/>
    <w:rsid w:val="755359C1"/>
    <w:rsid w:val="757BD031"/>
    <w:rsid w:val="7586CA3E"/>
    <w:rsid w:val="75DE5ECC"/>
    <w:rsid w:val="75FCFA88"/>
    <w:rsid w:val="7620A0E2"/>
    <w:rsid w:val="7634C7A1"/>
    <w:rsid w:val="764CFC54"/>
    <w:rsid w:val="768D6DED"/>
    <w:rsid w:val="76BF8BFB"/>
    <w:rsid w:val="7713C342"/>
    <w:rsid w:val="77198BB2"/>
    <w:rsid w:val="7758907B"/>
    <w:rsid w:val="777B2CBA"/>
    <w:rsid w:val="77CA521B"/>
    <w:rsid w:val="77E57D7B"/>
    <w:rsid w:val="77F0F626"/>
    <w:rsid w:val="780A7EBE"/>
    <w:rsid w:val="7859DDAE"/>
    <w:rsid w:val="78669D80"/>
    <w:rsid w:val="78A3BE39"/>
    <w:rsid w:val="78A819D4"/>
    <w:rsid w:val="78B5C2E1"/>
    <w:rsid w:val="78CBD523"/>
    <w:rsid w:val="78E5B5BB"/>
    <w:rsid w:val="79027B86"/>
    <w:rsid w:val="7912B33D"/>
    <w:rsid w:val="792AACAA"/>
    <w:rsid w:val="794A573B"/>
    <w:rsid w:val="796A735B"/>
    <w:rsid w:val="7A401568"/>
    <w:rsid w:val="7A76AAB4"/>
    <w:rsid w:val="7A88E6E0"/>
    <w:rsid w:val="7A8E269A"/>
    <w:rsid w:val="7A969598"/>
    <w:rsid w:val="7ABB457F"/>
    <w:rsid w:val="7ABEAAEF"/>
    <w:rsid w:val="7ADEDDA8"/>
    <w:rsid w:val="7ADFB5FA"/>
    <w:rsid w:val="7AEBFCBE"/>
    <w:rsid w:val="7B3347CB"/>
    <w:rsid w:val="7B49B1CF"/>
    <w:rsid w:val="7BB141FE"/>
    <w:rsid w:val="7BDDADAE"/>
    <w:rsid w:val="7BFB80A7"/>
    <w:rsid w:val="7C07BEF8"/>
    <w:rsid w:val="7C2479BA"/>
    <w:rsid w:val="7C3984D0"/>
    <w:rsid w:val="7C56CA58"/>
    <w:rsid w:val="7CB3A201"/>
    <w:rsid w:val="7CC61B12"/>
    <w:rsid w:val="7D2280CE"/>
    <w:rsid w:val="7D2431FD"/>
    <w:rsid w:val="7D29A584"/>
    <w:rsid w:val="7D61F1E3"/>
    <w:rsid w:val="7D730E97"/>
    <w:rsid w:val="7DDD8727"/>
    <w:rsid w:val="7DF695E9"/>
    <w:rsid w:val="7E5F2029"/>
    <w:rsid w:val="7EB837E0"/>
    <w:rsid w:val="7ED23C38"/>
    <w:rsid w:val="7EDC37F8"/>
    <w:rsid w:val="7EEEE489"/>
    <w:rsid w:val="7F098A1A"/>
    <w:rsid w:val="7F42CD85"/>
    <w:rsid w:val="7F6F4716"/>
    <w:rsid w:val="7F801051"/>
    <w:rsid w:val="7FAA3053"/>
    <w:rsid w:val="7FB0B8AB"/>
    <w:rsid w:val="7FBD19FE"/>
    <w:rsid w:val="7FD7D2F3"/>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w5wz0atzsr5bewttm5zdzqpvwdw5tw2rzw&quot;&gt;Child_CHDSurvey_Findings&lt;record-ids&gt;&lt;item&gt;14&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D4FAED"/>
  <w15:docId w15:val="{313340F1-1BDC-41CD-A051-9A050157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9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2"/>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3"/>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basedOn w:val="DefaultParagraphFont"/>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9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character" w:customStyle="1" w:styleId="normaltextrun">
    <w:name w:val="normaltextrun"/>
    <w:basedOn w:val="DefaultParagraphFont"/>
    <w:rsid w:val="004A0452"/>
  </w:style>
  <w:style w:type="character" w:styleId="Mention">
    <w:name w:val="Mention"/>
    <w:basedOn w:val="DefaultParagraphFont"/>
    <w:uiPriority w:val="99"/>
    <w:unhideWhenUsed/>
    <w:rsid w:val="0021684C"/>
    <w:rPr>
      <w:color w:val="2B579A"/>
      <w:shd w:val="clear" w:color="auto" w:fill="E6E6E6"/>
    </w:rPr>
  </w:style>
  <w:style w:type="character" w:styleId="UnresolvedMention">
    <w:name w:val="Unresolved Mention"/>
    <w:basedOn w:val="DefaultParagraphFont"/>
    <w:uiPriority w:val="99"/>
    <w:unhideWhenUsed/>
    <w:rsid w:val="0046507D"/>
    <w:rPr>
      <w:color w:val="605E5C"/>
      <w:shd w:val="clear" w:color="auto" w:fill="E1DFDD"/>
    </w:rPr>
  </w:style>
  <w:style w:type="paragraph" w:customStyle="1" w:styleId="paragraph">
    <w:name w:val="paragraph"/>
    <w:basedOn w:val="Normal"/>
    <w:rsid w:val="004E29F4"/>
    <w:pPr>
      <w:spacing w:before="100" w:beforeAutospacing="1" w:after="100" w:afterAutospacing="1"/>
    </w:pPr>
  </w:style>
  <w:style w:type="character" w:customStyle="1" w:styleId="eop">
    <w:name w:val="eop"/>
    <w:basedOn w:val="DefaultParagraphFont"/>
    <w:rsid w:val="004E29F4"/>
  </w:style>
  <w:style w:type="character" w:customStyle="1" w:styleId="contextualspellingandgrammarerror">
    <w:name w:val="contextualspellingandgrammarerror"/>
    <w:basedOn w:val="DefaultParagraphFont"/>
    <w:rsid w:val="004E29F4"/>
  </w:style>
  <w:style w:type="paragraph" w:styleId="TOCHeading">
    <w:name w:val="TOC Heading"/>
    <w:basedOn w:val="Heading1"/>
    <w:next w:val="Normal"/>
    <w:uiPriority w:val="39"/>
    <w:unhideWhenUsed/>
    <w:qFormat/>
    <w:rsid w:val="00705A6A"/>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Style1">
    <w:name w:val="Style1"/>
    <w:basedOn w:val="Heading1"/>
    <w:link w:val="Style1Char"/>
    <w:qFormat/>
    <w:rsid w:val="0060139E"/>
    <w:pPr>
      <w:pBdr>
        <w:top w:val="none" w:sz="0" w:space="0" w:color="auto"/>
      </w:pBdr>
      <w:jc w:val="left"/>
    </w:pPr>
    <w:rPr>
      <w:rFonts w:ascii="Times New Roman" w:hAnsi="Times New Roman"/>
      <w:i/>
      <w:sz w:val="22"/>
      <w:u w:val="single"/>
    </w:rPr>
  </w:style>
  <w:style w:type="paragraph" w:styleId="TOC1">
    <w:name w:val="toc 1"/>
    <w:basedOn w:val="Normal"/>
    <w:next w:val="Normal"/>
    <w:autoRedefine/>
    <w:uiPriority w:val="39"/>
    <w:unhideWhenUsed/>
    <w:rsid w:val="00B11773"/>
    <w:pPr>
      <w:tabs>
        <w:tab w:val="right" w:leader="dot" w:pos="9360"/>
      </w:tabs>
      <w:spacing w:after="100"/>
    </w:pPr>
  </w:style>
  <w:style w:type="character" w:customStyle="1" w:styleId="ListBulletChar">
    <w:name w:val="List Bullet Char"/>
    <w:basedOn w:val="DefaultParagraphFont"/>
    <w:link w:val="ListBullet"/>
    <w:rsid w:val="00705A6A"/>
    <w:rPr>
      <w:rFonts w:ascii="Times New Roman" w:eastAsia="Times New Roman" w:hAnsi="Times New Roman" w:cs="Times New Roman"/>
      <w:kern w:val="24"/>
    </w:rPr>
  </w:style>
  <w:style w:type="character" w:customStyle="1" w:styleId="Style1Char">
    <w:name w:val="Style1 Char"/>
    <w:basedOn w:val="ListBulletChar"/>
    <w:link w:val="Style1"/>
    <w:rsid w:val="0060139E"/>
    <w:rPr>
      <w:rFonts w:ascii="Times New Roman" w:eastAsia="Times New Roman" w:hAnsi="Times New Roman" w:cs="Times New Roman"/>
      <w:b/>
      <w:bCs/>
      <w:i/>
      <w:kern w:val="32"/>
      <w:szCs w:val="36"/>
      <w:u w:val="single"/>
    </w:rPr>
  </w:style>
  <w:style w:type="paragraph" w:styleId="TOC2">
    <w:name w:val="toc 2"/>
    <w:basedOn w:val="Normal"/>
    <w:next w:val="Normal"/>
    <w:autoRedefine/>
    <w:uiPriority w:val="39"/>
    <w:unhideWhenUsed/>
    <w:rsid w:val="00F7573F"/>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F7573F"/>
    <w:pPr>
      <w:spacing w:after="100" w:line="259" w:lineRule="auto"/>
      <w:ind w:left="440"/>
    </w:pPr>
    <w:rPr>
      <w:rFonts w:asciiTheme="minorHAnsi" w:eastAsiaTheme="minorEastAsia" w:hAnsiTheme="minorHAnsi"/>
      <w:sz w:val="22"/>
      <w:szCs w:val="22"/>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6435E4"/>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6435E4"/>
    <w:pPr>
      <w:widowControl w:val="0"/>
      <w:shd w:val="clear" w:color="auto" w:fill="FFFFFF"/>
      <w:spacing w:after="120" w:line="200" w:lineRule="exact"/>
      <w:jc w:val="center"/>
    </w:pPr>
    <w:rPr>
      <w:rFonts w:ascii="Arial" w:eastAsia="Arial" w:hAnsi="Arial" w:cs="Arial"/>
      <w:b/>
      <w:bCs/>
      <w:sz w:val="18"/>
      <w:szCs w:val="18"/>
    </w:rPr>
  </w:style>
  <w:style w:type="paragraph" w:customStyle="1" w:styleId="Attachment">
    <w:name w:val="Attachment"/>
    <w:basedOn w:val="Caption"/>
    <w:next w:val="Caption"/>
    <w:link w:val="AttachmentChar"/>
    <w:autoRedefine/>
    <w:rsid w:val="000D42BF"/>
    <w:pPr>
      <w:numPr>
        <w:numId w:val="5"/>
      </w:numPr>
    </w:pPr>
    <w:rPr>
      <w:b w:val="0"/>
      <w:color w:val="auto"/>
    </w:rPr>
  </w:style>
  <w:style w:type="paragraph" w:styleId="TableofFigures">
    <w:name w:val="table of figures"/>
    <w:basedOn w:val="Normal"/>
    <w:next w:val="Normal"/>
    <w:uiPriority w:val="99"/>
    <w:unhideWhenUsed/>
    <w:rsid w:val="006D28C4"/>
  </w:style>
  <w:style w:type="character" w:customStyle="1" w:styleId="AttachmentChar">
    <w:name w:val="Attachment Char"/>
    <w:basedOn w:val="Heading2Char"/>
    <w:link w:val="Attachment"/>
    <w:rsid w:val="000D42BF"/>
    <w:rPr>
      <w:rFonts w:ascii="Times New Roman" w:eastAsia="Times New Roman" w:hAnsi="Times New Roman" w:cs="Times New Roman"/>
      <w:b w:val="0"/>
      <w:i/>
      <w:iCs/>
      <w:sz w:val="24"/>
      <w:szCs w:val="18"/>
    </w:rPr>
  </w:style>
  <w:style w:type="table" w:customStyle="1" w:styleId="TableGrid1">
    <w:name w:val="Table Grid1"/>
    <w:basedOn w:val="TableNormal"/>
    <w:next w:val="TableGrid"/>
    <w:uiPriority w:val="99"/>
    <w:rsid w:val="00F64FFD"/>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A2BB4"/>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761"/>
    <w:pPr>
      <w:spacing w:after="200"/>
    </w:pPr>
    <w:rPr>
      <w:b/>
      <w:i/>
      <w:iCs/>
      <w:color w:val="365F91" w:themeColor="accent1" w:themeShade="BF"/>
      <w:szCs w:val="18"/>
    </w:rPr>
  </w:style>
  <w:style w:type="paragraph" w:customStyle="1" w:styleId="Attachment1">
    <w:name w:val="Attachment 1"/>
    <w:basedOn w:val="Caption"/>
    <w:next w:val="Normal"/>
    <w:rsid w:val="006843EE"/>
    <w:pPr>
      <w:ind w:left="720"/>
    </w:pPr>
    <w:rPr>
      <w:b w:val="0"/>
      <w:i w:val="0"/>
      <w:color w:val="auto"/>
    </w:rPr>
  </w:style>
  <w:style w:type="paragraph" w:customStyle="1" w:styleId="AttachmentCaption">
    <w:name w:val="Attachment Caption"/>
    <w:basedOn w:val="Normal"/>
    <w:next w:val="Normal"/>
    <w:link w:val="AttachmentCaptionChar"/>
    <w:rsid w:val="001F0145"/>
    <w:rPr>
      <w:b/>
      <w:i/>
    </w:rPr>
  </w:style>
  <w:style w:type="character" w:customStyle="1" w:styleId="AttachmentCaptionChar">
    <w:name w:val="Attachment Caption Char"/>
    <w:basedOn w:val="DefaultParagraphFont"/>
    <w:link w:val="AttachmentCaption"/>
    <w:rsid w:val="001F0145"/>
    <w:rPr>
      <w:rFonts w:ascii="Times New Roman" w:eastAsia="Times New Roman"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gbc-word-edit.officeapps.live.com/we/wordeditorframe.aspx?ui=en-us&amp;rs=en-US&amp;wopisrc=https%3A%2F%2Fcdc.sharepoint.com%2Fteams%2FNCBDDD-HCRTT%2F_vti_bin%2Fwopi.ashx%2Ffiles%2Fb67f9835acb14f358d48eb5dcdf7b084&amp;wdenableroaming=1&amp;mscc=1&amp;hid=ba3c829b-fbcc-4fb3-ac3a-3b143b523ad1.0&amp;uih=teams&amp;uiembed=1&amp;wdlcid=en-us&amp;jsapi=1&amp;jsapiver=v2&amp;corrid=005eadaf-ce62-4b40-80c5-3745baf20c09&amp;usid=005eadaf-ce62-4b40-80c5-3745baf20c09&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teamsSdk.openFilePreview&amp;wdhostclicktime=1671133320737&amp;instantedit=1&amp;wopicomplete=1&amp;wdredirectionreason=Unified_SingleFlush" TargetMode="External" /><Relationship Id="rId15" Type="http://schemas.openxmlformats.org/officeDocument/2006/relationships/hyperlink" Target="https://www.cdc.gov/ncbddd/folicacid/data.html" TargetMode="External" /><Relationship Id="rId16" Type="http://schemas.openxmlformats.org/officeDocument/2006/relationships/hyperlink" Target="https://doi.org/10.1177/002224378302000105" TargetMode="External" /><Relationship Id="rId17" Type="http://schemas.openxmlformats.org/officeDocument/2006/relationships/hyperlink" Target="http://www.bls.gov/oes/current/oes_nat.htm"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43ACC-5EAD-4CA4-B445-E6D753A82FA9}">
  <ds:schemaRefs>
    <ds:schemaRef ds:uri="http://schemas.microsoft.com/office/2006/metadata/properties"/>
    <ds:schemaRef ds:uri="http://schemas.microsoft.com/office/infopath/2007/PartnerControls"/>
    <ds:schemaRef ds:uri="208fc2c6-49f3-4b13-99b4-bff9815fe7c4"/>
    <ds:schemaRef ds:uri="b67fb80d-5222-4394-aa98-3d6867244a77"/>
  </ds:schemaRefs>
</ds:datastoreItem>
</file>

<file path=customXml/itemProps2.xml><?xml version="1.0" encoding="utf-8"?>
<ds:datastoreItem xmlns:ds="http://schemas.openxmlformats.org/officeDocument/2006/customXml" ds:itemID="{515B67C7-7835-49DB-8678-793718513BED}">
  <ds:schemaRefs>
    <ds:schemaRef ds:uri="http://schemas.microsoft.com/sharepoint/v3/contenttype/forms"/>
  </ds:schemaRefs>
</ds:datastoreItem>
</file>

<file path=customXml/itemProps3.xml><?xml version="1.0" encoding="utf-8"?>
<ds:datastoreItem xmlns:ds="http://schemas.openxmlformats.org/officeDocument/2006/customXml" ds:itemID="{C55B83A5-42FC-4043-ACCA-9D6E8688957A}">
  <ds:schemaRefs>
    <ds:schemaRef ds:uri="http://schemas.openxmlformats.org/officeDocument/2006/bibliography"/>
  </ds:schemaRefs>
</ds:datastoreItem>
</file>

<file path=customXml/itemProps4.xml><?xml version="1.0" encoding="utf-8"?>
<ds:datastoreItem xmlns:ds="http://schemas.openxmlformats.org/officeDocument/2006/customXml" ds:itemID="{4DE66549-32EB-46FD-B93A-FB34F769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5251</Words>
  <Characters>29931</Characters>
  <Application>Microsoft Office Word</Application>
  <DocSecurity>0</DocSecurity>
  <Lines>249</Lines>
  <Paragraphs>70</Paragraphs>
  <ScaleCrop>false</ScaleCrop>
  <Company>CDC</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Clunis, Odion (CDC/IOD/OS)</cp:lastModifiedBy>
  <cp:revision>2</cp:revision>
  <dcterms:created xsi:type="dcterms:W3CDTF">2023-11-09T17:25:00Z</dcterms:created>
  <dcterms:modified xsi:type="dcterms:W3CDTF">2023-11-09T17:25:00Z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ediaServiceImageTags">
    <vt:lpwstr/>
  </property>
  <property fmtid="{D5CDD505-2E9C-101B-9397-08002B2CF9AE}" pid="4" name="MSIP_Label_8af03ff0-41c5-4c41-b55e-fabb8fae94be_ActionId">
    <vt:lpwstr>abf470d2-d09a-498a-b1b8-8c431a707fc3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2022-02-25T22:16:00Z</vt:lpwstr>
  </property>
  <property fmtid="{D5CDD505-2E9C-101B-9397-08002B2CF9AE}" pid="10" name="MSIP_Label_8af03ff0-41c5-4c41-b55e-fabb8fae94be_SiteId">
    <vt:lpwstr>9ce70869-60db-44fd-abe8-d2767077fc8f</vt:lpwstr>
  </property>
</Properties>
</file>