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B5F" w:rsidRPr="00AA2F74" w:rsidP="00AA6AC8" w14:paraId="294869F9" w14:textId="40C3D6BC">
      <w:pPr>
        <w:pStyle w:val="BodyText"/>
        <w:spacing w:after="0"/>
        <w:jc w:val="center"/>
        <w:rPr>
          <w:b/>
          <w:bCs/>
        </w:rPr>
      </w:pPr>
      <w:r w:rsidRPr="00AA2F74">
        <w:rPr>
          <w:b/>
          <w:bCs/>
        </w:rPr>
        <w:t>Supporting Statement – Part A</w:t>
      </w:r>
    </w:p>
    <w:p w:rsidR="0092438B" w:rsidRPr="006F7B27" w:rsidP="00AA6AC8" w14:paraId="5D17F3BB" w14:textId="56D56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w:t>
      </w:r>
      <w:r w:rsidR="00FB65CB">
        <w:rPr>
          <w:rFonts w:eastAsiaTheme="majorEastAsia" w:cstheme="majorBidi"/>
          <w:b/>
          <w:spacing w:val="-10"/>
          <w:kern w:val="28"/>
        </w:rPr>
        <w:t xml:space="preserve"> (QPP)</w:t>
      </w:r>
      <w:r w:rsidRPr="006F7B27">
        <w:rPr>
          <w:rFonts w:eastAsiaTheme="majorEastAsia" w:cstheme="majorBidi"/>
          <w:b/>
          <w:spacing w:val="-10"/>
          <w:kern w:val="28"/>
        </w:rPr>
        <w:t>/Merit-Based Incentive Payment System (MIPS)</w:t>
      </w:r>
    </w:p>
    <w:p w:rsidR="00D26EEF" w:rsidP="00AA6AC8" w14:paraId="1BFF0392" w14:textId="41B6FA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00AA6AC8" w:rsidRPr="006F7B27" w:rsidP="00AA6AC8" w14:paraId="23C25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p>
    <w:p w:rsidR="00D26EEF" w:rsidRPr="00DA3D8C" w:rsidP="004B14A6" w14:paraId="2138BB2D" w14:textId="409F1DE3">
      <w:pPr>
        <w:pStyle w:val="Heading1"/>
        <w:numPr>
          <w:ilvl w:val="0"/>
          <w:numId w:val="0"/>
        </w:numPr>
      </w:pPr>
      <w:r w:rsidRPr="00DA3D8C">
        <w:t>Background</w:t>
      </w:r>
    </w:p>
    <w:p w:rsidR="00092C2E" w:rsidP="00730BEF" w14:paraId="591B3C55" w14:textId="7521334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Merit-based Incentive Payment System (MIPS) is a program for </w:t>
      </w:r>
      <w:r w:rsidR="00F24D56">
        <w:t xml:space="preserve">MIPS </w:t>
      </w:r>
      <w:r>
        <w:t xml:space="preserve">eligible clinicians that makes Medicare payment adjustments based on performance </w:t>
      </w:r>
      <w:r w:rsidR="00EC0B8D">
        <w:t xml:space="preserve">in the </w:t>
      </w:r>
      <w:r>
        <w:t>quality, cost</w:t>
      </w:r>
      <w:r w:rsidR="00EC0B8D">
        <w:t>, Promoting Interoperability, and improvement activities performance categories</w:t>
      </w:r>
      <w:r>
        <w:t xml:space="preserve">. MIPS and Advanced Alternative Payment Models (AAPMs) are the two paths </w:t>
      </w:r>
      <w:r w:rsidR="00976503">
        <w:t xml:space="preserve">available </w:t>
      </w:r>
      <w:r>
        <w:t>for clinicians through the Quality Payment Program authorized by the Medicare Access and CHIP Reauthorization Act of 2015 (MACRA). As prescribed by MACRA, MIPS focuses on the following</w:t>
      </w:r>
      <w:r w:rsidR="0082361B">
        <w:t xml:space="preserve"> performance areas</w:t>
      </w:r>
      <w:r>
        <w:t>: quality – a set of evidence-based, specialty-specific standards</w:t>
      </w:r>
      <w:r w:rsidR="000E0A28">
        <w:t>;</w:t>
      </w:r>
      <w:r>
        <w:t xml:space="preserve"> </w:t>
      </w:r>
      <w:r w:rsidR="000C4731">
        <w:t>i</w:t>
      </w:r>
      <w:r w:rsidR="0082361B">
        <w:t xml:space="preserve">mprovement activities that focus on </w:t>
      </w:r>
      <w:r>
        <w:t>practice-based improvement</w:t>
      </w:r>
      <w:r w:rsidR="0082361B">
        <w:t>s</w:t>
      </w:r>
      <w:r>
        <w:t xml:space="preserve">; cost; and use of </w:t>
      </w:r>
      <w:r w:rsidR="00E943B4">
        <w:t>c</w:t>
      </w:r>
      <w:r>
        <w:t xml:space="preserve">ertified </w:t>
      </w:r>
      <w:r w:rsidR="00E943B4">
        <w:t>e</w:t>
      </w:r>
      <w:r>
        <w:t xml:space="preserve">lectronic </w:t>
      </w:r>
      <w:r w:rsidR="00E943B4">
        <w:t>h</w:t>
      </w:r>
      <w:r>
        <w:t xml:space="preserve">ealth </w:t>
      </w:r>
      <w:r w:rsidR="00E943B4">
        <w:t>r</w:t>
      </w:r>
      <w:r>
        <w:t xml:space="preserve">ecord </w:t>
      </w:r>
      <w:r w:rsidR="00E943B4">
        <w:t>t</w:t>
      </w:r>
      <w:r>
        <w:t xml:space="preserve">echnology (CEHRT) to support interoperability and advanced quality objectives in a single, cohesive program that avoids redundancies. </w:t>
      </w:r>
    </w:p>
    <w:p w:rsidR="00092C2E" w:rsidP="00730BEF" w14:paraId="16CA6E7B" w14:textId="2941F6E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4D6029" w:rsidP="00730BEF" w14:paraId="703668FE" w14:textId="3BAAF4F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quality, </w:t>
      </w:r>
      <w:r w:rsidR="00222D1B">
        <w:t>Promoting Interoperability</w:t>
      </w:r>
      <w:r>
        <w:t>, and improvement activities performance category data.</w:t>
      </w:r>
      <w:r>
        <w:rPr>
          <w:rStyle w:val="FootnoteReference"/>
        </w:rPr>
        <w:footnoteReference w:id="3"/>
      </w:r>
      <w:r>
        <w:t xml:space="preserve">  For the quality performance category,</w:t>
      </w:r>
      <w:r w:rsidR="00F93DED">
        <w:t xml:space="preserve"> </w:t>
      </w:r>
      <w:r>
        <w:t>MIPS</w:t>
      </w:r>
      <w:r w:rsidR="00AF0D67">
        <w:t xml:space="preserve"> eligible clinicians</w:t>
      </w:r>
      <w:r w:rsidR="004C150A">
        <w:t xml:space="preserve">, </w:t>
      </w:r>
      <w:r w:rsidR="00AF0D67">
        <w:t>groups</w:t>
      </w:r>
      <w:r w:rsidR="004C150A">
        <w:t>, and subgroups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w:t>
      </w:r>
      <w:r w:rsidR="00AB04F5">
        <w:t xml:space="preserve"> </w:t>
      </w:r>
      <w:r w:rsidR="00F049CC">
        <w:t xml:space="preserve">and </w:t>
      </w:r>
      <w:r w:rsidRPr="00D06FBB" w:rsidR="00F049CC">
        <w:t>CMS-approved survey vendors</w:t>
      </w:r>
      <w:r w:rsidR="00222D1B">
        <w:t>.</w:t>
      </w:r>
      <w:r>
        <w:rPr>
          <w:rStyle w:val="FootnoteReference"/>
        </w:rPr>
        <w:footnoteReference w:id="4"/>
      </w:r>
      <w:r>
        <w:t xml:space="preserve"> </w:t>
      </w:r>
      <w:r w:rsidR="00222D1B">
        <w:t xml:space="preserve"> </w:t>
      </w:r>
      <w:r>
        <w:t xml:space="preserve">For the improvement activities and </w:t>
      </w:r>
      <w:r w:rsidR="00E3061C">
        <w:t>Promoting Interoperability</w:t>
      </w:r>
      <w:r w:rsidR="00F67A64">
        <w:t xml:space="preserve"> performance categories</w:t>
      </w:r>
      <w:r>
        <w:t xml:space="preserve">, </w:t>
      </w:r>
      <w:r w:rsidR="009B4679">
        <w:t xml:space="preserve">MIPS eligible </w:t>
      </w:r>
      <w:r>
        <w:t>clinicians</w:t>
      </w:r>
      <w:r w:rsidR="00F93DED">
        <w:t>, groups, and sub</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Pr="004D6029">
        <w:t>We finalized in the CY 2022 PFS final rule that a subgroup</w:t>
      </w:r>
      <w:r w:rsidR="000F486D">
        <w:t xml:space="preserve"> participating</w:t>
      </w:r>
      <w:r w:rsidRPr="004D6029">
        <w:t xml:space="preserve"> in MVP </w:t>
      </w:r>
      <w:r w:rsidR="000F486D">
        <w:t xml:space="preserve">reporting </w:t>
      </w:r>
      <w:r w:rsidRPr="004D6029">
        <w:t>will submit its affiliated group’s data for the Promoting Interoperability performance category</w:t>
      </w:r>
      <w:r w:rsidR="00CE620C">
        <w:t>,</w:t>
      </w:r>
      <w:r w:rsidRPr="004D6029">
        <w:t xml:space="preserve"> and in the scenario that a subgroup does not submit its affiliated group’s data, the subgroup will receive a zero score for the Promoting Interoperability performance category (86 FR 65413 through 65414).</w:t>
      </w:r>
    </w:p>
    <w:p w:rsidR="00092C2E" w:rsidP="00730BEF" w14:paraId="026BC257" w14:textId="09942A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t>As finalized in the CY 2021 PFS final rule</w:t>
      </w:r>
      <w:r w:rsidR="00362371">
        <w:t xml:space="preserve"> (85 FR 84860)</w:t>
      </w:r>
      <w:r>
        <w:t xml:space="preserve">, </w:t>
      </w:r>
      <w:r w:rsidRPr="004D3864" w:rsidR="009F3A58">
        <w:rPr>
          <w:rFonts w:eastAsia="Calibri"/>
        </w:rPr>
        <w:t xml:space="preserve">for clinicians in APM Entities, the APM Performance Pathway </w:t>
      </w:r>
      <w:r w:rsidR="003031FF">
        <w:rPr>
          <w:rFonts w:eastAsia="Calibri"/>
        </w:rPr>
        <w:t xml:space="preserve">(APP) </w:t>
      </w:r>
      <w:r>
        <w:rPr>
          <w:rFonts w:eastAsia="Calibri"/>
        </w:rPr>
        <w:t xml:space="preserve">will be available </w:t>
      </w:r>
      <w:r w:rsidRPr="004D3864" w:rsidR="009F3A58">
        <w:rPr>
          <w:rFonts w:eastAsia="Calibri"/>
        </w:rPr>
        <w:t>for both ACO</w:t>
      </w:r>
      <w:r w:rsidR="003D0BD2">
        <w:rPr>
          <w:rFonts w:eastAsia="Calibri"/>
        </w:rPr>
        <w:t>s</w:t>
      </w:r>
      <w:r w:rsidRPr="004D3864" w:rsidR="009F3A58">
        <w:rPr>
          <w:rFonts w:eastAsia="Calibri"/>
        </w:rPr>
        <w:t xml:space="preserve"> and non</w:t>
      </w:r>
      <w:r w:rsidR="00C70A18">
        <w:rPr>
          <w:rFonts w:eastAsia="Calibri"/>
        </w:rPr>
        <w:t>-</w:t>
      </w:r>
      <w:r w:rsidRPr="004D3864" w:rsidR="009F3A58">
        <w:rPr>
          <w:rFonts w:eastAsia="Calibri"/>
        </w:rPr>
        <w:t>ACOs</w:t>
      </w:r>
      <w:r w:rsidR="009F3A58">
        <w:rPr>
          <w:rFonts w:eastAsia="Calibri"/>
        </w:rPr>
        <w:t xml:space="preserve"> to submit quality data. D</w:t>
      </w:r>
      <w:r w:rsidRPr="00457777" w:rsidR="009F3A58">
        <w:rPr>
          <w:rFonts w:eastAsia="Calibri"/>
        </w:rPr>
        <w:t xml:space="preserve">ue to data limitations and our inability to determine who would use the </w:t>
      </w:r>
      <w:r w:rsidR="003031FF">
        <w:rPr>
          <w:rFonts w:eastAsia="Calibri"/>
        </w:rPr>
        <w:t>APP</w:t>
      </w:r>
      <w:r w:rsidRPr="00457777" w:rsidR="009F3A58">
        <w:rPr>
          <w:rFonts w:eastAsia="Calibri"/>
        </w:rPr>
        <w:t xml:space="preserve"> versus the traditional MIPS submission </w:t>
      </w:r>
      <w:r w:rsidR="009F3A58">
        <w:rPr>
          <w:rFonts w:eastAsia="Calibri"/>
        </w:rPr>
        <w:t xml:space="preserve">mechanism for the </w:t>
      </w:r>
      <w:r w:rsidR="000C7754">
        <w:rPr>
          <w:rFonts w:eastAsia="Calibri"/>
        </w:rPr>
        <w:t xml:space="preserve">CY </w:t>
      </w:r>
      <w:r w:rsidR="009F3A58">
        <w:rPr>
          <w:rFonts w:eastAsia="Calibri"/>
        </w:rPr>
        <w:t>202</w:t>
      </w:r>
      <w:r w:rsidR="004D6029">
        <w:rPr>
          <w:rFonts w:eastAsia="Calibri"/>
        </w:rPr>
        <w:t>4</w:t>
      </w:r>
      <w:r w:rsidR="009F3A58">
        <w:rPr>
          <w:rFonts w:eastAsia="Calibri"/>
        </w:rPr>
        <w:t xml:space="preserve"> performance period</w:t>
      </w:r>
      <w:r w:rsidR="000C7754">
        <w:rPr>
          <w:rFonts w:eastAsia="Calibri"/>
        </w:rPr>
        <w:t>/</w:t>
      </w:r>
      <w:r w:rsidR="00EC3380">
        <w:rPr>
          <w:rFonts w:eastAsia="Calibri"/>
        </w:rPr>
        <w:t>202</w:t>
      </w:r>
      <w:r w:rsidR="004D6029">
        <w:rPr>
          <w:rFonts w:eastAsia="Calibri"/>
        </w:rPr>
        <w:t>6</w:t>
      </w:r>
      <w:r w:rsidR="00EC3380">
        <w:rPr>
          <w:rFonts w:eastAsia="Calibri"/>
        </w:rPr>
        <w:t xml:space="preserve"> </w:t>
      </w:r>
      <w:r w:rsidR="00EC3380">
        <w:rPr>
          <w:rFonts w:eastAsia="Calibri"/>
        </w:rPr>
        <w:t>MIPS payment year</w:t>
      </w:r>
      <w:r w:rsidRPr="00457777" w:rsidR="009F3A58">
        <w:rPr>
          <w:rFonts w:eastAsia="Calibri"/>
        </w:rPr>
        <w:t xml:space="preserve">, we assume ACO APM Entities will submit data through the </w:t>
      </w:r>
      <w:r w:rsidR="003031FF">
        <w:rPr>
          <w:rFonts w:eastAsia="Calibri"/>
        </w:rPr>
        <w:t>APP</w:t>
      </w:r>
      <w:r>
        <w:rPr>
          <w:rFonts w:eastAsia="Calibri"/>
        </w:rPr>
        <w:t>, using the CMS Web Interface option,</w:t>
      </w:r>
      <w:r w:rsidR="009F3A58">
        <w:rPr>
          <w:rFonts w:eastAsia="Calibri"/>
        </w:rPr>
        <w:t xml:space="preserve"> and</w:t>
      </w:r>
      <w:r w:rsidRPr="00457777" w:rsidR="009F3A58">
        <w:rPr>
          <w:rFonts w:eastAsia="Calibri"/>
        </w:rPr>
        <w:t xml:space="preserve"> non-ACO APM Entities would participate through traditional MIPS</w:t>
      </w:r>
      <w:r w:rsidR="009F3A58">
        <w:rPr>
          <w:rFonts w:eastAsia="Calibri"/>
        </w:rPr>
        <w:t xml:space="preserve">, thereby </w:t>
      </w:r>
      <w:r w:rsidRPr="00457777" w:rsidR="009F3A58">
        <w:rPr>
          <w:rFonts w:eastAsia="Calibri"/>
        </w:rPr>
        <w:t>submit</w:t>
      </w:r>
      <w:r w:rsidR="009F3A58">
        <w:rPr>
          <w:rFonts w:eastAsia="Calibri"/>
        </w:rPr>
        <w:t>ting</w:t>
      </w:r>
      <w:r w:rsidRPr="00457777" w:rsidR="009F3A58">
        <w:rPr>
          <w:rFonts w:eastAsia="Calibri"/>
        </w:rPr>
        <w:t xml:space="preserve"> as an individual or group rather than as an entity</w:t>
      </w:r>
      <w:r w:rsidR="009F3A58">
        <w:rPr>
          <w:rFonts w:eastAsia="Calibri"/>
        </w:rPr>
        <w:t xml:space="preserve">. </w:t>
      </w:r>
      <w:bookmarkStart w:id="0" w:name="_Hlk86306834"/>
      <w:r w:rsidR="00074B93">
        <w:rPr>
          <w:rFonts w:eastAsia="Calibri"/>
        </w:rPr>
        <w:t xml:space="preserve">We </w:t>
      </w:r>
      <w:r w:rsidR="003937B7">
        <w:rPr>
          <w:rFonts w:eastAsia="Calibri"/>
        </w:rPr>
        <w:t xml:space="preserve">note that </w:t>
      </w:r>
      <w:r w:rsidR="00074B93">
        <w:rPr>
          <w:rFonts w:eastAsia="Calibri"/>
        </w:rPr>
        <w:t>t</w:t>
      </w:r>
      <w:r w:rsidR="00F96E93">
        <w:rPr>
          <w:rFonts w:eastAsia="Calibri"/>
        </w:rPr>
        <w:t xml:space="preserve">he CMS Web Interface </w:t>
      </w:r>
      <w:r w:rsidR="00BB3AF9">
        <w:rPr>
          <w:rFonts w:eastAsia="Calibri"/>
        </w:rPr>
        <w:t xml:space="preserve">is available </w:t>
      </w:r>
      <w:r w:rsidR="00781673">
        <w:rPr>
          <w:rFonts w:eastAsia="Calibri"/>
        </w:rPr>
        <w:t>as a collection type/</w:t>
      </w:r>
      <w:r w:rsidR="00E7131D">
        <w:rPr>
          <w:rFonts w:eastAsia="Calibri"/>
        </w:rPr>
        <w:t xml:space="preserve">submission type </w:t>
      </w:r>
      <w:r w:rsidR="00FA27CC">
        <w:rPr>
          <w:rFonts w:eastAsia="Calibri"/>
        </w:rPr>
        <w:t xml:space="preserve">through the CY 2024 performance period/2026 MIPS payment year </w:t>
      </w:r>
      <w:r w:rsidR="009458A7">
        <w:rPr>
          <w:rFonts w:eastAsia="Calibri"/>
        </w:rPr>
        <w:t xml:space="preserve">only </w:t>
      </w:r>
      <w:r w:rsidR="00823417">
        <w:rPr>
          <w:rFonts w:eastAsia="Calibri"/>
        </w:rPr>
        <w:t>for</w:t>
      </w:r>
      <w:r w:rsidR="00B83F08">
        <w:rPr>
          <w:rFonts w:eastAsia="Calibri"/>
        </w:rPr>
        <w:t xml:space="preserve"> </w:t>
      </w:r>
      <w:r w:rsidR="00823417">
        <w:rPr>
          <w:rFonts w:eastAsia="Calibri"/>
        </w:rPr>
        <w:t>clinicians</w:t>
      </w:r>
      <w:r w:rsidR="00EB4CC0">
        <w:rPr>
          <w:rFonts w:eastAsia="Calibri"/>
        </w:rPr>
        <w:t xml:space="preserve"> </w:t>
      </w:r>
      <w:r w:rsidR="000359E5">
        <w:rPr>
          <w:rFonts w:eastAsia="Calibri"/>
        </w:rPr>
        <w:t>in Shared Savings Program reporting the APM Performance Pathway</w:t>
      </w:r>
      <w:r w:rsidR="004A5122">
        <w:rPr>
          <w:rFonts w:eastAsia="Calibri"/>
        </w:rPr>
        <w:t>.</w:t>
      </w:r>
      <w:r w:rsidR="009F3A58">
        <w:rPr>
          <w:rFonts w:eastAsia="Calibri"/>
        </w:rPr>
        <w:t xml:space="preserve"> </w:t>
      </w:r>
      <w:bookmarkEnd w:id="0"/>
    </w:p>
    <w:p w:rsidR="00053F1B" w:rsidP="00730BEF" w14:paraId="59758923" w14:textId="2809262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B</w:t>
      </w:r>
      <w:r w:rsidR="00D715BE">
        <w:rPr>
          <w:rFonts w:eastAsia="Calibri"/>
        </w:rPr>
        <w:t xml:space="preserve">eginning with </w:t>
      </w:r>
      <w:r w:rsidR="000B2A23">
        <w:rPr>
          <w:rFonts w:eastAsia="Calibri"/>
        </w:rPr>
        <w:t>Jan</w:t>
      </w:r>
      <w:r w:rsidR="005523E8">
        <w:rPr>
          <w:rFonts w:eastAsia="Calibri"/>
        </w:rPr>
        <w:t xml:space="preserve">uary 1 of </w:t>
      </w:r>
      <w:r w:rsidR="00D715BE">
        <w:rPr>
          <w:rFonts w:eastAsia="Calibri"/>
        </w:rPr>
        <w:t>the CY 2023 performance period/2025 MIPS payment year</w:t>
      </w:r>
      <w:r w:rsidR="009E3CC3">
        <w:rPr>
          <w:rFonts w:eastAsia="Calibri"/>
        </w:rPr>
        <w:t xml:space="preserve">, individual clinicians, groups, and APM Entities </w:t>
      </w:r>
      <w:r w:rsidR="00842E0F">
        <w:rPr>
          <w:rFonts w:eastAsia="Calibri"/>
        </w:rPr>
        <w:t>c</w:t>
      </w:r>
      <w:r w:rsidR="00E943B4">
        <w:rPr>
          <w:rFonts w:eastAsia="Calibri"/>
        </w:rPr>
        <w:t>an</w:t>
      </w:r>
      <w:r w:rsidR="00842E0F">
        <w:rPr>
          <w:rFonts w:eastAsia="Calibri"/>
        </w:rPr>
        <w:t xml:space="preserve"> choose to report the measures and activities in a MIPS Value Pathway (MVP)</w:t>
      </w:r>
      <w:r w:rsidR="00D715BE">
        <w:rPr>
          <w:rFonts w:eastAsia="Calibri"/>
        </w:rPr>
        <w:t xml:space="preserve">. </w:t>
      </w:r>
      <w:r w:rsidR="009F488E">
        <w:rPr>
          <w:rFonts w:eastAsia="Calibri"/>
        </w:rPr>
        <w:t>Beg</w:t>
      </w:r>
      <w:r w:rsidR="002F4823">
        <w:rPr>
          <w:rFonts w:eastAsia="Calibri"/>
        </w:rPr>
        <w:t xml:space="preserve">inning with the CY 2023 performance period/2025 MIPS payment year, </w:t>
      </w:r>
      <w:r w:rsidR="00E35448">
        <w:rPr>
          <w:rFonts w:eastAsia="Calibri"/>
        </w:rPr>
        <w:t>clinicians c</w:t>
      </w:r>
      <w:r w:rsidR="00E943B4">
        <w:rPr>
          <w:rFonts w:eastAsia="Calibri"/>
        </w:rPr>
        <w:t>an</w:t>
      </w:r>
      <w:r w:rsidR="00E35448">
        <w:rPr>
          <w:rFonts w:eastAsia="Calibri"/>
        </w:rPr>
        <w:t xml:space="preserve"> </w:t>
      </w:r>
      <w:r w:rsidR="00777882">
        <w:rPr>
          <w:rFonts w:eastAsia="Calibri"/>
        </w:rPr>
        <w:t>choose to</w:t>
      </w:r>
      <w:r w:rsidR="00E35448">
        <w:rPr>
          <w:rFonts w:eastAsia="Calibri"/>
        </w:rPr>
        <w:t xml:space="preserve"> participate </w:t>
      </w:r>
      <w:r w:rsidR="00777882">
        <w:rPr>
          <w:rFonts w:eastAsia="Calibri"/>
        </w:rPr>
        <w:t>as</w:t>
      </w:r>
      <w:r w:rsidR="00872BC4">
        <w:rPr>
          <w:rFonts w:eastAsia="Calibri"/>
        </w:rPr>
        <w:t xml:space="preserve"> subgroup</w:t>
      </w:r>
      <w:r w:rsidR="00777882">
        <w:rPr>
          <w:rFonts w:eastAsia="Calibri"/>
        </w:rPr>
        <w:t xml:space="preserve">s </w:t>
      </w:r>
      <w:r w:rsidR="003031FF">
        <w:rPr>
          <w:rFonts w:eastAsia="Calibri"/>
        </w:rPr>
        <w:t>to report</w:t>
      </w:r>
      <w:r w:rsidR="000719C7">
        <w:rPr>
          <w:rFonts w:eastAsia="Calibri"/>
        </w:rPr>
        <w:t xml:space="preserve"> the </w:t>
      </w:r>
      <w:r w:rsidR="00777882">
        <w:rPr>
          <w:rFonts w:eastAsia="Calibri"/>
        </w:rPr>
        <w:t xml:space="preserve">measures and activities in an </w:t>
      </w:r>
      <w:r w:rsidR="000719C7">
        <w:rPr>
          <w:rFonts w:eastAsia="Calibri"/>
        </w:rPr>
        <w:t xml:space="preserve">MVP. </w:t>
      </w:r>
      <w:r w:rsidR="00777882">
        <w:rPr>
          <w:rFonts w:eastAsia="Calibri"/>
        </w:rPr>
        <w:t xml:space="preserve">We note that the subgroup reporting option is not available </w:t>
      </w:r>
      <w:r w:rsidR="000537A9">
        <w:rPr>
          <w:rFonts w:eastAsia="Calibri"/>
        </w:rPr>
        <w:t xml:space="preserve">for clinicians participating </w:t>
      </w:r>
      <w:r w:rsidR="00777882">
        <w:rPr>
          <w:rFonts w:eastAsia="Calibri"/>
        </w:rPr>
        <w:t>in traditional MIPS.</w:t>
      </w:r>
    </w:p>
    <w:p w:rsidR="00092C2E" w:rsidP="2ADBB4C6" w14:paraId="79BCE1BF" w14:textId="3AC75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 w:name="_Hlk107571851"/>
      <w:r w:rsidRPr="2ADBB4C6">
        <w:rPr>
          <w:rFonts w:eastAsia="Calibri"/>
        </w:rPr>
        <w:t xml:space="preserve">For the improvement activities performance category, </w:t>
      </w:r>
      <w:r w:rsidRPr="2ADBB4C6" w:rsidR="003546EE">
        <w:rPr>
          <w:rFonts w:eastAsia="Calibri"/>
          <w:color w:val="000000" w:themeColor="text1"/>
        </w:rPr>
        <w:t xml:space="preserve">we </w:t>
      </w:r>
      <w:r w:rsidR="00A71FA0">
        <w:rPr>
          <w:rFonts w:eastAsia="Calibri"/>
          <w:color w:val="000000" w:themeColor="text1"/>
        </w:rPr>
        <w:t>finaliz</w:t>
      </w:r>
      <w:r w:rsidR="001D3F05">
        <w:rPr>
          <w:rFonts w:eastAsia="Calibri"/>
          <w:color w:val="000000" w:themeColor="text1"/>
        </w:rPr>
        <w:t>ed</w:t>
      </w:r>
      <w:r w:rsidRPr="2ADBB4C6" w:rsidR="006D62CE">
        <w:rPr>
          <w:rFonts w:eastAsia="Calibri"/>
          <w:color w:val="000000" w:themeColor="text1"/>
        </w:rPr>
        <w:t xml:space="preserve"> </w:t>
      </w:r>
      <w:r w:rsidRPr="2ADBB4C6" w:rsidR="003546EE">
        <w:rPr>
          <w:rFonts w:eastAsia="Calibri"/>
          <w:color w:val="000000" w:themeColor="text1"/>
        </w:rPr>
        <w:t xml:space="preserve">changes to the improvement activities </w:t>
      </w:r>
      <w:r w:rsidRPr="2ADBB4C6" w:rsidR="004C08AF">
        <w:rPr>
          <w:rFonts w:eastAsia="Calibri"/>
          <w:color w:val="000000" w:themeColor="text1"/>
        </w:rPr>
        <w:t>i</w:t>
      </w:r>
      <w:r w:rsidRPr="2ADBB4C6" w:rsidR="003546EE">
        <w:rPr>
          <w:rFonts w:eastAsia="Calibri"/>
          <w:color w:val="000000" w:themeColor="text1"/>
        </w:rPr>
        <w:t xml:space="preserve">nventory for the CY </w:t>
      </w:r>
      <w:r w:rsidRPr="2ADBB4C6" w:rsidR="003546EE">
        <w:rPr>
          <w:color w:val="000000" w:themeColor="text1"/>
        </w:rPr>
        <w:t>202</w:t>
      </w:r>
      <w:r w:rsidR="004D6029">
        <w:rPr>
          <w:color w:val="000000" w:themeColor="text1"/>
        </w:rPr>
        <w:t>4</w:t>
      </w:r>
      <w:r w:rsidRPr="2ADBB4C6" w:rsidR="003546EE">
        <w:rPr>
          <w:color w:val="000000" w:themeColor="text1"/>
        </w:rPr>
        <w:t xml:space="preserve"> performance period/202</w:t>
      </w:r>
      <w:r w:rsidR="004D6029">
        <w:rPr>
          <w:color w:val="000000" w:themeColor="text1"/>
        </w:rPr>
        <w:t>6</w:t>
      </w:r>
      <w:r w:rsidRPr="2ADBB4C6" w:rsidR="003546EE">
        <w:rPr>
          <w:color w:val="000000" w:themeColor="text1"/>
        </w:rPr>
        <w:t xml:space="preserve"> MIPS payment year </w:t>
      </w:r>
      <w:r w:rsidRPr="2ADBB4C6" w:rsidR="003546EE">
        <w:rPr>
          <w:rFonts w:eastAsia="Calibri"/>
          <w:color w:val="000000" w:themeColor="text1"/>
        </w:rPr>
        <w:t xml:space="preserve">and future years as follows: adding </w:t>
      </w:r>
      <w:r w:rsidR="004D6029">
        <w:rPr>
          <w:rFonts w:eastAsia="Calibri"/>
          <w:color w:val="000000" w:themeColor="text1"/>
        </w:rPr>
        <w:t>5</w:t>
      </w:r>
      <w:r w:rsidRPr="2ADBB4C6" w:rsidR="003546EE">
        <w:rPr>
          <w:rFonts w:eastAsia="Calibri"/>
          <w:color w:val="000000" w:themeColor="text1"/>
        </w:rPr>
        <w:t xml:space="preserve"> new improvement activities; modifying </w:t>
      </w:r>
      <w:r w:rsidR="004D6029">
        <w:rPr>
          <w:rFonts w:eastAsia="Calibri"/>
          <w:color w:val="000000" w:themeColor="text1"/>
        </w:rPr>
        <w:t>1</w:t>
      </w:r>
      <w:r w:rsidRPr="2ADBB4C6" w:rsidR="003546EE">
        <w:rPr>
          <w:rFonts w:eastAsia="Calibri"/>
          <w:color w:val="000000" w:themeColor="text1"/>
        </w:rPr>
        <w:t xml:space="preserve"> existing improvement activit</w:t>
      </w:r>
      <w:r w:rsidR="00C07589">
        <w:rPr>
          <w:rFonts w:eastAsia="Calibri"/>
          <w:color w:val="000000" w:themeColor="text1"/>
        </w:rPr>
        <w:t>y</w:t>
      </w:r>
      <w:r w:rsidRPr="2ADBB4C6" w:rsidR="003546EE">
        <w:rPr>
          <w:rFonts w:eastAsia="Calibri"/>
          <w:color w:val="000000" w:themeColor="text1"/>
        </w:rPr>
        <w:t xml:space="preserve">; and removing </w:t>
      </w:r>
      <w:r w:rsidR="00F8370C">
        <w:rPr>
          <w:rFonts w:eastAsia="Calibri"/>
          <w:color w:val="000000" w:themeColor="text1"/>
        </w:rPr>
        <w:t>3</w:t>
      </w:r>
      <w:r w:rsidRPr="2ADBB4C6" w:rsidR="00F8370C">
        <w:rPr>
          <w:rFonts w:eastAsia="Calibri"/>
          <w:color w:val="000000" w:themeColor="text1"/>
        </w:rPr>
        <w:t xml:space="preserve"> </w:t>
      </w:r>
      <w:r w:rsidRPr="2ADBB4C6" w:rsidR="003546EE">
        <w:rPr>
          <w:rFonts w:eastAsia="Calibri"/>
          <w:color w:val="000000" w:themeColor="text1"/>
        </w:rPr>
        <w:t xml:space="preserve">previously adopted improvement activities. </w:t>
      </w:r>
    </w:p>
    <w:bookmarkEnd w:id="1"/>
    <w:p w:rsidR="00092C2E" w:rsidP="00730BEF" w14:paraId="0C5A2936" w14:textId="59D677C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w:t>
      </w:r>
      <w:r w:rsidR="00B92A08">
        <w:t>Additionally, there are information collections related to AAPMs. Please see sections 12 and 15 of th</w:t>
      </w:r>
      <w:r w:rsidR="00AA20DE">
        <w:t>is</w:t>
      </w:r>
      <w:r w:rsidR="00B92A08">
        <w:t xml:space="preserve"> Supporting Statement for details. </w:t>
      </w:r>
    </w:p>
    <w:p w:rsidR="006104BA" w:rsidRPr="00666F56" w:rsidP="55A5CB33" w14:paraId="45E11F45" w14:textId="13130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requesting approval of </w:t>
      </w:r>
      <w:r w:rsidR="004277EC">
        <w:t>2</w:t>
      </w:r>
      <w:r w:rsidR="29613539">
        <w:t>5</w:t>
      </w:r>
      <w:r w:rsidR="00092C2E">
        <w:t xml:space="preserve"> information collect</w:t>
      </w:r>
      <w:r>
        <w:t>ions associated with the CY 20</w:t>
      </w:r>
      <w:r w:rsidR="00FA3435">
        <w:t>2</w:t>
      </w:r>
      <w:r w:rsidR="004D6029">
        <w:t>4</w:t>
      </w:r>
      <w:r w:rsidR="00092C2E">
        <w:t xml:space="preserve"> </w:t>
      </w:r>
      <w:r w:rsidR="00AB7DAC">
        <w:t xml:space="preserve">PFS </w:t>
      </w:r>
      <w:r w:rsidR="00CC1BE8">
        <w:t xml:space="preserve">final </w:t>
      </w:r>
      <w:r>
        <w:t>rule</w:t>
      </w:r>
      <w:r w:rsidR="00092C2E">
        <w:t xml:space="preserve"> as a revision to </w:t>
      </w:r>
      <w:r w:rsidR="005D6106">
        <w:t xml:space="preserve">our </w:t>
      </w:r>
      <w:r w:rsidR="00092C2E">
        <w:t>currently approved</w:t>
      </w:r>
      <w:r w:rsidR="005D6106">
        <w:t xml:space="preser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w:t>
      </w:r>
      <w:r w:rsidR="00464A4C">
        <w:t>CMS has</w:t>
      </w:r>
      <w:r w:rsidR="00E4155D">
        <w:t xml:space="preserve"> already</w:t>
      </w:r>
      <w:r w:rsidR="00464A4C">
        <w:t xml:space="preserve"> </w:t>
      </w:r>
      <w:r w:rsidR="00975413">
        <w:t>re</w:t>
      </w:r>
      <w:r w:rsidR="00E4155D">
        <w:t>ceiv</w:t>
      </w:r>
      <w:r w:rsidR="00975413">
        <w:t xml:space="preserve">ed approval </w:t>
      </w:r>
      <w:r w:rsidR="00EC4D0E">
        <w:t xml:space="preserve">for </w:t>
      </w:r>
      <w:r w:rsidR="00E4155D">
        <w:t>the</w:t>
      </w:r>
      <w:r w:rsidR="004D285A">
        <w:t xml:space="preserve"> </w:t>
      </w:r>
      <w:r w:rsidR="00092C2E">
        <w:t>collection of information associated with the virtual group election process under OMB control number 0938-1343</w:t>
      </w:r>
      <w:r w:rsidR="00415939">
        <w:t xml:space="preserve"> (CMS-10652)</w:t>
      </w:r>
      <w:r w:rsidR="00092C2E">
        <w:t>.</w:t>
      </w:r>
      <w:r w:rsidR="00EC4D0E">
        <w:t xml:space="preserve"> CMS </w:t>
      </w:r>
      <w:r w:rsidR="005D6E2F">
        <w:t>requested</w:t>
      </w:r>
      <w:r w:rsidR="00EC4D0E">
        <w:t xml:space="preserve"> the approval for estimated burden related </w:t>
      </w:r>
      <w:r w:rsidRPr="00666F56" w:rsidR="00EC4D0E">
        <w:t>to the collection of information associated with the CAHPS for MIPS survey under OMB control number 0938-1222 (CMS-10450).</w:t>
      </w:r>
    </w:p>
    <w:p w:rsidR="00DE618E" w:rsidRPr="00666F56" w:rsidP="2ADBB4C6" w14:paraId="5044EF2B" w14:textId="2D16D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6F56">
        <w:t xml:space="preserve">The changes in this </w:t>
      </w:r>
      <w:r w:rsidRPr="00666F56" w:rsidR="005E24E9">
        <w:t xml:space="preserve">CY </w:t>
      </w:r>
      <w:r w:rsidRPr="00666F56">
        <w:t>202</w:t>
      </w:r>
      <w:r w:rsidRPr="00666F56" w:rsidR="00EC4D0E">
        <w:t>4</w:t>
      </w:r>
      <w:r w:rsidRPr="00666F56">
        <w:t xml:space="preserve"> collection of information request </w:t>
      </w:r>
      <w:r w:rsidRPr="00666F56" w:rsidR="001103DB">
        <w:t xml:space="preserve">are </w:t>
      </w:r>
      <w:r w:rsidRPr="00666F56">
        <w:t xml:space="preserve">associated with our </w:t>
      </w:r>
      <w:r w:rsidRPr="00666F56" w:rsidR="00D40670">
        <w:t>November</w:t>
      </w:r>
      <w:r w:rsidRPr="00666F56" w:rsidR="003D3417">
        <w:t xml:space="preserve"> </w:t>
      </w:r>
      <w:r w:rsidRPr="00666F56" w:rsidR="00502E1A">
        <w:t>16</w:t>
      </w:r>
      <w:r w:rsidRPr="00666F56" w:rsidR="00450CAF">
        <w:t>,</w:t>
      </w:r>
      <w:r w:rsidRPr="00666F56" w:rsidR="00A148A2">
        <w:t xml:space="preserve"> 202</w:t>
      </w:r>
      <w:r w:rsidRPr="00666F56" w:rsidR="00EC4D0E">
        <w:t>3</w:t>
      </w:r>
      <w:r w:rsidRPr="00666F56">
        <w:t xml:space="preserve"> </w:t>
      </w:r>
      <w:r w:rsidRPr="00666F56" w:rsidR="000B0149">
        <w:t>(</w:t>
      </w:r>
      <w:r w:rsidRPr="00666F56" w:rsidR="00023D09">
        <w:t>88</w:t>
      </w:r>
      <w:r w:rsidRPr="00666F56" w:rsidR="000B0149">
        <w:t xml:space="preserve"> FR </w:t>
      </w:r>
      <w:r w:rsidRPr="00666F56" w:rsidR="00502E1A">
        <w:t>78818</w:t>
      </w:r>
      <w:r w:rsidRPr="00666F56" w:rsidR="000B0149">
        <w:t xml:space="preserve">) </w:t>
      </w:r>
      <w:r w:rsidRPr="00666F56" w:rsidR="00D40670">
        <w:t>final</w:t>
      </w:r>
      <w:r w:rsidRPr="00666F56" w:rsidR="005E24E9">
        <w:t xml:space="preserve"> </w:t>
      </w:r>
      <w:r w:rsidRPr="00666F56">
        <w:t>rule (CMS-17</w:t>
      </w:r>
      <w:r w:rsidRPr="00666F56" w:rsidR="00EC4D0E">
        <w:t>84</w:t>
      </w:r>
      <w:r w:rsidRPr="00666F56">
        <w:t>-</w:t>
      </w:r>
      <w:r w:rsidRPr="00666F56" w:rsidR="00D40670">
        <w:t>F</w:t>
      </w:r>
      <w:r w:rsidRPr="00666F56">
        <w:t xml:space="preserve">, RIN </w:t>
      </w:r>
      <w:r w:rsidRPr="00666F56" w:rsidR="00023D09">
        <w:t>0939</w:t>
      </w:r>
      <w:r w:rsidRPr="00666F56" w:rsidR="00714D4F">
        <w:t>-A</w:t>
      </w:r>
      <w:r w:rsidRPr="00666F56" w:rsidR="00023D09">
        <w:t>V07</w:t>
      </w:r>
      <w:r w:rsidRPr="00666F56">
        <w:t xml:space="preserve">). </w:t>
      </w:r>
    </w:p>
    <w:p w:rsidR="00AF4D16" w:rsidP="5FE474A5" w14:paraId="15345F37" w14:textId="03890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6F56">
        <w:t xml:space="preserve">Where updated data and assumptions </w:t>
      </w:r>
      <w:r w:rsidRPr="00666F56" w:rsidR="6D45C891">
        <w:t>w</w:t>
      </w:r>
      <w:r w:rsidRPr="00666F56" w:rsidR="00694107">
        <w:t>ere</w:t>
      </w:r>
      <w:r w:rsidRPr="00666F56" w:rsidR="6D45C891">
        <w:t xml:space="preserve"> available for the</w:t>
      </w:r>
      <w:r w:rsidRPr="00666F56">
        <w:t xml:space="preserve"> CY 202</w:t>
      </w:r>
      <w:r w:rsidRPr="00666F56" w:rsidR="00E27D42">
        <w:t>4</w:t>
      </w:r>
      <w:r w:rsidRPr="00666F56">
        <w:t xml:space="preserve"> </w:t>
      </w:r>
      <w:r w:rsidRPr="00666F56" w:rsidR="00D66416">
        <w:t>PFS</w:t>
      </w:r>
      <w:r w:rsidRPr="00666F56" w:rsidR="00F86241">
        <w:t xml:space="preserve"> </w:t>
      </w:r>
      <w:r w:rsidRPr="00666F56" w:rsidR="00B93687">
        <w:t>final</w:t>
      </w:r>
      <w:r w:rsidRPr="00666F56">
        <w:t xml:space="preserve"> rule, we have </w:t>
      </w:r>
      <w:r w:rsidRPr="00666F56" w:rsidR="003E6153">
        <w:t>adjusted the</w:t>
      </w:r>
      <w:r w:rsidRPr="00666F56">
        <w:t xml:space="preserve"> applicable ICRs.</w:t>
      </w:r>
      <w:r w:rsidRPr="00666F56" w:rsidR="00772F80">
        <w:t xml:space="preserve"> </w:t>
      </w:r>
      <w:r w:rsidRPr="00666F56" w:rsidR="007B148C">
        <w:t>W</w:t>
      </w:r>
      <w:r w:rsidRPr="00666F56" w:rsidR="47908E26">
        <w:t>e estimate a</w:t>
      </w:r>
      <w:r w:rsidRPr="00666F56" w:rsidR="0028051E">
        <w:t xml:space="preserve"> de</w:t>
      </w:r>
      <w:r w:rsidRPr="00666F56" w:rsidR="47908E26">
        <w:t>crease in burden</w:t>
      </w:r>
      <w:r w:rsidRPr="00BE0373" w:rsidR="00E27D42">
        <w:rPr>
          <w:color w:val="000000" w:themeColor="text1"/>
        </w:rPr>
        <w:t xml:space="preserve"> of </w:t>
      </w:r>
      <w:r w:rsidR="005B3727">
        <w:rPr>
          <w:rFonts w:eastAsia="Calibri"/>
          <w:color w:val="000000" w:themeColor="text1"/>
        </w:rPr>
        <w:t>8,798</w:t>
      </w:r>
      <w:r w:rsidRPr="00BE0373" w:rsidR="00E27D42">
        <w:rPr>
          <w:color w:val="000000" w:themeColor="text1"/>
        </w:rPr>
        <w:t xml:space="preserve"> hours and $</w:t>
      </w:r>
      <w:r w:rsidR="005B3727">
        <w:rPr>
          <w:rFonts w:eastAsia="Calibri"/>
          <w:color w:val="000000" w:themeColor="text1"/>
        </w:rPr>
        <w:t>1,009,345</w:t>
      </w:r>
      <w:r w:rsidR="00E27D42">
        <w:rPr>
          <w:rFonts w:eastAsia="Calibri"/>
          <w:color w:val="000000" w:themeColor="text1"/>
        </w:rPr>
        <w:t xml:space="preserve"> </w:t>
      </w:r>
      <w:r w:rsidR="00C6843A">
        <w:t xml:space="preserve">for the </w:t>
      </w:r>
      <w:r w:rsidR="005F0063">
        <w:t xml:space="preserve">CY </w:t>
      </w:r>
      <w:r w:rsidR="00C6843A">
        <w:t>202</w:t>
      </w:r>
      <w:r w:rsidR="00E27D42">
        <w:t>4</w:t>
      </w:r>
      <w:r w:rsidR="00C6843A">
        <w:t xml:space="preserve"> performance period</w:t>
      </w:r>
      <w:r w:rsidR="005F0063">
        <w:t>/202</w:t>
      </w:r>
      <w:r w:rsidR="00E27D42">
        <w:t>6</w:t>
      </w:r>
      <w:r w:rsidR="005F0063">
        <w:t xml:space="preserve"> MIPS payment year</w:t>
      </w:r>
      <w:r w:rsidR="00B61BE5">
        <w:t xml:space="preserve"> due to updated data and assumptions as well as policies</w:t>
      </w:r>
      <w:r w:rsidR="00F46918">
        <w:t xml:space="preserve"> finalized</w:t>
      </w:r>
      <w:r w:rsidR="00923A6B">
        <w:t xml:space="preserve"> in th</w:t>
      </w:r>
      <w:r w:rsidR="0075089F">
        <w:t xml:space="preserve">e CY 2024 PFS </w:t>
      </w:r>
      <w:r w:rsidR="00F46918">
        <w:t>final</w:t>
      </w:r>
      <w:r w:rsidR="0075089F">
        <w:t xml:space="preserve"> rule</w:t>
      </w:r>
      <w:r w:rsidR="00B61BE5">
        <w:t>.</w:t>
      </w:r>
      <w:r w:rsidR="00BE2903">
        <w:t xml:space="preserve"> </w:t>
      </w:r>
      <w:r w:rsidR="004260BF">
        <w:t xml:space="preserve">As noted in section 8 of this Supporting Statement, we have updated </w:t>
      </w:r>
      <w:r w:rsidR="008A6F15">
        <w:t>our estimate</w:t>
      </w:r>
      <w:r w:rsidR="00484833">
        <w:t xml:space="preserve">d burden submitted in the CY 2024 NPRM </w:t>
      </w:r>
      <w:r w:rsidR="00336FF1">
        <w:t xml:space="preserve">MIPS </w:t>
      </w:r>
      <w:r w:rsidR="00484833">
        <w:t>PRA package due to the availability of updated data for the CY 2024 performance period/2026 MIPS payment year.</w:t>
      </w:r>
    </w:p>
    <w:p w:rsidR="00541438" w:rsidP="5FE474A5" w14:paraId="5AB2409C" w14:textId="1332A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discussed in sections 12 and 15 of this Supporting Statement, </w:t>
      </w:r>
      <w:r>
        <w:rPr>
          <w:rFonts w:eastAsia="Calibri"/>
        </w:rPr>
        <w:t>t</w:t>
      </w:r>
      <w:r w:rsidRPr="5FE474A5" w:rsidR="00C6843A">
        <w:rPr>
          <w:rFonts w:eastAsia="Calibri"/>
        </w:rPr>
        <w:t xml:space="preserve">he </w:t>
      </w:r>
      <w:r w:rsidR="00E24A56">
        <w:rPr>
          <w:rFonts w:eastAsia="Calibri"/>
        </w:rPr>
        <w:t>finalized</w:t>
      </w:r>
      <w:r w:rsidRPr="5FE474A5" w:rsidR="00C6843A">
        <w:rPr>
          <w:rFonts w:eastAsia="Calibri"/>
        </w:rPr>
        <w:t xml:space="preserve"> polic</w:t>
      </w:r>
      <w:r w:rsidR="004020D9">
        <w:rPr>
          <w:rFonts w:eastAsia="Calibri"/>
        </w:rPr>
        <w:t>ies in the CY 202</w:t>
      </w:r>
      <w:r w:rsidR="009D24C3">
        <w:rPr>
          <w:rFonts w:eastAsia="Calibri"/>
        </w:rPr>
        <w:t>4</w:t>
      </w:r>
      <w:r w:rsidR="004020D9">
        <w:rPr>
          <w:rFonts w:eastAsia="Calibri"/>
        </w:rPr>
        <w:t xml:space="preserve"> PFS </w:t>
      </w:r>
      <w:r w:rsidR="00F6595C">
        <w:rPr>
          <w:rFonts w:eastAsia="Calibri"/>
        </w:rPr>
        <w:t>final</w:t>
      </w:r>
      <w:r w:rsidR="004020D9">
        <w:rPr>
          <w:rFonts w:eastAsia="Calibri"/>
        </w:rPr>
        <w:t xml:space="preserve"> rule will result in a</w:t>
      </w:r>
      <w:r w:rsidR="00806A0C">
        <w:rPr>
          <w:rFonts w:eastAsia="Calibri"/>
        </w:rPr>
        <w:t xml:space="preserve"> de</w:t>
      </w:r>
      <w:r w:rsidR="004020D9">
        <w:rPr>
          <w:rFonts w:eastAsia="Calibri"/>
        </w:rPr>
        <w:t xml:space="preserve">crease in burden </w:t>
      </w:r>
      <w:r w:rsidR="00C6464A">
        <w:rPr>
          <w:rFonts w:eastAsia="Calibri"/>
        </w:rPr>
        <w:t xml:space="preserve">for the ICRs related to </w:t>
      </w:r>
      <w:r w:rsidR="00806A0C">
        <w:rPr>
          <w:rFonts w:eastAsia="Calibri"/>
        </w:rPr>
        <w:t xml:space="preserve">the </w:t>
      </w:r>
      <w:r w:rsidR="002F196C">
        <w:t xml:space="preserve">data submission via </w:t>
      </w:r>
      <w:r w:rsidR="6CE663F3">
        <w:t xml:space="preserve">the </w:t>
      </w:r>
      <w:r w:rsidR="00806A0C">
        <w:t>Medicare Part B Claims</w:t>
      </w:r>
      <w:r w:rsidR="004A69A7">
        <w:t xml:space="preserve">, </w:t>
      </w:r>
      <w:r w:rsidR="6CE663F3">
        <w:t xml:space="preserve">MIPS </w:t>
      </w:r>
      <w:r w:rsidR="003436AD">
        <w:t>clinical quality measure (</w:t>
      </w:r>
      <w:r w:rsidR="6CE663F3">
        <w:t>CQM</w:t>
      </w:r>
      <w:r w:rsidR="003436AD">
        <w:t>)</w:t>
      </w:r>
      <w:r w:rsidR="00911D7A">
        <w:t>,</w:t>
      </w:r>
      <w:r w:rsidR="6CE663F3">
        <w:t xml:space="preserve"> </w:t>
      </w:r>
      <w:r w:rsidR="003436AD">
        <w:t>qualified clinical data registry (</w:t>
      </w:r>
      <w:r w:rsidR="6CE663F3">
        <w:t>QCDR</w:t>
      </w:r>
      <w:r w:rsidR="003436AD">
        <w:t>)</w:t>
      </w:r>
      <w:r w:rsidR="009D71BA">
        <w:t>,</w:t>
      </w:r>
      <w:r w:rsidR="6CE663F3">
        <w:t xml:space="preserve"> and </w:t>
      </w:r>
      <w:r w:rsidR="003436AD">
        <w:t>electronic clinical quality measure (</w:t>
      </w:r>
      <w:r w:rsidR="6CE663F3">
        <w:t>eCQM</w:t>
      </w:r>
      <w:r w:rsidR="003436AD">
        <w:t>)</w:t>
      </w:r>
      <w:r w:rsidR="6CE663F3">
        <w:t xml:space="preserve"> collection types for the quality performance category</w:t>
      </w:r>
      <w:r w:rsidR="008F7D4A">
        <w:t>. The policies will also result in an</w:t>
      </w:r>
      <w:r w:rsidRPr="002A020B" w:rsidR="002A020B">
        <w:t xml:space="preserve"> increase in the </w:t>
      </w:r>
      <w:r w:rsidR="008F7D4A">
        <w:t xml:space="preserve">burden </w:t>
      </w:r>
      <w:r w:rsidRPr="002A020B" w:rsidR="002A020B">
        <w:t xml:space="preserve">for the </w:t>
      </w:r>
      <w:r w:rsidR="00605589">
        <w:t>ICR</w:t>
      </w:r>
      <w:r w:rsidR="009D24C3">
        <w:t>s</w:t>
      </w:r>
      <w:r w:rsidR="00605589">
        <w:t xml:space="preserve"> related to the </w:t>
      </w:r>
      <w:r w:rsidRPr="002A020B" w:rsidR="002A020B">
        <w:t>MVP quality performance category</w:t>
      </w:r>
      <w:r w:rsidR="00684C60">
        <w:t xml:space="preserve"> submission</w:t>
      </w:r>
      <w:r w:rsidR="009D24C3">
        <w:t xml:space="preserve"> and MVP registration</w:t>
      </w:r>
      <w:r w:rsidR="00050DA1">
        <w:t xml:space="preserve">. </w:t>
      </w:r>
      <w:r w:rsidR="6CE663F3">
        <w:t xml:space="preserve">The </w:t>
      </w:r>
      <w:r w:rsidR="6CE663F3">
        <w:t>remaining changes to our currently approved burden estimates are adjustments due to the use of updated data sources</w:t>
      </w:r>
      <w:r w:rsidR="00CC689C">
        <w:t xml:space="preserve"> and assumptions</w:t>
      </w:r>
      <w:r w:rsidR="6CE663F3">
        <w:t>.</w:t>
      </w:r>
    </w:p>
    <w:p w:rsidR="000C6C1C" w:rsidP="37DEA0D4" w14:paraId="4B964226" w14:textId="257A4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w:t>
      </w:r>
      <w:r w:rsidR="000146DA">
        <w:t xml:space="preserve">are </w:t>
      </w:r>
      <w:r w:rsidR="0028693F">
        <w:t>requesting</w:t>
      </w:r>
      <w:r w:rsidR="000146DA">
        <w:t xml:space="preserve"> to </w:t>
      </w:r>
      <w:r w:rsidR="00626871">
        <w:t>add</w:t>
      </w:r>
      <w:r>
        <w:t xml:space="preserve"> </w:t>
      </w:r>
      <w:r>
        <w:t>two</w:t>
      </w:r>
      <w:r>
        <w:t xml:space="preserve"> new ICR</w:t>
      </w:r>
      <w:r>
        <w:t>s</w:t>
      </w:r>
      <w:r w:rsidRPr="000C6C1C">
        <w:t xml:space="preserve">, </w:t>
      </w:r>
      <w:r w:rsidRPr="000C6C1C" w:rsidR="00E56F5D">
        <w:t>“</w:t>
      </w:r>
      <w:r w:rsidR="003111CB">
        <w:t xml:space="preserve">simplified </w:t>
      </w:r>
      <w:r w:rsidRPr="000C6C1C" w:rsidR="00E56F5D">
        <w:t>qualified registry</w:t>
      </w:r>
      <w:r w:rsidR="00E56F5D">
        <w:t xml:space="preserve"> </w:t>
      </w:r>
      <w:r w:rsidRPr="000C6C1C" w:rsidR="00E56F5D">
        <w:t xml:space="preserve">self-nomination process” </w:t>
      </w:r>
      <w:r w:rsidR="00E56F5D">
        <w:t xml:space="preserve">and </w:t>
      </w:r>
      <w:r w:rsidRPr="000C6C1C">
        <w:t>“</w:t>
      </w:r>
      <w:r w:rsidR="003111CB">
        <w:t xml:space="preserve">simplified </w:t>
      </w:r>
      <w:r w:rsidRPr="000C6C1C">
        <w:t>QCDR self-nomination process</w:t>
      </w:r>
      <w:r w:rsidR="009B267D">
        <w:t>,</w:t>
      </w:r>
      <w:r w:rsidRPr="000C6C1C">
        <w:t>” to distinctly capture the burden for the number of QCDRs and qualified registries submitting applications for the simplified and full self-nomination process.</w:t>
      </w:r>
      <w:r w:rsidR="00B06F44">
        <w:t xml:space="preserve"> </w:t>
      </w:r>
      <w:r w:rsidRPr="000C6C1C">
        <w:t>We note that the addition of these ICRs is not due to the policy changes</w:t>
      </w:r>
      <w:r>
        <w:t xml:space="preserve"> relevant to third party intermediaries</w:t>
      </w:r>
      <w:r w:rsidRPr="000C6C1C">
        <w:t xml:space="preserve"> in </w:t>
      </w:r>
      <w:r>
        <w:t xml:space="preserve">the CY 2024 PFS </w:t>
      </w:r>
      <w:r w:rsidR="00EE3229">
        <w:t>final</w:t>
      </w:r>
      <w:r w:rsidRPr="000C6C1C">
        <w:t xml:space="preserve"> rule.  It is a change in our approach </w:t>
      </w:r>
      <w:r w:rsidR="0086779B">
        <w:t>to</w:t>
      </w:r>
      <w:r w:rsidRPr="000C6C1C">
        <w:t xml:space="preserve"> representing the estimated burden for the third-party intermediary self-nomination process due to availability of updated data.  </w:t>
      </w:r>
    </w:p>
    <w:p w:rsidR="00541438" w:rsidP="37DEA0D4" w14:paraId="3A097E81" w14:textId="78BA4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C6C1C">
        <w:t>We are</w:t>
      </w:r>
      <w:r w:rsidR="003A07D1">
        <w:t xml:space="preserve"> also requesting</w:t>
      </w:r>
      <w:r w:rsidRPr="000C6C1C">
        <w:t xml:space="preserve"> to remove one ICR, “nomination of Promoting Interoperability measures</w:t>
      </w:r>
      <w:r w:rsidR="00336BBF">
        <w:t>.</w:t>
      </w:r>
      <w:r w:rsidRPr="000C6C1C">
        <w:t>”  We note that the removal of the ICR is not due to policy changes in th</w:t>
      </w:r>
      <w:r w:rsidR="006E2E5A">
        <w:t xml:space="preserve">e CY 2024 PFS </w:t>
      </w:r>
      <w:r w:rsidR="00EE3229">
        <w:t>final</w:t>
      </w:r>
      <w:r w:rsidRPr="000C6C1C">
        <w:t xml:space="preserve"> rule. It is due to a consistent decline in the number of submissions received for the ICR. </w:t>
      </w:r>
      <w:r w:rsidR="003B1274">
        <w:t xml:space="preserve"> </w:t>
      </w:r>
    </w:p>
    <w:p w:rsidR="00D26EEF" w:rsidRPr="00C56C33" w:rsidP="00A56476" w14:paraId="44BAFCF7" w14:textId="184819FF">
      <w:pPr>
        <w:pStyle w:val="Heading1"/>
        <w:numPr>
          <w:ilvl w:val="0"/>
          <w:numId w:val="9"/>
        </w:numPr>
      </w:pPr>
      <w:r w:rsidRPr="00C56C33">
        <w:t>Justification</w:t>
      </w:r>
    </w:p>
    <w:p w:rsidR="006803A2" w:rsidRPr="00567823" w:rsidP="0011028A" w14:paraId="39204A0F" w14:textId="1BAFF907">
      <w:pPr>
        <w:pStyle w:val="Heading2"/>
      </w:pPr>
      <w:r w:rsidRPr="00567823">
        <w:t>Need and Legal Basis</w:t>
      </w:r>
    </w:p>
    <w:p w:rsidR="00155C20" w:rsidRPr="00155C20" w:rsidP="00D4299B" w14:paraId="0180353A" w14:textId="543595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Our a</w:t>
      </w:r>
      <w:r w:rsidRPr="00155C20">
        <w:rPr>
          <w:szCs w:val="20"/>
        </w:rPr>
        <w:t>uthority for collect</w:t>
      </w:r>
      <w:r>
        <w:rPr>
          <w:szCs w:val="20"/>
        </w:rPr>
        <w:t>ing</w:t>
      </w:r>
      <w:r w:rsidRPr="00155C20">
        <w:rPr>
          <w:szCs w:val="20"/>
        </w:rPr>
        <w:t xml:space="preserve"> this information is provided </w:t>
      </w:r>
      <w:r w:rsidR="0012498F">
        <w:rPr>
          <w:szCs w:val="20"/>
        </w:rPr>
        <w:t xml:space="preserve">by </w:t>
      </w:r>
      <w:r w:rsidRPr="00DD223D" w:rsidR="00DD223D">
        <w:rPr>
          <w:szCs w:val="20"/>
        </w:rPr>
        <w:t>Medicare Access and CHIP Reauthorization Act of 2015 (MACRA) (Pub. L. 114-10,</w:t>
      </w:r>
      <w:r w:rsidR="00E32485">
        <w:rPr>
          <w:szCs w:val="20"/>
        </w:rPr>
        <w:t xml:space="preserve"> </w:t>
      </w:r>
      <w:r w:rsidRPr="00DD223D" w:rsidR="00DD223D">
        <w:rPr>
          <w:szCs w:val="20"/>
        </w:rPr>
        <w:t>April 16, 2015)</w:t>
      </w:r>
      <w:r w:rsidR="0012498F">
        <w:rPr>
          <w:szCs w:val="20"/>
        </w:rPr>
        <w:t xml:space="preserve"> which further amended </w:t>
      </w:r>
      <w:r w:rsidRPr="00155C20">
        <w:rPr>
          <w:szCs w:val="20"/>
        </w:rPr>
        <w:t>section 1848</w:t>
      </w:r>
      <w:r w:rsidR="0012498F">
        <w:rPr>
          <w:szCs w:val="20"/>
        </w:rPr>
        <w:t xml:space="preserve"> </w:t>
      </w:r>
      <w:r w:rsidRPr="00155C20">
        <w:rPr>
          <w:szCs w:val="20"/>
        </w:rPr>
        <w:t>and 1833 of the Act</w:t>
      </w:r>
      <w:r w:rsidR="0012498F">
        <w:rPr>
          <w:szCs w:val="20"/>
        </w:rPr>
        <w:t>, respectively</w:t>
      </w:r>
      <w:r>
        <w:rPr>
          <w:szCs w:val="20"/>
        </w:rPr>
        <w:t xml:space="preserve">. </w:t>
      </w:r>
    </w:p>
    <w:p w:rsidR="00627DDE" w:rsidP="003D29BA" w14:paraId="3B966655" w14:textId="117C523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0"/>
        </w:rPr>
      </w:pPr>
      <w:r w:rsidRPr="00155C20">
        <w:rPr>
          <w:szCs w:val="20"/>
        </w:rPr>
        <w:t>Section 1848(q) of the Act requires the establishment of the MIPS beginning with payments for items and services furnished on or after January 1, 20</w:t>
      </w:r>
      <w:r w:rsidR="00FD77E4">
        <w:rPr>
          <w:szCs w:val="20"/>
        </w:rPr>
        <w:t>19</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00416499">
        <w:rPr>
          <w:szCs w:val="20"/>
        </w:rPr>
        <w:t xml:space="preserve">. </w:t>
      </w:r>
      <w:r w:rsidR="00E45035">
        <w:rPr>
          <w:szCs w:val="20"/>
        </w:rPr>
        <w:t xml:space="preserve">Section 1833(z) of the Act </w:t>
      </w:r>
      <w:r w:rsidRPr="00E45035" w:rsidR="00E45035">
        <w:rPr>
          <w:szCs w:val="20"/>
        </w:rPr>
        <w:t>establishes incentive payments for clinicians who are qualifying participants in</w:t>
      </w:r>
      <w:r w:rsidR="00E45035">
        <w:rPr>
          <w:szCs w:val="20"/>
        </w:rPr>
        <w:t xml:space="preserve"> </w:t>
      </w:r>
      <w:r w:rsidRPr="00E45035" w:rsidR="00E45035">
        <w:rPr>
          <w:szCs w:val="20"/>
        </w:rPr>
        <w:t>advanced APMs</w:t>
      </w:r>
      <w:r w:rsidR="00B12A1B">
        <w:rPr>
          <w:szCs w:val="20"/>
        </w:rPr>
        <w:t xml:space="preserve"> through the CY 2022 performance period/2024 MIPS payment year</w:t>
      </w:r>
      <w:r w:rsidR="002876B1">
        <w:rPr>
          <w:szCs w:val="20"/>
        </w:rPr>
        <w:t xml:space="preserve">. The APM incentive payment was extended for one additional year for clinicians who are QPs in the CY 2023 performance period/2025 MIPS payment year. </w:t>
      </w:r>
    </w:p>
    <w:p w:rsidR="006803A2" w:rsidRPr="00B11641" w:rsidP="0011028A" w14:paraId="1FB2AB01" w14:textId="72365263">
      <w:pPr>
        <w:pStyle w:val="Heading2"/>
      </w:pPr>
      <w:r w:rsidRPr="00B11641">
        <w:t>Information Users</w:t>
      </w:r>
    </w:p>
    <w:p w:rsidR="00855847" w:rsidP="00D4299B" w14:paraId="12E3B30D" w14:textId="5976864D">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CMS will use data </w:t>
      </w:r>
      <w:r w:rsidR="004306D9">
        <w:rPr>
          <w:szCs w:val="20"/>
        </w:rPr>
        <w:t xml:space="preserve">reported </w:t>
      </w:r>
      <w:r w:rsidR="00F42ABA">
        <w:rPr>
          <w:szCs w:val="20"/>
        </w:rPr>
        <w:t xml:space="preserve">or submitted </w:t>
      </w:r>
      <w:r w:rsidR="004306D9">
        <w:rPr>
          <w:szCs w:val="20"/>
        </w:rPr>
        <w:t xml:space="preserve">by MIPS eligible clinicians </w:t>
      </w:r>
      <w:r w:rsidR="00F42ABA">
        <w:rPr>
          <w:szCs w:val="20"/>
        </w:rPr>
        <w:t>as individual clinicians</w:t>
      </w:r>
      <w:r w:rsidR="00125452">
        <w:rPr>
          <w:szCs w:val="20"/>
        </w:rPr>
        <w:t xml:space="preserve"> (both required and voluntary)</w:t>
      </w:r>
      <w:r w:rsidR="007C52B7">
        <w:rPr>
          <w:szCs w:val="20"/>
        </w:rPr>
        <w:t xml:space="preserve"> or as part of groups</w:t>
      </w:r>
      <w:r w:rsidR="00125452">
        <w:rPr>
          <w:szCs w:val="20"/>
        </w:rPr>
        <w:t xml:space="preserve">, </w:t>
      </w:r>
      <w:r w:rsidR="002C174A">
        <w:rPr>
          <w:szCs w:val="20"/>
        </w:rPr>
        <w:t xml:space="preserve">subgroups, </w:t>
      </w:r>
      <w:r w:rsidR="00125452">
        <w:rPr>
          <w:szCs w:val="20"/>
        </w:rPr>
        <w:t xml:space="preserve">virtual groups, </w:t>
      </w:r>
      <w:r w:rsidR="00DF1CA2">
        <w:rPr>
          <w:szCs w:val="20"/>
        </w:rPr>
        <w:t xml:space="preserve">or APM entities.  CMS will use this data </w:t>
      </w:r>
      <w:r w:rsidRPr="00155C20">
        <w:rPr>
          <w:szCs w:val="20"/>
        </w:rPr>
        <w:t xml:space="preserve">to assess MIPS eligible clinician performance in the MIPS performance categories, calculate the final score (including </w:t>
      </w:r>
      <w:r w:rsidRPr="00155C20">
        <w:rPr>
          <w:szCs w:val="20"/>
        </w:rPr>
        <w:t>whether or not</w:t>
      </w:r>
      <w:r w:rsidRPr="00155C20">
        <w:rPr>
          <w:szCs w:val="20"/>
        </w:rPr>
        <w:t xml:space="preserve"> requirements for certain performance categories can be waived), and calculate positive and negative payment adjustments based on the final score, and to provide feedback to the clinicians. </w:t>
      </w:r>
      <w:r w:rsidR="004306D9">
        <w:rPr>
          <w:szCs w:val="20"/>
        </w:rPr>
        <w:t>Information provided by third party intermediaries</w:t>
      </w:r>
      <w:r w:rsidRPr="00155C20">
        <w:rPr>
          <w:szCs w:val="20"/>
        </w:rPr>
        <w:t xml:space="preserve"> may also be used for administrative purposes such as determining third </w:t>
      </w:r>
      <w:r w:rsidRPr="00155C20">
        <w:rPr>
          <w:szCs w:val="20"/>
        </w:rPr>
        <w:t xml:space="preserve">party </w:t>
      </w:r>
      <w:r w:rsidR="0070637E">
        <w:rPr>
          <w:szCs w:val="20"/>
        </w:rPr>
        <w:t>intermediaries</w:t>
      </w:r>
      <w:r w:rsidRPr="00155C20" w:rsidR="0070637E">
        <w:rPr>
          <w:szCs w:val="20"/>
        </w:rPr>
        <w:t xml:space="preserve"> </w:t>
      </w:r>
      <w:r w:rsidRPr="00155C20">
        <w:rPr>
          <w:szCs w:val="20"/>
        </w:rPr>
        <w:t xml:space="preserve">and </w:t>
      </w:r>
      <w:r>
        <w:rPr>
          <w:szCs w:val="20"/>
        </w:rPr>
        <w:t xml:space="preserve">QCDR </w:t>
      </w:r>
      <w:r w:rsidRPr="00155C20">
        <w:rPr>
          <w:szCs w:val="20"/>
        </w:rPr>
        <w:t>measures appropriate for the MIPS program</w:t>
      </w:r>
      <w:r>
        <w:rPr>
          <w:szCs w:val="20"/>
        </w:rPr>
        <w:t>. Information provided by clinicians, professional societies, and other respondents will be used to consider quality and Promoting Interoperability measures, improvement activities, and MVPs for inclusion in the MIPS program.  Information provided by payers, APM Entities, and eligible clinicians will be used to determine</w:t>
      </w:r>
      <w:r w:rsidRPr="00155C20">
        <w:rPr>
          <w:szCs w:val="20"/>
        </w:rPr>
        <w:t xml:space="preserve"> which additional payment arrangements qualify as Other Payer Advanced APM models. </w:t>
      </w:r>
      <w:r w:rsidRPr="00155C20">
        <w:rPr>
          <w:szCs w:val="20"/>
        </w:rPr>
        <w:t>In order to</w:t>
      </w:r>
      <w:r w:rsidRPr="00155C20">
        <w:rPr>
          <w:szCs w:val="20"/>
        </w:rPr>
        <w:t xml:space="preserve">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855847" w:rsidP="2ADBB4C6" w14:paraId="0AA4F140" w14:textId="5EE36432">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824D4">
        <w:rPr>
          <w:szCs w:val="20"/>
        </w:rPr>
        <w:t xml:space="preserve">We also use this information to provide performance feedback to MIPS eligible clinicians and eligible entities. </w:t>
      </w:r>
      <w:r w:rsidR="00235F2B">
        <w:rPr>
          <w:szCs w:val="20"/>
        </w:rPr>
        <w:t>Clinicians and beneficiaries can view</w:t>
      </w:r>
      <w:r w:rsidRPr="00C824D4" w:rsidR="000638C0">
        <w:rPr>
          <w:szCs w:val="20"/>
        </w:rPr>
        <w:t xml:space="preserve"> </w:t>
      </w:r>
      <w:r w:rsidR="00252258">
        <w:rPr>
          <w:szCs w:val="20"/>
        </w:rPr>
        <w:t>performance category data</w:t>
      </w:r>
      <w:r w:rsidR="00A22A8B">
        <w:rPr>
          <w:szCs w:val="20"/>
        </w:rPr>
        <w:t xml:space="preserve"> </w:t>
      </w:r>
      <w:r w:rsidRPr="00A22A8B" w:rsidR="00A22A8B">
        <w:rPr>
          <w:szCs w:val="20"/>
        </w:rPr>
        <w:t>and final scores</w:t>
      </w:r>
      <w:r w:rsidR="00252258">
        <w:rPr>
          <w:szCs w:val="20"/>
        </w:rPr>
        <w:t xml:space="preserve"> for a </w:t>
      </w:r>
      <w:r w:rsidRPr="00C824D4" w:rsidR="000638C0">
        <w:rPr>
          <w:szCs w:val="20"/>
        </w:rPr>
        <w:t>performance period</w:t>
      </w:r>
      <w:r w:rsidR="00252258">
        <w:rPr>
          <w:szCs w:val="20"/>
        </w:rPr>
        <w:t>/MIPS payment year</w:t>
      </w:r>
      <w:r w:rsidRPr="00C824D4" w:rsidR="000638C0">
        <w:rPr>
          <w:szCs w:val="20"/>
        </w:rPr>
        <w:t xml:space="preserve"> on </w:t>
      </w:r>
      <w:r w:rsidR="00F77EF4">
        <w:rPr>
          <w:szCs w:val="20"/>
        </w:rPr>
        <w:t>c</w:t>
      </w:r>
      <w:r w:rsidRPr="00C824D4" w:rsidR="000638C0">
        <w:rPr>
          <w:szCs w:val="20"/>
        </w:rPr>
        <w:t>ompare</w:t>
      </w:r>
      <w:r w:rsidR="00F77EF4">
        <w:rPr>
          <w:szCs w:val="20"/>
        </w:rPr>
        <w:t xml:space="preserve"> tools hosted by the </w:t>
      </w:r>
      <w:r w:rsidR="00411E92">
        <w:rPr>
          <w:szCs w:val="20"/>
        </w:rPr>
        <w:t>U.S. Department of Health and Human Services</w:t>
      </w:r>
      <w:r w:rsidR="00235F2B">
        <w:rPr>
          <w:szCs w:val="20"/>
        </w:rPr>
        <w:t xml:space="preserve">. </w:t>
      </w:r>
      <w:r w:rsidRPr="00C824D4">
        <w:rPr>
          <w:szCs w:val="20"/>
        </w:rPr>
        <w:t xml:space="preserve">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w:t>
      </w:r>
    </w:p>
    <w:p w:rsidR="0002497D" w:rsidRPr="00155C20" w:rsidP="00D4299B" w14:paraId="7A39A250" w14:textId="7AA5FB67">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Relevant data will be provided to federal and state agencies, Quality Improvement Networks, contractors</w:t>
      </w:r>
      <w:r w:rsidR="00402900">
        <w:rPr>
          <w:szCs w:val="20"/>
        </w:rPr>
        <w:t xml:space="preserve"> supporting the Quality Payment Program</w:t>
      </w:r>
      <w:r w:rsidRPr="00155C20">
        <w:rPr>
          <w:szCs w:val="20"/>
        </w:rPr>
        <w:t xml:space="preserve">, and parties assisting consumers, for use in administering or conducting </w:t>
      </w:r>
      <w:r w:rsidRPr="00155C20" w:rsidR="001D5307">
        <w:rPr>
          <w:szCs w:val="20"/>
        </w:rPr>
        <w:t>federally funded</w:t>
      </w:r>
      <w:r w:rsidRPr="00155C20">
        <w:rPr>
          <w:szCs w:val="20"/>
        </w:rPr>
        <w:t xml:space="preserve">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rPr>
          <w:szCs w:val="20"/>
        </w:rPr>
        <w:t xml:space="preserve">  Lastly, CMS </w:t>
      </w:r>
      <w:r w:rsidR="0026206B">
        <w:rPr>
          <w:szCs w:val="20"/>
        </w:rPr>
        <w:t xml:space="preserve">has </w:t>
      </w:r>
      <w:r w:rsidR="00023BCB">
        <w:rPr>
          <w:szCs w:val="20"/>
        </w:rPr>
        <w:t>ma</w:t>
      </w:r>
      <w:r w:rsidR="0026206B">
        <w:rPr>
          <w:szCs w:val="20"/>
        </w:rPr>
        <w:t>d</w:t>
      </w:r>
      <w:r w:rsidR="00023BCB">
        <w:rPr>
          <w:szCs w:val="20"/>
        </w:rPr>
        <w:t>e available a Public Use File present</w:t>
      </w:r>
      <w:r w:rsidR="0026206B">
        <w:rPr>
          <w:szCs w:val="20"/>
        </w:rPr>
        <w:t>ing</w:t>
      </w:r>
      <w:r w:rsidR="00023BCB">
        <w:rPr>
          <w:szCs w:val="20"/>
        </w:rPr>
        <w:t xml:space="preserve"> a comprehensive </w:t>
      </w:r>
      <w:r w:rsidRPr="00023BCB" w:rsidR="00023BCB">
        <w:rPr>
          <w:szCs w:val="20"/>
        </w:rPr>
        <w:t>data set on performance of all clinicians across all categories, measures</w:t>
      </w:r>
      <w:r w:rsidR="00023BCB">
        <w:rPr>
          <w:szCs w:val="20"/>
        </w:rPr>
        <w:t>,</w:t>
      </w:r>
      <w:r w:rsidRPr="00023BCB" w:rsidR="00023BCB">
        <w:rPr>
          <w:szCs w:val="20"/>
        </w:rPr>
        <w:t xml:space="preserve"> and activities for MIPS</w:t>
      </w:r>
      <w:r w:rsidR="0026206B">
        <w:rPr>
          <w:szCs w:val="20"/>
        </w:rPr>
        <w:t xml:space="preserve"> which will be updated annually</w:t>
      </w:r>
      <w:r w:rsidR="00023BCB">
        <w:rPr>
          <w:szCs w:val="20"/>
        </w:rPr>
        <w:t>.</w:t>
      </w:r>
    </w:p>
    <w:p w:rsidR="00855847" w:rsidRPr="00041A6A" w:rsidP="0011028A" w14:paraId="408DC725" w14:textId="0FDBFC7C">
      <w:pPr>
        <w:pStyle w:val="Heading2"/>
      </w:pPr>
      <w:r w:rsidRPr="00041A6A">
        <w:t xml:space="preserve">Use of </w:t>
      </w:r>
      <w:r w:rsidRPr="000E7E06">
        <w:t>Information Technology</w:t>
      </w:r>
    </w:p>
    <w:p w:rsidR="00932A5A" w:rsidRPr="00155C20" w:rsidP="00730BEF" w14:paraId="3B4E4A21" w14:textId="21BAEC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w:t>
      </w:r>
      <w:r w:rsidR="0048447D">
        <w:t>document</w:t>
      </w:r>
      <w:r w:rsidRPr="0007426C">
        <w:t xml:space="preserve"> is to be </w:t>
      </w:r>
      <w:r>
        <w:t>conducted</w:t>
      </w:r>
      <w:r w:rsidRPr="0007426C">
        <w:t xml:space="preserve"> electronically.</w:t>
      </w:r>
    </w:p>
    <w:p w:rsidR="000A1BC2" w:rsidRPr="00041A6A" w:rsidP="0011028A" w14:paraId="4A5F4C47" w14:textId="79C4AD95">
      <w:pPr>
        <w:pStyle w:val="Heading2"/>
      </w:pPr>
      <w:r w:rsidRPr="00041A6A">
        <w:t>Duplication of Efforts</w:t>
      </w:r>
    </w:p>
    <w:p w:rsidR="00155C20" w:rsidP="00730BEF" w14:paraId="70479869" w14:textId="17451DC4">
      <w:pPr>
        <w:keepNext/>
        <w:keepLines/>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00155C20" w:rsidRPr="0059049C" w:rsidP="00730BEF" w14:paraId="05AEF03B" w14:textId="696AC365">
      <w:pPr>
        <w:rPr>
          <w:szCs w:val="20"/>
        </w:rPr>
      </w:pPr>
      <w:r w:rsidRPr="0059049C">
        <w:rPr>
          <w:szCs w:val="20"/>
        </w:rPr>
        <w:t>With respect to participating in MIPS for MIPS APM</w:t>
      </w:r>
      <w:r w:rsidR="00416041">
        <w:rPr>
          <w:szCs w:val="20"/>
        </w:rPr>
        <w:t xml:space="preserve"> participant</w:t>
      </w:r>
      <w:r>
        <w:rPr>
          <w:szCs w:val="20"/>
        </w:rPr>
        <w:t>s</w:t>
      </w:r>
      <w:r w:rsidRPr="0059049C">
        <w:rPr>
          <w:szCs w:val="20"/>
        </w:rPr>
        <w:t>, CMS has set forth requirements that</w:t>
      </w:r>
      <w:r w:rsidR="005E6AFC">
        <w:rPr>
          <w:szCs w:val="20"/>
        </w:rPr>
        <w:t xml:space="preserve"> encourage </w:t>
      </w:r>
      <w:r w:rsidRPr="0059049C">
        <w:rPr>
          <w:szCs w:val="20"/>
        </w:rPr>
        <w:t>limit</w:t>
      </w:r>
      <w:r w:rsidR="005E6AFC">
        <w:rPr>
          <w:szCs w:val="20"/>
        </w:rPr>
        <w:t>ing</w:t>
      </w:r>
      <w:r w:rsidRPr="0059049C">
        <w:rPr>
          <w:szCs w:val="20"/>
        </w:rPr>
        <w:t xml:space="preserve"> duplication of effort</w:t>
      </w:r>
      <w:r w:rsidR="005E6AFC">
        <w:rPr>
          <w:szCs w:val="20"/>
        </w:rPr>
        <w:t>, but in the interest of providing flexibility in reporting, we cannot ensure that duplication does not occur</w:t>
      </w:r>
      <w:r w:rsidRPr="0059049C">
        <w:rPr>
          <w:szCs w:val="20"/>
        </w:rPr>
        <w:t xml:space="preserve">. </w:t>
      </w:r>
      <w:r>
        <w:rPr>
          <w:szCs w:val="20"/>
        </w:rPr>
        <w:t xml:space="preserve"> In addition, as discussed in later sections, many APM Entities w</w:t>
      </w:r>
      <w:r w:rsidR="00C06AE8">
        <w:rPr>
          <w:szCs w:val="20"/>
        </w:rPr>
        <w:t>ould</w:t>
      </w:r>
      <w:r>
        <w:rPr>
          <w:szCs w:val="20"/>
        </w:rPr>
        <w:t xml:space="preserve"> not need to submit improvement activities </w:t>
      </w:r>
      <w:r w:rsidRPr="00B27B2B">
        <w:rPr>
          <w:szCs w:val="20"/>
        </w:rPr>
        <w:t>because</w:t>
      </w:r>
      <w:r w:rsidR="00771FF3">
        <w:rPr>
          <w:szCs w:val="20"/>
        </w:rPr>
        <w:t xml:space="preserve"> they will be reporting through the APM Performance Pathway (APP)</w:t>
      </w:r>
      <w:r>
        <w:rPr>
          <w:szCs w:val="20"/>
        </w:rPr>
        <w:t xml:space="preserve">. For </w:t>
      </w:r>
      <w:r w:rsidR="003A2458">
        <w:rPr>
          <w:szCs w:val="20"/>
        </w:rPr>
        <w:t xml:space="preserve">the </w:t>
      </w:r>
      <w:r w:rsidR="005F4066">
        <w:rPr>
          <w:szCs w:val="20"/>
        </w:rPr>
        <w:t>CY 20</w:t>
      </w:r>
      <w:r w:rsidR="00667773">
        <w:rPr>
          <w:szCs w:val="20"/>
        </w:rPr>
        <w:t>2</w:t>
      </w:r>
      <w:r w:rsidR="00A27746">
        <w:rPr>
          <w:szCs w:val="20"/>
        </w:rPr>
        <w:t>4</w:t>
      </w:r>
      <w:r>
        <w:rPr>
          <w:szCs w:val="20"/>
        </w:rPr>
        <w:t xml:space="preserve"> performance period</w:t>
      </w:r>
      <w:r w:rsidR="0032182B">
        <w:rPr>
          <w:szCs w:val="20"/>
        </w:rPr>
        <w:t>/202</w:t>
      </w:r>
      <w:r w:rsidR="00A27746">
        <w:rPr>
          <w:szCs w:val="20"/>
        </w:rPr>
        <w:t>6</w:t>
      </w:r>
      <w:r w:rsidR="0032182B">
        <w:rPr>
          <w:szCs w:val="20"/>
        </w:rPr>
        <w:t xml:space="preserve"> MIPS payment year</w:t>
      </w:r>
      <w:r>
        <w:rPr>
          <w:szCs w:val="20"/>
        </w:rPr>
        <w:t xml:space="preserve">, </w:t>
      </w:r>
      <w:r w:rsidR="000C77D6">
        <w:rPr>
          <w:szCs w:val="20"/>
        </w:rPr>
        <w:t xml:space="preserve">we </w:t>
      </w:r>
      <w:r w:rsidRPr="009C4D33" w:rsidR="00592D6D">
        <w:rPr>
          <w:rFonts w:eastAsia="Calibri"/>
        </w:rPr>
        <w:t xml:space="preserve">assume that </w:t>
      </w:r>
      <w:r w:rsidR="00660171">
        <w:rPr>
          <w:rFonts w:eastAsia="Calibri"/>
        </w:rPr>
        <w:t xml:space="preserve">all </w:t>
      </w:r>
      <w:r w:rsidRPr="009C4D33" w:rsidR="00592D6D">
        <w:rPr>
          <w:rFonts w:eastAsia="Calibri"/>
        </w:rPr>
        <w:t>MIPS APM models w</w:t>
      </w:r>
      <w:r w:rsidR="008B54AA">
        <w:rPr>
          <w:rFonts w:eastAsia="Calibri"/>
        </w:rPr>
        <w:t>ould</w:t>
      </w:r>
      <w:r w:rsidRPr="009C4D33" w:rsidR="00592D6D">
        <w:rPr>
          <w:rFonts w:eastAsia="Calibri"/>
        </w:rPr>
        <w:t xml:space="preserve"> qualify for the maximum improvement activities performance category score and the APM Entities </w:t>
      </w:r>
      <w:r w:rsidR="001E6389">
        <w:rPr>
          <w:rFonts w:eastAsia="Calibri"/>
        </w:rPr>
        <w:t xml:space="preserve">reporting the APP </w:t>
      </w:r>
      <w:r w:rsidRPr="009C4D33" w:rsidR="00592D6D">
        <w:rPr>
          <w:rFonts w:eastAsia="Calibri"/>
        </w:rPr>
        <w:t>w</w:t>
      </w:r>
      <w:r w:rsidR="008B54AA">
        <w:rPr>
          <w:rFonts w:eastAsia="Calibri"/>
        </w:rPr>
        <w:t>ould</w:t>
      </w:r>
      <w:r w:rsidRPr="009C4D33" w:rsidR="00592D6D">
        <w:rPr>
          <w:rFonts w:eastAsia="Calibri"/>
        </w:rPr>
        <w:t xml:space="preserve"> not need to submit any additional improvement activities.</w:t>
      </w:r>
      <w:r w:rsidRPr="005E6AFC" w:rsidR="005E6AFC">
        <w:rPr>
          <w:rFonts w:eastAsia="Calibri"/>
        </w:rPr>
        <w:t xml:space="preserve"> </w:t>
      </w:r>
      <w:r w:rsidR="005E6AFC">
        <w:rPr>
          <w:rFonts w:eastAsia="Calibri"/>
        </w:rPr>
        <w:t>W</w:t>
      </w:r>
      <w:r w:rsidRPr="005E6AFC" w:rsidR="005E6AFC">
        <w:rPr>
          <w:rFonts w:eastAsia="Calibri"/>
        </w:rPr>
        <w:t>e assume ACO APM Entities w</w:t>
      </w:r>
      <w:r w:rsidR="008B54AA">
        <w:rPr>
          <w:rFonts w:eastAsia="Calibri"/>
        </w:rPr>
        <w:t>ould</w:t>
      </w:r>
      <w:r w:rsidRPr="005E6AFC" w:rsidR="005E6AFC">
        <w:rPr>
          <w:rFonts w:eastAsia="Calibri"/>
        </w:rPr>
        <w:t xml:space="preserve"> submit data through the APM Performance Pathway and non-ACO APM Entities would participate through traditional MIPS, thereby submitting as an individual or</w:t>
      </w:r>
      <w:r w:rsidR="00EF4F3E">
        <w:rPr>
          <w:rFonts w:eastAsia="Calibri"/>
        </w:rPr>
        <w:t xml:space="preserve"> a</w:t>
      </w:r>
      <w:r w:rsidRPr="005E6AFC" w:rsidR="005E6AFC">
        <w:rPr>
          <w:rFonts w:eastAsia="Calibri"/>
        </w:rPr>
        <w:t xml:space="preserve"> group rather than as an</w:t>
      </w:r>
      <w:r w:rsidR="009872DE">
        <w:rPr>
          <w:rFonts w:eastAsia="Calibri"/>
        </w:rPr>
        <w:t xml:space="preserve"> APM</w:t>
      </w:r>
      <w:r w:rsidRPr="005E6AFC" w:rsidR="005E6AFC">
        <w:rPr>
          <w:rFonts w:eastAsia="Calibri"/>
        </w:rPr>
        <w:t xml:space="preserve"> entity</w:t>
      </w:r>
      <w:r w:rsidR="005E6AFC">
        <w:rPr>
          <w:rFonts w:eastAsia="Calibri"/>
        </w:rPr>
        <w:t xml:space="preserve">.  </w:t>
      </w:r>
    </w:p>
    <w:p w:rsidR="000C0D05" w:rsidRPr="00041A6A" w:rsidP="0011028A" w14:paraId="541D13C1" w14:textId="1EB18D9E">
      <w:pPr>
        <w:pStyle w:val="Heading2"/>
      </w:pPr>
      <w:r>
        <w:t>Small Businesses</w:t>
      </w:r>
    </w:p>
    <w:p w:rsidR="005F4066" w:rsidRPr="00530F7F" w:rsidP="00730BEF" w14:paraId="519CD1A7" w14:textId="1A23B5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 xml:space="preserve">Because </w:t>
      </w:r>
      <w:r>
        <w:rPr>
          <w:szCs w:val="20"/>
        </w:rPr>
        <w:t>t</w:t>
      </w:r>
      <w:r w:rsidRPr="00732DAA">
        <w:rPr>
          <w:szCs w:val="20"/>
        </w:rPr>
        <w:t xml:space="preserve">he </w:t>
      </w:r>
      <w:r w:rsidRPr="0007426C">
        <w:rPr>
          <w:szCs w:val="20"/>
        </w:rPr>
        <w:t>vast majority of</w:t>
      </w:r>
      <w:r w:rsidRPr="0007426C">
        <w:rPr>
          <w:szCs w:val="20"/>
        </w:rPr>
        <w:t xml:space="preserve"> Medicare </w:t>
      </w:r>
      <w:r w:rsidR="00A57196">
        <w:rPr>
          <w:szCs w:val="20"/>
        </w:rPr>
        <w:t>clinicians</w:t>
      </w:r>
      <w:r w:rsidRPr="0007426C" w:rsidR="00A57196">
        <w:rPr>
          <w:szCs w:val="20"/>
        </w:rPr>
        <w:t xml:space="preserve"> </w:t>
      </w:r>
      <w:r w:rsidRPr="00A57196" w:rsidR="00A57196">
        <w:rPr>
          <w:szCs w:val="20"/>
        </w:rPr>
        <w:t xml:space="preserve">that receive Medicare payment under the PFS </w:t>
      </w:r>
      <w:r w:rsidRPr="0007426C">
        <w:rPr>
          <w:szCs w:val="20"/>
        </w:rPr>
        <w:t>(</w:t>
      </w:r>
      <w:r w:rsidR="00A57196">
        <w:rPr>
          <w:szCs w:val="20"/>
        </w:rPr>
        <w:t>approximately</w:t>
      </w:r>
      <w:r w:rsidRPr="006739FD">
        <w:rPr>
          <w:szCs w:val="20"/>
        </w:rPr>
        <w:t xml:space="preserve"> 9</w:t>
      </w:r>
      <w:r w:rsidR="002279F5">
        <w:rPr>
          <w:szCs w:val="20"/>
        </w:rPr>
        <w:t>5</w:t>
      </w:r>
      <w:r w:rsidRPr="006739FD">
        <w:rPr>
          <w:szCs w:val="20"/>
        </w:rPr>
        <w:t xml:space="preserve">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w:t>
      </w:r>
      <w:r w:rsidR="00A27746">
        <w:rPr>
          <w:color w:val="000000"/>
        </w:rPr>
        <w:t>4</w:t>
      </w:r>
      <w:r w:rsidRPr="00530F7F">
        <w:rPr>
          <w:color w:val="000000"/>
        </w:rPr>
        <w:t xml:space="preserve"> </w:t>
      </w:r>
      <w:r w:rsidRPr="00530F7F" w:rsidR="00D8477B">
        <w:rPr>
          <w:color w:val="000000"/>
        </w:rPr>
        <w:t xml:space="preserve">PFS </w:t>
      </w:r>
      <w:r w:rsidR="00A26E3F">
        <w:rPr>
          <w:color w:val="000000"/>
        </w:rPr>
        <w:t>final</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00F93F4A">
        <w:t>686,650</w:t>
      </w:r>
      <w:r w:rsidR="00570CD5">
        <w:t xml:space="preserve"> </w:t>
      </w:r>
      <w:r w:rsidRPr="00530F7F">
        <w:t>MIPS eligible clinicians will be subject to MIPS performance requirements.</w:t>
      </w:r>
      <w:r>
        <w:rPr>
          <w:rStyle w:val="FootnoteReference"/>
        </w:rPr>
        <w:footnoteReference w:id="5"/>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00A27746">
        <w:rPr>
          <w:rFonts w:eastAsia="Calibri"/>
        </w:rPr>
        <w:t>12</w:t>
      </w:r>
      <w:r w:rsidR="00F97CA5">
        <w:rPr>
          <w:rFonts w:eastAsia="Calibri"/>
        </w:rPr>
        <w:t>9,806</w:t>
      </w:r>
      <w:r w:rsidRPr="00530F7F">
        <w:t xml:space="preserve"> clinicians in eligible specialties will be excluded from MIPS data submission requirements</w:t>
      </w:r>
      <w:r w:rsidRPr="00530F7F" w:rsidR="004B588A">
        <w:t xml:space="preserve"> because they </w:t>
      </w:r>
      <w:r w:rsidR="00533543">
        <w:t xml:space="preserve">do not have sufficient </w:t>
      </w:r>
      <w:r w:rsidRPr="00530F7F" w:rsidR="004B588A">
        <w:t>charges</w:t>
      </w:r>
      <w:r w:rsidR="0002637C">
        <w:t>, services</w:t>
      </w:r>
      <w:r w:rsidR="0015592E">
        <w:t>,</w:t>
      </w:r>
      <w:r w:rsidR="0002637C">
        <w:t xml:space="preserve"> or benefici</w:t>
      </w:r>
      <w:r w:rsidR="00D53C6A">
        <w:t>a</w:t>
      </w:r>
      <w:r w:rsidR="0002637C">
        <w:t>ries</w:t>
      </w:r>
      <w:r w:rsidRPr="00530F7F" w:rsidR="004B588A">
        <w:t xml:space="preserve"> under the </w:t>
      </w:r>
      <w:r w:rsidRPr="00530F7F" w:rsidR="009A1A8C">
        <w:t xml:space="preserve">PFS </w:t>
      </w:r>
      <w:r w:rsidRPr="00530F7F" w:rsidR="004B588A">
        <w:t>and thus</w:t>
      </w:r>
      <w:r w:rsidRPr="00530F7F" w:rsidR="00480DD5">
        <w:t xml:space="preserve"> </w:t>
      </w:r>
      <w:r w:rsidRPr="00530F7F" w:rsidR="004B588A">
        <w:t>do not meet opt-in volume criteria</w:t>
      </w:r>
      <w:r w:rsidR="00913A9B">
        <w:t xml:space="preserve"> as either a group or individual</w:t>
      </w:r>
      <w:r w:rsidRPr="00530F7F">
        <w:t>.</w:t>
      </w:r>
      <w:r w:rsidR="00913A9B">
        <w:t xml:space="preserve"> Additionally, we exclude </w:t>
      </w:r>
      <w:r w:rsidR="002B5070">
        <w:t>405,940</w:t>
      </w:r>
      <w:r w:rsidR="00913A9B">
        <w:t xml:space="preserve"> clinicians who are not MIPS eligible as individual clinicians and did not participate as a </w:t>
      </w:r>
      <w:r w:rsidR="001347E0">
        <w:t>group but</w:t>
      </w:r>
      <w:r w:rsidR="00913A9B">
        <w:t xml:space="preserve"> could elect to</w:t>
      </w:r>
      <w:r w:rsidR="006232CD">
        <w:t xml:space="preserve"> participate</w:t>
      </w:r>
      <w:r w:rsidR="00913A9B">
        <w:t xml:space="preserve"> in MIPS through opting in or participating as a group.</w:t>
      </w:r>
      <w:r w:rsidRPr="00530F7F">
        <w:t xml:space="preserve"> </w:t>
      </w:r>
      <w:r w:rsidRPr="00530F7F" w:rsidR="004B588A">
        <w:t xml:space="preserve"> </w:t>
      </w:r>
      <w:r w:rsidRPr="00530F7F">
        <w:t>Further, we exclude</w:t>
      </w:r>
      <w:r w:rsidRPr="00530F7F" w:rsidR="00667814">
        <w:t xml:space="preserve"> an additional </w:t>
      </w:r>
      <w:r w:rsidR="003D189B">
        <w:t>420,287</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w:t>
      </w:r>
      <w:r w:rsidR="00727337">
        <w:t xml:space="preserve"> </w:t>
      </w:r>
      <w:r w:rsidR="006C2725">
        <w:t>do not</w:t>
      </w:r>
      <w:r w:rsidRPr="00530F7F">
        <w:t xml:space="preserve"> meet</w:t>
      </w:r>
      <w:r w:rsidR="00CA3BCF">
        <w:t xml:space="preserve"> </w:t>
      </w:r>
      <w:r w:rsidRPr="00530F7F">
        <w:t>the low-volume threshold,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000C0D05" w:rsidRPr="00041A6A" w:rsidP="0011028A" w14:paraId="6595E034" w14:textId="2EB2BF82">
      <w:pPr>
        <w:pStyle w:val="Heading2"/>
      </w:pPr>
      <w:r w:rsidRPr="00041A6A">
        <w:t>Less Frequent Collection</w:t>
      </w:r>
    </w:p>
    <w:p w:rsidR="00F049CC" w:rsidRPr="0007426C" w:rsidP="00730BEF" w14:paraId="6E9B9503" w14:textId="22CA23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07426C">
        <w:t>ata on the quality</w:t>
      </w:r>
      <w:r>
        <w:t>, Promoting Interoperability, and improvement activities</w:t>
      </w:r>
      <w:r w:rsidRPr="0007426C">
        <w:t xml:space="preserve"> </w:t>
      </w:r>
      <w:r>
        <w:t xml:space="preserve">performance categories </w:t>
      </w:r>
      <w:r w:rsidRPr="0007426C">
        <w:t xml:space="preserve">are collected from individual </w:t>
      </w:r>
      <w:r>
        <w:t xml:space="preserve">MIPS </w:t>
      </w:r>
      <w:r w:rsidRPr="00AC495C">
        <w:t>eligible clinicia</w:t>
      </w:r>
      <w:r>
        <w:t>ns</w:t>
      </w:r>
      <w:r w:rsidR="00F86960">
        <w:t>,</w:t>
      </w:r>
      <w:r w:rsidRPr="0007426C">
        <w:t xml:space="preserve"> groups</w:t>
      </w:r>
      <w:r w:rsidR="00F86960">
        <w:t>, or subgroups</w:t>
      </w:r>
      <w:r>
        <w:t xml:space="preserve"> annually</w:t>
      </w:r>
      <w:r>
        <w:t>.  If this information w</w:t>
      </w:r>
      <w:r w:rsidR="00853A47">
        <w:t>ere</w:t>
      </w:r>
      <w:r>
        <w:t xml:space="preserve"> collected less frequently</w:t>
      </w:r>
      <w:r w:rsidRPr="0007426C">
        <w:t xml:space="preserve">, </w:t>
      </w:r>
      <w:r>
        <w:t>we</w:t>
      </w:r>
      <w:r w:rsidRPr="0007426C">
        <w:t xml:space="preserve"> w</w:t>
      </w:r>
      <w:r w:rsidR="00836567">
        <w:t>ould</w:t>
      </w:r>
      <w:r w:rsidRPr="0007426C">
        <w:t xml:space="preserve"> have no mechanism to: (1) determine whether a</w:t>
      </w:r>
      <w:r>
        <w:t xml:space="preserve"> MIPS </w:t>
      </w:r>
      <w:r w:rsidRPr="00AC495C">
        <w:t>eligible clinician</w:t>
      </w:r>
      <w:r w:rsidR="00F86960">
        <w:t xml:space="preserve">, </w:t>
      </w:r>
      <w:r w:rsidRPr="0007426C">
        <w:t>group</w:t>
      </w:r>
      <w:r w:rsidR="00F86960">
        <w:t>, or a subgroup</w:t>
      </w:r>
      <w:r w:rsidRPr="0007426C">
        <w:t xml:space="preserve"> meets the performance criteria for a payment adjustment under MIPS</w:t>
      </w:r>
      <w:r w:rsidR="00775E2E">
        <w:t>;</w:t>
      </w:r>
      <w:r w:rsidRPr="0007426C">
        <w:t xml:space="preserve"> (2) calculate for payment adjustments to</w:t>
      </w:r>
      <w:r>
        <w:t xml:space="preserve"> MIPS</w:t>
      </w:r>
      <w:r w:rsidRPr="0007426C">
        <w:t xml:space="preserve"> </w:t>
      </w:r>
      <w:r w:rsidRPr="00AC495C">
        <w:t>eligible clinicia</w:t>
      </w:r>
      <w:r>
        <w:t>ns</w:t>
      </w:r>
      <w:r w:rsidRPr="0007426C">
        <w:t xml:space="preserve"> or groups</w:t>
      </w:r>
      <w:r w:rsidR="00775E2E">
        <w:t>;</w:t>
      </w:r>
      <w:r w:rsidRPr="0007426C">
        <w:t xml:space="preserve"> and (3) publicly post </w:t>
      </w:r>
      <w:r>
        <w:t>clinician</w:t>
      </w:r>
      <w:r w:rsidRPr="0007426C">
        <w:t xml:space="preserve"> performance information on the</w:t>
      </w:r>
      <w:r w:rsidRPr="009C052A">
        <w:t xml:space="preserve"> </w:t>
      </w:r>
      <w:r w:rsidR="00BB79F7">
        <w:t>c</w:t>
      </w:r>
      <w:r w:rsidRPr="009C052A">
        <w:t>ompare</w:t>
      </w:r>
      <w:r w:rsidR="00BB79F7">
        <w:t xml:space="preserve"> tools hosted by the </w:t>
      </w:r>
      <w:r w:rsidR="00444FD3">
        <w:t>U.S. Department of Health and Hu</w:t>
      </w:r>
      <w:r w:rsidR="001474D0">
        <w:t>man Services</w:t>
      </w:r>
      <w:r w:rsidRPr="0007426C">
        <w:t>.</w:t>
      </w:r>
      <w:r w:rsidR="000C0D05">
        <w:t xml:space="preserve"> We require additional data collections to be performed annually </w:t>
      </w:r>
      <w:r w:rsidR="00433B20">
        <w:t>to</w:t>
      </w:r>
      <w:r w:rsidR="000C0D05">
        <w:t xml:space="preserve"> allow us to determine which clinicians are required to report MIPS data. </w:t>
      </w:r>
    </w:p>
    <w:p w:rsidR="00D26EEF" w:rsidP="00730BEF" w14:paraId="5B5BD3A4" w14:textId="66F247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w:t>
      </w:r>
      <w:r w:rsidR="004E7626">
        <w:t xml:space="preserve">qualified </w:t>
      </w:r>
      <w:r w:rsidRPr="0007426C" w:rsidR="00F049CC">
        <w:t xml:space="preserve">registries and </w:t>
      </w:r>
      <w:r w:rsidR="00F049CC">
        <w:t xml:space="preserve">QCDRs </w:t>
      </w:r>
      <w:r w:rsidRPr="0007426C" w:rsidR="00F049CC">
        <w:t>will participate in submitting quality measures</w:t>
      </w:r>
      <w:r w:rsidR="00F049CC">
        <w:t>, improvement activities, or Promoting Interoperability measures, objectives</w:t>
      </w:r>
      <w:r w:rsidR="00410F38">
        <w:t>,</w:t>
      </w:r>
      <w:r w:rsidR="00F049CC">
        <w:t xml:space="preserve"> and activities</w:t>
      </w:r>
      <w:r w:rsidRPr="0007426C" w:rsidR="00F049CC">
        <w:t>.</w:t>
      </w:r>
      <w:r w:rsidR="00F049CC">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000C0D05" w:rsidRPr="00041A6A" w:rsidP="0011028A" w14:paraId="4F67B6FB" w14:textId="3212D884">
      <w:pPr>
        <w:pStyle w:val="Heading2"/>
      </w:pPr>
      <w:r w:rsidRPr="00041A6A">
        <w:t>Special Circumstances</w:t>
      </w:r>
    </w:p>
    <w:p w:rsidR="00F049CC" w:rsidRPr="0007426C" w:rsidP="00730BEF"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00F049CC" w:rsidRPr="0007426C" w:rsidP="00A56476" w14:paraId="1EB3609B" w14:textId="77777777">
      <w:pPr>
        <w:pStyle w:val="MediumGrid1-Accent21"/>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00F049CC" w:rsidRPr="0007426C" w:rsidP="00A56476" w14:paraId="628DE17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00F049CC" w:rsidRPr="0007426C" w:rsidP="00A56476" w14:paraId="781067A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00F049CC" w:rsidRPr="0007426C" w:rsidP="00A56476" w14:paraId="28664DF0"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00F049CC" w:rsidRPr="0007426C" w:rsidP="00A56476" w14:paraId="77C8ADDA"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00F049CC" w:rsidRPr="0007426C" w:rsidP="00A56476" w14:paraId="68C270D7"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00F049CC" w:rsidRPr="0007426C" w:rsidP="00A56476" w14:paraId="066FD0A2"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RPr="00666F56" w:rsidP="00A56476" w14:paraId="6CD71DF8" w14:textId="4EB9D71C">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Submit proprietary trade secret, or other confidential information unless the agency can demonstrate that it has instituted procedures to </w:t>
      </w:r>
      <w:r w:rsidRPr="00666F56">
        <w:rPr>
          <w:sz w:val="24"/>
        </w:rPr>
        <w:t>protect the information's confidentiality to the extent permitted by law.</w:t>
      </w:r>
    </w:p>
    <w:p w:rsidR="00D26EEF" w:rsidRPr="00666F56" w:rsidP="0011028A" w14:paraId="29D9A72C" w14:textId="2C165FA0">
      <w:pPr>
        <w:pStyle w:val="Heading2"/>
      </w:pPr>
      <w:r w:rsidRPr="00666F56">
        <w:t>Federal Register/Outside Consultation</w:t>
      </w:r>
    </w:p>
    <w:p w:rsidR="00C3749E" w:rsidRPr="00666F56" w:rsidP="00D56689" w14:paraId="248912C7" w14:textId="04B75D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6F56">
        <w:t>T</w:t>
      </w:r>
      <w:r w:rsidRPr="00666F56">
        <w:t>he CY 202</w:t>
      </w:r>
      <w:r w:rsidRPr="00666F56" w:rsidR="00F86960">
        <w:t>4</w:t>
      </w:r>
      <w:r w:rsidRPr="00666F56">
        <w:t xml:space="preserve"> PFS proposed rule </w:t>
      </w:r>
      <w:r w:rsidRPr="00666F56">
        <w:t xml:space="preserve">served as the 60-day notice which published in the </w:t>
      </w:r>
      <w:r w:rsidRPr="00666F56" w:rsidR="00377517">
        <w:t xml:space="preserve">Federal Register on </w:t>
      </w:r>
      <w:r w:rsidRPr="00666F56" w:rsidR="001345F2">
        <w:t xml:space="preserve">August 7, 2023 </w:t>
      </w:r>
      <w:r w:rsidRPr="00666F56" w:rsidR="002C2CC4">
        <w:t>(</w:t>
      </w:r>
      <w:r w:rsidRPr="00666F56" w:rsidR="009012EF">
        <w:t xml:space="preserve">88 FR 52262, </w:t>
      </w:r>
      <w:r w:rsidRPr="00666F56" w:rsidR="002C2CC4">
        <w:t>CMS-1784-P; RIN 0938-AV07).</w:t>
      </w:r>
      <w:r w:rsidRPr="00666F56" w:rsidR="000A2FA7">
        <w:t xml:space="preserve"> The rule was placed for public inspection on </w:t>
      </w:r>
      <w:r w:rsidRPr="00666F56" w:rsidR="00FE4006">
        <w:t>July 13,</w:t>
      </w:r>
      <w:r w:rsidRPr="00666F56" w:rsidR="00FB460C">
        <w:t xml:space="preserve"> </w:t>
      </w:r>
      <w:r w:rsidRPr="00666F56" w:rsidR="00FE4006">
        <w:t>2023</w:t>
      </w:r>
      <w:r w:rsidRPr="00666F56" w:rsidR="00E438A0">
        <w:t>.</w:t>
      </w:r>
      <w:r w:rsidRPr="00666F56" w:rsidR="00FE4006">
        <w:t xml:space="preserve"> We did not receive </w:t>
      </w:r>
      <w:r w:rsidRPr="00666F56" w:rsidR="004129BA">
        <w:t>public comments for our</w:t>
      </w:r>
      <w:r w:rsidRPr="00666F56" w:rsidR="00BE56B8">
        <w:t xml:space="preserve"> estimated burden </w:t>
      </w:r>
      <w:r w:rsidRPr="00666F56" w:rsidR="00B35505">
        <w:t>in the CY 2024 performance period/2026 MIPS payment year</w:t>
      </w:r>
      <w:r w:rsidRPr="00666F56" w:rsidR="004129BA">
        <w:t>.</w:t>
      </w:r>
    </w:p>
    <w:p w:rsidR="0078055A" w:rsidRPr="00666F56" w:rsidP="00282981" w14:paraId="3206ED26" w14:textId="1C392D75">
      <w:pPr>
        <w:spacing w:after="0"/>
        <w:textAlignment w:val="baseline"/>
      </w:pPr>
      <w:r w:rsidRPr="00666F56">
        <w:t xml:space="preserve">In the CY 2024 PFS proposed rule PRA package, we estimated a total of </w:t>
      </w:r>
      <w:r w:rsidRPr="00666F56" w:rsidR="00B32524">
        <w:t>715,450</w:t>
      </w:r>
      <w:r w:rsidRPr="00666F56">
        <w:t xml:space="preserve"> hours with a total cost of $</w:t>
      </w:r>
      <w:r w:rsidRPr="00666F56" w:rsidR="009A60FF">
        <w:t>80,522,391</w:t>
      </w:r>
      <w:r w:rsidRPr="00666F56">
        <w:t xml:space="preserve"> for the CY 202</w:t>
      </w:r>
      <w:r w:rsidRPr="00666F56" w:rsidR="009A60FF">
        <w:t>4</w:t>
      </w:r>
      <w:r w:rsidRPr="00666F56">
        <w:t xml:space="preserve"> performance period/202</w:t>
      </w:r>
      <w:r w:rsidRPr="00666F56" w:rsidR="009A60FF">
        <w:t>6</w:t>
      </w:r>
      <w:r w:rsidRPr="00666F56">
        <w:t xml:space="preserve"> MIPS payment year. In the CY 2024 PFS final rule PRA package, we are revising our estimate to </w:t>
      </w:r>
      <w:r w:rsidRPr="00666F56" w:rsidR="00DC2B2E">
        <w:t>728,142</w:t>
      </w:r>
      <w:r w:rsidRPr="00666F56">
        <w:t xml:space="preserve"> hours and $</w:t>
      </w:r>
      <w:r w:rsidRPr="00666F56" w:rsidR="00DC2B2E">
        <w:t>82,202,558</w:t>
      </w:r>
      <w:r w:rsidRPr="00666F56">
        <w:t>. This is a</w:t>
      </w:r>
      <w:r w:rsidRPr="00666F56" w:rsidR="00056BEA">
        <w:t>n</w:t>
      </w:r>
      <w:r w:rsidRPr="00666F56">
        <w:t xml:space="preserve"> </w:t>
      </w:r>
      <w:r w:rsidRPr="00666F56" w:rsidR="00056BEA">
        <w:t>in</w:t>
      </w:r>
      <w:r w:rsidRPr="00666F56">
        <w:t xml:space="preserve">crease in burden of </w:t>
      </w:r>
      <w:r w:rsidRPr="00666F56" w:rsidR="00056BEA">
        <w:t>12,692</w:t>
      </w:r>
      <w:r w:rsidRPr="00666F56">
        <w:t xml:space="preserve"> hours and a</w:t>
      </w:r>
      <w:r w:rsidRPr="00666F56" w:rsidR="007F70D4">
        <w:t>n</w:t>
      </w:r>
      <w:r w:rsidRPr="00666F56">
        <w:t xml:space="preserve"> </w:t>
      </w:r>
      <w:r w:rsidRPr="00666F56" w:rsidR="007F70D4">
        <w:t>in</w:t>
      </w:r>
      <w:r w:rsidRPr="00666F56">
        <w:t>crease of $</w:t>
      </w:r>
      <w:r w:rsidRPr="00666F56" w:rsidR="007F70D4">
        <w:t>1,680,167</w:t>
      </w:r>
      <w:r w:rsidRPr="00666F56">
        <w:t xml:space="preserve"> in the labor cost.</w:t>
      </w:r>
      <w:r w:rsidRPr="00666F56" w:rsidR="00E40EBA">
        <w:t xml:space="preserve"> </w:t>
      </w:r>
    </w:p>
    <w:p w:rsidR="00E40EBA" w:rsidRPr="00666F56" w:rsidP="00282981" w14:paraId="63ED9447" w14:textId="77777777">
      <w:pPr>
        <w:spacing w:after="0"/>
        <w:textAlignment w:val="baseline"/>
        <w:rPr>
          <w:rFonts w:ascii="Segoe UI" w:hAnsi="Segoe UI" w:cs="Segoe UI"/>
          <w:sz w:val="18"/>
          <w:szCs w:val="18"/>
        </w:rPr>
      </w:pPr>
    </w:p>
    <w:p w:rsidR="00282981" w:rsidRPr="00666F56" w:rsidP="00282981" w14:paraId="47F253F2" w14:textId="5A7B579F">
      <w:pPr>
        <w:spacing w:after="0"/>
        <w:textAlignment w:val="baseline"/>
      </w:pPr>
      <w:r w:rsidRPr="00666F56">
        <w:t>We have more recent data available and therefore, updated our estimates submitted in the CY 202</w:t>
      </w:r>
      <w:r w:rsidRPr="00666F56" w:rsidR="0078055A">
        <w:t>4</w:t>
      </w:r>
      <w:r w:rsidRPr="00666F56">
        <w:t xml:space="preserve"> NPRM MIPS PRA package. See sections 12 and 15 of this Supporting Statement for details. </w:t>
      </w:r>
    </w:p>
    <w:p w:rsidR="0078055A" w:rsidRPr="00666F56" w:rsidP="00282981" w14:paraId="5EAFEF68" w14:textId="77777777">
      <w:pPr>
        <w:spacing w:after="0"/>
        <w:textAlignment w:val="baseline"/>
        <w:rPr>
          <w:rFonts w:ascii="Segoe UI" w:hAnsi="Segoe UI" w:cs="Segoe UI"/>
          <w:sz w:val="18"/>
          <w:szCs w:val="18"/>
        </w:rPr>
      </w:pPr>
    </w:p>
    <w:p w:rsidR="00E40EBA" w:rsidRPr="00666F56" w:rsidP="00E40EBA" w14:paraId="1FB78670" w14:textId="0CEB27E9">
      <w:pPr>
        <w:spacing w:after="0"/>
        <w:textAlignment w:val="baseline"/>
      </w:pPr>
      <w:r w:rsidRPr="00666F56">
        <w:t>The CY 202</w:t>
      </w:r>
      <w:r w:rsidRPr="00666F56" w:rsidR="0078055A">
        <w:t>4</w:t>
      </w:r>
      <w:r w:rsidRPr="00666F56">
        <w:t xml:space="preserve"> PFS final rule (CMS-17</w:t>
      </w:r>
      <w:r w:rsidRPr="00666F56" w:rsidR="0078055A">
        <w:t>84</w:t>
      </w:r>
      <w:r w:rsidRPr="00666F56">
        <w:t>-F, RIN 0938-A</w:t>
      </w:r>
      <w:r w:rsidRPr="00666F56" w:rsidR="00F46579">
        <w:t>V07</w:t>
      </w:r>
      <w:r w:rsidRPr="00666F56">
        <w:t xml:space="preserve">) published in the Federal Register on </w:t>
      </w:r>
      <w:r w:rsidRPr="00666F56">
        <w:t xml:space="preserve">November 16, 2023 (88 FR 78818). </w:t>
      </w:r>
    </w:p>
    <w:p w:rsidR="000C0D05" w:rsidRPr="00666F56" w:rsidP="0031631D" w14:paraId="6FDC2881" w14:textId="7CF587D9">
      <w:pPr>
        <w:pStyle w:val="Heading2"/>
      </w:pPr>
      <w:r w:rsidRPr="00666F56">
        <w:t>Payments/Gifts to Respondents</w:t>
      </w:r>
    </w:p>
    <w:p w:rsidR="00D26EEF" w:rsidP="0031631D" w14:paraId="244F02C5" w14:textId="64C82630">
      <w:pPr>
        <w:pStyle w:val="Style0"/>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6F56">
        <w:t>We will use this data to assess MIPS eligible clinician performance in the</w:t>
      </w:r>
      <w:r w:rsidRPr="0007426C">
        <w:t xml:space="preserv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14:paraId="072CB7A1" w14:textId="757C8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More detail on how the payments </w:t>
      </w:r>
      <w:r>
        <w:t>are</w:t>
      </w:r>
      <w:r>
        <w:t xml:space="preserve"> calculated can be foun</w:t>
      </w:r>
      <w:r w:rsidRPr="00BF426B">
        <w:t xml:space="preserve">d in </w:t>
      </w:r>
      <w:r w:rsidRPr="00BF426B" w:rsidR="00331BCC">
        <w:t>42 CFR §414.1405 and §414.1450.</w:t>
      </w:r>
    </w:p>
    <w:p w:rsidR="000C0D05" w:rsidRPr="00041A6A" w:rsidP="0011028A" w14:paraId="1F0858E4" w14:textId="43BEC002">
      <w:pPr>
        <w:pStyle w:val="Heading2"/>
      </w:pPr>
      <w:r w:rsidRPr="00041A6A">
        <w:t>Confidentiality</w:t>
      </w:r>
    </w:p>
    <w:p w:rsidR="001114E5" w:rsidP="009674BB" w14:paraId="0E54D4DA" w14:textId="0382F211">
      <w:r>
        <w:t>Consistent with federal government and CMS policies, CMS will protect the confidentiality of the requested proprietary information. 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rsidR="0099451B" w:rsidP="00453FFF" w14:paraId="25A8333C" w14:textId="2640707A">
      <w:r w:rsidRPr="0099451B">
        <w:t>Quality Payment Program (QPP), System No. 09-70-0539 (February 14, 2018; 83 FR 6587).</w:t>
      </w:r>
    </w:p>
    <w:p w:rsidR="00AB349F" w:rsidRPr="00041A6A" w:rsidP="0011028A" w14:paraId="2D02CBD4" w14:textId="4D6ABA1E">
      <w:pPr>
        <w:pStyle w:val="Heading2"/>
      </w:pPr>
      <w:r w:rsidRPr="00041A6A">
        <w:t>Sensitive Questions</w:t>
      </w:r>
    </w:p>
    <w:p w:rsidR="0078551D" w:rsidRPr="001B3EA7" w:rsidP="00730BEF" w14:paraId="481BD23B" w14:textId="30D909E5">
      <w:r w:rsidRPr="001B3EA7">
        <w:t xml:space="preserve">Other than </w:t>
      </w:r>
      <w:r>
        <w:t xml:space="preserve">requested proprietary information </w:t>
      </w:r>
      <w:r w:rsidRPr="001B3EA7">
        <w:t>noted above in section 10, there are no sensitive questions included in the information request.</w:t>
      </w:r>
      <w:r w:rsidRPr="000E56B6">
        <w:t xml:space="preserve"> </w:t>
      </w:r>
      <w:r w:rsidRPr="00184F1E" w:rsidR="00184F1E">
        <w:t>Specifically, the collection does not solicit questions of a sensitive nature, such as sexual behavior and attitudes, religious beliefs, and other matters that are commonly considered private.</w:t>
      </w:r>
    </w:p>
    <w:p w:rsidR="00BE799C" w:rsidRPr="00FF7AB6" w:rsidP="0011028A" w14:paraId="5EE5987A" w14:textId="0E273118">
      <w:pPr>
        <w:pStyle w:val="Heading2"/>
      </w:pPr>
      <w:r w:rsidRPr="00041A6A">
        <w:t>Burden Estimates</w:t>
      </w:r>
    </w:p>
    <w:p w:rsidR="00705AEB" w:rsidRPr="00FE0B0A" w:rsidP="0011028A" w14:paraId="144CBC41" w14:textId="363A831E">
      <w:pPr>
        <w:pStyle w:val="Heading3"/>
        <w:rPr>
          <w:highlight w:val="yellow"/>
        </w:rPr>
      </w:pPr>
      <w:r w:rsidRPr="00FE0B0A">
        <w:rPr>
          <w:highlight w:val="yellow"/>
        </w:rPr>
        <w:t>Wage Estimates</w:t>
      </w:r>
    </w:p>
    <w:p w:rsidR="00490272" w:rsidP="00730BEF" w14:paraId="71D3A111" w14:textId="61EAE290">
      <w:r>
        <w:t xml:space="preserve">To derive average costs, we used data from the U.S. Bureau of Labor Statistics’ May </w:t>
      </w:r>
      <w:r w:rsidR="00AE51A4">
        <w:t>20</w:t>
      </w:r>
      <w:r w:rsidR="007B226A">
        <w:t>2</w:t>
      </w:r>
      <w:r w:rsidR="0052727A">
        <w:t>2</w:t>
      </w:r>
      <w:r>
        <w:t xml:space="preserve"> National Occupational Employment and Wage Estimates for all salary estimates (</w:t>
      </w:r>
      <w:r w:rsidRPr="00606033" w:rsidR="0052727A">
        <w:rPr>
          <w:i/>
          <w:color w:val="000000" w:themeColor="text1"/>
        </w:rPr>
        <w:t>https://www.bls.gov/oes/2022/may/oes_nat.htm</w:t>
      </w:r>
      <w:r>
        <w:t xml:space="preserve">).  In this regard, </w:t>
      </w:r>
      <w:r w:rsidRPr="005038E4">
        <w:t>Table 1</w:t>
      </w:r>
      <w:r>
        <w:t xml:space="preserve"> presents the mean hourly wage, the cost of fringe benefits and o</w:t>
      </w:r>
      <w:r w:rsidR="009538C2">
        <w:t>ther indirect costs</w:t>
      </w:r>
      <w:r>
        <w:t xml:space="preserve"> (calculated at 100 percent of salary), and the adjusted hourly wage.  The adjusted hourly wage is used to calculate the labor costs</w:t>
      </w:r>
      <w:r w:rsidR="00A04115">
        <w:t>.</w:t>
      </w:r>
    </w:p>
    <w:p w:rsidR="00490272" w:rsidP="00CF5C90" w14:paraId="530793C9" w14:textId="2AD3635A">
      <w:pPr>
        <w:keepNext/>
        <w:keepLines/>
      </w:pPr>
      <w:r w:rsidRPr="00665BC8">
        <w:t>As indicated, we are adjusting our employee hourly wage estimates by a factor of 100 percent.  This is necessarily a rough adjustment, both because fringe benefits and o</w:t>
      </w:r>
      <w:r w:rsidR="009538C2">
        <w:t>ther indirect</w:t>
      </w:r>
      <w:r w:rsidRPr="00665BC8">
        <w:t xml:space="preserve">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w:t>
      </w:r>
      <w:r w:rsidRPr="00665BC8">
        <w:t xml:space="preserve"> respondents, we selected BLS occupations Billing and Postal Clerks, Computer Systems Analysts, Physicians</w:t>
      </w:r>
      <w:r w:rsidR="00C97B26">
        <w:t xml:space="preserve"> (multiple categories)</w:t>
      </w:r>
      <w:r w:rsidRPr="00665BC8">
        <w:t xml:space="preserve">, </w:t>
      </w:r>
      <w:r w:rsidR="008D7DB5">
        <w:t xml:space="preserve">Medical and </w:t>
      </w:r>
      <w:r w:rsidR="00600647">
        <w:t>H</w:t>
      </w:r>
      <w:r w:rsidR="008D7DB5">
        <w:t xml:space="preserve">ealth </w:t>
      </w:r>
      <w:r w:rsidR="00600647">
        <w:t>S</w:t>
      </w:r>
      <w:r w:rsidR="008D7DB5">
        <w:t xml:space="preserve">ervices </w:t>
      </w:r>
      <w:r w:rsidR="00600647">
        <w:t>M</w:t>
      </w:r>
      <w:r w:rsidR="008D7DB5">
        <w:t>anager</w:t>
      </w:r>
      <w:r w:rsidRPr="00665BC8">
        <w:t>, and Licensed Practical Nurse based on a study (Casalino et al., 2016) that collected data on the staff in physician’s practices involved in the quality data submission process.</w:t>
      </w:r>
      <w:r>
        <w:rPr>
          <w:rStyle w:val="FootnoteReference"/>
        </w:rPr>
        <w:footnoteReference w:id="6"/>
      </w:r>
      <w:r>
        <w:t xml:space="preserve"> </w:t>
      </w:r>
    </w:p>
    <w:p w:rsidR="00051DF6" w:rsidP="00730BEF" w14:paraId="7271B017" w14:textId="0A9750AF">
      <w:r>
        <w:t xml:space="preserve">For our purposes, </w:t>
      </w:r>
      <w:r w:rsidR="001700F1">
        <w:t xml:space="preserve">the </w:t>
      </w:r>
      <w:r w:rsidRPr="00051DF6">
        <w:t>BLS</w:t>
      </w:r>
      <w:r>
        <w:t xml:space="preserve">’ May 2022 </w:t>
      </w:r>
      <w:r w:rsidRPr="009538C2">
        <w:t xml:space="preserve">National Occupational Employment and Wage Estimates </w:t>
      </w:r>
      <w:r>
        <w:t>does not provide an occupation that we could use for “Physician” wage data</w:t>
      </w:r>
      <w:r w:rsidRPr="00051DF6">
        <w:t xml:space="preserve">. As a result, in </w:t>
      </w:r>
      <w:r w:rsidR="00617024">
        <w:t>o</w:t>
      </w:r>
      <w:r w:rsidRPr="00051DF6">
        <w:t xml:space="preserve">rder to estimate the </w:t>
      </w:r>
      <w:r>
        <w:t>cost for</w:t>
      </w:r>
      <w:r w:rsidRPr="00051DF6">
        <w:t xml:space="preserve"> </w:t>
      </w:r>
      <w:r>
        <w:t>“</w:t>
      </w:r>
      <w:r w:rsidRPr="00051DF6">
        <w:t>Physicians</w:t>
      </w:r>
      <w:r>
        <w:t>”</w:t>
      </w:r>
      <w:r w:rsidRPr="00051DF6">
        <w:t>, we are using a rate of $2</w:t>
      </w:r>
      <w:r>
        <w:t>74.44</w:t>
      </w:r>
      <w:r w:rsidRPr="00051DF6">
        <w:t>/hr</w:t>
      </w:r>
      <w:r w:rsidR="007A787A">
        <w:t>,</w:t>
      </w:r>
      <w:r w:rsidRPr="00051DF6">
        <w:t xml:space="preserve"> which is the average of the mean wage rates for Anesthesiologists; Family Medicine Physicians; General Internal Medicine Physicians; Obstetricians and Gynecologists; Pediatricians, General; Physicians, All Other; and O</w:t>
      </w:r>
      <w:r w:rsidR="00B94217">
        <w:t>rthopedic Surgeons</w:t>
      </w:r>
      <w:r w:rsidRPr="00051DF6">
        <w:t xml:space="preserve">, Except Pediatric; Psychiatrists; </w:t>
      </w:r>
      <w:r w:rsidR="00681B24">
        <w:t>Pediatric Surgeons</w:t>
      </w:r>
      <w:r w:rsidR="0063104A">
        <w:t>;</w:t>
      </w:r>
      <w:r w:rsidR="00681B24">
        <w:t xml:space="preserve"> </w:t>
      </w:r>
      <w:r w:rsidR="00524306">
        <w:t>Surgeons, All Other</w:t>
      </w:r>
      <w:r w:rsidR="0063104A">
        <w:t>;</w:t>
      </w:r>
      <w:r w:rsidR="00524306">
        <w:t xml:space="preserve"> </w:t>
      </w:r>
      <w:r w:rsidRPr="00051DF6">
        <w:t>and Surgeons, Except Ophthalmologists [($</w:t>
      </w:r>
      <w:r w:rsidR="00C91FA1">
        <w:t>318.44</w:t>
      </w:r>
      <w:r w:rsidR="00955FD6">
        <w:t>/hr</w:t>
      </w:r>
      <w:r w:rsidRPr="00051DF6">
        <w:t xml:space="preserve"> + $</w:t>
      </w:r>
      <w:r w:rsidR="00C91FA1">
        <w:t>226</w:t>
      </w:r>
      <w:r w:rsidR="00264970">
        <w:t>.8</w:t>
      </w:r>
      <w:r w:rsidR="00C91FA1">
        <w:t>6</w:t>
      </w:r>
      <w:r w:rsidRPr="00051DF6">
        <w:t xml:space="preserve">/hr + </w:t>
      </w:r>
      <w:r w:rsidR="00D34A41">
        <w:t xml:space="preserve">$232.88/hr + </w:t>
      </w:r>
      <w:r w:rsidR="004138EB">
        <w:t xml:space="preserve">$284.82/hr + $190.80/hr + </w:t>
      </w:r>
      <w:r w:rsidRPr="00051DF6">
        <w:t>$</w:t>
      </w:r>
      <w:r w:rsidR="00075B8A">
        <w:t>2</w:t>
      </w:r>
      <w:r w:rsidR="00264970">
        <w:t>2</w:t>
      </w:r>
      <w:r w:rsidR="00075B8A">
        <w:t>2.</w:t>
      </w:r>
      <w:r w:rsidR="00264970">
        <w:t>60</w:t>
      </w:r>
      <w:r w:rsidRPr="00051DF6">
        <w:t>/hr + $2</w:t>
      </w:r>
      <w:r w:rsidR="00075B8A">
        <w:t>9</w:t>
      </w:r>
      <w:r w:rsidR="00A560F2">
        <w:t>4</w:t>
      </w:r>
      <w:r w:rsidR="00075B8A">
        <w:t>.</w:t>
      </w:r>
      <w:r w:rsidR="00A560F2">
        <w:t>44</w:t>
      </w:r>
      <w:r w:rsidRPr="00051DF6">
        <w:t>/hr + $</w:t>
      </w:r>
      <w:r w:rsidR="00557860">
        <w:t>240.16</w:t>
      </w:r>
      <w:r w:rsidRPr="00051DF6">
        <w:t>/hr + $</w:t>
      </w:r>
      <w:r w:rsidR="00075B8A">
        <w:t>2</w:t>
      </w:r>
      <w:r w:rsidR="00A417F4">
        <w:t>79</w:t>
      </w:r>
      <w:r w:rsidR="00075B8A">
        <w:t>.</w:t>
      </w:r>
      <w:r w:rsidR="00A417F4">
        <w:t>1</w:t>
      </w:r>
      <w:r w:rsidR="00075B8A">
        <w:t>4</w:t>
      </w:r>
      <w:r w:rsidRPr="00051DF6">
        <w:t>/hr + $2</w:t>
      </w:r>
      <w:r w:rsidR="00A417F4">
        <w:t>86.34</w:t>
      </w:r>
      <w:r w:rsidR="00955FD6">
        <w:t>/hr</w:t>
      </w:r>
      <w:r w:rsidRPr="00051DF6">
        <w:t xml:space="preserve"> + $2</w:t>
      </w:r>
      <w:r w:rsidR="00A417F4">
        <w:t>83.20</w:t>
      </w:r>
      <w:r w:rsidRPr="00051DF6">
        <w:t xml:space="preserve">/hr) ÷ </w:t>
      </w:r>
      <w:r w:rsidR="00565920">
        <w:t>11</w:t>
      </w:r>
      <w:r w:rsidRPr="00051DF6">
        <w:t xml:space="preserve">].  </w:t>
      </w:r>
    </w:p>
    <w:p w:rsidR="00665BC8" w:rsidRPr="00171B73" w:rsidP="00665BC8" w14:paraId="5FD6F0D3" w14:textId="322A7521">
      <w:pPr>
        <w:keepNext/>
        <w:spacing w:after="0"/>
        <w:jc w:val="center"/>
        <w:rPr>
          <w:b/>
        </w:rPr>
      </w:pPr>
      <w:r w:rsidRPr="00FE0B0A">
        <w:rPr>
          <w:b/>
          <w:highlight w:val="yellow"/>
        </w:rPr>
        <w:t xml:space="preserve">TABLE 1:  </w:t>
      </w:r>
      <w:r w:rsidRPr="00FE0B0A">
        <w:rPr>
          <w:b/>
          <w:bCs/>
          <w:highlight w:val="yellow"/>
        </w:rPr>
        <w:t>National Occupational Employment and Wage Estimates</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95"/>
        <w:gridCol w:w="1471"/>
        <w:gridCol w:w="1409"/>
        <w:gridCol w:w="1702"/>
        <w:gridCol w:w="1173"/>
      </w:tblGrid>
      <w:tr w14:paraId="490E9AAA" w14:textId="77777777" w:rsidTr="007D2B7C">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jc w:val="center"/>
        </w:trPr>
        <w:tc>
          <w:tcPr>
            <w:tcW w:w="3595" w:type="dxa"/>
            <w:vAlign w:val="center"/>
          </w:tcPr>
          <w:p w:rsidR="009538C2" w:rsidRPr="003D29BA" w:rsidP="009538C2" w14:paraId="724047F8" w14:textId="77777777">
            <w:pPr>
              <w:ind w:left="220" w:right="96"/>
              <w:rPr>
                <w:b/>
                <w:bCs/>
                <w:sz w:val="20"/>
                <w:szCs w:val="20"/>
              </w:rPr>
            </w:pPr>
            <w:r w:rsidRPr="003D29BA">
              <w:rPr>
                <w:b/>
                <w:bCs/>
                <w:sz w:val="20"/>
                <w:szCs w:val="20"/>
              </w:rPr>
              <w:t>Occupation Title</w:t>
            </w:r>
          </w:p>
        </w:tc>
        <w:tc>
          <w:tcPr>
            <w:tcW w:w="1471" w:type="dxa"/>
            <w:vAlign w:val="center"/>
          </w:tcPr>
          <w:p w:rsidR="009538C2" w:rsidRPr="003D29BA" w:rsidP="009538C2" w14:paraId="2715F6A6" w14:textId="77777777">
            <w:pPr>
              <w:ind w:left="220" w:right="96"/>
              <w:rPr>
                <w:b/>
                <w:bCs/>
                <w:sz w:val="20"/>
                <w:szCs w:val="20"/>
              </w:rPr>
            </w:pPr>
            <w:r w:rsidRPr="003D29BA">
              <w:rPr>
                <w:b/>
                <w:bCs/>
                <w:sz w:val="20"/>
                <w:szCs w:val="20"/>
              </w:rPr>
              <w:t>Occupational Code</w:t>
            </w:r>
          </w:p>
        </w:tc>
        <w:tc>
          <w:tcPr>
            <w:tcW w:w="1409" w:type="dxa"/>
            <w:vAlign w:val="center"/>
          </w:tcPr>
          <w:p w:rsidR="009538C2" w:rsidRPr="003D29BA" w:rsidP="009538C2" w14:paraId="10A3F408" w14:textId="77777777">
            <w:pPr>
              <w:ind w:left="220" w:right="96"/>
              <w:rPr>
                <w:b/>
                <w:bCs/>
                <w:sz w:val="20"/>
                <w:szCs w:val="20"/>
              </w:rPr>
            </w:pPr>
            <w:r w:rsidRPr="003D29BA">
              <w:rPr>
                <w:b/>
                <w:bCs/>
                <w:sz w:val="20"/>
                <w:szCs w:val="20"/>
              </w:rPr>
              <w:t>Mean Hourly Wage ($/hr.)</w:t>
            </w:r>
          </w:p>
        </w:tc>
        <w:tc>
          <w:tcPr>
            <w:tcW w:w="1702" w:type="dxa"/>
            <w:vAlign w:val="center"/>
          </w:tcPr>
          <w:p w:rsidR="009538C2" w:rsidRPr="003D29BA" w:rsidP="009538C2" w14:paraId="7CD59372" w14:textId="77777777">
            <w:pPr>
              <w:ind w:left="220" w:right="96"/>
              <w:rPr>
                <w:b/>
                <w:bCs/>
                <w:sz w:val="20"/>
                <w:szCs w:val="20"/>
              </w:rPr>
            </w:pPr>
            <w:r w:rsidRPr="003D29BA">
              <w:rPr>
                <w:b/>
                <w:bCs/>
                <w:sz w:val="20"/>
                <w:szCs w:val="20"/>
              </w:rPr>
              <w:t>Fringe Benefits and Overhead costs ($/hr)</w:t>
            </w:r>
          </w:p>
        </w:tc>
        <w:tc>
          <w:tcPr>
            <w:tcW w:w="0" w:type="auto"/>
            <w:vAlign w:val="center"/>
          </w:tcPr>
          <w:p w:rsidR="009538C2" w:rsidRPr="003D29BA" w:rsidP="009538C2" w14:paraId="288673A0" w14:textId="77777777">
            <w:pPr>
              <w:ind w:left="220" w:right="96"/>
              <w:rPr>
                <w:b/>
                <w:bCs/>
                <w:sz w:val="20"/>
                <w:szCs w:val="20"/>
              </w:rPr>
            </w:pPr>
            <w:r w:rsidRPr="003D29BA">
              <w:rPr>
                <w:b/>
                <w:bCs/>
                <w:sz w:val="20"/>
                <w:szCs w:val="20"/>
              </w:rPr>
              <w:t>Adjusted Hourly Wage ($/hr)</w:t>
            </w:r>
          </w:p>
        </w:tc>
      </w:tr>
      <w:tr w14:paraId="162BB99F" w14:textId="77777777" w:rsidTr="007D2B7C">
        <w:tblPrEx>
          <w:tblW w:w="0" w:type="dxa"/>
          <w:jc w:val="center"/>
          <w:tblCellMar>
            <w:left w:w="0" w:type="dxa"/>
            <w:right w:w="0" w:type="dxa"/>
          </w:tblCellMar>
          <w:tblLook w:val="01E0"/>
        </w:tblPrEx>
        <w:trPr>
          <w:jc w:val="center"/>
        </w:trPr>
        <w:tc>
          <w:tcPr>
            <w:tcW w:w="3595" w:type="dxa"/>
            <w:vAlign w:val="center"/>
          </w:tcPr>
          <w:p w:rsidR="009538C2" w:rsidRPr="003D29BA" w:rsidP="009538C2" w14:paraId="505047EB" w14:textId="77777777">
            <w:pPr>
              <w:ind w:left="220" w:right="96"/>
              <w:rPr>
                <w:sz w:val="20"/>
                <w:szCs w:val="20"/>
              </w:rPr>
            </w:pPr>
            <w:r w:rsidRPr="003D29BA">
              <w:rPr>
                <w:sz w:val="20"/>
                <w:szCs w:val="20"/>
              </w:rPr>
              <w:t>Anesthesiologists</w:t>
            </w:r>
          </w:p>
        </w:tc>
        <w:tc>
          <w:tcPr>
            <w:tcW w:w="1471" w:type="dxa"/>
            <w:vAlign w:val="center"/>
          </w:tcPr>
          <w:p w:rsidR="009538C2" w:rsidRPr="003D29BA" w:rsidP="009538C2" w14:paraId="32E3EC3F" w14:textId="77777777">
            <w:pPr>
              <w:ind w:left="220" w:right="96"/>
              <w:rPr>
                <w:sz w:val="20"/>
                <w:szCs w:val="20"/>
              </w:rPr>
            </w:pPr>
            <w:r w:rsidRPr="003D29BA">
              <w:rPr>
                <w:sz w:val="20"/>
                <w:szCs w:val="20"/>
              </w:rPr>
              <w:t>29-1211</w:t>
            </w:r>
          </w:p>
        </w:tc>
        <w:tc>
          <w:tcPr>
            <w:tcW w:w="1409" w:type="dxa"/>
            <w:vAlign w:val="center"/>
          </w:tcPr>
          <w:p w:rsidR="009538C2" w:rsidRPr="003D29BA" w:rsidP="009538C2" w14:paraId="6CEAF99C" w14:textId="77777777">
            <w:pPr>
              <w:ind w:left="220" w:right="96"/>
              <w:rPr>
                <w:sz w:val="20"/>
                <w:szCs w:val="20"/>
              </w:rPr>
            </w:pPr>
            <w:r w:rsidRPr="003D29BA">
              <w:rPr>
                <w:sz w:val="20"/>
                <w:szCs w:val="20"/>
              </w:rPr>
              <w:t>145.66</w:t>
            </w:r>
          </w:p>
        </w:tc>
        <w:tc>
          <w:tcPr>
            <w:tcW w:w="1702" w:type="dxa"/>
            <w:vAlign w:val="center"/>
          </w:tcPr>
          <w:p w:rsidR="009538C2" w:rsidRPr="003D29BA" w:rsidP="009538C2" w14:paraId="0D76D5E1" w14:textId="77777777">
            <w:pPr>
              <w:ind w:left="220" w:right="96"/>
              <w:rPr>
                <w:sz w:val="20"/>
                <w:szCs w:val="20"/>
              </w:rPr>
            </w:pPr>
            <w:r w:rsidRPr="003D29BA">
              <w:rPr>
                <w:sz w:val="20"/>
                <w:szCs w:val="20"/>
              </w:rPr>
              <w:t>145.66</w:t>
            </w:r>
          </w:p>
        </w:tc>
        <w:tc>
          <w:tcPr>
            <w:tcW w:w="0" w:type="auto"/>
            <w:vAlign w:val="center"/>
          </w:tcPr>
          <w:p w:rsidR="009538C2" w:rsidRPr="003D29BA" w:rsidP="009538C2" w14:paraId="22F7C420" w14:textId="77777777">
            <w:pPr>
              <w:ind w:left="220" w:right="96"/>
              <w:rPr>
                <w:sz w:val="20"/>
                <w:szCs w:val="20"/>
              </w:rPr>
            </w:pPr>
            <w:r w:rsidRPr="003D29BA">
              <w:rPr>
                <w:sz w:val="20"/>
                <w:szCs w:val="20"/>
              </w:rPr>
              <w:t>291.32</w:t>
            </w:r>
          </w:p>
        </w:tc>
      </w:tr>
      <w:tr w14:paraId="702BF34B" w14:textId="77777777" w:rsidTr="007D2B7C">
        <w:tblPrEx>
          <w:tblW w:w="0" w:type="dxa"/>
          <w:jc w:val="center"/>
          <w:tblCellMar>
            <w:left w:w="0" w:type="dxa"/>
            <w:right w:w="0" w:type="dxa"/>
          </w:tblCellMar>
          <w:tblLook w:val="01E0"/>
        </w:tblPrEx>
        <w:trPr>
          <w:jc w:val="center"/>
        </w:trPr>
        <w:tc>
          <w:tcPr>
            <w:tcW w:w="3595" w:type="dxa"/>
            <w:vAlign w:val="center"/>
          </w:tcPr>
          <w:p w:rsidR="009538C2" w:rsidRPr="003D29BA" w:rsidP="009538C2" w14:paraId="267CD2DE" w14:textId="77777777">
            <w:pPr>
              <w:ind w:left="220" w:right="96"/>
              <w:rPr>
                <w:sz w:val="20"/>
                <w:szCs w:val="20"/>
              </w:rPr>
            </w:pPr>
            <w:r w:rsidRPr="003D29BA">
              <w:rPr>
                <w:sz w:val="20"/>
                <w:szCs w:val="20"/>
              </w:rPr>
              <w:t>Billing and Posting Clerks</w:t>
            </w:r>
          </w:p>
        </w:tc>
        <w:tc>
          <w:tcPr>
            <w:tcW w:w="1471" w:type="dxa"/>
            <w:vAlign w:val="center"/>
          </w:tcPr>
          <w:p w:rsidR="009538C2" w:rsidRPr="003D29BA" w:rsidP="009538C2" w14:paraId="1DB25AC7" w14:textId="77777777">
            <w:pPr>
              <w:ind w:left="220" w:right="96"/>
              <w:rPr>
                <w:sz w:val="20"/>
                <w:szCs w:val="20"/>
              </w:rPr>
            </w:pPr>
            <w:r w:rsidRPr="003D29BA">
              <w:rPr>
                <w:sz w:val="20"/>
                <w:szCs w:val="20"/>
              </w:rPr>
              <w:t>43-3021</w:t>
            </w:r>
          </w:p>
        </w:tc>
        <w:tc>
          <w:tcPr>
            <w:tcW w:w="1409" w:type="dxa"/>
            <w:vAlign w:val="center"/>
          </w:tcPr>
          <w:p w:rsidR="009538C2" w:rsidRPr="003D29BA" w:rsidP="009538C2" w14:paraId="5E514CBF" w14:textId="77777777">
            <w:pPr>
              <w:ind w:left="220" w:right="96"/>
              <w:rPr>
                <w:sz w:val="20"/>
                <w:szCs w:val="20"/>
              </w:rPr>
            </w:pPr>
            <w:r w:rsidRPr="003D29BA">
              <w:rPr>
                <w:sz w:val="20"/>
                <w:szCs w:val="20"/>
              </w:rPr>
              <w:t>21.54</w:t>
            </w:r>
          </w:p>
        </w:tc>
        <w:tc>
          <w:tcPr>
            <w:tcW w:w="1702" w:type="dxa"/>
            <w:vAlign w:val="center"/>
          </w:tcPr>
          <w:p w:rsidR="009538C2" w:rsidRPr="003D29BA" w:rsidP="009538C2" w14:paraId="6FFA2E06" w14:textId="77777777">
            <w:pPr>
              <w:ind w:left="220" w:right="96"/>
              <w:rPr>
                <w:sz w:val="20"/>
                <w:szCs w:val="20"/>
              </w:rPr>
            </w:pPr>
            <w:r w:rsidRPr="003D29BA">
              <w:rPr>
                <w:sz w:val="20"/>
                <w:szCs w:val="20"/>
              </w:rPr>
              <w:t>21.54</w:t>
            </w:r>
          </w:p>
        </w:tc>
        <w:tc>
          <w:tcPr>
            <w:tcW w:w="0" w:type="auto"/>
            <w:vAlign w:val="center"/>
          </w:tcPr>
          <w:p w:rsidR="009538C2" w:rsidRPr="003D29BA" w:rsidP="009538C2" w14:paraId="6BC498EF" w14:textId="77777777">
            <w:pPr>
              <w:ind w:left="220" w:right="96"/>
              <w:rPr>
                <w:sz w:val="20"/>
                <w:szCs w:val="20"/>
              </w:rPr>
            </w:pPr>
            <w:r w:rsidRPr="003D29BA">
              <w:rPr>
                <w:sz w:val="20"/>
                <w:szCs w:val="20"/>
                <w:lang w:bidi="en-US"/>
              </w:rPr>
              <w:t>43.08</w:t>
            </w:r>
          </w:p>
        </w:tc>
      </w:tr>
      <w:tr w14:paraId="0D9E076A" w14:textId="77777777" w:rsidTr="007D2B7C">
        <w:tblPrEx>
          <w:tblW w:w="0" w:type="dxa"/>
          <w:jc w:val="center"/>
          <w:tblCellMar>
            <w:left w:w="0" w:type="dxa"/>
            <w:right w:w="0" w:type="dxa"/>
          </w:tblCellMar>
          <w:tblLook w:val="01E0"/>
        </w:tblPrEx>
        <w:trPr>
          <w:jc w:val="center"/>
        </w:trPr>
        <w:tc>
          <w:tcPr>
            <w:tcW w:w="3595" w:type="dxa"/>
            <w:vAlign w:val="center"/>
          </w:tcPr>
          <w:p w:rsidR="009538C2" w:rsidRPr="003D29BA" w:rsidP="009538C2" w14:paraId="612188CB" w14:textId="77777777">
            <w:pPr>
              <w:ind w:left="220" w:right="96"/>
              <w:rPr>
                <w:sz w:val="20"/>
                <w:szCs w:val="20"/>
              </w:rPr>
            </w:pPr>
            <w:r w:rsidRPr="003D29BA">
              <w:rPr>
                <w:sz w:val="20"/>
                <w:szCs w:val="20"/>
              </w:rPr>
              <w:t>Computer Systems Analysts</w:t>
            </w:r>
          </w:p>
        </w:tc>
        <w:tc>
          <w:tcPr>
            <w:tcW w:w="1471" w:type="dxa"/>
            <w:vAlign w:val="center"/>
          </w:tcPr>
          <w:p w:rsidR="009538C2" w:rsidRPr="003D29BA" w:rsidP="009538C2" w14:paraId="5E89BA06" w14:textId="77777777">
            <w:pPr>
              <w:ind w:left="220" w:right="96"/>
              <w:rPr>
                <w:sz w:val="20"/>
                <w:szCs w:val="20"/>
              </w:rPr>
            </w:pPr>
            <w:r w:rsidRPr="003D29BA">
              <w:rPr>
                <w:sz w:val="20"/>
                <w:szCs w:val="20"/>
              </w:rPr>
              <w:t>15-1211</w:t>
            </w:r>
          </w:p>
        </w:tc>
        <w:tc>
          <w:tcPr>
            <w:tcW w:w="1409" w:type="dxa"/>
            <w:vAlign w:val="center"/>
          </w:tcPr>
          <w:p w:rsidR="009538C2" w:rsidRPr="003D29BA" w:rsidP="009538C2" w14:paraId="64B24FB2" w14:textId="77777777">
            <w:pPr>
              <w:ind w:left="220" w:right="96"/>
              <w:rPr>
                <w:sz w:val="20"/>
                <w:szCs w:val="20"/>
              </w:rPr>
            </w:pPr>
            <w:r w:rsidRPr="003D29BA">
              <w:rPr>
                <w:sz w:val="20"/>
                <w:szCs w:val="20"/>
              </w:rPr>
              <w:t>51.70</w:t>
            </w:r>
          </w:p>
        </w:tc>
        <w:tc>
          <w:tcPr>
            <w:tcW w:w="1702" w:type="dxa"/>
            <w:vAlign w:val="center"/>
          </w:tcPr>
          <w:p w:rsidR="009538C2" w:rsidRPr="003D29BA" w:rsidP="009538C2" w14:paraId="27A83F80" w14:textId="77777777">
            <w:pPr>
              <w:ind w:left="220" w:right="96"/>
              <w:rPr>
                <w:sz w:val="20"/>
                <w:szCs w:val="20"/>
              </w:rPr>
            </w:pPr>
            <w:r w:rsidRPr="003D29BA">
              <w:rPr>
                <w:sz w:val="20"/>
                <w:szCs w:val="20"/>
              </w:rPr>
              <w:t>51.70</w:t>
            </w:r>
          </w:p>
        </w:tc>
        <w:tc>
          <w:tcPr>
            <w:tcW w:w="0" w:type="auto"/>
            <w:vAlign w:val="center"/>
          </w:tcPr>
          <w:p w:rsidR="009538C2" w:rsidRPr="003D29BA" w:rsidP="009538C2" w14:paraId="7C98D130" w14:textId="77777777">
            <w:pPr>
              <w:ind w:left="220" w:right="96"/>
              <w:rPr>
                <w:sz w:val="20"/>
                <w:szCs w:val="20"/>
              </w:rPr>
            </w:pPr>
            <w:r w:rsidRPr="003D29BA">
              <w:rPr>
                <w:sz w:val="20"/>
                <w:szCs w:val="20"/>
                <w:lang w:bidi="en-US"/>
              </w:rPr>
              <w:t>103.40</w:t>
            </w:r>
          </w:p>
        </w:tc>
      </w:tr>
      <w:tr w14:paraId="1013ECBA"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028F336C" w14:textId="77777777">
            <w:pPr>
              <w:ind w:left="220" w:right="96"/>
              <w:rPr>
                <w:sz w:val="20"/>
                <w:szCs w:val="20"/>
              </w:rPr>
            </w:pPr>
            <w:r w:rsidRPr="003D29BA">
              <w:rPr>
                <w:sz w:val="20"/>
                <w:szCs w:val="20"/>
              </w:rPr>
              <w:t>Family Medicine Physicians</w:t>
            </w:r>
          </w:p>
        </w:tc>
        <w:tc>
          <w:tcPr>
            <w:tcW w:w="1471" w:type="dxa"/>
            <w:vAlign w:val="center"/>
          </w:tcPr>
          <w:p w:rsidR="009538C2" w:rsidRPr="003D29BA" w:rsidP="009538C2" w14:paraId="4AB45567" w14:textId="77777777">
            <w:pPr>
              <w:ind w:left="220" w:right="96"/>
              <w:rPr>
                <w:sz w:val="20"/>
                <w:szCs w:val="20"/>
              </w:rPr>
            </w:pPr>
            <w:r w:rsidRPr="003D29BA">
              <w:rPr>
                <w:sz w:val="20"/>
                <w:szCs w:val="20"/>
              </w:rPr>
              <w:t>29-1215</w:t>
            </w:r>
          </w:p>
        </w:tc>
        <w:tc>
          <w:tcPr>
            <w:tcW w:w="1409" w:type="dxa"/>
            <w:vAlign w:val="center"/>
          </w:tcPr>
          <w:p w:rsidR="009538C2" w:rsidRPr="003D29BA" w:rsidP="009538C2" w14:paraId="033D3FD8" w14:textId="77777777">
            <w:pPr>
              <w:ind w:left="220" w:right="96"/>
              <w:rPr>
                <w:sz w:val="20"/>
                <w:szCs w:val="20"/>
              </w:rPr>
            </w:pPr>
            <w:r w:rsidRPr="003D29BA">
              <w:rPr>
                <w:sz w:val="20"/>
                <w:szCs w:val="20"/>
                <w:lang w:bidi="en-US"/>
              </w:rPr>
              <w:t>107.91</w:t>
            </w:r>
          </w:p>
        </w:tc>
        <w:tc>
          <w:tcPr>
            <w:tcW w:w="1702" w:type="dxa"/>
            <w:vAlign w:val="center"/>
          </w:tcPr>
          <w:p w:rsidR="009538C2" w:rsidRPr="003D29BA" w:rsidP="009538C2" w14:paraId="5FC6E967" w14:textId="77777777">
            <w:pPr>
              <w:ind w:left="220" w:right="96"/>
              <w:rPr>
                <w:sz w:val="20"/>
                <w:szCs w:val="20"/>
              </w:rPr>
            </w:pPr>
            <w:r w:rsidRPr="003D29BA">
              <w:rPr>
                <w:sz w:val="20"/>
                <w:szCs w:val="20"/>
                <w:lang w:bidi="en-US"/>
              </w:rPr>
              <w:t>107.91</w:t>
            </w:r>
          </w:p>
        </w:tc>
        <w:tc>
          <w:tcPr>
            <w:tcW w:w="0" w:type="auto"/>
            <w:vAlign w:val="center"/>
          </w:tcPr>
          <w:p w:rsidR="009538C2" w:rsidRPr="003D29BA" w:rsidP="009538C2" w14:paraId="6CF50D81" w14:textId="77777777">
            <w:pPr>
              <w:ind w:left="220" w:right="96"/>
              <w:rPr>
                <w:sz w:val="20"/>
                <w:szCs w:val="20"/>
              </w:rPr>
            </w:pPr>
            <w:r w:rsidRPr="003D29BA">
              <w:rPr>
                <w:sz w:val="20"/>
                <w:szCs w:val="20"/>
                <w:lang w:bidi="en-US"/>
              </w:rPr>
              <w:t>215.82</w:t>
            </w:r>
          </w:p>
        </w:tc>
      </w:tr>
      <w:tr w14:paraId="70F9332B"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676D4D65" w14:textId="77777777">
            <w:pPr>
              <w:ind w:left="220" w:right="96"/>
              <w:rPr>
                <w:sz w:val="20"/>
                <w:szCs w:val="20"/>
              </w:rPr>
            </w:pPr>
            <w:r w:rsidRPr="003D29BA">
              <w:rPr>
                <w:sz w:val="20"/>
                <w:szCs w:val="20"/>
              </w:rPr>
              <w:t>General Internal Medicine Physicians</w:t>
            </w:r>
          </w:p>
        </w:tc>
        <w:tc>
          <w:tcPr>
            <w:tcW w:w="1471" w:type="dxa"/>
            <w:vAlign w:val="center"/>
          </w:tcPr>
          <w:p w:rsidR="009538C2" w:rsidRPr="003D29BA" w:rsidP="009538C2" w14:paraId="673F13E0" w14:textId="77777777">
            <w:pPr>
              <w:ind w:left="220" w:right="96"/>
              <w:rPr>
                <w:sz w:val="20"/>
                <w:szCs w:val="20"/>
              </w:rPr>
            </w:pPr>
            <w:r w:rsidRPr="003D29BA">
              <w:rPr>
                <w:sz w:val="20"/>
                <w:szCs w:val="20"/>
              </w:rPr>
              <w:t>29-1216</w:t>
            </w:r>
          </w:p>
        </w:tc>
        <w:tc>
          <w:tcPr>
            <w:tcW w:w="1409" w:type="dxa"/>
            <w:vAlign w:val="center"/>
          </w:tcPr>
          <w:p w:rsidR="009538C2" w:rsidRPr="003D29BA" w:rsidP="009538C2" w14:paraId="79EA5FB3" w14:textId="77777777">
            <w:pPr>
              <w:ind w:left="220" w:right="96"/>
              <w:rPr>
                <w:sz w:val="20"/>
                <w:szCs w:val="20"/>
              </w:rPr>
            </w:pPr>
            <w:r w:rsidRPr="003D29BA">
              <w:rPr>
                <w:sz w:val="20"/>
                <w:szCs w:val="20"/>
                <w:lang w:bidi="en-US"/>
              </w:rPr>
              <w:t>108.30</w:t>
            </w:r>
          </w:p>
        </w:tc>
        <w:tc>
          <w:tcPr>
            <w:tcW w:w="1702" w:type="dxa"/>
            <w:vAlign w:val="center"/>
          </w:tcPr>
          <w:p w:rsidR="009538C2" w:rsidRPr="003D29BA" w:rsidP="009538C2" w14:paraId="2F664260" w14:textId="77777777">
            <w:pPr>
              <w:ind w:left="220" w:right="96"/>
              <w:rPr>
                <w:sz w:val="20"/>
                <w:szCs w:val="20"/>
              </w:rPr>
            </w:pPr>
            <w:r w:rsidRPr="003D29BA">
              <w:rPr>
                <w:sz w:val="20"/>
                <w:szCs w:val="20"/>
                <w:lang w:bidi="en-US"/>
              </w:rPr>
              <w:t>108.30</w:t>
            </w:r>
          </w:p>
        </w:tc>
        <w:tc>
          <w:tcPr>
            <w:tcW w:w="0" w:type="auto"/>
            <w:vAlign w:val="center"/>
          </w:tcPr>
          <w:p w:rsidR="009538C2" w:rsidRPr="003D29BA" w:rsidP="009538C2" w14:paraId="010D2962" w14:textId="77777777">
            <w:pPr>
              <w:ind w:left="220" w:right="96"/>
              <w:rPr>
                <w:sz w:val="20"/>
                <w:szCs w:val="20"/>
              </w:rPr>
            </w:pPr>
            <w:r w:rsidRPr="003D29BA">
              <w:rPr>
                <w:sz w:val="20"/>
                <w:szCs w:val="20"/>
                <w:lang w:bidi="en-US"/>
              </w:rPr>
              <w:t>216.60</w:t>
            </w:r>
          </w:p>
        </w:tc>
      </w:tr>
      <w:tr w14:paraId="73A29E8F" w14:textId="77777777" w:rsidTr="007D2B7C">
        <w:tblPrEx>
          <w:tblW w:w="0" w:type="dxa"/>
          <w:jc w:val="center"/>
          <w:tblCellMar>
            <w:left w:w="0" w:type="dxa"/>
            <w:right w:w="0" w:type="dxa"/>
          </w:tblCellMar>
          <w:tblLook w:val="01E0"/>
        </w:tblPrEx>
        <w:trPr>
          <w:jc w:val="center"/>
        </w:trPr>
        <w:tc>
          <w:tcPr>
            <w:tcW w:w="3595" w:type="dxa"/>
            <w:vAlign w:val="center"/>
          </w:tcPr>
          <w:p w:rsidR="009538C2" w:rsidRPr="003D29BA" w:rsidP="009538C2" w14:paraId="232CFD06" w14:textId="77777777">
            <w:pPr>
              <w:ind w:left="220" w:right="96"/>
              <w:rPr>
                <w:sz w:val="20"/>
                <w:szCs w:val="20"/>
              </w:rPr>
            </w:pPr>
            <w:r w:rsidRPr="003D29BA">
              <w:rPr>
                <w:sz w:val="20"/>
                <w:szCs w:val="20"/>
              </w:rPr>
              <w:t>Licensed Practical Nurse (LPN)</w:t>
            </w:r>
          </w:p>
        </w:tc>
        <w:tc>
          <w:tcPr>
            <w:tcW w:w="1471" w:type="dxa"/>
            <w:vAlign w:val="center"/>
          </w:tcPr>
          <w:p w:rsidR="009538C2" w:rsidRPr="003D29BA" w:rsidP="009538C2" w14:paraId="0FF38C8D" w14:textId="77777777">
            <w:pPr>
              <w:ind w:left="220" w:right="96"/>
              <w:rPr>
                <w:sz w:val="20"/>
                <w:szCs w:val="20"/>
              </w:rPr>
            </w:pPr>
            <w:r w:rsidRPr="003D29BA">
              <w:rPr>
                <w:sz w:val="20"/>
                <w:szCs w:val="20"/>
              </w:rPr>
              <w:t>29-2061</w:t>
            </w:r>
          </w:p>
        </w:tc>
        <w:tc>
          <w:tcPr>
            <w:tcW w:w="1409" w:type="dxa"/>
            <w:vAlign w:val="center"/>
          </w:tcPr>
          <w:p w:rsidR="009538C2" w:rsidRPr="003D29BA" w:rsidP="009538C2" w14:paraId="0D63A7A3" w14:textId="77777777">
            <w:pPr>
              <w:ind w:left="220" w:right="96"/>
              <w:rPr>
                <w:sz w:val="20"/>
                <w:szCs w:val="20"/>
              </w:rPr>
            </w:pPr>
            <w:r w:rsidRPr="003D29BA">
              <w:rPr>
                <w:sz w:val="20"/>
                <w:szCs w:val="20"/>
              </w:rPr>
              <w:t>26.86</w:t>
            </w:r>
          </w:p>
        </w:tc>
        <w:tc>
          <w:tcPr>
            <w:tcW w:w="1702" w:type="dxa"/>
            <w:vAlign w:val="center"/>
          </w:tcPr>
          <w:p w:rsidR="009538C2" w:rsidRPr="003D29BA" w:rsidP="009538C2" w14:paraId="4322C459" w14:textId="77777777">
            <w:pPr>
              <w:ind w:left="220" w:right="96"/>
              <w:rPr>
                <w:sz w:val="20"/>
                <w:szCs w:val="20"/>
              </w:rPr>
            </w:pPr>
            <w:r w:rsidRPr="003D29BA">
              <w:rPr>
                <w:sz w:val="20"/>
                <w:szCs w:val="20"/>
              </w:rPr>
              <w:t>26.86</w:t>
            </w:r>
          </w:p>
        </w:tc>
        <w:tc>
          <w:tcPr>
            <w:tcW w:w="0" w:type="auto"/>
            <w:vAlign w:val="center"/>
          </w:tcPr>
          <w:p w:rsidR="009538C2" w:rsidRPr="003D29BA" w:rsidP="009538C2" w14:paraId="27D363A6" w14:textId="77777777">
            <w:pPr>
              <w:ind w:left="220" w:right="96"/>
              <w:rPr>
                <w:sz w:val="20"/>
                <w:szCs w:val="20"/>
              </w:rPr>
            </w:pPr>
            <w:r w:rsidRPr="003D29BA">
              <w:rPr>
                <w:sz w:val="20"/>
                <w:szCs w:val="20"/>
                <w:lang w:bidi="en-US"/>
              </w:rPr>
              <w:t>53.72</w:t>
            </w:r>
          </w:p>
        </w:tc>
      </w:tr>
      <w:tr w14:paraId="6EC33E8D"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40A9CA30" w14:textId="77777777">
            <w:pPr>
              <w:ind w:left="220" w:right="96"/>
              <w:rPr>
                <w:sz w:val="20"/>
                <w:szCs w:val="20"/>
              </w:rPr>
            </w:pPr>
            <w:r w:rsidRPr="003D29BA">
              <w:rPr>
                <w:sz w:val="20"/>
                <w:szCs w:val="20"/>
              </w:rPr>
              <w:t>Medical and Health Services Managers</w:t>
            </w:r>
          </w:p>
        </w:tc>
        <w:tc>
          <w:tcPr>
            <w:tcW w:w="1471" w:type="dxa"/>
          </w:tcPr>
          <w:p w:rsidR="009538C2" w:rsidRPr="003D29BA" w:rsidP="009538C2" w14:paraId="4CBE5F0A" w14:textId="77777777">
            <w:pPr>
              <w:ind w:left="220" w:right="96"/>
              <w:rPr>
                <w:sz w:val="20"/>
                <w:szCs w:val="20"/>
              </w:rPr>
            </w:pPr>
            <w:r w:rsidRPr="003D29BA">
              <w:rPr>
                <w:sz w:val="20"/>
                <w:szCs w:val="20"/>
              </w:rPr>
              <w:t>11-9111</w:t>
            </w:r>
          </w:p>
        </w:tc>
        <w:tc>
          <w:tcPr>
            <w:tcW w:w="1409" w:type="dxa"/>
            <w:vAlign w:val="center"/>
          </w:tcPr>
          <w:p w:rsidR="009538C2" w:rsidRPr="003D29BA" w:rsidP="009538C2" w14:paraId="3E50E70A" w14:textId="77777777">
            <w:pPr>
              <w:ind w:left="220" w:right="96"/>
              <w:rPr>
                <w:sz w:val="20"/>
                <w:szCs w:val="20"/>
              </w:rPr>
            </w:pPr>
            <w:r w:rsidRPr="003D29BA">
              <w:rPr>
                <w:sz w:val="20"/>
                <w:szCs w:val="20"/>
              </w:rPr>
              <w:t>61.53</w:t>
            </w:r>
          </w:p>
        </w:tc>
        <w:tc>
          <w:tcPr>
            <w:tcW w:w="1702" w:type="dxa"/>
            <w:vAlign w:val="center"/>
          </w:tcPr>
          <w:p w:rsidR="009538C2" w:rsidRPr="003D29BA" w:rsidP="009538C2" w14:paraId="40BC2D65" w14:textId="77777777">
            <w:pPr>
              <w:ind w:left="220" w:right="96"/>
              <w:rPr>
                <w:sz w:val="20"/>
                <w:szCs w:val="20"/>
              </w:rPr>
            </w:pPr>
            <w:r w:rsidRPr="003D29BA">
              <w:rPr>
                <w:sz w:val="20"/>
                <w:szCs w:val="20"/>
              </w:rPr>
              <w:t>61.53</w:t>
            </w:r>
          </w:p>
        </w:tc>
        <w:tc>
          <w:tcPr>
            <w:tcW w:w="0" w:type="auto"/>
            <w:vAlign w:val="center"/>
          </w:tcPr>
          <w:p w:rsidR="009538C2" w:rsidRPr="003D29BA" w:rsidP="009538C2" w14:paraId="0E264F77" w14:textId="77777777">
            <w:pPr>
              <w:ind w:left="220" w:right="96"/>
              <w:rPr>
                <w:sz w:val="20"/>
                <w:szCs w:val="20"/>
              </w:rPr>
            </w:pPr>
            <w:r w:rsidRPr="003D29BA">
              <w:rPr>
                <w:sz w:val="20"/>
                <w:szCs w:val="20"/>
                <w:lang w:bidi="en-US"/>
              </w:rPr>
              <w:t>123.06</w:t>
            </w:r>
          </w:p>
        </w:tc>
      </w:tr>
      <w:tr w14:paraId="238472CB"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53439B83" w14:textId="77777777">
            <w:pPr>
              <w:ind w:left="220" w:right="96"/>
              <w:rPr>
                <w:sz w:val="20"/>
                <w:szCs w:val="20"/>
              </w:rPr>
            </w:pPr>
            <w:r w:rsidRPr="003D29BA">
              <w:rPr>
                <w:sz w:val="20"/>
                <w:szCs w:val="20"/>
              </w:rPr>
              <w:t>Obstetricians and Gynecologists</w:t>
            </w:r>
          </w:p>
        </w:tc>
        <w:tc>
          <w:tcPr>
            <w:tcW w:w="1471" w:type="dxa"/>
            <w:vAlign w:val="center"/>
          </w:tcPr>
          <w:p w:rsidR="009538C2" w:rsidRPr="003D29BA" w:rsidP="009538C2" w14:paraId="63B1C6D5" w14:textId="77777777">
            <w:pPr>
              <w:ind w:left="220" w:right="96"/>
              <w:rPr>
                <w:sz w:val="20"/>
                <w:szCs w:val="20"/>
              </w:rPr>
            </w:pPr>
            <w:r w:rsidRPr="003D29BA">
              <w:rPr>
                <w:sz w:val="20"/>
                <w:szCs w:val="20"/>
              </w:rPr>
              <w:t>29-1218</w:t>
            </w:r>
          </w:p>
        </w:tc>
        <w:tc>
          <w:tcPr>
            <w:tcW w:w="1409" w:type="dxa"/>
            <w:vAlign w:val="center"/>
          </w:tcPr>
          <w:p w:rsidR="009538C2" w:rsidRPr="003D29BA" w:rsidP="009538C2" w14:paraId="3625B5D7" w14:textId="77777777">
            <w:pPr>
              <w:ind w:left="220" w:right="96"/>
              <w:rPr>
                <w:sz w:val="20"/>
                <w:szCs w:val="20"/>
              </w:rPr>
            </w:pPr>
            <w:r w:rsidRPr="003D29BA">
              <w:rPr>
                <w:sz w:val="20"/>
                <w:szCs w:val="20"/>
              </w:rPr>
              <w:t>133.33</w:t>
            </w:r>
          </w:p>
        </w:tc>
        <w:tc>
          <w:tcPr>
            <w:tcW w:w="1702" w:type="dxa"/>
            <w:vAlign w:val="center"/>
          </w:tcPr>
          <w:p w:rsidR="009538C2" w:rsidRPr="003D29BA" w:rsidP="009538C2" w14:paraId="5FBDD87D" w14:textId="77777777">
            <w:pPr>
              <w:ind w:left="220" w:right="96"/>
              <w:rPr>
                <w:sz w:val="20"/>
                <w:szCs w:val="20"/>
              </w:rPr>
            </w:pPr>
            <w:r w:rsidRPr="003D29BA">
              <w:rPr>
                <w:sz w:val="20"/>
                <w:szCs w:val="20"/>
              </w:rPr>
              <w:t>133.33</w:t>
            </w:r>
          </w:p>
        </w:tc>
        <w:tc>
          <w:tcPr>
            <w:tcW w:w="0" w:type="auto"/>
            <w:vAlign w:val="center"/>
          </w:tcPr>
          <w:p w:rsidR="009538C2" w:rsidRPr="003D29BA" w:rsidP="009538C2" w14:paraId="11271605" w14:textId="77777777">
            <w:pPr>
              <w:ind w:left="220" w:right="96"/>
              <w:rPr>
                <w:sz w:val="20"/>
                <w:szCs w:val="20"/>
              </w:rPr>
            </w:pPr>
            <w:r w:rsidRPr="003D29BA">
              <w:rPr>
                <w:sz w:val="20"/>
                <w:szCs w:val="20"/>
              </w:rPr>
              <w:t>266.66</w:t>
            </w:r>
          </w:p>
        </w:tc>
      </w:tr>
      <w:tr w14:paraId="7D650BA8"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2B349955" w14:textId="77777777">
            <w:pPr>
              <w:ind w:left="220" w:right="96"/>
              <w:rPr>
                <w:sz w:val="20"/>
                <w:szCs w:val="20"/>
              </w:rPr>
            </w:pPr>
            <w:r w:rsidRPr="003D29BA">
              <w:rPr>
                <w:bCs/>
                <w:sz w:val="20"/>
                <w:szCs w:val="20"/>
                <w:lang w:bidi="en-US"/>
              </w:rPr>
              <w:t xml:space="preserve">Orthopedic </w:t>
            </w:r>
            <w:r w:rsidRPr="003D29BA">
              <w:rPr>
                <w:sz w:val="20"/>
                <w:szCs w:val="20"/>
              </w:rPr>
              <w:t xml:space="preserve">Surgeons, Except </w:t>
            </w:r>
            <w:r w:rsidRPr="003D29BA">
              <w:rPr>
                <w:bCs/>
                <w:sz w:val="20"/>
                <w:szCs w:val="20"/>
                <w:lang w:bidi="en-US"/>
              </w:rPr>
              <w:t>Pediatric</w:t>
            </w:r>
          </w:p>
        </w:tc>
        <w:tc>
          <w:tcPr>
            <w:tcW w:w="1471" w:type="dxa"/>
          </w:tcPr>
          <w:p w:rsidR="009538C2" w:rsidRPr="003D29BA" w:rsidP="009538C2" w14:paraId="1BEB2594" w14:textId="77777777">
            <w:pPr>
              <w:ind w:left="220" w:right="96"/>
              <w:rPr>
                <w:sz w:val="20"/>
                <w:szCs w:val="20"/>
              </w:rPr>
            </w:pPr>
            <w:r w:rsidRPr="003D29BA">
              <w:rPr>
                <w:sz w:val="20"/>
                <w:szCs w:val="20"/>
              </w:rPr>
              <w:t>29-1242</w:t>
            </w:r>
          </w:p>
        </w:tc>
        <w:tc>
          <w:tcPr>
            <w:tcW w:w="1409" w:type="dxa"/>
            <w:vAlign w:val="center"/>
          </w:tcPr>
          <w:p w:rsidR="009538C2" w:rsidRPr="003D29BA" w:rsidP="009538C2" w14:paraId="270D4E1F" w14:textId="77777777">
            <w:pPr>
              <w:ind w:left="220" w:right="96"/>
              <w:rPr>
                <w:sz w:val="20"/>
                <w:szCs w:val="20"/>
              </w:rPr>
            </w:pPr>
            <w:r w:rsidRPr="003D29BA">
              <w:rPr>
                <w:sz w:val="20"/>
                <w:szCs w:val="20"/>
              </w:rPr>
              <w:t>178.56</w:t>
            </w:r>
          </w:p>
        </w:tc>
        <w:tc>
          <w:tcPr>
            <w:tcW w:w="1702" w:type="dxa"/>
            <w:vAlign w:val="center"/>
          </w:tcPr>
          <w:p w:rsidR="009538C2" w:rsidRPr="003D29BA" w:rsidP="009538C2" w14:paraId="447ACD4F" w14:textId="77777777">
            <w:pPr>
              <w:ind w:left="220" w:right="96"/>
              <w:rPr>
                <w:sz w:val="20"/>
                <w:szCs w:val="20"/>
              </w:rPr>
            </w:pPr>
            <w:r w:rsidRPr="003D29BA">
              <w:rPr>
                <w:sz w:val="20"/>
                <w:szCs w:val="20"/>
              </w:rPr>
              <w:t>178.56</w:t>
            </w:r>
          </w:p>
        </w:tc>
        <w:tc>
          <w:tcPr>
            <w:tcW w:w="0" w:type="auto"/>
            <w:vAlign w:val="center"/>
          </w:tcPr>
          <w:p w:rsidR="009538C2" w:rsidRPr="003D29BA" w:rsidP="009538C2" w14:paraId="36232591" w14:textId="77777777">
            <w:pPr>
              <w:ind w:left="220" w:right="96"/>
              <w:rPr>
                <w:sz w:val="20"/>
                <w:szCs w:val="20"/>
              </w:rPr>
            </w:pPr>
            <w:r w:rsidRPr="003D29BA">
              <w:rPr>
                <w:sz w:val="20"/>
                <w:szCs w:val="20"/>
              </w:rPr>
              <w:t>357.12</w:t>
            </w:r>
          </w:p>
        </w:tc>
      </w:tr>
      <w:tr w14:paraId="79683EAB"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287D2006" w14:textId="77777777">
            <w:pPr>
              <w:ind w:left="220" w:right="96"/>
              <w:rPr>
                <w:sz w:val="20"/>
                <w:szCs w:val="20"/>
              </w:rPr>
            </w:pPr>
            <w:r w:rsidRPr="003D29BA">
              <w:rPr>
                <w:sz w:val="20"/>
                <w:szCs w:val="20"/>
              </w:rPr>
              <w:t>Pediatricians, General</w:t>
            </w:r>
          </w:p>
        </w:tc>
        <w:tc>
          <w:tcPr>
            <w:tcW w:w="1471" w:type="dxa"/>
            <w:vAlign w:val="center"/>
          </w:tcPr>
          <w:p w:rsidR="009538C2" w:rsidRPr="003D29BA" w:rsidP="009538C2" w14:paraId="6342408C" w14:textId="77777777">
            <w:pPr>
              <w:ind w:left="220" w:right="96"/>
              <w:rPr>
                <w:sz w:val="20"/>
                <w:szCs w:val="20"/>
              </w:rPr>
            </w:pPr>
            <w:r w:rsidRPr="003D29BA">
              <w:rPr>
                <w:sz w:val="20"/>
                <w:szCs w:val="20"/>
              </w:rPr>
              <w:t>29-1221</w:t>
            </w:r>
          </w:p>
        </w:tc>
        <w:tc>
          <w:tcPr>
            <w:tcW w:w="1409" w:type="dxa"/>
            <w:vAlign w:val="center"/>
          </w:tcPr>
          <w:p w:rsidR="009538C2" w:rsidRPr="003D29BA" w:rsidP="009538C2" w14:paraId="7FB327CD" w14:textId="77777777">
            <w:pPr>
              <w:ind w:left="220" w:right="96"/>
              <w:rPr>
                <w:sz w:val="20"/>
                <w:szCs w:val="20"/>
              </w:rPr>
            </w:pPr>
            <w:r w:rsidRPr="003D29BA">
              <w:rPr>
                <w:sz w:val="20"/>
                <w:szCs w:val="20"/>
              </w:rPr>
              <w:t>97.71</w:t>
            </w:r>
          </w:p>
        </w:tc>
        <w:tc>
          <w:tcPr>
            <w:tcW w:w="1702" w:type="dxa"/>
            <w:vAlign w:val="center"/>
          </w:tcPr>
          <w:p w:rsidR="009538C2" w:rsidRPr="003D29BA" w:rsidP="009538C2" w14:paraId="170AE7B9" w14:textId="77777777">
            <w:pPr>
              <w:ind w:left="220" w:right="96"/>
              <w:rPr>
                <w:sz w:val="20"/>
                <w:szCs w:val="20"/>
              </w:rPr>
            </w:pPr>
            <w:r w:rsidRPr="003D29BA">
              <w:rPr>
                <w:sz w:val="20"/>
                <w:szCs w:val="20"/>
              </w:rPr>
              <w:t>97.71</w:t>
            </w:r>
          </w:p>
        </w:tc>
        <w:tc>
          <w:tcPr>
            <w:tcW w:w="0" w:type="auto"/>
            <w:vAlign w:val="center"/>
          </w:tcPr>
          <w:p w:rsidR="009538C2" w:rsidRPr="003D29BA" w:rsidP="009538C2" w14:paraId="18686E9D" w14:textId="77777777">
            <w:pPr>
              <w:ind w:left="220" w:right="96"/>
              <w:rPr>
                <w:sz w:val="20"/>
                <w:szCs w:val="20"/>
              </w:rPr>
            </w:pPr>
            <w:r w:rsidRPr="003D29BA">
              <w:rPr>
                <w:sz w:val="20"/>
                <w:szCs w:val="20"/>
              </w:rPr>
              <w:t>195.42</w:t>
            </w:r>
          </w:p>
        </w:tc>
      </w:tr>
      <w:tr w14:paraId="2B6BE99A"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2F392AD2" w14:textId="77777777">
            <w:pPr>
              <w:ind w:left="220" w:right="96"/>
              <w:rPr>
                <w:sz w:val="20"/>
                <w:szCs w:val="20"/>
              </w:rPr>
            </w:pPr>
            <w:r w:rsidRPr="003D29BA">
              <w:rPr>
                <w:bCs/>
                <w:sz w:val="20"/>
                <w:szCs w:val="20"/>
                <w:lang w:bidi="en-US"/>
              </w:rPr>
              <w:t>Pediatric Surgeons</w:t>
            </w:r>
          </w:p>
        </w:tc>
        <w:tc>
          <w:tcPr>
            <w:tcW w:w="1471" w:type="dxa"/>
            <w:vAlign w:val="center"/>
          </w:tcPr>
          <w:p w:rsidR="009538C2" w:rsidRPr="003D29BA" w:rsidP="009538C2" w14:paraId="3F2C8824" w14:textId="77777777">
            <w:pPr>
              <w:ind w:left="220" w:right="96"/>
              <w:rPr>
                <w:sz w:val="20"/>
                <w:szCs w:val="20"/>
              </w:rPr>
            </w:pPr>
            <w:r w:rsidRPr="003D29BA">
              <w:rPr>
                <w:sz w:val="20"/>
                <w:szCs w:val="20"/>
              </w:rPr>
              <w:t>29-1243</w:t>
            </w:r>
          </w:p>
        </w:tc>
        <w:tc>
          <w:tcPr>
            <w:tcW w:w="1409" w:type="dxa"/>
            <w:vAlign w:val="center"/>
          </w:tcPr>
          <w:p w:rsidR="009538C2" w:rsidRPr="003D29BA" w:rsidP="009538C2" w14:paraId="2A6F9C5B" w14:textId="77777777">
            <w:pPr>
              <w:ind w:left="220" w:right="96"/>
              <w:rPr>
                <w:sz w:val="20"/>
                <w:szCs w:val="20"/>
              </w:rPr>
            </w:pPr>
            <w:r w:rsidRPr="003D29BA">
              <w:rPr>
                <w:sz w:val="20"/>
                <w:szCs w:val="20"/>
              </w:rPr>
              <w:t>174.51</w:t>
            </w:r>
          </w:p>
        </w:tc>
        <w:tc>
          <w:tcPr>
            <w:tcW w:w="1702" w:type="dxa"/>
            <w:vAlign w:val="center"/>
          </w:tcPr>
          <w:p w:rsidR="009538C2" w:rsidRPr="003D29BA" w:rsidP="009538C2" w14:paraId="16CE0948" w14:textId="77777777">
            <w:pPr>
              <w:ind w:left="220" w:right="96"/>
              <w:rPr>
                <w:sz w:val="20"/>
                <w:szCs w:val="20"/>
              </w:rPr>
            </w:pPr>
            <w:r w:rsidRPr="003D29BA">
              <w:rPr>
                <w:sz w:val="20"/>
                <w:szCs w:val="20"/>
              </w:rPr>
              <w:t>174.51</w:t>
            </w:r>
          </w:p>
        </w:tc>
        <w:tc>
          <w:tcPr>
            <w:tcW w:w="0" w:type="auto"/>
            <w:vAlign w:val="center"/>
          </w:tcPr>
          <w:p w:rsidR="009538C2" w:rsidRPr="003D29BA" w:rsidP="009538C2" w14:paraId="7946C7CD" w14:textId="77777777">
            <w:pPr>
              <w:ind w:left="220" w:right="96"/>
              <w:rPr>
                <w:sz w:val="20"/>
                <w:szCs w:val="20"/>
              </w:rPr>
            </w:pPr>
            <w:r w:rsidRPr="003D29BA">
              <w:rPr>
                <w:sz w:val="20"/>
                <w:szCs w:val="20"/>
              </w:rPr>
              <w:t>349.02</w:t>
            </w:r>
          </w:p>
        </w:tc>
      </w:tr>
      <w:tr w14:paraId="696E014B"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65ED8299" w14:textId="77777777">
            <w:pPr>
              <w:ind w:left="220" w:right="96"/>
              <w:rPr>
                <w:sz w:val="20"/>
                <w:szCs w:val="20"/>
              </w:rPr>
            </w:pPr>
            <w:r w:rsidRPr="003D29BA">
              <w:rPr>
                <w:sz w:val="20"/>
                <w:szCs w:val="20"/>
              </w:rPr>
              <w:t>Physicians, All Other</w:t>
            </w:r>
          </w:p>
        </w:tc>
        <w:tc>
          <w:tcPr>
            <w:tcW w:w="1471" w:type="dxa"/>
            <w:vAlign w:val="center"/>
          </w:tcPr>
          <w:p w:rsidR="009538C2" w:rsidRPr="003D29BA" w:rsidP="009538C2" w14:paraId="63B816A0" w14:textId="77777777">
            <w:pPr>
              <w:ind w:left="220" w:right="96"/>
              <w:rPr>
                <w:sz w:val="20"/>
                <w:szCs w:val="20"/>
              </w:rPr>
            </w:pPr>
            <w:r w:rsidRPr="003D29BA">
              <w:rPr>
                <w:sz w:val="20"/>
                <w:szCs w:val="20"/>
              </w:rPr>
              <w:t>29-1228</w:t>
            </w:r>
          </w:p>
        </w:tc>
        <w:tc>
          <w:tcPr>
            <w:tcW w:w="1409" w:type="dxa"/>
            <w:vAlign w:val="center"/>
          </w:tcPr>
          <w:p w:rsidR="009538C2" w:rsidRPr="003D29BA" w:rsidP="009538C2" w14:paraId="2848D94F" w14:textId="77777777">
            <w:pPr>
              <w:ind w:left="220" w:right="96"/>
              <w:rPr>
                <w:sz w:val="20"/>
                <w:szCs w:val="20"/>
              </w:rPr>
            </w:pPr>
            <w:r w:rsidRPr="003D29BA">
              <w:rPr>
                <w:sz w:val="20"/>
                <w:szCs w:val="20"/>
              </w:rPr>
              <w:t>114.76</w:t>
            </w:r>
          </w:p>
        </w:tc>
        <w:tc>
          <w:tcPr>
            <w:tcW w:w="1702" w:type="dxa"/>
            <w:vAlign w:val="center"/>
          </w:tcPr>
          <w:p w:rsidR="009538C2" w:rsidRPr="003D29BA" w:rsidP="009538C2" w14:paraId="0DC575BB" w14:textId="77777777">
            <w:pPr>
              <w:ind w:left="220" w:right="96"/>
              <w:rPr>
                <w:sz w:val="20"/>
                <w:szCs w:val="20"/>
              </w:rPr>
            </w:pPr>
            <w:r w:rsidRPr="003D29BA">
              <w:rPr>
                <w:sz w:val="20"/>
                <w:szCs w:val="20"/>
              </w:rPr>
              <w:t>114.76</w:t>
            </w:r>
          </w:p>
        </w:tc>
        <w:tc>
          <w:tcPr>
            <w:tcW w:w="0" w:type="auto"/>
            <w:vAlign w:val="center"/>
          </w:tcPr>
          <w:p w:rsidR="009538C2" w:rsidRPr="003D29BA" w:rsidP="009538C2" w14:paraId="6B424C17" w14:textId="77777777">
            <w:pPr>
              <w:ind w:left="220" w:right="96"/>
              <w:rPr>
                <w:sz w:val="20"/>
                <w:szCs w:val="20"/>
              </w:rPr>
            </w:pPr>
            <w:r w:rsidRPr="003D29BA">
              <w:rPr>
                <w:sz w:val="20"/>
                <w:szCs w:val="20"/>
              </w:rPr>
              <w:t>229.52</w:t>
            </w:r>
          </w:p>
        </w:tc>
      </w:tr>
      <w:tr w14:paraId="4E58C8DF"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3C348C83" w14:textId="77777777">
            <w:pPr>
              <w:ind w:left="220" w:right="96"/>
              <w:rPr>
                <w:sz w:val="20"/>
                <w:szCs w:val="20"/>
              </w:rPr>
            </w:pPr>
            <w:r w:rsidRPr="003D29BA">
              <w:rPr>
                <w:sz w:val="20"/>
                <w:szCs w:val="20"/>
              </w:rPr>
              <w:t>Psychiatrists</w:t>
            </w:r>
          </w:p>
        </w:tc>
        <w:tc>
          <w:tcPr>
            <w:tcW w:w="1471" w:type="dxa"/>
            <w:vAlign w:val="center"/>
          </w:tcPr>
          <w:p w:rsidR="009538C2" w:rsidRPr="003D29BA" w:rsidP="009538C2" w14:paraId="46FF5781" w14:textId="77777777">
            <w:pPr>
              <w:ind w:left="220" w:right="96"/>
              <w:rPr>
                <w:sz w:val="20"/>
                <w:szCs w:val="20"/>
              </w:rPr>
            </w:pPr>
            <w:r w:rsidRPr="003D29BA">
              <w:rPr>
                <w:sz w:val="20"/>
                <w:szCs w:val="20"/>
              </w:rPr>
              <w:t>29-1223</w:t>
            </w:r>
          </w:p>
        </w:tc>
        <w:tc>
          <w:tcPr>
            <w:tcW w:w="1409" w:type="dxa"/>
            <w:vAlign w:val="center"/>
          </w:tcPr>
          <w:p w:rsidR="009538C2" w:rsidRPr="003D29BA" w:rsidP="009538C2" w14:paraId="4CCCC881" w14:textId="77777777">
            <w:pPr>
              <w:ind w:left="220" w:right="96"/>
              <w:rPr>
                <w:sz w:val="20"/>
                <w:szCs w:val="20"/>
              </w:rPr>
            </w:pPr>
            <w:r w:rsidRPr="003D29BA">
              <w:rPr>
                <w:sz w:val="20"/>
                <w:szCs w:val="20"/>
              </w:rPr>
              <w:t>118.92</w:t>
            </w:r>
          </w:p>
        </w:tc>
        <w:tc>
          <w:tcPr>
            <w:tcW w:w="1702" w:type="dxa"/>
            <w:vAlign w:val="center"/>
          </w:tcPr>
          <w:p w:rsidR="009538C2" w:rsidRPr="003D29BA" w:rsidP="009538C2" w14:paraId="6734D221" w14:textId="77777777">
            <w:pPr>
              <w:ind w:left="220" w:right="96"/>
              <w:rPr>
                <w:sz w:val="20"/>
                <w:szCs w:val="20"/>
              </w:rPr>
            </w:pPr>
            <w:r w:rsidRPr="003D29BA">
              <w:rPr>
                <w:sz w:val="20"/>
                <w:szCs w:val="20"/>
              </w:rPr>
              <w:t>118.92</w:t>
            </w:r>
          </w:p>
        </w:tc>
        <w:tc>
          <w:tcPr>
            <w:tcW w:w="0" w:type="auto"/>
            <w:vAlign w:val="center"/>
          </w:tcPr>
          <w:p w:rsidR="009538C2" w:rsidRPr="003D29BA" w:rsidP="009538C2" w14:paraId="706E30F3" w14:textId="77777777">
            <w:pPr>
              <w:ind w:left="220" w:right="96"/>
              <w:rPr>
                <w:sz w:val="20"/>
                <w:szCs w:val="20"/>
              </w:rPr>
            </w:pPr>
            <w:r w:rsidRPr="003D29BA">
              <w:rPr>
                <w:sz w:val="20"/>
                <w:szCs w:val="20"/>
              </w:rPr>
              <w:t>237.84</w:t>
            </w:r>
          </w:p>
        </w:tc>
      </w:tr>
      <w:tr w14:paraId="0DDEE9F7"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3F1EF0BF" w14:textId="77777777">
            <w:pPr>
              <w:ind w:left="220" w:right="96"/>
              <w:rPr>
                <w:sz w:val="20"/>
                <w:szCs w:val="20"/>
              </w:rPr>
            </w:pPr>
            <w:r w:rsidRPr="003D29BA">
              <w:rPr>
                <w:sz w:val="20"/>
                <w:szCs w:val="20"/>
              </w:rPr>
              <w:t>Secretaries and Administrative Assistants</w:t>
            </w:r>
          </w:p>
        </w:tc>
        <w:tc>
          <w:tcPr>
            <w:tcW w:w="1471" w:type="dxa"/>
          </w:tcPr>
          <w:p w:rsidR="009538C2" w:rsidRPr="003D29BA" w:rsidP="009538C2" w14:paraId="2106B225" w14:textId="77777777">
            <w:pPr>
              <w:ind w:left="220" w:right="96"/>
              <w:rPr>
                <w:sz w:val="20"/>
                <w:szCs w:val="20"/>
              </w:rPr>
            </w:pPr>
            <w:r w:rsidRPr="003D29BA">
              <w:rPr>
                <w:sz w:val="20"/>
                <w:szCs w:val="20"/>
              </w:rPr>
              <w:t>43-6014</w:t>
            </w:r>
          </w:p>
        </w:tc>
        <w:tc>
          <w:tcPr>
            <w:tcW w:w="1409" w:type="dxa"/>
          </w:tcPr>
          <w:p w:rsidR="009538C2" w:rsidRPr="003D29BA" w:rsidP="009538C2" w14:paraId="18ECF85B" w14:textId="77777777">
            <w:pPr>
              <w:ind w:left="220" w:right="96"/>
              <w:rPr>
                <w:sz w:val="20"/>
                <w:szCs w:val="20"/>
                <w:lang w:bidi="en-US"/>
              </w:rPr>
            </w:pPr>
            <w:r w:rsidRPr="003D29BA">
              <w:rPr>
                <w:sz w:val="20"/>
                <w:szCs w:val="20"/>
              </w:rPr>
              <w:t>20.87</w:t>
            </w:r>
          </w:p>
        </w:tc>
        <w:tc>
          <w:tcPr>
            <w:tcW w:w="1702" w:type="dxa"/>
          </w:tcPr>
          <w:p w:rsidR="009538C2" w:rsidRPr="003D29BA" w:rsidP="009538C2" w14:paraId="56007667" w14:textId="77777777">
            <w:pPr>
              <w:ind w:left="220" w:right="96"/>
              <w:rPr>
                <w:sz w:val="20"/>
                <w:szCs w:val="20"/>
                <w:lang w:bidi="en-US"/>
              </w:rPr>
            </w:pPr>
            <w:r w:rsidRPr="003D29BA">
              <w:rPr>
                <w:sz w:val="20"/>
                <w:szCs w:val="20"/>
              </w:rPr>
              <w:t>20.87</w:t>
            </w:r>
          </w:p>
        </w:tc>
        <w:tc>
          <w:tcPr>
            <w:tcW w:w="0" w:type="auto"/>
          </w:tcPr>
          <w:p w:rsidR="009538C2" w:rsidRPr="003D29BA" w:rsidP="009538C2" w14:paraId="6ACB21DC" w14:textId="77777777">
            <w:pPr>
              <w:ind w:left="220" w:right="96"/>
              <w:rPr>
                <w:sz w:val="20"/>
                <w:szCs w:val="20"/>
                <w:lang w:bidi="en-US"/>
              </w:rPr>
            </w:pPr>
            <w:r w:rsidRPr="003D29BA">
              <w:rPr>
                <w:sz w:val="20"/>
                <w:szCs w:val="20"/>
                <w:lang w:bidi="en-US"/>
              </w:rPr>
              <w:t>41.74</w:t>
            </w:r>
          </w:p>
        </w:tc>
      </w:tr>
      <w:tr w14:paraId="644F215B"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3BC25191" w14:textId="77777777">
            <w:pPr>
              <w:ind w:left="220" w:right="96"/>
              <w:rPr>
                <w:sz w:val="20"/>
                <w:szCs w:val="20"/>
              </w:rPr>
            </w:pPr>
            <w:r w:rsidRPr="003D29BA">
              <w:rPr>
                <w:bCs/>
                <w:sz w:val="20"/>
                <w:szCs w:val="20"/>
                <w:lang w:bidi="en-US"/>
              </w:rPr>
              <w:t>Surgeons, All Other</w:t>
            </w:r>
          </w:p>
        </w:tc>
        <w:tc>
          <w:tcPr>
            <w:tcW w:w="1471" w:type="dxa"/>
            <w:vAlign w:val="center"/>
          </w:tcPr>
          <w:p w:rsidR="009538C2" w:rsidRPr="003D29BA" w:rsidP="009538C2" w14:paraId="28C0014B" w14:textId="77777777">
            <w:pPr>
              <w:ind w:left="220" w:right="96"/>
              <w:rPr>
                <w:sz w:val="20"/>
                <w:szCs w:val="20"/>
              </w:rPr>
            </w:pPr>
            <w:r w:rsidRPr="003D29BA">
              <w:rPr>
                <w:sz w:val="20"/>
                <w:szCs w:val="20"/>
              </w:rPr>
              <w:t>29-1249</w:t>
            </w:r>
          </w:p>
        </w:tc>
        <w:tc>
          <w:tcPr>
            <w:tcW w:w="1409" w:type="dxa"/>
            <w:vAlign w:val="center"/>
          </w:tcPr>
          <w:p w:rsidR="009538C2" w:rsidRPr="003D29BA" w:rsidP="009538C2" w14:paraId="68FE5703" w14:textId="77777777">
            <w:pPr>
              <w:ind w:left="220" w:right="96"/>
              <w:rPr>
                <w:sz w:val="20"/>
                <w:szCs w:val="20"/>
              </w:rPr>
            </w:pPr>
            <w:r w:rsidRPr="003D29BA">
              <w:rPr>
                <w:sz w:val="20"/>
                <w:szCs w:val="20"/>
              </w:rPr>
              <w:t>167.25</w:t>
            </w:r>
          </w:p>
        </w:tc>
        <w:tc>
          <w:tcPr>
            <w:tcW w:w="1702" w:type="dxa"/>
            <w:vAlign w:val="center"/>
          </w:tcPr>
          <w:p w:rsidR="009538C2" w:rsidRPr="003D29BA" w:rsidP="009538C2" w14:paraId="005CF3D9" w14:textId="77777777">
            <w:pPr>
              <w:ind w:left="220" w:right="96"/>
              <w:rPr>
                <w:sz w:val="20"/>
                <w:szCs w:val="20"/>
              </w:rPr>
            </w:pPr>
            <w:r w:rsidRPr="003D29BA">
              <w:rPr>
                <w:sz w:val="20"/>
                <w:szCs w:val="20"/>
              </w:rPr>
              <w:t>167.25</w:t>
            </w:r>
          </w:p>
        </w:tc>
        <w:tc>
          <w:tcPr>
            <w:tcW w:w="0" w:type="auto"/>
            <w:vAlign w:val="center"/>
          </w:tcPr>
          <w:p w:rsidR="009538C2" w:rsidRPr="003D29BA" w:rsidP="009538C2" w14:paraId="09037293" w14:textId="77777777">
            <w:pPr>
              <w:ind w:left="220" w:right="96"/>
              <w:rPr>
                <w:sz w:val="20"/>
                <w:szCs w:val="20"/>
              </w:rPr>
            </w:pPr>
            <w:r w:rsidRPr="003D29BA">
              <w:rPr>
                <w:sz w:val="20"/>
                <w:szCs w:val="20"/>
              </w:rPr>
              <w:t>334.50</w:t>
            </w:r>
          </w:p>
        </w:tc>
      </w:tr>
      <w:tr w14:paraId="22C33FDF" w14:textId="77777777" w:rsidTr="007D2B7C">
        <w:tblPrEx>
          <w:tblW w:w="0" w:type="dxa"/>
          <w:jc w:val="center"/>
          <w:tblCellMar>
            <w:left w:w="0" w:type="dxa"/>
            <w:right w:w="0" w:type="dxa"/>
          </w:tblCellMar>
          <w:tblLook w:val="01E0"/>
        </w:tblPrEx>
        <w:trPr>
          <w:jc w:val="center"/>
        </w:trPr>
        <w:tc>
          <w:tcPr>
            <w:tcW w:w="3595" w:type="dxa"/>
          </w:tcPr>
          <w:p w:rsidR="009538C2" w:rsidRPr="003D29BA" w:rsidP="009538C2" w14:paraId="4ABF91DD" w14:textId="77777777">
            <w:pPr>
              <w:ind w:left="220" w:right="96"/>
              <w:rPr>
                <w:sz w:val="20"/>
                <w:szCs w:val="20"/>
              </w:rPr>
            </w:pPr>
            <w:r w:rsidRPr="003D29BA">
              <w:rPr>
                <w:sz w:val="20"/>
                <w:szCs w:val="20"/>
              </w:rPr>
              <w:t>Surgeons, Except Ophthalmologists</w:t>
            </w:r>
          </w:p>
        </w:tc>
        <w:tc>
          <w:tcPr>
            <w:tcW w:w="1471" w:type="dxa"/>
            <w:vAlign w:val="center"/>
          </w:tcPr>
          <w:p w:rsidR="009538C2" w:rsidRPr="003D29BA" w:rsidP="009538C2" w14:paraId="324BB8D5" w14:textId="77777777">
            <w:pPr>
              <w:ind w:left="220" w:right="96"/>
              <w:rPr>
                <w:sz w:val="20"/>
                <w:szCs w:val="20"/>
              </w:rPr>
            </w:pPr>
            <w:r w:rsidRPr="003D29BA">
              <w:rPr>
                <w:sz w:val="20"/>
                <w:szCs w:val="20"/>
              </w:rPr>
              <w:t>29-1240</w:t>
            </w:r>
          </w:p>
        </w:tc>
        <w:tc>
          <w:tcPr>
            <w:tcW w:w="1409" w:type="dxa"/>
            <w:vAlign w:val="center"/>
          </w:tcPr>
          <w:p w:rsidR="009538C2" w:rsidRPr="003D29BA" w:rsidP="009538C2" w14:paraId="1DFE8C49" w14:textId="77777777">
            <w:pPr>
              <w:ind w:left="220" w:right="96"/>
              <w:rPr>
                <w:sz w:val="20"/>
                <w:szCs w:val="20"/>
              </w:rPr>
            </w:pPr>
            <w:r w:rsidRPr="003D29BA">
              <w:rPr>
                <w:sz w:val="20"/>
                <w:szCs w:val="20"/>
              </w:rPr>
              <w:t>162.49</w:t>
            </w:r>
          </w:p>
        </w:tc>
        <w:tc>
          <w:tcPr>
            <w:tcW w:w="1702" w:type="dxa"/>
            <w:vAlign w:val="center"/>
          </w:tcPr>
          <w:p w:rsidR="009538C2" w:rsidRPr="003D29BA" w:rsidP="009538C2" w14:paraId="49589C3E" w14:textId="77777777">
            <w:pPr>
              <w:ind w:left="220" w:right="96"/>
              <w:rPr>
                <w:sz w:val="20"/>
                <w:szCs w:val="20"/>
              </w:rPr>
            </w:pPr>
            <w:r w:rsidRPr="003D29BA">
              <w:rPr>
                <w:sz w:val="20"/>
                <w:szCs w:val="20"/>
              </w:rPr>
              <w:t>162.49</w:t>
            </w:r>
          </w:p>
        </w:tc>
        <w:tc>
          <w:tcPr>
            <w:tcW w:w="0" w:type="auto"/>
            <w:vAlign w:val="center"/>
          </w:tcPr>
          <w:p w:rsidR="009538C2" w:rsidRPr="003D29BA" w:rsidP="009538C2" w14:paraId="676EDA8D" w14:textId="77777777">
            <w:pPr>
              <w:ind w:left="220" w:right="96"/>
              <w:rPr>
                <w:sz w:val="20"/>
                <w:szCs w:val="20"/>
              </w:rPr>
            </w:pPr>
            <w:r w:rsidRPr="003D29BA">
              <w:rPr>
                <w:sz w:val="20"/>
                <w:szCs w:val="20"/>
              </w:rPr>
              <w:t>324.98</w:t>
            </w:r>
          </w:p>
        </w:tc>
      </w:tr>
    </w:tbl>
    <w:p w:rsidR="005038E4" w:rsidP="00665BC8" w14:paraId="01BC65FB" w14:textId="77777777">
      <w:pPr>
        <w:ind w:left="220" w:right="96"/>
        <w:rPr>
          <w:szCs w:val="20"/>
        </w:rPr>
      </w:pPr>
    </w:p>
    <w:p w:rsidR="00B43534" w:rsidRPr="00041A6A" w:rsidP="0011028A" w14:paraId="020CE0D0" w14:textId="209A3DB6">
      <w:pPr>
        <w:pStyle w:val="Heading3"/>
      </w:pPr>
      <w:r w:rsidRPr="00041A6A">
        <w:t>Framework for Understanding the Burden of MIPS Data Submission</w:t>
      </w:r>
    </w:p>
    <w:p w:rsidR="005038E4" w:rsidRPr="00C21AF3" w:rsidP="00730BEF" w14:paraId="4C6BEC3D" w14:textId="69FF0D02">
      <w:pPr>
        <w:spacing w:after="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 </w:t>
      </w:r>
      <w:r w:rsidRPr="009819CC">
        <w:t xml:space="preserve">As </w:t>
      </w:r>
      <w:r w:rsidRPr="00C21AF3">
        <w:t xml:space="preserve">shown in Table 2, MIPS eligible clinicians and other clinicians voluntarily submitting data </w:t>
      </w:r>
      <w:r w:rsidR="00FD3CB4">
        <w:t xml:space="preserve">to MIPS may </w:t>
      </w:r>
      <w:r w:rsidRPr="00C21AF3">
        <w:t>submit data as individuals, groups,</w:t>
      </w:r>
      <w:r w:rsidR="002E1E3A">
        <w:t xml:space="preserve">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w:t>
      </w:r>
      <w:r w:rsidR="00CF6541">
        <w:t xml:space="preserve">Beginning with </w:t>
      </w:r>
      <w:r w:rsidRPr="00E46B29" w:rsidR="00E46B29">
        <w:t>the CY 2023 performance period/2025 MIPS payment year</w:t>
      </w:r>
      <w:r w:rsidR="00A976B2">
        <w:t>, clinicians could also participate as subgroups for reporting measures and activities in a</w:t>
      </w:r>
      <w:r w:rsidR="00B979C0">
        <w:t>n</w:t>
      </w:r>
      <w:r w:rsidR="005E2211">
        <w:t xml:space="preserve"> MVP</w:t>
      </w:r>
      <w:r w:rsidRPr="00E46B29" w:rsidR="00E46B29">
        <w:t xml:space="preserve">. </w:t>
      </w:r>
      <w:r w:rsidR="005B36AA">
        <w:t xml:space="preserve">The subgroup reporting option is not available for clinicians participating in traditional MIPS. </w:t>
      </w:r>
      <w:r w:rsidRPr="00FD3CB4" w:rsidR="00FD3CB4">
        <w:t>We finalized in the CY 2022 PFS final rule that a subgroup reporting measures and activities in an MVP will submit its affiliated group’s data for the Promoting Interoperability performance category</w:t>
      </w:r>
      <w:r w:rsidR="00C54BB9">
        <w:t>,</w:t>
      </w:r>
      <w:r w:rsidRPr="00FD3CB4" w:rsidR="00FD3CB4">
        <w:t xml:space="preserve"> and in the scenario that a subgroup does not submit its affiliated group’s data, the subgroup will receive a zero score for the Promoting Interoperability performance category (86 FR 65413 through 65414). </w:t>
      </w:r>
      <w:r w:rsidRPr="00C21AF3">
        <w:t xml:space="preserve">Because MIPS eligible clinicians are not required to submit any additional information for assessment under the cost performance category, the administrative claims data used for the cost performance category is not represented in Table </w:t>
      </w:r>
      <w:r w:rsidRPr="00C21AF3">
        <w:t xml:space="preserve">2.  </w:t>
      </w:r>
    </w:p>
    <w:p w:rsidR="00B22D81" w:rsidP="00B22D81" w14:paraId="14756833" w14:textId="77777777">
      <w:pPr>
        <w:spacing w:after="0"/>
      </w:pPr>
    </w:p>
    <w:p w:rsidR="00B22D81" w:rsidP="00B22D81" w14:paraId="2B733054" w14:textId="254452E9">
      <w:pPr>
        <w:spacing w:after="0"/>
        <w:rPr>
          <w:rFonts w:eastAsia="Calibri"/>
        </w:rPr>
      </w:pPr>
      <w:r w:rsidRPr="00B22D81">
        <w:rPr>
          <w:rFonts w:eastAsia="Calibri"/>
        </w:rPr>
        <w:t xml:space="preserve">For MIPS eligible clinicians participating in MIPS APMs, the organizations submitting data on behalf of MIPS eligible clinicians will vary between performance categories and, in some instances, between MIPS APMs. </w:t>
      </w:r>
      <w:r w:rsidR="00CF38C9">
        <w:rPr>
          <w:rFonts w:eastAsia="Calibri"/>
        </w:rPr>
        <w:t>We previously finalized</w:t>
      </w:r>
      <w:r w:rsidRPr="00B22D81">
        <w:rPr>
          <w:rFonts w:eastAsia="Calibri"/>
        </w:rPr>
        <w:t xml:space="preserve"> in th</w:t>
      </w:r>
      <w:r w:rsidR="00086457">
        <w:rPr>
          <w:rFonts w:eastAsia="Calibri"/>
        </w:rPr>
        <w:t>e CY 202</w:t>
      </w:r>
      <w:r w:rsidR="00CF38C9">
        <w:rPr>
          <w:rFonts w:eastAsia="Calibri"/>
        </w:rPr>
        <w:t>1</w:t>
      </w:r>
      <w:r w:rsidR="00086457">
        <w:rPr>
          <w:rFonts w:eastAsia="Calibri"/>
        </w:rPr>
        <w:t xml:space="preserve"> PFS</w:t>
      </w:r>
      <w:r w:rsidRPr="00B22D81">
        <w:rPr>
          <w:rFonts w:eastAsia="Calibri"/>
        </w:rPr>
        <w:t xml:space="preserve"> </w:t>
      </w:r>
      <w:r w:rsidR="00A8283A">
        <w:rPr>
          <w:rFonts w:eastAsia="Calibri"/>
        </w:rPr>
        <w:t xml:space="preserve">final </w:t>
      </w:r>
      <w:r w:rsidRPr="00B22D81">
        <w:rPr>
          <w:rFonts w:eastAsia="Calibri"/>
        </w:rPr>
        <w:t>rule, for clinicians in APM Entities, the APM Performance Pathway</w:t>
      </w:r>
      <w:r w:rsidR="00D141D6">
        <w:rPr>
          <w:rFonts w:eastAsia="Calibri"/>
        </w:rPr>
        <w:t xml:space="preserve"> (APP)</w:t>
      </w:r>
      <w:r w:rsidRPr="00B22D81">
        <w:rPr>
          <w:rFonts w:eastAsia="Calibri"/>
        </w:rPr>
        <w:t xml:space="preserve"> is available for both ACO and non ACOs to submit quality data</w:t>
      </w:r>
      <w:r w:rsidR="001E5055">
        <w:rPr>
          <w:rFonts w:eastAsia="Calibri"/>
        </w:rPr>
        <w:t xml:space="preserve"> (85 FR 84859 through 84866)</w:t>
      </w:r>
      <w:r w:rsidRPr="00B22D81">
        <w:rPr>
          <w:rFonts w:eastAsia="Calibri"/>
        </w:rPr>
        <w:t>. Due to data limitations and our inability to determine who would use the AP</w:t>
      </w:r>
      <w:r w:rsidR="003050E7">
        <w:rPr>
          <w:rFonts w:eastAsia="Calibri"/>
        </w:rPr>
        <w:t xml:space="preserve">P </w:t>
      </w:r>
      <w:r w:rsidRPr="00B22D81">
        <w:rPr>
          <w:rFonts w:eastAsia="Calibri"/>
        </w:rPr>
        <w:t xml:space="preserve">versus the traditional MIPS submission mechanism for the </w:t>
      </w:r>
      <w:r w:rsidR="00F21E6F">
        <w:rPr>
          <w:rFonts w:eastAsia="Calibri"/>
        </w:rPr>
        <w:t xml:space="preserve">CY </w:t>
      </w:r>
      <w:r w:rsidRPr="00B22D81">
        <w:rPr>
          <w:rFonts w:eastAsia="Calibri"/>
        </w:rPr>
        <w:t>202</w:t>
      </w:r>
      <w:r w:rsidR="00CD3181">
        <w:rPr>
          <w:rFonts w:eastAsia="Calibri"/>
        </w:rPr>
        <w:t>4</w:t>
      </w:r>
      <w:r w:rsidRPr="00B22D81">
        <w:rPr>
          <w:rFonts w:eastAsia="Calibri"/>
        </w:rPr>
        <w:t xml:space="preserve"> performance period</w:t>
      </w:r>
      <w:r w:rsidR="00F21E6F">
        <w:rPr>
          <w:rFonts w:eastAsia="Calibri"/>
        </w:rPr>
        <w:t>/202</w:t>
      </w:r>
      <w:r w:rsidR="00CD3181">
        <w:rPr>
          <w:rFonts w:eastAsia="Calibri"/>
        </w:rPr>
        <w:t>6</w:t>
      </w:r>
      <w:r w:rsidR="00F21E6F">
        <w:rPr>
          <w:rFonts w:eastAsia="Calibri"/>
        </w:rPr>
        <w:t xml:space="preserve"> MIPS payment year</w:t>
      </w:r>
      <w:r w:rsidRPr="00B22D81">
        <w:rPr>
          <w:rFonts w:eastAsia="Calibri"/>
        </w:rPr>
        <w:t>, we assume ACO APM Entities will submit data through the A</w:t>
      </w:r>
      <w:r w:rsidR="00A44B66">
        <w:rPr>
          <w:rFonts w:eastAsia="Calibri"/>
        </w:rPr>
        <w:t>PP</w:t>
      </w:r>
      <w:r w:rsidRPr="00B22D81">
        <w:rPr>
          <w:rFonts w:eastAsia="Calibri"/>
        </w:rPr>
        <w:t xml:space="preserve"> using the CMS Web Interface option, and non-ACO APM Entities would participate through traditional MIPS, thereby submitting as an individual or group rather than as a</w:t>
      </w:r>
      <w:r w:rsidR="00447AD2">
        <w:rPr>
          <w:rFonts w:eastAsia="Calibri"/>
        </w:rPr>
        <w:t>n</w:t>
      </w:r>
      <w:r w:rsidRPr="00B22D81">
        <w:rPr>
          <w:rFonts w:eastAsia="Calibri"/>
        </w:rPr>
        <w:t xml:space="preserve"> entity. </w:t>
      </w:r>
      <w:r w:rsidRPr="000D3F9A" w:rsidR="000D3F9A">
        <w:rPr>
          <w:rFonts w:eastAsia="Calibri"/>
        </w:rPr>
        <w:t>We also want to note that as finalized in the CY 2022 PFS final rule (86 FR 65259 through 65263), the CMS Web Interface collection type is available through the CY 2024 performance period/2026 MIPS payment year only for clinicians participating in the Shared Savings Program.  Per section 1899</w:t>
      </w:r>
      <w:r w:rsidR="00ED35AB">
        <w:rPr>
          <w:rFonts w:eastAsia="Calibri"/>
        </w:rPr>
        <w:t>(c)</w:t>
      </w:r>
      <w:r w:rsidRPr="000D3F9A" w:rsidR="000D3F9A">
        <w:rPr>
          <w:rFonts w:eastAsia="Calibri"/>
        </w:rPr>
        <w:t xml:space="preserve"> of the Act, submissions received from eligible clinicians in ACOs are not included in burden estimates for this </w:t>
      </w:r>
      <w:r w:rsidR="00E32C0D">
        <w:rPr>
          <w:rFonts w:eastAsia="Calibri"/>
        </w:rPr>
        <w:t>final</w:t>
      </w:r>
      <w:r w:rsidRPr="000D3F9A" w:rsidR="000D3F9A">
        <w:rPr>
          <w:rFonts w:eastAsia="Calibri"/>
        </w:rPr>
        <w:t xml:space="preserve"> rule </w:t>
      </w:r>
      <w:r w:rsidRPr="000D3F9A" w:rsidR="000D3F9A">
        <w:rPr>
          <w:rFonts w:eastAsia="Calibri"/>
        </w:rPr>
        <w:t>because quality data submissions to fulfill requirements of the Shared Savings Program are not subject to the PRA.</w:t>
      </w:r>
    </w:p>
    <w:p w:rsidR="00B22D81" w:rsidRPr="00B22D81" w:rsidP="00B22D81" w14:paraId="2E3FB9F0" w14:textId="77777777">
      <w:pPr>
        <w:spacing w:after="0"/>
        <w:ind w:firstLine="720"/>
        <w:rPr>
          <w:rFonts w:eastAsia="Calibri"/>
        </w:rPr>
      </w:pPr>
    </w:p>
    <w:p w:rsidR="00140F61" w:rsidP="00B22D81" w14:paraId="1CBBBBD4" w14:textId="492D711D">
      <w:pPr>
        <w:spacing w:after="0"/>
        <w:rPr>
          <w:rFonts w:eastAsia="Calibri"/>
        </w:rPr>
      </w:pPr>
      <w:r w:rsidRPr="00B22D81">
        <w:rPr>
          <w:rFonts w:eastAsia="Calibri"/>
        </w:rPr>
        <w:t>For the Promoting Interoperability performance category, group TINs may submit data on behalf of eligible clinicians in MIPS APMs, or eligible clinicians in MIPS APMs may submit data individually.</w:t>
      </w:r>
      <w:r w:rsidR="00E90C3F">
        <w:rPr>
          <w:rFonts w:eastAsia="Calibri"/>
        </w:rPr>
        <w:t xml:space="preserve"> </w:t>
      </w:r>
      <w:r w:rsidRPr="00BE0373" w:rsidR="00531C1A">
        <w:rPr>
          <w:rFonts w:eastAsia="Calibri"/>
          <w:color w:val="000000" w:themeColor="text1"/>
        </w:rPr>
        <w:t>A</w:t>
      </w:r>
      <w:r w:rsidR="00531C1A">
        <w:rPr>
          <w:rFonts w:eastAsia="Calibri"/>
          <w:color w:val="000000" w:themeColor="text1"/>
        </w:rPr>
        <w:t>dditionally,</w:t>
      </w:r>
      <w:r w:rsidRPr="00BE0373" w:rsidR="00531C1A">
        <w:rPr>
          <w:rFonts w:eastAsia="Calibri"/>
          <w:color w:val="000000" w:themeColor="text1"/>
        </w:rPr>
        <w:t xml:space="preserve"> we </w:t>
      </w:r>
      <w:r w:rsidR="00531C1A">
        <w:rPr>
          <w:rFonts w:eastAsia="Calibri"/>
          <w:color w:val="000000" w:themeColor="text1"/>
        </w:rPr>
        <w:t>finalized the introduction of</w:t>
      </w:r>
      <w:r w:rsidRPr="00BE0373" w:rsidR="00531C1A">
        <w:rPr>
          <w:rFonts w:eastAsia="Calibri"/>
          <w:color w:val="000000" w:themeColor="text1"/>
        </w:rPr>
        <w:t xml:space="preserve"> a voluntary reporting option for APM Entities to report the Promoting Interoperability performance category at the APM Entity level beginning with the CY 2023</w:t>
      </w:r>
      <w:r w:rsidRPr="00845494" w:rsidR="00531C1A">
        <w:rPr>
          <w:color w:val="000000" w:themeColor="text1"/>
        </w:rPr>
        <w:t xml:space="preserve"> </w:t>
      </w:r>
      <w:r w:rsidRPr="00BE0373" w:rsidR="00531C1A">
        <w:rPr>
          <w:rFonts w:eastAsia="Calibri"/>
          <w:color w:val="000000" w:themeColor="text1"/>
        </w:rPr>
        <w:t>performance period/2025 MIPS payment year</w:t>
      </w:r>
      <w:r w:rsidR="00531C1A">
        <w:rPr>
          <w:rFonts w:eastAsia="Calibri"/>
          <w:color w:val="000000" w:themeColor="text1"/>
        </w:rPr>
        <w:t xml:space="preserve"> (87 FR 70087 and 70088)</w:t>
      </w:r>
      <w:r w:rsidRPr="00BE0373" w:rsidR="00531C1A">
        <w:rPr>
          <w:rFonts w:eastAsia="Calibri"/>
          <w:color w:val="000000" w:themeColor="text1"/>
        </w:rPr>
        <w:t>.</w:t>
      </w:r>
      <w:r w:rsidRPr="00BE0373" w:rsidR="00531C1A">
        <w:rPr>
          <w:color w:val="000000" w:themeColor="text1"/>
        </w:rPr>
        <w:t xml:space="preserve"> </w:t>
      </w:r>
      <w:r w:rsidRPr="00140F61">
        <w:rPr>
          <w:rFonts w:eastAsia="Calibri"/>
        </w:rPr>
        <w:t>Certain MIPS eligible clinicians are automatically eligible for a zero percent weighting for the Promoting Interoperability performance category</w:t>
      </w:r>
      <w:r>
        <w:rPr>
          <w:rFonts w:eastAsia="Calibri"/>
        </w:rPr>
        <w:t>.</w:t>
      </w:r>
      <w:r w:rsidRPr="00140F61">
        <w:rPr>
          <w:rFonts w:eastAsia="Calibri"/>
        </w:rPr>
        <w:t xml:space="preserve"> </w:t>
      </w:r>
      <w:r w:rsidR="00097A47">
        <w:rPr>
          <w:rFonts w:eastAsia="Calibri"/>
        </w:rPr>
        <w:t>Additionally, c</w:t>
      </w:r>
      <w:r w:rsidRPr="00097A47" w:rsidR="00097A47">
        <w:rPr>
          <w:rFonts w:eastAsia="Calibri"/>
        </w:rPr>
        <w:t xml:space="preserve">linicians </w:t>
      </w:r>
      <w:r w:rsidR="00B150A7">
        <w:rPr>
          <w:rFonts w:eastAsia="Calibri"/>
        </w:rPr>
        <w:t>who</w:t>
      </w:r>
      <w:r w:rsidRPr="00097A47" w:rsidR="00097A47">
        <w:rPr>
          <w:rFonts w:eastAsia="Calibri"/>
        </w:rPr>
        <w:t xml:space="preserve"> submit an </w:t>
      </w:r>
      <w:r w:rsidR="00531C1A">
        <w:rPr>
          <w:rFonts w:eastAsia="Calibri"/>
        </w:rPr>
        <w:t xml:space="preserve">exception </w:t>
      </w:r>
      <w:r w:rsidRPr="00097A47" w:rsidR="00097A47">
        <w:rPr>
          <w:rFonts w:eastAsia="Calibri"/>
        </w:rPr>
        <w:t xml:space="preserve">application and </w:t>
      </w:r>
      <w:r w:rsidR="0012265B">
        <w:rPr>
          <w:rFonts w:eastAsia="Calibri"/>
        </w:rPr>
        <w:t>qualify</w:t>
      </w:r>
      <w:r w:rsidRPr="00097A47" w:rsidR="00097A47">
        <w:rPr>
          <w:rFonts w:eastAsia="Calibri"/>
        </w:rPr>
        <w:t xml:space="preserve"> for significant hardship or other exceptions are also eligible for a zero percent weighting</w:t>
      </w:r>
      <w:r w:rsidR="00531C1A">
        <w:rPr>
          <w:rFonts w:eastAsia="Calibri"/>
        </w:rPr>
        <w:t xml:space="preserve"> of one or more of the applicable MIPS performance categories</w:t>
      </w:r>
      <w:r w:rsidRPr="00097A47" w:rsidR="00097A47">
        <w:rPr>
          <w:rFonts w:eastAsia="Calibri"/>
        </w:rPr>
        <w:t>.</w:t>
      </w:r>
      <w:r w:rsidRPr="00B22D81">
        <w:rPr>
          <w:rFonts w:eastAsia="Calibri"/>
        </w:rPr>
        <w:t xml:space="preserve"> </w:t>
      </w:r>
    </w:p>
    <w:p w:rsidR="00140F61" w:rsidP="00B22D81" w14:paraId="3A05B5FC" w14:textId="77777777">
      <w:pPr>
        <w:spacing w:after="0"/>
        <w:rPr>
          <w:rFonts w:eastAsia="Calibri"/>
        </w:rPr>
      </w:pPr>
    </w:p>
    <w:p w:rsidR="00B22D81" w:rsidP="00B22D81" w14:paraId="7D11E273" w14:textId="0EBB149E">
      <w:pPr>
        <w:spacing w:after="0"/>
        <w:rPr>
          <w:rFonts w:eastAsia="Calibri"/>
        </w:rPr>
      </w:pPr>
      <w:r w:rsidRPr="00B22D81">
        <w:rPr>
          <w:rFonts w:eastAsia="Calibri"/>
        </w:rPr>
        <w:t>For the improvement activities performance category, we will assume no reporting burden for MIPS APM participants</w:t>
      </w:r>
      <w:r w:rsidR="006D1416">
        <w:rPr>
          <w:rFonts w:eastAsia="Calibri"/>
        </w:rPr>
        <w:t xml:space="preserve"> because </w:t>
      </w:r>
      <w:r w:rsidR="008F0A8A">
        <w:rPr>
          <w:rFonts w:eastAsia="Calibri"/>
        </w:rPr>
        <w:t xml:space="preserve">we assume </w:t>
      </w:r>
      <w:r w:rsidR="006D1416">
        <w:rPr>
          <w:rFonts w:eastAsia="Calibri"/>
        </w:rPr>
        <w:t>they will be report</w:t>
      </w:r>
      <w:r w:rsidR="00CF76A7">
        <w:rPr>
          <w:rFonts w:eastAsia="Calibri"/>
        </w:rPr>
        <w:t xml:space="preserve">ing </w:t>
      </w:r>
      <w:r w:rsidR="00EC4973">
        <w:rPr>
          <w:rFonts w:eastAsia="Calibri"/>
        </w:rPr>
        <w:t>through the APM Performance Pathway</w:t>
      </w:r>
      <w:r w:rsidRPr="00B22D81">
        <w:rPr>
          <w:rFonts w:eastAsia="Calibri"/>
        </w:rPr>
        <w:t xml:space="preserve">. In the CY 2017 Quality Payment Program final rule, we </w:t>
      </w:r>
      <w:r w:rsidR="00531C1A">
        <w:rPr>
          <w:rFonts w:eastAsia="Calibri"/>
        </w:rPr>
        <w:t xml:space="preserve">established </w:t>
      </w:r>
      <w:r w:rsidRPr="00B22D81">
        <w:rPr>
          <w:rFonts w:eastAsia="Calibri"/>
        </w:rPr>
        <w:t xml:space="preserve">that for MIPS APMs, we compare the requirements of the specific MIPS APM with the list of activities in the </w:t>
      </w:r>
      <w:r w:rsidR="00307649">
        <w:rPr>
          <w:rFonts w:eastAsia="Calibri"/>
        </w:rPr>
        <w:t>i</w:t>
      </w:r>
      <w:r w:rsidRPr="00B22D81">
        <w:rPr>
          <w:rFonts w:eastAsia="Calibri"/>
        </w:rPr>
        <w:t xml:space="preserve">mprovement </w:t>
      </w:r>
      <w:r w:rsidR="00307649">
        <w:rPr>
          <w:rFonts w:eastAsia="Calibri"/>
        </w:rPr>
        <w:t>a</w:t>
      </w:r>
      <w:r w:rsidRPr="00B22D81">
        <w:rPr>
          <w:rFonts w:eastAsia="Calibri"/>
        </w:rPr>
        <w:t xml:space="preserve">ctivities </w:t>
      </w:r>
      <w:r w:rsidR="00307649">
        <w:rPr>
          <w:rFonts w:eastAsia="Calibri"/>
        </w:rPr>
        <w:t>i</w:t>
      </w:r>
      <w:r w:rsidRPr="00B22D81">
        <w:rPr>
          <w:rFonts w:eastAsia="Calibri"/>
        </w:rPr>
        <w:t xml:space="preserve">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w:t>
      </w:r>
    </w:p>
    <w:p w:rsidR="00B22D81" w:rsidRPr="00B22D81" w:rsidP="00B22D81" w14:paraId="1B2E2615" w14:textId="77777777">
      <w:pPr>
        <w:spacing w:after="0"/>
        <w:ind w:firstLine="720"/>
        <w:rPr>
          <w:rFonts w:eastAsia="Calibri"/>
        </w:rPr>
      </w:pPr>
    </w:p>
    <w:p w:rsidR="005038E4" w:rsidRPr="00C47150" w:rsidP="00B22D81" w14:paraId="5F6E4DF3" w14:textId="3229511C">
      <w:pPr>
        <w:spacing w:after="0"/>
        <w:rPr>
          <w:b/>
          <w:bCs/>
        </w:rPr>
      </w:pPr>
      <w:r w:rsidRPr="00B22D81">
        <w:rPr>
          <w:rFonts w:eastAsia="Calibri"/>
        </w:rPr>
        <w:t>Eligible clinicians who attain Partial QP status may incur additional burden if they elect to participate in MIPS, which is discussed in more detail in the CY 2018 Quality Payment Program final rule (82 FR 53841 through 53844).</w:t>
      </w:r>
    </w:p>
    <w:p w:rsidR="00FB43E3" w:rsidP="00F27981" w14:paraId="01308D37" w14:textId="77777777">
      <w:pPr>
        <w:keepNext/>
        <w:keepLines/>
        <w:widowControl w:val="0"/>
        <w:ind w:firstLine="86"/>
        <w:jc w:val="center"/>
        <w:rPr>
          <w:b/>
          <w:color w:val="000000" w:themeColor="text1"/>
        </w:rPr>
      </w:pPr>
    </w:p>
    <w:p w:rsidR="00F27981" w:rsidP="00FC0068" w14:paraId="19A10BD8" w14:textId="69A69EEB">
      <w:pPr>
        <w:keepNext/>
        <w:keepLines/>
        <w:widowControl w:val="0"/>
        <w:ind w:firstLine="86"/>
        <w:jc w:val="center"/>
        <w:rPr>
          <w:b/>
          <w:color w:val="000000" w:themeColor="text1"/>
        </w:rPr>
      </w:pPr>
      <w:r w:rsidRPr="00BE0373">
        <w:rPr>
          <w:b/>
          <w:color w:val="000000" w:themeColor="text1"/>
        </w:rPr>
        <w:t xml:space="preserve">TABLE </w:t>
      </w:r>
      <w:r w:rsidRPr="004C1249" w:rsidR="00FB43E3">
        <w:rPr>
          <w:b/>
          <w:color w:val="000000" w:themeColor="text1"/>
        </w:rPr>
        <w:t>2</w:t>
      </w:r>
      <w:r w:rsidRPr="00BE0373">
        <w:rPr>
          <w:b/>
          <w:color w:val="000000" w:themeColor="text1"/>
        </w:rPr>
        <w:t>:  Clinicians or Organizations Submitting MIPS Data on Behalf of Clinicians, by Type of Data and Category of Clinician</w:t>
      </w:r>
      <w:r>
        <w:rPr>
          <w:b/>
          <w:color w:val="000000" w:themeColor="text1"/>
        </w:rPr>
        <w:t xml:space="preserve"> </w:t>
      </w:r>
    </w:p>
    <w:tbl>
      <w:tblPr>
        <w:tblW w:w="9720" w:type="dxa"/>
        <w:tblInd w:w="260" w:type="dxa"/>
        <w:tblCellMar>
          <w:left w:w="0" w:type="dxa"/>
          <w:right w:w="0" w:type="dxa"/>
        </w:tblCellMar>
        <w:tblLook w:val="04A0"/>
      </w:tblPr>
      <w:tblGrid>
        <w:gridCol w:w="4500"/>
        <w:gridCol w:w="5220"/>
      </w:tblGrid>
      <w:tr w14:paraId="74F4BB79" w14:textId="77777777" w:rsidTr="00AF3F09">
        <w:tblPrEx>
          <w:tblW w:w="9720" w:type="dxa"/>
          <w:tblInd w:w="260" w:type="dxa"/>
          <w:tblCellMar>
            <w:left w:w="0" w:type="dxa"/>
            <w:right w:w="0" w:type="dxa"/>
          </w:tblCellMar>
          <w:tblLook w:val="04A0"/>
        </w:tblPrEx>
        <w:trPr>
          <w:cantSplit/>
          <w:trHeight w:val="136"/>
          <w:tblHeader/>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52502EB1" w14:textId="77777777">
            <w:pPr>
              <w:keepNext/>
              <w:keepLines/>
              <w:widowControl w:val="0"/>
              <w:rPr>
                <w:rFonts w:eastAsia="Calibri"/>
                <w:b/>
                <w:bCs/>
                <w:color w:val="000000"/>
                <w:sz w:val="20"/>
                <w:szCs w:val="20"/>
              </w:rPr>
            </w:pPr>
            <w:r w:rsidRPr="004A2990">
              <w:rPr>
                <w:rFonts w:eastAsia="Calibri"/>
                <w:b/>
                <w:bCs/>
                <w:color w:val="000000"/>
                <w:sz w:val="20"/>
                <w:szCs w:val="20"/>
              </w:rPr>
              <w:t>Type of Data Submitted</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981" w:rsidRPr="004A2990" w:rsidP="00F24D56" w14:paraId="691C123E" w14:textId="77777777">
            <w:pPr>
              <w:keepNext/>
              <w:keepLines/>
              <w:widowControl w:val="0"/>
              <w:rPr>
                <w:rFonts w:eastAsia="Calibri"/>
                <w:b/>
                <w:bCs/>
                <w:color w:val="000000"/>
                <w:sz w:val="20"/>
                <w:szCs w:val="20"/>
              </w:rPr>
            </w:pPr>
            <w:r w:rsidRPr="004A2990">
              <w:rPr>
                <w:rFonts w:eastAsia="Calibri"/>
                <w:b/>
                <w:bCs/>
                <w:color w:val="000000"/>
                <w:sz w:val="20"/>
                <w:szCs w:val="20"/>
              </w:rPr>
              <w:t>Category of Clinician</w:t>
            </w:r>
          </w:p>
        </w:tc>
      </w:tr>
      <w:tr w14:paraId="639E23D2" w14:textId="77777777" w:rsidTr="00AF3F09">
        <w:tblPrEx>
          <w:tblW w:w="9720" w:type="dxa"/>
          <w:tblInd w:w="260" w:type="dxa"/>
          <w:tblCellMar>
            <w:left w:w="0" w:type="dxa"/>
            <w:right w:w="0" w:type="dxa"/>
          </w:tblCellMar>
          <w:tblLook w:val="04A0"/>
        </w:tblPrEx>
        <w:trPr>
          <w:cantSplit/>
          <w:trHeight w:val="140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6BC900D3" w14:textId="77777777">
            <w:pPr>
              <w:keepNext/>
              <w:keepLines/>
              <w:widowControl w:val="0"/>
              <w:rPr>
                <w:rFonts w:eastAsia="Calibri"/>
                <w:color w:val="000000"/>
                <w:sz w:val="20"/>
                <w:szCs w:val="20"/>
              </w:rPr>
            </w:pPr>
            <w:r w:rsidRPr="004A2990">
              <w:rPr>
                <w:rFonts w:eastAsia="Calibri"/>
                <w:color w:val="000000"/>
                <w:sz w:val="20"/>
                <w:szCs w:val="20"/>
              </w:rPr>
              <w:t>Quality Performance Category</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F27981" w:rsidRPr="004A2990" w:rsidP="00F24D56" w14:paraId="19317FD6" w14:textId="77777777">
            <w:pPr>
              <w:keepNext/>
              <w:keepLines/>
              <w:widowControl w:val="0"/>
              <w:rPr>
                <w:rFonts w:eastAsia="Calibri"/>
                <w:color w:val="000000"/>
                <w:sz w:val="20"/>
                <w:szCs w:val="20"/>
              </w:rPr>
            </w:pPr>
            <w:r w:rsidRPr="004A2990">
              <w:rPr>
                <w:rFonts w:eastAsia="Calibri"/>
                <w:color w:val="000000"/>
                <w:sz w:val="20"/>
                <w:szCs w:val="20"/>
              </w:rPr>
              <w:t>Individual clinician (MIPS eligible, voluntary, opt-in), group, virtual group, subgroup, or APM Entity.</w:t>
            </w:r>
          </w:p>
          <w:p w:rsidR="00F27981" w:rsidRPr="004A2990" w:rsidP="00746B8F" w14:paraId="369A96F6" w14:textId="63771EA7">
            <w:pPr>
              <w:keepNext/>
              <w:keepLines/>
              <w:widowControl w:val="0"/>
              <w:rPr>
                <w:rFonts w:eastAsia="Calibri"/>
                <w:color w:val="000000"/>
                <w:sz w:val="20"/>
                <w:szCs w:val="20"/>
              </w:rPr>
            </w:pPr>
            <w:r w:rsidRPr="004A2990">
              <w:rPr>
                <w:rFonts w:eastAsia="Calibri"/>
                <w:color w:val="000000"/>
                <w:sz w:val="20"/>
                <w:szCs w:val="20"/>
              </w:rPr>
              <w:t>Subgroup reporting is only available for clinicians participating in MVP reporting.</w:t>
            </w:r>
          </w:p>
        </w:tc>
      </w:tr>
      <w:tr w14:paraId="473C2696"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44D121EE" w14:textId="77777777">
            <w:pPr>
              <w:keepNext/>
              <w:keepLines/>
              <w:widowControl w:val="0"/>
              <w:rPr>
                <w:rFonts w:eastAsia="Calibri"/>
                <w:color w:val="000000"/>
                <w:sz w:val="20"/>
                <w:szCs w:val="20"/>
              </w:rPr>
            </w:pPr>
            <w:r w:rsidRPr="004A2990">
              <w:rPr>
                <w:rFonts w:eastAsia="Calibri"/>
                <w:color w:val="000000"/>
                <w:sz w:val="20"/>
                <w:szCs w:val="20"/>
              </w:rPr>
              <w:t>Promoting Interoperability Performance Category</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F27981" w:rsidRPr="004A2990" w:rsidP="00F24D56" w14:paraId="260F7DDB" w14:textId="77777777">
            <w:pPr>
              <w:keepNext/>
              <w:keepLines/>
              <w:widowControl w:val="0"/>
              <w:rPr>
                <w:rFonts w:eastAsia="Calibri"/>
                <w:color w:val="000000"/>
                <w:sz w:val="20"/>
                <w:szCs w:val="20"/>
              </w:rPr>
            </w:pPr>
            <w:r w:rsidRPr="004A2990">
              <w:rPr>
                <w:rFonts w:eastAsia="Calibri"/>
                <w:color w:val="000000"/>
                <w:sz w:val="20"/>
                <w:szCs w:val="20"/>
              </w:rPr>
              <w:t>Individual clinician (MIPS eligible, voluntary, opt-in), group, virtual group, subgroup, or APM Entity.</w:t>
            </w:r>
          </w:p>
          <w:p w:rsidR="00F27981" w:rsidRPr="004A2990" w:rsidP="00F24D56" w14:paraId="3B5BFE98" w14:textId="77777777">
            <w:pPr>
              <w:keepNext/>
              <w:keepLines/>
              <w:widowControl w:val="0"/>
              <w:rPr>
                <w:rFonts w:eastAsia="Calibri"/>
                <w:color w:val="000000"/>
                <w:sz w:val="20"/>
                <w:szCs w:val="20"/>
              </w:rPr>
            </w:pPr>
            <w:r w:rsidRPr="004A2990">
              <w:rPr>
                <w:rFonts w:eastAsia="Calibri"/>
                <w:color w:val="000000"/>
                <w:sz w:val="20"/>
                <w:szCs w:val="20"/>
              </w:rPr>
              <w:t xml:space="preserve">Each eligible clinician in an APM Entity could report data for the Promoting Interoperability performance category at the individual level, or as part of their group TIN, or under their APM Entity TIN.  </w:t>
            </w:r>
          </w:p>
          <w:p w:rsidR="00F27981" w:rsidRPr="004A2990" w:rsidP="00F24D56" w14:paraId="483F80C7" w14:textId="3A129D28">
            <w:pPr>
              <w:keepNext/>
              <w:keepLines/>
              <w:widowControl w:val="0"/>
              <w:rPr>
                <w:rFonts w:eastAsia="Calibri"/>
                <w:color w:val="000000"/>
                <w:sz w:val="20"/>
                <w:szCs w:val="20"/>
              </w:rPr>
            </w:pPr>
            <w:r w:rsidRPr="004A2990">
              <w:rPr>
                <w:rFonts w:eastAsia="Calibri"/>
                <w:color w:val="000000"/>
                <w:sz w:val="20"/>
                <w:szCs w:val="20"/>
              </w:rPr>
              <w:t xml:space="preserve">The burden estimates for this </w:t>
            </w:r>
            <w:r w:rsidR="008F0E9A">
              <w:rPr>
                <w:rFonts w:eastAsia="Calibri"/>
                <w:color w:val="000000"/>
                <w:sz w:val="20"/>
                <w:szCs w:val="20"/>
              </w:rPr>
              <w:t>final</w:t>
            </w:r>
            <w:r w:rsidRPr="004A2990">
              <w:rPr>
                <w:rFonts w:eastAsia="Calibri"/>
                <w:color w:val="000000"/>
                <w:sz w:val="20"/>
                <w:szCs w:val="20"/>
              </w:rPr>
              <w:t xml:space="preserve"> rule assume group TIN-level reporting.</w:t>
            </w:r>
          </w:p>
        </w:tc>
      </w:tr>
      <w:tr w14:paraId="34067168"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69A12F97" w14:textId="77777777">
            <w:pPr>
              <w:widowControl w:val="0"/>
              <w:rPr>
                <w:rFonts w:eastAsia="Calibri"/>
                <w:color w:val="000000"/>
                <w:sz w:val="20"/>
                <w:szCs w:val="20"/>
              </w:rPr>
            </w:pPr>
            <w:r w:rsidRPr="004A2990">
              <w:rPr>
                <w:rFonts w:eastAsia="Calibri"/>
                <w:color w:val="000000"/>
                <w:sz w:val="20"/>
                <w:szCs w:val="20"/>
              </w:rPr>
              <w:t>Improvement Activities Performance Category</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F27981" w:rsidRPr="004A2990" w:rsidP="00F24D56" w14:paraId="67ABB1A8" w14:textId="77777777">
            <w:pPr>
              <w:widowControl w:val="0"/>
              <w:rPr>
                <w:rFonts w:eastAsia="Calibri"/>
                <w:color w:val="000000"/>
                <w:sz w:val="20"/>
                <w:szCs w:val="20"/>
              </w:rPr>
            </w:pPr>
            <w:r w:rsidRPr="004A2990">
              <w:rPr>
                <w:rFonts w:eastAsia="Calibri"/>
                <w:color w:val="000000"/>
                <w:sz w:val="20"/>
                <w:szCs w:val="20"/>
              </w:rPr>
              <w:t>Individual clinician (MIPS eligible, voluntary, opt-in), group, virtual group, subgroup, or APM Entity.</w:t>
            </w:r>
          </w:p>
          <w:p w:rsidR="00F27981" w:rsidRPr="004A2990" w:rsidP="00F24D56" w14:paraId="58F7C326" w14:textId="36FCC603">
            <w:pPr>
              <w:widowControl w:val="0"/>
              <w:rPr>
                <w:rFonts w:eastAsia="Calibri"/>
                <w:color w:val="000000"/>
                <w:sz w:val="20"/>
                <w:szCs w:val="20"/>
              </w:rPr>
            </w:pPr>
            <w:r w:rsidRPr="004A2990">
              <w:rPr>
                <w:rFonts w:eastAsia="Calibri"/>
                <w:color w:val="000000"/>
                <w:sz w:val="20"/>
                <w:szCs w:val="20"/>
              </w:rPr>
              <w:t xml:space="preserve">The burden estimates for this </w:t>
            </w:r>
            <w:r w:rsidR="00D07D31">
              <w:rPr>
                <w:rFonts w:eastAsia="Calibri"/>
                <w:color w:val="000000"/>
                <w:sz w:val="20"/>
                <w:szCs w:val="20"/>
              </w:rPr>
              <w:t xml:space="preserve">final </w:t>
            </w:r>
            <w:r w:rsidRPr="004A2990">
              <w:rPr>
                <w:rFonts w:eastAsia="Calibri"/>
                <w:color w:val="000000"/>
                <w:sz w:val="20"/>
                <w:szCs w:val="20"/>
              </w:rPr>
              <w:t>rule assume no improvement activities performance category reporting burden for APM participants because we assume the MIPS APM model provides a maximum improvement activity score. APM Entities participating in MIPS APMs receive an improvement activities performance category score of at least 50 percent (§ 414.1380) and do not need to submit improvement activities data unless the CMS-assigned improvement activities scores are below the maximum improvement activities score.</w:t>
            </w:r>
          </w:p>
        </w:tc>
      </w:tr>
      <w:tr w14:paraId="5F8DF053"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76396C22" w14:textId="77777777">
            <w:pPr>
              <w:widowControl w:val="0"/>
              <w:rPr>
                <w:rFonts w:eastAsia="Calibri"/>
                <w:color w:val="000000"/>
                <w:sz w:val="20"/>
                <w:szCs w:val="20"/>
              </w:rPr>
            </w:pPr>
            <w:r w:rsidRPr="004A2990">
              <w:rPr>
                <w:rFonts w:eastAsia="Calibri"/>
                <w:color w:val="000000"/>
                <w:sz w:val="20"/>
                <w:szCs w:val="20"/>
              </w:rPr>
              <w:t xml:space="preserve">Reweighting Applications for </w:t>
            </w:r>
            <w:r>
              <w:rPr>
                <w:rFonts w:eastAsia="Calibri"/>
                <w:color w:val="000000"/>
                <w:sz w:val="20"/>
                <w:szCs w:val="20"/>
              </w:rPr>
              <w:t>extreme and uncontrollable circumstances and</w:t>
            </w:r>
            <w:r w:rsidRPr="004A2990">
              <w:rPr>
                <w:rFonts w:eastAsia="Calibri"/>
                <w:color w:val="000000"/>
                <w:sz w:val="20"/>
                <w:szCs w:val="20"/>
              </w:rPr>
              <w:t xml:space="preserve"> significant hardship or other exceptions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F27981" w:rsidRPr="004A2990" w:rsidP="00F24D56" w14:paraId="13F64DE3" w14:textId="1BAD313D">
            <w:pPr>
              <w:widowControl w:val="0"/>
              <w:rPr>
                <w:rFonts w:eastAsia="Calibri"/>
                <w:color w:val="000000"/>
                <w:sz w:val="20"/>
                <w:szCs w:val="20"/>
              </w:rPr>
            </w:pPr>
            <w:r w:rsidRPr="004A2990">
              <w:rPr>
                <w:rFonts w:eastAsia="Calibri"/>
                <w:color w:val="000000"/>
                <w:sz w:val="20"/>
                <w:szCs w:val="20"/>
              </w:rPr>
              <w:t xml:space="preserve">Clinicians who </w:t>
            </w:r>
            <w:r w:rsidRPr="000A4DCD">
              <w:rPr>
                <w:rFonts w:eastAsia="Calibri"/>
                <w:color w:val="000000"/>
                <w:sz w:val="20"/>
                <w:szCs w:val="20"/>
              </w:rPr>
              <w:t>submit an</w:t>
            </w:r>
            <w:r w:rsidRPr="004A2990">
              <w:rPr>
                <w:rFonts w:eastAsia="Calibri"/>
                <w:color w:val="000000"/>
                <w:sz w:val="20"/>
                <w:szCs w:val="20"/>
              </w:rPr>
              <w:t xml:space="preserve"> application</w:t>
            </w:r>
            <w:r w:rsidRPr="004A2990">
              <w:rPr>
                <w:rFonts w:eastAsia="Calibri"/>
                <w:color w:val="000000"/>
                <w:sz w:val="20"/>
                <w:szCs w:val="20"/>
              </w:rPr>
              <w:t xml:space="preserve"> </w:t>
            </w:r>
            <w:r>
              <w:rPr>
                <w:rFonts w:eastAsia="Calibri"/>
                <w:color w:val="000000"/>
                <w:sz w:val="20"/>
                <w:szCs w:val="20"/>
              </w:rPr>
              <w:t xml:space="preserve">may be </w:t>
            </w:r>
            <w:r w:rsidRPr="004A2990">
              <w:rPr>
                <w:rFonts w:eastAsia="Calibri"/>
                <w:color w:val="000000"/>
                <w:sz w:val="20"/>
                <w:szCs w:val="20"/>
              </w:rPr>
              <w:t xml:space="preserve">eligible for a </w:t>
            </w:r>
            <w:r>
              <w:rPr>
                <w:rFonts w:eastAsia="Calibri"/>
                <w:color w:val="000000"/>
                <w:sz w:val="20"/>
                <w:szCs w:val="20"/>
              </w:rPr>
              <w:t>re</w:t>
            </w:r>
            <w:r w:rsidRPr="004A2990">
              <w:rPr>
                <w:rFonts w:eastAsia="Calibri"/>
                <w:color w:val="000000"/>
                <w:sz w:val="20"/>
                <w:szCs w:val="20"/>
              </w:rPr>
              <w:t>weighting of the approved performance category</w:t>
            </w:r>
            <w:r>
              <w:rPr>
                <w:rFonts w:eastAsia="Calibri"/>
                <w:color w:val="000000"/>
                <w:sz w:val="20"/>
                <w:szCs w:val="20"/>
              </w:rPr>
              <w:t xml:space="preserve"> to zero percent under specific circumstances as set forth in §414.1380(c)(2), including, but not limited to, extreme and uncontrollable circumstances and significant hardship or another type of exception</w:t>
            </w:r>
            <w:r w:rsidRPr="004A2990">
              <w:rPr>
                <w:rFonts w:eastAsia="Calibri"/>
                <w:color w:val="000000"/>
                <w:sz w:val="20"/>
                <w:szCs w:val="20"/>
              </w:rPr>
              <w:t>.</w:t>
            </w:r>
          </w:p>
          <w:p w:rsidR="00F27981" w:rsidRPr="004A2990" w:rsidP="00F24D56" w14:paraId="6420F618" w14:textId="35F7D453">
            <w:pPr>
              <w:widowControl w:val="0"/>
              <w:rPr>
                <w:rFonts w:eastAsia="Calibri"/>
                <w:color w:val="000000"/>
                <w:sz w:val="20"/>
                <w:szCs w:val="20"/>
              </w:rPr>
            </w:pPr>
            <w:r w:rsidRPr="004A2990">
              <w:rPr>
                <w:rFonts w:eastAsia="Calibri"/>
                <w:color w:val="000000"/>
                <w:sz w:val="20"/>
                <w:szCs w:val="20"/>
              </w:rPr>
              <w:t>Certain types of MIPS eligible clinicians are automatically eligible for a zero percent weighting for the Promoting Interoperability performance category</w:t>
            </w:r>
            <w:r>
              <w:rPr>
                <w:rFonts w:eastAsia="Calibri"/>
                <w:color w:val="000000"/>
                <w:sz w:val="20"/>
                <w:szCs w:val="20"/>
              </w:rPr>
              <w:t xml:space="preserve"> as described in § 414.1380(c)(2)(i)(A)(4)</w:t>
            </w:r>
            <w:r w:rsidRPr="004A2990">
              <w:rPr>
                <w:rFonts w:eastAsia="Calibri"/>
                <w:color w:val="000000"/>
                <w:sz w:val="20"/>
                <w:szCs w:val="20"/>
              </w:rPr>
              <w:t>. </w:t>
            </w:r>
          </w:p>
        </w:tc>
      </w:tr>
      <w:tr w14:paraId="0F23DC5F"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634998C9" w14:textId="77777777">
            <w:pPr>
              <w:widowControl w:val="0"/>
              <w:rPr>
                <w:rFonts w:eastAsia="Calibri"/>
                <w:color w:val="000000"/>
                <w:sz w:val="20"/>
                <w:szCs w:val="20"/>
              </w:rPr>
            </w:pPr>
            <w:r w:rsidRPr="004A2990">
              <w:rPr>
                <w:rFonts w:eastAsia="Calibri"/>
                <w:color w:val="000000"/>
                <w:sz w:val="20"/>
                <w:szCs w:val="20"/>
              </w:rPr>
              <w:t xml:space="preserve">MVP and Subgroup Registration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27981" w:rsidRPr="004A2990" w:rsidP="00F24D56" w14:paraId="197741CC" w14:textId="77777777">
            <w:pPr>
              <w:widowControl w:val="0"/>
              <w:rPr>
                <w:rFonts w:eastAsia="Calibri"/>
                <w:color w:val="000000"/>
                <w:sz w:val="20"/>
                <w:szCs w:val="20"/>
              </w:rPr>
            </w:pPr>
            <w:r w:rsidRPr="004A2990">
              <w:rPr>
                <w:rFonts w:eastAsia="Calibri"/>
                <w:color w:val="000000"/>
                <w:sz w:val="20"/>
                <w:szCs w:val="20"/>
              </w:rPr>
              <w:t>An MVP participant, as described at § 414.1305, electing to submit data for the measures and activities in an MVP must register. Clinicians who choose to participate as a subgroup for reporting an MVP must also register.</w:t>
            </w:r>
          </w:p>
        </w:tc>
      </w:tr>
      <w:tr w14:paraId="62C9D7B3"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6DC9D0E5" w14:textId="77777777">
            <w:pPr>
              <w:widowControl w:val="0"/>
              <w:rPr>
                <w:rFonts w:eastAsia="Calibri"/>
                <w:color w:val="000000"/>
                <w:sz w:val="20"/>
                <w:szCs w:val="20"/>
              </w:rPr>
            </w:pPr>
            <w:r w:rsidRPr="004A2990">
              <w:rPr>
                <w:rFonts w:eastAsia="Calibri"/>
                <w:color w:val="000000"/>
                <w:sz w:val="20"/>
                <w:szCs w:val="20"/>
              </w:rPr>
              <w:t>Partial QP Election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27981" w:rsidRPr="004A2990" w:rsidP="00F24D56" w14:paraId="725FDDB8" w14:textId="77777777">
            <w:pPr>
              <w:widowControl w:val="0"/>
              <w:rPr>
                <w:rFonts w:eastAsia="Calibri"/>
                <w:color w:val="000000"/>
                <w:sz w:val="20"/>
                <w:szCs w:val="20"/>
              </w:rPr>
            </w:pPr>
            <w:r w:rsidRPr="004A2990">
              <w:rPr>
                <w:rFonts w:eastAsia="Calibri"/>
                <w:color w:val="000000"/>
                <w:sz w:val="20"/>
                <w:szCs w:val="20"/>
              </w:rPr>
              <w:t>Eligible clinicians who attain Partial QP status and choose to participate in MIPS would need to submit a partial QP election form.</w:t>
            </w:r>
          </w:p>
        </w:tc>
      </w:tr>
      <w:tr w14:paraId="14E825F8"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7464D19B" w14:textId="77777777">
            <w:pPr>
              <w:widowControl w:val="0"/>
              <w:rPr>
                <w:rFonts w:eastAsia="Calibri"/>
                <w:color w:val="000000"/>
                <w:sz w:val="20"/>
                <w:szCs w:val="20"/>
              </w:rPr>
            </w:pPr>
            <w:r w:rsidRPr="004A2990">
              <w:rPr>
                <w:rFonts w:eastAsia="Calibri"/>
                <w:color w:val="000000"/>
                <w:sz w:val="20"/>
                <w:szCs w:val="20"/>
              </w:rPr>
              <w:t xml:space="preserve">Registration for the CAHPS for MIPS Survey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27981" w:rsidRPr="004A2990" w:rsidP="00F24D56" w14:paraId="5ACA1082" w14:textId="77777777">
            <w:pPr>
              <w:widowControl w:val="0"/>
              <w:rPr>
                <w:rFonts w:eastAsia="Calibri"/>
                <w:color w:val="000000"/>
                <w:sz w:val="20"/>
                <w:szCs w:val="20"/>
              </w:rPr>
            </w:pPr>
            <w:r w:rsidRPr="004A2990">
              <w:rPr>
                <w:rFonts w:eastAsia="Calibri"/>
                <w:color w:val="000000"/>
                <w:sz w:val="20"/>
                <w:szCs w:val="20"/>
              </w:rPr>
              <w:t xml:space="preserve">Groups electing to use a CMS-approved survey vendor to administer the CAHPS for MIPS survey must register.  </w:t>
            </w:r>
          </w:p>
        </w:tc>
      </w:tr>
      <w:tr w14:paraId="1C41FF5E" w14:textId="77777777" w:rsidTr="00AF3F09">
        <w:tblPrEx>
          <w:tblW w:w="9720" w:type="dxa"/>
          <w:tblInd w:w="260" w:type="dxa"/>
          <w:tblCellMar>
            <w:left w:w="0" w:type="dxa"/>
            <w:right w:w="0" w:type="dxa"/>
          </w:tblCellMar>
          <w:tblLook w:val="04A0"/>
        </w:tblPrEx>
        <w:trPr>
          <w:cantSplit/>
          <w:trHeight w:val="136"/>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29054D4C" w14:textId="77777777">
            <w:pPr>
              <w:widowControl w:val="0"/>
              <w:rPr>
                <w:rFonts w:eastAsia="Calibri"/>
                <w:color w:val="000000"/>
                <w:sz w:val="20"/>
                <w:szCs w:val="20"/>
              </w:rPr>
            </w:pPr>
            <w:r w:rsidRPr="004A2990">
              <w:rPr>
                <w:rFonts w:eastAsia="Calibri"/>
                <w:color w:val="000000"/>
                <w:sz w:val="20"/>
                <w:szCs w:val="20"/>
              </w:rPr>
              <w:t>Virtual Group Registration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27981" w:rsidRPr="004A2990" w:rsidP="00F24D56" w14:paraId="4B732AE9" w14:textId="77777777">
            <w:pPr>
              <w:widowControl w:val="0"/>
              <w:rPr>
                <w:rFonts w:eastAsia="Calibri"/>
                <w:color w:val="000000"/>
                <w:sz w:val="20"/>
                <w:szCs w:val="20"/>
              </w:rPr>
            </w:pPr>
            <w:r w:rsidRPr="004A2990">
              <w:rPr>
                <w:rFonts w:eastAsia="Calibri"/>
                <w:color w:val="000000"/>
                <w:sz w:val="20"/>
                <w:szCs w:val="20"/>
              </w:rPr>
              <w:t>Virtual groups must register via email. Virtual group participation is limited to MIPS eligible clinicians, specifically, solo practitioners and groups consisting of 10 eligible clinicians or fewer.</w:t>
            </w:r>
          </w:p>
        </w:tc>
      </w:tr>
      <w:tr w14:paraId="676A78C2" w14:textId="77777777" w:rsidTr="00AF3F09">
        <w:tblPrEx>
          <w:tblW w:w="9720" w:type="dxa"/>
          <w:tblInd w:w="260" w:type="dxa"/>
          <w:tblCellMar>
            <w:left w:w="0" w:type="dxa"/>
            <w:right w:w="0" w:type="dxa"/>
          </w:tblCellMar>
          <w:tblLook w:val="04A0"/>
        </w:tblPrEx>
        <w:trPr>
          <w:cantSplit/>
          <w:trHeight w:val="1859"/>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81" w:rsidRPr="004A2990" w:rsidP="00F24D56" w14:paraId="2AEE8102" w14:textId="77777777">
            <w:pPr>
              <w:widowControl w:val="0"/>
              <w:rPr>
                <w:rFonts w:eastAsia="Calibri"/>
                <w:color w:val="000000"/>
                <w:sz w:val="20"/>
                <w:szCs w:val="20"/>
              </w:rPr>
            </w:pPr>
            <w:r w:rsidRPr="004A2990">
              <w:rPr>
                <w:rFonts w:eastAsia="Calibri"/>
                <w:color w:val="000000"/>
                <w:sz w:val="20"/>
                <w:szCs w:val="20"/>
              </w:rPr>
              <w:t>APM Performance Pathway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27981" w:rsidRPr="004A2990" w:rsidP="00F24D56" w14:paraId="1AD7E49F" w14:textId="544DE497">
            <w:pPr>
              <w:widowControl w:val="0"/>
              <w:rPr>
                <w:rFonts w:eastAsia="Calibri"/>
                <w:color w:val="000000"/>
                <w:sz w:val="20"/>
                <w:szCs w:val="20"/>
              </w:rPr>
            </w:pPr>
            <w:r w:rsidRPr="004A2990">
              <w:rPr>
                <w:rFonts w:eastAsia="Calibri"/>
                <w:color w:val="000000"/>
                <w:sz w:val="20"/>
                <w:szCs w:val="20"/>
              </w:rPr>
              <w:t xml:space="preserve">Clinicians in MIPS APMs electing the APM Performance Pathway. The burden estimates for this </w:t>
            </w:r>
            <w:r w:rsidR="005A69F2">
              <w:rPr>
                <w:rFonts w:eastAsia="Calibri"/>
                <w:color w:val="000000"/>
                <w:sz w:val="20"/>
                <w:szCs w:val="20"/>
              </w:rPr>
              <w:t xml:space="preserve">final </w:t>
            </w:r>
            <w:r w:rsidRPr="004A2990">
              <w:rPr>
                <w:rFonts w:eastAsia="Calibri"/>
                <w:color w:val="000000"/>
                <w:sz w:val="20"/>
                <w:szCs w:val="20"/>
              </w:rPr>
              <w:t>rule assume that ACO APM Entities will submit data through the APM Performance Pathway, using the CMS Web Interface option (available through the CY 2024 performance period/2026 MIPS payment year), and non-ACO APM Entities will participate through traditional MIPS, thereby submitting as an individual or group rather than as an APM Entity.</w:t>
            </w:r>
          </w:p>
        </w:tc>
      </w:tr>
    </w:tbl>
    <w:p w:rsidR="005038E4" w:rsidP="005038E4" w14:paraId="11F75EB8" w14:textId="4CE0B7F4"/>
    <w:p w:rsidR="00C90045" w:rsidP="00730BEF" w14:paraId="63FDD90A" w14:textId="1A452F18">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827AC">
        <w:t xml:space="preserve"> </w:t>
      </w:r>
      <w:r w:rsidRPr="00BE0373" w:rsidR="00AE09CC">
        <w:rPr>
          <w:rFonts w:eastAsia="Calibri"/>
          <w:color w:val="000000" w:themeColor="text1"/>
        </w:rPr>
        <w:t>(81 FR 77008 and 82 FR 53568)</w:t>
      </w:r>
      <w:r w:rsidR="00E326A7">
        <w:t xml:space="preserve"> and CY 2019</w:t>
      </w:r>
      <w:r w:rsidR="006A40C3">
        <w:t xml:space="preserve">, </w:t>
      </w:r>
      <w:r w:rsidR="008A71A5">
        <w:t>2020</w:t>
      </w:r>
      <w:r w:rsidR="006A40C3">
        <w:t>, 2021</w:t>
      </w:r>
      <w:r w:rsidR="00F776AC">
        <w:t>, 2022</w:t>
      </w:r>
      <w:r w:rsidR="00AE09CC">
        <w:t>, and 2023</w:t>
      </w:r>
      <w:r w:rsidR="008A71A5">
        <w:t xml:space="preserve"> </w:t>
      </w:r>
      <w:r w:rsidR="009A1A8C">
        <w:t>PFS final rule</w:t>
      </w:r>
      <w:r w:rsidR="008A71A5">
        <w:t>s</w:t>
      </w:r>
      <w:r w:rsidR="00AE09CC">
        <w:t xml:space="preserve"> </w:t>
      </w:r>
      <w:r w:rsidRPr="00AE09CC" w:rsidR="00AE09CC">
        <w:t>(83 FR 59452, 84 FR 62568, 85 FR 84472, 86 FR 64996, and 87 FR 70131)</w:t>
      </w:r>
      <w:r w:rsidR="00443265">
        <w:t>, and continued in the CY 202</w:t>
      </w:r>
      <w:r w:rsidR="00AE09CC">
        <w:t>4</w:t>
      </w:r>
      <w:r w:rsidR="00443265">
        <w:t xml:space="preserve"> PFS </w:t>
      </w:r>
      <w:r w:rsidR="00D13C79">
        <w:t>final</w:t>
      </w:r>
      <w:r w:rsidR="00443265">
        <w:t xml:space="preserve"> rule</w:t>
      </w:r>
      <w:r w:rsidR="009A1A8C">
        <w:t xml:space="preserve"> </w:t>
      </w:r>
      <w:r w:rsidRPr="00C90045">
        <w:t>create some additional data collection re</w:t>
      </w:r>
      <w:r>
        <w:t xml:space="preserve">quirements not listed in Table </w:t>
      </w:r>
      <w:r w:rsidRPr="00C90045">
        <w:t>2. These additional data collections</w:t>
      </w:r>
      <w:r w:rsidR="00DC2761">
        <w:t xml:space="preserve"> </w:t>
      </w:r>
      <w:r w:rsidR="00571D87">
        <w:t>consist of:</w:t>
      </w:r>
    </w:p>
    <w:p w:rsidR="00C90045" w:rsidP="00B41DE5" w14:paraId="075A11CD" w14:textId="3AF1A527">
      <w:pPr>
        <w:pStyle w:val="ListParagraph"/>
        <w:numPr>
          <w:ilvl w:val="0"/>
          <w:numId w:val="3"/>
        </w:numPr>
        <w:spacing w:after="200"/>
      </w:pPr>
      <w:r w:rsidRPr="00DB082D">
        <w:t xml:space="preserve">Self-nomination of new and returning QCDRs </w:t>
      </w:r>
    </w:p>
    <w:p w:rsidR="00D75002" w:rsidP="00B41DE5" w14:paraId="78B99E69" w14:textId="77777777">
      <w:pPr>
        <w:pStyle w:val="ListParagraph"/>
        <w:numPr>
          <w:ilvl w:val="0"/>
          <w:numId w:val="3"/>
        </w:numPr>
        <w:spacing w:after="200"/>
      </w:pPr>
      <w:r>
        <w:t>Self-nomination of new and returning qualified</w:t>
      </w:r>
      <w:r w:rsidRPr="00DB082D">
        <w:t xml:space="preserve"> registries</w:t>
      </w:r>
    </w:p>
    <w:p w:rsidR="00C90045" w:rsidP="00B41DE5" w14:paraId="25699F8B" w14:textId="031E4887">
      <w:pPr>
        <w:pStyle w:val="ListParagraph"/>
        <w:numPr>
          <w:ilvl w:val="0"/>
          <w:numId w:val="3"/>
        </w:numPr>
        <w:spacing w:after="200"/>
      </w:pPr>
      <w:r>
        <w:t xml:space="preserve">Third party intermediary plan audits </w:t>
      </w:r>
      <w:r>
        <w:t xml:space="preserve"> </w:t>
      </w:r>
    </w:p>
    <w:p w:rsidR="00D54DB9" w:rsidP="00B41DE5" w14:paraId="2B776315" w14:textId="12CB53C6">
      <w:pPr>
        <w:pStyle w:val="ListParagraph"/>
        <w:numPr>
          <w:ilvl w:val="0"/>
          <w:numId w:val="3"/>
        </w:numPr>
        <w:spacing w:after="200"/>
      </w:pPr>
      <w:r>
        <w:t>Open Authorization Credentialing and Token Request Process</w:t>
      </w:r>
    </w:p>
    <w:p w:rsidR="00C90045" w:rsidP="00B41DE5" w14:paraId="601A6891" w14:textId="6FEA8C70">
      <w:pPr>
        <w:pStyle w:val="ListParagraph"/>
        <w:numPr>
          <w:ilvl w:val="0"/>
          <w:numId w:val="3"/>
        </w:numPr>
        <w:spacing w:after="200"/>
      </w:pPr>
      <w:r>
        <w:t>Quality Payment Program Identity Management Application Process</w:t>
      </w:r>
    </w:p>
    <w:p w:rsidR="00C90045" w:rsidRPr="00DB082D" w:rsidP="00B41DE5" w14:paraId="702A710B" w14:textId="23571790">
      <w:pPr>
        <w:pStyle w:val="ListParagraph"/>
        <w:numPr>
          <w:ilvl w:val="0"/>
          <w:numId w:val="3"/>
        </w:numPr>
        <w:spacing w:after="200"/>
      </w:pPr>
      <w:r>
        <w:t xml:space="preserve">Reweighting </w:t>
      </w:r>
      <w:r>
        <w:t>Application</w:t>
      </w:r>
      <w:r>
        <w:t>s</w:t>
      </w:r>
      <w:r>
        <w:t xml:space="preserve"> for Promot</w:t>
      </w:r>
      <w:r>
        <w:t>ing Interoperability and Other Performance Categories</w:t>
      </w:r>
    </w:p>
    <w:p w:rsidR="00C90045" w:rsidP="00B41DE5" w14:paraId="273FA231" w14:textId="77777777">
      <w:pPr>
        <w:pStyle w:val="ListParagraph"/>
        <w:numPr>
          <w:ilvl w:val="0"/>
          <w:numId w:val="3"/>
        </w:numPr>
        <w:spacing w:after="200"/>
      </w:pPr>
      <w:r>
        <w:t>Call for quality measures</w:t>
      </w:r>
    </w:p>
    <w:p w:rsidR="00C90045" w:rsidP="00B41DE5" w14:paraId="4F3DFA8E" w14:textId="3BD10416">
      <w:pPr>
        <w:pStyle w:val="ListParagraph"/>
        <w:numPr>
          <w:ilvl w:val="0"/>
          <w:numId w:val="3"/>
        </w:numPr>
        <w:spacing w:after="200"/>
      </w:pPr>
      <w:r>
        <w:t>Nomination of</w:t>
      </w:r>
      <w:r w:rsidRPr="00DB082D">
        <w:t xml:space="preserve"> improvement activities</w:t>
      </w:r>
    </w:p>
    <w:p w:rsidR="00C90045" w:rsidP="00B41DE5" w14:paraId="17C201BD" w14:textId="2538B711">
      <w:pPr>
        <w:pStyle w:val="ListParagraph"/>
        <w:numPr>
          <w:ilvl w:val="0"/>
          <w:numId w:val="3"/>
        </w:numPr>
        <w:spacing w:after="200"/>
      </w:pPr>
      <w:r>
        <w:t xml:space="preserve">Call for </w:t>
      </w:r>
      <w:r w:rsidR="00554C2F">
        <w:t xml:space="preserve">new </w:t>
      </w:r>
      <w:r>
        <w:t xml:space="preserve">Promoting Interoperability </w:t>
      </w:r>
      <w:r>
        <w:t>measures</w:t>
      </w:r>
    </w:p>
    <w:p w:rsidR="00D54DB9" w:rsidP="00B41DE5" w14:paraId="1279E7EF" w14:textId="6C41FBF7">
      <w:pPr>
        <w:pStyle w:val="ListParagraph"/>
        <w:numPr>
          <w:ilvl w:val="0"/>
          <w:numId w:val="3"/>
        </w:numPr>
        <w:spacing w:after="200"/>
      </w:pPr>
      <w:r>
        <w:t>Nomination of MVPs</w:t>
      </w:r>
    </w:p>
    <w:p w:rsidR="00C90045" w:rsidP="00B41DE5" w14:paraId="67B82832" w14:textId="5C969DCE">
      <w:pPr>
        <w:pStyle w:val="ListParagraph"/>
        <w:numPr>
          <w:ilvl w:val="0"/>
          <w:numId w:val="3"/>
        </w:numPr>
        <w:spacing w:after="200"/>
      </w:pPr>
      <w:r w:rsidRPr="00DB082D">
        <w:t xml:space="preserve">Opt out of performance data display on Compare </w:t>
      </w:r>
      <w:r w:rsidR="00554C2F">
        <w:t xml:space="preserve">Tools </w:t>
      </w:r>
      <w:r w:rsidRPr="00DB082D">
        <w:t>for</w:t>
      </w:r>
      <w:r>
        <w:t xml:space="preserve"> voluntary reporters under </w:t>
      </w:r>
      <w:r>
        <w:t>MIPS</w:t>
      </w:r>
    </w:p>
    <w:p w:rsidR="00C90045" w:rsidRPr="00DB082D" w:rsidP="00B41DE5" w14:paraId="51A764B9" w14:textId="77777777">
      <w:pPr>
        <w:pStyle w:val="ListParagraph"/>
        <w:numPr>
          <w:ilvl w:val="0"/>
          <w:numId w:val="3"/>
        </w:numPr>
        <w:spacing w:after="200"/>
      </w:pPr>
      <w:r>
        <w:t>Partial Qualifying APM Participant (Partial QP) election</w:t>
      </w:r>
      <w:r w:rsidRPr="00DB082D">
        <w:t xml:space="preserve"> </w:t>
      </w:r>
    </w:p>
    <w:p w:rsidR="00C90045" w:rsidP="00B41DE5" w14:paraId="1DCFE4A7"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B41DE5" w14:paraId="4B838D2B" w14:textId="53A893D0">
      <w:pPr>
        <w:pStyle w:val="ListParagraph"/>
        <w:numPr>
          <w:ilvl w:val="0"/>
          <w:numId w:val="3"/>
        </w:numPr>
        <w:spacing w:after="200"/>
      </w:pPr>
      <w:r>
        <w:t xml:space="preserve">Other Payer Advanced APM determinations: </w:t>
      </w:r>
      <w:r w:rsidR="0069322F">
        <w:t xml:space="preserve">Eligible </w:t>
      </w:r>
      <w:r>
        <w:t xml:space="preserve">Clinician Initiated Process </w:t>
      </w:r>
    </w:p>
    <w:p w:rsidR="00BB0598" w:rsidP="00B41DE5" w14:paraId="151B99CB" w14:textId="308267AD">
      <w:pPr>
        <w:pStyle w:val="ListParagraph"/>
        <w:numPr>
          <w:ilvl w:val="0"/>
          <w:numId w:val="3"/>
        </w:numPr>
        <w:spacing w:after="200"/>
      </w:pPr>
      <w:r w:rsidRPr="004E01D7">
        <w:t>Submission of Data for All-Payer QP Determinations</w:t>
      </w:r>
      <w:r>
        <w:t xml:space="preserve"> Framework for Understanding the Burden of MIPS Data Submission</w:t>
      </w:r>
    </w:p>
    <w:p w:rsidR="00BB0598" w:rsidRPr="00041A6A" w:rsidP="0011028A" w14:paraId="37072A9E" w14:textId="1930C234">
      <w:pPr>
        <w:pStyle w:val="Heading3"/>
      </w:pPr>
      <w:r w:rsidRPr="00041A6A">
        <w:t xml:space="preserve">Burden for Third Party </w:t>
      </w:r>
      <w:r w:rsidR="00BD0FB4">
        <w:t xml:space="preserve">Self-Nomination </w:t>
      </w:r>
      <w:r w:rsidR="00040287">
        <w:t xml:space="preserve">Process </w:t>
      </w:r>
      <w:r w:rsidR="00BD0FB4">
        <w:t>and Other Requirements</w:t>
      </w:r>
    </w:p>
    <w:p w:rsidR="00987AC6" w:rsidP="00730BEF" w14:paraId="02F75869" w14:textId="20CE2D05">
      <w:r w:rsidRPr="00B4313F">
        <w:t>Under MIPS, the quality, Promoting Interoperability, and improvement activities performance category data may be submitted via relevant third-party intermediaries, such as qualified registries, QCDRs, and health IT vendors.</w:t>
      </w:r>
      <w:r w:rsidR="00FF451C">
        <w:t xml:space="preserve"> </w:t>
      </w:r>
      <w:r w:rsidRPr="00045BB5" w:rsidR="00045BB5">
        <w:t xml:space="preserve">We </w:t>
      </w:r>
      <w:r w:rsidR="00045BB5">
        <w:t xml:space="preserve">note that </w:t>
      </w:r>
      <w:r w:rsidRPr="00045BB5" w:rsidR="00045BB5">
        <w:t>health IT vendors are not included in the burden estimates for MIPS.</w:t>
      </w:r>
      <w:r w:rsidR="00045BB5">
        <w:t xml:space="preserve"> </w:t>
      </w:r>
      <w:r w:rsidRPr="00B4313F">
        <w:t>Entities seeking approval to submit data on behalf of clinicians as a qualified registry</w:t>
      </w:r>
      <w:r w:rsidR="00CF7A6D">
        <w:t xml:space="preserve"> or a</w:t>
      </w:r>
      <w:r w:rsidR="00A85D38">
        <w:t xml:space="preserve"> </w:t>
      </w:r>
      <w:r w:rsidRPr="00B4313F">
        <w:t>QCDR must complete a self-nominat</w:t>
      </w:r>
      <w:r w:rsidR="004F502E">
        <w:t>ion</w:t>
      </w:r>
      <w:r w:rsidRPr="00B4313F">
        <w:t xml:space="preserve"> process annually. </w:t>
      </w:r>
      <w:r w:rsidRPr="009D25D0">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Self-Nomination Form is submitted electronically using a web-based tool.</w:t>
      </w:r>
      <w:r>
        <w:rPr>
          <w:rFonts w:eastAsia="Calibri"/>
        </w:rPr>
        <w:t xml:space="preserve"> </w:t>
      </w:r>
      <w:r w:rsidRPr="00B4313F">
        <w:t xml:space="preserve">The processes for self-nomination for entities seeking approval as qualified registries and QCDRs are similar with the exception that QCDRs have the option to nominate QCDR measures for approval for the reporting of quality performance category data. Therefore, differences between QCDRs and qualified registry self-nomination are associated with the preparation of QCDR measures for approval. </w:t>
      </w:r>
    </w:p>
    <w:p w:rsidR="000F0B82" w:rsidP="00730BEF" w14:paraId="7A910C69" w14:textId="20A1D24A">
      <w:r>
        <w:t>W</w:t>
      </w:r>
      <w:r w:rsidRPr="000F0B82">
        <w:t xml:space="preserve">e are </w:t>
      </w:r>
      <w:r>
        <w:t>requesting</w:t>
      </w:r>
      <w:r w:rsidRPr="000F0B82">
        <w:t xml:space="preserve"> to add two new ICRs, “</w:t>
      </w:r>
      <w:r w:rsidR="00551142">
        <w:t xml:space="preserve">simplified </w:t>
      </w:r>
      <w:r>
        <w:t xml:space="preserve">qualified registry </w:t>
      </w:r>
      <w:r w:rsidRPr="000F0B82">
        <w:t>self-nomination process” and “</w:t>
      </w:r>
      <w:r w:rsidR="00551142">
        <w:t xml:space="preserve">simplified </w:t>
      </w:r>
      <w:r>
        <w:t xml:space="preserve">QCDR </w:t>
      </w:r>
      <w:r w:rsidRPr="000F0B82">
        <w:t>self-nomination process”, to represent the estimated burden for the third-party intermediaries submitting applications for the self-nomination process. We discuss the details of these</w:t>
      </w:r>
      <w:r>
        <w:t xml:space="preserve"> </w:t>
      </w:r>
      <w:r w:rsidRPr="000F0B82">
        <w:t>changes in the below sections.</w:t>
      </w:r>
    </w:p>
    <w:p w:rsidR="009B7BAA" w:rsidRPr="00640806" w:rsidP="009B7BAA" w14:paraId="6F31732F" w14:textId="7CAEA0C6">
      <w:pPr>
        <w:rPr>
          <w:rFonts w:eastAsia="Calibri"/>
        </w:rPr>
      </w:pPr>
      <w:r w:rsidRPr="00987AC6">
        <w:rPr>
          <w:rFonts w:eastAsia="Calibri"/>
        </w:rPr>
        <w:t xml:space="preserve">Qualified registries </w:t>
      </w:r>
      <w:r w:rsidR="00AA1AB8">
        <w:rPr>
          <w:rFonts w:eastAsia="Calibri"/>
        </w:rPr>
        <w:t xml:space="preserve">and QCDRs </w:t>
      </w:r>
      <w:r w:rsidRPr="00987AC6">
        <w:rPr>
          <w:rFonts w:eastAsia="Calibri"/>
        </w:rPr>
        <w:t xml:space="preserve">must comply with requirements on the submission of MIPS data to CMS.  The burden associated with qualified registry </w:t>
      </w:r>
      <w:r w:rsidR="00AA1AB8">
        <w:rPr>
          <w:rFonts w:eastAsia="Calibri"/>
        </w:rPr>
        <w:t xml:space="preserve">and QCDR data </w:t>
      </w:r>
      <w:r w:rsidRPr="00987AC6">
        <w:rPr>
          <w:rFonts w:eastAsia="Calibri"/>
        </w:rPr>
        <w:t xml:space="preserve">submission requirements will be the time and effort associated with calculating quality measure results from the data submitted to the qualified registry </w:t>
      </w:r>
      <w:r w:rsidR="00AA1AB8">
        <w:rPr>
          <w:rFonts w:eastAsia="Calibri"/>
        </w:rPr>
        <w:t xml:space="preserve">and QCDR </w:t>
      </w:r>
      <w:r w:rsidRPr="00987AC6">
        <w:rPr>
          <w:rFonts w:eastAsia="Calibri"/>
        </w:rPr>
        <w:t>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w:t>
      </w:r>
      <w:r w:rsidR="00AA1AB8">
        <w:rPr>
          <w:rFonts w:eastAsia="Calibri"/>
        </w:rPr>
        <w:t xml:space="preserve"> or a QCDR</w:t>
      </w:r>
      <w:r w:rsidRPr="00987AC6">
        <w:rPr>
          <w:rFonts w:eastAsia="Calibri"/>
        </w:rPr>
        <w:t xml:space="preserve"> to accomplish these tasks will vary along with the number of MIPS eligible clinicians submitting data to the qualified registry and the number of applicable measures. However, we believe that qualified registries </w:t>
      </w:r>
      <w:r w:rsidR="00AA1AB8">
        <w:rPr>
          <w:rFonts w:eastAsia="Calibri"/>
        </w:rPr>
        <w:t xml:space="preserve">and QCDRs </w:t>
      </w:r>
      <w:r w:rsidRPr="00987AC6">
        <w:rPr>
          <w:rFonts w:eastAsia="Calibri"/>
        </w:rPr>
        <w:t xml:space="preserve">already perform many of these activities for their participants. </w:t>
      </w:r>
      <w:r w:rsidRPr="00514BE6">
        <w:rPr>
          <w:rFonts w:eastAsia="Calibri"/>
        </w:rPr>
        <w:t>Therefore, we believe the estima</w:t>
      </w:r>
      <w:r>
        <w:rPr>
          <w:rFonts w:eastAsia="Calibri"/>
        </w:rPr>
        <w:t xml:space="preserve">tes </w:t>
      </w:r>
      <w:r w:rsidRPr="00514BE6">
        <w:rPr>
          <w:rFonts w:eastAsia="Calibri"/>
        </w:rPr>
        <w:t>shown in Table</w:t>
      </w:r>
      <w:r>
        <w:rPr>
          <w:rFonts w:eastAsia="Calibri"/>
        </w:rPr>
        <w:t>s</w:t>
      </w:r>
      <w:r w:rsidRPr="00514BE6">
        <w:rPr>
          <w:rFonts w:eastAsia="Calibri"/>
        </w:rPr>
        <w:t xml:space="preserve"> </w:t>
      </w:r>
      <w:r>
        <w:rPr>
          <w:rFonts w:eastAsia="Calibri"/>
        </w:rPr>
        <w:t>3,4,5, and 6</w:t>
      </w:r>
      <w:r w:rsidRPr="00640806">
        <w:rPr>
          <w:rFonts w:eastAsia="Calibri"/>
        </w:rPr>
        <w:t xml:space="preserve"> represent</w:t>
      </w:r>
      <w:r>
        <w:rPr>
          <w:rFonts w:eastAsia="Calibri"/>
        </w:rPr>
        <w:t>s</w:t>
      </w:r>
      <w:r w:rsidRPr="00640806">
        <w:rPr>
          <w:rFonts w:eastAsia="Calibri"/>
        </w:rPr>
        <w:t xml:space="preserve"> the upper bound for qualified registry </w:t>
      </w:r>
      <w:r w:rsidR="00AA1AB8">
        <w:rPr>
          <w:rFonts w:eastAsia="Calibri"/>
        </w:rPr>
        <w:t xml:space="preserve">and QCDR </w:t>
      </w:r>
      <w:r w:rsidRPr="00640806">
        <w:rPr>
          <w:rFonts w:eastAsia="Calibri"/>
        </w:rPr>
        <w:t xml:space="preserve">burden, with the potential for less additional MIPS burden if the qualified registry </w:t>
      </w:r>
      <w:r w:rsidR="00AA1AB8">
        <w:rPr>
          <w:rFonts w:eastAsia="Calibri"/>
        </w:rPr>
        <w:t xml:space="preserve">or the QCDR </w:t>
      </w:r>
      <w:r w:rsidRPr="00640806">
        <w:rPr>
          <w:rFonts w:eastAsia="Calibri"/>
        </w:rPr>
        <w:t>already provides similar data submission services.</w:t>
      </w:r>
    </w:p>
    <w:p w:rsidR="0004680F" w:rsidRPr="0004680F" w:rsidP="00730BEF" w14:paraId="0C6A94E8" w14:textId="571CB341">
      <w:r w:rsidRPr="00987AC6">
        <w:rPr>
          <w:rFonts w:eastAsia="Calibri"/>
        </w:rPr>
        <w:t xml:space="preserve"> </w:t>
      </w:r>
      <w:r w:rsidRPr="00AD3EE3" w:rsidR="00C166D7">
        <w:rPr>
          <w:rFonts w:eastAsia="Calibri"/>
        </w:rPr>
        <w:t>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0076539F" w:rsidP="0011028A" w14:paraId="3C642C85" w14:textId="7DEEE88C">
      <w:pPr>
        <w:pStyle w:val="Heading4"/>
        <w:rPr>
          <w:rFonts w:eastAsia="Calibri"/>
        </w:rPr>
      </w:pPr>
      <w:r>
        <w:t xml:space="preserve">      </w:t>
      </w:r>
      <w:r w:rsidRPr="00041A6A" w:rsidR="0004680F">
        <w:t xml:space="preserve">Burden for </w:t>
      </w:r>
      <w:r w:rsidR="00585D3D">
        <w:t xml:space="preserve">Simplified </w:t>
      </w:r>
      <w:r w:rsidRPr="00041A6A" w:rsidR="0004680F">
        <w:t>Qualified Registry</w:t>
      </w:r>
      <w:r w:rsidR="00040287">
        <w:t xml:space="preserve"> </w:t>
      </w:r>
      <w:r w:rsidRPr="00041A6A" w:rsidR="0004680F">
        <w:t>Se</w:t>
      </w:r>
      <w:r w:rsidRPr="000E7E06" w:rsidR="0004680F">
        <w:t>lf-Nomination</w:t>
      </w:r>
      <w:r w:rsidRPr="000E7E06" w:rsidR="001351E4">
        <w:t xml:space="preserve"> </w:t>
      </w:r>
      <w:r w:rsidR="00040287">
        <w:t>Process</w:t>
      </w:r>
      <w:r w:rsidR="00E770C9">
        <w:br/>
      </w:r>
      <w:r w:rsidRPr="000E7E06" w:rsidR="001351E4">
        <w:t>and other Requirements</w:t>
      </w:r>
      <w:r w:rsidRPr="002515B4">
        <w:rPr>
          <w:rFonts w:eastAsia="Calibri"/>
        </w:rPr>
        <w:t xml:space="preserve">  </w:t>
      </w:r>
    </w:p>
    <w:p w:rsidR="000F0B82" w:rsidRPr="003D29BA" w:rsidP="000F0B82" w14:paraId="03A6452A" w14:textId="59627CD8">
      <w:pPr>
        <w:rPr>
          <w:rFonts w:eastAsia="Calibri"/>
          <w:color w:val="000000" w:themeColor="text1"/>
        </w:rPr>
      </w:pPr>
      <w:r>
        <w:rPr>
          <w:rFonts w:eastAsia="Calibri"/>
          <w:color w:val="000000" w:themeColor="text1"/>
        </w:rPr>
        <w:t>We are separating the estimated burden for</w:t>
      </w:r>
      <w:r w:rsidRPr="00BE0373">
        <w:rPr>
          <w:color w:val="000000" w:themeColor="text1"/>
        </w:rPr>
        <w:t xml:space="preserve"> the number of </w:t>
      </w:r>
      <w:r>
        <w:rPr>
          <w:color w:val="000000" w:themeColor="text1"/>
        </w:rPr>
        <w:t xml:space="preserve">qualified registry </w:t>
      </w:r>
      <w:r w:rsidRPr="00BE0373">
        <w:rPr>
          <w:color w:val="000000" w:themeColor="text1"/>
        </w:rPr>
        <w:t xml:space="preserve">self-nomination applications </w:t>
      </w:r>
      <w:r>
        <w:rPr>
          <w:rFonts w:eastAsia="Calibri"/>
          <w:color w:val="000000" w:themeColor="text1"/>
        </w:rPr>
        <w:t xml:space="preserve">submitted for the simplified and full self-nomination process </w:t>
      </w:r>
      <w:r w:rsidRPr="00A14E4B">
        <w:rPr>
          <w:rFonts w:eastAsia="Calibri"/>
          <w:color w:val="000000" w:themeColor="text1"/>
        </w:rPr>
        <w:t>for the CY 202</w:t>
      </w:r>
      <w:r>
        <w:rPr>
          <w:rFonts w:eastAsia="Calibri"/>
          <w:color w:val="000000" w:themeColor="text1"/>
        </w:rPr>
        <w:t xml:space="preserve">4 </w:t>
      </w:r>
      <w:r w:rsidRPr="00A14E4B">
        <w:rPr>
          <w:rFonts w:eastAsia="Calibri"/>
          <w:color w:val="000000" w:themeColor="text1"/>
        </w:rPr>
        <w:t>performance period/202</w:t>
      </w:r>
      <w:r>
        <w:rPr>
          <w:rFonts w:eastAsia="Calibri"/>
          <w:color w:val="000000" w:themeColor="text1"/>
        </w:rPr>
        <w:t>6</w:t>
      </w:r>
      <w:r w:rsidRPr="00A14E4B">
        <w:rPr>
          <w:rFonts w:eastAsia="Calibri"/>
          <w:color w:val="000000" w:themeColor="text1"/>
        </w:rPr>
        <w:t xml:space="preserve"> MIPS payment year. </w:t>
      </w:r>
      <w:r>
        <w:rPr>
          <w:color w:val="000000" w:themeColor="text1"/>
        </w:rPr>
        <w:t>In the CY 2023 PFS final rule (87 FR 70139 through 70140), we used the same estimate for the number of respondents that submitted applications for the simplified and full self-nomination process because we</w:t>
      </w:r>
      <w:r>
        <w:rPr>
          <w:rFonts w:eastAsia="Calibri"/>
          <w:color w:val="000000" w:themeColor="text1"/>
        </w:rPr>
        <w:t xml:space="preserve"> did not have separate estimates at the time. Additionally, we only used the burden for the full qualified registry self-nomination process in our final burden summary estimates. D</w:t>
      </w:r>
      <w:r w:rsidRPr="0073722C">
        <w:rPr>
          <w:color w:val="000000" w:themeColor="text1"/>
        </w:rPr>
        <w:t xml:space="preserve">ue to </w:t>
      </w:r>
      <w:r>
        <w:rPr>
          <w:color w:val="000000" w:themeColor="text1"/>
        </w:rPr>
        <w:t xml:space="preserve">the </w:t>
      </w:r>
      <w:r w:rsidRPr="0073722C">
        <w:rPr>
          <w:color w:val="000000" w:themeColor="text1"/>
        </w:rPr>
        <w:t xml:space="preserve">availability of updated </w:t>
      </w:r>
      <w:r w:rsidRPr="0073722C">
        <w:rPr>
          <w:color w:val="000000" w:themeColor="text1"/>
        </w:rPr>
        <w:t>data</w:t>
      </w:r>
      <w:r>
        <w:rPr>
          <w:color w:val="000000" w:themeColor="text1"/>
        </w:rPr>
        <w:t xml:space="preserve"> and the distinct number of estimated respondents for the simplified and full </w:t>
      </w:r>
      <w:r w:rsidR="00915E6D">
        <w:rPr>
          <w:color w:val="000000" w:themeColor="text1"/>
        </w:rPr>
        <w:t xml:space="preserve">qualified registry </w:t>
      </w:r>
      <w:r>
        <w:rPr>
          <w:color w:val="000000" w:themeColor="text1"/>
        </w:rPr>
        <w:t>self-nomination process</w:t>
      </w:r>
      <w:r w:rsidRPr="0073722C">
        <w:rPr>
          <w:color w:val="000000" w:themeColor="text1"/>
        </w:rPr>
        <w:t xml:space="preserve">, we are </w:t>
      </w:r>
      <w:r>
        <w:rPr>
          <w:color w:val="000000" w:themeColor="text1"/>
        </w:rPr>
        <w:t xml:space="preserve">requesting to add a new ICR to capture the burden for the </w:t>
      </w:r>
      <w:r w:rsidR="00CA776C">
        <w:rPr>
          <w:color w:val="000000" w:themeColor="text1"/>
        </w:rPr>
        <w:t xml:space="preserve">simplified </w:t>
      </w:r>
      <w:r>
        <w:rPr>
          <w:color w:val="000000" w:themeColor="text1"/>
        </w:rPr>
        <w:t>qualified registry self-nomination process</w:t>
      </w:r>
      <w:r w:rsidRPr="004B2C86">
        <w:rPr>
          <w:color w:val="000000" w:themeColor="text1"/>
        </w:rPr>
        <w:t xml:space="preserve">. </w:t>
      </w:r>
      <w:r>
        <w:rPr>
          <w:color w:val="000000" w:themeColor="text1"/>
        </w:rPr>
        <w:t xml:space="preserve">We note that the change is not due to policy proposals in the CY 2024 PFS </w:t>
      </w:r>
      <w:r w:rsidR="00B34E7D">
        <w:rPr>
          <w:color w:val="000000" w:themeColor="text1"/>
        </w:rPr>
        <w:t>final</w:t>
      </w:r>
      <w:r>
        <w:rPr>
          <w:color w:val="000000" w:themeColor="text1"/>
        </w:rPr>
        <w:t xml:space="preserve"> rule. With the addition of a new ICR, w</w:t>
      </w:r>
      <w:r>
        <w:rPr>
          <w:rFonts w:eastAsia="Calibri"/>
          <w:color w:val="000000" w:themeColor="text1"/>
        </w:rPr>
        <w:t>e believe that we would be able to accurately represent the estimated burden incurred by the qualified registries for both the simplified and full self-nomination processes.</w:t>
      </w:r>
    </w:p>
    <w:p w:rsidR="0076539F" w:rsidP="00730BEF" w14:paraId="6A0CBD43" w14:textId="12DD529B">
      <w:pPr>
        <w:rPr>
          <w:rFonts w:eastAsia="Calibri"/>
        </w:rPr>
      </w:pPr>
      <w:r>
        <w:rPr>
          <w:rFonts w:eastAsia="Calibri"/>
        </w:rPr>
        <w:t>P</w:t>
      </w:r>
      <w:r w:rsidRPr="006C31CB" w:rsidR="006C31CB">
        <w:rPr>
          <w:rFonts w:eastAsia="Calibri"/>
        </w:rPr>
        <w:t xml:space="preserve">reviously approved qualified registries in good standing (i.e., that are not on </w:t>
      </w:r>
      <w:r w:rsidR="002F1EB9">
        <w:rPr>
          <w:rFonts w:eastAsia="Calibri"/>
        </w:rPr>
        <w:t>remedial action</w:t>
      </w:r>
      <w:r w:rsidRPr="006C31CB" w:rsidR="002F1EB9">
        <w:rPr>
          <w:rFonts w:eastAsia="Calibri"/>
        </w:rPr>
        <w:t xml:space="preserve"> </w:t>
      </w:r>
      <w:r w:rsidRPr="006C31CB" w:rsidR="006C31CB">
        <w:rPr>
          <w:rFonts w:eastAsia="Calibri"/>
        </w:rPr>
        <w:t>or</w:t>
      </w:r>
      <w:r w:rsidR="002F1EB9">
        <w:rPr>
          <w:rFonts w:eastAsia="Calibri"/>
        </w:rPr>
        <w:t xml:space="preserve"> have been terminated</w:t>
      </w:r>
      <w:r w:rsidRPr="006C31CB" w:rsidR="006C31CB">
        <w:rPr>
          <w:rFonts w:eastAsia="Calibri"/>
        </w:rPr>
        <w:t xml:space="preserve">)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56224C" w:rsidP="00730BEF" w14:paraId="19260656" w14:textId="14E92FDB">
      <w:pPr>
        <w:rPr>
          <w:rFonts w:eastAsia="Calibri"/>
        </w:rPr>
      </w:pPr>
      <w:r>
        <w:t xml:space="preserve">Based on the number of applications </w:t>
      </w:r>
      <w:r w:rsidR="009816C6">
        <w:t xml:space="preserve">received </w:t>
      </w:r>
      <w:r>
        <w:t>under the simplified process during the 2023 self-nomination period, w</w:t>
      </w:r>
      <w:r w:rsidR="00C8411E">
        <w:t xml:space="preserve">e </w:t>
      </w:r>
      <w:r w:rsidR="0009503C">
        <w:t>estimate</w:t>
      </w:r>
      <w:r w:rsidR="00C8411E">
        <w:t xml:space="preserve"> </w:t>
      </w:r>
      <w:r w:rsidR="00BD3C17">
        <w:t xml:space="preserve">that </w:t>
      </w:r>
      <w:r w:rsidR="002515B4">
        <w:t>8</w:t>
      </w:r>
      <w:r w:rsidR="001979D4">
        <w:t>4</w:t>
      </w:r>
      <w:r w:rsidR="00BD3C17">
        <w:t xml:space="preserve"> qualified registries </w:t>
      </w:r>
      <w:r w:rsidR="00C8411E">
        <w:t xml:space="preserve">will </w:t>
      </w:r>
      <w:r w:rsidR="002515B4">
        <w:t>submit an application</w:t>
      </w:r>
      <w:r w:rsidR="002515B4">
        <w:t xml:space="preserve"> under the simplified </w:t>
      </w:r>
      <w:r w:rsidR="009816C6">
        <w:t xml:space="preserve">qualified registry </w:t>
      </w:r>
      <w:r w:rsidR="00C8411E">
        <w:t>self-nominat</w:t>
      </w:r>
      <w:r w:rsidR="002515B4">
        <w:t>ion process</w:t>
      </w:r>
      <w:r w:rsidR="00C8411E">
        <w:t xml:space="preserve"> </w:t>
      </w:r>
      <w:r w:rsidR="002515B4">
        <w:t>for the CY 2024 performance period/2026 MIPS payment year</w:t>
      </w:r>
      <w:r w:rsidR="00BD3C17">
        <w:t>.</w:t>
      </w:r>
      <w:r w:rsidR="00716461">
        <w:t xml:space="preserve"> </w:t>
      </w:r>
      <w:r w:rsidRPr="00B80F1E" w:rsidR="00B80F1E">
        <w:t xml:space="preserve">We </w:t>
      </w:r>
      <w:r w:rsidR="009B7BAA">
        <w:t xml:space="preserve">estimate that it would take 0.5 hours to </w:t>
      </w:r>
      <w:r w:rsidR="009B7BAA">
        <w:t>submit an application</w:t>
      </w:r>
      <w:r w:rsidR="009B7BAA">
        <w:t xml:space="preserve"> for the </w:t>
      </w:r>
      <w:r w:rsidR="00CA776C">
        <w:t xml:space="preserve">simplified </w:t>
      </w:r>
      <w:r w:rsidR="009B7BAA">
        <w:t xml:space="preserve">qualified registry self-nomination process. We </w:t>
      </w:r>
      <w:r w:rsidRPr="00B80F1E" w:rsidR="00B80F1E">
        <w:t xml:space="preserve">assume that the staff involved in the </w:t>
      </w:r>
      <w:r w:rsidR="00DC59BA">
        <w:t xml:space="preserve">simplified </w:t>
      </w:r>
      <w:r w:rsidRPr="00B80F1E" w:rsidR="00B80F1E">
        <w:t>qualified registry self-nomination process will be computer systems analysts or their equivalent, who have an average labor rate of $</w:t>
      </w:r>
      <w:r w:rsidR="009B7BAA">
        <w:t>103.40</w:t>
      </w:r>
      <w:r w:rsidRPr="00B80F1E" w:rsidR="00B80F1E">
        <w:t xml:space="preserve">/hr. </w:t>
      </w:r>
      <w:r w:rsidR="009B7BAA">
        <w:t xml:space="preserve">We estimate the burden per response would be $51.70 (0.5 hr x $103.40/hr). In aggregate, </w:t>
      </w:r>
      <w:r w:rsidR="009B7BAA">
        <w:rPr>
          <w:rFonts w:eastAsia="Calibri"/>
        </w:rPr>
        <w:t>as shown in Table 3</w:t>
      </w:r>
      <w:r w:rsidR="00177540">
        <w:rPr>
          <w:rFonts w:eastAsia="Calibri"/>
        </w:rPr>
        <w:t>,</w:t>
      </w:r>
      <w:r w:rsidRPr="00094949" w:rsidR="00C8411E">
        <w:rPr>
          <w:rFonts w:eastAsia="Calibri"/>
        </w:rPr>
        <w:t xml:space="preserve"> </w:t>
      </w:r>
      <w:r w:rsidR="00177540">
        <w:rPr>
          <w:rFonts w:eastAsia="Calibri"/>
        </w:rPr>
        <w:t>w</w:t>
      </w:r>
      <w:r w:rsidRPr="00977610" w:rsidR="004E4008">
        <w:rPr>
          <w:rFonts w:eastAsia="Calibri"/>
        </w:rPr>
        <w:t xml:space="preserve">e estimate that the annual burden </w:t>
      </w:r>
      <w:r w:rsidR="00226EB4">
        <w:rPr>
          <w:rFonts w:eastAsia="Calibri"/>
        </w:rPr>
        <w:t xml:space="preserve">for the </w:t>
      </w:r>
      <w:r w:rsidR="00CA776C">
        <w:rPr>
          <w:rFonts w:eastAsia="Calibri"/>
        </w:rPr>
        <w:t xml:space="preserve">simplified </w:t>
      </w:r>
      <w:r w:rsidR="009B7BAA">
        <w:rPr>
          <w:rFonts w:eastAsia="Calibri"/>
        </w:rPr>
        <w:t xml:space="preserve">qualified registry </w:t>
      </w:r>
      <w:r w:rsidR="00CF261C">
        <w:rPr>
          <w:rFonts w:eastAsia="Calibri"/>
        </w:rPr>
        <w:t>self-nomination process</w:t>
      </w:r>
      <w:r w:rsidR="009B7BAA">
        <w:rPr>
          <w:rFonts w:eastAsia="Calibri"/>
        </w:rPr>
        <w:t xml:space="preserve"> would be 4</w:t>
      </w:r>
      <w:r w:rsidR="00497F95">
        <w:rPr>
          <w:rFonts w:eastAsia="Calibri"/>
        </w:rPr>
        <w:t>2</w:t>
      </w:r>
      <w:r w:rsidR="009B7BAA">
        <w:rPr>
          <w:rFonts w:eastAsia="Calibri"/>
        </w:rPr>
        <w:t xml:space="preserve"> hours (8</w:t>
      </w:r>
      <w:r w:rsidR="00497F95">
        <w:rPr>
          <w:rFonts w:eastAsia="Calibri"/>
        </w:rPr>
        <w:t>4</w:t>
      </w:r>
      <w:r w:rsidR="009B7BAA">
        <w:rPr>
          <w:rFonts w:eastAsia="Calibri"/>
        </w:rPr>
        <w:t xml:space="preserve"> applications x 0.5hr) at a cost of $4,</w:t>
      </w:r>
      <w:r w:rsidR="00EB54A5">
        <w:rPr>
          <w:rFonts w:eastAsia="Calibri"/>
        </w:rPr>
        <w:t>343</w:t>
      </w:r>
      <w:r w:rsidR="009B7BAA">
        <w:rPr>
          <w:rFonts w:eastAsia="Calibri"/>
        </w:rPr>
        <w:t xml:space="preserve"> (8</w:t>
      </w:r>
      <w:r w:rsidR="00EB54A5">
        <w:rPr>
          <w:rFonts w:eastAsia="Calibri"/>
        </w:rPr>
        <w:t>4</w:t>
      </w:r>
      <w:r w:rsidR="009B7BAA">
        <w:rPr>
          <w:rFonts w:eastAsia="Calibri"/>
        </w:rPr>
        <w:t xml:space="preserve"> applications x $51.70/application)</w:t>
      </w:r>
      <w:r w:rsidR="003A1091">
        <w:rPr>
          <w:rFonts w:eastAsia="Calibri"/>
        </w:rPr>
        <w:t>.</w:t>
      </w:r>
      <w:r w:rsidRPr="00977610" w:rsidR="004E4008">
        <w:rPr>
          <w:rFonts w:eastAsia="Calibri"/>
        </w:rPr>
        <w:t xml:space="preserve"> </w:t>
      </w:r>
    </w:p>
    <w:p w:rsidR="00B05B18" w:rsidRPr="00C47150" w:rsidP="008F4B62" w14:paraId="1D6183E4" w14:textId="49947070">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 xml:space="preserve">Burden for </w:t>
      </w:r>
      <w:r w:rsidR="00376AF5">
        <w:rPr>
          <w:b/>
          <w:bCs/>
        </w:rPr>
        <w:t xml:space="preserve">Simplified </w:t>
      </w:r>
      <w:r w:rsidRPr="00C47150">
        <w:rPr>
          <w:b/>
          <w:bCs/>
        </w:rPr>
        <w:t>Qualified Registry Self-Nomination</w:t>
      </w:r>
      <w:r w:rsidR="00473661">
        <w:rPr>
          <w:b/>
          <w:bCs/>
        </w:rPr>
        <w:t xml:space="preserve"> </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0"/>
        <w:gridCol w:w="2610"/>
      </w:tblGrid>
      <w:tr w14:paraId="189B07F8" w14:textId="77777777" w:rsidTr="003D29BA">
        <w:tblPrEx>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blHeader/>
        </w:trPr>
        <w:tc>
          <w:tcPr>
            <w:tcW w:w="7010" w:type="dxa"/>
            <w:shd w:val="clear" w:color="auto" w:fill="auto"/>
            <w:vAlign w:val="center"/>
          </w:tcPr>
          <w:p w:rsidR="00653E56" w:rsidRPr="00B05B18" w:rsidP="00D95EF7" w14:paraId="410D7BE6" w14:textId="0410811C">
            <w:pPr>
              <w:spacing w:after="0"/>
              <w:rPr>
                <w:b/>
                <w:sz w:val="20"/>
                <w:szCs w:val="20"/>
              </w:rPr>
            </w:pPr>
            <w:r>
              <w:rPr>
                <w:b/>
                <w:sz w:val="20"/>
                <w:szCs w:val="20"/>
              </w:rPr>
              <w:t>Burden and Respondent Descriptions</w:t>
            </w:r>
          </w:p>
        </w:tc>
        <w:tc>
          <w:tcPr>
            <w:tcW w:w="2610" w:type="dxa"/>
            <w:vAlign w:val="center"/>
          </w:tcPr>
          <w:p w:rsidR="00653E56" w:rsidRPr="007C52BE" w:rsidP="00D95EF7" w14:paraId="3D56F7A1" w14:textId="0CD66E57">
            <w:pPr>
              <w:spacing w:after="0"/>
              <w:jc w:val="center"/>
              <w:rPr>
                <w:b/>
                <w:bCs/>
                <w:sz w:val="20"/>
                <w:szCs w:val="20"/>
              </w:rPr>
            </w:pPr>
            <w:r>
              <w:rPr>
                <w:rFonts w:eastAsia="Calibri"/>
                <w:b/>
                <w:bCs/>
                <w:sz w:val="20"/>
                <w:szCs w:val="20"/>
              </w:rPr>
              <w:t>Burden Estimate</w:t>
            </w:r>
          </w:p>
        </w:tc>
      </w:tr>
      <w:tr w14:paraId="49A15009" w14:textId="77777777" w:rsidTr="003D29BA">
        <w:tblPrEx>
          <w:tblW w:w="9620" w:type="dxa"/>
          <w:tblInd w:w="5" w:type="dxa"/>
          <w:tblLayout w:type="fixed"/>
          <w:tblLook w:val="04A0"/>
        </w:tblPrEx>
        <w:trPr>
          <w:trHeight w:val="268"/>
        </w:trPr>
        <w:tc>
          <w:tcPr>
            <w:tcW w:w="7010" w:type="dxa"/>
            <w:shd w:val="clear" w:color="auto" w:fill="auto"/>
          </w:tcPr>
          <w:p w:rsidR="00653E56" w:rsidRPr="007C52BE" w:rsidP="00D95EF7" w14:paraId="0E8D7DDA" w14:textId="386C9AFB">
            <w:pPr>
              <w:spacing w:after="0"/>
              <w:rPr>
                <w:sz w:val="20"/>
                <w:szCs w:val="20"/>
              </w:rPr>
            </w:pPr>
            <w:r w:rsidRPr="00871E51">
              <w:rPr>
                <w:rFonts w:eastAsia="Calibri"/>
                <w:sz w:val="20"/>
                <w:szCs w:val="20"/>
              </w:rPr>
              <w:t># of Qualified Registry Self-Nomination Applications submitted (a)</w:t>
            </w:r>
          </w:p>
        </w:tc>
        <w:tc>
          <w:tcPr>
            <w:tcW w:w="2610" w:type="dxa"/>
            <w:vAlign w:val="center"/>
          </w:tcPr>
          <w:p w:rsidR="00653E56" w:rsidRPr="007C52BE" w:rsidP="00D95EF7" w14:paraId="6521D5FB" w14:textId="72C995BA">
            <w:pPr>
              <w:spacing w:after="0"/>
              <w:rPr>
                <w:sz w:val="20"/>
                <w:szCs w:val="20"/>
              </w:rPr>
            </w:pPr>
            <w:r>
              <w:rPr>
                <w:rFonts w:eastAsia="Calibri"/>
                <w:sz w:val="20"/>
                <w:szCs w:val="20"/>
              </w:rPr>
              <w:t xml:space="preserve">                                           8</w:t>
            </w:r>
            <w:r w:rsidR="00915567">
              <w:rPr>
                <w:rFonts w:eastAsia="Calibri"/>
                <w:sz w:val="20"/>
                <w:szCs w:val="20"/>
              </w:rPr>
              <w:t>4</w:t>
            </w:r>
          </w:p>
        </w:tc>
      </w:tr>
      <w:tr w14:paraId="1F32A58C" w14:textId="77777777" w:rsidTr="003D29BA">
        <w:tblPrEx>
          <w:tblW w:w="9620" w:type="dxa"/>
          <w:tblInd w:w="5" w:type="dxa"/>
          <w:tblLayout w:type="fixed"/>
          <w:tblLook w:val="04A0"/>
        </w:tblPrEx>
        <w:trPr>
          <w:trHeight w:val="268"/>
        </w:trPr>
        <w:tc>
          <w:tcPr>
            <w:tcW w:w="7010" w:type="dxa"/>
            <w:shd w:val="clear" w:color="auto" w:fill="auto"/>
          </w:tcPr>
          <w:p w:rsidR="00653E56" w:rsidRPr="007C52BE" w:rsidP="00D95EF7" w14:paraId="4C8858B0" w14:textId="08C3E407">
            <w:pPr>
              <w:spacing w:after="0"/>
              <w:rPr>
                <w:sz w:val="20"/>
                <w:szCs w:val="20"/>
              </w:rPr>
            </w:pPr>
            <w:r w:rsidRPr="00871E51">
              <w:rPr>
                <w:rFonts w:eastAsia="Calibri"/>
                <w:sz w:val="20"/>
                <w:szCs w:val="20"/>
              </w:rPr>
              <w:t># of</w:t>
            </w:r>
            <w:r w:rsidR="00DB7732">
              <w:rPr>
                <w:rFonts w:eastAsia="Calibri"/>
                <w:sz w:val="20"/>
                <w:szCs w:val="20"/>
              </w:rPr>
              <w:t xml:space="preserve"> Hours per</w:t>
            </w:r>
            <w:r w:rsidRPr="00871E51">
              <w:rPr>
                <w:rFonts w:eastAsia="Calibri"/>
                <w:sz w:val="20"/>
                <w:szCs w:val="20"/>
              </w:rPr>
              <w:t xml:space="preserve"> Qualified Registry Self-Nomination (b)</w:t>
            </w:r>
          </w:p>
        </w:tc>
        <w:tc>
          <w:tcPr>
            <w:tcW w:w="2610" w:type="dxa"/>
            <w:vAlign w:val="center"/>
          </w:tcPr>
          <w:p w:rsidR="00653E56" w:rsidRPr="007C52BE" w:rsidP="00D95EF7" w14:paraId="25BF359A" w14:textId="1A144D39">
            <w:pPr>
              <w:spacing w:after="0"/>
              <w:rPr>
                <w:sz w:val="20"/>
                <w:szCs w:val="20"/>
              </w:rPr>
            </w:pPr>
            <w:r>
              <w:rPr>
                <w:rFonts w:eastAsia="Calibri"/>
                <w:sz w:val="20"/>
                <w:szCs w:val="20"/>
              </w:rPr>
              <w:t xml:space="preserve">                                         </w:t>
            </w:r>
            <w:r w:rsidR="008515B3">
              <w:rPr>
                <w:rFonts w:eastAsia="Calibri"/>
                <w:sz w:val="20"/>
                <w:szCs w:val="20"/>
              </w:rPr>
              <w:t xml:space="preserve"> </w:t>
            </w:r>
            <w:r w:rsidRPr="00871E51">
              <w:rPr>
                <w:rFonts w:eastAsia="Calibri"/>
                <w:sz w:val="20"/>
                <w:szCs w:val="20"/>
              </w:rPr>
              <w:t>0</w:t>
            </w:r>
            <w:r>
              <w:rPr>
                <w:rFonts w:eastAsia="Calibri"/>
                <w:sz w:val="20"/>
                <w:szCs w:val="20"/>
              </w:rPr>
              <w:t>.5</w:t>
            </w:r>
          </w:p>
        </w:tc>
      </w:tr>
      <w:tr w14:paraId="09F4ED01" w14:textId="77777777" w:rsidTr="00A01D34">
        <w:tblPrEx>
          <w:tblW w:w="9620" w:type="dxa"/>
          <w:tblInd w:w="5" w:type="dxa"/>
          <w:tblLayout w:type="fixed"/>
          <w:tblLook w:val="04A0"/>
        </w:tblPrEx>
        <w:trPr>
          <w:trHeight w:val="233"/>
        </w:trPr>
        <w:tc>
          <w:tcPr>
            <w:tcW w:w="7010" w:type="dxa"/>
            <w:shd w:val="clear" w:color="auto" w:fill="E7E6E6" w:themeFill="background2"/>
          </w:tcPr>
          <w:p w:rsidR="00DB7732" w:rsidRPr="00DB7732" w:rsidP="00DB7732" w14:paraId="670F51EC" w14:textId="380D32D1">
            <w:pPr>
              <w:spacing w:after="0"/>
              <w:rPr>
                <w:b/>
                <w:bCs/>
                <w:sz w:val="20"/>
                <w:szCs w:val="20"/>
              </w:rPr>
            </w:pPr>
            <w:r w:rsidRPr="003D29BA">
              <w:rPr>
                <w:b/>
                <w:bCs/>
                <w:color w:val="000000" w:themeColor="text1"/>
                <w:sz w:val="20"/>
                <w:szCs w:val="20"/>
              </w:rPr>
              <w:t>Total Annual Hours for Simplified</w:t>
            </w:r>
            <w:r w:rsidR="00F805B2">
              <w:rPr>
                <w:b/>
                <w:bCs/>
                <w:color w:val="000000" w:themeColor="text1"/>
                <w:sz w:val="20"/>
                <w:szCs w:val="20"/>
              </w:rPr>
              <w:t xml:space="preserve"> </w:t>
            </w:r>
            <w:r w:rsidRPr="003D29BA">
              <w:rPr>
                <w:b/>
                <w:bCs/>
                <w:color w:val="000000" w:themeColor="text1"/>
                <w:sz w:val="20"/>
                <w:szCs w:val="20"/>
              </w:rPr>
              <w:t xml:space="preserve">Self-nomination (c) = (a) </w:t>
            </w:r>
            <w:r>
              <w:rPr>
                <w:b/>
                <w:bCs/>
                <w:color w:val="000000" w:themeColor="text1"/>
                <w:sz w:val="20"/>
                <w:szCs w:val="20"/>
              </w:rPr>
              <w:t>[x]</w:t>
            </w:r>
            <w:r w:rsidRPr="003D29BA">
              <w:rPr>
                <w:b/>
                <w:bCs/>
                <w:color w:val="000000" w:themeColor="text1"/>
                <w:sz w:val="20"/>
                <w:szCs w:val="20"/>
              </w:rPr>
              <w:t xml:space="preserve"> (b) </w:t>
            </w:r>
          </w:p>
        </w:tc>
        <w:tc>
          <w:tcPr>
            <w:tcW w:w="2610" w:type="dxa"/>
            <w:shd w:val="clear" w:color="auto" w:fill="E7E6E6" w:themeFill="background2"/>
          </w:tcPr>
          <w:p w:rsidR="00DB7732" w:rsidRPr="00DB7732" w:rsidP="00DB7732" w14:paraId="51C6AFBD" w14:textId="3A81EC2B">
            <w:pPr>
              <w:spacing w:after="0"/>
              <w:rPr>
                <w:rFonts w:eastAsia="Calibri"/>
                <w:b/>
                <w:bCs/>
                <w:sz w:val="20"/>
                <w:szCs w:val="20"/>
              </w:rPr>
            </w:pPr>
            <w:r w:rsidRPr="00DB7732">
              <w:rPr>
                <w:b/>
                <w:bCs/>
                <w:color w:val="000000" w:themeColor="text1"/>
                <w:sz w:val="20"/>
                <w:szCs w:val="20"/>
              </w:rPr>
              <w:t xml:space="preserve">                                          </w:t>
            </w:r>
            <w:r w:rsidR="008515B3">
              <w:rPr>
                <w:b/>
                <w:bCs/>
                <w:color w:val="000000" w:themeColor="text1"/>
                <w:sz w:val="20"/>
                <w:szCs w:val="20"/>
              </w:rPr>
              <w:t xml:space="preserve"> </w:t>
            </w:r>
            <w:r w:rsidRPr="00DB7732">
              <w:rPr>
                <w:b/>
                <w:bCs/>
                <w:color w:val="000000" w:themeColor="text1"/>
                <w:sz w:val="20"/>
                <w:szCs w:val="20"/>
              </w:rPr>
              <w:t>4</w:t>
            </w:r>
            <w:r w:rsidR="00915567">
              <w:rPr>
                <w:b/>
                <w:bCs/>
                <w:color w:val="000000" w:themeColor="text1"/>
                <w:sz w:val="20"/>
                <w:szCs w:val="20"/>
              </w:rPr>
              <w:t>2</w:t>
            </w:r>
          </w:p>
        </w:tc>
      </w:tr>
      <w:tr w14:paraId="6883D6FB" w14:textId="77777777" w:rsidTr="003D29BA">
        <w:tblPrEx>
          <w:tblW w:w="9620" w:type="dxa"/>
          <w:tblInd w:w="5" w:type="dxa"/>
          <w:tblLayout w:type="fixed"/>
          <w:tblLook w:val="04A0"/>
        </w:tblPrEx>
        <w:trPr>
          <w:trHeight w:val="188"/>
        </w:trPr>
        <w:tc>
          <w:tcPr>
            <w:tcW w:w="7010" w:type="dxa"/>
            <w:shd w:val="clear" w:color="auto" w:fill="auto"/>
          </w:tcPr>
          <w:p w:rsidR="00653E56" w:rsidRPr="001376EC" w:rsidP="00D95EF7" w14:paraId="441FAE79" w14:textId="6E0276CF">
            <w:pPr>
              <w:spacing w:after="0"/>
              <w:rPr>
                <w:sz w:val="20"/>
                <w:szCs w:val="20"/>
              </w:rPr>
            </w:pPr>
            <w:r w:rsidRPr="00871E51">
              <w:rPr>
                <w:rFonts w:eastAsia="Calibri"/>
                <w:sz w:val="20"/>
                <w:szCs w:val="20"/>
              </w:rPr>
              <w:t xml:space="preserve">Cost Per </w:t>
            </w:r>
            <w:r w:rsidR="0087609B">
              <w:rPr>
                <w:rFonts w:eastAsia="Calibri"/>
                <w:sz w:val="20"/>
                <w:szCs w:val="20"/>
              </w:rPr>
              <w:t>Application</w:t>
            </w:r>
            <w:r w:rsidRPr="00871E51">
              <w:rPr>
                <w:rFonts w:eastAsia="Calibri"/>
                <w:sz w:val="20"/>
                <w:szCs w:val="20"/>
              </w:rPr>
              <w:t xml:space="preserve"> (@ computer systems analyst’s labor rate of $</w:t>
            </w:r>
            <w:r w:rsidR="0087609B">
              <w:rPr>
                <w:rFonts w:eastAsia="Calibri"/>
                <w:sz w:val="20"/>
                <w:szCs w:val="20"/>
              </w:rPr>
              <w:t>103.40</w:t>
            </w:r>
            <w:r w:rsidRPr="00871E51">
              <w:rPr>
                <w:rFonts w:eastAsia="Calibri"/>
                <w:sz w:val="20"/>
                <w:szCs w:val="20"/>
              </w:rPr>
              <w:t>/hr) (</w:t>
            </w:r>
            <w:r w:rsidR="0087609B">
              <w:rPr>
                <w:rFonts w:eastAsia="Calibri"/>
                <w:sz w:val="20"/>
                <w:szCs w:val="20"/>
              </w:rPr>
              <w:t>d</w:t>
            </w:r>
            <w:r w:rsidRPr="00871E51">
              <w:rPr>
                <w:rFonts w:eastAsia="Calibri"/>
                <w:sz w:val="20"/>
                <w:szCs w:val="20"/>
              </w:rPr>
              <w:t>)</w:t>
            </w:r>
            <w:r w:rsidR="0087609B">
              <w:rPr>
                <w:rFonts w:eastAsia="Calibri"/>
                <w:sz w:val="20"/>
                <w:szCs w:val="20"/>
              </w:rPr>
              <w:t xml:space="preserve"> = (b) [x] $103.40/hr</w:t>
            </w:r>
          </w:p>
        </w:tc>
        <w:tc>
          <w:tcPr>
            <w:tcW w:w="2610" w:type="dxa"/>
            <w:shd w:val="clear" w:color="auto" w:fill="auto"/>
            <w:vAlign w:val="center"/>
          </w:tcPr>
          <w:p w:rsidR="00653E56" w:rsidRPr="001376EC" w:rsidP="00D95EF7" w14:paraId="0E7533E6" w14:textId="23922B76">
            <w:pPr>
              <w:spacing w:after="0"/>
              <w:rPr>
                <w:sz w:val="20"/>
                <w:szCs w:val="20"/>
              </w:rPr>
            </w:pPr>
            <w:r>
              <w:rPr>
                <w:rFonts w:eastAsia="Calibri"/>
                <w:sz w:val="20"/>
                <w:szCs w:val="20"/>
              </w:rPr>
              <w:t xml:space="preserve">                                   </w:t>
            </w:r>
            <w:r w:rsidR="00C60937">
              <w:rPr>
                <w:rFonts w:eastAsia="Calibri"/>
                <w:sz w:val="20"/>
                <w:szCs w:val="20"/>
              </w:rPr>
              <w:t xml:space="preserve"> </w:t>
            </w:r>
            <w:r w:rsidRPr="00871E51">
              <w:rPr>
                <w:rFonts w:eastAsia="Calibri"/>
                <w:sz w:val="20"/>
                <w:szCs w:val="20"/>
              </w:rPr>
              <w:t>$</w:t>
            </w:r>
            <w:r>
              <w:rPr>
                <w:rFonts w:eastAsia="Calibri"/>
                <w:sz w:val="20"/>
                <w:szCs w:val="20"/>
              </w:rPr>
              <w:t>51.70</w:t>
            </w:r>
          </w:p>
        </w:tc>
      </w:tr>
      <w:tr w14:paraId="6B44768B" w14:textId="77777777" w:rsidTr="00A01D34">
        <w:tblPrEx>
          <w:tblW w:w="9620" w:type="dxa"/>
          <w:tblInd w:w="5" w:type="dxa"/>
          <w:tblLayout w:type="fixed"/>
          <w:tblLook w:val="04A0"/>
        </w:tblPrEx>
        <w:trPr>
          <w:trHeight w:val="70"/>
        </w:trPr>
        <w:tc>
          <w:tcPr>
            <w:tcW w:w="7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53E56" w:rsidRPr="001376EC" w:rsidP="00604F87" w14:paraId="7274044E" w14:textId="5EDBBFBB">
            <w:pPr>
              <w:spacing w:after="0"/>
              <w:rPr>
                <w:rFonts w:eastAsia="Calibri"/>
                <w:b/>
                <w:bCs/>
                <w:sz w:val="20"/>
                <w:szCs w:val="20"/>
              </w:rPr>
            </w:pPr>
            <w:r w:rsidRPr="001376EC">
              <w:rPr>
                <w:rFonts w:eastAsia="Calibri"/>
                <w:b/>
                <w:bCs/>
                <w:sz w:val="20"/>
                <w:szCs w:val="20"/>
              </w:rPr>
              <w:t>Total Annual Cost (</w:t>
            </w:r>
            <w:r w:rsidR="0087609B">
              <w:rPr>
                <w:rFonts w:eastAsia="Calibri"/>
                <w:b/>
                <w:bCs/>
                <w:sz w:val="20"/>
                <w:szCs w:val="20"/>
              </w:rPr>
              <w:t>e)</w:t>
            </w:r>
            <w:r w:rsidRPr="001376EC">
              <w:rPr>
                <w:rFonts w:eastAsia="Calibri"/>
                <w:b/>
                <w:bCs/>
                <w:sz w:val="20"/>
                <w:szCs w:val="20"/>
              </w:rPr>
              <w:t xml:space="preserve"> = (a) </w:t>
            </w:r>
            <w:r>
              <w:rPr>
                <w:rFonts w:eastAsia="Calibri"/>
                <w:b/>
                <w:bCs/>
                <w:sz w:val="20"/>
                <w:szCs w:val="20"/>
              </w:rPr>
              <w:t>[</w:t>
            </w:r>
            <w:r w:rsidRPr="00502002">
              <w:rPr>
                <w:rFonts w:eastAsia="Calibri"/>
                <w:b/>
                <w:bCs/>
                <w:sz w:val="20"/>
                <w:szCs w:val="20"/>
              </w:rPr>
              <w:t>x</w:t>
            </w:r>
            <w:r>
              <w:rPr>
                <w:rFonts w:eastAsia="Calibri"/>
                <w:b/>
                <w:bCs/>
                <w:sz w:val="20"/>
                <w:szCs w:val="20"/>
              </w:rPr>
              <w:t>]</w:t>
            </w:r>
            <w:r w:rsidRPr="00502002">
              <w:rPr>
                <w:rFonts w:eastAsia="Calibri"/>
                <w:b/>
                <w:bCs/>
                <w:sz w:val="20"/>
                <w:szCs w:val="20"/>
              </w:rPr>
              <w:t xml:space="preserve"> </w:t>
            </w:r>
            <w:r w:rsidRPr="001376EC">
              <w:rPr>
                <w:rFonts w:eastAsia="Calibri"/>
                <w:b/>
                <w:bCs/>
                <w:sz w:val="20"/>
                <w:szCs w:val="20"/>
              </w:rPr>
              <w:t>(</w:t>
            </w:r>
            <w:r w:rsidR="0087609B">
              <w:rPr>
                <w:rFonts w:eastAsia="Calibri"/>
                <w:b/>
                <w:bCs/>
                <w:sz w:val="20"/>
                <w:szCs w:val="20"/>
              </w:rPr>
              <w:t>d</w:t>
            </w:r>
            <w:r w:rsidRPr="001376EC">
              <w:rPr>
                <w:rFonts w:eastAsia="Calibri"/>
                <w:b/>
                <w:bCs/>
                <w:sz w:val="20"/>
                <w:szCs w:val="20"/>
              </w:rPr>
              <w:t>)</w:t>
            </w:r>
            <w:r>
              <w:rPr>
                <w:rFonts w:eastAsia="Calibri"/>
                <w:b/>
                <w:bCs/>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53E56" w:rsidRPr="001376EC" w:rsidP="00604F87" w14:paraId="67D615ED" w14:textId="254E012B">
            <w:pPr>
              <w:spacing w:after="0"/>
              <w:rPr>
                <w:rFonts w:eastAsia="Calibri"/>
                <w:b/>
                <w:bCs/>
                <w:sz w:val="20"/>
                <w:szCs w:val="20"/>
              </w:rPr>
            </w:pPr>
            <w:r>
              <w:rPr>
                <w:rFonts w:eastAsia="Calibri"/>
                <w:b/>
                <w:bCs/>
                <w:sz w:val="20"/>
                <w:szCs w:val="20"/>
              </w:rPr>
              <w:t xml:space="preserve">                                   </w:t>
            </w:r>
            <w:r w:rsidRPr="001376EC">
              <w:rPr>
                <w:rFonts w:eastAsia="Calibri"/>
                <w:b/>
                <w:bCs/>
                <w:sz w:val="20"/>
                <w:szCs w:val="20"/>
              </w:rPr>
              <w:t>$</w:t>
            </w:r>
            <w:r>
              <w:rPr>
                <w:rFonts w:eastAsia="Calibri"/>
                <w:b/>
                <w:bCs/>
                <w:sz w:val="20"/>
                <w:szCs w:val="20"/>
              </w:rPr>
              <w:t>4,</w:t>
            </w:r>
            <w:r w:rsidR="00915567">
              <w:rPr>
                <w:rFonts w:eastAsia="Calibri"/>
                <w:b/>
                <w:bCs/>
                <w:sz w:val="20"/>
                <w:szCs w:val="20"/>
              </w:rPr>
              <w:t>343</w:t>
            </w:r>
          </w:p>
        </w:tc>
      </w:tr>
    </w:tbl>
    <w:p w:rsidR="00B05B18" w:rsidRPr="00CF1883" w:rsidP="00CF1883" w14:paraId="1DE459FF" w14:textId="77777777"/>
    <w:p w:rsidR="00040287" w:rsidRPr="00041A6A" w:rsidP="0011028A" w14:paraId="15606249" w14:textId="195D3305">
      <w:pPr>
        <w:pStyle w:val="Heading4"/>
      </w:pPr>
      <w:r>
        <w:t xml:space="preserve">   </w:t>
      </w:r>
      <w:r>
        <w:t xml:space="preserve">Burden for </w:t>
      </w:r>
      <w:r w:rsidR="00376AF5">
        <w:t xml:space="preserve">Full </w:t>
      </w:r>
      <w:r>
        <w:t>Qualified Registry Self-Nomination Process and Other Requirements</w:t>
      </w:r>
    </w:p>
    <w:p w:rsidR="00040287" w:rsidP="00040287" w14:paraId="05698126" w14:textId="3C8F9667">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Pr>
          <w:rFonts w:eastAsia="Calibri"/>
        </w:rPr>
        <w:t>for approval to do so</w:t>
      </w:r>
      <w:r w:rsidRPr="0076539F">
        <w:rPr>
          <w:rFonts w:eastAsia="Calibri"/>
        </w:rPr>
        <w:t xml:space="preserve"> (82 FR 53815).</w:t>
      </w:r>
      <w:r>
        <w:rPr>
          <w:rFonts w:eastAsia="Calibri"/>
        </w:rPr>
        <w:t xml:space="preserve"> </w:t>
      </w:r>
      <w:r w:rsidRPr="006C31CB">
        <w:rPr>
          <w:rFonts w:eastAsia="Calibri"/>
        </w:rPr>
        <w:t>The self-nomination period is from July 1 to September 1 of the calendar year prior to the applicable performance period.</w:t>
      </w:r>
    </w:p>
    <w:p w:rsidR="00AA30C6" w:rsidP="00AA30C6" w14:paraId="11C9EC4F" w14:textId="0B617884">
      <w:pPr>
        <w:rPr>
          <w:rFonts w:eastAsia="Calibri"/>
        </w:rPr>
      </w:pPr>
      <w:r>
        <w:t xml:space="preserve">Based on the number of applications </w:t>
      </w:r>
      <w:r w:rsidR="009A789E">
        <w:t>recived</w:t>
      </w:r>
      <w:r w:rsidR="009A789E">
        <w:t xml:space="preserve"> </w:t>
      </w:r>
      <w:r w:rsidR="00587971">
        <w:t xml:space="preserve">under the full process </w:t>
      </w:r>
      <w:r>
        <w:t>during the 2023 self-nomination period, w</w:t>
      </w:r>
      <w:r w:rsidR="00040287">
        <w:t xml:space="preserve">e estimate that </w:t>
      </w:r>
      <w:r w:rsidR="00A14EDF">
        <w:t>27</w:t>
      </w:r>
      <w:r w:rsidR="00040287">
        <w:t xml:space="preserve"> qualified registries will self-nominate </w:t>
      </w:r>
      <w:r w:rsidR="000205A9">
        <w:t>under the full qualified registry self-nomination process</w:t>
      </w:r>
      <w:r w:rsidR="000205A9">
        <w:t xml:space="preserve"> </w:t>
      </w:r>
      <w:r>
        <w:t xml:space="preserve">for the CY 2024 performance period/2026 MIPS payment </w:t>
      </w:r>
      <w:r>
        <w:t>year</w:t>
      </w:r>
      <w:r w:rsidR="00040287">
        <w:t>.</w:t>
      </w:r>
      <w:r w:rsidRPr="00B80F1E">
        <w:t>We</w:t>
      </w:r>
      <w:r w:rsidRPr="00B80F1E">
        <w:t xml:space="preserve"> </w:t>
      </w:r>
      <w:r>
        <w:t xml:space="preserve">estimate that it would take </w:t>
      </w:r>
      <w:r w:rsidR="00D32C3B">
        <w:t>2</w:t>
      </w:r>
      <w:r>
        <w:t xml:space="preserve"> hours to </w:t>
      </w:r>
      <w:r>
        <w:t>submit an application</w:t>
      </w:r>
      <w:r>
        <w:t xml:space="preserve"> for the </w:t>
      </w:r>
      <w:r w:rsidR="00E41211">
        <w:t xml:space="preserve">full </w:t>
      </w:r>
      <w:r>
        <w:t xml:space="preserve">qualified registry self-nomination process. We </w:t>
      </w:r>
      <w:r w:rsidRPr="00B80F1E">
        <w:t xml:space="preserve">assume that the staff involved in the </w:t>
      </w:r>
      <w:r w:rsidR="00DC59BA">
        <w:t xml:space="preserve">full </w:t>
      </w:r>
      <w:r w:rsidRPr="00B80F1E">
        <w:t>qualified registry self-nomination process will continue to be computer systems analysts or their equivalent, who have an average labor rate of $</w:t>
      </w:r>
      <w:r>
        <w:t>103.40</w:t>
      </w:r>
      <w:r w:rsidRPr="00B80F1E">
        <w:t xml:space="preserve">/hr. </w:t>
      </w:r>
      <w:r>
        <w:t>We estimate the burden per response would be $</w:t>
      </w:r>
      <w:r w:rsidR="00D32C3B">
        <w:t>206.80</w:t>
      </w:r>
      <w:r>
        <w:t xml:space="preserve"> (</w:t>
      </w:r>
      <w:r w:rsidR="00D32C3B">
        <w:t>2</w:t>
      </w:r>
      <w:r>
        <w:t xml:space="preserve"> hr x $103.40/hr). In aggregate, </w:t>
      </w:r>
      <w:r>
        <w:rPr>
          <w:rFonts w:eastAsia="Calibri"/>
        </w:rPr>
        <w:t xml:space="preserve">as shown in Table </w:t>
      </w:r>
      <w:r w:rsidR="00D32C3B">
        <w:rPr>
          <w:rFonts w:eastAsia="Calibri"/>
        </w:rPr>
        <w:t>4</w:t>
      </w:r>
      <w:r>
        <w:rPr>
          <w:rFonts w:eastAsia="Calibri"/>
        </w:rPr>
        <w:t>,</w:t>
      </w:r>
      <w:r w:rsidRPr="00094949">
        <w:rPr>
          <w:rFonts w:eastAsia="Calibri"/>
        </w:rPr>
        <w:t xml:space="preserve"> </w:t>
      </w:r>
      <w:r>
        <w:rPr>
          <w:rFonts w:eastAsia="Calibri"/>
        </w:rPr>
        <w:t>w</w:t>
      </w:r>
      <w:r w:rsidRPr="00977610">
        <w:rPr>
          <w:rFonts w:eastAsia="Calibri"/>
        </w:rPr>
        <w:t xml:space="preserve">e estimate that the annual burden </w:t>
      </w:r>
      <w:r>
        <w:rPr>
          <w:rFonts w:eastAsia="Calibri"/>
        </w:rPr>
        <w:t xml:space="preserve">for the </w:t>
      </w:r>
      <w:r w:rsidR="00CA776C">
        <w:rPr>
          <w:rFonts w:eastAsia="Calibri"/>
        </w:rPr>
        <w:t xml:space="preserve">full </w:t>
      </w:r>
      <w:r>
        <w:rPr>
          <w:rFonts w:eastAsia="Calibri"/>
        </w:rPr>
        <w:t xml:space="preserve">qualified registry self-nomination process would be </w:t>
      </w:r>
      <w:r w:rsidR="00A14EDF">
        <w:rPr>
          <w:rFonts w:eastAsia="Calibri"/>
        </w:rPr>
        <w:t>54</w:t>
      </w:r>
      <w:r>
        <w:rPr>
          <w:rFonts w:eastAsia="Calibri"/>
        </w:rPr>
        <w:t xml:space="preserve"> hours (</w:t>
      </w:r>
      <w:r w:rsidR="00A14EDF">
        <w:rPr>
          <w:rFonts w:eastAsia="Calibri"/>
        </w:rPr>
        <w:t>27</w:t>
      </w:r>
      <w:r>
        <w:rPr>
          <w:rFonts w:eastAsia="Calibri"/>
        </w:rPr>
        <w:t xml:space="preserve"> applications x </w:t>
      </w:r>
      <w:r w:rsidR="00D32C3B">
        <w:rPr>
          <w:rFonts w:eastAsia="Calibri"/>
        </w:rPr>
        <w:t xml:space="preserve">2 </w:t>
      </w:r>
      <w:r>
        <w:rPr>
          <w:rFonts w:eastAsia="Calibri"/>
        </w:rPr>
        <w:t>hr) at a cost of $</w:t>
      </w:r>
      <w:r w:rsidR="00530A03">
        <w:rPr>
          <w:rFonts w:eastAsia="Calibri"/>
        </w:rPr>
        <w:t>5,584</w:t>
      </w:r>
      <w:r>
        <w:rPr>
          <w:rFonts w:eastAsia="Calibri"/>
        </w:rPr>
        <w:t xml:space="preserve"> (</w:t>
      </w:r>
      <w:r w:rsidR="006050B2">
        <w:rPr>
          <w:rFonts w:eastAsia="Calibri"/>
        </w:rPr>
        <w:t>27</w:t>
      </w:r>
      <w:r>
        <w:rPr>
          <w:rFonts w:eastAsia="Calibri"/>
        </w:rPr>
        <w:t xml:space="preserve"> applications x $</w:t>
      </w:r>
      <w:r w:rsidR="00D32C3B">
        <w:rPr>
          <w:rFonts w:eastAsia="Calibri"/>
        </w:rPr>
        <w:t>206.80</w:t>
      </w:r>
      <w:r>
        <w:rPr>
          <w:rFonts w:eastAsia="Calibri"/>
        </w:rPr>
        <w:t>/application).</w:t>
      </w:r>
      <w:r w:rsidRPr="00977610">
        <w:rPr>
          <w:rFonts w:eastAsia="Calibri"/>
        </w:rPr>
        <w:t xml:space="preserve"> </w:t>
      </w:r>
    </w:p>
    <w:p w:rsidR="00AA30C6" w:rsidRPr="00C47150" w:rsidP="00AA30C6" w14:paraId="0A7B46C7" w14:textId="487DBD97">
      <w:pPr>
        <w:spacing w:after="0"/>
        <w:jc w:val="center"/>
        <w:rPr>
          <w:b/>
          <w:bCs/>
        </w:rPr>
      </w:pPr>
      <w:r w:rsidRPr="00C47150">
        <w:rPr>
          <w:b/>
          <w:bCs/>
        </w:rPr>
        <w:t xml:space="preserve">TABLE </w:t>
      </w:r>
      <w:r w:rsidR="00AF1F78">
        <w:rPr>
          <w:b/>
          <w:bCs/>
        </w:rPr>
        <w:t>4</w:t>
      </w:r>
      <w:r w:rsidRPr="00C47150">
        <w:rPr>
          <w:b/>
          <w:bCs/>
        </w:rPr>
        <w:t xml:space="preserve">: </w:t>
      </w:r>
      <w:r w:rsidRPr="00732012">
        <w:rPr>
          <w:b/>
          <w:bCs/>
        </w:rPr>
        <w:t xml:space="preserve">Estimated </w:t>
      </w:r>
      <w:r w:rsidRPr="00C47150">
        <w:rPr>
          <w:b/>
          <w:bCs/>
        </w:rPr>
        <w:t xml:space="preserve">Burden for </w:t>
      </w:r>
      <w:r w:rsidR="00376AF5">
        <w:rPr>
          <w:b/>
          <w:bCs/>
        </w:rPr>
        <w:t xml:space="preserve">Full </w:t>
      </w:r>
      <w:r w:rsidRPr="00C47150">
        <w:rPr>
          <w:b/>
          <w:bCs/>
        </w:rPr>
        <w:t>Qualified Registry Self-Nomination</w:t>
      </w:r>
      <w:r>
        <w:rPr>
          <w:b/>
          <w:bCs/>
        </w:rPr>
        <w:t xml:space="preserve"> </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0"/>
        <w:gridCol w:w="2610"/>
      </w:tblGrid>
      <w:tr w14:paraId="66E24419" w14:textId="77777777" w:rsidTr="00F24D56">
        <w:tblPrEx>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blHeader/>
        </w:trPr>
        <w:tc>
          <w:tcPr>
            <w:tcW w:w="7010" w:type="dxa"/>
            <w:shd w:val="clear" w:color="auto" w:fill="auto"/>
            <w:vAlign w:val="center"/>
          </w:tcPr>
          <w:p w:rsidR="00AA30C6" w:rsidRPr="00B05B18" w:rsidP="00F24D56" w14:paraId="3656FCFC" w14:textId="77777777">
            <w:pPr>
              <w:spacing w:after="0"/>
              <w:rPr>
                <w:b/>
                <w:sz w:val="20"/>
                <w:szCs w:val="20"/>
              </w:rPr>
            </w:pPr>
            <w:r>
              <w:rPr>
                <w:b/>
                <w:sz w:val="20"/>
                <w:szCs w:val="20"/>
              </w:rPr>
              <w:t>Burden and Respondent Descriptions</w:t>
            </w:r>
          </w:p>
        </w:tc>
        <w:tc>
          <w:tcPr>
            <w:tcW w:w="2610" w:type="dxa"/>
            <w:vAlign w:val="center"/>
          </w:tcPr>
          <w:p w:rsidR="00AA30C6" w:rsidRPr="007C52BE" w:rsidP="00F24D56" w14:paraId="42342E55" w14:textId="77777777">
            <w:pPr>
              <w:spacing w:after="0"/>
              <w:jc w:val="center"/>
              <w:rPr>
                <w:b/>
                <w:bCs/>
                <w:sz w:val="20"/>
                <w:szCs w:val="20"/>
              </w:rPr>
            </w:pPr>
            <w:r>
              <w:rPr>
                <w:rFonts w:eastAsia="Calibri"/>
                <w:b/>
                <w:bCs/>
                <w:sz w:val="20"/>
                <w:szCs w:val="20"/>
              </w:rPr>
              <w:t>Burden Estimate</w:t>
            </w:r>
          </w:p>
        </w:tc>
      </w:tr>
      <w:tr w14:paraId="04E873E1" w14:textId="77777777" w:rsidTr="00F24D56">
        <w:tblPrEx>
          <w:tblW w:w="9620" w:type="dxa"/>
          <w:tblInd w:w="5" w:type="dxa"/>
          <w:tblLayout w:type="fixed"/>
          <w:tblLook w:val="04A0"/>
        </w:tblPrEx>
        <w:trPr>
          <w:trHeight w:val="268"/>
        </w:trPr>
        <w:tc>
          <w:tcPr>
            <w:tcW w:w="7010" w:type="dxa"/>
            <w:shd w:val="clear" w:color="auto" w:fill="auto"/>
          </w:tcPr>
          <w:p w:rsidR="00AA30C6" w:rsidRPr="007C52BE" w:rsidP="00F24D56" w14:paraId="115B6F64" w14:textId="5729D8F2">
            <w:pPr>
              <w:spacing w:after="0"/>
              <w:rPr>
                <w:sz w:val="20"/>
                <w:szCs w:val="20"/>
              </w:rPr>
            </w:pPr>
            <w:r w:rsidRPr="00871E51">
              <w:rPr>
                <w:rFonts w:eastAsia="Calibri"/>
                <w:sz w:val="20"/>
                <w:szCs w:val="20"/>
              </w:rPr>
              <w:t># of Qualified Registry Self-Nomination Applications submitted (a)</w:t>
            </w:r>
          </w:p>
        </w:tc>
        <w:tc>
          <w:tcPr>
            <w:tcW w:w="2610" w:type="dxa"/>
            <w:vAlign w:val="center"/>
          </w:tcPr>
          <w:p w:rsidR="00AA30C6" w:rsidRPr="007C52BE" w:rsidP="00F24D56" w14:paraId="7BCD0FEA" w14:textId="7D7F769E">
            <w:pPr>
              <w:spacing w:after="0"/>
              <w:rPr>
                <w:sz w:val="20"/>
                <w:szCs w:val="20"/>
              </w:rPr>
            </w:pPr>
            <w:r>
              <w:rPr>
                <w:rFonts w:eastAsia="Calibri"/>
                <w:sz w:val="20"/>
                <w:szCs w:val="20"/>
              </w:rPr>
              <w:t xml:space="preserve">                                           </w:t>
            </w:r>
            <w:r w:rsidR="00030B83">
              <w:rPr>
                <w:rFonts w:eastAsia="Calibri"/>
                <w:sz w:val="20"/>
                <w:szCs w:val="20"/>
              </w:rPr>
              <w:t>27</w:t>
            </w:r>
          </w:p>
        </w:tc>
      </w:tr>
      <w:tr w14:paraId="35CE1E58" w14:textId="77777777" w:rsidTr="00F24D56">
        <w:tblPrEx>
          <w:tblW w:w="9620" w:type="dxa"/>
          <w:tblInd w:w="5" w:type="dxa"/>
          <w:tblLayout w:type="fixed"/>
          <w:tblLook w:val="04A0"/>
        </w:tblPrEx>
        <w:trPr>
          <w:trHeight w:val="268"/>
        </w:trPr>
        <w:tc>
          <w:tcPr>
            <w:tcW w:w="7010" w:type="dxa"/>
            <w:shd w:val="clear" w:color="auto" w:fill="auto"/>
          </w:tcPr>
          <w:p w:rsidR="00AA30C6" w:rsidRPr="007C52BE" w:rsidP="00F24D56" w14:paraId="64B2398E" w14:textId="2DC1FFE1">
            <w:pPr>
              <w:spacing w:after="0"/>
              <w:rPr>
                <w:sz w:val="20"/>
                <w:szCs w:val="20"/>
              </w:rPr>
            </w:pPr>
            <w:r w:rsidRPr="00871E51">
              <w:rPr>
                <w:rFonts w:eastAsia="Calibri"/>
                <w:sz w:val="20"/>
                <w:szCs w:val="20"/>
              </w:rPr>
              <w:t># of</w:t>
            </w:r>
            <w:r>
              <w:rPr>
                <w:rFonts w:eastAsia="Calibri"/>
                <w:sz w:val="20"/>
                <w:szCs w:val="20"/>
              </w:rPr>
              <w:t xml:space="preserve"> Hours per</w:t>
            </w:r>
            <w:r w:rsidRPr="00871E51">
              <w:rPr>
                <w:rFonts w:eastAsia="Calibri"/>
                <w:sz w:val="20"/>
                <w:szCs w:val="20"/>
              </w:rPr>
              <w:t xml:space="preserve"> Qualified Registry Self-Nomination (b)</w:t>
            </w:r>
          </w:p>
        </w:tc>
        <w:tc>
          <w:tcPr>
            <w:tcW w:w="2610" w:type="dxa"/>
            <w:vAlign w:val="center"/>
          </w:tcPr>
          <w:p w:rsidR="00AA30C6" w:rsidRPr="007C52BE" w:rsidP="00F24D56" w14:paraId="2456ECFB" w14:textId="4079180B">
            <w:pPr>
              <w:spacing w:after="0"/>
              <w:rPr>
                <w:sz w:val="20"/>
                <w:szCs w:val="20"/>
              </w:rPr>
            </w:pPr>
            <w:r>
              <w:rPr>
                <w:rFonts w:eastAsia="Calibri"/>
                <w:sz w:val="20"/>
                <w:szCs w:val="20"/>
              </w:rPr>
              <w:t xml:space="preserve">                                         </w:t>
            </w:r>
            <w:r w:rsidR="00AF1F78">
              <w:rPr>
                <w:rFonts w:eastAsia="Calibri"/>
                <w:sz w:val="20"/>
                <w:szCs w:val="20"/>
              </w:rPr>
              <w:t xml:space="preserve">    2</w:t>
            </w:r>
          </w:p>
        </w:tc>
      </w:tr>
      <w:tr w14:paraId="42BC72C1" w14:textId="77777777" w:rsidTr="00F24D56">
        <w:tblPrEx>
          <w:tblW w:w="9620" w:type="dxa"/>
          <w:tblInd w:w="5" w:type="dxa"/>
          <w:tblLayout w:type="fixed"/>
          <w:tblLook w:val="04A0"/>
        </w:tblPrEx>
        <w:trPr>
          <w:trHeight w:val="233"/>
        </w:trPr>
        <w:tc>
          <w:tcPr>
            <w:tcW w:w="7010" w:type="dxa"/>
            <w:shd w:val="clear" w:color="auto" w:fill="D9D9D9" w:themeFill="background1" w:themeFillShade="D9"/>
          </w:tcPr>
          <w:p w:rsidR="00AA30C6" w:rsidRPr="00DB7732" w:rsidP="00F24D56" w14:paraId="3F6EE28C" w14:textId="009C307F">
            <w:pPr>
              <w:spacing w:after="0"/>
              <w:rPr>
                <w:b/>
                <w:bCs/>
                <w:sz w:val="20"/>
                <w:szCs w:val="20"/>
              </w:rPr>
            </w:pPr>
            <w:r w:rsidRPr="00FE6458">
              <w:rPr>
                <w:b/>
                <w:bCs/>
                <w:color w:val="000000" w:themeColor="text1"/>
                <w:sz w:val="20"/>
                <w:szCs w:val="20"/>
              </w:rPr>
              <w:t xml:space="preserve">Total Annual Hours for </w:t>
            </w:r>
            <w:r w:rsidR="00AF1F78">
              <w:rPr>
                <w:b/>
                <w:bCs/>
                <w:color w:val="000000" w:themeColor="text1"/>
                <w:sz w:val="20"/>
                <w:szCs w:val="20"/>
              </w:rPr>
              <w:t xml:space="preserve">Full </w:t>
            </w:r>
            <w:r w:rsidRPr="00FE6458">
              <w:rPr>
                <w:b/>
                <w:bCs/>
                <w:color w:val="000000" w:themeColor="text1"/>
                <w:sz w:val="20"/>
                <w:szCs w:val="20"/>
              </w:rPr>
              <w:t xml:space="preserve">Self-nomination (c) = (a) </w:t>
            </w:r>
            <w:r>
              <w:rPr>
                <w:b/>
                <w:bCs/>
                <w:color w:val="000000" w:themeColor="text1"/>
                <w:sz w:val="20"/>
                <w:szCs w:val="20"/>
              </w:rPr>
              <w:t>[x]</w:t>
            </w:r>
            <w:r w:rsidRPr="00FE6458">
              <w:rPr>
                <w:b/>
                <w:bCs/>
                <w:color w:val="000000" w:themeColor="text1"/>
                <w:sz w:val="20"/>
                <w:szCs w:val="20"/>
              </w:rPr>
              <w:t xml:space="preserve"> (b) </w:t>
            </w:r>
          </w:p>
        </w:tc>
        <w:tc>
          <w:tcPr>
            <w:tcW w:w="2610" w:type="dxa"/>
            <w:shd w:val="clear" w:color="auto" w:fill="D9D9D9" w:themeFill="background1" w:themeFillShade="D9"/>
          </w:tcPr>
          <w:p w:rsidR="00AA30C6" w:rsidRPr="00DB7732" w:rsidP="00F24D56" w14:paraId="1BF5E0C4" w14:textId="1DF67E7E">
            <w:pPr>
              <w:spacing w:after="0"/>
              <w:rPr>
                <w:rFonts w:eastAsia="Calibri"/>
                <w:b/>
                <w:bCs/>
                <w:sz w:val="20"/>
                <w:szCs w:val="20"/>
              </w:rPr>
            </w:pPr>
            <w:r w:rsidRPr="00DB7732">
              <w:rPr>
                <w:b/>
                <w:bCs/>
                <w:color w:val="000000" w:themeColor="text1"/>
                <w:sz w:val="20"/>
                <w:szCs w:val="20"/>
              </w:rPr>
              <w:t xml:space="preserve">                                          </w:t>
            </w:r>
            <w:r w:rsidR="00AF1F78">
              <w:rPr>
                <w:b/>
                <w:bCs/>
                <w:color w:val="000000" w:themeColor="text1"/>
                <w:sz w:val="20"/>
                <w:szCs w:val="20"/>
              </w:rPr>
              <w:t xml:space="preserve"> </w:t>
            </w:r>
            <w:r w:rsidR="00030B83">
              <w:rPr>
                <w:b/>
                <w:bCs/>
                <w:color w:val="000000" w:themeColor="text1"/>
                <w:sz w:val="20"/>
                <w:szCs w:val="20"/>
              </w:rPr>
              <w:t>54</w:t>
            </w:r>
          </w:p>
        </w:tc>
      </w:tr>
      <w:tr w14:paraId="0E29B934" w14:textId="77777777" w:rsidTr="00F24D56">
        <w:tblPrEx>
          <w:tblW w:w="9620" w:type="dxa"/>
          <w:tblInd w:w="5" w:type="dxa"/>
          <w:tblLayout w:type="fixed"/>
          <w:tblLook w:val="04A0"/>
        </w:tblPrEx>
        <w:trPr>
          <w:trHeight w:val="188"/>
        </w:trPr>
        <w:tc>
          <w:tcPr>
            <w:tcW w:w="7010" w:type="dxa"/>
            <w:shd w:val="clear" w:color="auto" w:fill="auto"/>
          </w:tcPr>
          <w:p w:rsidR="00AA30C6" w:rsidRPr="001376EC" w:rsidP="00F24D56" w14:paraId="528B2EC1" w14:textId="77777777">
            <w:pPr>
              <w:spacing w:after="0"/>
              <w:rPr>
                <w:sz w:val="20"/>
                <w:szCs w:val="20"/>
              </w:rPr>
            </w:pPr>
            <w:r w:rsidRPr="00871E51">
              <w:rPr>
                <w:rFonts w:eastAsia="Calibri"/>
                <w:sz w:val="20"/>
                <w:szCs w:val="20"/>
              </w:rPr>
              <w:t xml:space="preserve">Cost Per </w:t>
            </w:r>
            <w:r>
              <w:rPr>
                <w:rFonts w:eastAsia="Calibri"/>
                <w:sz w:val="20"/>
                <w:szCs w:val="20"/>
              </w:rPr>
              <w:t>Application</w:t>
            </w:r>
            <w:r w:rsidRPr="00871E51">
              <w:rPr>
                <w:rFonts w:eastAsia="Calibri"/>
                <w:sz w:val="20"/>
                <w:szCs w:val="20"/>
              </w:rPr>
              <w:t xml:space="preserve"> (@ computer systems analyst’s labor rate of $</w:t>
            </w:r>
            <w:r>
              <w:rPr>
                <w:rFonts w:eastAsia="Calibri"/>
                <w:sz w:val="20"/>
                <w:szCs w:val="20"/>
              </w:rPr>
              <w:t>103.40</w:t>
            </w:r>
            <w:r w:rsidRPr="00871E51">
              <w:rPr>
                <w:rFonts w:eastAsia="Calibri"/>
                <w:sz w:val="20"/>
                <w:szCs w:val="20"/>
              </w:rPr>
              <w:t>/hr) (</w:t>
            </w:r>
            <w:r>
              <w:rPr>
                <w:rFonts w:eastAsia="Calibri"/>
                <w:sz w:val="20"/>
                <w:szCs w:val="20"/>
              </w:rPr>
              <w:t>d</w:t>
            </w:r>
            <w:r w:rsidRPr="00871E51">
              <w:rPr>
                <w:rFonts w:eastAsia="Calibri"/>
                <w:sz w:val="20"/>
                <w:szCs w:val="20"/>
              </w:rPr>
              <w:t>)</w:t>
            </w:r>
            <w:r>
              <w:rPr>
                <w:rFonts w:eastAsia="Calibri"/>
                <w:sz w:val="20"/>
                <w:szCs w:val="20"/>
              </w:rPr>
              <w:t xml:space="preserve"> = (b) [x] $103.40/hr</w:t>
            </w:r>
          </w:p>
        </w:tc>
        <w:tc>
          <w:tcPr>
            <w:tcW w:w="2610" w:type="dxa"/>
            <w:shd w:val="clear" w:color="auto" w:fill="auto"/>
            <w:vAlign w:val="center"/>
          </w:tcPr>
          <w:p w:rsidR="00AA30C6" w:rsidRPr="003D29BA" w:rsidP="00F24D56" w14:paraId="408D7762" w14:textId="47A31CA5">
            <w:pPr>
              <w:spacing w:after="0"/>
              <w:rPr>
                <w:rFonts w:eastAsia="Calibri"/>
                <w:sz w:val="20"/>
                <w:szCs w:val="20"/>
              </w:rPr>
            </w:pPr>
            <w:r>
              <w:rPr>
                <w:rFonts w:eastAsia="Calibri"/>
                <w:sz w:val="20"/>
                <w:szCs w:val="20"/>
              </w:rPr>
              <w:t xml:space="preserve">                            </w:t>
            </w:r>
            <w:r w:rsidR="008515B3">
              <w:rPr>
                <w:rFonts w:eastAsia="Calibri"/>
                <w:sz w:val="20"/>
                <w:szCs w:val="20"/>
              </w:rPr>
              <w:t xml:space="preserve">      $206.80</w:t>
            </w:r>
          </w:p>
        </w:tc>
      </w:tr>
      <w:tr w14:paraId="04E25B79" w14:textId="77777777" w:rsidTr="00F24D56">
        <w:tblPrEx>
          <w:tblW w:w="9620" w:type="dxa"/>
          <w:tblInd w:w="5" w:type="dxa"/>
          <w:tblLayout w:type="fixed"/>
          <w:tblLook w:val="04A0"/>
        </w:tblPrEx>
        <w:trPr>
          <w:trHeight w:val="70"/>
        </w:trPr>
        <w:tc>
          <w:tcPr>
            <w:tcW w:w="7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A30C6" w:rsidRPr="001376EC" w:rsidP="00F24D56" w14:paraId="71B2C81E" w14:textId="77777777">
            <w:pPr>
              <w:spacing w:after="0"/>
              <w:rPr>
                <w:rFonts w:eastAsia="Calibri"/>
                <w:b/>
                <w:bCs/>
                <w:sz w:val="20"/>
                <w:szCs w:val="20"/>
              </w:rPr>
            </w:pPr>
            <w:r w:rsidRPr="001376EC">
              <w:rPr>
                <w:rFonts w:eastAsia="Calibri"/>
                <w:b/>
                <w:bCs/>
                <w:sz w:val="20"/>
                <w:szCs w:val="20"/>
              </w:rPr>
              <w:t>Total Annual Cost (</w:t>
            </w:r>
            <w:r>
              <w:rPr>
                <w:rFonts w:eastAsia="Calibri"/>
                <w:b/>
                <w:bCs/>
                <w:sz w:val="20"/>
                <w:szCs w:val="20"/>
              </w:rPr>
              <w:t>e)</w:t>
            </w:r>
            <w:r w:rsidRPr="001376EC">
              <w:rPr>
                <w:rFonts w:eastAsia="Calibri"/>
                <w:b/>
                <w:bCs/>
                <w:sz w:val="20"/>
                <w:szCs w:val="20"/>
              </w:rPr>
              <w:t xml:space="preserve"> = (a) </w:t>
            </w:r>
            <w:r>
              <w:rPr>
                <w:rFonts w:eastAsia="Calibri"/>
                <w:b/>
                <w:bCs/>
                <w:sz w:val="20"/>
                <w:szCs w:val="20"/>
              </w:rPr>
              <w:t>[</w:t>
            </w:r>
            <w:r w:rsidRPr="00502002">
              <w:rPr>
                <w:rFonts w:eastAsia="Calibri"/>
                <w:b/>
                <w:bCs/>
                <w:sz w:val="20"/>
                <w:szCs w:val="20"/>
              </w:rPr>
              <w:t>x</w:t>
            </w:r>
            <w:r>
              <w:rPr>
                <w:rFonts w:eastAsia="Calibri"/>
                <w:b/>
                <w:bCs/>
                <w:sz w:val="20"/>
                <w:szCs w:val="20"/>
              </w:rPr>
              <w:t>]</w:t>
            </w:r>
            <w:r w:rsidRPr="00502002">
              <w:rPr>
                <w:rFonts w:eastAsia="Calibri"/>
                <w:b/>
                <w:bCs/>
                <w:sz w:val="20"/>
                <w:szCs w:val="20"/>
              </w:rPr>
              <w:t xml:space="preserve"> </w:t>
            </w:r>
            <w:r w:rsidRPr="001376EC">
              <w:rPr>
                <w:rFonts w:eastAsia="Calibri"/>
                <w:b/>
                <w:bCs/>
                <w:sz w:val="20"/>
                <w:szCs w:val="20"/>
              </w:rPr>
              <w:t>(</w:t>
            </w:r>
            <w:r>
              <w:rPr>
                <w:rFonts w:eastAsia="Calibri"/>
                <w:b/>
                <w:bCs/>
                <w:sz w:val="20"/>
                <w:szCs w:val="20"/>
              </w:rPr>
              <w:t>d</w:t>
            </w:r>
            <w:r w:rsidRPr="001376EC">
              <w:rPr>
                <w:rFonts w:eastAsia="Calibri"/>
                <w:b/>
                <w:bCs/>
                <w:sz w:val="20"/>
                <w:szCs w:val="20"/>
              </w:rPr>
              <w:t>)</w:t>
            </w:r>
            <w:r>
              <w:rPr>
                <w:rFonts w:eastAsia="Calibri"/>
                <w:b/>
                <w:bCs/>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30C6" w:rsidRPr="001376EC" w:rsidP="00F24D56" w14:paraId="72B42AFF" w14:textId="145F5B41">
            <w:pPr>
              <w:spacing w:after="0"/>
              <w:rPr>
                <w:rFonts w:eastAsia="Calibri"/>
                <w:b/>
                <w:bCs/>
                <w:sz w:val="20"/>
                <w:szCs w:val="20"/>
              </w:rPr>
            </w:pPr>
            <w:r>
              <w:rPr>
                <w:rFonts w:eastAsia="Calibri"/>
                <w:b/>
                <w:bCs/>
                <w:sz w:val="20"/>
                <w:szCs w:val="20"/>
              </w:rPr>
              <w:t xml:space="preserve">                                  </w:t>
            </w:r>
            <w:r w:rsidR="008515B3">
              <w:rPr>
                <w:rFonts w:eastAsia="Calibri"/>
                <w:b/>
                <w:bCs/>
                <w:sz w:val="20"/>
                <w:szCs w:val="20"/>
              </w:rPr>
              <w:t xml:space="preserve"> </w:t>
            </w:r>
            <w:r>
              <w:rPr>
                <w:rFonts w:eastAsia="Calibri"/>
                <w:b/>
                <w:bCs/>
                <w:sz w:val="20"/>
                <w:szCs w:val="20"/>
              </w:rPr>
              <w:t xml:space="preserve"> </w:t>
            </w:r>
            <w:r w:rsidRPr="001376EC">
              <w:rPr>
                <w:rFonts w:eastAsia="Calibri"/>
                <w:b/>
                <w:bCs/>
                <w:sz w:val="20"/>
                <w:szCs w:val="20"/>
              </w:rPr>
              <w:t>$</w:t>
            </w:r>
            <w:r w:rsidR="00251C04">
              <w:rPr>
                <w:rFonts w:eastAsia="Calibri"/>
                <w:b/>
                <w:bCs/>
                <w:sz w:val="20"/>
                <w:szCs w:val="20"/>
              </w:rPr>
              <w:t>5,584</w:t>
            </w:r>
          </w:p>
        </w:tc>
      </w:tr>
    </w:tbl>
    <w:p w:rsidR="00040287" w:rsidRPr="00040287" w:rsidP="003D29BA" w14:paraId="47971538" w14:textId="77777777"/>
    <w:p w:rsidR="008D7566" w:rsidRPr="00041A6A" w:rsidP="0011028A" w14:paraId="19707942" w14:textId="0F788ECF">
      <w:pPr>
        <w:pStyle w:val="Heading4"/>
      </w:pPr>
      <w:r>
        <w:t xml:space="preserve">   </w:t>
      </w:r>
      <w:r w:rsidRPr="00041A6A" w:rsidR="0004680F">
        <w:t xml:space="preserve">Burden for </w:t>
      </w:r>
      <w:r w:rsidR="00A05A9E">
        <w:t xml:space="preserve">Simplified </w:t>
      </w:r>
      <w:r w:rsidRPr="00041A6A" w:rsidR="0004680F">
        <w:t>QCDR Self-Nomination</w:t>
      </w:r>
      <w:r w:rsidRPr="00041A6A" w:rsidR="00891A14">
        <w:t xml:space="preserve"> </w:t>
      </w:r>
      <w:r w:rsidR="008F170D">
        <w:t xml:space="preserve">Process </w:t>
      </w:r>
      <w:r w:rsidRPr="00041A6A" w:rsidR="00891A14">
        <w:t>and Other Requirements</w:t>
      </w:r>
    </w:p>
    <w:p w:rsidR="00DB53F8" w:rsidP="00730BEF" w14:paraId="3E4EBEC9" w14:textId="0FD17221">
      <w:pPr>
        <w:rPr>
          <w:rFonts w:eastAsia="Calibri"/>
        </w:rPr>
      </w:pPr>
      <w:r>
        <w:rPr>
          <w:rFonts w:eastAsia="Calibri"/>
        </w:rPr>
        <w:t>P</w:t>
      </w:r>
      <w:r w:rsidRPr="002F0EDC" w:rsidR="002F0EDC">
        <w:rPr>
          <w:rFonts w:eastAsia="Calibri"/>
        </w:rPr>
        <w:t xml:space="preserve">reviously approved QCDRs in good standing (that are not on </w:t>
      </w:r>
      <w:r w:rsidR="00A61FB3">
        <w:rPr>
          <w:rFonts w:eastAsia="Calibri"/>
        </w:rPr>
        <w:t>remedial action</w:t>
      </w:r>
      <w:r w:rsidRPr="002F0EDC" w:rsidR="00A61FB3">
        <w:rPr>
          <w:rFonts w:eastAsia="Calibri"/>
        </w:rPr>
        <w:t xml:space="preserve"> </w:t>
      </w:r>
      <w:r w:rsidRPr="002F0EDC" w:rsidR="002F0EDC">
        <w:rPr>
          <w:rFonts w:eastAsia="Calibri"/>
        </w:rPr>
        <w:t xml:space="preserve">or </w:t>
      </w:r>
      <w:r w:rsidR="00A61FB3">
        <w:rPr>
          <w:rFonts w:eastAsia="Calibri"/>
        </w:rPr>
        <w:t>have been terminated</w:t>
      </w:r>
      <w:r w:rsidRPr="002F0EDC" w:rsidR="002F0EDC">
        <w:rPr>
          <w:rFonts w:eastAsia="Calibri"/>
        </w:rPr>
        <w:t>) that wish to self-nominate u</w:t>
      </w:r>
      <w:r w:rsidR="00E71E68">
        <w:rPr>
          <w:rFonts w:eastAsia="Calibri"/>
        </w:rPr>
        <w:t>nder</w:t>
      </w:r>
      <w:r w:rsidRPr="002F0EDC" w:rsidR="002F0EDC">
        <w:rPr>
          <w:rFonts w:eastAsia="Calibri"/>
        </w:rPr>
        <w:t xml:space="preserve">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Pr>
          <w:rFonts w:eastAsia="Calibri"/>
        </w:rPr>
        <w:t>).</w:t>
      </w:r>
    </w:p>
    <w:p w:rsidR="00FE70EB" w:rsidRPr="00DB53F8" w:rsidP="00730BEF" w14:paraId="35C224FD" w14:textId="7CE983C0">
      <w:pPr>
        <w:rPr>
          <w:rFonts w:eastAsia="Calibri"/>
        </w:rPr>
      </w:pPr>
      <w:r>
        <w:rPr>
          <w:rFonts w:eastAsia="Calibri"/>
        </w:rPr>
        <w:t>We</w:t>
      </w:r>
      <w:r w:rsidR="00FD473E">
        <w:rPr>
          <w:rFonts w:eastAsia="Calibri"/>
        </w:rPr>
        <w:t xml:space="preserve"> </w:t>
      </w:r>
      <w:r w:rsidR="001F3D6F">
        <w:rPr>
          <w:rFonts w:eastAsia="Calibri"/>
        </w:rPr>
        <w:t>are</w:t>
      </w:r>
      <w:r w:rsidR="00FD473E">
        <w:rPr>
          <w:rFonts w:eastAsia="Calibri"/>
        </w:rPr>
        <w:t xml:space="preserve"> separat</w:t>
      </w:r>
      <w:r w:rsidR="001F3D6F">
        <w:rPr>
          <w:rFonts w:eastAsia="Calibri"/>
        </w:rPr>
        <w:t>ing</w:t>
      </w:r>
      <w:r w:rsidRPr="00FE70EB">
        <w:rPr>
          <w:rFonts w:eastAsia="Calibri"/>
        </w:rPr>
        <w:t xml:space="preserve"> the</w:t>
      </w:r>
      <w:r w:rsidR="00FD473E">
        <w:rPr>
          <w:rFonts w:eastAsia="Calibri"/>
        </w:rPr>
        <w:t xml:space="preserve"> estimated</w:t>
      </w:r>
      <w:r w:rsidRPr="00FE70EB">
        <w:rPr>
          <w:rFonts w:eastAsia="Calibri"/>
        </w:rPr>
        <w:t xml:space="preserve"> burden for the number of QCDR self-nomination applications submitted for the simplified and full self-nomination process for the CY 2024 performance period/2026 MIPS payment year. In the CY 2023 PFS final rule (87 FR 70137 through 70139), we used the same estimate for the number of respondents that submitted applications </w:t>
      </w:r>
      <w:r w:rsidR="00416EBB">
        <w:rPr>
          <w:rFonts w:eastAsia="Calibri"/>
        </w:rPr>
        <w:t>under</w:t>
      </w:r>
      <w:r w:rsidRPr="00FE70EB">
        <w:rPr>
          <w:rFonts w:eastAsia="Calibri"/>
        </w:rPr>
        <w:t xml:space="preserve"> the simplified and full </w:t>
      </w:r>
      <w:r w:rsidR="00416EBB">
        <w:rPr>
          <w:rFonts w:eastAsia="Calibri"/>
        </w:rPr>
        <w:t xml:space="preserve">QCDR </w:t>
      </w:r>
      <w:r w:rsidRPr="00FE70EB">
        <w:rPr>
          <w:rFonts w:eastAsia="Calibri"/>
        </w:rPr>
        <w:t xml:space="preserve">self-nomination process because we did not have separate estimates at the time. Additionally, we only used the burden for the full QCDR self-nomination process in our final burden summary estimates. Due to the availability of updated data and the distinct number of estimated respondents for the simplified and full self-nomination process, we are </w:t>
      </w:r>
      <w:r w:rsidR="00FD473E">
        <w:rPr>
          <w:rFonts w:eastAsia="Calibri"/>
        </w:rPr>
        <w:t>requesting</w:t>
      </w:r>
      <w:r w:rsidRPr="00FE70EB">
        <w:rPr>
          <w:rFonts w:eastAsia="Calibri"/>
        </w:rPr>
        <w:t xml:space="preserve"> to add a new ICR to capture the burden for the simplified QCDR self-nomination process. We note that the change in estimated burden is not due to policy proposals in </w:t>
      </w:r>
      <w:r w:rsidR="00FD473E">
        <w:rPr>
          <w:rFonts w:eastAsia="Calibri"/>
        </w:rPr>
        <w:t xml:space="preserve">the CY 2024 PFS </w:t>
      </w:r>
      <w:r w:rsidR="00303571">
        <w:rPr>
          <w:rFonts w:eastAsia="Calibri"/>
        </w:rPr>
        <w:t xml:space="preserve">final </w:t>
      </w:r>
      <w:r w:rsidRPr="00FE70EB">
        <w:rPr>
          <w:rFonts w:eastAsia="Calibri"/>
        </w:rPr>
        <w:t xml:space="preserve">rule.  </w:t>
      </w:r>
      <w:r w:rsidRPr="00FE70EB">
        <w:rPr>
          <w:rFonts w:eastAsia="Calibri"/>
        </w:rPr>
        <w:t>In order to</w:t>
      </w:r>
      <w:r w:rsidRPr="00FE70EB">
        <w:rPr>
          <w:rFonts w:eastAsia="Calibri"/>
        </w:rPr>
        <w:t xml:space="preserve"> accurately represent the estimated burden incurred by the QCDRs for the simplified and full self-nomination process, we discuss the burden under separate ICRs.  </w:t>
      </w:r>
    </w:p>
    <w:p w:rsidR="00B05B18" w:rsidP="00CB03DF" w14:paraId="3393B32A" w14:textId="78B74172">
      <w:r>
        <w:t>Based on the number of</w:t>
      </w:r>
      <w:r w:rsidR="00551404">
        <w:t xml:space="preserve"> applications</w:t>
      </w:r>
      <w:r>
        <w:t xml:space="preserve"> received </w:t>
      </w:r>
      <w:r w:rsidR="00F905EA">
        <w:t>under the simplified process during the 2023 self-nomination period</w:t>
      </w:r>
      <w:r w:rsidR="00D04EF7">
        <w:t>, w</w:t>
      </w:r>
      <w:r w:rsidR="002D05D8">
        <w:t>e estimate that 4</w:t>
      </w:r>
      <w:r w:rsidR="00B63D6C">
        <w:t>4</w:t>
      </w:r>
      <w:r w:rsidR="002D05D8">
        <w:t xml:space="preserve"> QCDRs will self-nominate</w:t>
      </w:r>
      <w:r w:rsidR="0048532A">
        <w:t xml:space="preserve"> under the simplified QCDR self-nomination process</w:t>
      </w:r>
      <w:r w:rsidR="002D05D8">
        <w:t xml:space="preserve"> for the CY 2024 performance period/2026 MIPS payment year. </w:t>
      </w:r>
      <w:r w:rsidR="0062538E">
        <w:t xml:space="preserve">We estimate that it will take 0.5 hours for a QCDR to </w:t>
      </w:r>
      <w:r w:rsidR="0062538E">
        <w:t>submit an application</w:t>
      </w:r>
      <w:r w:rsidR="0062538E">
        <w:t xml:space="preserve"> under the simplified self-nomination process. </w:t>
      </w:r>
      <w:r w:rsidR="00C1541A">
        <w:t>Additionally, w</w:t>
      </w:r>
      <w:r w:rsidR="0062538E">
        <w:t xml:space="preserve">e </w:t>
      </w:r>
      <w:r w:rsidRPr="00CA2C47" w:rsidR="00FB565A">
        <w:t>estimate that each QCDR will submit 12 measures</w:t>
      </w:r>
      <w:r w:rsidR="00E53612">
        <w:t xml:space="preserve"> on average</w:t>
      </w:r>
      <w:r w:rsidRPr="00CA2C47" w:rsidR="00FB565A">
        <w:t>,</w:t>
      </w:r>
      <w:r w:rsidR="00FB565A">
        <w:t xml:space="preserve"> </w:t>
      </w:r>
      <w:r w:rsidR="00CB2302">
        <w:t>approximately 2 new measures and 10 existing or borrowed measures</w:t>
      </w:r>
      <w:r w:rsidR="005216E7">
        <w:t xml:space="preserve">, per </w:t>
      </w:r>
      <w:r w:rsidR="005216E7">
        <w:t>QCDR</w:t>
      </w:r>
      <w:r w:rsidR="00CB2302">
        <w:t>.</w:t>
      </w:r>
      <w:r w:rsidR="00CF1810">
        <w:t>W</w:t>
      </w:r>
      <w:r w:rsidRPr="007A43B6" w:rsidR="00CB2302">
        <w:t>e</w:t>
      </w:r>
      <w:r w:rsidRPr="007A43B6" w:rsidR="00CB2302">
        <w:t xml:space="preserve"> </w:t>
      </w:r>
      <w:r w:rsidRPr="007A43B6" w:rsidR="00CB2302">
        <w:t>estimate</w:t>
      </w:r>
      <w:r w:rsidR="00762CB8">
        <w:t xml:space="preserve"> </w:t>
      </w:r>
      <w:r w:rsidR="008739AC">
        <w:t xml:space="preserve">that it will take 2 hours for a QCDR to submit a new measure and 0.5 hours to submit an existing measure. Therefore, we estimate </w:t>
      </w:r>
      <w:r w:rsidR="00762CB8">
        <w:t>the</w:t>
      </w:r>
      <w:r w:rsidRPr="007A43B6" w:rsidR="00CB2302">
        <w:t xml:space="preserve"> weighted average time required for each QCDR to submit a measure</w:t>
      </w:r>
      <w:r w:rsidR="00762CB8">
        <w:t xml:space="preserve"> will be</w:t>
      </w:r>
      <w:r w:rsidRPr="007A43B6" w:rsidR="00CB2302">
        <w:t xml:space="preserve"> 0.</w:t>
      </w:r>
      <w:r w:rsidR="00CB2302">
        <w:t>75</w:t>
      </w:r>
      <w:r w:rsidRPr="007A43B6" w:rsidR="00CB2302">
        <w:t xml:space="preserve"> hours [((</w:t>
      </w:r>
      <w:r w:rsidR="00CB2302">
        <w:t>2</w:t>
      </w:r>
      <w:r w:rsidRPr="007A43B6" w:rsidR="00CB2302">
        <w:t xml:space="preserve"> new measure × 2 hr) + (1</w:t>
      </w:r>
      <w:r w:rsidR="00CB2302">
        <w:t>0</w:t>
      </w:r>
      <w:r w:rsidRPr="007A43B6" w:rsidR="00CB2302">
        <w:t xml:space="preserve"> existing or borrowed measures × 0.5 hr))/total # of measures (12)].</w:t>
      </w:r>
      <w:r w:rsidR="00FB565A">
        <w:t xml:space="preserve"> </w:t>
      </w:r>
      <w:r w:rsidR="00E92ED6">
        <w:t>In aggregate</w:t>
      </w:r>
      <w:r w:rsidRPr="00307A27" w:rsidR="00FB565A">
        <w:t xml:space="preserve">, we </w:t>
      </w:r>
      <w:r w:rsidR="00FB565A">
        <w:t>estimate that it will take</w:t>
      </w:r>
      <w:r w:rsidRPr="00307A27" w:rsidR="00FB565A">
        <w:t xml:space="preserve"> </w:t>
      </w:r>
      <w:r w:rsidR="00FB565A">
        <w:t>9.5</w:t>
      </w:r>
      <w:r w:rsidRPr="00307A27" w:rsidR="00FB565A">
        <w:t xml:space="preserve"> hours [0.5 hr for the simplified self- nomination process +</w:t>
      </w:r>
      <w:r w:rsidR="00541474">
        <w:t xml:space="preserve"> 9 hours </w:t>
      </w:r>
      <w:r w:rsidR="0095219E">
        <w:t>for QCDR measure submission</w:t>
      </w:r>
      <w:r w:rsidRPr="00307A27" w:rsidR="00FB565A">
        <w:t xml:space="preserve"> (12 measures × 0.</w:t>
      </w:r>
      <w:r w:rsidR="00FB565A">
        <w:t>75</w:t>
      </w:r>
      <w:r w:rsidRPr="00307A27" w:rsidR="00FB565A">
        <w:t xml:space="preserve"> hr/measure)]</w:t>
      </w:r>
      <w:r w:rsidR="00FB565A">
        <w:t xml:space="preserve"> for a QCDR to </w:t>
      </w:r>
      <w:r w:rsidR="00FB565A">
        <w:t>submit an application</w:t>
      </w:r>
      <w:r w:rsidR="00FB565A">
        <w:t xml:space="preserve"> under the simplified self-nomination process.</w:t>
      </w:r>
      <w:r w:rsidRPr="00307A27" w:rsidR="00FB565A">
        <w:t xml:space="preserve"> </w:t>
      </w:r>
      <w:r w:rsidR="002D05D8">
        <w:t xml:space="preserve">We </w:t>
      </w:r>
      <w:r w:rsidRPr="00B80F1E" w:rsidR="002D05D8">
        <w:t xml:space="preserve">assume that the staff involved in the </w:t>
      </w:r>
      <w:r w:rsidR="00924769">
        <w:t xml:space="preserve">simplified </w:t>
      </w:r>
      <w:r w:rsidR="0074172B">
        <w:t>QCDR</w:t>
      </w:r>
      <w:r w:rsidRPr="00B80F1E" w:rsidR="002D05D8">
        <w:t xml:space="preserve"> self-nomination process will be computer systems analysts or their equivalent, who have an average labor rate of $</w:t>
      </w:r>
      <w:r w:rsidR="002D05D8">
        <w:t>103.40</w:t>
      </w:r>
      <w:r w:rsidRPr="00B80F1E" w:rsidR="002D05D8">
        <w:t xml:space="preserve">/hr. </w:t>
      </w:r>
      <w:r w:rsidR="002D05D8">
        <w:t>We estimate the burden per response would be $</w:t>
      </w:r>
      <w:r w:rsidR="00B636D9">
        <w:t>982.30</w:t>
      </w:r>
      <w:r w:rsidR="002D05D8">
        <w:t xml:space="preserve"> (</w:t>
      </w:r>
      <w:r w:rsidR="00CF7A16">
        <w:t>9.5</w:t>
      </w:r>
      <w:r w:rsidR="002D05D8">
        <w:t xml:space="preserve"> hr x $103.40/hr). In aggregate, </w:t>
      </w:r>
      <w:r w:rsidR="002D05D8">
        <w:rPr>
          <w:rFonts w:eastAsia="Calibri"/>
        </w:rPr>
        <w:t>as shown in Table 5,</w:t>
      </w:r>
      <w:r w:rsidRPr="00094949" w:rsidR="002D05D8">
        <w:rPr>
          <w:rFonts w:eastAsia="Calibri"/>
        </w:rPr>
        <w:t xml:space="preserve"> </w:t>
      </w:r>
      <w:r w:rsidR="002D05D8">
        <w:rPr>
          <w:rFonts w:eastAsia="Calibri"/>
        </w:rPr>
        <w:t>w</w:t>
      </w:r>
      <w:r w:rsidRPr="00977610" w:rsidR="002D05D8">
        <w:rPr>
          <w:rFonts w:eastAsia="Calibri"/>
        </w:rPr>
        <w:t xml:space="preserve">e estimate that the annual burden </w:t>
      </w:r>
      <w:r w:rsidR="002D05D8">
        <w:rPr>
          <w:rFonts w:eastAsia="Calibri"/>
        </w:rPr>
        <w:t xml:space="preserve">for the </w:t>
      </w:r>
      <w:r w:rsidR="00B71768">
        <w:rPr>
          <w:rFonts w:eastAsia="Calibri"/>
        </w:rPr>
        <w:t xml:space="preserve">simplified </w:t>
      </w:r>
      <w:r w:rsidR="002D05D8">
        <w:rPr>
          <w:rFonts w:eastAsia="Calibri"/>
        </w:rPr>
        <w:t>QCD</w:t>
      </w:r>
      <w:r w:rsidR="00B71768">
        <w:rPr>
          <w:rFonts w:eastAsia="Calibri"/>
        </w:rPr>
        <w:t xml:space="preserve">R </w:t>
      </w:r>
      <w:r w:rsidR="002D05D8">
        <w:rPr>
          <w:rFonts w:eastAsia="Calibri"/>
        </w:rPr>
        <w:t xml:space="preserve">self-nomination process would be </w:t>
      </w:r>
      <w:r w:rsidR="00990BFE">
        <w:rPr>
          <w:rFonts w:eastAsia="Calibri"/>
        </w:rPr>
        <w:t>418</w:t>
      </w:r>
      <w:r w:rsidR="002D05D8">
        <w:rPr>
          <w:rFonts w:eastAsia="Calibri"/>
        </w:rPr>
        <w:t xml:space="preserve"> hours (4</w:t>
      </w:r>
      <w:r w:rsidR="00014796">
        <w:rPr>
          <w:rFonts w:eastAsia="Calibri"/>
        </w:rPr>
        <w:t>4</w:t>
      </w:r>
      <w:r w:rsidR="002D05D8">
        <w:rPr>
          <w:rFonts w:eastAsia="Calibri"/>
        </w:rPr>
        <w:t xml:space="preserve"> applications x </w:t>
      </w:r>
      <w:r w:rsidR="00014796">
        <w:rPr>
          <w:rFonts w:eastAsia="Calibri"/>
        </w:rPr>
        <w:t>9</w:t>
      </w:r>
      <w:r w:rsidR="002D05D8">
        <w:rPr>
          <w:rFonts w:eastAsia="Calibri"/>
        </w:rPr>
        <w:t>.</w:t>
      </w:r>
      <w:r w:rsidR="00014796">
        <w:rPr>
          <w:rFonts w:eastAsia="Calibri"/>
        </w:rPr>
        <w:t>5</w:t>
      </w:r>
      <w:r w:rsidR="002D05D8">
        <w:rPr>
          <w:rFonts w:eastAsia="Calibri"/>
        </w:rPr>
        <w:t xml:space="preserve"> hr) at a cost of $</w:t>
      </w:r>
      <w:r w:rsidR="00A01432">
        <w:rPr>
          <w:rFonts w:eastAsia="Calibri"/>
        </w:rPr>
        <w:t>43,221</w:t>
      </w:r>
      <w:r w:rsidR="002D05D8">
        <w:rPr>
          <w:rFonts w:eastAsia="Calibri"/>
        </w:rPr>
        <w:t xml:space="preserve"> (4</w:t>
      </w:r>
      <w:r w:rsidR="00051C3E">
        <w:rPr>
          <w:rFonts w:eastAsia="Calibri"/>
        </w:rPr>
        <w:t>4</w:t>
      </w:r>
      <w:r w:rsidR="002D05D8">
        <w:rPr>
          <w:rFonts w:eastAsia="Calibri"/>
        </w:rPr>
        <w:t xml:space="preserve"> applications x $</w:t>
      </w:r>
      <w:r w:rsidR="00051C3E">
        <w:rPr>
          <w:rFonts w:eastAsia="Calibri"/>
        </w:rPr>
        <w:t>982</w:t>
      </w:r>
      <w:r w:rsidR="002D05D8">
        <w:rPr>
          <w:rFonts w:eastAsia="Calibri"/>
        </w:rPr>
        <w:t>.</w:t>
      </w:r>
      <w:r w:rsidR="00051C3E">
        <w:rPr>
          <w:rFonts w:eastAsia="Calibri"/>
        </w:rPr>
        <w:t>30</w:t>
      </w:r>
      <w:r w:rsidR="002D05D8">
        <w:rPr>
          <w:rFonts w:eastAsia="Calibri"/>
        </w:rPr>
        <w:t>/application).</w:t>
      </w:r>
      <w:r w:rsidRPr="00977610" w:rsidR="002D05D8">
        <w:rPr>
          <w:rFonts w:eastAsia="Calibri"/>
        </w:rPr>
        <w:t xml:space="preserve"> </w:t>
      </w:r>
    </w:p>
    <w:p w:rsidR="00B05B18" w:rsidRPr="00732012" w:rsidP="00E74247" w14:paraId="0DAD826A" w14:textId="69BF791A">
      <w:pPr>
        <w:keepNext/>
        <w:keepLines/>
        <w:spacing w:after="0"/>
        <w:jc w:val="center"/>
        <w:rPr>
          <w:b/>
          <w:bCs/>
        </w:rPr>
      </w:pPr>
      <w:r>
        <w:rPr>
          <w:b/>
          <w:bCs/>
        </w:rPr>
        <w:t xml:space="preserve">TABLE </w:t>
      </w:r>
      <w:r w:rsidR="00CB03DF">
        <w:rPr>
          <w:b/>
          <w:bCs/>
        </w:rPr>
        <w:t>5</w:t>
      </w:r>
      <w:r w:rsidRPr="00732012">
        <w:rPr>
          <w:b/>
          <w:bCs/>
        </w:rPr>
        <w:t xml:space="preserve">: Estimated Burden for </w:t>
      </w:r>
      <w:r w:rsidR="00B71768">
        <w:rPr>
          <w:b/>
          <w:bCs/>
        </w:rPr>
        <w:t xml:space="preserve">Simplified </w:t>
      </w:r>
      <w:r w:rsidRPr="00732012">
        <w:rPr>
          <w:b/>
          <w:bCs/>
        </w:rPr>
        <w:t>QCDR Self-Nomination</w:t>
      </w:r>
      <w:r w:rsidR="002F7695">
        <w:rPr>
          <w:b/>
          <w:bCs/>
        </w:rPr>
        <w:t xml:space="preserve"> </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0"/>
        <w:gridCol w:w="2610"/>
      </w:tblGrid>
      <w:tr w14:paraId="71104228" w14:textId="77777777" w:rsidTr="00F24D56">
        <w:tblPrEx>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blHeader/>
        </w:trPr>
        <w:tc>
          <w:tcPr>
            <w:tcW w:w="7010" w:type="dxa"/>
            <w:shd w:val="clear" w:color="auto" w:fill="auto"/>
            <w:vAlign w:val="center"/>
          </w:tcPr>
          <w:p w:rsidR="00CB03DF" w:rsidRPr="00B05B18" w:rsidP="00F24D56" w14:paraId="0D5E299D" w14:textId="77777777">
            <w:pPr>
              <w:spacing w:after="0"/>
              <w:rPr>
                <w:b/>
                <w:sz w:val="20"/>
                <w:szCs w:val="20"/>
              </w:rPr>
            </w:pPr>
            <w:r>
              <w:rPr>
                <w:b/>
                <w:sz w:val="20"/>
                <w:szCs w:val="20"/>
              </w:rPr>
              <w:t>Burden and Respondent Descriptions</w:t>
            </w:r>
          </w:p>
        </w:tc>
        <w:tc>
          <w:tcPr>
            <w:tcW w:w="2610" w:type="dxa"/>
            <w:vAlign w:val="center"/>
          </w:tcPr>
          <w:p w:rsidR="00CB03DF" w:rsidRPr="007C52BE" w:rsidP="00F24D56" w14:paraId="706F189D" w14:textId="54A9077C">
            <w:pPr>
              <w:spacing w:after="0"/>
              <w:jc w:val="center"/>
              <w:rPr>
                <w:b/>
                <w:bCs/>
                <w:sz w:val="20"/>
                <w:szCs w:val="20"/>
              </w:rPr>
            </w:pPr>
            <w:r>
              <w:rPr>
                <w:rFonts w:eastAsia="Calibri"/>
                <w:b/>
                <w:bCs/>
                <w:sz w:val="20"/>
                <w:szCs w:val="20"/>
              </w:rPr>
              <w:t xml:space="preserve">                  </w:t>
            </w:r>
            <w:r>
              <w:rPr>
                <w:rFonts w:eastAsia="Calibri"/>
                <w:b/>
                <w:bCs/>
                <w:sz w:val="20"/>
                <w:szCs w:val="20"/>
              </w:rPr>
              <w:t>Burden Estimate</w:t>
            </w:r>
          </w:p>
        </w:tc>
      </w:tr>
      <w:tr w14:paraId="38D03792" w14:textId="77777777" w:rsidTr="00F24D56">
        <w:tblPrEx>
          <w:tblW w:w="9620" w:type="dxa"/>
          <w:tblInd w:w="5" w:type="dxa"/>
          <w:tblLayout w:type="fixed"/>
          <w:tblLook w:val="04A0"/>
        </w:tblPrEx>
        <w:trPr>
          <w:trHeight w:val="268"/>
        </w:trPr>
        <w:tc>
          <w:tcPr>
            <w:tcW w:w="7010" w:type="dxa"/>
            <w:shd w:val="clear" w:color="auto" w:fill="auto"/>
          </w:tcPr>
          <w:p w:rsidR="00CB03DF" w:rsidRPr="007C52BE" w:rsidP="00F24D56" w14:paraId="17C6F3CB" w14:textId="14CD7E22">
            <w:pPr>
              <w:spacing w:after="0"/>
              <w:rPr>
                <w:sz w:val="20"/>
                <w:szCs w:val="20"/>
              </w:rPr>
            </w:pPr>
            <w:r w:rsidRPr="00871E51">
              <w:rPr>
                <w:rFonts w:eastAsia="Calibri"/>
                <w:sz w:val="20"/>
                <w:szCs w:val="20"/>
              </w:rPr>
              <w:t># of Q</w:t>
            </w:r>
            <w:r>
              <w:rPr>
                <w:rFonts w:eastAsia="Calibri"/>
                <w:sz w:val="20"/>
                <w:szCs w:val="20"/>
              </w:rPr>
              <w:t>CDR</w:t>
            </w:r>
            <w:r w:rsidRPr="00871E51">
              <w:rPr>
                <w:rFonts w:eastAsia="Calibri"/>
                <w:sz w:val="20"/>
                <w:szCs w:val="20"/>
              </w:rPr>
              <w:t xml:space="preserve"> Self-Nomination Applications submitted (a)</w:t>
            </w:r>
          </w:p>
        </w:tc>
        <w:tc>
          <w:tcPr>
            <w:tcW w:w="2610" w:type="dxa"/>
            <w:vAlign w:val="center"/>
          </w:tcPr>
          <w:p w:rsidR="00CB03DF" w:rsidRPr="007C52BE" w:rsidP="00F24D56" w14:paraId="46835E94" w14:textId="18C0710D">
            <w:pPr>
              <w:spacing w:after="0"/>
              <w:rPr>
                <w:sz w:val="20"/>
                <w:szCs w:val="20"/>
              </w:rPr>
            </w:pPr>
            <w:r>
              <w:rPr>
                <w:rFonts w:eastAsia="Calibri"/>
                <w:sz w:val="20"/>
                <w:szCs w:val="20"/>
              </w:rPr>
              <w:t xml:space="preserve">                                           4</w:t>
            </w:r>
            <w:r w:rsidR="00E83B5B">
              <w:rPr>
                <w:rFonts w:eastAsia="Calibri"/>
                <w:sz w:val="20"/>
                <w:szCs w:val="20"/>
              </w:rPr>
              <w:t>4</w:t>
            </w:r>
          </w:p>
        </w:tc>
      </w:tr>
      <w:tr w14:paraId="2745E299" w14:textId="77777777" w:rsidTr="00F24D56">
        <w:tblPrEx>
          <w:tblW w:w="9620" w:type="dxa"/>
          <w:tblInd w:w="5" w:type="dxa"/>
          <w:tblLayout w:type="fixed"/>
          <w:tblLook w:val="04A0"/>
        </w:tblPrEx>
        <w:trPr>
          <w:trHeight w:val="268"/>
        </w:trPr>
        <w:tc>
          <w:tcPr>
            <w:tcW w:w="7010" w:type="dxa"/>
            <w:shd w:val="clear" w:color="auto" w:fill="auto"/>
          </w:tcPr>
          <w:p w:rsidR="00CB03DF" w:rsidRPr="007C52BE" w:rsidP="00F24D56" w14:paraId="26F0B3C8" w14:textId="2F054156">
            <w:pPr>
              <w:spacing w:after="0"/>
              <w:rPr>
                <w:sz w:val="20"/>
                <w:szCs w:val="20"/>
              </w:rPr>
            </w:pPr>
            <w:r w:rsidRPr="00871E51">
              <w:rPr>
                <w:rFonts w:eastAsia="Calibri"/>
                <w:sz w:val="20"/>
                <w:szCs w:val="20"/>
              </w:rPr>
              <w:t># of</w:t>
            </w:r>
            <w:r>
              <w:rPr>
                <w:rFonts w:eastAsia="Calibri"/>
                <w:sz w:val="20"/>
                <w:szCs w:val="20"/>
              </w:rPr>
              <w:t xml:space="preserve"> Hours per</w:t>
            </w:r>
            <w:r w:rsidRPr="00871E51">
              <w:rPr>
                <w:rFonts w:eastAsia="Calibri"/>
                <w:sz w:val="20"/>
                <w:szCs w:val="20"/>
              </w:rPr>
              <w:t xml:space="preserve"> Q</w:t>
            </w:r>
            <w:r>
              <w:rPr>
                <w:rFonts w:eastAsia="Calibri"/>
                <w:sz w:val="20"/>
                <w:szCs w:val="20"/>
              </w:rPr>
              <w:t>CDR</w:t>
            </w:r>
            <w:r w:rsidRPr="00871E51">
              <w:rPr>
                <w:rFonts w:eastAsia="Calibri"/>
                <w:sz w:val="20"/>
                <w:szCs w:val="20"/>
              </w:rPr>
              <w:t xml:space="preserve"> Self-Nomination (b)</w:t>
            </w:r>
          </w:p>
        </w:tc>
        <w:tc>
          <w:tcPr>
            <w:tcW w:w="2610" w:type="dxa"/>
            <w:vAlign w:val="center"/>
          </w:tcPr>
          <w:p w:rsidR="00CB03DF" w:rsidRPr="007C52BE" w:rsidP="00F24D56" w14:paraId="7B2DCE07" w14:textId="29BDB90B">
            <w:pPr>
              <w:spacing w:after="0"/>
              <w:rPr>
                <w:sz w:val="20"/>
                <w:szCs w:val="20"/>
              </w:rPr>
            </w:pPr>
            <w:r>
              <w:rPr>
                <w:rFonts w:eastAsia="Calibri"/>
                <w:sz w:val="20"/>
                <w:szCs w:val="20"/>
              </w:rPr>
              <w:t xml:space="preserve">                                          </w:t>
            </w:r>
            <w:r w:rsidR="00914692">
              <w:rPr>
                <w:rFonts w:eastAsia="Calibri"/>
                <w:sz w:val="20"/>
                <w:szCs w:val="20"/>
              </w:rPr>
              <w:t>9.5</w:t>
            </w:r>
          </w:p>
        </w:tc>
      </w:tr>
      <w:tr w14:paraId="72CAAAD0" w14:textId="77777777" w:rsidTr="00F24D56">
        <w:tblPrEx>
          <w:tblW w:w="9620" w:type="dxa"/>
          <w:tblInd w:w="5" w:type="dxa"/>
          <w:tblLayout w:type="fixed"/>
          <w:tblLook w:val="04A0"/>
        </w:tblPrEx>
        <w:trPr>
          <w:trHeight w:val="233"/>
        </w:trPr>
        <w:tc>
          <w:tcPr>
            <w:tcW w:w="7010" w:type="dxa"/>
            <w:shd w:val="clear" w:color="auto" w:fill="D9D9D9" w:themeFill="background1" w:themeFillShade="D9"/>
          </w:tcPr>
          <w:p w:rsidR="00CB03DF" w:rsidRPr="00DB7732" w:rsidP="00F24D56" w14:paraId="3F12CB64" w14:textId="77777777">
            <w:pPr>
              <w:spacing w:after="0"/>
              <w:rPr>
                <w:b/>
                <w:bCs/>
                <w:sz w:val="20"/>
                <w:szCs w:val="20"/>
              </w:rPr>
            </w:pPr>
            <w:r w:rsidRPr="00FE6458">
              <w:rPr>
                <w:b/>
                <w:bCs/>
                <w:color w:val="000000" w:themeColor="text1"/>
                <w:sz w:val="20"/>
                <w:szCs w:val="20"/>
              </w:rPr>
              <w:t xml:space="preserve">Total Annual Hours for Simplified Self-nomination (c) = (a) </w:t>
            </w:r>
            <w:r>
              <w:rPr>
                <w:b/>
                <w:bCs/>
                <w:color w:val="000000" w:themeColor="text1"/>
                <w:sz w:val="20"/>
                <w:szCs w:val="20"/>
              </w:rPr>
              <w:t>[x]</w:t>
            </w:r>
            <w:r w:rsidRPr="00FE6458">
              <w:rPr>
                <w:b/>
                <w:bCs/>
                <w:color w:val="000000" w:themeColor="text1"/>
                <w:sz w:val="20"/>
                <w:szCs w:val="20"/>
              </w:rPr>
              <w:t xml:space="preserve"> (b) </w:t>
            </w:r>
          </w:p>
        </w:tc>
        <w:tc>
          <w:tcPr>
            <w:tcW w:w="2610" w:type="dxa"/>
            <w:shd w:val="clear" w:color="auto" w:fill="D9D9D9" w:themeFill="background1" w:themeFillShade="D9"/>
          </w:tcPr>
          <w:p w:rsidR="00CB03DF" w:rsidRPr="00DB7732" w:rsidP="00F24D56" w14:paraId="4F11A3ED" w14:textId="6E70B31C">
            <w:pPr>
              <w:spacing w:after="0"/>
              <w:rPr>
                <w:rFonts w:eastAsia="Calibri"/>
                <w:b/>
                <w:bCs/>
                <w:sz w:val="20"/>
                <w:szCs w:val="20"/>
              </w:rPr>
            </w:pPr>
            <w:r w:rsidRPr="00DB7732">
              <w:rPr>
                <w:b/>
                <w:bCs/>
                <w:color w:val="000000" w:themeColor="text1"/>
                <w:sz w:val="20"/>
                <w:szCs w:val="20"/>
              </w:rPr>
              <w:t xml:space="preserve">                                         </w:t>
            </w:r>
            <w:r w:rsidR="00914692">
              <w:rPr>
                <w:b/>
                <w:bCs/>
                <w:color w:val="000000" w:themeColor="text1"/>
                <w:sz w:val="20"/>
                <w:szCs w:val="20"/>
              </w:rPr>
              <w:t>418</w:t>
            </w:r>
          </w:p>
        </w:tc>
      </w:tr>
      <w:tr w14:paraId="1D591F7F" w14:textId="77777777" w:rsidTr="00F24D56">
        <w:tblPrEx>
          <w:tblW w:w="9620" w:type="dxa"/>
          <w:tblInd w:w="5" w:type="dxa"/>
          <w:tblLayout w:type="fixed"/>
          <w:tblLook w:val="04A0"/>
        </w:tblPrEx>
        <w:trPr>
          <w:trHeight w:val="188"/>
        </w:trPr>
        <w:tc>
          <w:tcPr>
            <w:tcW w:w="7010" w:type="dxa"/>
            <w:shd w:val="clear" w:color="auto" w:fill="auto"/>
          </w:tcPr>
          <w:p w:rsidR="00CB03DF" w:rsidRPr="001376EC" w:rsidP="00F24D56" w14:paraId="6407E718" w14:textId="77777777">
            <w:pPr>
              <w:spacing w:after="0"/>
              <w:rPr>
                <w:sz w:val="20"/>
                <w:szCs w:val="20"/>
              </w:rPr>
            </w:pPr>
            <w:r w:rsidRPr="00871E51">
              <w:rPr>
                <w:rFonts w:eastAsia="Calibri"/>
                <w:sz w:val="20"/>
                <w:szCs w:val="20"/>
              </w:rPr>
              <w:t xml:space="preserve">Cost Per </w:t>
            </w:r>
            <w:r>
              <w:rPr>
                <w:rFonts w:eastAsia="Calibri"/>
                <w:sz w:val="20"/>
                <w:szCs w:val="20"/>
              </w:rPr>
              <w:t>Application</w:t>
            </w:r>
            <w:r w:rsidRPr="00871E51">
              <w:rPr>
                <w:rFonts w:eastAsia="Calibri"/>
                <w:sz w:val="20"/>
                <w:szCs w:val="20"/>
              </w:rPr>
              <w:t xml:space="preserve"> (@ computer systems analyst’s labor rate of $</w:t>
            </w:r>
            <w:r>
              <w:rPr>
                <w:rFonts w:eastAsia="Calibri"/>
                <w:sz w:val="20"/>
                <w:szCs w:val="20"/>
              </w:rPr>
              <w:t>103.40</w:t>
            </w:r>
            <w:r w:rsidRPr="00871E51">
              <w:rPr>
                <w:rFonts w:eastAsia="Calibri"/>
                <w:sz w:val="20"/>
                <w:szCs w:val="20"/>
              </w:rPr>
              <w:t>/hr) (</w:t>
            </w:r>
            <w:r>
              <w:rPr>
                <w:rFonts w:eastAsia="Calibri"/>
                <w:sz w:val="20"/>
                <w:szCs w:val="20"/>
              </w:rPr>
              <w:t>d</w:t>
            </w:r>
            <w:r w:rsidRPr="00871E51">
              <w:rPr>
                <w:rFonts w:eastAsia="Calibri"/>
                <w:sz w:val="20"/>
                <w:szCs w:val="20"/>
              </w:rPr>
              <w:t>)</w:t>
            </w:r>
            <w:r>
              <w:rPr>
                <w:rFonts w:eastAsia="Calibri"/>
                <w:sz w:val="20"/>
                <w:szCs w:val="20"/>
              </w:rPr>
              <w:t xml:space="preserve"> = (b) [x] $103.40/hr</w:t>
            </w:r>
          </w:p>
        </w:tc>
        <w:tc>
          <w:tcPr>
            <w:tcW w:w="2610" w:type="dxa"/>
            <w:shd w:val="clear" w:color="auto" w:fill="auto"/>
            <w:vAlign w:val="center"/>
          </w:tcPr>
          <w:p w:rsidR="00CB03DF" w:rsidRPr="001376EC" w:rsidP="00F24D56" w14:paraId="1E397563" w14:textId="74942A63">
            <w:pPr>
              <w:spacing w:after="0"/>
              <w:rPr>
                <w:sz w:val="20"/>
                <w:szCs w:val="20"/>
              </w:rPr>
            </w:pPr>
            <w:r>
              <w:rPr>
                <w:rFonts w:eastAsia="Calibri"/>
                <w:sz w:val="20"/>
                <w:szCs w:val="20"/>
              </w:rPr>
              <w:t xml:space="preserve">                                  </w:t>
            </w:r>
            <w:r w:rsidRPr="00871E51">
              <w:rPr>
                <w:rFonts w:eastAsia="Calibri"/>
                <w:sz w:val="20"/>
                <w:szCs w:val="20"/>
              </w:rPr>
              <w:t>$</w:t>
            </w:r>
            <w:r w:rsidR="00914692">
              <w:rPr>
                <w:rFonts w:eastAsia="Calibri"/>
                <w:sz w:val="20"/>
                <w:szCs w:val="20"/>
              </w:rPr>
              <w:t>982.30</w:t>
            </w:r>
          </w:p>
        </w:tc>
      </w:tr>
      <w:tr w14:paraId="7EF9C0C8" w14:textId="77777777" w:rsidTr="00F24D56">
        <w:tblPrEx>
          <w:tblW w:w="9620" w:type="dxa"/>
          <w:tblInd w:w="5" w:type="dxa"/>
          <w:tblLayout w:type="fixed"/>
          <w:tblLook w:val="04A0"/>
        </w:tblPrEx>
        <w:trPr>
          <w:trHeight w:val="70"/>
        </w:trPr>
        <w:tc>
          <w:tcPr>
            <w:tcW w:w="7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03DF" w:rsidRPr="001376EC" w:rsidP="00F24D56" w14:paraId="7F1A1E61" w14:textId="77777777">
            <w:pPr>
              <w:spacing w:after="0"/>
              <w:rPr>
                <w:rFonts w:eastAsia="Calibri"/>
                <w:b/>
                <w:bCs/>
                <w:sz w:val="20"/>
                <w:szCs w:val="20"/>
              </w:rPr>
            </w:pPr>
            <w:r w:rsidRPr="001376EC">
              <w:rPr>
                <w:rFonts w:eastAsia="Calibri"/>
                <w:b/>
                <w:bCs/>
                <w:sz w:val="20"/>
                <w:szCs w:val="20"/>
              </w:rPr>
              <w:t>Total Annual Cost (</w:t>
            </w:r>
            <w:r>
              <w:rPr>
                <w:rFonts w:eastAsia="Calibri"/>
                <w:b/>
                <w:bCs/>
                <w:sz w:val="20"/>
                <w:szCs w:val="20"/>
              </w:rPr>
              <w:t>e)</w:t>
            </w:r>
            <w:r w:rsidRPr="001376EC">
              <w:rPr>
                <w:rFonts w:eastAsia="Calibri"/>
                <w:b/>
                <w:bCs/>
                <w:sz w:val="20"/>
                <w:szCs w:val="20"/>
              </w:rPr>
              <w:t xml:space="preserve"> = (a) </w:t>
            </w:r>
            <w:r>
              <w:rPr>
                <w:rFonts w:eastAsia="Calibri"/>
                <w:b/>
                <w:bCs/>
                <w:sz w:val="20"/>
                <w:szCs w:val="20"/>
              </w:rPr>
              <w:t>[</w:t>
            </w:r>
            <w:r w:rsidRPr="00502002">
              <w:rPr>
                <w:rFonts w:eastAsia="Calibri"/>
                <w:b/>
                <w:bCs/>
                <w:sz w:val="20"/>
                <w:szCs w:val="20"/>
              </w:rPr>
              <w:t>x</w:t>
            </w:r>
            <w:r>
              <w:rPr>
                <w:rFonts w:eastAsia="Calibri"/>
                <w:b/>
                <w:bCs/>
                <w:sz w:val="20"/>
                <w:szCs w:val="20"/>
              </w:rPr>
              <w:t>]</w:t>
            </w:r>
            <w:r w:rsidRPr="00502002">
              <w:rPr>
                <w:rFonts w:eastAsia="Calibri"/>
                <w:b/>
                <w:bCs/>
                <w:sz w:val="20"/>
                <w:szCs w:val="20"/>
              </w:rPr>
              <w:t xml:space="preserve"> </w:t>
            </w:r>
            <w:r w:rsidRPr="001376EC">
              <w:rPr>
                <w:rFonts w:eastAsia="Calibri"/>
                <w:b/>
                <w:bCs/>
                <w:sz w:val="20"/>
                <w:szCs w:val="20"/>
              </w:rPr>
              <w:t>(</w:t>
            </w:r>
            <w:r>
              <w:rPr>
                <w:rFonts w:eastAsia="Calibri"/>
                <w:b/>
                <w:bCs/>
                <w:sz w:val="20"/>
                <w:szCs w:val="20"/>
              </w:rPr>
              <w:t>d</w:t>
            </w:r>
            <w:r w:rsidRPr="001376EC">
              <w:rPr>
                <w:rFonts w:eastAsia="Calibri"/>
                <w:b/>
                <w:bCs/>
                <w:sz w:val="20"/>
                <w:szCs w:val="20"/>
              </w:rPr>
              <w:t>)</w:t>
            </w:r>
            <w:r>
              <w:rPr>
                <w:rFonts w:eastAsia="Calibri"/>
                <w:b/>
                <w:bCs/>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03DF" w:rsidRPr="001376EC" w:rsidP="00F24D56" w14:paraId="280C67E0" w14:textId="732B037C">
            <w:pPr>
              <w:spacing w:after="0"/>
              <w:rPr>
                <w:rFonts w:eastAsia="Calibri"/>
                <w:b/>
                <w:bCs/>
                <w:sz w:val="20"/>
                <w:szCs w:val="20"/>
              </w:rPr>
            </w:pPr>
            <w:r>
              <w:rPr>
                <w:rFonts w:eastAsia="Calibri"/>
                <w:b/>
                <w:bCs/>
                <w:sz w:val="20"/>
                <w:szCs w:val="20"/>
              </w:rPr>
              <w:t xml:space="preserve">                                  </w:t>
            </w:r>
            <w:r w:rsidRPr="001376EC">
              <w:rPr>
                <w:rFonts w:eastAsia="Calibri"/>
                <w:b/>
                <w:bCs/>
                <w:sz w:val="20"/>
                <w:szCs w:val="20"/>
              </w:rPr>
              <w:t>$</w:t>
            </w:r>
            <w:r w:rsidR="00914692">
              <w:rPr>
                <w:rFonts w:eastAsia="Calibri"/>
                <w:b/>
                <w:bCs/>
                <w:sz w:val="20"/>
                <w:szCs w:val="20"/>
              </w:rPr>
              <w:t>43,221</w:t>
            </w:r>
          </w:p>
        </w:tc>
      </w:tr>
    </w:tbl>
    <w:p w:rsidR="00620B1B" w:rsidRPr="00620B1B" w:rsidP="00620B1B" w14:paraId="27200C79" w14:textId="77777777"/>
    <w:p w:rsidR="00947579" w:rsidP="0011028A" w14:paraId="7E6C8157" w14:textId="58501508">
      <w:pPr>
        <w:pStyle w:val="Heading4"/>
      </w:pPr>
      <w:r>
        <w:t xml:space="preserve">   </w:t>
      </w:r>
      <w:r>
        <w:t xml:space="preserve">Burden </w:t>
      </w:r>
      <w:r w:rsidRPr="00041A6A">
        <w:t xml:space="preserve">for </w:t>
      </w:r>
      <w:r w:rsidR="00D840E6">
        <w:t xml:space="preserve">Full </w:t>
      </w:r>
      <w:r w:rsidRPr="00041A6A">
        <w:t xml:space="preserve">QCDR Self-Nomination </w:t>
      </w:r>
      <w:r>
        <w:t xml:space="preserve">Process </w:t>
      </w:r>
      <w:r w:rsidRPr="00041A6A">
        <w:t>and Other Requirements</w:t>
      </w:r>
    </w:p>
    <w:p w:rsidR="00947579" w:rsidRPr="003D29BA" w:rsidP="00947579" w14:paraId="1C888535" w14:textId="632DC55F">
      <w:pPr>
        <w:rPr>
          <w:rFonts w:eastAsia="Calibri"/>
        </w:rPr>
      </w:pPr>
      <w:r>
        <w:rPr>
          <w:rFonts w:eastAsia="Calibri"/>
        </w:rPr>
        <w:t xml:space="preserve">New </w:t>
      </w:r>
      <w:r w:rsidRPr="0076539F">
        <w:rPr>
          <w:rFonts w:eastAsia="Calibri"/>
        </w:rPr>
        <w:t>Q</w:t>
      </w:r>
      <w:r>
        <w:rPr>
          <w:rFonts w:eastAsia="Calibri"/>
        </w:rPr>
        <w:t>CDRs</w:t>
      </w:r>
      <w:r w:rsidRPr="0076539F">
        <w:rPr>
          <w:rFonts w:eastAsia="Calibri"/>
        </w:rPr>
        <w:t xml:space="preserve"> interested in submitting MIPS data to us on their participants’ behalf need to complete a self-nomination process to be considered </w:t>
      </w:r>
      <w:r>
        <w:rPr>
          <w:rFonts w:eastAsia="Calibri"/>
        </w:rPr>
        <w:t>for approval to do so</w:t>
      </w:r>
      <w:r w:rsidRPr="0076539F">
        <w:rPr>
          <w:rFonts w:eastAsia="Calibri"/>
        </w:rPr>
        <w:t xml:space="preserve"> (82 FR 53815).</w:t>
      </w:r>
      <w:r>
        <w:rPr>
          <w:rFonts w:eastAsia="Calibri"/>
        </w:rPr>
        <w:t xml:space="preserve"> </w:t>
      </w:r>
      <w:r w:rsidRPr="0076539F">
        <w:rPr>
          <w:rFonts w:eastAsia="Calibri"/>
        </w:rPr>
        <w:t xml:space="preserve"> </w:t>
      </w:r>
      <w:r w:rsidRPr="006C31CB">
        <w:rPr>
          <w:rFonts w:eastAsia="Calibri"/>
        </w:rPr>
        <w:t>The self-nomination period is from July 1 to September 1 of the calendar year prior to the applicable performance period.</w:t>
      </w:r>
    </w:p>
    <w:p w:rsidR="00947579" w:rsidP="00947579" w14:paraId="3EFD39BE" w14:textId="7E2907E7">
      <w:r>
        <w:t xml:space="preserve">Based on the number of applications submitted under the </w:t>
      </w:r>
      <w:r w:rsidR="00053715">
        <w:t>full QCDR self-</w:t>
      </w:r>
      <w:r w:rsidR="00053715">
        <w:t>nomiation</w:t>
      </w:r>
      <w:r w:rsidR="00053715">
        <w:t xml:space="preserve"> process during the 2023 self-nomination period, w</w:t>
      </w:r>
      <w:r>
        <w:t xml:space="preserve">e estimate that </w:t>
      </w:r>
      <w:r w:rsidR="0074172B">
        <w:t>1</w:t>
      </w:r>
      <w:r w:rsidR="009D6566">
        <w:t>2</w:t>
      </w:r>
      <w:r>
        <w:t xml:space="preserve"> QCDRs will self-nominate under the </w:t>
      </w:r>
      <w:r w:rsidR="0074172B">
        <w:t>full</w:t>
      </w:r>
      <w:r>
        <w:t xml:space="preserve"> </w:t>
      </w:r>
      <w:r w:rsidR="00154BC3">
        <w:t xml:space="preserve">QCDR self-nomination </w:t>
      </w:r>
      <w:r>
        <w:t xml:space="preserve">process for the CY 2024 performance period/2026 MIPS payment year. </w:t>
      </w:r>
      <w:r w:rsidR="0065035B">
        <w:t>We estimate that it will take 2</w:t>
      </w:r>
      <w:r w:rsidR="00F14E60">
        <w:t>.5</w:t>
      </w:r>
      <w:r w:rsidR="0065035B">
        <w:t xml:space="preserve"> hours for a QCDR to </w:t>
      </w:r>
      <w:r w:rsidR="0065035B">
        <w:t>submit an application</w:t>
      </w:r>
      <w:r w:rsidR="0065035B">
        <w:t xml:space="preserve"> under the full self-nomination process. Additionally, we </w:t>
      </w:r>
      <w:r w:rsidRPr="00CA2C47" w:rsidR="0065035B">
        <w:t>estimate that each QCDR will submit 12 measures</w:t>
      </w:r>
      <w:r w:rsidR="0065035B">
        <w:t xml:space="preserve"> on average</w:t>
      </w:r>
      <w:r w:rsidRPr="00CA2C47" w:rsidR="0065035B">
        <w:t>,</w:t>
      </w:r>
      <w:r w:rsidR="0065035B">
        <w:t xml:space="preserve"> approximately 2 new measures and 10 existing or borrowed measures</w:t>
      </w:r>
      <w:r w:rsidR="0066536B">
        <w:t xml:space="preserve">, per </w:t>
      </w:r>
      <w:r w:rsidR="0066536B">
        <w:t>QCDR</w:t>
      </w:r>
      <w:r w:rsidR="0065035B">
        <w:t>.W</w:t>
      </w:r>
      <w:r w:rsidRPr="007A43B6" w:rsidR="0065035B">
        <w:t>e</w:t>
      </w:r>
      <w:r w:rsidRPr="007A43B6" w:rsidR="0065035B">
        <w:t xml:space="preserve"> estimate</w:t>
      </w:r>
      <w:r w:rsidR="0065035B">
        <w:t xml:space="preserve"> that it will take 2 hours for a QCDR to submit a new measure and 0.5 hours to submit an existing measure. Therefore, we estimate the</w:t>
      </w:r>
      <w:r w:rsidRPr="007A43B6" w:rsidR="0065035B">
        <w:t xml:space="preserve"> weighted average time required for each QCDR to submit a measure</w:t>
      </w:r>
      <w:r w:rsidR="0065035B">
        <w:t xml:space="preserve"> will be</w:t>
      </w:r>
      <w:r w:rsidRPr="007A43B6" w:rsidR="0065035B">
        <w:t xml:space="preserve"> 0.</w:t>
      </w:r>
      <w:r w:rsidR="0065035B">
        <w:t>75</w:t>
      </w:r>
      <w:r w:rsidRPr="007A43B6" w:rsidR="0065035B">
        <w:t xml:space="preserve"> hours [((</w:t>
      </w:r>
      <w:r w:rsidR="0065035B">
        <w:t>2</w:t>
      </w:r>
      <w:r w:rsidRPr="007A43B6" w:rsidR="0065035B">
        <w:t xml:space="preserve"> new measure × 2 hr) + (1</w:t>
      </w:r>
      <w:r w:rsidR="0065035B">
        <w:t>0</w:t>
      </w:r>
      <w:r w:rsidRPr="007A43B6" w:rsidR="0065035B">
        <w:t xml:space="preserve"> existing or borrowed measures × 0.5 hr))/total # of measures (12)].</w:t>
      </w:r>
      <w:r w:rsidR="0065035B">
        <w:t xml:space="preserve"> In aggregate</w:t>
      </w:r>
      <w:r w:rsidRPr="00307A27" w:rsidR="0065035B">
        <w:t xml:space="preserve">, we </w:t>
      </w:r>
      <w:r w:rsidR="0065035B">
        <w:t>estimate that it will take</w:t>
      </w:r>
      <w:r w:rsidRPr="00307A27" w:rsidR="0065035B">
        <w:t xml:space="preserve"> </w:t>
      </w:r>
      <w:r w:rsidR="00E21611">
        <w:t>11</w:t>
      </w:r>
      <w:r w:rsidR="008E06E1">
        <w:t>.5</w:t>
      </w:r>
      <w:r w:rsidRPr="00307A27" w:rsidR="0065035B">
        <w:t xml:space="preserve"> hours [</w:t>
      </w:r>
      <w:r w:rsidR="00E21611">
        <w:t>2</w:t>
      </w:r>
      <w:r w:rsidR="00F14E60">
        <w:t>.5</w:t>
      </w:r>
      <w:r w:rsidR="00E21611">
        <w:t xml:space="preserve"> hours </w:t>
      </w:r>
      <w:r w:rsidRPr="00307A27" w:rsidR="0065035B">
        <w:t xml:space="preserve">for the </w:t>
      </w:r>
      <w:r w:rsidR="00E21611">
        <w:t>full</w:t>
      </w:r>
      <w:r w:rsidRPr="00307A27" w:rsidR="0065035B">
        <w:t xml:space="preserve"> self- nomination process + </w:t>
      </w:r>
      <w:r w:rsidR="00607D16">
        <w:t xml:space="preserve"> 9 hours</w:t>
      </w:r>
      <w:r w:rsidR="00ED04DC">
        <w:t xml:space="preserve"> for QCDR measure submission</w:t>
      </w:r>
      <w:r w:rsidR="00607D16">
        <w:t xml:space="preserve"> </w:t>
      </w:r>
      <w:r w:rsidRPr="00307A27" w:rsidR="0065035B">
        <w:t>(12 measures × 0.</w:t>
      </w:r>
      <w:r w:rsidR="0065035B">
        <w:t>75</w:t>
      </w:r>
      <w:r w:rsidRPr="00307A27" w:rsidR="0065035B">
        <w:t xml:space="preserve"> hr/measure)]</w:t>
      </w:r>
      <w:r w:rsidR="0065035B">
        <w:t xml:space="preserve"> for a QCDR to </w:t>
      </w:r>
      <w:r w:rsidR="0065035B">
        <w:t>submit an application</w:t>
      </w:r>
      <w:r w:rsidR="0065035B">
        <w:t xml:space="preserve"> under the </w:t>
      </w:r>
      <w:r w:rsidR="00B05796">
        <w:t>full</w:t>
      </w:r>
      <w:r w:rsidR="0065035B">
        <w:t xml:space="preserve"> self-nomination process.</w:t>
      </w:r>
      <w:r w:rsidRPr="00307A27" w:rsidR="0065035B">
        <w:t xml:space="preserve"> </w:t>
      </w:r>
      <w:r>
        <w:t xml:space="preserve">We </w:t>
      </w:r>
      <w:r w:rsidRPr="00B80F1E">
        <w:t xml:space="preserve">assume that the staff involved in the </w:t>
      </w:r>
      <w:r w:rsidR="00924769">
        <w:t xml:space="preserve">full </w:t>
      </w:r>
      <w:r w:rsidR="0074172B">
        <w:t>QCDR</w:t>
      </w:r>
      <w:r w:rsidRPr="00B80F1E">
        <w:t xml:space="preserve"> self-nomination process will be computer systems analysts or their equivalent, who have an average labor rate of $</w:t>
      </w:r>
      <w:r>
        <w:t>103.40</w:t>
      </w:r>
      <w:r w:rsidRPr="00B80F1E">
        <w:t xml:space="preserve">/hr. </w:t>
      </w:r>
      <w:r>
        <w:t>We estimate the burden per response would be $</w:t>
      </w:r>
      <w:r w:rsidR="0074172B">
        <w:t>1,</w:t>
      </w:r>
      <w:r w:rsidR="00E51A09">
        <w:t>189.10</w:t>
      </w:r>
      <w:r>
        <w:t xml:space="preserve"> (</w:t>
      </w:r>
      <w:r w:rsidR="0074172B">
        <w:t>1</w:t>
      </w:r>
      <w:r w:rsidR="00B60D64">
        <w:t>1.5</w:t>
      </w:r>
      <w:r>
        <w:t xml:space="preserve"> hr x $103.40/hr). In aggregate, </w:t>
      </w:r>
      <w:r>
        <w:rPr>
          <w:rFonts w:eastAsia="Calibri"/>
        </w:rPr>
        <w:t>as shown in Table 6,</w:t>
      </w:r>
      <w:r w:rsidRPr="00094949">
        <w:rPr>
          <w:rFonts w:eastAsia="Calibri"/>
        </w:rPr>
        <w:t xml:space="preserve"> </w:t>
      </w:r>
      <w:r>
        <w:rPr>
          <w:rFonts w:eastAsia="Calibri"/>
        </w:rPr>
        <w:t>w</w:t>
      </w:r>
      <w:r w:rsidRPr="00977610">
        <w:rPr>
          <w:rFonts w:eastAsia="Calibri"/>
        </w:rPr>
        <w:t xml:space="preserve">e estimate that the annual burden </w:t>
      </w:r>
      <w:r>
        <w:rPr>
          <w:rFonts w:eastAsia="Calibri"/>
        </w:rPr>
        <w:t xml:space="preserve">for the </w:t>
      </w:r>
      <w:r w:rsidR="00D840E6">
        <w:rPr>
          <w:rFonts w:eastAsia="Calibri"/>
        </w:rPr>
        <w:t xml:space="preserve">full </w:t>
      </w:r>
      <w:r>
        <w:rPr>
          <w:rFonts w:eastAsia="Calibri"/>
        </w:rPr>
        <w:t>QCDR self-</w:t>
      </w:r>
      <w:r>
        <w:rPr>
          <w:rFonts w:eastAsia="Calibri"/>
        </w:rPr>
        <w:t>nomination process w</w:t>
      </w:r>
      <w:r w:rsidR="0055762F">
        <w:rPr>
          <w:rFonts w:eastAsia="Calibri"/>
        </w:rPr>
        <w:t>ill</w:t>
      </w:r>
      <w:r>
        <w:rPr>
          <w:rFonts w:eastAsia="Calibri"/>
        </w:rPr>
        <w:t xml:space="preserve"> be </w:t>
      </w:r>
      <w:r w:rsidR="0074172B">
        <w:rPr>
          <w:rFonts w:eastAsia="Calibri"/>
        </w:rPr>
        <w:t>1</w:t>
      </w:r>
      <w:r w:rsidR="0055762F">
        <w:rPr>
          <w:rFonts w:eastAsia="Calibri"/>
        </w:rPr>
        <w:t>38</w:t>
      </w:r>
      <w:r>
        <w:rPr>
          <w:rFonts w:eastAsia="Calibri"/>
        </w:rPr>
        <w:t xml:space="preserve"> hours (</w:t>
      </w:r>
      <w:r w:rsidR="0074172B">
        <w:rPr>
          <w:rFonts w:eastAsia="Calibri"/>
        </w:rPr>
        <w:t>1</w:t>
      </w:r>
      <w:r w:rsidR="00E51A09">
        <w:rPr>
          <w:rFonts w:eastAsia="Calibri"/>
        </w:rPr>
        <w:t>2</w:t>
      </w:r>
      <w:r>
        <w:rPr>
          <w:rFonts w:eastAsia="Calibri"/>
        </w:rPr>
        <w:t xml:space="preserve"> applications x </w:t>
      </w:r>
      <w:r w:rsidR="0074172B">
        <w:rPr>
          <w:rFonts w:eastAsia="Calibri"/>
        </w:rPr>
        <w:t>1</w:t>
      </w:r>
      <w:r w:rsidR="00E51A09">
        <w:rPr>
          <w:rFonts w:eastAsia="Calibri"/>
        </w:rPr>
        <w:t>1.5</w:t>
      </w:r>
      <w:r>
        <w:rPr>
          <w:rFonts w:eastAsia="Calibri"/>
        </w:rPr>
        <w:t xml:space="preserve"> hr) at a cost of $</w:t>
      </w:r>
      <w:r w:rsidR="0074172B">
        <w:rPr>
          <w:rFonts w:eastAsia="Calibri"/>
        </w:rPr>
        <w:t>1</w:t>
      </w:r>
      <w:r w:rsidR="00CD3BE3">
        <w:rPr>
          <w:rFonts w:eastAsia="Calibri"/>
        </w:rPr>
        <w:t>4,269</w:t>
      </w:r>
      <w:r>
        <w:rPr>
          <w:rFonts w:eastAsia="Calibri"/>
        </w:rPr>
        <w:t xml:space="preserve"> (</w:t>
      </w:r>
      <w:r w:rsidR="0074172B">
        <w:rPr>
          <w:rFonts w:eastAsia="Calibri"/>
        </w:rPr>
        <w:t>1</w:t>
      </w:r>
      <w:r w:rsidR="0055762F">
        <w:rPr>
          <w:rFonts w:eastAsia="Calibri"/>
        </w:rPr>
        <w:t>2</w:t>
      </w:r>
      <w:r>
        <w:rPr>
          <w:rFonts w:eastAsia="Calibri"/>
        </w:rPr>
        <w:t xml:space="preserve"> applications x $</w:t>
      </w:r>
      <w:r w:rsidR="0074172B">
        <w:rPr>
          <w:rFonts w:eastAsia="Calibri"/>
        </w:rPr>
        <w:t>1,</w:t>
      </w:r>
      <w:r w:rsidR="0055762F">
        <w:rPr>
          <w:rFonts w:eastAsia="Calibri"/>
        </w:rPr>
        <w:t>189.10</w:t>
      </w:r>
      <w:r>
        <w:rPr>
          <w:rFonts w:eastAsia="Calibri"/>
        </w:rPr>
        <w:t>/application).</w:t>
      </w:r>
      <w:r w:rsidRPr="00977610">
        <w:rPr>
          <w:rFonts w:eastAsia="Calibri"/>
        </w:rPr>
        <w:t xml:space="preserve"> </w:t>
      </w:r>
    </w:p>
    <w:p w:rsidR="00947579" w:rsidRPr="00732012" w:rsidP="00947579" w14:paraId="139CF193" w14:textId="0F550776">
      <w:pPr>
        <w:keepNext/>
        <w:keepLines/>
        <w:spacing w:after="0"/>
        <w:jc w:val="center"/>
        <w:rPr>
          <w:b/>
          <w:bCs/>
        </w:rPr>
      </w:pPr>
      <w:r>
        <w:rPr>
          <w:b/>
          <w:bCs/>
        </w:rPr>
        <w:t>TABLE 6</w:t>
      </w:r>
      <w:r w:rsidRPr="00732012">
        <w:rPr>
          <w:b/>
          <w:bCs/>
        </w:rPr>
        <w:t xml:space="preserve">: Estimated Burden for </w:t>
      </w:r>
      <w:r w:rsidR="00D70EEF">
        <w:rPr>
          <w:b/>
          <w:bCs/>
        </w:rPr>
        <w:t xml:space="preserve">Full </w:t>
      </w:r>
      <w:r w:rsidRPr="00732012">
        <w:rPr>
          <w:b/>
          <w:bCs/>
        </w:rPr>
        <w:t>QCDR Self-Nomination</w:t>
      </w:r>
      <w:r>
        <w:rPr>
          <w:b/>
          <w:bCs/>
        </w:rPr>
        <w:t xml:space="preserve"> </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0"/>
        <w:gridCol w:w="2610"/>
      </w:tblGrid>
      <w:tr w14:paraId="5F7E0B8A" w14:textId="77777777" w:rsidTr="00F24D56">
        <w:tblPrEx>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blHeader/>
        </w:trPr>
        <w:tc>
          <w:tcPr>
            <w:tcW w:w="7010" w:type="dxa"/>
            <w:shd w:val="clear" w:color="auto" w:fill="auto"/>
            <w:vAlign w:val="center"/>
          </w:tcPr>
          <w:p w:rsidR="00947579" w:rsidRPr="00B05B18" w:rsidP="00F24D56" w14:paraId="06EC5179" w14:textId="77777777">
            <w:pPr>
              <w:spacing w:after="0"/>
              <w:rPr>
                <w:b/>
                <w:sz w:val="20"/>
                <w:szCs w:val="20"/>
              </w:rPr>
            </w:pPr>
            <w:r>
              <w:rPr>
                <w:b/>
                <w:sz w:val="20"/>
                <w:szCs w:val="20"/>
              </w:rPr>
              <w:t>Burden and Respondent Descriptions</w:t>
            </w:r>
          </w:p>
        </w:tc>
        <w:tc>
          <w:tcPr>
            <w:tcW w:w="2610" w:type="dxa"/>
            <w:vAlign w:val="center"/>
          </w:tcPr>
          <w:p w:rsidR="00947579" w:rsidRPr="007C52BE" w:rsidP="00F24D56" w14:paraId="32FE43DC" w14:textId="77777777">
            <w:pPr>
              <w:spacing w:after="0"/>
              <w:jc w:val="center"/>
              <w:rPr>
                <w:b/>
                <w:bCs/>
                <w:sz w:val="20"/>
                <w:szCs w:val="20"/>
              </w:rPr>
            </w:pPr>
            <w:r>
              <w:rPr>
                <w:rFonts w:eastAsia="Calibri"/>
                <w:b/>
                <w:bCs/>
                <w:sz w:val="20"/>
                <w:szCs w:val="20"/>
              </w:rPr>
              <w:t>Burden Estimate</w:t>
            </w:r>
          </w:p>
        </w:tc>
      </w:tr>
      <w:tr w14:paraId="79F33054" w14:textId="77777777" w:rsidTr="00F24D56">
        <w:tblPrEx>
          <w:tblW w:w="9620" w:type="dxa"/>
          <w:tblInd w:w="5" w:type="dxa"/>
          <w:tblLayout w:type="fixed"/>
          <w:tblLook w:val="04A0"/>
        </w:tblPrEx>
        <w:trPr>
          <w:trHeight w:val="268"/>
        </w:trPr>
        <w:tc>
          <w:tcPr>
            <w:tcW w:w="7010" w:type="dxa"/>
            <w:shd w:val="clear" w:color="auto" w:fill="auto"/>
          </w:tcPr>
          <w:p w:rsidR="00947579" w:rsidRPr="007C52BE" w:rsidP="00F24D56" w14:paraId="018D84F4" w14:textId="2B6CF2CF">
            <w:pPr>
              <w:spacing w:after="0"/>
              <w:rPr>
                <w:sz w:val="20"/>
                <w:szCs w:val="20"/>
              </w:rPr>
            </w:pPr>
            <w:r w:rsidRPr="00871E51">
              <w:rPr>
                <w:rFonts w:eastAsia="Calibri"/>
                <w:sz w:val="20"/>
                <w:szCs w:val="20"/>
              </w:rPr>
              <w:t># of Q</w:t>
            </w:r>
            <w:r>
              <w:rPr>
                <w:rFonts w:eastAsia="Calibri"/>
                <w:sz w:val="20"/>
                <w:szCs w:val="20"/>
              </w:rPr>
              <w:t>CDR</w:t>
            </w:r>
            <w:r w:rsidRPr="00871E51">
              <w:rPr>
                <w:rFonts w:eastAsia="Calibri"/>
                <w:sz w:val="20"/>
                <w:szCs w:val="20"/>
              </w:rPr>
              <w:t xml:space="preserve"> Self-Nomination Applications submitted</w:t>
            </w:r>
            <w:r w:rsidR="00ED052D">
              <w:rPr>
                <w:rFonts w:eastAsia="Calibri"/>
                <w:sz w:val="20"/>
                <w:szCs w:val="20"/>
              </w:rPr>
              <w:t xml:space="preserve"> </w:t>
            </w:r>
            <w:r w:rsidRPr="00871E51">
              <w:rPr>
                <w:rFonts w:eastAsia="Calibri"/>
                <w:sz w:val="20"/>
                <w:szCs w:val="20"/>
              </w:rPr>
              <w:t>(a)</w:t>
            </w:r>
          </w:p>
        </w:tc>
        <w:tc>
          <w:tcPr>
            <w:tcW w:w="2610" w:type="dxa"/>
            <w:vAlign w:val="center"/>
          </w:tcPr>
          <w:p w:rsidR="00947579" w:rsidRPr="007C52BE" w:rsidP="00F24D56" w14:paraId="2D32339F" w14:textId="37BE06A4">
            <w:pPr>
              <w:spacing w:after="0"/>
              <w:rPr>
                <w:sz w:val="20"/>
                <w:szCs w:val="20"/>
              </w:rPr>
            </w:pPr>
            <w:r>
              <w:rPr>
                <w:rFonts w:eastAsia="Calibri"/>
                <w:sz w:val="20"/>
                <w:szCs w:val="20"/>
              </w:rPr>
              <w:t xml:space="preserve">                                           </w:t>
            </w:r>
            <w:r w:rsidR="0074172B">
              <w:rPr>
                <w:rFonts w:eastAsia="Calibri"/>
                <w:sz w:val="20"/>
                <w:szCs w:val="20"/>
              </w:rPr>
              <w:t>1</w:t>
            </w:r>
            <w:r w:rsidR="003D341A">
              <w:rPr>
                <w:rFonts w:eastAsia="Calibri"/>
                <w:sz w:val="20"/>
                <w:szCs w:val="20"/>
              </w:rPr>
              <w:t>2</w:t>
            </w:r>
          </w:p>
        </w:tc>
      </w:tr>
      <w:tr w14:paraId="2F2CC556" w14:textId="77777777" w:rsidTr="00F24D56">
        <w:tblPrEx>
          <w:tblW w:w="9620" w:type="dxa"/>
          <w:tblInd w:w="5" w:type="dxa"/>
          <w:tblLayout w:type="fixed"/>
          <w:tblLook w:val="04A0"/>
        </w:tblPrEx>
        <w:trPr>
          <w:trHeight w:val="268"/>
        </w:trPr>
        <w:tc>
          <w:tcPr>
            <w:tcW w:w="7010" w:type="dxa"/>
            <w:shd w:val="clear" w:color="auto" w:fill="auto"/>
          </w:tcPr>
          <w:p w:rsidR="00947579" w:rsidRPr="007C52BE" w:rsidP="00F24D56" w14:paraId="0191FC7F" w14:textId="0E7B6F22">
            <w:pPr>
              <w:spacing w:after="0"/>
              <w:rPr>
                <w:sz w:val="20"/>
                <w:szCs w:val="20"/>
              </w:rPr>
            </w:pPr>
            <w:r w:rsidRPr="00871E51">
              <w:rPr>
                <w:rFonts w:eastAsia="Calibri"/>
                <w:sz w:val="20"/>
                <w:szCs w:val="20"/>
              </w:rPr>
              <w:t># of</w:t>
            </w:r>
            <w:r>
              <w:rPr>
                <w:rFonts w:eastAsia="Calibri"/>
                <w:sz w:val="20"/>
                <w:szCs w:val="20"/>
              </w:rPr>
              <w:t xml:space="preserve"> Hours per</w:t>
            </w:r>
            <w:r w:rsidRPr="00871E51">
              <w:rPr>
                <w:rFonts w:eastAsia="Calibri"/>
                <w:sz w:val="20"/>
                <w:szCs w:val="20"/>
              </w:rPr>
              <w:t xml:space="preserve"> Q</w:t>
            </w:r>
            <w:r>
              <w:rPr>
                <w:rFonts w:eastAsia="Calibri"/>
                <w:sz w:val="20"/>
                <w:szCs w:val="20"/>
              </w:rPr>
              <w:t>CDR</w:t>
            </w:r>
            <w:r w:rsidRPr="00871E51">
              <w:rPr>
                <w:rFonts w:eastAsia="Calibri"/>
                <w:sz w:val="20"/>
                <w:szCs w:val="20"/>
              </w:rPr>
              <w:t xml:space="preserve"> Self-Nomination (b)</w:t>
            </w:r>
          </w:p>
        </w:tc>
        <w:tc>
          <w:tcPr>
            <w:tcW w:w="2610" w:type="dxa"/>
            <w:vAlign w:val="center"/>
          </w:tcPr>
          <w:p w:rsidR="00947579" w:rsidRPr="007C52BE" w:rsidP="00F24D56" w14:paraId="58903421" w14:textId="10118085">
            <w:pPr>
              <w:spacing w:after="0"/>
              <w:rPr>
                <w:sz w:val="20"/>
                <w:szCs w:val="20"/>
              </w:rPr>
            </w:pPr>
            <w:r>
              <w:rPr>
                <w:rFonts w:eastAsia="Calibri"/>
                <w:sz w:val="20"/>
                <w:szCs w:val="20"/>
              </w:rPr>
              <w:t xml:space="preserve">                                        </w:t>
            </w:r>
            <w:r w:rsidR="0074172B">
              <w:rPr>
                <w:rFonts w:eastAsia="Calibri"/>
                <w:sz w:val="20"/>
                <w:szCs w:val="20"/>
              </w:rPr>
              <w:t>1</w:t>
            </w:r>
            <w:r w:rsidR="003D341A">
              <w:rPr>
                <w:rFonts w:eastAsia="Calibri"/>
                <w:sz w:val="20"/>
                <w:szCs w:val="20"/>
              </w:rPr>
              <w:t>1.5</w:t>
            </w:r>
          </w:p>
        </w:tc>
      </w:tr>
      <w:tr w14:paraId="21C97E35" w14:textId="77777777" w:rsidTr="003D29BA">
        <w:tblPrEx>
          <w:tblW w:w="9620" w:type="dxa"/>
          <w:tblInd w:w="5" w:type="dxa"/>
          <w:tblLayout w:type="fixed"/>
          <w:tblLook w:val="04A0"/>
        </w:tblPrEx>
        <w:trPr>
          <w:trHeight w:val="233"/>
        </w:trPr>
        <w:tc>
          <w:tcPr>
            <w:tcW w:w="7010" w:type="dxa"/>
            <w:shd w:val="clear" w:color="auto" w:fill="E7E6E6" w:themeFill="background2"/>
          </w:tcPr>
          <w:p w:rsidR="00947579" w:rsidRPr="00DB7732" w:rsidP="00F24D56" w14:paraId="639B3008" w14:textId="458645F7">
            <w:pPr>
              <w:spacing w:after="0"/>
              <w:rPr>
                <w:b/>
                <w:bCs/>
                <w:sz w:val="20"/>
                <w:szCs w:val="20"/>
              </w:rPr>
            </w:pPr>
            <w:r w:rsidRPr="00FE6458">
              <w:rPr>
                <w:b/>
                <w:bCs/>
                <w:color w:val="000000" w:themeColor="text1"/>
                <w:sz w:val="20"/>
                <w:szCs w:val="20"/>
              </w:rPr>
              <w:t xml:space="preserve">Total Annual Hours for </w:t>
            </w:r>
            <w:r w:rsidR="0074172B">
              <w:rPr>
                <w:b/>
                <w:bCs/>
                <w:color w:val="000000" w:themeColor="text1"/>
                <w:sz w:val="20"/>
                <w:szCs w:val="20"/>
              </w:rPr>
              <w:t xml:space="preserve">Full </w:t>
            </w:r>
            <w:r w:rsidRPr="00FE6458">
              <w:rPr>
                <w:b/>
                <w:bCs/>
                <w:color w:val="000000" w:themeColor="text1"/>
                <w:sz w:val="20"/>
                <w:szCs w:val="20"/>
              </w:rPr>
              <w:t xml:space="preserve">Self-nomination (c) = (a) </w:t>
            </w:r>
            <w:r>
              <w:rPr>
                <w:b/>
                <w:bCs/>
                <w:color w:val="000000" w:themeColor="text1"/>
                <w:sz w:val="20"/>
                <w:szCs w:val="20"/>
              </w:rPr>
              <w:t>[x]</w:t>
            </w:r>
            <w:r w:rsidRPr="00FE6458">
              <w:rPr>
                <w:b/>
                <w:bCs/>
                <w:color w:val="000000" w:themeColor="text1"/>
                <w:sz w:val="20"/>
                <w:szCs w:val="20"/>
              </w:rPr>
              <w:t xml:space="preserve"> (b) </w:t>
            </w:r>
          </w:p>
        </w:tc>
        <w:tc>
          <w:tcPr>
            <w:tcW w:w="2610" w:type="dxa"/>
            <w:shd w:val="clear" w:color="auto" w:fill="E7E6E6" w:themeFill="background2"/>
          </w:tcPr>
          <w:p w:rsidR="00947579" w:rsidRPr="00DB7732" w:rsidP="00F24D56" w14:paraId="538EA129" w14:textId="0A7C37F9">
            <w:pPr>
              <w:spacing w:after="0"/>
              <w:rPr>
                <w:rFonts w:eastAsia="Calibri"/>
                <w:b/>
                <w:bCs/>
                <w:sz w:val="20"/>
                <w:szCs w:val="20"/>
              </w:rPr>
            </w:pPr>
            <w:r w:rsidRPr="00DB7732">
              <w:rPr>
                <w:b/>
                <w:bCs/>
                <w:color w:val="000000" w:themeColor="text1"/>
                <w:sz w:val="20"/>
                <w:szCs w:val="20"/>
              </w:rPr>
              <w:t xml:space="preserve">                                         </w:t>
            </w:r>
            <w:r w:rsidR="0074172B">
              <w:rPr>
                <w:b/>
                <w:bCs/>
                <w:color w:val="000000" w:themeColor="text1"/>
                <w:sz w:val="20"/>
                <w:szCs w:val="20"/>
              </w:rPr>
              <w:t>1</w:t>
            </w:r>
            <w:r w:rsidR="00AC1B72">
              <w:rPr>
                <w:b/>
                <w:bCs/>
                <w:color w:val="000000" w:themeColor="text1"/>
                <w:sz w:val="20"/>
                <w:szCs w:val="20"/>
              </w:rPr>
              <w:t>38</w:t>
            </w:r>
          </w:p>
        </w:tc>
      </w:tr>
      <w:tr w14:paraId="2091DCF7" w14:textId="77777777" w:rsidTr="00F24D56">
        <w:tblPrEx>
          <w:tblW w:w="9620" w:type="dxa"/>
          <w:tblInd w:w="5" w:type="dxa"/>
          <w:tblLayout w:type="fixed"/>
          <w:tblLook w:val="04A0"/>
        </w:tblPrEx>
        <w:trPr>
          <w:trHeight w:val="188"/>
        </w:trPr>
        <w:tc>
          <w:tcPr>
            <w:tcW w:w="7010" w:type="dxa"/>
            <w:shd w:val="clear" w:color="auto" w:fill="auto"/>
          </w:tcPr>
          <w:p w:rsidR="00947579" w:rsidRPr="001376EC" w:rsidP="00F24D56" w14:paraId="49FB88B3" w14:textId="77777777">
            <w:pPr>
              <w:spacing w:after="0"/>
              <w:rPr>
                <w:sz w:val="20"/>
                <w:szCs w:val="20"/>
              </w:rPr>
            </w:pPr>
            <w:r w:rsidRPr="00871E51">
              <w:rPr>
                <w:rFonts w:eastAsia="Calibri"/>
                <w:sz w:val="20"/>
                <w:szCs w:val="20"/>
              </w:rPr>
              <w:t xml:space="preserve">Cost Per </w:t>
            </w:r>
            <w:r>
              <w:rPr>
                <w:rFonts w:eastAsia="Calibri"/>
                <w:sz w:val="20"/>
                <w:szCs w:val="20"/>
              </w:rPr>
              <w:t>Application</w:t>
            </w:r>
            <w:r w:rsidRPr="00871E51">
              <w:rPr>
                <w:rFonts w:eastAsia="Calibri"/>
                <w:sz w:val="20"/>
                <w:szCs w:val="20"/>
              </w:rPr>
              <w:t xml:space="preserve"> (@ computer systems analyst’s labor rate of $</w:t>
            </w:r>
            <w:r>
              <w:rPr>
                <w:rFonts w:eastAsia="Calibri"/>
                <w:sz w:val="20"/>
                <w:szCs w:val="20"/>
              </w:rPr>
              <w:t>103.40</w:t>
            </w:r>
            <w:r w:rsidRPr="00871E51">
              <w:rPr>
                <w:rFonts w:eastAsia="Calibri"/>
                <w:sz w:val="20"/>
                <w:szCs w:val="20"/>
              </w:rPr>
              <w:t>/hr) (</w:t>
            </w:r>
            <w:r>
              <w:rPr>
                <w:rFonts w:eastAsia="Calibri"/>
                <w:sz w:val="20"/>
                <w:szCs w:val="20"/>
              </w:rPr>
              <w:t>d</w:t>
            </w:r>
            <w:r w:rsidRPr="00871E51">
              <w:rPr>
                <w:rFonts w:eastAsia="Calibri"/>
                <w:sz w:val="20"/>
                <w:szCs w:val="20"/>
              </w:rPr>
              <w:t>)</w:t>
            </w:r>
            <w:r>
              <w:rPr>
                <w:rFonts w:eastAsia="Calibri"/>
                <w:sz w:val="20"/>
                <w:szCs w:val="20"/>
              </w:rPr>
              <w:t xml:space="preserve"> = (b) [x] $103.40/hr</w:t>
            </w:r>
          </w:p>
        </w:tc>
        <w:tc>
          <w:tcPr>
            <w:tcW w:w="2610" w:type="dxa"/>
            <w:shd w:val="clear" w:color="auto" w:fill="auto"/>
            <w:vAlign w:val="center"/>
          </w:tcPr>
          <w:p w:rsidR="00947579" w:rsidRPr="001376EC" w:rsidP="00F24D56" w14:paraId="51B825E0" w14:textId="5A7C1423">
            <w:pPr>
              <w:spacing w:after="0"/>
              <w:rPr>
                <w:sz w:val="20"/>
                <w:szCs w:val="20"/>
              </w:rPr>
            </w:pPr>
            <w:r>
              <w:rPr>
                <w:sz w:val="20"/>
                <w:szCs w:val="20"/>
              </w:rPr>
              <w:t xml:space="preserve">                               $1,</w:t>
            </w:r>
            <w:r w:rsidR="002D27FE">
              <w:rPr>
                <w:sz w:val="20"/>
                <w:szCs w:val="20"/>
              </w:rPr>
              <w:t>189.10</w:t>
            </w:r>
          </w:p>
        </w:tc>
      </w:tr>
      <w:tr w14:paraId="2361A2B4" w14:textId="77777777" w:rsidTr="003D29BA">
        <w:tblPrEx>
          <w:tblW w:w="9620" w:type="dxa"/>
          <w:tblInd w:w="5" w:type="dxa"/>
          <w:tblLayout w:type="fixed"/>
          <w:tblLook w:val="04A0"/>
        </w:tblPrEx>
        <w:trPr>
          <w:trHeight w:val="70"/>
        </w:trPr>
        <w:tc>
          <w:tcPr>
            <w:tcW w:w="7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47579" w:rsidRPr="001376EC" w:rsidP="00F24D56" w14:paraId="16D6BA5D" w14:textId="77777777">
            <w:pPr>
              <w:spacing w:after="0"/>
              <w:rPr>
                <w:rFonts w:eastAsia="Calibri"/>
                <w:b/>
                <w:bCs/>
                <w:sz w:val="20"/>
                <w:szCs w:val="20"/>
              </w:rPr>
            </w:pPr>
            <w:r w:rsidRPr="001376EC">
              <w:rPr>
                <w:rFonts w:eastAsia="Calibri"/>
                <w:b/>
                <w:bCs/>
                <w:sz w:val="20"/>
                <w:szCs w:val="20"/>
              </w:rPr>
              <w:t>Total Annual Cost (</w:t>
            </w:r>
            <w:r>
              <w:rPr>
                <w:rFonts w:eastAsia="Calibri"/>
                <w:b/>
                <w:bCs/>
                <w:sz w:val="20"/>
                <w:szCs w:val="20"/>
              </w:rPr>
              <w:t>e)</w:t>
            </w:r>
            <w:r w:rsidRPr="001376EC">
              <w:rPr>
                <w:rFonts w:eastAsia="Calibri"/>
                <w:b/>
                <w:bCs/>
                <w:sz w:val="20"/>
                <w:szCs w:val="20"/>
              </w:rPr>
              <w:t xml:space="preserve"> = (a) </w:t>
            </w:r>
            <w:r>
              <w:rPr>
                <w:rFonts w:eastAsia="Calibri"/>
                <w:b/>
                <w:bCs/>
                <w:sz w:val="20"/>
                <w:szCs w:val="20"/>
              </w:rPr>
              <w:t>[</w:t>
            </w:r>
            <w:r w:rsidRPr="00502002">
              <w:rPr>
                <w:rFonts w:eastAsia="Calibri"/>
                <w:b/>
                <w:bCs/>
                <w:sz w:val="20"/>
                <w:szCs w:val="20"/>
              </w:rPr>
              <w:t>x</w:t>
            </w:r>
            <w:r>
              <w:rPr>
                <w:rFonts w:eastAsia="Calibri"/>
                <w:b/>
                <w:bCs/>
                <w:sz w:val="20"/>
                <w:szCs w:val="20"/>
              </w:rPr>
              <w:t>]</w:t>
            </w:r>
            <w:r w:rsidRPr="00502002">
              <w:rPr>
                <w:rFonts w:eastAsia="Calibri"/>
                <w:b/>
                <w:bCs/>
                <w:sz w:val="20"/>
                <w:szCs w:val="20"/>
              </w:rPr>
              <w:t xml:space="preserve"> </w:t>
            </w:r>
            <w:r w:rsidRPr="001376EC">
              <w:rPr>
                <w:rFonts w:eastAsia="Calibri"/>
                <w:b/>
                <w:bCs/>
                <w:sz w:val="20"/>
                <w:szCs w:val="20"/>
              </w:rPr>
              <w:t>(</w:t>
            </w:r>
            <w:r>
              <w:rPr>
                <w:rFonts w:eastAsia="Calibri"/>
                <w:b/>
                <w:bCs/>
                <w:sz w:val="20"/>
                <w:szCs w:val="20"/>
              </w:rPr>
              <w:t>d</w:t>
            </w:r>
            <w:r w:rsidRPr="001376EC">
              <w:rPr>
                <w:rFonts w:eastAsia="Calibri"/>
                <w:b/>
                <w:bCs/>
                <w:sz w:val="20"/>
                <w:szCs w:val="20"/>
              </w:rPr>
              <w:t>)</w:t>
            </w:r>
            <w:r>
              <w:rPr>
                <w:rFonts w:eastAsia="Calibri"/>
                <w:b/>
                <w:bCs/>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47579" w:rsidRPr="001376EC" w:rsidP="00F24D56" w14:paraId="46B831F7" w14:textId="651D63E5">
            <w:pPr>
              <w:spacing w:after="0"/>
              <w:rPr>
                <w:rFonts w:eastAsia="Calibri"/>
                <w:b/>
                <w:bCs/>
                <w:sz w:val="20"/>
                <w:szCs w:val="20"/>
              </w:rPr>
            </w:pPr>
            <w:r>
              <w:rPr>
                <w:rFonts w:eastAsia="Calibri"/>
                <w:b/>
                <w:bCs/>
                <w:sz w:val="20"/>
                <w:szCs w:val="20"/>
              </w:rPr>
              <w:t xml:space="preserve">                                  </w:t>
            </w:r>
            <w:r w:rsidRPr="001376EC">
              <w:rPr>
                <w:rFonts w:eastAsia="Calibri"/>
                <w:b/>
                <w:bCs/>
                <w:sz w:val="20"/>
                <w:szCs w:val="20"/>
              </w:rPr>
              <w:t>$</w:t>
            </w:r>
            <w:r w:rsidR="00EF7D25">
              <w:rPr>
                <w:rFonts w:eastAsia="Calibri"/>
                <w:b/>
                <w:bCs/>
                <w:sz w:val="20"/>
                <w:szCs w:val="20"/>
              </w:rPr>
              <w:t>1</w:t>
            </w:r>
            <w:r w:rsidR="00FE4008">
              <w:rPr>
                <w:rFonts w:eastAsia="Calibri"/>
                <w:b/>
                <w:bCs/>
                <w:sz w:val="20"/>
                <w:szCs w:val="20"/>
              </w:rPr>
              <w:t>4,269</w:t>
            </w:r>
          </w:p>
        </w:tc>
      </w:tr>
    </w:tbl>
    <w:p w:rsidR="00947579" w:rsidRPr="00947579" w:rsidP="003D29BA" w14:paraId="1E96CBE9" w14:textId="77777777"/>
    <w:p w:rsidR="00620B1B" w:rsidP="0011028A" w14:paraId="65357044" w14:textId="6891F2FD">
      <w:pPr>
        <w:pStyle w:val="Heading4"/>
      </w:pPr>
      <w:r>
        <w:t xml:space="preserve">    </w:t>
      </w:r>
      <w:r w:rsidR="00234D99">
        <w:t>Third Party Intermediary Plan Audits</w:t>
      </w:r>
    </w:p>
    <w:p w:rsidR="0025451F" w:rsidP="0031631D" w14:paraId="57CDB241" w14:textId="4B456F60">
      <w:pPr>
        <w:pStyle w:val="ListParagraph"/>
        <w:numPr>
          <w:ilvl w:val="0"/>
          <w:numId w:val="43"/>
        </w:numPr>
        <w:ind w:left="2880"/>
      </w:pPr>
      <w:r>
        <w:t>Targeted Audits</w:t>
      </w:r>
    </w:p>
    <w:p w:rsidR="001A20C8" w:rsidP="001A20C8" w14:paraId="41CE8885" w14:textId="744FAE3E">
      <w:r w:rsidRPr="001A20C8">
        <w:t xml:space="preserve">In the CY 2022 PFS final rule (86 FR 65547 through 65548), we finalized that beginning with the CY 2021 performance period/2023 MIPS payment year, the QCDR or qualified registry must conduct targeted audits in accordance with requirements at § 414.1400(b)(3)(vi). </w:t>
      </w:r>
      <w:r w:rsidR="006410F4">
        <w:t xml:space="preserve">For the CY 2024 performance period/2026 MIPS payment year, </w:t>
      </w:r>
      <w:r w:rsidRPr="001A20C8">
        <w:t xml:space="preserve">we estimate that the time required for a QCDR or qualified registry to submit a targeted audit ranges between 5 and 10 hours </w:t>
      </w:r>
      <w:r w:rsidR="00EB3328">
        <w:t>under</w:t>
      </w:r>
      <w:r w:rsidRPr="001A20C8">
        <w:t xml:space="preserve"> the simplified and full self-nomination process, respectively. We assume that the staff involved in submitting the targeted audits will be computer systems analysts or their equivalent, who have an average labor rate of $</w:t>
      </w:r>
      <w:r w:rsidR="00801695">
        <w:t>103.40</w:t>
      </w:r>
      <w:r w:rsidRPr="001A20C8">
        <w:t xml:space="preserve">/hr.  </w:t>
      </w:r>
    </w:p>
    <w:p w:rsidR="001A4F37" w:rsidRPr="0033211B" w:rsidP="001A20C8" w14:paraId="6EE23639" w14:textId="11CDEC08">
      <w:r w:rsidRPr="0033211B">
        <w:t>W</w:t>
      </w:r>
      <w:r w:rsidRPr="0033211B" w:rsidR="00764EF8">
        <w:t xml:space="preserve">e estimate that </w:t>
      </w:r>
      <w:r w:rsidR="007D21AD">
        <w:t>29</w:t>
      </w:r>
      <w:r w:rsidRPr="0033211B" w:rsidR="00764EF8">
        <w:t xml:space="preserve"> third party intermediaries w</w:t>
      </w:r>
      <w:r w:rsidRPr="0033211B" w:rsidR="003F3817">
        <w:t>ill</w:t>
      </w:r>
      <w:r w:rsidRPr="0033211B" w:rsidR="00764EF8">
        <w:t xml:space="preserve"> submit targeted audits for the CY 202</w:t>
      </w:r>
      <w:r w:rsidR="00801695">
        <w:t>4</w:t>
      </w:r>
      <w:r w:rsidRPr="0033211B" w:rsidR="00764EF8">
        <w:t xml:space="preserve"> performance period/202</w:t>
      </w:r>
      <w:r w:rsidR="00801695">
        <w:t>6</w:t>
      </w:r>
      <w:r w:rsidRPr="0033211B" w:rsidR="00764EF8">
        <w:t xml:space="preserve"> MIPS payment year.</w:t>
      </w:r>
      <w:r w:rsidRPr="0033211B" w:rsidR="00AE31CD">
        <w:t xml:space="preserve"> </w:t>
      </w:r>
      <w:r w:rsidR="00801695">
        <w:t>W</w:t>
      </w:r>
      <w:r w:rsidRPr="00801695" w:rsidR="00801695">
        <w:t xml:space="preserve">e estimate the time required for a QCDR or qualified registry to submit a targeted audit ranges between 5 and 10 hours </w:t>
      </w:r>
      <w:r w:rsidR="007C16E4">
        <w:t>under</w:t>
      </w:r>
      <w:r w:rsidRPr="00801695" w:rsidR="00801695">
        <w:t xml:space="preserve"> the simplified and full self-nomination process, respectivel</w:t>
      </w:r>
      <w:r w:rsidR="00801695">
        <w:t>y and</w:t>
      </w:r>
      <w:r w:rsidRPr="00801695" w:rsidR="00801695">
        <w:t xml:space="preserve"> that the cost for a QCDR or a qualified registry to submit a targeted audit will range from $517 (5 hr x $103.40/hr) to $1,034 (10 hr x $103.40/hr).</w:t>
      </w:r>
      <w:r w:rsidR="00801695">
        <w:t xml:space="preserve"> In aggregate, w</w:t>
      </w:r>
      <w:r w:rsidRPr="0033211B" w:rsidR="00AE31CD">
        <w:t xml:space="preserve">e estimate the total impact associated with QCDRs and qualified registries completing targeted audits will range from </w:t>
      </w:r>
      <w:r w:rsidRPr="0033211B" w:rsidR="00DB1B14">
        <w:t>1</w:t>
      </w:r>
      <w:r w:rsidR="00066B73">
        <w:t>4</w:t>
      </w:r>
      <w:r w:rsidR="00801695">
        <w:t>5</w:t>
      </w:r>
      <w:r w:rsidRPr="0033211B" w:rsidR="00AE31CD">
        <w:t xml:space="preserve"> hours (</w:t>
      </w:r>
      <w:r w:rsidR="00066B73">
        <w:t>29</w:t>
      </w:r>
      <w:r w:rsidRPr="0033211B" w:rsidR="00AE31CD">
        <w:t xml:space="preserve"> respon</w:t>
      </w:r>
      <w:r w:rsidRPr="0033211B" w:rsidR="00CD5A70">
        <w:t>ses</w:t>
      </w:r>
      <w:r w:rsidRPr="0033211B" w:rsidR="00AE31CD">
        <w:t xml:space="preserve"> × 5 hours/audit) at a cost of $</w:t>
      </w:r>
      <w:r w:rsidRPr="0033211B" w:rsidR="001A6AA8">
        <w:t>1</w:t>
      </w:r>
      <w:r w:rsidR="005A33E0">
        <w:t>4,993</w:t>
      </w:r>
      <w:r w:rsidRPr="0033211B" w:rsidR="00AE31CD">
        <w:t xml:space="preserve"> (</w:t>
      </w:r>
      <w:r w:rsidR="00066B73">
        <w:t>29</w:t>
      </w:r>
      <w:r w:rsidRPr="0033211B" w:rsidR="00AE31CD">
        <w:t xml:space="preserve"> respon</w:t>
      </w:r>
      <w:r w:rsidRPr="0033211B" w:rsidR="00CD5A70">
        <w:t>ses</w:t>
      </w:r>
      <w:r w:rsidRPr="0033211B" w:rsidR="00AE31CD">
        <w:t xml:space="preserve"> × $</w:t>
      </w:r>
      <w:r w:rsidR="00801695">
        <w:t>517</w:t>
      </w:r>
      <w:r w:rsidRPr="0033211B" w:rsidR="00AE31CD">
        <w:t xml:space="preserve">/audit) to </w:t>
      </w:r>
      <w:r w:rsidR="005A33E0">
        <w:t>29</w:t>
      </w:r>
      <w:r w:rsidRPr="0033211B" w:rsidR="001A6AA8">
        <w:t>0</w:t>
      </w:r>
      <w:r w:rsidRPr="0033211B" w:rsidR="00AE31CD">
        <w:t xml:space="preserve"> hours (</w:t>
      </w:r>
      <w:r w:rsidR="005A33E0">
        <w:t>29</w:t>
      </w:r>
      <w:r w:rsidRPr="0033211B" w:rsidR="00AE31CD">
        <w:t xml:space="preserve"> respon</w:t>
      </w:r>
      <w:r w:rsidRPr="0033211B" w:rsidR="00CD5A70">
        <w:t>ses</w:t>
      </w:r>
      <w:r w:rsidRPr="0033211B" w:rsidR="00AE31CD">
        <w:t xml:space="preserve"> × 10 hours/audit) at a cost of $</w:t>
      </w:r>
      <w:r w:rsidR="00C83651">
        <w:t>29,986</w:t>
      </w:r>
      <w:r w:rsidRPr="0033211B" w:rsidR="00AE31CD">
        <w:t xml:space="preserve"> (</w:t>
      </w:r>
      <w:r w:rsidR="00A33248">
        <w:t>29</w:t>
      </w:r>
      <w:r w:rsidRPr="0033211B" w:rsidR="00AE31CD">
        <w:t xml:space="preserve"> respon</w:t>
      </w:r>
      <w:r w:rsidRPr="0033211B" w:rsidR="00CD5A70">
        <w:t>ses</w:t>
      </w:r>
      <w:r w:rsidRPr="0033211B" w:rsidR="00AE31CD">
        <w:t xml:space="preserve"> × $</w:t>
      </w:r>
      <w:r w:rsidR="00801695">
        <w:t>1,034</w:t>
      </w:r>
      <w:r w:rsidRPr="0033211B" w:rsidR="00AE31CD">
        <w:t xml:space="preserve">/audit) </w:t>
      </w:r>
      <w:r w:rsidR="003C77BF">
        <w:t>under</w:t>
      </w:r>
      <w:r w:rsidRPr="0033211B" w:rsidR="00AE31CD">
        <w:t xml:space="preserve"> the simplified and full self-nomination process, respectively (See </w:t>
      </w:r>
      <w:r w:rsidRPr="0033211B" w:rsidR="009651EF">
        <w:t>T</w:t>
      </w:r>
      <w:r w:rsidRPr="0033211B" w:rsidR="00AE31CD">
        <w:t>able</w:t>
      </w:r>
      <w:r w:rsidRPr="0033211B" w:rsidR="00941451">
        <w:t xml:space="preserve">s </w:t>
      </w:r>
      <w:r w:rsidR="00801695">
        <w:t>7</w:t>
      </w:r>
      <w:r w:rsidRPr="0033211B" w:rsidR="00941451">
        <w:t xml:space="preserve"> and</w:t>
      </w:r>
      <w:r w:rsidRPr="0033211B" w:rsidR="00AE31CD">
        <w:t xml:space="preserve"> </w:t>
      </w:r>
      <w:r w:rsidR="00801695">
        <w:t>8</w:t>
      </w:r>
      <w:r w:rsidRPr="0033211B" w:rsidR="00AE31CD">
        <w:t xml:space="preserve">). </w:t>
      </w:r>
    </w:p>
    <w:p w:rsidR="00BF33B5" w:rsidP="0031631D" w14:paraId="4D758CC3" w14:textId="68F8B7E4">
      <w:pPr>
        <w:pStyle w:val="ListParagraph"/>
        <w:numPr>
          <w:ilvl w:val="0"/>
          <w:numId w:val="43"/>
        </w:numPr>
        <w:ind w:left="2880"/>
      </w:pPr>
      <w:r>
        <w:t>Participation Plans</w:t>
      </w:r>
    </w:p>
    <w:p w:rsidR="00ED2C0F" w:rsidP="00ED2C0F" w14:paraId="28B39E04" w14:textId="723414B6">
      <w:r w:rsidRPr="00ED2C0F">
        <w:t>In the CY 2022 PFS final rule (86 FR 65546), we finalized requirements for approved QCDRs and qualified registries that have not submitted performance data to submit a participation plan as part of their self-nomination process.</w:t>
      </w:r>
      <w:r w:rsidR="00594793">
        <w:t xml:space="preserve"> </w:t>
      </w:r>
      <w:r w:rsidR="00112A29">
        <w:t xml:space="preserve">For the CY 2024 performance period/2026 MIPS payment year, </w:t>
      </w:r>
      <w:r w:rsidRPr="00594793" w:rsidR="00594793">
        <w:t>we estimate that it w</w:t>
      </w:r>
      <w:r w:rsidR="004A3908">
        <w:t>ill</w:t>
      </w:r>
      <w:r w:rsidRPr="00594793" w:rsidR="00594793">
        <w:t xml:space="preserve"> take </w:t>
      </w:r>
      <w:r w:rsidR="004A3908">
        <w:t>2</w:t>
      </w:r>
      <w:r w:rsidRPr="00594793" w:rsidR="00594793">
        <w:t xml:space="preserve"> hours for a QCDR or qualified registry to submit a participation plan during the self-nomination process. We assume that the staff involved in submitting a participation plan will be computer systems analysts or their equivalent, who have an average labor rate of $</w:t>
      </w:r>
      <w:r w:rsidR="00FA1744">
        <w:t>103.40</w:t>
      </w:r>
      <w:r w:rsidRPr="00594793" w:rsidR="00594793">
        <w:t>/hr.</w:t>
      </w:r>
      <w:r w:rsidR="007F50B3">
        <w:t xml:space="preserve"> </w:t>
      </w:r>
    </w:p>
    <w:p w:rsidR="00A20E26" w:rsidP="00ED2C0F" w14:paraId="5A162BBA" w14:textId="59AB3278">
      <w:r>
        <w:t>W</w:t>
      </w:r>
      <w:r w:rsidRPr="00A20E26">
        <w:t xml:space="preserve">e estimate that </w:t>
      </w:r>
      <w:r w:rsidR="00594ED0">
        <w:t>64</w:t>
      </w:r>
      <w:r w:rsidRPr="00A20E26">
        <w:t xml:space="preserve"> third party intermediaries w</w:t>
      </w:r>
      <w:r w:rsidR="009035D1">
        <w:t>ill</w:t>
      </w:r>
      <w:r w:rsidRPr="00A20E26">
        <w:t xml:space="preserve"> submit participation plans for the CY 202</w:t>
      </w:r>
      <w:r w:rsidR="008C6860">
        <w:t>4</w:t>
      </w:r>
      <w:r w:rsidRPr="00A20E26">
        <w:t xml:space="preserve"> performance period/202</w:t>
      </w:r>
      <w:r w:rsidR="008C6860">
        <w:t>6</w:t>
      </w:r>
      <w:r w:rsidRPr="00A20E26">
        <w:t xml:space="preserve"> MIPS payment year. </w:t>
      </w:r>
      <w:r w:rsidR="00DE2226">
        <w:t>W</w:t>
      </w:r>
      <w:r w:rsidRPr="00DE2226" w:rsidR="00DE2226">
        <w:t>e estimate that the cost for a QCDR or a qualified registry to submit a participation plan is $</w:t>
      </w:r>
      <w:r w:rsidR="000E44DF">
        <w:t>206.8</w:t>
      </w:r>
      <w:r w:rsidRPr="00DE2226" w:rsidR="00DE2226">
        <w:t>0 (</w:t>
      </w:r>
      <w:r w:rsidR="000E44DF">
        <w:t>2</w:t>
      </w:r>
      <w:r w:rsidRPr="00DE2226" w:rsidR="00DE2226">
        <w:t xml:space="preserve"> hours x $103.40/hr).</w:t>
      </w:r>
      <w:r w:rsidR="00FA417B">
        <w:t xml:space="preserve"> </w:t>
      </w:r>
      <w:r w:rsidR="00DE2226">
        <w:t>In aggregate</w:t>
      </w:r>
      <w:r w:rsidRPr="00A20E26">
        <w:t xml:space="preserve">, </w:t>
      </w:r>
      <w:r w:rsidRPr="00A20E26">
        <w:t>we estimate the total impact associated with QCDRs and qualified registries to submit participation plans w</w:t>
      </w:r>
      <w:r w:rsidR="004C5CFE">
        <w:t>ill</w:t>
      </w:r>
      <w:r w:rsidRPr="00A20E26">
        <w:t xml:space="preserve"> be </w:t>
      </w:r>
      <w:r w:rsidR="00840E66">
        <w:t>128</w:t>
      </w:r>
      <w:r w:rsidRPr="00A20E26">
        <w:t xml:space="preserve"> hours (</w:t>
      </w:r>
      <w:r w:rsidR="00840E66">
        <w:t>64</w:t>
      </w:r>
      <w:r w:rsidRPr="00A20E26">
        <w:t xml:space="preserve"> </w:t>
      </w:r>
      <w:r w:rsidR="00DE2226">
        <w:t>participation plans</w:t>
      </w:r>
      <w:r w:rsidRPr="00A20E26">
        <w:t xml:space="preserve"> × </w:t>
      </w:r>
      <w:r w:rsidR="00840E66">
        <w:t>2</w:t>
      </w:r>
      <w:r w:rsidRPr="00A20E26">
        <w:t xml:space="preserve"> hours/</w:t>
      </w:r>
      <w:r w:rsidR="00DE2226">
        <w:t>plan</w:t>
      </w:r>
      <w:r w:rsidRPr="00A20E26">
        <w:t>) at a cost of $</w:t>
      </w:r>
      <w:r w:rsidR="00420A8C">
        <w:t>13,235</w:t>
      </w:r>
      <w:r w:rsidRPr="00A20E26">
        <w:t xml:space="preserve"> (</w:t>
      </w:r>
      <w:r w:rsidR="00BE0929">
        <w:t>64</w:t>
      </w:r>
      <w:r w:rsidRPr="00A20E26">
        <w:t xml:space="preserve"> </w:t>
      </w:r>
      <w:r w:rsidR="00DE2226">
        <w:t>participation plans</w:t>
      </w:r>
      <w:r w:rsidRPr="00A20E26">
        <w:t xml:space="preserve"> × $</w:t>
      </w:r>
      <w:r w:rsidR="00BE0929">
        <w:t>206.80</w:t>
      </w:r>
      <w:r w:rsidRPr="00A20E26">
        <w:t>/</w:t>
      </w:r>
      <w:r w:rsidR="00DE2226">
        <w:t>plan</w:t>
      </w:r>
      <w:r w:rsidRPr="00A20E26">
        <w:t>)</w:t>
      </w:r>
      <w:r w:rsidR="00C36DEB">
        <w:t xml:space="preserve"> (See </w:t>
      </w:r>
      <w:r w:rsidR="009651EF">
        <w:t>T</w:t>
      </w:r>
      <w:r w:rsidR="00C36DEB">
        <w:t xml:space="preserve">ables </w:t>
      </w:r>
      <w:r w:rsidR="00DE2226">
        <w:t>7</w:t>
      </w:r>
      <w:r w:rsidR="00C36DEB">
        <w:t xml:space="preserve"> and </w:t>
      </w:r>
      <w:r w:rsidR="00DE2226">
        <w:t>8</w:t>
      </w:r>
      <w:r w:rsidR="00C36DEB">
        <w:t>)</w:t>
      </w:r>
      <w:r w:rsidRPr="00A20E26">
        <w:t>.</w:t>
      </w:r>
    </w:p>
    <w:p w:rsidR="00232BE8" w:rsidP="0031631D" w14:paraId="38FF0035" w14:textId="0D643784">
      <w:pPr>
        <w:pStyle w:val="ListParagraph"/>
        <w:numPr>
          <w:ilvl w:val="0"/>
          <w:numId w:val="43"/>
        </w:numPr>
        <w:ind w:left="2880"/>
      </w:pPr>
      <w:r>
        <w:t>Corrective Action Plans (CAPs)</w:t>
      </w:r>
    </w:p>
    <w:p w:rsidR="003429B0" w:rsidP="003429B0" w14:paraId="58B27EBF" w14:textId="21B41D60">
      <w:r>
        <w:t>W</w:t>
      </w:r>
      <w:r>
        <w:t xml:space="preserve">e estimate that </w:t>
      </w:r>
      <w:r w:rsidR="0090421A">
        <w:t>24</w:t>
      </w:r>
      <w:r>
        <w:t xml:space="preserve"> third party intermediaries w</w:t>
      </w:r>
      <w:r w:rsidR="0090421A">
        <w:t>ill</w:t>
      </w:r>
      <w:r>
        <w:t xml:space="preserve"> submit CAPs for the CY 202</w:t>
      </w:r>
      <w:r w:rsidR="005B79FC">
        <w:t>4</w:t>
      </w:r>
      <w:r>
        <w:t xml:space="preserve"> performance period/202</w:t>
      </w:r>
      <w:r w:rsidR="005B79FC">
        <w:t>6</w:t>
      </w:r>
      <w:r>
        <w:t xml:space="preserve"> MIPS payment year. Additionally, we estimate that it w</w:t>
      </w:r>
      <w:r w:rsidR="00126CEF">
        <w:t>ill</w:t>
      </w:r>
      <w:r>
        <w:t xml:space="preserve"> take 3 hours for a QCDR or qualified registry to submit a </w:t>
      </w:r>
      <w:r w:rsidR="00F33C54">
        <w:t>CAP</w:t>
      </w:r>
      <w:r w:rsidR="005B79FC">
        <w:t>.</w:t>
      </w:r>
      <w:r>
        <w:t xml:space="preserve"> We assume that the staff involved in submitting the </w:t>
      </w:r>
      <w:r>
        <w:t>CAPs</w:t>
      </w:r>
      <w:r>
        <w:t xml:space="preserve"> will be computer systems analysts or their equivalent, who have an average labor rate of $</w:t>
      </w:r>
      <w:r w:rsidR="005B79FC">
        <w:t>103.40</w:t>
      </w:r>
      <w:r>
        <w:t xml:space="preserve">/hr. </w:t>
      </w:r>
      <w:r w:rsidR="005B79FC">
        <w:t>W</w:t>
      </w:r>
      <w:r w:rsidRPr="005B79FC" w:rsidR="005B79FC">
        <w:t xml:space="preserve">e estimate that the cost for a QCDR or a qualified registry to submit a CAP is $310.20 (3 hours x $103.40/hr). </w:t>
      </w:r>
      <w:r w:rsidR="005B79FC">
        <w:t>In aggregate</w:t>
      </w:r>
      <w:r>
        <w:t xml:space="preserve">, we estimate the total impact associated with QCDRs and qualified registries to CAPs would be </w:t>
      </w:r>
      <w:r w:rsidR="0090421A">
        <w:t>72</w:t>
      </w:r>
      <w:r>
        <w:t xml:space="preserve"> hours (</w:t>
      </w:r>
      <w:r w:rsidR="0090421A">
        <w:t>24</w:t>
      </w:r>
      <w:r>
        <w:t xml:space="preserve"> </w:t>
      </w:r>
      <w:r w:rsidR="005B79FC">
        <w:t>CAPs</w:t>
      </w:r>
      <w:r>
        <w:t xml:space="preserve"> × 3 hours/</w:t>
      </w:r>
      <w:r w:rsidR="005E3ED5">
        <w:t>response</w:t>
      </w:r>
      <w:r>
        <w:t>) at a cost of $</w:t>
      </w:r>
      <w:r w:rsidR="00BE2E49">
        <w:t>7,445</w:t>
      </w:r>
      <w:r>
        <w:t xml:space="preserve"> (</w:t>
      </w:r>
      <w:r w:rsidR="00680FC9">
        <w:t>24</w:t>
      </w:r>
      <w:r>
        <w:t xml:space="preserve"> </w:t>
      </w:r>
      <w:r w:rsidR="005B79FC">
        <w:t>CAPs</w:t>
      </w:r>
      <w:r>
        <w:t xml:space="preserve"> × $</w:t>
      </w:r>
      <w:r w:rsidR="005B79FC">
        <w:t>310.20</w:t>
      </w:r>
      <w:r>
        <w:t>/</w:t>
      </w:r>
      <w:r w:rsidR="005E3ED5">
        <w:t>response</w:t>
      </w:r>
      <w:r>
        <w:t>)</w:t>
      </w:r>
      <w:r w:rsidR="009651EF">
        <w:t xml:space="preserve"> (See Tables </w:t>
      </w:r>
      <w:r w:rsidR="005B79FC">
        <w:t>7</w:t>
      </w:r>
      <w:r w:rsidR="009651EF">
        <w:t xml:space="preserve"> and </w:t>
      </w:r>
      <w:r w:rsidR="005B79FC">
        <w:t>8</w:t>
      </w:r>
      <w:r w:rsidR="009651EF">
        <w:t>)</w:t>
      </w:r>
      <w:r>
        <w:t>.</w:t>
      </w:r>
    </w:p>
    <w:p w:rsidR="00CC5E5E" w:rsidP="0031631D" w14:paraId="6A64E619" w14:textId="14314B67">
      <w:pPr>
        <w:pStyle w:val="ListParagraph"/>
        <w:numPr>
          <w:ilvl w:val="0"/>
          <w:numId w:val="43"/>
        </w:numPr>
        <w:ind w:left="2880"/>
      </w:pPr>
      <w:r>
        <w:t>Transition Plans</w:t>
      </w:r>
    </w:p>
    <w:p w:rsidR="00610CB4" w:rsidP="00CC5E5E" w14:paraId="097B8C0B" w14:textId="77777777">
      <w:r w:rsidRPr="00082C6F">
        <w:t xml:space="preserve">In the CY 2020 PFS final rule (84 FR 63052 through 63053), we established a policy at § 414.1400(a)(4)(vi) that a condition of approval for the third party intermediary is 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w:t>
      </w:r>
    </w:p>
    <w:p w:rsidR="00CC5E5E" w:rsidP="00CC5E5E" w14:paraId="42267719" w14:textId="51B235DA">
      <w:r>
        <w:t>W</w:t>
      </w:r>
      <w:r w:rsidRPr="00082C6F" w:rsidR="00082C6F">
        <w:t>e estimate t</w:t>
      </w:r>
      <w:r w:rsidR="009D3B28">
        <w:t>hat we will</w:t>
      </w:r>
      <w:r w:rsidRPr="00082C6F" w:rsidR="00082C6F">
        <w:t xml:space="preserve"> receive </w:t>
      </w:r>
      <w:r w:rsidR="0032258C">
        <w:t>9</w:t>
      </w:r>
      <w:r w:rsidRPr="00082C6F" w:rsidR="00082C6F">
        <w:t xml:space="preserve"> transition plans from QCDRs and qualified registries for the CY 202</w:t>
      </w:r>
      <w:r>
        <w:t>4</w:t>
      </w:r>
      <w:r w:rsidRPr="00082C6F" w:rsidR="00082C6F">
        <w:t xml:space="preserve"> performance period/202</w:t>
      </w:r>
      <w:r>
        <w:t>6</w:t>
      </w:r>
      <w:r w:rsidRPr="00082C6F" w:rsidR="00082C6F">
        <w:t xml:space="preserve"> MIPS payment year. We estimate that it w</w:t>
      </w:r>
      <w:r w:rsidR="0032258C">
        <w:t>ill</w:t>
      </w:r>
      <w:r w:rsidRPr="00082C6F" w:rsidR="00082C6F">
        <w:t xml:space="preserve"> take 1 hour for a computer system analyst or their equivalent at a labor rate of $</w:t>
      </w:r>
      <w:r>
        <w:t>103.40</w:t>
      </w:r>
      <w:r w:rsidRPr="00082C6F" w:rsidR="00082C6F">
        <w:t xml:space="preserve">/hr to develop a transition plan on behalf of each QCDR or qualified registry during the self-nomination period. However, we are unable to estimate the burden for implementing the actions in the transition plan because the level of effort may vary for each QCDR or qualified registry. Therefore, we estimate the total impact associated with qualified registries completing transition plans is </w:t>
      </w:r>
      <w:r w:rsidR="00223F82">
        <w:t>9</w:t>
      </w:r>
      <w:r w:rsidRPr="00082C6F" w:rsidR="00082C6F">
        <w:t xml:space="preserve"> hours (</w:t>
      </w:r>
      <w:r w:rsidR="00223F82">
        <w:t>9</w:t>
      </w:r>
      <w:r>
        <w:t xml:space="preserve"> transition plans</w:t>
      </w:r>
      <w:r w:rsidRPr="00082C6F" w:rsidR="00082C6F">
        <w:t xml:space="preserve"> × 1 hour/</w:t>
      </w:r>
      <w:r>
        <w:t>plan</w:t>
      </w:r>
      <w:r w:rsidRPr="00082C6F" w:rsidR="00082C6F">
        <w:t>) at a cost of $</w:t>
      </w:r>
      <w:r w:rsidR="003C4A28">
        <w:t>931</w:t>
      </w:r>
      <w:r w:rsidRPr="00082C6F" w:rsidR="00082C6F">
        <w:t xml:space="preserve"> (</w:t>
      </w:r>
      <w:r w:rsidR="00223F82">
        <w:t>9</w:t>
      </w:r>
      <w:r w:rsidRPr="00082C6F" w:rsidR="00082C6F">
        <w:t xml:space="preserve"> </w:t>
      </w:r>
      <w:r>
        <w:t>transition plans</w:t>
      </w:r>
      <w:r w:rsidRPr="00082C6F" w:rsidR="00082C6F">
        <w:t xml:space="preserve"> × $</w:t>
      </w:r>
      <w:r>
        <w:t>103.40</w:t>
      </w:r>
      <w:r w:rsidRPr="00082C6F" w:rsidR="00082C6F">
        <w:t>/</w:t>
      </w:r>
      <w:r>
        <w:t>plan</w:t>
      </w:r>
      <w:r w:rsidRPr="00082C6F" w:rsidR="00082C6F">
        <w:t>).</w:t>
      </w:r>
    </w:p>
    <w:p w:rsidR="00714B80" w:rsidP="00CC5E5E" w14:paraId="120BA962" w14:textId="31399065">
      <w:r w:rsidRPr="00714B80">
        <w:t xml:space="preserve">In aggregate, as shown in Table </w:t>
      </w:r>
      <w:r w:rsidR="00D532BA">
        <w:t>7</w:t>
      </w:r>
      <w:r w:rsidRPr="00714B80">
        <w:t>, we assume that 1</w:t>
      </w:r>
      <w:r w:rsidR="00E90A8A">
        <w:t>26</w:t>
      </w:r>
      <w:r w:rsidRPr="00714B80">
        <w:t xml:space="preserve"> third party intermediaries will submit plan audits (</w:t>
      </w:r>
      <w:r w:rsidR="00E90A8A">
        <w:t>29</w:t>
      </w:r>
      <w:r w:rsidRPr="00714B80">
        <w:t xml:space="preserve"> targeted audits, </w:t>
      </w:r>
      <w:r w:rsidR="00E90A8A">
        <w:t>64</w:t>
      </w:r>
      <w:r w:rsidRPr="00714B80">
        <w:t xml:space="preserve"> participation plans, </w:t>
      </w:r>
      <w:r w:rsidR="00E90A8A">
        <w:t>24</w:t>
      </w:r>
      <w:r w:rsidRPr="00714B80">
        <w:t xml:space="preserve"> CAPs, and </w:t>
      </w:r>
      <w:r w:rsidR="00E90A8A">
        <w:t>9</w:t>
      </w:r>
      <w:r w:rsidR="00D532BA">
        <w:t xml:space="preserve"> </w:t>
      </w:r>
      <w:r w:rsidRPr="00714B80">
        <w:t>transition plans).</w:t>
      </w:r>
    </w:p>
    <w:p w:rsidR="00E55187" w:rsidRPr="00732012" w:rsidP="00E55187" w14:paraId="0B317F50" w14:textId="34EB8896">
      <w:pPr>
        <w:spacing w:after="0"/>
        <w:jc w:val="center"/>
        <w:rPr>
          <w:b/>
          <w:bCs/>
        </w:rPr>
      </w:pPr>
      <w:r>
        <w:rPr>
          <w:b/>
          <w:bCs/>
        </w:rPr>
        <w:t xml:space="preserve">TABLE </w:t>
      </w:r>
      <w:r w:rsidR="00815465">
        <w:rPr>
          <w:b/>
          <w:bCs/>
        </w:rPr>
        <w:t>7</w:t>
      </w:r>
      <w:r w:rsidRPr="00732012">
        <w:rPr>
          <w:b/>
          <w:bCs/>
        </w:rPr>
        <w:t xml:space="preserve">: Estimated </w:t>
      </w:r>
      <w:r w:rsidR="009C3D5F">
        <w:rPr>
          <w:b/>
          <w:bCs/>
        </w:rPr>
        <w:t>Number of Respondents to Submit Plan Audits</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0"/>
        <w:gridCol w:w="2790"/>
      </w:tblGrid>
      <w:tr w14:paraId="251EEE25" w14:textId="77777777" w:rsidTr="00925EE7">
        <w:tblPrEx>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blHeader/>
        </w:trPr>
        <w:tc>
          <w:tcPr>
            <w:tcW w:w="6290" w:type="dxa"/>
            <w:shd w:val="clear" w:color="auto" w:fill="auto"/>
            <w:vAlign w:val="center"/>
          </w:tcPr>
          <w:p w:rsidR="009C3D5F" w:rsidRPr="00B05B18" w:rsidP="006330BC" w14:paraId="04EDDFAE" w14:textId="77777777">
            <w:pPr>
              <w:spacing w:after="0"/>
              <w:rPr>
                <w:b/>
                <w:sz w:val="20"/>
                <w:szCs w:val="20"/>
              </w:rPr>
            </w:pPr>
            <w:r w:rsidRPr="00B05B18">
              <w:rPr>
                <w:b/>
                <w:sz w:val="20"/>
                <w:szCs w:val="20"/>
              </w:rPr>
              <w:t>Burden and Respondent Descriptions</w:t>
            </w:r>
          </w:p>
        </w:tc>
        <w:tc>
          <w:tcPr>
            <w:tcW w:w="2790" w:type="dxa"/>
          </w:tcPr>
          <w:p w:rsidR="009C3D5F" w:rsidRPr="007C52BE" w:rsidP="006330BC" w14:paraId="34AAD1DB" w14:textId="108442AF">
            <w:pPr>
              <w:spacing w:after="0"/>
              <w:rPr>
                <w:b/>
                <w:bCs/>
                <w:sz w:val="20"/>
                <w:szCs w:val="20"/>
              </w:rPr>
            </w:pPr>
            <w:r>
              <w:rPr>
                <w:b/>
                <w:bCs/>
                <w:sz w:val="20"/>
                <w:szCs w:val="20"/>
              </w:rPr>
              <w:t># of Respondents</w:t>
            </w:r>
          </w:p>
        </w:tc>
      </w:tr>
      <w:tr w14:paraId="04A58B46" w14:textId="77777777" w:rsidTr="00925EE7">
        <w:tblPrEx>
          <w:tblW w:w="9080" w:type="dxa"/>
          <w:tblInd w:w="5" w:type="dxa"/>
          <w:tblLayout w:type="fixed"/>
          <w:tblLook w:val="04A0"/>
        </w:tblPrEx>
        <w:trPr>
          <w:trHeight w:val="268"/>
        </w:trPr>
        <w:tc>
          <w:tcPr>
            <w:tcW w:w="6290" w:type="dxa"/>
            <w:shd w:val="clear" w:color="auto" w:fill="auto"/>
          </w:tcPr>
          <w:p w:rsidR="009C3D5F" w:rsidRPr="007C52BE" w:rsidP="006330BC" w14:paraId="2EA2D224" w14:textId="4F521E38">
            <w:pPr>
              <w:spacing w:after="0"/>
              <w:rPr>
                <w:sz w:val="20"/>
                <w:szCs w:val="20"/>
              </w:rPr>
            </w:pPr>
            <w:r>
              <w:rPr>
                <w:sz w:val="20"/>
                <w:szCs w:val="20"/>
              </w:rPr>
              <w:t xml:space="preserve"># of Targeted Audits </w:t>
            </w:r>
            <w:r w:rsidRPr="007C52BE">
              <w:rPr>
                <w:sz w:val="20"/>
                <w:szCs w:val="20"/>
              </w:rPr>
              <w:t>(a)</w:t>
            </w:r>
          </w:p>
        </w:tc>
        <w:tc>
          <w:tcPr>
            <w:tcW w:w="2790" w:type="dxa"/>
          </w:tcPr>
          <w:p w:rsidR="009C3D5F" w:rsidP="006330BC" w14:paraId="37647A9B" w14:textId="2E1F69A6">
            <w:pPr>
              <w:spacing w:after="0"/>
              <w:rPr>
                <w:sz w:val="20"/>
                <w:szCs w:val="20"/>
              </w:rPr>
            </w:pPr>
            <w:r>
              <w:rPr>
                <w:rFonts w:eastAsia="Calibri"/>
                <w:sz w:val="20"/>
                <w:szCs w:val="20"/>
              </w:rPr>
              <w:t xml:space="preserve">                                             </w:t>
            </w:r>
            <w:r w:rsidR="008636F0">
              <w:rPr>
                <w:rFonts w:eastAsia="Calibri"/>
                <w:sz w:val="20"/>
                <w:szCs w:val="20"/>
              </w:rPr>
              <w:t>29</w:t>
            </w:r>
          </w:p>
        </w:tc>
      </w:tr>
      <w:tr w14:paraId="557EF9C4" w14:textId="77777777" w:rsidTr="00925EE7">
        <w:tblPrEx>
          <w:tblW w:w="9080" w:type="dxa"/>
          <w:tblInd w:w="5" w:type="dxa"/>
          <w:tblLayout w:type="fixed"/>
          <w:tblLook w:val="04A0"/>
        </w:tblPrEx>
        <w:trPr>
          <w:trHeight w:val="268"/>
        </w:trPr>
        <w:tc>
          <w:tcPr>
            <w:tcW w:w="6290" w:type="dxa"/>
            <w:tcBorders>
              <w:bottom w:val="single" w:sz="4" w:space="0" w:color="auto"/>
            </w:tcBorders>
            <w:shd w:val="clear" w:color="auto" w:fill="auto"/>
          </w:tcPr>
          <w:p w:rsidR="009C3D5F" w:rsidRPr="007C52BE" w:rsidP="006330BC" w14:paraId="5DDCA976" w14:textId="4AC3DB1A">
            <w:pPr>
              <w:spacing w:after="0"/>
              <w:rPr>
                <w:sz w:val="20"/>
                <w:szCs w:val="20"/>
              </w:rPr>
            </w:pPr>
            <w:r w:rsidRPr="007C52BE">
              <w:rPr>
                <w:sz w:val="20"/>
                <w:szCs w:val="20"/>
              </w:rPr>
              <w:t xml:space="preserve"># of </w:t>
            </w:r>
            <w:r w:rsidR="002D51E2">
              <w:rPr>
                <w:sz w:val="20"/>
                <w:szCs w:val="20"/>
              </w:rPr>
              <w:t>Participation Plans</w:t>
            </w:r>
            <w:r>
              <w:rPr>
                <w:sz w:val="20"/>
                <w:szCs w:val="20"/>
              </w:rPr>
              <w:t xml:space="preserve"> </w:t>
            </w:r>
            <w:r w:rsidRPr="007C52BE">
              <w:rPr>
                <w:sz w:val="20"/>
                <w:szCs w:val="20"/>
              </w:rPr>
              <w:t>(</w:t>
            </w:r>
            <w:r>
              <w:rPr>
                <w:sz w:val="20"/>
                <w:szCs w:val="20"/>
              </w:rPr>
              <w:t>b</w:t>
            </w:r>
            <w:r w:rsidRPr="007C52BE">
              <w:rPr>
                <w:sz w:val="20"/>
                <w:szCs w:val="20"/>
              </w:rPr>
              <w:t>)</w:t>
            </w:r>
          </w:p>
        </w:tc>
        <w:tc>
          <w:tcPr>
            <w:tcW w:w="2790" w:type="dxa"/>
            <w:tcBorders>
              <w:bottom w:val="single" w:sz="4" w:space="0" w:color="auto"/>
            </w:tcBorders>
          </w:tcPr>
          <w:p w:rsidR="009C3D5F" w:rsidP="006330BC" w14:paraId="755DF412" w14:textId="0624C406">
            <w:pPr>
              <w:spacing w:after="0"/>
              <w:rPr>
                <w:sz w:val="20"/>
                <w:szCs w:val="20"/>
              </w:rPr>
            </w:pPr>
            <w:r>
              <w:rPr>
                <w:rFonts w:eastAsia="Calibri"/>
                <w:sz w:val="20"/>
                <w:szCs w:val="20"/>
              </w:rPr>
              <w:t xml:space="preserve">                                             </w:t>
            </w:r>
            <w:r w:rsidR="008636F0">
              <w:rPr>
                <w:rFonts w:eastAsia="Calibri"/>
                <w:sz w:val="20"/>
                <w:szCs w:val="20"/>
              </w:rPr>
              <w:t>64</w:t>
            </w:r>
          </w:p>
        </w:tc>
      </w:tr>
      <w:tr w14:paraId="12B00A6D" w14:textId="77777777" w:rsidTr="00925EE7">
        <w:tblPrEx>
          <w:tblW w:w="9080" w:type="dxa"/>
          <w:tblInd w:w="5" w:type="dxa"/>
          <w:tblLayout w:type="fixed"/>
          <w:tblLook w:val="04A0"/>
        </w:tblPrEx>
        <w:trPr>
          <w:trHeight w:val="233"/>
        </w:trPr>
        <w:tc>
          <w:tcPr>
            <w:tcW w:w="6290" w:type="dxa"/>
            <w:shd w:val="clear" w:color="auto" w:fill="FFFFFF" w:themeFill="background1"/>
          </w:tcPr>
          <w:p w:rsidR="009C3D5F" w:rsidRPr="00925EE7" w:rsidP="006330BC" w14:paraId="0340C93F" w14:textId="1ECC0EE2">
            <w:pPr>
              <w:spacing w:after="0"/>
              <w:rPr>
                <w:sz w:val="20"/>
                <w:szCs w:val="20"/>
              </w:rPr>
            </w:pPr>
            <w:r>
              <w:rPr>
                <w:sz w:val="20"/>
                <w:szCs w:val="20"/>
              </w:rPr>
              <w:t># of Corrective Action Plans</w:t>
            </w:r>
            <w:r w:rsidR="00F10B60">
              <w:rPr>
                <w:sz w:val="20"/>
                <w:szCs w:val="20"/>
              </w:rPr>
              <w:t xml:space="preserve"> (CAPs)</w:t>
            </w:r>
            <w:r w:rsidRPr="00925EE7">
              <w:rPr>
                <w:sz w:val="20"/>
                <w:szCs w:val="20"/>
              </w:rPr>
              <w:t xml:space="preserve"> (c)</w:t>
            </w:r>
          </w:p>
        </w:tc>
        <w:tc>
          <w:tcPr>
            <w:tcW w:w="2790" w:type="dxa"/>
            <w:shd w:val="clear" w:color="auto" w:fill="FFFFFF" w:themeFill="background1"/>
          </w:tcPr>
          <w:p w:rsidR="009C3D5F" w:rsidRPr="00925EE7" w:rsidP="006330BC" w14:paraId="67751EB8" w14:textId="278F5582">
            <w:pPr>
              <w:spacing w:after="0"/>
              <w:rPr>
                <w:rFonts w:eastAsia="Calibri"/>
                <w:sz w:val="20"/>
                <w:szCs w:val="20"/>
              </w:rPr>
            </w:pPr>
            <w:r>
              <w:rPr>
                <w:rFonts w:eastAsia="Calibri"/>
                <w:sz w:val="20"/>
                <w:szCs w:val="20"/>
              </w:rPr>
              <w:t xml:space="preserve">                                             </w:t>
            </w:r>
            <w:r w:rsidR="008636F0">
              <w:rPr>
                <w:rFonts w:eastAsia="Calibri"/>
                <w:sz w:val="20"/>
                <w:szCs w:val="20"/>
              </w:rPr>
              <w:t>24</w:t>
            </w:r>
          </w:p>
        </w:tc>
      </w:tr>
      <w:tr w14:paraId="3E9052AD" w14:textId="77777777" w:rsidTr="00925EE7">
        <w:tblPrEx>
          <w:tblW w:w="9080" w:type="dxa"/>
          <w:tblInd w:w="5" w:type="dxa"/>
          <w:tblLayout w:type="fixed"/>
          <w:tblLook w:val="04A0"/>
        </w:tblPrEx>
        <w:trPr>
          <w:trHeight w:val="233"/>
        </w:trPr>
        <w:tc>
          <w:tcPr>
            <w:tcW w:w="6290" w:type="dxa"/>
            <w:tcBorders>
              <w:bottom w:val="single" w:sz="4" w:space="0" w:color="auto"/>
            </w:tcBorders>
            <w:shd w:val="clear" w:color="auto" w:fill="auto"/>
          </w:tcPr>
          <w:p w:rsidR="009C3D5F" w:rsidRPr="007C52BE" w:rsidP="006330BC" w14:paraId="068CADED" w14:textId="57C7DBD9">
            <w:pPr>
              <w:spacing w:after="0"/>
              <w:rPr>
                <w:sz w:val="20"/>
                <w:szCs w:val="20"/>
              </w:rPr>
            </w:pPr>
            <w:r>
              <w:rPr>
                <w:sz w:val="20"/>
                <w:szCs w:val="20"/>
              </w:rPr>
              <w:t># of Transition Plans</w:t>
            </w:r>
            <w:r>
              <w:rPr>
                <w:sz w:val="20"/>
                <w:szCs w:val="20"/>
              </w:rPr>
              <w:t xml:space="preserve"> (d</w:t>
            </w:r>
            <w:r w:rsidRPr="007C52BE">
              <w:rPr>
                <w:sz w:val="20"/>
                <w:szCs w:val="20"/>
              </w:rPr>
              <w:t>)</w:t>
            </w:r>
          </w:p>
        </w:tc>
        <w:tc>
          <w:tcPr>
            <w:tcW w:w="2790" w:type="dxa"/>
            <w:tcBorders>
              <w:bottom w:val="single" w:sz="4" w:space="0" w:color="auto"/>
            </w:tcBorders>
          </w:tcPr>
          <w:p w:rsidR="009C3D5F" w:rsidP="006330BC" w14:paraId="5DF904A9" w14:textId="40D015EC">
            <w:pPr>
              <w:spacing w:after="0"/>
              <w:rPr>
                <w:sz w:val="20"/>
                <w:szCs w:val="20"/>
              </w:rPr>
            </w:pPr>
            <w:r>
              <w:rPr>
                <w:rFonts w:eastAsia="Calibri"/>
                <w:sz w:val="20"/>
                <w:szCs w:val="20"/>
              </w:rPr>
              <w:t xml:space="preserve">                                               </w:t>
            </w:r>
            <w:r w:rsidR="008636F0">
              <w:rPr>
                <w:rFonts w:eastAsia="Calibri"/>
                <w:sz w:val="20"/>
                <w:szCs w:val="20"/>
              </w:rPr>
              <w:t>9</w:t>
            </w:r>
          </w:p>
        </w:tc>
      </w:tr>
      <w:tr w14:paraId="0518BE0C" w14:textId="77777777" w:rsidTr="00925EE7">
        <w:tblPrEx>
          <w:tblW w:w="9080" w:type="dxa"/>
          <w:tblInd w:w="5" w:type="dxa"/>
          <w:tblLayout w:type="fixed"/>
          <w:tblLook w:val="04A0"/>
        </w:tblPrEx>
        <w:trPr>
          <w:trHeight w:val="233"/>
        </w:trPr>
        <w:tc>
          <w:tcPr>
            <w:tcW w:w="6290" w:type="dxa"/>
            <w:shd w:val="clear" w:color="auto" w:fill="E7E6E6" w:themeFill="background2"/>
            <w:hideMark/>
          </w:tcPr>
          <w:p w:rsidR="009C3D5F" w:rsidRPr="00925EE7" w:rsidP="006330BC" w14:paraId="41C0963B" w14:textId="3B2439C7">
            <w:pPr>
              <w:spacing w:after="0"/>
              <w:rPr>
                <w:b/>
                <w:bCs/>
                <w:sz w:val="20"/>
                <w:szCs w:val="20"/>
              </w:rPr>
            </w:pPr>
            <w:r w:rsidRPr="00925EE7">
              <w:rPr>
                <w:b/>
                <w:bCs/>
                <w:sz w:val="20"/>
                <w:szCs w:val="20"/>
              </w:rPr>
              <w:t xml:space="preserve">Total </w:t>
            </w:r>
            <w:r w:rsidRPr="00925EE7" w:rsidR="00F10B60">
              <w:rPr>
                <w:b/>
                <w:bCs/>
                <w:sz w:val="20"/>
                <w:szCs w:val="20"/>
              </w:rPr>
              <w:t>Respondents</w:t>
            </w:r>
            <w:r w:rsidRPr="00925EE7">
              <w:rPr>
                <w:b/>
                <w:bCs/>
                <w:sz w:val="20"/>
                <w:szCs w:val="20"/>
              </w:rPr>
              <w:t xml:space="preserve"> (e)</w:t>
            </w:r>
            <w:r w:rsidR="00FA1DF5">
              <w:rPr>
                <w:b/>
                <w:bCs/>
                <w:sz w:val="20"/>
                <w:szCs w:val="20"/>
              </w:rPr>
              <w:t xml:space="preserve"> = (a) + (b) + (c)</w:t>
            </w:r>
            <w:r w:rsidR="004C12FD">
              <w:rPr>
                <w:b/>
                <w:bCs/>
                <w:sz w:val="20"/>
                <w:szCs w:val="20"/>
              </w:rPr>
              <w:t xml:space="preserve"> + (d)</w:t>
            </w:r>
          </w:p>
        </w:tc>
        <w:tc>
          <w:tcPr>
            <w:tcW w:w="2790" w:type="dxa"/>
            <w:shd w:val="clear" w:color="auto" w:fill="E7E6E6" w:themeFill="background2"/>
          </w:tcPr>
          <w:p w:rsidR="009C3D5F" w:rsidRPr="00925EE7" w:rsidP="006330BC" w14:paraId="1450380B" w14:textId="50E91A20">
            <w:pPr>
              <w:spacing w:after="0"/>
              <w:rPr>
                <w:b/>
                <w:bCs/>
                <w:sz w:val="20"/>
                <w:szCs w:val="20"/>
              </w:rPr>
            </w:pPr>
            <w:r>
              <w:rPr>
                <w:rFonts w:eastAsia="Calibri"/>
                <w:b/>
                <w:bCs/>
                <w:sz w:val="20"/>
                <w:szCs w:val="20"/>
              </w:rPr>
              <w:t xml:space="preserve">                                           </w:t>
            </w:r>
            <w:r w:rsidRPr="00925EE7" w:rsidR="00D40851">
              <w:rPr>
                <w:rFonts w:eastAsia="Calibri"/>
                <w:b/>
                <w:bCs/>
                <w:sz w:val="20"/>
                <w:szCs w:val="20"/>
              </w:rPr>
              <w:t>1</w:t>
            </w:r>
            <w:r w:rsidR="008636F0">
              <w:rPr>
                <w:rFonts w:eastAsia="Calibri"/>
                <w:b/>
                <w:bCs/>
                <w:sz w:val="20"/>
                <w:szCs w:val="20"/>
              </w:rPr>
              <w:t>26</w:t>
            </w:r>
          </w:p>
        </w:tc>
      </w:tr>
    </w:tbl>
    <w:p w:rsidR="00E55187" w:rsidP="00CC5E5E" w14:paraId="597A2CE3" w14:textId="776DFFEA"/>
    <w:p w:rsidR="005437CB" w:rsidP="00C038CB" w14:paraId="61BEC30C" w14:textId="03AEAAAD">
      <w:pPr>
        <w:spacing w:after="0"/>
        <w:textAlignment w:val="baseline"/>
        <w:rPr>
          <w:color w:val="000000"/>
        </w:rPr>
      </w:pPr>
      <w:r>
        <w:rPr>
          <w:color w:val="000000"/>
        </w:rPr>
        <w:t>As shown in Table 8, f</w:t>
      </w:r>
      <w:r w:rsidRPr="00C038CB" w:rsidR="00C038CB">
        <w:rPr>
          <w:color w:val="000000"/>
        </w:rPr>
        <w:t>or the CY 202</w:t>
      </w:r>
      <w:r w:rsidR="00815465">
        <w:rPr>
          <w:color w:val="000000"/>
        </w:rPr>
        <w:t>4</w:t>
      </w:r>
      <w:r w:rsidRPr="00C038CB" w:rsidR="00C038CB">
        <w:rPr>
          <w:color w:val="000000"/>
        </w:rPr>
        <w:t xml:space="preserve"> performance period/202</w:t>
      </w:r>
      <w:r w:rsidR="00815465">
        <w:rPr>
          <w:color w:val="000000"/>
        </w:rPr>
        <w:t>6</w:t>
      </w:r>
      <w:r w:rsidRPr="00C038CB" w:rsidR="00C038CB">
        <w:rPr>
          <w:color w:val="000000"/>
        </w:rPr>
        <w:t xml:space="preserve"> MIPS payment year, in aggregate, the estimated annual burden </w:t>
      </w:r>
      <w:r w:rsidR="003B568B">
        <w:rPr>
          <w:color w:val="000000"/>
        </w:rPr>
        <w:t xml:space="preserve">to submit plan audits </w:t>
      </w:r>
      <w:r w:rsidR="00752D68">
        <w:rPr>
          <w:color w:val="000000"/>
        </w:rPr>
        <w:t>under</w:t>
      </w:r>
      <w:r w:rsidRPr="00C038CB" w:rsidR="00C038CB">
        <w:rPr>
          <w:color w:val="000000"/>
        </w:rPr>
        <w:t xml:space="preserve"> the simplified and full</w:t>
      </w:r>
      <w:r w:rsidR="00A17590">
        <w:rPr>
          <w:color w:val="000000"/>
        </w:rPr>
        <w:t xml:space="preserve"> </w:t>
      </w:r>
      <w:r w:rsidRPr="00C038CB" w:rsidR="00C038CB">
        <w:rPr>
          <w:color w:val="000000"/>
        </w:rPr>
        <w:t>self-</w:t>
      </w:r>
      <w:r w:rsidRPr="00C038CB" w:rsidR="00C038CB">
        <w:rPr>
          <w:color w:val="000000"/>
        </w:rPr>
        <w:t xml:space="preserve">nomination process will range from </w:t>
      </w:r>
      <w:r w:rsidR="00D16A71">
        <w:rPr>
          <w:color w:val="000000"/>
        </w:rPr>
        <w:t>354</w:t>
      </w:r>
      <w:r w:rsidRPr="00C038CB" w:rsidR="00C038CB">
        <w:rPr>
          <w:color w:val="000000"/>
        </w:rPr>
        <w:t xml:space="preserve"> hours to </w:t>
      </w:r>
      <w:r w:rsidR="00D16A71">
        <w:rPr>
          <w:color w:val="000000"/>
        </w:rPr>
        <w:t>499</w:t>
      </w:r>
      <w:r w:rsidRPr="00C038CB" w:rsidR="00C038CB">
        <w:rPr>
          <w:color w:val="000000"/>
        </w:rPr>
        <w:t xml:space="preserve"> hours at a cost ranging from $</w:t>
      </w:r>
      <w:r w:rsidR="00323BFB">
        <w:rPr>
          <w:color w:val="000000"/>
        </w:rPr>
        <w:t>36,604</w:t>
      </w:r>
      <w:r w:rsidRPr="00C038CB" w:rsidR="00C038CB">
        <w:rPr>
          <w:color w:val="000000"/>
        </w:rPr>
        <w:t xml:space="preserve"> (</w:t>
      </w:r>
      <w:r w:rsidR="00323BFB">
        <w:rPr>
          <w:color w:val="000000"/>
        </w:rPr>
        <w:t>354</w:t>
      </w:r>
      <w:r w:rsidRPr="00C038CB" w:rsidR="00C038CB">
        <w:rPr>
          <w:color w:val="000000"/>
        </w:rPr>
        <w:t xml:space="preserve"> hr x $</w:t>
      </w:r>
      <w:r w:rsidR="00A17590">
        <w:rPr>
          <w:color w:val="000000"/>
        </w:rPr>
        <w:t>103.40</w:t>
      </w:r>
      <w:r w:rsidRPr="00C038CB" w:rsidR="00C038CB">
        <w:rPr>
          <w:color w:val="000000"/>
        </w:rPr>
        <w:t xml:space="preserve"> /hr) and $</w:t>
      </w:r>
      <w:r w:rsidR="00323BFB">
        <w:rPr>
          <w:color w:val="000000"/>
        </w:rPr>
        <w:t>51,597</w:t>
      </w:r>
      <w:r w:rsidRPr="00C038CB" w:rsidR="00C038CB">
        <w:rPr>
          <w:color w:val="000000"/>
        </w:rPr>
        <w:t xml:space="preserve"> (</w:t>
      </w:r>
      <w:r w:rsidR="00323BFB">
        <w:rPr>
          <w:color w:val="000000"/>
        </w:rPr>
        <w:t>499</w:t>
      </w:r>
      <w:r w:rsidRPr="00C038CB" w:rsidR="00C038CB">
        <w:rPr>
          <w:color w:val="000000"/>
        </w:rPr>
        <w:t xml:space="preserve"> hr x $</w:t>
      </w:r>
      <w:r w:rsidR="00A17590">
        <w:rPr>
          <w:color w:val="000000"/>
        </w:rPr>
        <w:t>103.40</w:t>
      </w:r>
      <w:r w:rsidRPr="00C038CB" w:rsidR="00C038CB">
        <w:rPr>
          <w:color w:val="000000"/>
        </w:rPr>
        <w:t xml:space="preserve"> /hr), respectively.</w:t>
      </w:r>
    </w:p>
    <w:p w:rsidR="00C038CB" w:rsidRPr="00C038CB" w:rsidP="00740907" w14:paraId="6B530959" w14:textId="0D8D3F52">
      <w:pPr>
        <w:spacing w:before="200" w:after="0"/>
        <w:jc w:val="center"/>
        <w:textAlignment w:val="baseline"/>
        <w:rPr>
          <w:rFonts w:ascii="Segoe UI" w:hAnsi="Segoe UI" w:cs="Segoe UI"/>
          <w:sz w:val="18"/>
          <w:szCs w:val="18"/>
        </w:rPr>
      </w:pPr>
      <w:r w:rsidRPr="00C038CB">
        <w:rPr>
          <w:b/>
          <w:bCs/>
          <w:color w:val="000000"/>
        </w:rPr>
        <w:t xml:space="preserve">TABLE </w:t>
      </w:r>
      <w:r w:rsidR="00815465">
        <w:rPr>
          <w:b/>
          <w:bCs/>
          <w:color w:val="000000"/>
        </w:rPr>
        <w:t>8</w:t>
      </w:r>
      <w:r w:rsidRPr="00A65A41">
        <w:rPr>
          <w:b/>
          <w:bCs/>
          <w:color w:val="000000"/>
        </w:rPr>
        <w:t>:</w:t>
      </w:r>
      <w:r w:rsidRPr="00C038CB">
        <w:rPr>
          <w:b/>
          <w:bCs/>
          <w:color w:val="000000"/>
        </w:rPr>
        <w:t xml:space="preserve"> Estimated Burden for Third Party Intermediary Plan Audits</w:t>
      </w:r>
      <w:r w:rsidRPr="00C038CB">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20"/>
        <w:gridCol w:w="1234"/>
        <w:gridCol w:w="1190"/>
      </w:tblGrid>
      <w:tr w14:paraId="2C0EBD50" w14:textId="77777777" w:rsidTr="005A00DB">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540"/>
          <w:tblHeader/>
        </w:trPr>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6B9A7E4F" w14:textId="77777777">
            <w:pPr>
              <w:spacing w:after="0"/>
              <w:textAlignment w:val="baseline"/>
            </w:pPr>
            <w:r w:rsidRPr="00C038CB">
              <w:rPr>
                <w:b/>
                <w:bCs/>
                <w:color w:val="000000"/>
                <w:sz w:val="20"/>
                <w:szCs w:val="20"/>
              </w:rPr>
              <w:t>Burden and Respondent Descriptions</w:t>
            </w:r>
            <w:r w:rsidRPr="00C038CB">
              <w:rPr>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3D29BA" w:rsidP="00C038CB" w14:paraId="20EC9AF5" w14:textId="183E9E8E">
            <w:pPr>
              <w:spacing w:after="0"/>
              <w:jc w:val="center"/>
              <w:textAlignment w:val="baseline"/>
              <w:rPr>
                <w:b/>
                <w:bCs/>
              </w:rPr>
            </w:pPr>
            <w:r w:rsidRPr="003D29BA">
              <w:rPr>
                <w:b/>
                <w:bCs/>
                <w:color w:val="000000"/>
                <w:sz w:val="20"/>
                <w:szCs w:val="20"/>
              </w:rPr>
              <w:t>Simplified</w:t>
            </w:r>
            <w:r>
              <w:rPr>
                <w:b/>
                <w:bCs/>
                <w:color w:val="000000"/>
                <w:sz w:val="20"/>
                <w:szCs w:val="20"/>
              </w:rPr>
              <w:t xml:space="preserve"> Process</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3D29BA" w:rsidP="00C038CB" w14:paraId="30015F07" w14:textId="28D264F8">
            <w:pPr>
              <w:spacing w:after="0"/>
              <w:jc w:val="center"/>
              <w:textAlignment w:val="baseline"/>
              <w:rPr>
                <w:b/>
                <w:bCs/>
              </w:rPr>
            </w:pPr>
            <w:r w:rsidRPr="003D29BA">
              <w:rPr>
                <w:b/>
                <w:bCs/>
                <w:color w:val="000000"/>
                <w:sz w:val="20"/>
                <w:szCs w:val="20"/>
              </w:rPr>
              <w:t>Full</w:t>
            </w:r>
            <w:r>
              <w:rPr>
                <w:b/>
                <w:bCs/>
                <w:color w:val="000000"/>
                <w:sz w:val="20"/>
                <w:szCs w:val="20"/>
              </w:rPr>
              <w:t xml:space="preserve"> Process</w:t>
            </w:r>
          </w:p>
        </w:tc>
      </w:tr>
      <w:tr w14:paraId="02B7C9B3" w14:textId="77777777" w:rsidTr="005A00DB">
        <w:tblPrEx>
          <w:tblW w:w="0" w:type="dxa"/>
          <w:tblCellMar>
            <w:left w:w="0" w:type="dxa"/>
            <w:right w:w="0" w:type="dxa"/>
          </w:tblCellMar>
          <w:tblLook w:val="04A0"/>
        </w:tblPrEx>
        <w:trPr>
          <w:cantSplit/>
          <w:trHeight w:val="255"/>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144C08BC" w14:textId="77777777">
            <w:pPr>
              <w:spacing w:after="0"/>
              <w:textAlignment w:val="baseline"/>
            </w:pPr>
            <w:r w:rsidRPr="00C038CB">
              <w:rPr>
                <w:color w:val="000000"/>
                <w:sz w:val="20"/>
                <w:szCs w:val="20"/>
              </w:rPr>
              <w:t># of Hours per Completion of Targeted Audit (a)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43F7C8E6" w14:textId="77777777">
            <w:pPr>
              <w:spacing w:after="0"/>
              <w:jc w:val="center"/>
              <w:textAlignment w:val="baseline"/>
            </w:pPr>
            <w:r w:rsidRPr="00C038CB">
              <w:rPr>
                <w:color w:val="000000"/>
                <w:sz w:val="20"/>
                <w:szCs w:val="20"/>
              </w:rPr>
              <w:t>5 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13E2E6AA" w14:textId="77777777">
            <w:pPr>
              <w:spacing w:after="0"/>
              <w:jc w:val="center"/>
              <w:textAlignment w:val="baseline"/>
            </w:pPr>
            <w:r w:rsidRPr="00C038CB">
              <w:rPr>
                <w:color w:val="000000"/>
                <w:sz w:val="20"/>
                <w:szCs w:val="20"/>
              </w:rPr>
              <w:t>10 </w:t>
            </w:r>
          </w:p>
        </w:tc>
      </w:tr>
      <w:tr w14:paraId="6CDE2531" w14:textId="77777777" w:rsidTr="00B936AA">
        <w:tblPrEx>
          <w:tblW w:w="0" w:type="dxa"/>
          <w:tblCellMar>
            <w:left w:w="0" w:type="dxa"/>
            <w:right w:w="0" w:type="dxa"/>
          </w:tblCellMar>
          <w:tblLook w:val="04A0"/>
        </w:tblPrEx>
        <w:trPr>
          <w:cantSplit/>
          <w:trHeight w:val="255"/>
        </w:trPr>
        <w:tc>
          <w:tcPr>
            <w:tcW w:w="7365"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5FC18582" w14:textId="626FB159">
            <w:pPr>
              <w:spacing w:after="0"/>
              <w:textAlignment w:val="baseline"/>
            </w:pPr>
            <w:r w:rsidRPr="00C038CB">
              <w:rPr>
                <w:b/>
                <w:bCs/>
                <w:color w:val="000000"/>
                <w:sz w:val="20"/>
                <w:szCs w:val="20"/>
              </w:rPr>
              <w:t xml:space="preserve">Total Annual Hours for Completion of </w:t>
            </w:r>
            <w:r w:rsidR="00752D68">
              <w:rPr>
                <w:b/>
                <w:bCs/>
                <w:color w:val="000000"/>
                <w:sz w:val="20"/>
                <w:szCs w:val="20"/>
              </w:rPr>
              <w:t xml:space="preserve">29 </w:t>
            </w:r>
            <w:r w:rsidRPr="00C038CB">
              <w:rPr>
                <w:b/>
                <w:bCs/>
                <w:color w:val="000000"/>
                <w:sz w:val="20"/>
                <w:szCs w:val="20"/>
              </w:rPr>
              <w:t>Targeted Audits (b)</w:t>
            </w:r>
            <w:r w:rsidRPr="00C038CB">
              <w:rPr>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1E2BAFE3" w14:textId="71F3882F">
            <w:pPr>
              <w:spacing w:after="0"/>
              <w:jc w:val="center"/>
              <w:textAlignment w:val="baseline"/>
            </w:pPr>
            <w:r>
              <w:rPr>
                <w:b/>
                <w:bCs/>
                <w:color w:val="000000"/>
                <w:sz w:val="20"/>
                <w:szCs w:val="20"/>
              </w:rPr>
              <w:t>1</w:t>
            </w:r>
            <w:r w:rsidR="001F090F">
              <w:rPr>
                <w:b/>
                <w:bCs/>
                <w:sz w:val="20"/>
                <w:szCs w:val="20"/>
              </w:rPr>
              <w:t>4</w:t>
            </w:r>
            <w:r w:rsidR="00A17590">
              <w:rPr>
                <w:b/>
                <w:bCs/>
                <w:sz w:val="20"/>
                <w:szCs w:val="20"/>
              </w:rPr>
              <w:t>5</w:t>
            </w:r>
            <w:r w:rsidRPr="00C038CB">
              <w:rPr>
                <w:color w:val="000000"/>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0D0751EA" w14:textId="23AE1E6D">
            <w:pPr>
              <w:spacing w:after="0"/>
              <w:jc w:val="center"/>
              <w:textAlignment w:val="baseline"/>
            </w:pPr>
            <w:r>
              <w:rPr>
                <w:b/>
                <w:bCs/>
                <w:sz w:val="20"/>
                <w:szCs w:val="20"/>
              </w:rPr>
              <w:t>29</w:t>
            </w:r>
            <w:r w:rsidRPr="00C038CB">
              <w:rPr>
                <w:b/>
                <w:bCs/>
                <w:color w:val="000000"/>
                <w:sz w:val="20"/>
                <w:szCs w:val="20"/>
              </w:rPr>
              <w:t>0</w:t>
            </w:r>
            <w:r w:rsidRPr="00C038CB">
              <w:rPr>
                <w:color w:val="000000"/>
                <w:sz w:val="20"/>
                <w:szCs w:val="20"/>
              </w:rPr>
              <w:t> </w:t>
            </w:r>
          </w:p>
        </w:tc>
      </w:tr>
      <w:tr w14:paraId="12A67434" w14:textId="77777777" w:rsidTr="005A00DB">
        <w:tblPrEx>
          <w:tblW w:w="0" w:type="dxa"/>
          <w:tblCellMar>
            <w:left w:w="0" w:type="dxa"/>
            <w:right w:w="0" w:type="dxa"/>
          </w:tblCellMar>
          <w:tblLook w:val="04A0"/>
        </w:tblPrEx>
        <w:trPr>
          <w:cantSplit/>
          <w:trHeight w:val="255"/>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2145C8EE" w14:textId="77777777">
            <w:pPr>
              <w:spacing w:after="0"/>
              <w:textAlignment w:val="baseline"/>
            </w:pPr>
            <w:r w:rsidRPr="00C038CB">
              <w:rPr>
                <w:color w:val="000000"/>
                <w:sz w:val="20"/>
                <w:szCs w:val="20"/>
              </w:rPr>
              <w:t># of Hours per Submission of Participation Plan (c)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0D3A1D51" w14:textId="69D1FB22">
            <w:pPr>
              <w:spacing w:after="0"/>
              <w:jc w:val="center"/>
              <w:textAlignment w:val="baseline"/>
            </w:pPr>
            <w:r>
              <w:rPr>
                <w:color w:val="000000"/>
                <w:sz w:val="20"/>
                <w:szCs w:val="20"/>
              </w:rPr>
              <w:t>2</w:t>
            </w:r>
            <w:r w:rsidRPr="00C038CB">
              <w:rPr>
                <w:color w:val="000000"/>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09837183" w14:textId="379C48C1">
            <w:pPr>
              <w:spacing w:after="0"/>
              <w:jc w:val="center"/>
              <w:textAlignment w:val="baseline"/>
            </w:pPr>
            <w:r>
              <w:rPr>
                <w:color w:val="000000"/>
                <w:sz w:val="20"/>
                <w:szCs w:val="20"/>
              </w:rPr>
              <w:t>2</w:t>
            </w:r>
          </w:p>
        </w:tc>
      </w:tr>
      <w:tr w14:paraId="724ACCDF" w14:textId="77777777" w:rsidTr="00B936AA">
        <w:tblPrEx>
          <w:tblW w:w="0" w:type="dxa"/>
          <w:tblCellMar>
            <w:left w:w="0" w:type="dxa"/>
            <w:right w:w="0" w:type="dxa"/>
          </w:tblCellMar>
          <w:tblLook w:val="04A0"/>
        </w:tblPrEx>
        <w:trPr>
          <w:cantSplit/>
          <w:trHeight w:val="255"/>
        </w:trPr>
        <w:tc>
          <w:tcPr>
            <w:tcW w:w="7365"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16C4988E" w14:textId="6DB52F9D">
            <w:pPr>
              <w:spacing w:after="0"/>
              <w:textAlignment w:val="baseline"/>
            </w:pPr>
            <w:r w:rsidRPr="00C038CB">
              <w:rPr>
                <w:b/>
                <w:bCs/>
                <w:color w:val="000000"/>
                <w:sz w:val="20"/>
                <w:szCs w:val="20"/>
              </w:rPr>
              <w:t xml:space="preserve">Total Annual Hours for Submission of </w:t>
            </w:r>
            <w:r w:rsidR="00752D68">
              <w:rPr>
                <w:b/>
                <w:bCs/>
                <w:sz w:val="20"/>
                <w:szCs w:val="20"/>
              </w:rPr>
              <w:t>64</w:t>
            </w:r>
            <w:r w:rsidRPr="00C038CB">
              <w:rPr>
                <w:b/>
                <w:bCs/>
                <w:color w:val="000000"/>
                <w:sz w:val="20"/>
                <w:szCs w:val="20"/>
              </w:rPr>
              <w:t xml:space="preserve"> Participation Plans</w:t>
            </w:r>
            <w:r w:rsidRPr="00C038CB">
              <w:rPr>
                <w:color w:val="000000"/>
                <w:sz w:val="20"/>
                <w:szCs w:val="20"/>
              </w:rPr>
              <w:t xml:space="preserve"> (d) </w:t>
            </w:r>
          </w:p>
        </w:tc>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0F1D32C4" w14:textId="5639560D">
            <w:pPr>
              <w:spacing w:after="0"/>
              <w:jc w:val="center"/>
              <w:textAlignment w:val="baseline"/>
            </w:pPr>
            <w:r>
              <w:rPr>
                <w:color w:val="000000"/>
                <w:sz w:val="20"/>
                <w:szCs w:val="20"/>
              </w:rPr>
              <w:t>12</w:t>
            </w:r>
            <w:r w:rsidR="00290F48">
              <w:rPr>
                <w:color w:val="000000"/>
                <w:sz w:val="20"/>
                <w:szCs w:val="20"/>
              </w:rPr>
              <w:t>8</w:t>
            </w:r>
          </w:p>
        </w:tc>
        <w:tc>
          <w:tcPr>
            <w:tcW w:w="12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6E313F00" w14:textId="58A18052">
            <w:pPr>
              <w:spacing w:after="0"/>
              <w:jc w:val="center"/>
              <w:textAlignment w:val="baseline"/>
            </w:pPr>
            <w:r>
              <w:rPr>
                <w:b/>
                <w:bCs/>
                <w:sz w:val="20"/>
                <w:szCs w:val="20"/>
              </w:rPr>
              <w:t>1</w:t>
            </w:r>
            <w:r w:rsidR="00290F48">
              <w:rPr>
                <w:b/>
                <w:bCs/>
                <w:sz w:val="20"/>
                <w:szCs w:val="20"/>
              </w:rPr>
              <w:t>28</w:t>
            </w:r>
            <w:r w:rsidRPr="00C038CB">
              <w:rPr>
                <w:color w:val="000000"/>
                <w:sz w:val="20"/>
                <w:szCs w:val="20"/>
              </w:rPr>
              <w:t> </w:t>
            </w:r>
          </w:p>
        </w:tc>
      </w:tr>
      <w:tr w14:paraId="2BB9BE49" w14:textId="77777777" w:rsidTr="005A00DB">
        <w:tblPrEx>
          <w:tblW w:w="0" w:type="dxa"/>
          <w:tblCellMar>
            <w:left w:w="0" w:type="dxa"/>
            <w:right w:w="0" w:type="dxa"/>
          </w:tblCellMar>
          <w:tblLook w:val="04A0"/>
        </w:tblPrEx>
        <w:trPr>
          <w:cantSplit/>
          <w:trHeight w:val="165"/>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3AA27A2D" w14:textId="77777777">
            <w:pPr>
              <w:spacing w:after="0"/>
              <w:textAlignment w:val="baseline"/>
            </w:pPr>
            <w:r w:rsidRPr="00C038CB">
              <w:rPr>
                <w:color w:val="000000"/>
                <w:sz w:val="20"/>
                <w:szCs w:val="20"/>
              </w:rPr>
              <w:t># of Hours per Submission of CAP (e)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0635F13C" w14:textId="77777777">
            <w:pPr>
              <w:spacing w:after="0"/>
              <w:jc w:val="center"/>
              <w:textAlignment w:val="baseline"/>
            </w:pPr>
            <w:r w:rsidRPr="00C038CB">
              <w:rPr>
                <w:color w:val="000000"/>
                <w:sz w:val="20"/>
                <w:szCs w:val="20"/>
              </w:rPr>
              <w:t>3 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5E7438F4" w14:textId="77777777">
            <w:pPr>
              <w:spacing w:after="0"/>
              <w:jc w:val="center"/>
              <w:textAlignment w:val="baseline"/>
            </w:pPr>
            <w:r w:rsidRPr="00C038CB">
              <w:rPr>
                <w:color w:val="000000"/>
                <w:sz w:val="20"/>
                <w:szCs w:val="20"/>
              </w:rPr>
              <w:t>3 </w:t>
            </w:r>
          </w:p>
        </w:tc>
      </w:tr>
      <w:tr w14:paraId="31EC7574" w14:textId="77777777" w:rsidTr="00B936AA">
        <w:tblPrEx>
          <w:tblW w:w="0" w:type="dxa"/>
          <w:tblCellMar>
            <w:left w:w="0" w:type="dxa"/>
            <w:right w:w="0" w:type="dxa"/>
          </w:tblCellMar>
          <w:tblLook w:val="04A0"/>
        </w:tblPrEx>
        <w:trPr>
          <w:cantSplit/>
          <w:trHeight w:val="255"/>
        </w:trPr>
        <w:tc>
          <w:tcPr>
            <w:tcW w:w="7365"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0FC5C19A" w14:textId="7FA995F6">
            <w:pPr>
              <w:spacing w:after="0"/>
              <w:textAlignment w:val="baseline"/>
            </w:pPr>
            <w:r w:rsidRPr="00C038CB">
              <w:rPr>
                <w:b/>
                <w:bCs/>
                <w:color w:val="000000"/>
                <w:sz w:val="20"/>
                <w:szCs w:val="20"/>
              </w:rPr>
              <w:t xml:space="preserve">Total Annual Hours for Submission of </w:t>
            </w:r>
            <w:r w:rsidR="00752D68">
              <w:rPr>
                <w:b/>
                <w:bCs/>
                <w:color w:val="000000"/>
                <w:sz w:val="20"/>
                <w:szCs w:val="20"/>
              </w:rPr>
              <w:t>24</w:t>
            </w:r>
            <w:r w:rsidR="00A17590">
              <w:rPr>
                <w:b/>
                <w:bCs/>
                <w:color w:val="000000"/>
                <w:sz w:val="20"/>
                <w:szCs w:val="20"/>
              </w:rPr>
              <w:t xml:space="preserve"> </w:t>
            </w:r>
            <w:r w:rsidRPr="00C038CB">
              <w:rPr>
                <w:b/>
                <w:bCs/>
                <w:color w:val="000000"/>
                <w:sz w:val="20"/>
                <w:szCs w:val="20"/>
              </w:rPr>
              <w:t>CAPs (f)</w:t>
            </w:r>
            <w:r w:rsidRPr="00C038CB">
              <w:rPr>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rsidR="00C038CB" w:rsidRPr="003D29BA" w:rsidP="00C038CB" w14:paraId="30A0E492" w14:textId="27EAF01C">
            <w:pPr>
              <w:spacing w:after="0"/>
              <w:jc w:val="center"/>
              <w:textAlignment w:val="baseline"/>
              <w:rPr>
                <w:b/>
                <w:bCs/>
              </w:rPr>
            </w:pPr>
            <w:r>
              <w:rPr>
                <w:b/>
                <w:bCs/>
                <w:color w:val="000000"/>
                <w:sz w:val="20"/>
                <w:szCs w:val="20"/>
              </w:rPr>
              <w:t>72</w:t>
            </w:r>
          </w:p>
        </w:tc>
        <w:tc>
          <w:tcPr>
            <w:tcW w:w="120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rsidR="00C038CB" w:rsidRPr="003D29BA" w:rsidP="00C038CB" w14:paraId="276D94A6" w14:textId="7B0A31AB">
            <w:pPr>
              <w:spacing w:after="0"/>
              <w:jc w:val="center"/>
              <w:textAlignment w:val="baseline"/>
              <w:rPr>
                <w:b/>
                <w:bCs/>
              </w:rPr>
            </w:pPr>
            <w:r>
              <w:rPr>
                <w:b/>
                <w:bCs/>
                <w:color w:val="000000"/>
                <w:sz w:val="20"/>
                <w:szCs w:val="20"/>
              </w:rPr>
              <w:t>72</w:t>
            </w:r>
          </w:p>
        </w:tc>
      </w:tr>
      <w:tr w14:paraId="5766971A" w14:textId="77777777" w:rsidTr="005A00DB">
        <w:tblPrEx>
          <w:tblW w:w="0" w:type="dxa"/>
          <w:tblCellMar>
            <w:left w:w="0" w:type="dxa"/>
            <w:right w:w="0" w:type="dxa"/>
          </w:tblCellMar>
          <w:tblLook w:val="04A0"/>
        </w:tblPrEx>
        <w:trPr>
          <w:cantSplit/>
          <w:trHeight w:val="255"/>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5762B21D" w14:textId="77777777">
            <w:pPr>
              <w:spacing w:after="0"/>
              <w:textAlignment w:val="baseline"/>
            </w:pPr>
            <w:r w:rsidRPr="00C038CB">
              <w:rPr>
                <w:color w:val="000000"/>
                <w:sz w:val="20"/>
                <w:szCs w:val="20"/>
              </w:rPr>
              <w:t># of Hours per Submission of Transition Plan (g)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0057ED9D" w14:textId="77777777">
            <w:pPr>
              <w:spacing w:after="0"/>
              <w:jc w:val="center"/>
              <w:textAlignment w:val="baseline"/>
            </w:pPr>
            <w:r w:rsidRPr="00C038CB">
              <w:rPr>
                <w:color w:val="000000"/>
                <w:sz w:val="20"/>
                <w:szCs w:val="20"/>
              </w:rPr>
              <w:t>1 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484342CD" w14:textId="77777777">
            <w:pPr>
              <w:spacing w:after="0"/>
              <w:jc w:val="center"/>
              <w:textAlignment w:val="baseline"/>
            </w:pPr>
            <w:r w:rsidRPr="00C038CB">
              <w:rPr>
                <w:color w:val="000000"/>
                <w:sz w:val="20"/>
                <w:szCs w:val="20"/>
              </w:rPr>
              <w:t>1 </w:t>
            </w:r>
          </w:p>
        </w:tc>
      </w:tr>
      <w:tr w14:paraId="23365814" w14:textId="77777777" w:rsidTr="005A00DB">
        <w:tblPrEx>
          <w:tblW w:w="0" w:type="dxa"/>
          <w:tblCellMar>
            <w:left w:w="0" w:type="dxa"/>
            <w:right w:w="0" w:type="dxa"/>
          </w:tblCellMar>
          <w:tblLook w:val="04A0"/>
        </w:tblPrEx>
        <w:trPr>
          <w:cantSplit/>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15BFA680" w14:textId="5120629C">
            <w:pPr>
              <w:spacing w:after="0"/>
              <w:textAlignment w:val="baseline"/>
            </w:pPr>
            <w:r w:rsidRPr="00C038CB">
              <w:rPr>
                <w:b/>
                <w:bCs/>
                <w:color w:val="000000"/>
                <w:sz w:val="20"/>
                <w:szCs w:val="20"/>
              </w:rPr>
              <w:t xml:space="preserve">Total Annual Hours for Submission of </w:t>
            </w:r>
            <w:r w:rsidR="00752D68">
              <w:rPr>
                <w:b/>
                <w:bCs/>
                <w:color w:val="000000"/>
                <w:sz w:val="20"/>
                <w:szCs w:val="20"/>
              </w:rPr>
              <w:t>9</w:t>
            </w:r>
            <w:r w:rsidRPr="00C038CB">
              <w:rPr>
                <w:b/>
                <w:bCs/>
                <w:color w:val="000000"/>
                <w:sz w:val="20"/>
                <w:szCs w:val="20"/>
              </w:rPr>
              <w:t xml:space="preserve"> Transition Plans (h)</w:t>
            </w:r>
            <w:r w:rsidRPr="00C038CB">
              <w:rPr>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3D29BA" w:rsidP="00C038CB" w14:paraId="74633F1C" w14:textId="6273CD51">
            <w:pPr>
              <w:spacing w:after="0"/>
              <w:jc w:val="center"/>
              <w:textAlignment w:val="baseline"/>
              <w:rPr>
                <w:b/>
                <w:bCs/>
              </w:rPr>
            </w:pPr>
            <w:r>
              <w:rPr>
                <w:b/>
                <w:bCs/>
                <w:color w:val="000000"/>
                <w:sz w:val="20"/>
                <w:szCs w:val="20"/>
              </w:rPr>
              <w:t>9</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3D29BA" w:rsidP="00C038CB" w14:paraId="1E79015F" w14:textId="0F9883AE">
            <w:pPr>
              <w:spacing w:after="0"/>
              <w:jc w:val="center"/>
              <w:textAlignment w:val="baseline"/>
              <w:rPr>
                <w:b/>
                <w:bCs/>
              </w:rPr>
            </w:pPr>
            <w:r>
              <w:rPr>
                <w:b/>
                <w:bCs/>
                <w:color w:val="000000"/>
                <w:sz w:val="20"/>
                <w:szCs w:val="20"/>
              </w:rPr>
              <w:t>9</w:t>
            </w:r>
          </w:p>
        </w:tc>
      </w:tr>
      <w:tr w14:paraId="63C256BB" w14:textId="77777777" w:rsidTr="005A00DB">
        <w:tblPrEx>
          <w:tblW w:w="0" w:type="dxa"/>
          <w:tblCellMar>
            <w:left w:w="0" w:type="dxa"/>
            <w:right w:w="0" w:type="dxa"/>
          </w:tblCellMar>
          <w:tblLook w:val="04A0"/>
        </w:tblPrEx>
        <w:trPr>
          <w:cantSplit/>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76DDC470" w14:textId="77777777">
            <w:pPr>
              <w:spacing w:after="0"/>
              <w:textAlignment w:val="baseline"/>
            </w:pPr>
            <w:r w:rsidRPr="00C038CB">
              <w:rPr>
                <w:b/>
                <w:bCs/>
                <w:color w:val="000000"/>
                <w:sz w:val="20"/>
                <w:szCs w:val="20"/>
              </w:rPr>
              <w:t>Total Annual Hours for Submission of Plan Audits (i) = (b) + (d) + (f) + (h)</w:t>
            </w:r>
            <w:r w:rsidRPr="00C038CB">
              <w:rPr>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0E399A" w:rsidP="00C038CB" w14:paraId="34C60056" w14:textId="4FD1A6B1">
            <w:pPr>
              <w:spacing w:after="0"/>
              <w:jc w:val="center"/>
              <w:textAlignment w:val="baseline"/>
              <w:rPr>
                <w:b/>
                <w:bCs/>
              </w:rPr>
            </w:pPr>
            <w:r>
              <w:rPr>
                <w:b/>
                <w:bCs/>
                <w:sz w:val="20"/>
                <w:szCs w:val="20"/>
              </w:rPr>
              <w:t>354</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3D29BA" w:rsidP="00C038CB" w14:paraId="2B07C2A1" w14:textId="38F4BF39">
            <w:pPr>
              <w:spacing w:after="0"/>
              <w:jc w:val="center"/>
              <w:textAlignment w:val="baseline"/>
              <w:rPr>
                <w:b/>
                <w:bCs/>
              </w:rPr>
            </w:pPr>
            <w:r>
              <w:rPr>
                <w:b/>
                <w:bCs/>
                <w:color w:val="000000"/>
                <w:sz w:val="20"/>
                <w:szCs w:val="20"/>
              </w:rPr>
              <w:t>499</w:t>
            </w:r>
          </w:p>
        </w:tc>
      </w:tr>
      <w:tr w14:paraId="2936C487" w14:textId="77777777" w:rsidTr="005A00DB">
        <w:tblPrEx>
          <w:tblW w:w="0" w:type="dxa"/>
          <w:tblCellMar>
            <w:left w:w="0" w:type="dxa"/>
            <w:right w:w="0" w:type="dxa"/>
          </w:tblCellMar>
          <w:tblLook w:val="04A0"/>
        </w:tblPrEx>
        <w:trPr>
          <w:cantSplit/>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31861F46" w14:textId="0E01DE17">
            <w:pPr>
              <w:spacing w:after="0"/>
              <w:textAlignment w:val="baseline"/>
            </w:pPr>
            <w:r w:rsidRPr="00C038CB">
              <w:rPr>
                <w:color w:val="000000"/>
                <w:sz w:val="20"/>
                <w:szCs w:val="20"/>
              </w:rPr>
              <w:t>Cost Per Targeted Audit (@ computer systems analyst’s labor rate of $</w:t>
            </w:r>
            <w:r w:rsidR="00A17590">
              <w:rPr>
                <w:color w:val="000000"/>
                <w:sz w:val="20"/>
                <w:szCs w:val="20"/>
              </w:rPr>
              <w:t>103.40</w:t>
            </w:r>
            <w:r w:rsidRPr="00C038CB">
              <w:rPr>
                <w:color w:val="000000"/>
                <w:sz w:val="20"/>
                <w:szCs w:val="20"/>
              </w:rPr>
              <w:t xml:space="preserve">/hr) (j) = (a) </w:t>
            </w:r>
            <w:r w:rsidR="00873289">
              <w:rPr>
                <w:color w:val="000000"/>
                <w:sz w:val="20"/>
                <w:szCs w:val="20"/>
              </w:rPr>
              <w:t>[</w:t>
            </w:r>
            <w:r w:rsidRPr="002D011C" w:rsidR="002D011C">
              <w:rPr>
                <w:color w:val="000000"/>
                <w:sz w:val="20"/>
                <w:szCs w:val="20"/>
              </w:rPr>
              <w:t>x</w:t>
            </w:r>
            <w:r w:rsidR="00873289">
              <w:rPr>
                <w:color w:val="000000"/>
                <w:sz w:val="20"/>
                <w:szCs w:val="20"/>
              </w:rPr>
              <w:t>]</w:t>
            </w:r>
            <w:r w:rsidRPr="002D011C" w:rsidR="002D011C">
              <w:rPr>
                <w:color w:val="000000"/>
                <w:sz w:val="20"/>
                <w:szCs w:val="20"/>
              </w:rPr>
              <w:t xml:space="preserve"> </w:t>
            </w:r>
            <w:r w:rsidRPr="00C038CB">
              <w:rPr>
                <w:color w:val="000000"/>
                <w:sz w:val="20"/>
                <w:szCs w:val="20"/>
              </w:rPr>
              <w:t>$</w:t>
            </w:r>
            <w:r w:rsidR="00731EB2">
              <w:rPr>
                <w:color w:val="000000"/>
                <w:sz w:val="20"/>
                <w:szCs w:val="20"/>
              </w:rPr>
              <w:t>103.40</w:t>
            </w:r>
            <w:r w:rsidRPr="00C038CB">
              <w:rPr>
                <w:color w:val="000000"/>
                <w:sz w:val="20"/>
                <w:szCs w:val="20"/>
              </w:rPr>
              <w:t>/hr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016A8405" w14:textId="78B1D15F">
            <w:pPr>
              <w:spacing w:after="0"/>
              <w:jc w:val="center"/>
              <w:textAlignment w:val="baseline"/>
            </w:pPr>
            <w:r w:rsidRPr="00C038CB">
              <w:rPr>
                <w:color w:val="000000"/>
                <w:sz w:val="20"/>
                <w:szCs w:val="20"/>
              </w:rPr>
              <w:t>$</w:t>
            </w:r>
            <w:r w:rsidR="001C5B06">
              <w:rPr>
                <w:color w:val="000000"/>
                <w:sz w:val="20"/>
                <w:szCs w:val="20"/>
              </w:rPr>
              <w:t>517</w:t>
            </w:r>
            <w:r w:rsidRPr="00C038CB">
              <w:rPr>
                <w:color w:val="000000"/>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6E576125" w14:textId="58BA327B">
            <w:pPr>
              <w:spacing w:after="0"/>
              <w:jc w:val="center"/>
              <w:textAlignment w:val="baseline"/>
            </w:pPr>
            <w:r w:rsidRPr="00C038CB">
              <w:rPr>
                <w:color w:val="000000"/>
                <w:sz w:val="20"/>
                <w:szCs w:val="20"/>
              </w:rPr>
              <w:t>$</w:t>
            </w:r>
            <w:r w:rsidR="001C5B06">
              <w:rPr>
                <w:color w:val="000000"/>
                <w:sz w:val="20"/>
                <w:szCs w:val="20"/>
              </w:rPr>
              <w:t>1,034</w:t>
            </w:r>
          </w:p>
        </w:tc>
      </w:tr>
      <w:tr w14:paraId="3F427A56" w14:textId="77777777" w:rsidTr="005A00DB">
        <w:tblPrEx>
          <w:tblW w:w="0" w:type="dxa"/>
          <w:tblCellMar>
            <w:left w:w="0" w:type="dxa"/>
            <w:right w:w="0" w:type="dxa"/>
          </w:tblCellMar>
          <w:tblLook w:val="04A0"/>
        </w:tblPrEx>
        <w:trPr>
          <w:cantSplit/>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351E2644" w14:textId="0982CDC5">
            <w:pPr>
              <w:spacing w:after="0"/>
              <w:textAlignment w:val="baseline"/>
            </w:pPr>
            <w:r w:rsidRPr="00C038CB">
              <w:rPr>
                <w:color w:val="000000"/>
                <w:sz w:val="20"/>
                <w:szCs w:val="20"/>
              </w:rPr>
              <w:t>Cost Per Participation Plan (@ computer systems analyst’s labor rate of $</w:t>
            </w:r>
            <w:r w:rsidR="00A17590">
              <w:rPr>
                <w:color w:val="000000"/>
                <w:sz w:val="20"/>
                <w:szCs w:val="20"/>
              </w:rPr>
              <w:t>103.40</w:t>
            </w:r>
            <w:r w:rsidRPr="00C038CB">
              <w:rPr>
                <w:color w:val="000000"/>
                <w:sz w:val="20"/>
                <w:szCs w:val="20"/>
              </w:rPr>
              <w:t xml:space="preserve">/hr) (k) = (c) </w:t>
            </w:r>
            <w:r w:rsidR="00873289">
              <w:rPr>
                <w:color w:val="000000"/>
                <w:sz w:val="20"/>
                <w:szCs w:val="20"/>
              </w:rPr>
              <w:t>[</w:t>
            </w:r>
            <w:r w:rsidRPr="002D011C" w:rsidR="002D011C">
              <w:rPr>
                <w:color w:val="000000"/>
                <w:sz w:val="20"/>
                <w:szCs w:val="20"/>
              </w:rPr>
              <w:t>x</w:t>
            </w:r>
            <w:r w:rsidR="00873289">
              <w:rPr>
                <w:color w:val="000000"/>
                <w:sz w:val="20"/>
                <w:szCs w:val="20"/>
              </w:rPr>
              <w:t>]</w:t>
            </w:r>
            <w:r w:rsidRPr="002D011C" w:rsidR="002D011C">
              <w:rPr>
                <w:color w:val="000000"/>
                <w:sz w:val="20"/>
                <w:szCs w:val="20"/>
              </w:rPr>
              <w:t xml:space="preserve"> </w:t>
            </w:r>
            <w:r w:rsidRPr="00C038CB">
              <w:rPr>
                <w:color w:val="000000"/>
                <w:sz w:val="20"/>
                <w:szCs w:val="20"/>
              </w:rPr>
              <w:t>$</w:t>
            </w:r>
            <w:r w:rsidR="00731EB2">
              <w:rPr>
                <w:color w:val="000000"/>
                <w:sz w:val="20"/>
                <w:szCs w:val="20"/>
              </w:rPr>
              <w:t>103.40</w:t>
            </w:r>
            <w:r w:rsidRPr="00C038CB">
              <w:rPr>
                <w:color w:val="000000"/>
                <w:sz w:val="20"/>
                <w:szCs w:val="20"/>
              </w:rPr>
              <w:t>/hr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60AED385" w14:textId="0A142A37">
            <w:pPr>
              <w:spacing w:after="0"/>
              <w:jc w:val="center"/>
              <w:textAlignment w:val="baseline"/>
            </w:pPr>
            <w:r w:rsidRPr="00C038CB">
              <w:rPr>
                <w:color w:val="000000"/>
                <w:sz w:val="20"/>
                <w:szCs w:val="20"/>
              </w:rPr>
              <w:t>$</w:t>
            </w:r>
            <w:r w:rsidR="007B7E1C">
              <w:rPr>
                <w:color w:val="000000"/>
                <w:sz w:val="20"/>
                <w:szCs w:val="20"/>
              </w:rPr>
              <w:t>206</w:t>
            </w:r>
            <w:r w:rsidR="001C5B06">
              <w:rPr>
                <w:color w:val="000000"/>
                <w:sz w:val="20"/>
                <w:szCs w:val="20"/>
              </w:rPr>
              <w:t>.</w:t>
            </w:r>
            <w:r w:rsidR="007B7E1C">
              <w:rPr>
                <w:color w:val="000000"/>
                <w:sz w:val="20"/>
                <w:szCs w:val="20"/>
              </w:rPr>
              <w:t>8</w:t>
            </w:r>
            <w:r w:rsidR="001C5B06">
              <w:rPr>
                <w:color w:val="000000"/>
                <w:sz w:val="20"/>
                <w:szCs w:val="20"/>
              </w:rPr>
              <w:t>0</w:t>
            </w:r>
            <w:r w:rsidRPr="00C038CB">
              <w:rPr>
                <w:color w:val="000000"/>
                <w:sz w:val="20"/>
                <w:szCs w:val="20"/>
              </w:rPr>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2DF586D6" w14:textId="2FE6C639">
            <w:pPr>
              <w:spacing w:after="0"/>
              <w:jc w:val="center"/>
              <w:textAlignment w:val="baseline"/>
            </w:pPr>
            <w:r w:rsidRPr="00C038CB">
              <w:rPr>
                <w:color w:val="000000"/>
                <w:sz w:val="20"/>
                <w:szCs w:val="20"/>
              </w:rPr>
              <w:t>$</w:t>
            </w:r>
            <w:r w:rsidR="007B7E1C">
              <w:rPr>
                <w:color w:val="000000"/>
                <w:sz w:val="20"/>
                <w:szCs w:val="20"/>
              </w:rPr>
              <w:t>206</w:t>
            </w:r>
            <w:r w:rsidR="001C5B06">
              <w:rPr>
                <w:color w:val="000000"/>
                <w:sz w:val="20"/>
                <w:szCs w:val="20"/>
              </w:rPr>
              <w:t>.</w:t>
            </w:r>
            <w:r w:rsidR="007B7E1C">
              <w:rPr>
                <w:color w:val="000000"/>
                <w:sz w:val="20"/>
                <w:szCs w:val="20"/>
              </w:rPr>
              <w:t>8</w:t>
            </w:r>
            <w:r w:rsidR="001C5B06">
              <w:rPr>
                <w:color w:val="000000"/>
                <w:sz w:val="20"/>
                <w:szCs w:val="20"/>
              </w:rPr>
              <w:t>0</w:t>
            </w:r>
          </w:p>
        </w:tc>
      </w:tr>
      <w:tr w14:paraId="3A9FD379" w14:textId="77777777" w:rsidTr="005A00DB">
        <w:tblPrEx>
          <w:tblW w:w="0" w:type="dxa"/>
          <w:tblCellMar>
            <w:left w:w="0" w:type="dxa"/>
            <w:right w:w="0" w:type="dxa"/>
          </w:tblCellMar>
          <w:tblLook w:val="04A0"/>
        </w:tblPrEx>
        <w:trPr>
          <w:cantSplit/>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745C10BA" w14:textId="0CBF1A6D">
            <w:pPr>
              <w:spacing w:after="0"/>
              <w:textAlignment w:val="baseline"/>
            </w:pPr>
            <w:r w:rsidRPr="00C038CB">
              <w:rPr>
                <w:color w:val="000000"/>
                <w:sz w:val="20"/>
                <w:szCs w:val="20"/>
              </w:rPr>
              <w:t>Cost per CAP (@ computer systems analyst’s labor rate of $</w:t>
            </w:r>
            <w:r w:rsidR="00731EB2">
              <w:rPr>
                <w:color w:val="000000"/>
                <w:sz w:val="20"/>
                <w:szCs w:val="20"/>
              </w:rPr>
              <w:t>103.40</w:t>
            </w:r>
            <w:r w:rsidRPr="00C038CB">
              <w:rPr>
                <w:color w:val="000000"/>
                <w:sz w:val="20"/>
                <w:szCs w:val="20"/>
              </w:rPr>
              <w:t xml:space="preserve">/hr) (l) = (e) </w:t>
            </w:r>
            <w:r w:rsidR="00873289">
              <w:rPr>
                <w:color w:val="000000"/>
                <w:sz w:val="20"/>
                <w:szCs w:val="20"/>
              </w:rPr>
              <w:t>[</w:t>
            </w:r>
            <w:r w:rsidRPr="002D011C" w:rsidR="002D011C">
              <w:rPr>
                <w:color w:val="000000"/>
                <w:sz w:val="20"/>
                <w:szCs w:val="20"/>
              </w:rPr>
              <w:t>x</w:t>
            </w:r>
            <w:r w:rsidR="00873289">
              <w:rPr>
                <w:color w:val="000000"/>
                <w:sz w:val="20"/>
                <w:szCs w:val="20"/>
              </w:rPr>
              <w:t>]</w:t>
            </w:r>
            <w:r w:rsidRPr="002D011C" w:rsidR="002D011C">
              <w:rPr>
                <w:color w:val="000000"/>
                <w:sz w:val="20"/>
                <w:szCs w:val="20"/>
              </w:rPr>
              <w:t xml:space="preserve"> </w:t>
            </w:r>
            <w:r w:rsidRPr="00C038CB">
              <w:rPr>
                <w:color w:val="000000"/>
                <w:sz w:val="20"/>
                <w:szCs w:val="20"/>
              </w:rPr>
              <w:t>$</w:t>
            </w:r>
            <w:r w:rsidR="00A17590">
              <w:rPr>
                <w:color w:val="000000"/>
                <w:sz w:val="20"/>
                <w:szCs w:val="20"/>
              </w:rPr>
              <w:t>103.40</w:t>
            </w:r>
            <w:r w:rsidRPr="00C038CB">
              <w:rPr>
                <w:color w:val="000000"/>
                <w:sz w:val="20"/>
                <w:szCs w:val="20"/>
              </w:rPr>
              <w:t>/hr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0AFAA776" w14:textId="1A656EDD">
            <w:pPr>
              <w:spacing w:after="0"/>
              <w:jc w:val="center"/>
              <w:textAlignment w:val="baseline"/>
            </w:pPr>
            <w:r w:rsidRPr="00C038CB">
              <w:rPr>
                <w:color w:val="000000"/>
                <w:sz w:val="20"/>
                <w:szCs w:val="20"/>
              </w:rPr>
              <w:t>$</w:t>
            </w:r>
            <w:r w:rsidR="001C5B06">
              <w:rPr>
                <w:color w:val="000000"/>
                <w:sz w:val="20"/>
                <w:szCs w:val="20"/>
              </w:rPr>
              <w:t>310.20</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4CF6FEF5" w14:textId="405ACEA8">
            <w:pPr>
              <w:spacing w:after="0"/>
              <w:jc w:val="center"/>
              <w:textAlignment w:val="baseline"/>
            </w:pPr>
            <w:r w:rsidRPr="00C038CB">
              <w:rPr>
                <w:color w:val="000000"/>
                <w:sz w:val="20"/>
                <w:szCs w:val="20"/>
              </w:rPr>
              <w:t>$</w:t>
            </w:r>
            <w:r w:rsidR="001C5B06">
              <w:rPr>
                <w:color w:val="000000"/>
                <w:sz w:val="20"/>
                <w:szCs w:val="20"/>
              </w:rPr>
              <w:t>310.20</w:t>
            </w:r>
          </w:p>
        </w:tc>
      </w:tr>
      <w:tr w14:paraId="28FDC183" w14:textId="77777777" w:rsidTr="005A00DB">
        <w:tblPrEx>
          <w:tblW w:w="0" w:type="dxa"/>
          <w:tblCellMar>
            <w:left w:w="0" w:type="dxa"/>
            <w:right w:w="0" w:type="dxa"/>
          </w:tblCellMar>
          <w:tblLook w:val="04A0"/>
        </w:tblPrEx>
        <w:trPr>
          <w:cantSplit/>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C038CB" w:rsidRPr="00C038CB" w:rsidP="00C038CB" w14:paraId="208093F6" w14:textId="5D6169EB">
            <w:pPr>
              <w:spacing w:after="0"/>
              <w:textAlignment w:val="baseline"/>
            </w:pPr>
            <w:r w:rsidRPr="00C038CB">
              <w:rPr>
                <w:color w:val="000000"/>
                <w:sz w:val="20"/>
                <w:szCs w:val="20"/>
              </w:rPr>
              <w:t>Cost per Transition Plan @computer systems analyst’s labor rate of $</w:t>
            </w:r>
            <w:r w:rsidR="00731EB2">
              <w:rPr>
                <w:color w:val="000000"/>
                <w:sz w:val="20"/>
                <w:szCs w:val="20"/>
              </w:rPr>
              <w:t>103.40</w:t>
            </w:r>
            <w:r w:rsidRPr="00C038CB">
              <w:rPr>
                <w:color w:val="000000"/>
                <w:sz w:val="20"/>
                <w:szCs w:val="20"/>
              </w:rPr>
              <w:t xml:space="preserve">/hr (m) = (g) </w:t>
            </w:r>
            <w:r w:rsidR="00873289">
              <w:rPr>
                <w:color w:val="000000"/>
                <w:sz w:val="20"/>
                <w:szCs w:val="20"/>
              </w:rPr>
              <w:t>[</w:t>
            </w:r>
            <w:r w:rsidRPr="002D011C" w:rsidR="002D011C">
              <w:rPr>
                <w:color w:val="000000"/>
                <w:sz w:val="20"/>
                <w:szCs w:val="20"/>
              </w:rPr>
              <w:t>x</w:t>
            </w:r>
            <w:r w:rsidR="00873289">
              <w:rPr>
                <w:color w:val="000000"/>
                <w:sz w:val="20"/>
                <w:szCs w:val="20"/>
              </w:rPr>
              <w:t>]</w:t>
            </w:r>
            <w:r w:rsidRPr="002D011C" w:rsidR="002D011C">
              <w:rPr>
                <w:color w:val="000000"/>
                <w:sz w:val="20"/>
                <w:szCs w:val="20"/>
              </w:rPr>
              <w:t xml:space="preserve"> </w:t>
            </w:r>
            <w:r w:rsidRPr="00C038CB">
              <w:rPr>
                <w:color w:val="000000"/>
                <w:sz w:val="20"/>
                <w:szCs w:val="20"/>
              </w:rPr>
              <w:t>$</w:t>
            </w:r>
            <w:r w:rsidR="00A17590">
              <w:rPr>
                <w:color w:val="000000"/>
                <w:sz w:val="20"/>
                <w:szCs w:val="20"/>
              </w:rPr>
              <w:t>103.40</w:t>
            </w:r>
            <w:r w:rsidRPr="00C038CB">
              <w:rPr>
                <w:color w:val="000000"/>
                <w:sz w:val="20"/>
                <w:szCs w:val="20"/>
              </w:rPr>
              <w:t>/hr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7FB91762" w14:textId="7D294D22">
            <w:pPr>
              <w:spacing w:after="0"/>
              <w:jc w:val="center"/>
              <w:textAlignment w:val="baseline"/>
            </w:pPr>
            <w:r w:rsidRPr="00C038CB">
              <w:rPr>
                <w:color w:val="000000"/>
                <w:sz w:val="20"/>
                <w:szCs w:val="20"/>
              </w:rPr>
              <w:t>$</w:t>
            </w:r>
            <w:r w:rsidR="001C5B06">
              <w:rPr>
                <w:color w:val="000000"/>
                <w:sz w:val="20"/>
                <w:szCs w:val="20"/>
              </w:rPr>
              <w:t>103.40</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038CB" w:rsidRPr="00C038CB" w:rsidP="00C038CB" w14:paraId="7AC314B1" w14:textId="34811FB7">
            <w:pPr>
              <w:spacing w:after="0"/>
              <w:jc w:val="center"/>
              <w:textAlignment w:val="baseline"/>
            </w:pPr>
            <w:r w:rsidRPr="00C038CB">
              <w:rPr>
                <w:color w:val="000000"/>
                <w:sz w:val="20"/>
                <w:szCs w:val="20"/>
              </w:rPr>
              <w:t>$</w:t>
            </w:r>
            <w:r w:rsidR="001C5B06">
              <w:rPr>
                <w:color w:val="000000"/>
                <w:sz w:val="20"/>
                <w:szCs w:val="20"/>
              </w:rPr>
              <w:t>103.40</w:t>
            </w:r>
          </w:p>
        </w:tc>
      </w:tr>
      <w:tr w14:paraId="4487E4F0" w14:textId="77777777" w:rsidTr="00B936AA">
        <w:tblPrEx>
          <w:tblW w:w="0" w:type="dxa"/>
          <w:tblCellMar>
            <w:left w:w="0" w:type="dxa"/>
            <w:right w:w="0" w:type="dxa"/>
          </w:tblCellMar>
          <w:tblLook w:val="04A0"/>
        </w:tblPrEx>
        <w:trPr>
          <w:cantSplit/>
          <w:trHeight w:val="225"/>
        </w:trPr>
        <w:tc>
          <w:tcPr>
            <w:tcW w:w="7365"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29F59821" w14:textId="5B37025B">
            <w:pPr>
              <w:spacing w:after="0"/>
              <w:textAlignment w:val="baseline"/>
            </w:pPr>
            <w:r w:rsidRPr="00C038CB">
              <w:rPr>
                <w:b/>
                <w:bCs/>
                <w:color w:val="000000"/>
                <w:sz w:val="20"/>
                <w:szCs w:val="20"/>
              </w:rPr>
              <w:t xml:space="preserve">Total Annual Cost (n) = </w:t>
            </w:r>
            <w:r w:rsidR="005A7EC2">
              <w:rPr>
                <w:b/>
                <w:bCs/>
                <w:sz w:val="20"/>
                <w:szCs w:val="20"/>
              </w:rPr>
              <w:t>29</w:t>
            </w:r>
            <w:r w:rsidRPr="00C038CB">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w:t>
            </w:r>
            <w:r w:rsidRPr="002D011C" w:rsidR="002D011C">
              <w:rPr>
                <w:b/>
                <w:bCs/>
                <w:color w:val="000000"/>
                <w:sz w:val="20"/>
                <w:szCs w:val="20"/>
              </w:rPr>
              <w:t xml:space="preserve"> </w:t>
            </w:r>
            <w:r w:rsidRPr="00C038CB">
              <w:rPr>
                <w:b/>
                <w:bCs/>
                <w:color w:val="000000"/>
                <w:sz w:val="20"/>
                <w:szCs w:val="20"/>
              </w:rPr>
              <w:t xml:space="preserve">(j) + </w:t>
            </w:r>
            <w:r w:rsidR="005A7EC2">
              <w:rPr>
                <w:b/>
                <w:bCs/>
                <w:sz w:val="20"/>
                <w:szCs w:val="20"/>
              </w:rPr>
              <w:t>64</w:t>
            </w:r>
            <w:r w:rsidRPr="00C038CB">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w:t>
            </w:r>
            <w:r w:rsidRPr="00C038CB">
              <w:rPr>
                <w:b/>
                <w:bCs/>
                <w:color w:val="000000"/>
                <w:sz w:val="20"/>
                <w:szCs w:val="20"/>
              </w:rPr>
              <w:t xml:space="preserve"> (k) + </w:t>
            </w:r>
            <w:r w:rsidR="005A7EC2">
              <w:rPr>
                <w:b/>
                <w:bCs/>
                <w:color w:val="000000"/>
                <w:sz w:val="20"/>
                <w:szCs w:val="20"/>
              </w:rPr>
              <w:t>24</w:t>
            </w:r>
            <w:r w:rsidRPr="00C038CB">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 xml:space="preserve">] </w:t>
            </w:r>
            <w:r w:rsidRPr="00C038CB">
              <w:rPr>
                <w:b/>
                <w:bCs/>
                <w:color w:val="000000"/>
                <w:sz w:val="20"/>
                <w:szCs w:val="20"/>
              </w:rPr>
              <w:t xml:space="preserve">(l) + </w:t>
            </w:r>
            <w:r w:rsidR="005A7EC2">
              <w:rPr>
                <w:b/>
                <w:bCs/>
                <w:color w:val="000000"/>
                <w:sz w:val="20"/>
                <w:szCs w:val="20"/>
              </w:rPr>
              <w:t>9</w:t>
            </w:r>
            <w:r w:rsidR="001C5B06">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w:t>
            </w:r>
            <w:r w:rsidRPr="00C038CB">
              <w:rPr>
                <w:b/>
                <w:bCs/>
                <w:color w:val="000000"/>
                <w:sz w:val="20"/>
                <w:szCs w:val="20"/>
              </w:rPr>
              <w:t xml:space="preserve"> (m) </w:t>
            </w:r>
            <w:r w:rsidR="001C5B06">
              <w:rPr>
                <w:b/>
                <w:bCs/>
                <w:color w:val="000000"/>
                <w:sz w:val="20"/>
                <w:szCs w:val="20"/>
              </w:rPr>
              <w:t xml:space="preserve">(simplified) </w:t>
            </w:r>
            <w:r w:rsidRPr="00C038CB">
              <w:rPr>
                <w:b/>
                <w:bCs/>
                <w:color w:val="000000"/>
                <w:sz w:val="20"/>
                <w:szCs w:val="20"/>
              </w:rPr>
              <w:t xml:space="preserve">and </w:t>
            </w:r>
            <w:r w:rsidR="005A7EC2">
              <w:rPr>
                <w:b/>
                <w:bCs/>
                <w:sz w:val="20"/>
                <w:szCs w:val="20"/>
              </w:rPr>
              <w:t>29</w:t>
            </w:r>
            <w:r w:rsidRPr="00C038CB">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w:t>
            </w:r>
            <w:r w:rsidRPr="00C038CB">
              <w:rPr>
                <w:b/>
                <w:bCs/>
                <w:color w:val="000000"/>
                <w:sz w:val="20"/>
                <w:szCs w:val="20"/>
              </w:rPr>
              <w:t xml:space="preserve"> (j) + </w:t>
            </w:r>
            <w:r w:rsidR="005A7EC2">
              <w:rPr>
                <w:b/>
                <w:bCs/>
                <w:sz w:val="20"/>
                <w:szCs w:val="20"/>
              </w:rPr>
              <w:t>64</w:t>
            </w:r>
            <w:r w:rsidRPr="00C038CB">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 xml:space="preserve">] </w:t>
            </w:r>
            <w:r w:rsidRPr="00C038CB">
              <w:rPr>
                <w:b/>
                <w:bCs/>
                <w:color w:val="000000"/>
                <w:sz w:val="20"/>
                <w:szCs w:val="20"/>
              </w:rPr>
              <w:t xml:space="preserve">(k) + </w:t>
            </w:r>
            <w:r w:rsidR="005A7EC2">
              <w:rPr>
                <w:b/>
                <w:bCs/>
                <w:color w:val="000000"/>
                <w:sz w:val="20"/>
                <w:szCs w:val="20"/>
              </w:rPr>
              <w:t>24</w:t>
            </w:r>
            <w:r w:rsidRPr="00C038CB">
              <w:rPr>
                <w:b/>
                <w:bCs/>
                <w:color w:val="000000"/>
                <w:sz w:val="20"/>
                <w:szCs w:val="20"/>
              </w:rPr>
              <w:t xml:space="preserve"> </w:t>
            </w:r>
            <w:r w:rsidR="00873289">
              <w:rPr>
                <w:b/>
                <w:bCs/>
                <w:color w:val="000000"/>
                <w:sz w:val="20"/>
                <w:szCs w:val="20"/>
              </w:rPr>
              <w:t>[</w:t>
            </w:r>
            <w:r w:rsidRPr="002D011C" w:rsidR="002D011C">
              <w:rPr>
                <w:b/>
                <w:bCs/>
                <w:color w:val="000000"/>
                <w:sz w:val="20"/>
                <w:szCs w:val="20"/>
              </w:rPr>
              <w:t>x</w:t>
            </w:r>
            <w:r w:rsidR="00873289">
              <w:rPr>
                <w:b/>
                <w:bCs/>
                <w:color w:val="000000"/>
                <w:sz w:val="20"/>
                <w:szCs w:val="20"/>
              </w:rPr>
              <w:t>]</w:t>
            </w:r>
            <w:r w:rsidRPr="002D011C" w:rsidR="002D011C">
              <w:rPr>
                <w:b/>
                <w:bCs/>
                <w:color w:val="000000"/>
                <w:sz w:val="20"/>
                <w:szCs w:val="20"/>
              </w:rPr>
              <w:t xml:space="preserve"> </w:t>
            </w:r>
            <w:r w:rsidRPr="00C038CB">
              <w:rPr>
                <w:b/>
                <w:bCs/>
                <w:color w:val="000000"/>
                <w:sz w:val="20"/>
                <w:szCs w:val="20"/>
              </w:rPr>
              <w:t xml:space="preserve">(l) + </w:t>
            </w:r>
            <w:r w:rsidR="005A7EC2">
              <w:rPr>
                <w:b/>
                <w:bCs/>
                <w:color w:val="000000"/>
                <w:sz w:val="20"/>
                <w:szCs w:val="20"/>
              </w:rPr>
              <w:t>9</w:t>
            </w:r>
            <w:r w:rsidRPr="00C038CB">
              <w:rPr>
                <w:b/>
                <w:bCs/>
                <w:color w:val="000000"/>
                <w:sz w:val="20"/>
                <w:szCs w:val="20"/>
              </w:rPr>
              <w:t xml:space="preserve"> </w:t>
            </w:r>
            <w:r w:rsidR="00A63C3A">
              <w:rPr>
                <w:b/>
                <w:bCs/>
                <w:color w:val="000000"/>
                <w:sz w:val="20"/>
                <w:szCs w:val="20"/>
              </w:rPr>
              <w:t xml:space="preserve">[x] </w:t>
            </w:r>
            <w:r w:rsidRPr="00C038CB">
              <w:rPr>
                <w:b/>
                <w:bCs/>
                <w:color w:val="000000"/>
                <w:sz w:val="20"/>
                <w:szCs w:val="20"/>
              </w:rPr>
              <w:t>(m)</w:t>
            </w:r>
            <w:r w:rsidR="001C5B06">
              <w:rPr>
                <w:b/>
                <w:bCs/>
                <w:color w:val="000000"/>
                <w:sz w:val="20"/>
                <w:szCs w:val="20"/>
              </w:rPr>
              <w:t xml:space="preserve"> (full)</w:t>
            </w:r>
          </w:p>
        </w:tc>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4DDA0626" w14:textId="1FA69044">
            <w:pPr>
              <w:spacing w:after="0"/>
              <w:jc w:val="center"/>
              <w:textAlignment w:val="baseline"/>
            </w:pPr>
            <w:r w:rsidRPr="00C038CB">
              <w:rPr>
                <w:b/>
                <w:bCs/>
                <w:color w:val="000000"/>
                <w:sz w:val="20"/>
                <w:szCs w:val="20"/>
              </w:rPr>
              <w:t>$</w:t>
            </w:r>
            <w:r w:rsidR="00267E26">
              <w:rPr>
                <w:b/>
                <w:bCs/>
                <w:color w:val="000000"/>
                <w:sz w:val="20"/>
                <w:szCs w:val="20"/>
              </w:rPr>
              <w:t>36,604</w:t>
            </w:r>
          </w:p>
        </w:tc>
        <w:tc>
          <w:tcPr>
            <w:tcW w:w="12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rsidR="00C038CB" w:rsidRPr="00C038CB" w:rsidP="00C038CB" w14:paraId="402AC9AE" w14:textId="53F940FE">
            <w:pPr>
              <w:spacing w:after="0"/>
              <w:textAlignment w:val="baseline"/>
            </w:pPr>
            <w:r w:rsidRPr="00C038CB">
              <w:rPr>
                <w:b/>
                <w:bCs/>
                <w:color w:val="000000"/>
                <w:sz w:val="20"/>
                <w:szCs w:val="20"/>
              </w:rPr>
              <w:t> </w:t>
            </w:r>
            <w:r w:rsidR="001C5B06">
              <w:rPr>
                <w:b/>
                <w:bCs/>
                <w:color w:val="000000"/>
                <w:sz w:val="20"/>
                <w:szCs w:val="20"/>
              </w:rPr>
              <w:t xml:space="preserve">      </w:t>
            </w:r>
            <w:r w:rsidRPr="00C038CB">
              <w:rPr>
                <w:b/>
                <w:bCs/>
                <w:color w:val="000000"/>
                <w:sz w:val="20"/>
                <w:szCs w:val="20"/>
              </w:rPr>
              <w:t xml:space="preserve"> $</w:t>
            </w:r>
            <w:r w:rsidR="00267E26">
              <w:rPr>
                <w:b/>
                <w:bCs/>
                <w:color w:val="000000"/>
                <w:sz w:val="20"/>
                <w:szCs w:val="20"/>
              </w:rPr>
              <w:t>51,597</w:t>
            </w:r>
          </w:p>
        </w:tc>
      </w:tr>
    </w:tbl>
    <w:p w:rsidR="00C038CB" w:rsidRPr="00234D99" w:rsidP="006C4F1A" w14:paraId="51FFBCAD" w14:textId="77777777"/>
    <w:p w:rsidR="002A669C" w:rsidRPr="00041A6A" w:rsidP="0011028A" w14:paraId="14BACB7A" w14:textId="4EB086EF">
      <w:pPr>
        <w:pStyle w:val="Heading3"/>
      </w:pPr>
      <w:r>
        <w:t xml:space="preserve">Burden Estimate for the </w:t>
      </w:r>
      <w:r w:rsidRPr="00041A6A">
        <w:t xml:space="preserve">Open Authorization </w:t>
      </w:r>
      <w:r w:rsidRPr="00041A6A" w:rsidR="00360243">
        <w:t xml:space="preserve">(OAuth) </w:t>
      </w:r>
      <w:r w:rsidRPr="00041A6A">
        <w:t>Credentialing and Token Request Process</w:t>
      </w:r>
    </w:p>
    <w:p w:rsidR="002A669C" w:rsidP="002A669C" w14:paraId="07174314" w14:textId="5450DB26">
      <w:r>
        <w:t>T</w:t>
      </w:r>
      <w:r w:rsidR="00E933A5">
        <w:t xml:space="preserve">he </w:t>
      </w:r>
      <w:r w:rsidR="00F45B05">
        <w:t xml:space="preserve">OAuth Credentialing and </w:t>
      </w:r>
      <w:r w:rsidR="007F2C6B">
        <w:t xml:space="preserve">Token Request Process </w:t>
      </w:r>
      <w:r w:rsidR="00BF7A88">
        <w:t xml:space="preserve">is available to all </w:t>
      </w:r>
      <w:r w:rsidR="00AC5FEC">
        <w:t>submitter type</w:t>
      </w:r>
      <w:r w:rsidR="002A537D">
        <w:t xml:space="preserve">s </w:t>
      </w:r>
      <w:r w:rsidR="00990EFA">
        <w:t>who are approved to submit data via the direct submission type.</w:t>
      </w:r>
      <w:r w:rsidR="00925227">
        <w:t xml:space="preserve"> </w:t>
      </w:r>
      <w:r>
        <w:t xml:space="preserve">Individual </w:t>
      </w:r>
      <w:r w:rsidRPr="003B2895" w:rsidR="003B2895">
        <w:t>clinicians or groups may submit their quality measures using the direct submission type via the MIPS CQM</w:t>
      </w:r>
      <w:r w:rsidR="00DD147F">
        <w:t xml:space="preserve">, </w:t>
      </w:r>
      <w:r w:rsidRPr="003B2895" w:rsidR="003B2895">
        <w:t xml:space="preserve">QCDR or eCQM collection types as well as their Promoting Interoperability measures and improvement activities through the same direct submission type. </w:t>
      </w:r>
      <w:r w:rsidRPr="00E12445" w:rsidR="00E12445">
        <w:t>The burden associated with this ICR belongs only to the application developer; QPP participants will not be required to do anything additional to submit their data. For third party intermediaries, OAuth Credentialing will allow QPP participants to use their own QPP credentials to login through the third</w:t>
      </w:r>
      <w:r w:rsidR="00EC3279">
        <w:t>-</w:t>
      </w:r>
      <w:r w:rsidRPr="00E12445" w:rsidR="00E12445">
        <w:t>party intermediary’s application to submit their data and view performance feedback from QPP</w:t>
      </w:r>
      <w:r w:rsidR="00E12445">
        <w:t>.</w:t>
      </w:r>
      <w:r>
        <w:t xml:space="preserve"> </w:t>
      </w:r>
      <w:r w:rsidRPr="00397C02" w:rsidR="00397C02">
        <w:t>Entities that receive approval for their applications through this process will be able to provide QPP participants a more comprehensive and less administratively burdensome experience using the direct submission type</w:t>
      </w:r>
      <w:r>
        <w:t xml:space="preserve">.  </w:t>
      </w:r>
    </w:p>
    <w:p w:rsidR="002A669C" w:rsidRPr="002A669C" w:rsidP="002A669C" w14:paraId="363367DF" w14:textId="3CF42908">
      <w:r>
        <w:t xml:space="preserve">As shown in Table </w:t>
      </w:r>
      <w:r w:rsidR="00CF2335">
        <w:t>9</w:t>
      </w:r>
      <w:r>
        <w:t>, w</w:t>
      </w:r>
      <w:r>
        <w:t xml:space="preserve">e </w:t>
      </w:r>
      <w:r w:rsidR="007B7A7B">
        <w:t xml:space="preserve">estimate </w:t>
      </w:r>
      <w:r w:rsidR="00DF3AC7">
        <w:t>that we will receive</w:t>
      </w:r>
      <w:r w:rsidR="00976E76">
        <w:t xml:space="preserve"> </w:t>
      </w:r>
      <w:r w:rsidR="00EE368E">
        <w:t xml:space="preserve">15 </w:t>
      </w:r>
      <w:r w:rsidR="00FD4AF2">
        <w:t>requests</w:t>
      </w:r>
      <w:r w:rsidR="008E692F">
        <w:t xml:space="preserve"> to complete this process </w:t>
      </w:r>
      <w:r>
        <w:t xml:space="preserve">for the </w:t>
      </w:r>
      <w:r w:rsidR="00135074">
        <w:t xml:space="preserve">CY </w:t>
      </w:r>
      <w:r>
        <w:t>202</w:t>
      </w:r>
      <w:r w:rsidR="00A1167F">
        <w:t>4</w:t>
      </w:r>
      <w:r>
        <w:t xml:space="preserve"> performance period</w:t>
      </w:r>
      <w:r w:rsidR="00135074">
        <w:t>/202</w:t>
      </w:r>
      <w:r w:rsidR="00A1167F">
        <w:t>6</w:t>
      </w:r>
      <w:r w:rsidR="00135074">
        <w:t xml:space="preserve"> MIPS payment year</w:t>
      </w:r>
      <w:r w:rsidR="00135A30">
        <w:t>.</w:t>
      </w:r>
      <w:r>
        <w:t xml:space="preserve"> </w:t>
      </w:r>
      <w:r w:rsidR="00A1167F">
        <w:t>We estimate that it would take 2 hours at $103.40/hr for a computer systems analyst (or their equivalent) to complete the process, resulting in an estimated cost of $206.</w:t>
      </w:r>
      <w:r w:rsidR="002B3F87">
        <w:t>8</w:t>
      </w:r>
      <w:r w:rsidR="00A1167F">
        <w:t xml:space="preserve">0 (2 hours x $103.40/hr) per response. </w:t>
      </w:r>
      <w:r w:rsidR="00135A30">
        <w:t>In aggregate</w:t>
      </w:r>
      <w:r>
        <w:t xml:space="preserve">, </w:t>
      </w:r>
      <w:r w:rsidR="00A1167F">
        <w:t>w</w:t>
      </w:r>
      <w:r>
        <w:t xml:space="preserve">e estimate an annual burden of </w:t>
      </w:r>
      <w:r w:rsidR="00926603">
        <w:t>30</w:t>
      </w:r>
      <w:r>
        <w:t xml:space="preserve"> hours (15 vendors x </w:t>
      </w:r>
      <w:r w:rsidR="00926603">
        <w:t>2</w:t>
      </w:r>
      <w:r>
        <w:t xml:space="preserve"> </w:t>
      </w:r>
      <w:r>
        <w:t>hr</w:t>
      </w:r>
      <w:r w:rsidR="00926603">
        <w:t>s</w:t>
      </w:r>
      <w:r>
        <w:t>) at a cost of $</w:t>
      </w:r>
      <w:r w:rsidR="00A1167F">
        <w:t>3,102</w:t>
      </w:r>
      <w:r>
        <w:t xml:space="preserve"> (</w:t>
      </w:r>
      <w:r w:rsidR="00A1167F">
        <w:t>15 requests</w:t>
      </w:r>
      <w:r>
        <w:t xml:space="preserve"> x $</w:t>
      </w:r>
      <w:r w:rsidR="007C6F6F">
        <w:t>206.</w:t>
      </w:r>
      <w:r w:rsidR="002B3F87">
        <w:t>8</w:t>
      </w:r>
      <w:r w:rsidR="007C6F6F">
        <w:t>0</w:t>
      </w:r>
      <w:r>
        <w:t>/r</w:t>
      </w:r>
      <w:r w:rsidR="007C6F6F">
        <w:t>equest</w:t>
      </w:r>
      <w:r w:rsidR="004545C0">
        <w:t>)</w:t>
      </w:r>
      <w:r>
        <w:t>.</w:t>
      </w:r>
    </w:p>
    <w:p w:rsidR="002B769B" w:rsidRPr="00284473" w:rsidP="002B769B" w14:paraId="5C79ED9A" w14:textId="5BF509F2">
      <w:pPr>
        <w:keepNext/>
        <w:spacing w:after="0"/>
        <w:jc w:val="center"/>
        <w:rPr>
          <w:rFonts w:eastAsia="Calibri"/>
          <w:b/>
          <w:bCs/>
        </w:rPr>
      </w:pPr>
      <w:r w:rsidRPr="00927D80">
        <w:rPr>
          <w:rFonts w:eastAsia="Calibri"/>
          <w:b/>
          <w:bCs/>
        </w:rPr>
        <w:t xml:space="preserve">TABLE </w:t>
      </w:r>
      <w:r w:rsidR="00CF2335">
        <w:rPr>
          <w:rFonts w:eastAsia="Calibri"/>
          <w:b/>
          <w:bCs/>
        </w:rPr>
        <w:t>9</w:t>
      </w:r>
      <w:r w:rsidRPr="00927D80">
        <w:rPr>
          <w:rFonts w:eastAsia="Calibri"/>
          <w:b/>
          <w:bCs/>
        </w:rPr>
        <w:t>:  Estimated Burden for the OAuth Credentialing and Token Request</w:t>
      </w:r>
      <w:r w:rsidRPr="00284473">
        <w:rPr>
          <w:rFonts w:eastAsia="Calibri"/>
          <w:b/>
          <w:bCs/>
        </w:rPr>
        <w:t xml:space="preserve"> Process</w:t>
      </w:r>
      <w:r w:rsidR="002F7695">
        <w:rPr>
          <w:b/>
          <w:bCs/>
        </w:rPr>
        <w:t xml:space="preserve">  </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5"/>
        <w:gridCol w:w="1319"/>
      </w:tblGrid>
      <w:tr w14:paraId="30E58231" w14:textId="77777777" w:rsidTr="00580609">
        <w:tblPrEx>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7835" w:type="dxa"/>
            <w:tcBorders>
              <w:top w:val="single" w:sz="4" w:space="0" w:color="auto"/>
              <w:left w:val="single" w:sz="4" w:space="0" w:color="auto"/>
              <w:bottom w:val="single" w:sz="4" w:space="0" w:color="auto"/>
              <w:right w:val="single" w:sz="4" w:space="0" w:color="auto"/>
            </w:tcBorders>
            <w:vAlign w:val="center"/>
            <w:hideMark/>
          </w:tcPr>
          <w:p w:rsidR="002B769B" w:rsidRPr="00284473" w:rsidP="00493F4D" w14:paraId="4C9D092E" w14:textId="2401872A">
            <w:pPr>
              <w:keepNext/>
              <w:spacing w:after="0"/>
              <w:rPr>
                <w:rFonts w:eastAsia="Calibri"/>
                <w:b/>
                <w:bCs/>
                <w:sz w:val="20"/>
                <w:szCs w:val="20"/>
              </w:rPr>
            </w:pPr>
            <w:r w:rsidRPr="00B05B18">
              <w:rPr>
                <w:b/>
                <w:sz w:val="20"/>
                <w:szCs w:val="20"/>
              </w:rPr>
              <w:t>Burden and Respondent Descriptions</w:t>
            </w:r>
          </w:p>
        </w:tc>
        <w:tc>
          <w:tcPr>
            <w:tcW w:w="1319"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3F761A8E" w14:textId="77777777">
            <w:pPr>
              <w:keepNext/>
              <w:spacing w:after="0"/>
              <w:jc w:val="center"/>
              <w:rPr>
                <w:rFonts w:eastAsia="Calibri"/>
                <w:b/>
                <w:bCs/>
                <w:sz w:val="20"/>
                <w:szCs w:val="20"/>
              </w:rPr>
            </w:pPr>
            <w:r w:rsidRPr="00284473">
              <w:rPr>
                <w:rFonts w:eastAsia="Calibri"/>
                <w:b/>
                <w:bCs/>
                <w:sz w:val="20"/>
                <w:szCs w:val="20"/>
              </w:rPr>
              <w:t>Burden Estimate</w:t>
            </w:r>
          </w:p>
        </w:tc>
      </w:tr>
      <w:tr w14:paraId="4E1D362B" w14:textId="77777777" w:rsidTr="00580609">
        <w:tblPrEx>
          <w:tblW w:w="9154" w:type="dxa"/>
          <w:jc w:val="center"/>
          <w:tblLook w:val="04A0"/>
        </w:tblPrEx>
        <w:trPr>
          <w:jc w:val="center"/>
        </w:trPr>
        <w:tc>
          <w:tcPr>
            <w:tcW w:w="7835"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6FC06C03" w14:textId="4E96212B">
            <w:pPr>
              <w:keepNext/>
              <w:spacing w:after="0"/>
              <w:rPr>
                <w:rFonts w:eastAsia="Calibri"/>
                <w:sz w:val="20"/>
                <w:szCs w:val="20"/>
              </w:rPr>
            </w:pPr>
            <w:r w:rsidRPr="00284473">
              <w:rPr>
                <w:rFonts w:eastAsia="Calibri"/>
                <w:sz w:val="20"/>
                <w:szCs w:val="20"/>
              </w:rPr>
              <w:t xml:space="preserve"># of </w:t>
            </w:r>
            <w:r>
              <w:rPr>
                <w:rFonts w:eastAsia="Calibri"/>
                <w:sz w:val="20"/>
                <w:szCs w:val="20"/>
              </w:rPr>
              <w:t xml:space="preserve">Organizations </w:t>
            </w:r>
            <w:r w:rsidRPr="00284473">
              <w:rPr>
                <w:rFonts w:eastAsia="Calibri"/>
                <w:sz w:val="20"/>
                <w:szCs w:val="20"/>
              </w:rPr>
              <w:t>(a)</w:t>
            </w:r>
          </w:p>
        </w:tc>
        <w:tc>
          <w:tcPr>
            <w:tcW w:w="1319"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43FCA39A" w14:textId="77777777">
            <w:pPr>
              <w:keepNext/>
              <w:spacing w:after="0"/>
              <w:jc w:val="right"/>
              <w:rPr>
                <w:rFonts w:eastAsia="Calibri"/>
                <w:sz w:val="20"/>
                <w:szCs w:val="20"/>
              </w:rPr>
            </w:pPr>
            <w:r w:rsidRPr="00284473">
              <w:rPr>
                <w:rFonts w:eastAsia="Calibri"/>
                <w:sz w:val="20"/>
                <w:szCs w:val="20"/>
              </w:rPr>
              <w:t>15</w:t>
            </w:r>
          </w:p>
        </w:tc>
      </w:tr>
      <w:tr w14:paraId="5C4FAA91" w14:textId="77777777" w:rsidTr="00580609">
        <w:tblPrEx>
          <w:tblW w:w="9154" w:type="dxa"/>
          <w:jc w:val="center"/>
          <w:tblLook w:val="04A0"/>
        </w:tblPrEx>
        <w:trPr>
          <w:jc w:val="center"/>
        </w:trPr>
        <w:tc>
          <w:tcPr>
            <w:tcW w:w="7835"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51B3E6B0" w14:textId="77777777">
            <w:pPr>
              <w:keepNext/>
              <w:spacing w:after="0"/>
              <w:rPr>
                <w:rFonts w:eastAsia="Calibri"/>
                <w:sz w:val="20"/>
                <w:szCs w:val="20"/>
              </w:rPr>
            </w:pPr>
            <w:r w:rsidRPr="00284473">
              <w:rPr>
                <w:rFonts w:eastAsia="Calibri"/>
                <w:sz w:val="20"/>
                <w:szCs w:val="20"/>
              </w:rPr>
              <w:t xml:space="preserve">Total Annual Hours Per Organization to Submit (b) </w:t>
            </w:r>
          </w:p>
        </w:tc>
        <w:tc>
          <w:tcPr>
            <w:tcW w:w="1319"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7DA5CA52" w14:textId="534EC24C">
            <w:pPr>
              <w:keepNext/>
              <w:spacing w:after="0"/>
              <w:jc w:val="right"/>
              <w:rPr>
                <w:rFonts w:eastAsia="Calibri"/>
                <w:sz w:val="20"/>
                <w:szCs w:val="20"/>
              </w:rPr>
            </w:pPr>
            <w:r>
              <w:rPr>
                <w:rFonts w:eastAsia="Calibri"/>
                <w:sz w:val="20"/>
                <w:szCs w:val="20"/>
              </w:rPr>
              <w:t>2</w:t>
            </w:r>
          </w:p>
        </w:tc>
      </w:tr>
      <w:tr w14:paraId="4DCA13DC" w14:textId="77777777" w:rsidTr="00B936AA">
        <w:tblPrEx>
          <w:tblW w:w="9154" w:type="dxa"/>
          <w:jc w:val="center"/>
          <w:tblLook w:val="04A0"/>
        </w:tblPrEx>
        <w:trPr>
          <w:jc w:val="center"/>
        </w:trPr>
        <w:tc>
          <w:tcPr>
            <w:tcW w:w="7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769B" w:rsidRPr="00284473" w:rsidP="009672C1" w14:paraId="774F6366" w14:textId="709A0ABB">
            <w:pPr>
              <w:keepNext/>
              <w:spacing w:after="0"/>
              <w:rPr>
                <w:rFonts w:eastAsia="Calibri"/>
                <w:b/>
                <w:bCs/>
                <w:sz w:val="20"/>
                <w:szCs w:val="20"/>
              </w:rPr>
            </w:pPr>
            <w:r w:rsidRPr="00284473">
              <w:rPr>
                <w:rFonts w:eastAsia="Calibri"/>
                <w:b/>
                <w:bCs/>
                <w:sz w:val="20"/>
                <w:szCs w:val="20"/>
              </w:rPr>
              <w:t>Total Annual Hours (c) = (a)</w:t>
            </w:r>
            <w:r w:rsidR="003409E5">
              <w:t xml:space="preserve"> </w:t>
            </w:r>
            <w:r w:rsidRPr="005F738C" w:rsidR="005F738C">
              <w:rPr>
                <w:sz w:val="20"/>
                <w:szCs w:val="20"/>
              </w:rPr>
              <w:t>[</w:t>
            </w:r>
            <w:r w:rsidRPr="003409E5" w:rsidR="003409E5">
              <w:rPr>
                <w:rFonts w:eastAsia="Calibri"/>
                <w:b/>
                <w:bCs/>
                <w:sz w:val="20"/>
                <w:szCs w:val="20"/>
              </w:rPr>
              <w:t>x</w:t>
            </w:r>
            <w:r w:rsidR="00C964AD">
              <w:rPr>
                <w:rFonts w:eastAsia="Calibri"/>
                <w:b/>
                <w:bCs/>
                <w:sz w:val="20"/>
                <w:szCs w:val="20"/>
              </w:rPr>
              <w:t>]</w:t>
            </w:r>
            <w:r w:rsidRPr="003409E5" w:rsidR="003409E5">
              <w:rPr>
                <w:rFonts w:eastAsia="Calibri"/>
                <w:b/>
                <w:bCs/>
                <w:sz w:val="20"/>
                <w:szCs w:val="20"/>
              </w:rPr>
              <w:t xml:space="preserve"> </w:t>
            </w:r>
            <w:r w:rsidRPr="00284473">
              <w:rPr>
                <w:rFonts w:eastAsia="Calibri"/>
                <w:b/>
                <w:bCs/>
                <w:sz w:val="20"/>
                <w:szCs w:val="20"/>
              </w:rPr>
              <w:t>(b)</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769B" w:rsidRPr="00284473" w:rsidP="009672C1" w14:paraId="3BA54162" w14:textId="0F80BCFF">
            <w:pPr>
              <w:keepNext/>
              <w:spacing w:after="0"/>
              <w:jc w:val="right"/>
              <w:rPr>
                <w:rFonts w:eastAsia="Calibri"/>
                <w:b/>
                <w:bCs/>
                <w:sz w:val="20"/>
                <w:szCs w:val="20"/>
              </w:rPr>
            </w:pPr>
            <w:r>
              <w:rPr>
                <w:rFonts w:eastAsia="Calibri"/>
                <w:b/>
                <w:bCs/>
                <w:sz w:val="20"/>
                <w:szCs w:val="20"/>
              </w:rPr>
              <w:t>30</w:t>
            </w:r>
          </w:p>
        </w:tc>
      </w:tr>
      <w:tr w14:paraId="125D9186" w14:textId="77777777" w:rsidTr="00580609">
        <w:tblPrEx>
          <w:tblW w:w="9154" w:type="dxa"/>
          <w:jc w:val="center"/>
          <w:tblLook w:val="04A0"/>
        </w:tblPrEx>
        <w:trPr>
          <w:jc w:val="center"/>
        </w:trPr>
        <w:tc>
          <w:tcPr>
            <w:tcW w:w="7835"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5C68AECB" w14:textId="04FF9ED5">
            <w:pPr>
              <w:keepNext/>
              <w:spacing w:after="0"/>
              <w:rPr>
                <w:rFonts w:eastAsia="Calibri"/>
                <w:sz w:val="20"/>
                <w:szCs w:val="20"/>
              </w:rPr>
            </w:pPr>
            <w:r w:rsidRPr="00284473">
              <w:rPr>
                <w:rFonts w:eastAsia="Calibri"/>
                <w:sz w:val="20"/>
                <w:szCs w:val="20"/>
              </w:rPr>
              <w:t>Cost Per Organization (@ computer systems analyst’s labor rate of $</w:t>
            </w:r>
            <w:r w:rsidR="002B3F87">
              <w:rPr>
                <w:rFonts w:eastAsia="Calibri"/>
                <w:sz w:val="20"/>
                <w:szCs w:val="20"/>
              </w:rPr>
              <w:t>103.40</w:t>
            </w:r>
            <w:r w:rsidRPr="00284473">
              <w:rPr>
                <w:rFonts w:eastAsia="Calibri"/>
                <w:sz w:val="20"/>
                <w:szCs w:val="20"/>
              </w:rPr>
              <w:t xml:space="preserve">/hr.) (d) </w:t>
            </w:r>
            <w:r w:rsidR="002B3F87">
              <w:rPr>
                <w:rFonts w:eastAsia="Calibri"/>
                <w:sz w:val="20"/>
                <w:szCs w:val="20"/>
              </w:rPr>
              <w:t>= (b)</w:t>
            </w:r>
            <w:r w:rsidRPr="00284473">
              <w:rPr>
                <w:rFonts w:eastAsia="Calibri"/>
                <w:sz w:val="20"/>
                <w:szCs w:val="20"/>
              </w:rPr>
              <w:t xml:space="preserve"> </w:t>
            </w:r>
            <w:r w:rsidRPr="00D52793" w:rsidR="002B3F87">
              <w:rPr>
                <w:sz w:val="20"/>
                <w:szCs w:val="20"/>
              </w:rPr>
              <w:t>[</w:t>
            </w:r>
            <w:r w:rsidRPr="003D29BA" w:rsidR="002B3F87">
              <w:rPr>
                <w:rFonts w:eastAsia="Calibri"/>
                <w:sz w:val="20"/>
                <w:szCs w:val="20"/>
              </w:rPr>
              <w:t>x] $103.40/hr</w:t>
            </w:r>
          </w:p>
        </w:tc>
        <w:tc>
          <w:tcPr>
            <w:tcW w:w="1319" w:type="dxa"/>
            <w:tcBorders>
              <w:top w:val="single" w:sz="4" w:space="0" w:color="auto"/>
              <w:left w:val="single" w:sz="4" w:space="0" w:color="auto"/>
              <w:bottom w:val="single" w:sz="4" w:space="0" w:color="auto"/>
              <w:right w:val="single" w:sz="4" w:space="0" w:color="auto"/>
            </w:tcBorders>
            <w:vAlign w:val="center"/>
            <w:hideMark/>
          </w:tcPr>
          <w:p w:rsidR="002B769B" w:rsidRPr="00284473" w:rsidP="009672C1" w14:paraId="370693B7" w14:textId="58D64285">
            <w:pPr>
              <w:keepNext/>
              <w:spacing w:after="0"/>
              <w:jc w:val="right"/>
              <w:rPr>
                <w:rFonts w:eastAsia="Calibri"/>
                <w:sz w:val="20"/>
                <w:szCs w:val="20"/>
              </w:rPr>
            </w:pPr>
            <w:r w:rsidRPr="00284473">
              <w:rPr>
                <w:rFonts w:eastAsia="Calibri"/>
                <w:sz w:val="20"/>
                <w:szCs w:val="20"/>
              </w:rPr>
              <w:t>$</w:t>
            </w:r>
            <w:r w:rsidR="002B3F87">
              <w:rPr>
                <w:rFonts w:eastAsia="Calibri"/>
                <w:sz w:val="20"/>
                <w:szCs w:val="20"/>
              </w:rPr>
              <w:t>206.80</w:t>
            </w:r>
            <w:r w:rsidRPr="00284473">
              <w:rPr>
                <w:rFonts w:eastAsia="Calibri"/>
                <w:sz w:val="20"/>
                <w:szCs w:val="20"/>
              </w:rPr>
              <w:t xml:space="preserve"> </w:t>
            </w:r>
          </w:p>
        </w:tc>
      </w:tr>
      <w:tr w14:paraId="4C6772FA" w14:textId="77777777" w:rsidTr="00B936AA">
        <w:tblPrEx>
          <w:tblW w:w="9154" w:type="dxa"/>
          <w:jc w:val="center"/>
          <w:tblLook w:val="04A0"/>
        </w:tblPrEx>
        <w:trPr>
          <w:jc w:val="center"/>
        </w:trPr>
        <w:tc>
          <w:tcPr>
            <w:tcW w:w="7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769B" w:rsidRPr="002B769B" w:rsidP="009672C1" w14:paraId="2AA48471" w14:textId="50FE8BC4">
            <w:pPr>
              <w:keepNext/>
              <w:spacing w:after="0"/>
              <w:rPr>
                <w:rFonts w:eastAsia="Calibri"/>
                <w:b/>
                <w:bCs/>
                <w:sz w:val="20"/>
                <w:szCs w:val="20"/>
              </w:rPr>
            </w:pPr>
            <w:r w:rsidRPr="002B769B">
              <w:rPr>
                <w:rFonts w:eastAsia="Calibri"/>
                <w:b/>
                <w:bCs/>
                <w:sz w:val="20"/>
                <w:szCs w:val="20"/>
              </w:rPr>
              <w:t>Total Annual Cost (e) = (a)</w:t>
            </w:r>
            <w:r w:rsidR="003409E5">
              <w:t xml:space="preserve"> </w:t>
            </w:r>
            <w:r w:rsidRPr="005F738C" w:rsidR="005F738C">
              <w:rPr>
                <w:sz w:val="20"/>
                <w:szCs w:val="20"/>
              </w:rPr>
              <w:t>[</w:t>
            </w:r>
            <w:r w:rsidRPr="003409E5" w:rsidR="003409E5">
              <w:rPr>
                <w:rFonts w:eastAsia="Calibri"/>
                <w:b/>
                <w:bCs/>
                <w:sz w:val="20"/>
                <w:szCs w:val="20"/>
              </w:rPr>
              <w:t>x</w:t>
            </w:r>
            <w:r w:rsidR="00904AD8">
              <w:rPr>
                <w:rFonts w:eastAsia="Calibri"/>
                <w:b/>
                <w:bCs/>
                <w:sz w:val="20"/>
                <w:szCs w:val="20"/>
              </w:rPr>
              <w:t>]</w:t>
            </w:r>
            <w:r w:rsidRPr="003409E5" w:rsidR="003409E5">
              <w:rPr>
                <w:rFonts w:eastAsia="Calibri"/>
                <w:b/>
                <w:bCs/>
                <w:sz w:val="20"/>
                <w:szCs w:val="20"/>
              </w:rPr>
              <w:t xml:space="preserve"> </w:t>
            </w:r>
            <w:r w:rsidRPr="002B769B">
              <w:rPr>
                <w:rFonts w:eastAsia="Calibri"/>
                <w:b/>
                <w:bCs/>
                <w:sz w:val="20"/>
                <w:szCs w:val="20"/>
              </w:rPr>
              <w:t>(d)</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769B" w:rsidRPr="002B769B" w:rsidP="009672C1" w14:paraId="0479B6D3" w14:textId="02993372">
            <w:pPr>
              <w:keepNext/>
              <w:spacing w:after="0"/>
              <w:jc w:val="right"/>
              <w:rPr>
                <w:rFonts w:eastAsia="Calibri"/>
                <w:b/>
                <w:bCs/>
                <w:sz w:val="20"/>
                <w:szCs w:val="20"/>
              </w:rPr>
            </w:pPr>
            <w:r w:rsidRPr="002B769B">
              <w:rPr>
                <w:rFonts w:eastAsia="Calibri"/>
                <w:b/>
                <w:bCs/>
                <w:sz w:val="20"/>
                <w:szCs w:val="20"/>
              </w:rPr>
              <w:t>$</w:t>
            </w:r>
            <w:r w:rsidR="002B3F87">
              <w:rPr>
                <w:rFonts w:eastAsia="Calibri"/>
                <w:b/>
                <w:bCs/>
                <w:sz w:val="20"/>
                <w:szCs w:val="20"/>
              </w:rPr>
              <w:t>3,102</w:t>
            </w:r>
          </w:p>
        </w:tc>
      </w:tr>
    </w:tbl>
    <w:p w:rsidR="002A669C" w:rsidRPr="002B769B" w:rsidP="00B05B18" w14:paraId="0D2BFD57" w14:textId="77777777">
      <w:pPr>
        <w:rPr>
          <w:b/>
          <w:bCs/>
        </w:rPr>
      </w:pPr>
    </w:p>
    <w:p w:rsidR="00B05B18" w:rsidRPr="00041A6A" w:rsidP="0011028A" w14:paraId="50273D17" w14:textId="38A64CA3">
      <w:pPr>
        <w:pStyle w:val="Heading3"/>
      </w:pPr>
      <w:r w:rsidRPr="00041A6A">
        <w:t>Burden Estimate for the Quality Performance Category</w:t>
      </w:r>
    </w:p>
    <w:p w:rsidR="002B769B" w:rsidP="00730BEF" w14:paraId="0E782F13" w14:textId="7DD6E4C7">
      <w:pPr>
        <w:rPr>
          <w:rFonts w:eastAsia="Calibri"/>
        </w:rPr>
      </w:pPr>
      <w:r w:rsidRPr="00BD098D">
        <w:rPr>
          <w:rFonts w:eastAsia="Calibri"/>
        </w:rPr>
        <w:t>Under our current policies, two groups of clinicians must submit quality data under MIPS: those who submit as MIPS eligible clinicians and those who opt to submit data voluntarily but are not subject to MIPS payment adjustments. Clinicians are ineligible for MIPS payment adjustments if they are newly enrolled to Medicare; are QPs; are partial QPs who elect to not participate in MIPS; are not one of the clinician types included in the definition for MIPS eligible clinician; or do not exceed the low-volume threshold as an individual or as a group</w:t>
      </w:r>
      <w:r>
        <w:rPr>
          <w:rFonts w:eastAsia="Calibri"/>
        </w:rPr>
        <w:t>.</w:t>
      </w:r>
    </w:p>
    <w:p w:rsidR="00617569" w:rsidRPr="00617569" w:rsidP="00730BEF" w14:paraId="2CADF926" w14:textId="321AD920">
      <w:pPr>
        <w:rPr>
          <w:rFonts w:eastAsia="Calibri"/>
        </w:rPr>
      </w:pPr>
      <w:r w:rsidRPr="0016102D">
        <w:rPr>
          <w:rFonts w:eastAsia="Calibri"/>
        </w:rPr>
        <w:t>To determine which QPs should be excluded from MIPS, we used the</w:t>
      </w:r>
      <w:r w:rsidR="00F403A8">
        <w:rPr>
          <w:rFonts w:eastAsia="Calibri"/>
        </w:rPr>
        <w:t xml:space="preserve"> </w:t>
      </w:r>
      <w:r w:rsidRPr="00E610CD" w:rsidR="00F403A8">
        <w:rPr>
          <w:rFonts w:eastAsia="Calibri"/>
          <w:snapToGrid w:val="0"/>
        </w:rPr>
        <w:t xml:space="preserve">Advanced APM payment and patient percentages from the APM Participant List for the </w:t>
      </w:r>
      <w:r w:rsidR="00C75B39">
        <w:rPr>
          <w:rFonts w:eastAsia="Calibri"/>
          <w:snapToGrid w:val="0"/>
        </w:rPr>
        <w:t>third</w:t>
      </w:r>
      <w:r w:rsidRPr="00E610CD" w:rsidR="00F403A8">
        <w:rPr>
          <w:rFonts w:eastAsia="Calibri"/>
          <w:snapToGrid w:val="0"/>
        </w:rPr>
        <w:t xml:space="preserve"> snapshot date for the </w:t>
      </w:r>
      <w:r w:rsidR="00615426">
        <w:rPr>
          <w:rFonts w:eastAsia="Calibri"/>
          <w:snapToGrid w:val="0"/>
        </w:rPr>
        <w:t xml:space="preserve">CY </w:t>
      </w:r>
      <w:r w:rsidRPr="00E610CD" w:rsidR="00F403A8">
        <w:rPr>
          <w:rFonts w:eastAsia="Calibri"/>
          <w:snapToGrid w:val="0"/>
        </w:rPr>
        <w:t>20</w:t>
      </w:r>
      <w:r w:rsidR="0097023D">
        <w:rPr>
          <w:rFonts w:eastAsia="Calibri"/>
          <w:snapToGrid w:val="0"/>
        </w:rPr>
        <w:t>2</w:t>
      </w:r>
      <w:r w:rsidR="00C75B39">
        <w:rPr>
          <w:rFonts w:eastAsia="Calibri"/>
          <w:snapToGrid w:val="0"/>
        </w:rPr>
        <w:t xml:space="preserve">2 </w:t>
      </w:r>
      <w:r w:rsidRPr="00E610CD" w:rsidR="00F403A8">
        <w:rPr>
          <w:rFonts w:eastAsia="Calibri"/>
          <w:snapToGrid w:val="0"/>
        </w:rPr>
        <w:t>QP performance period.</w:t>
      </w:r>
      <w:r w:rsidRPr="0016102D">
        <w:rPr>
          <w:rFonts w:eastAsia="Calibri"/>
        </w:rPr>
        <w:t xml:space="preserve"> From this data, we calculated the QP determinations as described in the Qualifying APM Participant (QP) definition at § 414.1305 for the </w:t>
      </w:r>
      <w:r w:rsidR="000624FE">
        <w:rPr>
          <w:rFonts w:eastAsia="Calibri"/>
        </w:rPr>
        <w:t xml:space="preserve">CY </w:t>
      </w:r>
      <w:r w:rsidRPr="0016102D">
        <w:rPr>
          <w:rFonts w:eastAsia="Calibri"/>
        </w:rPr>
        <w:t>202</w:t>
      </w:r>
      <w:r w:rsidR="008038AA">
        <w:rPr>
          <w:rFonts w:eastAsia="Calibri"/>
        </w:rPr>
        <w:t>4</w:t>
      </w:r>
      <w:r w:rsidRPr="0016102D">
        <w:rPr>
          <w:rFonts w:eastAsia="Calibri"/>
        </w:rPr>
        <w:t xml:space="preserve"> QP </w:t>
      </w:r>
      <w:r w:rsidR="00D8279B">
        <w:rPr>
          <w:rFonts w:eastAsia="Calibri"/>
        </w:rPr>
        <w:t>p</w:t>
      </w:r>
      <w:r w:rsidRPr="0016102D">
        <w:rPr>
          <w:rFonts w:eastAsia="Calibri"/>
        </w:rPr>
        <w:t xml:space="preserve">erformance </w:t>
      </w:r>
      <w:r w:rsidR="00D8279B">
        <w:rPr>
          <w:rFonts w:eastAsia="Calibri"/>
        </w:rPr>
        <w:t>p</w:t>
      </w:r>
      <w:r w:rsidRPr="0016102D">
        <w:rPr>
          <w:rFonts w:eastAsia="Calibri"/>
        </w:rPr>
        <w:t xml:space="preserve">eriod. Due to data limitations, we could not identify specific clinicians who have not yet enrolled in APMs, but who may become QPs in the </w:t>
      </w:r>
      <w:r w:rsidR="006653AC">
        <w:rPr>
          <w:rFonts w:eastAsia="Calibri"/>
        </w:rPr>
        <w:t xml:space="preserve">CY </w:t>
      </w:r>
      <w:r w:rsidRPr="0016102D">
        <w:rPr>
          <w:rFonts w:eastAsia="Calibri"/>
        </w:rPr>
        <w:t>202</w:t>
      </w:r>
      <w:r w:rsidR="008038AA">
        <w:rPr>
          <w:rFonts w:eastAsia="Calibri"/>
        </w:rPr>
        <w:t>4</w:t>
      </w:r>
      <w:r w:rsidR="00F47A81">
        <w:rPr>
          <w:rFonts w:eastAsia="Calibri"/>
        </w:rPr>
        <w:t xml:space="preserve"> </w:t>
      </w:r>
      <w:r w:rsidR="00D8279B">
        <w:rPr>
          <w:rFonts w:eastAsia="Calibri"/>
        </w:rPr>
        <w:t>p</w:t>
      </w:r>
      <w:r w:rsidRPr="0016102D">
        <w:rPr>
          <w:rFonts w:eastAsia="Calibri"/>
        </w:rPr>
        <w:t xml:space="preserve">erformance </w:t>
      </w:r>
      <w:r w:rsidR="00D8279B">
        <w:rPr>
          <w:rFonts w:eastAsia="Calibri"/>
        </w:rPr>
        <w:t>p</w:t>
      </w:r>
      <w:r w:rsidRPr="0016102D">
        <w:rPr>
          <w:rFonts w:eastAsia="Calibri"/>
        </w:rPr>
        <w:t>eriod</w:t>
      </w:r>
      <w:r w:rsidR="00F40360">
        <w:rPr>
          <w:rFonts w:eastAsia="Calibri"/>
        </w:rPr>
        <w:t>/202</w:t>
      </w:r>
      <w:r w:rsidR="008038AA">
        <w:rPr>
          <w:rFonts w:eastAsia="Calibri"/>
        </w:rPr>
        <w:t>6</w:t>
      </w:r>
      <w:r w:rsidR="00F40360">
        <w:rPr>
          <w:rFonts w:eastAsia="Calibri"/>
        </w:rPr>
        <w:t xml:space="preserve"> MIPS payment year </w:t>
      </w:r>
      <w:r w:rsidRPr="0016102D">
        <w:rPr>
          <w:rFonts w:eastAsia="Calibri"/>
        </w:rPr>
        <w:t>(and therefore will no longer need to submit data to MIPS); hence, our model may underestimate or overestimate the number of respondents</w:t>
      </w:r>
      <w:r w:rsidRPr="00617569">
        <w:rPr>
          <w:rFonts w:eastAsia="Calibri"/>
        </w:rPr>
        <w:t xml:space="preserve">. </w:t>
      </w:r>
    </w:p>
    <w:p w:rsidR="00FD19D7" w:rsidRPr="003428D4" w:rsidP="00730BEF" w14:paraId="66171B01" w14:textId="4011D08C">
      <w:pPr>
        <w:rPr>
          <w:rFonts w:eastAsia="Calibri"/>
        </w:rPr>
      </w:pPr>
      <w:r w:rsidRPr="00E86703">
        <w:rPr>
          <w:rFonts w:eastAsia="Calibri"/>
        </w:rPr>
        <w:t>The burden associated with the submission of quality performance category data ha</w:t>
      </w:r>
      <w:r w:rsidR="0014173D">
        <w:rPr>
          <w:rFonts w:eastAsia="Calibri"/>
        </w:rPr>
        <w:t>s</w:t>
      </w:r>
      <w:r w:rsidRPr="00E86703">
        <w:rPr>
          <w:rFonts w:eastAsia="Calibri"/>
        </w:rPr>
        <w:t xml:space="preser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eCQM collection types may have quality measures automated as part of their </w:t>
      </w:r>
      <w:r w:rsidR="00477DD7">
        <w:rPr>
          <w:rFonts w:eastAsia="Calibri"/>
        </w:rPr>
        <w:t>CEHRT</w:t>
      </w:r>
      <w:r w:rsidRPr="00E86703">
        <w:rPr>
          <w:rFonts w:eastAsia="Calibri"/>
        </w:rPr>
        <w:t xml:space="preserve"> implementation</w:t>
      </w:r>
      <w:r>
        <w:rPr>
          <w:rFonts w:eastAsia="Calibri"/>
        </w:rPr>
        <w:t>.</w:t>
      </w:r>
    </w:p>
    <w:p w:rsidR="00FD19D7" w:rsidRPr="00B17713" w:rsidP="000B16B7" w14:paraId="7F9A24FB" w14:textId="1EE66AAE">
      <w:pPr>
        <w:keepNext/>
        <w:keepLines/>
        <w:rPr>
          <w:rFonts w:eastAsia="Calibri"/>
        </w:rPr>
      </w:pPr>
      <w:r w:rsidRPr="00311FB2">
        <w:rPr>
          <w:rFonts w:eastAsia="Calibri"/>
        </w:rPr>
        <w:t>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w:t>
      </w:r>
      <w:r w:rsidR="004E6A00">
        <w:rPr>
          <w:rFonts w:eastAsia="Calibri"/>
        </w:rPr>
        <w:t>,</w:t>
      </w:r>
      <w:r w:rsidRPr="00311FB2">
        <w:rPr>
          <w:rFonts w:eastAsia="Calibri"/>
        </w:rPr>
        <w:t xml:space="preserve"> QCDR, and eCQM collection types, we also assume that, on average, each clinician or group will submit 6 quality measures</w:t>
      </w:r>
      <w:r w:rsidRPr="00AD36DE" w:rsidR="00AD36DE">
        <w:rPr>
          <w:rFonts w:eastAsia="Calibri"/>
        </w:rPr>
        <w:t xml:space="preserve">. </w:t>
      </w:r>
      <w:r w:rsidRPr="008667F9" w:rsidR="008667F9">
        <w:rPr>
          <w:rFonts w:eastAsia="Calibri"/>
        </w:rPr>
        <w:t>Additionally, we capture the burden for clinicians who choose to submit via these collection types for the quality performance category of MVPs.</w:t>
      </w:r>
      <w:r w:rsidR="008667F9">
        <w:rPr>
          <w:rFonts w:eastAsia="Calibri"/>
        </w:rPr>
        <w:t xml:space="preserve"> </w:t>
      </w:r>
      <w:r w:rsidR="00927146">
        <w:rPr>
          <w:rFonts w:eastAsia="Calibri"/>
        </w:rPr>
        <w:t>We finalized i</w:t>
      </w:r>
      <w:r w:rsidR="00A3749B">
        <w:rPr>
          <w:rFonts w:eastAsia="Calibri"/>
        </w:rPr>
        <w:t xml:space="preserve">n the CY 2022 PFS </w:t>
      </w:r>
      <w:r w:rsidR="00325F29">
        <w:rPr>
          <w:rFonts w:eastAsia="Calibri"/>
        </w:rPr>
        <w:t>final</w:t>
      </w:r>
      <w:r w:rsidR="00A3749B">
        <w:rPr>
          <w:rFonts w:eastAsia="Calibri"/>
        </w:rPr>
        <w:t xml:space="preserve"> rule</w:t>
      </w:r>
      <w:r w:rsidR="00830DDB">
        <w:rPr>
          <w:rFonts w:eastAsia="Calibri"/>
        </w:rPr>
        <w:t xml:space="preserve"> (</w:t>
      </w:r>
      <w:r w:rsidR="00E2068C">
        <w:rPr>
          <w:rFonts w:eastAsia="Calibri"/>
        </w:rPr>
        <w:t>86 FR</w:t>
      </w:r>
      <w:r w:rsidR="009A5A87">
        <w:rPr>
          <w:rFonts w:eastAsia="Calibri"/>
        </w:rPr>
        <w:t xml:space="preserve"> 65411 through 65412</w:t>
      </w:r>
      <w:r w:rsidR="00830DDB">
        <w:rPr>
          <w:rFonts w:eastAsia="Calibri"/>
        </w:rPr>
        <w:t>)</w:t>
      </w:r>
      <w:r w:rsidR="00B07CA9">
        <w:t xml:space="preserve"> </w:t>
      </w:r>
      <w:r w:rsidRPr="00871E51" w:rsidR="00A3749B">
        <w:t xml:space="preserve">that except as provided in paragraph § 414.1365(c)(1)(i), an MVP Participant must select and report 4 quality measures, including 1 outcome measure (or, if an outcome measure is not available, 1 high priority measure, included in the MVP.  </w:t>
      </w:r>
    </w:p>
    <w:p w:rsidR="006B22A9" w:rsidP="0011028A" w14:paraId="12E32A07" w14:textId="35737421">
      <w:pPr>
        <w:pStyle w:val="Heading4"/>
        <w:numPr>
          <w:ilvl w:val="3"/>
          <w:numId w:val="23"/>
        </w:numPr>
      </w:pPr>
      <w:r w:rsidRPr="00041A6A">
        <w:t xml:space="preserve">Burden </w:t>
      </w:r>
      <w:r w:rsidRPr="000E7E06">
        <w:t xml:space="preserve">for </w:t>
      </w:r>
      <w:r w:rsidRPr="000E7E06" w:rsidR="006B4818">
        <w:t>Quality Payment Program Identity Management Application Process</w:t>
      </w:r>
    </w:p>
    <w:p w:rsidR="00FD19D7" w:rsidP="00730BEF" w14:paraId="353B1117" w14:textId="0897459E">
      <w:pPr>
        <w:rPr>
          <w:rFonts w:eastAsia="Calibri"/>
        </w:rPr>
      </w:pPr>
      <w:r w:rsidRPr="003428D4">
        <w:rPr>
          <w:rFonts w:eastAsia="Calibri"/>
        </w:rPr>
        <w:t>For an individual, group, or third</w:t>
      </w:r>
      <w:r w:rsidR="003C43FE">
        <w:rPr>
          <w:rFonts w:eastAsia="Calibri"/>
        </w:rPr>
        <w:t xml:space="preserve"> </w:t>
      </w:r>
      <w:r w:rsidRPr="003428D4">
        <w:rPr>
          <w:rFonts w:eastAsia="Calibri"/>
        </w:rPr>
        <w:t>party to submit MIPS quality, improvement activities, or Promoting Interoperability performance category data using either the log in and upload or the log in and attest submission type or to access feedback reports, the submitter must have a CMS</w:t>
      </w:r>
      <w:r w:rsidR="002B68CF">
        <w:rPr>
          <w:rFonts w:eastAsia="Calibri"/>
        </w:rPr>
        <w:t xml:space="preserve"> </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14:paraId="12E1517F" w14:textId="2E567EEA">
      <w:r>
        <w:t xml:space="preserve">As shown in Table </w:t>
      </w:r>
      <w:r w:rsidR="00FB6E19">
        <w:t>10</w:t>
      </w:r>
      <w:r w:rsidRPr="00554E7A" w:rsidR="00554E7A">
        <w:t>, we estimate</w:t>
      </w:r>
      <w:r w:rsidR="00617023">
        <w:t xml:space="preserve"> that </w:t>
      </w:r>
      <w:r w:rsidRPr="00554E7A" w:rsidR="00554E7A">
        <w:t>6,500 respondents w</w:t>
      </w:r>
      <w:r w:rsidR="00617023">
        <w:t>ill</w:t>
      </w:r>
      <w:r w:rsidRPr="00554E7A" w:rsidR="00554E7A">
        <w:t xml:space="preserve"> submit their information to obtain new user accounts in the HARP system for the CY 202</w:t>
      </w:r>
      <w:r w:rsidR="00BA660A">
        <w:t>4</w:t>
      </w:r>
      <w:r w:rsidRPr="00554E7A" w:rsidR="00554E7A">
        <w:t xml:space="preserve"> performance period/202</w:t>
      </w:r>
      <w:r w:rsidR="00BA660A">
        <w:t>6</w:t>
      </w:r>
      <w:r w:rsidRPr="00554E7A" w:rsidR="00554E7A">
        <w:t xml:space="preserve"> MIPS payment year.</w:t>
      </w:r>
      <w:r w:rsidR="00FD19D7">
        <w:t xml:space="preserve"> </w:t>
      </w:r>
      <w:r w:rsidR="00BA660A">
        <w:t xml:space="preserve">We estimate that </w:t>
      </w:r>
      <w:r w:rsidRPr="006B4818" w:rsidR="006B4818">
        <w:t>it would take 1 hour at $</w:t>
      </w:r>
      <w:r w:rsidR="00BA660A">
        <w:t>103.40</w:t>
      </w:r>
      <w:r w:rsidRPr="006B4818" w:rsidR="006B4818">
        <w:t xml:space="preserve">/hr for a computer systems analyst (or their equivalent) to obtain an account for the </w:t>
      </w:r>
      <w:r w:rsidR="004E1925">
        <w:t>HARP system</w:t>
      </w:r>
      <w:r w:rsidR="00BA660A">
        <w:t>, resulting in an estimated cost of $103.40 per application</w:t>
      </w:r>
      <w:r w:rsidRPr="006B4818" w:rsidR="006B4818">
        <w:t xml:space="preserve">. In aggregate we estimate an annual burden of </w:t>
      </w:r>
      <w:r w:rsidR="00B47B3F">
        <w:t>6</w:t>
      </w:r>
      <w:r w:rsidRPr="006B4818" w:rsidR="006B4818">
        <w:t>,</w:t>
      </w:r>
      <w:r w:rsidR="00B47B3F">
        <w:t>500</w:t>
      </w:r>
      <w:r w:rsidRPr="006B4818" w:rsidR="006B4818">
        <w:t xml:space="preserve"> hours (</w:t>
      </w:r>
      <w:r w:rsidR="00330D0C">
        <w:t>6,500</w:t>
      </w:r>
      <w:r w:rsidRPr="006B4818" w:rsidR="006B4818">
        <w:t xml:space="preserve"> </w:t>
      </w:r>
      <w:r w:rsidR="00BA660A">
        <w:t>applications</w:t>
      </w:r>
      <w:r w:rsidRPr="006B4818" w:rsidR="006B4818">
        <w:t xml:space="preserve"> x 1 hr/registration) at a cost of $</w:t>
      </w:r>
      <w:r w:rsidR="00330D0C">
        <w:t>6</w:t>
      </w:r>
      <w:r w:rsidR="00BA660A">
        <w:t>72,100</w:t>
      </w:r>
      <w:r w:rsidRPr="006B4818" w:rsidR="006B4818">
        <w:t xml:space="preserve"> (</w:t>
      </w:r>
      <w:r w:rsidR="00330D0C">
        <w:t>6,500</w:t>
      </w:r>
      <w:r w:rsidRPr="006B4818" w:rsidR="006B4818">
        <w:t xml:space="preserve"> </w:t>
      </w:r>
      <w:r w:rsidR="00BA660A">
        <w:t>applications</w:t>
      </w:r>
      <w:r w:rsidRPr="006B4818" w:rsidR="006B4818">
        <w:t xml:space="preserve"> x $</w:t>
      </w:r>
      <w:r w:rsidR="00BA660A">
        <w:t>103.40</w:t>
      </w:r>
      <w:r w:rsidRPr="006B4818" w:rsidR="006B4818">
        <w:t>/</w:t>
      </w:r>
      <w:r w:rsidR="00BA660A">
        <w:t>application</w:t>
      </w:r>
      <w:r w:rsidRPr="006B4818" w:rsidR="006B4818">
        <w:t>).</w:t>
      </w:r>
      <w:r>
        <w:t xml:space="preserve"> </w:t>
      </w:r>
    </w:p>
    <w:p w:rsidR="00C351ED" w:rsidRPr="00732012" w:rsidP="00F37138" w14:paraId="48EC091E" w14:textId="08E40B74">
      <w:pPr>
        <w:keepNext/>
        <w:keepLines/>
        <w:spacing w:after="0"/>
        <w:jc w:val="center"/>
        <w:rPr>
          <w:b/>
          <w:bCs/>
        </w:rPr>
      </w:pPr>
      <w:r w:rsidRPr="00C47150">
        <w:rPr>
          <w:b/>
          <w:bCs/>
        </w:rPr>
        <w:t xml:space="preserve">TABLE </w:t>
      </w:r>
      <w:r w:rsidR="00FB6E19">
        <w:rPr>
          <w:b/>
          <w:bCs/>
        </w:rPr>
        <w:t>10</w:t>
      </w:r>
      <w:r w:rsidRPr="00C47150">
        <w:rPr>
          <w:b/>
          <w:bCs/>
        </w:rPr>
        <w:t xml:space="preserve">:  </w:t>
      </w:r>
      <w:r w:rsidRPr="00732012">
        <w:rPr>
          <w:b/>
          <w:bCs/>
        </w:rPr>
        <w:t xml:space="preserve">Estimated Burden for </w:t>
      </w:r>
      <w:r w:rsidR="006B4818">
        <w:rPr>
          <w:b/>
          <w:bCs/>
        </w:rPr>
        <w:t>Quality Payment Program Identity Management Application Process</w:t>
      </w:r>
      <w:r w:rsidR="004004F7">
        <w:rPr>
          <w:b/>
          <w:bCs/>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7"/>
        <w:gridCol w:w="1123"/>
      </w:tblGrid>
      <w:tr w14:paraId="3A9F9226" w14:textId="77777777" w:rsidTr="007F64F4">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15"/>
        </w:trPr>
        <w:tc>
          <w:tcPr>
            <w:tcW w:w="8597" w:type="dxa"/>
            <w:shd w:val="clear" w:color="auto" w:fill="auto"/>
            <w:vAlign w:val="center"/>
            <w:hideMark/>
          </w:tcPr>
          <w:p w:rsidR="00C351ED" w:rsidRPr="00C351ED" w:rsidP="00F37138" w14:paraId="2226A6BB" w14:textId="6889A0D7">
            <w:pPr>
              <w:keepNext/>
              <w:keepLines/>
              <w:spacing w:after="0"/>
              <w:rPr>
                <w:b/>
                <w:sz w:val="20"/>
                <w:szCs w:val="20"/>
              </w:rPr>
            </w:pPr>
            <w:r w:rsidRPr="00C351ED">
              <w:rPr>
                <w:b/>
                <w:sz w:val="20"/>
                <w:szCs w:val="20"/>
              </w:rPr>
              <w:t>Burden and Respondent Descriptions</w:t>
            </w:r>
          </w:p>
        </w:tc>
        <w:tc>
          <w:tcPr>
            <w:tcW w:w="1123" w:type="dxa"/>
            <w:shd w:val="clear" w:color="auto" w:fill="auto"/>
            <w:vAlign w:val="center"/>
            <w:hideMark/>
          </w:tcPr>
          <w:p w:rsidR="00C351ED" w:rsidRPr="00732012" w:rsidP="00F37138" w14:paraId="3FD71DD0" w14:textId="77777777">
            <w:pPr>
              <w:keepNext/>
              <w:keepLines/>
              <w:spacing w:after="0"/>
              <w:jc w:val="center"/>
              <w:rPr>
                <w:b/>
                <w:bCs/>
                <w:sz w:val="20"/>
                <w:szCs w:val="20"/>
              </w:rPr>
            </w:pPr>
            <w:r w:rsidRPr="00732012">
              <w:rPr>
                <w:b/>
                <w:bCs/>
                <w:sz w:val="20"/>
                <w:szCs w:val="20"/>
              </w:rPr>
              <w:t>Burden Estimate</w:t>
            </w:r>
          </w:p>
        </w:tc>
      </w:tr>
      <w:tr w14:paraId="7A5825BF" w14:textId="77777777" w:rsidTr="007F64F4">
        <w:tblPrEx>
          <w:tblW w:w="9720" w:type="dxa"/>
          <w:tblLook w:val="04A0"/>
        </w:tblPrEx>
        <w:trPr>
          <w:cantSplit/>
          <w:trHeight w:val="188"/>
        </w:trPr>
        <w:tc>
          <w:tcPr>
            <w:tcW w:w="8597" w:type="dxa"/>
            <w:shd w:val="clear" w:color="auto" w:fill="auto"/>
            <w:hideMark/>
          </w:tcPr>
          <w:p w:rsidR="00C351ED" w:rsidRPr="00732012" w:rsidP="00F37138" w14:paraId="16B690A0" w14:textId="70EA2AE6">
            <w:pPr>
              <w:keepNext/>
              <w:keepLines/>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00C351ED" w:rsidRPr="00732012" w:rsidP="003D29BA" w14:paraId="74D71546" w14:textId="13876009">
            <w:pPr>
              <w:keepNext/>
              <w:keepLines/>
              <w:spacing w:after="0"/>
              <w:jc w:val="right"/>
              <w:rPr>
                <w:sz w:val="20"/>
                <w:szCs w:val="20"/>
              </w:rPr>
            </w:pPr>
            <w:r>
              <w:rPr>
                <w:sz w:val="20"/>
                <w:szCs w:val="20"/>
              </w:rPr>
              <w:t>6,500</w:t>
            </w:r>
          </w:p>
        </w:tc>
      </w:tr>
      <w:tr w14:paraId="7F3BDBAD" w14:textId="77777777" w:rsidTr="007F64F4">
        <w:tblPrEx>
          <w:tblW w:w="9720" w:type="dxa"/>
          <w:tblLook w:val="04A0"/>
        </w:tblPrEx>
        <w:trPr>
          <w:cantSplit/>
          <w:trHeight w:val="215"/>
        </w:trPr>
        <w:tc>
          <w:tcPr>
            <w:tcW w:w="8597" w:type="dxa"/>
            <w:shd w:val="clear" w:color="auto" w:fill="auto"/>
            <w:hideMark/>
          </w:tcPr>
          <w:p w:rsidR="00C351ED" w:rsidRPr="00732012" w:rsidP="00F37138" w14:paraId="22AD1264" w14:textId="3E35EA56">
            <w:pPr>
              <w:keepNext/>
              <w:keepLines/>
              <w:spacing w:after="0"/>
              <w:rPr>
                <w:sz w:val="20"/>
                <w:szCs w:val="20"/>
              </w:rPr>
            </w:pPr>
            <w:r>
              <w:rPr>
                <w:sz w:val="20"/>
                <w:szCs w:val="20"/>
              </w:rPr>
              <w:t>Total Hours Per Application</w:t>
            </w:r>
            <w:r w:rsidRPr="00732012">
              <w:rPr>
                <w:sz w:val="20"/>
                <w:szCs w:val="20"/>
              </w:rPr>
              <w:t xml:space="preserve"> (b)</w:t>
            </w:r>
          </w:p>
        </w:tc>
        <w:tc>
          <w:tcPr>
            <w:tcW w:w="1123" w:type="dxa"/>
            <w:shd w:val="clear" w:color="auto" w:fill="auto"/>
            <w:hideMark/>
          </w:tcPr>
          <w:p w:rsidR="00C351ED" w:rsidRPr="00732012" w:rsidP="003D29BA" w14:paraId="64A73F7F" w14:textId="77777777">
            <w:pPr>
              <w:keepNext/>
              <w:keepLines/>
              <w:spacing w:after="0"/>
              <w:jc w:val="right"/>
              <w:rPr>
                <w:sz w:val="20"/>
                <w:szCs w:val="20"/>
              </w:rPr>
            </w:pPr>
            <w:r w:rsidRPr="00732012">
              <w:rPr>
                <w:sz w:val="20"/>
                <w:szCs w:val="20"/>
              </w:rPr>
              <w:t>1</w:t>
            </w:r>
          </w:p>
        </w:tc>
      </w:tr>
      <w:tr w14:paraId="7D9F31CA" w14:textId="77777777" w:rsidTr="00B936AA">
        <w:tblPrEx>
          <w:tblW w:w="9720" w:type="dxa"/>
          <w:tblLook w:val="04A0"/>
        </w:tblPrEx>
        <w:trPr>
          <w:cantSplit/>
          <w:trHeight w:val="260"/>
        </w:trPr>
        <w:tc>
          <w:tcPr>
            <w:tcW w:w="8597" w:type="dxa"/>
            <w:shd w:val="clear" w:color="auto" w:fill="E7E6E6" w:themeFill="background2"/>
            <w:hideMark/>
          </w:tcPr>
          <w:p w:rsidR="00C351ED" w:rsidRPr="006C4F1A" w:rsidP="00F37138" w14:paraId="3667754F" w14:textId="7EDDAEE1">
            <w:pPr>
              <w:keepNext/>
              <w:keepLines/>
              <w:spacing w:after="0"/>
              <w:rPr>
                <w:b/>
                <w:bCs/>
                <w:sz w:val="20"/>
                <w:szCs w:val="20"/>
              </w:rPr>
            </w:pPr>
            <w:r w:rsidRPr="006C4F1A">
              <w:rPr>
                <w:b/>
                <w:bCs/>
                <w:sz w:val="20"/>
                <w:szCs w:val="20"/>
              </w:rPr>
              <w:t>Total Annual Hours for completing the Identity Management Application Process (c) = (a)</w:t>
            </w:r>
            <w:r w:rsidR="009D5A7D">
              <w:t xml:space="preserve"> </w:t>
            </w:r>
            <w:r w:rsidRPr="003D29BA" w:rsidR="00C07474">
              <w:rPr>
                <w:b/>
                <w:bCs/>
                <w:sz w:val="20"/>
                <w:szCs w:val="20"/>
              </w:rPr>
              <w:t>[</w:t>
            </w:r>
            <w:r w:rsidRPr="00C07474" w:rsidR="009D5A7D">
              <w:rPr>
                <w:b/>
                <w:bCs/>
                <w:sz w:val="20"/>
                <w:szCs w:val="20"/>
              </w:rPr>
              <w:t>x</w:t>
            </w:r>
            <w:r w:rsidRPr="00C07474" w:rsidR="00C07474">
              <w:rPr>
                <w:b/>
                <w:bCs/>
                <w:sz w:val="20"/>
                <w:szCs w:val="20"/>
              </w:rPr>
              <w:t>]</w:t>
            </w:r>
            <w:r w:rsidRPr="009D5A7D" w:rsidR="009D5A7D">
              <w:rPr>
                <w:b/>
                <w:bCs/>
                <w:sz w:val="20"/>
                <w:szCs w:val="20"/>
              </w:rPr>
              <w:t xml:space="preserve"> </w:t>
            </w:r>
            <w:r w:rsidRPr="006C4F1A">
              <w:rPr>
                <w:b/>
                <w:bCs/>
                <w:sz w:val="20"/>
                <w:szCs w:val="20"/>
              </w:rPr>
              <w:t>(b)</w:t>
            </w:r>
          </w:p>
        </w:tc>
        <w:tc>
          <w:tcPr>
            <w:tcW w:w="1123" w:type="dxa"/>
            <w:shd w:val="clear" w:color="auto" w:fill="E7E6E6" w:themeFill="background2"/>
            <w:hideMark/>
          </w:tcPr>
          <w:p w:rsidR="00C351ED" w:rsidRPr="006C4F1A" w:rsidP="003D29BA" w14:paraId="3A0C1C1C" w14:textId="369D1E16">
            <w:pPr>
              <w:keepNext/>
              <w:keepLines/>
              <w:spacing w:after="0"/>
              <w:jc w:val="right"/>
              <w:rPr>
                <w:b/>
                <w:bCs/>
                <w:sz w:val="20"/>
                <w:szCs w:val="20"/>
              </w:rPr>
            </w:pPr>
            <w:r w:rsidRPr="006C4F1A">
              <w:rPr>
                <w:b/>
                <w:bCs/>
                <w:sz w:val="20"/>
                <w:szCs w:val="20"/>
              </w:rPr>
              <w:t>6,500</w:t>
            </w:r>
          </w:p>
        </w:tc>
      </w:tr>
      <w:tr w14:paraId="6AC98AB3" w14:textId="77777777" w:rsidTr="007F64F4">
        <w:tblPrEx>
          <w:tblW w:w="9720" w:type="dxa"/>
          <w:tblLook w:val="04A0"/>
        </w:tblPrEx>
        <w:trPr>
          <w:cantSplit/>
          <w:trHeight w:val="314"/>
        </w:trPr>
        <w:tc>
          <w:tcPr>
            <w:tcW w:w="8597" w:type="dxa"/>
            <w:shd w:val="clear" w:color="auto" w:fill="auto"/>
            <w:hideMark/>
          </w:tcPr>
          <w:p w:rsidR="00C351ED" w:rsidRPr="00732012" w:rsidP="00C351ED" w14:paraId="5F46077F" w14:textId="1371EBE8">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w:t>
            </w:r>
            <w:r w:rsidR="00F1254E">
              <w:rPr>
                <w:sz w:val="20"/>
                <w:szCs w:val="20"/>
              </w:rPr>
              <w:t>103.40</w:t>
            </w:r>
            <w:r w:rsidRPr="00732012">
              <w:rPr>
                <w:sz w:val="20"/>
                <w:szCs w:val="20"/>
              </w:rPr>
              <w:t>/hr.) (d)</w:t>
            </w:r>
            <w:r w:rsidR="00BA660A">
              <w:rPr>
                <w:sz w:val="20"/>
                <w:szCs w:val="20"/>
              </w:rPr>
              <w:t xml:space="preserve"> = (b) </w:t>
            </w:r>
            <w:r w:rsidRPr="00C07474" w:rsidR="00BA660A">
              <w:rPr>
                <w:sz w:val="20"/>
                <w:szCs w:val="20"/>
              </w:rPr>
              <w:t>[</w:t>
            </w:r>
            <w:r w:rsidRPr="003D29BA" w:rsidR="00BA660A">
              <w:rPr>
                <w:sz w:val="20"/>
                <w:szCs w:val="20"/>
              </w:rPr>
              <w:t>x] $103.40/hr</w:t>
            </w:r>
          </w:p>
        </w:tc>
        <w:tc>
          <w:tcPr>
            <w:tcW w:w="1123" w:type="dxa"/>
            <w:shd w:val="clear" w:color="auto" w:fill="auto"/>
            <w:hideMark/>
          </w:tcPr>
          <w:p w:rsidR="00C351ED" w:rsidRPr="00732012" w:rsidP="003D29BA" w14:paraId="1C9A6962" w14:textId="2EFF3A34">
            <w:pPr>
              <w:spacing w:after="0"/>
              <w:jc w:val="right"/>
              <w:rPr>
                <w:sz w:val="20"/>
                <w:szCs w:val="20"/>
              </w:rPr>
            </w:pPr>
            <w:r w:rsidRPr="00732012">
              <w:rPr>
                <w:sz w:val="20"/>
                <w:szCs w:val="20"/>
              </w:rPr>
              <w:t>$</w:t>
            </w:r>
            <w:r w:rsidR="00BA660A">
              <w:rPr>
                <w:sz w:val="20"/>
                <w:szCs w:val="20"/>
              </w:rPr>
              <w:t>103.40</w:t>
            </w:r>
          </w:p>
        </w:tc>
      </w:tr>
      <w:tr w14:paraId="6A5A5AF5" w14:textId="77777777" w:rsidTr="00B936AA">
        <w:tblPrEx>
          <w:tblW w:w="9720" w:type="dxa"/>
          <w:tblLook w:val="04A0"/>
        </w:tblPrEx>
        <w:trPr>
          <w:cantSplit/>
          <w:trHeight w:val="242"/>
        </w:trPr>
        <w:tc>
          <w:tcPr>
            <w:tcW w:w="8597" w:type="dxa"/>
            <w:shd w:val="clear" w:color="auto" w:fill="E7E6E6" w:themeFill="background2"/>
            <w:hideMark/>
          </w:tcPr>
          <w:p w:rsidR="00C351ED" w:rsidRPr="006C4F1A" w:rsidP="00C351ED" w14:paraId="50DAD469" w14:textId="415E9FAB">
            <w:pPr>
              <w:spacing w:after="0"/>
              <w:rPr>
                <w:b/>
                <w:bCs/>
                <w:sz w:val="20"/>
                <w:szCs w:val="20"/>
              </w:rPr>
            </w:pPr>
            <w:r w:rsidRPr="006C4F1A">
              <w:rPr>
                <w:b/>
                <w:bCs/>
                <w:sz w:val="20"/>
                <w:szCs w:val="20"/>
              </w:rPr>
              <w:t xml:space="preserve">Total Annual Cost for </w:t>
            </w:r>
            <w:r w:rsidRPr="006C4F1A" w:rsidR="006B4818">
              <w:rPr>
                <w:b/>
                <w:bCs/>
                <w:sz w:val="20"/>
                <w:szCs w:val="20"/>
              </w:rPr>
              <w:t xml:space="preserve">completing the Identity Management Application Process </w:t>
            </w:r>
            <w:r w:rsidRPr="006C4F1A">
              <w:rPr>
                <w:b/>
                <w:bCs/>
                <w:sz w:val="20"/>
                <w:szCs w:val="20"/>
              </w:rPr>
              <w:t>(e) = (a)</w:t>
            </w:r>
            <w:r w:rsidR="009D5A7D">
              <w:t xml:space="preserve"> </w:t>
            </w:r>
            <w:r w:rsidRPr="00C07474" w:rsidR="00C07474">
              <w:rPr>
                <w:sz w:val="20"/>
                <w:szCs w:val="20"/>
              </w:rPr>
              <w:t>[</w:t>
            </w:r>
            <w:r w:rsidRPr="00C07474" w:rsidR="009D5A7D">
              <w:rPr>
                <w:b/>
                <w:bCs/>
                <w:sz w:val="20"/>
                <w:szCs w:val="20"/>
              </w:rPr>
              <w:t>x</w:t>
            </w:r>
            <w:r w:rsidRPr="00C07474" w:rsidR="00C07474">
              <w:rPr>
                <w:b/>
                <w:bCs/>
                <w:sz w:val="20"/>
                <w:szCs w:val="20"/>
              </w:rPr>
              <w:t>]</w:t>
            </w:r>
            <w:r w:rsidRPr="009D5A7D" w:rsidR="009D5A7D">
              <w:rPr>
                <w:b/>
                <w:bCs/>
                <w:sz w:val="20"/>
                <w:szCs w:val="20"/>
              </w:rPr>
              <w:t xml:space="preserve"> </w:t>
            </w:r>
            <w:r w:rsidRPr="006C4F1A">
              <w:rPr>
                <w:b/>
                <w:bCs/>
                <w:sz w:val="20"/>
                <w:szCs w:val="20"/>
              </w:rPr>
              <w:t>(d)</w:t>
            </w:r>
          </w:p>
        </w:tc>
        <w:tc>
          <w:tcPr>
            <w:tcW w:w="1123" w:type="dxa"/>
            <w:shd w:val="clear" w:color="auto" w:fill="E7E6E6" w:themeFill="background2"/>
            <w:hideMark/>
          </w:tcPr>
          <w:p w:rsidR="00C351ED" w:rsidRPr="006C4F1A" w:rsidP="003D29BA" w14:paraId="7613A2D2" w14:textId="10689DA2">
            <w:pPr>
              <w:spacing w:after="0"/>
              <w:jc w:val="right"/>
              <w:rPr>
                <w:b/>
                <w:bCs/>
                <w:sz w:val="20"/>
                <w:szCs w:val="20"/>
              </w:rPr>
            </w:pPr>
            <w:r w:rsidRPr="006C4F1A">
              <w:rPr>
                <w:b/>
                <w:bCs/>
                <w:sz w:val="20"/>
                <w:szCs w:val="20"/>
              </w:rPr>
              <w:t>$</w:t>
            </w:r>
            <w:r w:rsidRPr="006C4F1A" w:rsidR="00940290">
              <w:rPr>
                <w:b/>
                <w:bCs/>
                <w:sz w:val="20"/>
                <w:szCs w:val="20"/>
              </w:rPr>
              <w:t>6</w:t>
            </w:r>
            <w:r w:rsidR="004A7687">
              <w:rPr>
                <w:b/>
                <w:bCs/>
                <w:sz w:val="20"/>
                <w:szCs w:val="20"/>
              </w:rPr>
              <w:t>72,100</w:t>
            </w:r>
          </w:p>
        </w:tc>
      </w:tr>
    </w:tbl>
    <w:p w:rsidR="00677E06" w:rsidP="0011028A" w14:paraId="347C1C18" w14:textId="77777777">
      <w:pPr>
        <w:pStyle w:val="Heading4"/>
        <w:numPr>
          <w:ilvl w:val="0"/>
          <w:numId w:val="0"/>
        </w:numPr>
      </w:pPr>
    </w:p>
    <w:p w:rsidR="00C351ED" w:rsidRPr="0043521C" w:rsidP="0011028A" w14:paraId="028821FD" w14:textId="060CCF5F">
      <w:pPr>
        <w:pStyle w:val="Heading4"/>
        <w:numPr>
          <w:ilvl w:val="3"/>
          <w:numId w:val="23"/>
        </w:numPr>
      </w:pPr>
      <w:r w:rsidRPr="0043521C">
        <w:t xml:space="preserve">Burden for Quality Data Submission by Clinicians: </w:t>
      </w:r>
      <w:r w:rsidRPr="0043521C" w:rsidR="00532B06">
        <w:br/>
      </w:r>
      <w:r w:rsidRPr="0043521C" w:rsidR="00925739">
        <w:t xml:space="preserve">Medicare Part B </w:t>
      </w:r>
      <w:r w:rsidRPr="0043521C">
        <w:t>Claims-Based Collection Type</w:t>
      </w:r>
    </w:p>
    <w:p w:rsidR="00942FC4" w:rsidRPr="00942FC4" w:rsidP="00730BEF" w14:paraId="3210B6B5" w14:textId="6A0AC8C7">
      <w:pPr>
        <w:rPr>
          <w:rFonts w:eastAsia="Calibri"/>
        </w:rPr>
      </w:pPr>
      <w:r w:rsidRPr="00942FC4">
        <w:rPr>
          <w:rFonts w:eastAsia="Calibri"/>
        </w:rPr>
        <w:t xml:space="preserve">As noted in Table </w:t>
      </w:r>
      <w:r w:rsidR="00FB6E19">
        <w:rPr>
          <w:rFonts w:eastAsia="Calibri"/>
        </w:rPr>
        <w:t>11</w:t>
      </w:r>
      <w:r w:rsidR="007E478C">
        <w:rPr>
          <w:rFonts w:eastAsia="Calibri"/>
        </w:rPr>
        <w:t>,</w:t>
      </w:r>
      <w:r w:rsidRPr="00942FC4">
        <w:rPr>
          <w:rFonts w:eastAsia="Calibri"/>
        </w:rPr>
        <w:t xml:space="preserve"> </w:t>
      </w:r>
      <w:r w:rsidRPr="00B17713" w:rsidR="00B17713">
        <w:rPr>
          <w:rFonts w:eastAsia="Calibri"/>
        </w:rPr>
        <w:t xml:space="preserve">based on </w:t>
      </w:r>
      <w:r w:rsidR="003014BE">
        <w:rPr>
          <w:rFonts w:eastAsia="Calibri"/>
        </w:rPr>
        <w:t xml:space="preserve">CY </w:t>
      </w:r>
      <w:r w:rsidRPr="00B17713" w:rsidR="00B17713">
        <w:rPr>
          <w:rFonts w:eastAsia="Calibri"/>
        </w:rPr>
        <w:t>20</w:t>
      </w:r>
      <w:r w:rsidR="00D2424C">
        <w:rPr>
          <w:rFonts w:eastAsia="Calibri"/>
        </w:rPr>
        <w:t>2</w:t>
      </w:r>
      <w:r w:rsidR="002E283D">
        <w:rPr>
          <w:rFonts w:eastAsia="Calibri"/>
        </w:rPr>
        <w:t>2</w:t>
      </w:r>
      <w:r w:rsidRPr="00B17713" w:rsidR="00B17713">
        <w:rPr>
          <w:rFonts w:eastAsia="Calibri"/>
        </w:rPr>
        <w:t xml:space="preserve"> performance period</w:t>
      </w:r>
      <w:r w:rsidR="003014BE">
        <w:rPr>
          <w:rFonts w:eastAsia="Calibri"/>
        </w:rPr>
        <w:t>/202</w:t>
      </w:r>
      <w:r w:rsidR="002E283D">
        <w:rPr>
          <w:rFonts w:eastAsia="Calibri"/>
        </w:rPr>
        <w:t>4</w:t>
      </w:r>
      <w:r w:rsidR="0094797F">
        <w:rPr>
          <w:rFonts w:eastAsia="Calibri"/>
        </w:rPr>
        <w:t xml:space="preserve"> </w:t>
      </w:r>
      <w:r w:rsidR="003014BE">
        <w:rPr>
          <w:rFonts w:eastAsia="Calibri"/>
        </w:rPr>
        <w:t>MIPS payment year</w:t>
      </w:r>
      <w:r w:rsidRPr="00B17713" w:rsidR="00B17713">
        <w:rPr>
          <w:rFonts w:eastAsia="Calibri"/>
        </w:rPr>
        <w:t xml:space="preserve"> </w:t>
      </w:r>
      <w:r w:rsidR="005A46B4">
        <w:rPr>
          <w:rFonts w:eastAsia="Calibri"/>
        </w:rPr>
        <w:t xml:space="preserve">submission </w:t>
      </w:r>
      <w:r w:rsidRPr="00B17713" w:rsidR="00B17713">
        <w:rPr>
          <w:rFonts w:eastAsia="Calibri"/>
        </w:rPr>
        <w:t xml:space="preserve">data, we assume that </w:t>
      </w:r>
      <w:r w:rsidR="00CD5DE1">
        <w:rPr>
          <w:rFonts w:eastAsia="Calibri"/>
        </w:rPr>
        <w:t>1</w:t>
      </w:r>
      <w:r w:rsidR="005D1185">
        <w:rPr>
          <w:rFonts w:eastAsia="Calibri"/>
        </w:rPr>
        <w:t>3,413</w:t>
      </w:r>
      <w:r w:rsidRPr="00B17713" w:rsidR="00B17713">
        <w:rPr>
          <w:rFonts w:eastAsia="Calibri"/>
        </w:rPr>
        <w:t xml:space="preserve"> individual clinicians will collect and submit quality data via the Medicare Part B claims collection type</w:t>
      </w:r>
      <w:r w:rsidR="00044D61">
        <w:rPr>
          <w:rFonts w:eastAsia="Calibri"/>
        </w:rPr>
        <w:t xml:space="preserve">. </w:t>
      </w:r>
    </w:p>
    <w:p w:rsidR="00942FC4" w:rsidRPr="00942FC4" w:rsidP="00730BEF" w14:paraId="5386FD25" w14:textId="1F5B4522">
      <w:pPr>
        <w:rPr>
          <w:rFonts w:eastAsia="Calibri"/>
        </w:rPr>
      </w:pPr>
      <w:r w:rsidRPr="00942FC4">
        <w:rPr>
          <w:rFonts w:eastAsia="Calibri"/>
        </w:rPr>
        <w:t xml:space="preserve">As shown in Table </w:t>
      </w:r>
      <w:r w:rsidR="00FB6E19">
        <w:rPr>
          <w:rFonts w:eastAsia="Calibri"/>
        </w:rPr>
        <w:t>11</w:t>
      </w:r>
      <w:r w:rsidRPr="00942FC4">
        <w:rPr>
          <w:rFonts w:eastAsia="Calibri"/>
        </w:rPr>
        <w:t>,</w:t>
      </w:r>
      <w:r w:rsidRPr="00B17713" w:rsidR="00B17713">
        <w:rPr>
          <w:rFonts w:eastAsia="Calibri"/>
        </w:rPr>
        <w:t xml:space="preserve"> we estimate that the burden of quality data submission using Medicare Part B claims will range from 0.15 hours (9 minutes) at a cost of $1</w:t>
      </w:r>
      <w:r w:rsidR="00FB6E19">
        <w:rPr>
          <w:rFonts w:eastAsia="Calibri"/>
        </w:rPr>
        <w:t xml:space="preserve">5.51 </w:t>
      </w:r>
      <w:r w:rsidRPr="00B17713" w:rsidR="00B17713">
        <w:rPr>
          <w:rFonts w:eastAsia="Calibri"/>
        </w:rPr>
        <w:t>(0.15 hr x $</w:t>
      </w:r>
      <w:r w:rsidR="00FB6E19">
        <w:rPr>
          <w:rFonts w:eastAsia="Calibri"/>
        </w:rPr>
        <w:t>103.40</w:t>
      </w:r>
      <w:r w:rsidRPr="00B17713" w:rsidR="00B17713">
        <w:rPr>
          <w:rFonts w:eastAsia="Calibri"/>
        </w:rPr>
        <w:t>/hr) to 7.2 hours at a cost of $</w:t>
      </w:r>
      <w:r w:rsidR="00A311B4">
        <w:rPr>
          <w:rFonts w:eastAsia="Calibri"/>
        </w:rPr>
        <w:t>7</w:t>
      </w:r>
      <w:r w:rsidR="00FB6E19">
        <w:rPr>
          <w:rFonts w:eastAsia="Calibri"/>
        </w:rPr>
        <w:t>44.48</w:t>
      </w:r>
      <w:r w:rsidRPr="00B17713" w:rsidR="00B17713">
        <w:rPr>
          <w:rFonts w:eastAsia="Calibri"/>
        </w:rPr>
        <w:t xml:space="preserve"> (7.2 hr x $</w:t>
      </w:r>
      <w:r w:rsidR="00FB6E19">
        <w:rPr>
          <w:rFonts w:eastAsia="Calibri"/>
        </w:rPr>
        <w:t>103.40</w:t>
      </w:r>
      <w:r w:rsidRPr="00B17713" w:rsidR="00B17713">
        <w:rPr>
          <w:rFonts w:eastAsia="Calibri"/>
        </w:rPr>
        <w:t>/hr). The burden will involve becoming familiar with MIPS quality measure specifications. We believe that the start-up cost for a clinician’s practice to review measure specifications is 7 hours, consisting of 3 hours at $1</w:t>
      </w:r>
      <w:r w:rsidR="00FB6E19">
        <w:rPr>
          <w:rFonts w:eastAsia="Calibri"/>
        </w:rPr>
        <w:t>23.06</w:t>
      </w:r>
      <w:r w:rsidRPr="00B17713" w:rsidR="00B17713">
        <w:rPr>
          <w:rFonts w:eastAsia="Calibri"/>
        </w:rPr>
        <w:t xml:space="preserve">/hr for a </w:t>
      </w:r>
      <w:r w:rsidRPr="00B17713" w:rsidR="00B17713">
        <w:rPr>
          <w:rFonts w:eastAsia="Calibri"/>
        </w:rPr>
        <w:t>medical and health services manager, 1 hour at $2</w:t>
      </w:r>
      <w:r w:rsidR="00FB6E19">
        <w:rPr>
          <w:rFonts w:eastAsia="Calibri"/>
        </w:rPr>
        <w:t>74.44</w:t>
      </w:r>
      <w:r w:rsidRPr="00B17713" w:rsidR="00B17713">
        <w:rPr>
          <w:rFonts w:eastAsia="Calibri"/>
        </w:rPr>
        <w:t>/hr for a physician, 1 hour at $</w:t>
      </w:r>
      <w:r w:rsidR="00FB6E19">
        <w:rPr>
          <w:rFonts w:eastAsia="Calibri"/>
        </w:rPr>
        <w:t>53.72</w:t>
      </w:r>
      <w:r w:rsidRPr="00B17713" w:rsidR="00B17713">
        <w:rPr>
          <w:rFonts w:eastAsia="Calibri"/>
        </w:rPr>
        <w:t>/hr for an LPN, 1 hour at $</w:t>
      </w:r>
      <w:r w:rsidR="00FB6E19">
        <w:rPr>
          <w:rFonts w:eastAsia="Calibri"/>
        </w:rPr>
        <w:t>103.40</w:t>
      </w:r>
      <w:r w:rsidRPr="00B17713" w:rsidR="00B17713">
        <w:rPr>
          <w:rFonts w:eastAsia="Calibri"/>
        </w:rPr>
        <w:t>/hr for a computer systems analyst, and 1 hour at $</w:t>
      </w:r>
      <w:r w:rsidR="00BD0177">
        <w:rPr>
          <w:rFonts w:eastAsia="Calibri"/>
        </w:rPr>
        <w:t>4</w:t>
      </w:r>
      <w:r w:rsidR="00FB6E19">
        <w:rPr>
          <w:rFonts w:eastAsia="Calibri"/>
        </w:rPr>
        <w:t>3.08</w:t>
      </w:r>
      <w:r w:rsidRPr="00B17713" w:rsidR="00B17713">
        <w:rPr>
          <w:rFonts w:eastAsia="Calibri"/>
        </w:rPr>
        <w:t xml:space="preserve">/hr for a billing and posting clerk.  </w:t>
      </w:r>
    </w:p>
    <w:p w:rsidR="00942FC4" w:rsidRPr="00942FC4" w:rsidP="00730BEF" w14:paraId="7CAA5818" w14:textId="230E64F5">
      <w:pPr>
        <w:rPr>
          <w:rFonts w:eastAsia="Calibri"/>
        </w:rPr>
      </w:pPr>
      <w:r w:rsidRPr="00942FC4">
        <w:rPr>
          <w:rFonts w:eastAsia="Calibri"/>
        </w:rPr>
        <w:t>The estimate for reviewing and incorporating measure specifications for the claims collection type is higher than that of QCDRs/</w:t>
      </w:r>
      <w:r w:rsidR="00036231">
        <w:rPr>
          <w:rFonts w:eastAsia="Calibri"/>
        </w:rPr>
        <w:t>r</w:t>
      </w:r>
      <w:r w:rsidRPr="00942FC4">
        <w:rPr>
          <w:rFonts w:eastAsia="Calibri"/>
        </w:rPr>
        <w:t xml:space="preserve">egistries or eCQM collection types due to the more manual, and therefore, more burdensome nature of Medicare Part B claims measures. </w:t>
      </w:r>
    </w:p>
    <w:p w:rsidR="00B17713" w:rsidP="00730BEF" w14:paraId="48F38D92" w14:textId="263433A8">
      <w:pPr>
        <w:rPr>
          <w:rFonts w:eastAsia="Calibri"/>
        </w:rPr>
      </w:pPr>
      <w:r>
        <w:rPr>
          <w:rFonts w:eastAsia="Calibri"/>
        </w:rPr>
        <w:t xml:space="preserve">As shown in Table </w:t>
      </w:r>
      <w:r w:rsidR="00FB6E19">
        <w:rPr>
          <w:rFonts w:eastAsia="Calibri"/>
        </w:rPr>
        <w:t>11</w:t>
      </w:r>
      <w:r>
        <w:rPr>
          <w:rFonts w:eastAsia="Calibri"/>
        </w:rPr>
        <w:t xml:space="preserve">, </w:t>
      </w:r>
      <w:r w:rsidR="00EC6DA2">
        <w:rPr>
          <w:rFonts w:eastAsia="Calibri"/>
        </w:rPr>
        <w:t>f</w:t>
      </w:r>
      <w:r w:rsidR="00E85FD2">
        <w:rPr>
          <w:rFonts w:eastAsia="Calibri"/>
        </w:rPr>
        <w:t>or the CY 202</w:t>
      </w:r>
      <w:r w:rsidR="00FB6E19">
        <w:rPr>
          <w:rFonts w:eastAsia="Calibri"/>
        </w:rPr>
        <w:t>4</w:t>
      </w:r>
      <w:r w:rsidR="00E85FD2">
        <w:rPr>
          <w:rFonts w:eastAsia="Calibri"/>
        </w:rPr>
        <w:t xml:space="preserve"> performance period/202</w:t>
      </w:r>
      <w:r w:rsidR="00FB6E19">
        <w:rPr>
          <w:rFonts w:eastAsia="Calibri"/>
        </w:rPr>
        <w:t>6</w:t>
      </w:r>
      <w:r w:rsidR="00E85FD2">
        <w:rPr>
          <w:rFonts w:eastAsia="Calibri"/>
        </w:rPr>
        <w:t xml:space="preserve"> MIPS payment year, c</w:t>
      </w:r>
      <w:r w:rsidRPr="000709BE" w:rsidR="000709BE">
        <w:rPr>
          <w:rFonts w:eastAsia="Calibri"/>
        </w:rPr>
        <w:t xml:space="preserve">onsidering both data submission and start-up requirements, the estimated time (per clinician) ranges from a minimum of 7.15 hours (0.15 hr + 7 hr) to a maximum of 14.2 hours (7.2 hr + 7 hr). In </w:t>
      </w:r>
      <w:r w:rsidR="006477EC">
        <w:rPr>
          <w:rFonts w:eastAsia="Calibri"/>
        </w:rPr>
        <w:t>aggregate,</w:t>
      </w:r>
      <w:r w:rsidRPr="000709BE" w:rsidR="000709BE">
        <w:rPr>
          <w:rFonts w:eastAsia="Calibri"/>
        </w:rPr>
        <w:t xml:space="preserve"> the total annual time ranges from </w:t>
      </w:r>
      <w:r w:rsidR="0083407E">
        <w:rPr>
          <w:rFonts w:eastAsia="Calibri"/>
        </w:rPr>
        <w:t>95,903</w:t>
      </w:r>
      <w:r w:rsidRPr="00306E88" w:rsidR="00306E88">
        <w:rPr>
          <w:rFonts w:eastAsia="Calibri"/>
        </w:rPr>
        <w:t xml:space="preserve"> hours (7.15 hr x </w:t>
      </w:r>
      <w:r w:rsidR="003C76A5">
        <w:rPr>
          <w:rFonts w:eastAsia="Calibri"/>
        </w:rPr>
        <w:t>1</w:t>
      </w:r>
      <w:r w:rsidR="00787CCE">
        <w:rPr>
          <w:rFonts w:eastAsia="Calibri"/>
        </w:rPr>
        <w:t>3,413</w:t>
      </w:r>
      <w:r w:rsidR="003C76A5">
        <w:rPr>
          <w:rFonts w:eastAsia="Calibri"/>
        </w:rPr>
        <w:t xml:space="preserve"> </w:t>
      </w:r>
      <w:r w:rsidRPr="00306E88" w:rsidR="00306E88">
        <w:rPr>
          <w:rFonts w:eastAsia="Calibri"/>
        </w:rPr>
        <w:t xml:space="preserve">clinicians) to </w:t>
      </w:r>
      <w:r w:rsidR="005F6F12">
        <w:rPr>
          <w:rFonts w:eastAsia="Calibri"/>
        </w:rPr>
        <w:t>190,465</w:t>
      </w:r>
      <w:r w:rsidRPr="00306E88" w:rsidR="00306E88">
        <w:rPr>
          <w:rFonts w:eastAsia="Calibri"/>
        </w:rPr>
        <w:t xml:space="preserve"> hours (14.2 hr x </w:t>
      </w:r>
      <w:r w:rsidR="00FE78D4">
        <w:rPr>
          <w:rFonts w:eastAsia="Calibri"/>
        </w:rPr>
        <w:t>1</w:t>
      </w:r>
      <w:r w:rsidR="00787CCE">
        <w:rPr>
          <w:rFonts w:eastAsia="Calibri"/>
        </w:rPr>
        <w:t>3,413</w:t>
      </w:r>
      <w:r w:rsidRPr="00306E88" w:rsidR="00306E88">
        <w:rPr>
          <w:rFonts w:eastAsia="Calibri"/>
        </w:rPr>
        <w:t xml:space="preserve"> clinicians)</w:t>
      </w:r>
      <w:r w:rsidRPr="000709BE" w:rsidR="000709BE">
        <w:rPr>
          <w:rFonts w:eastAsia="Calibri"/>
        </w:rPr>
        <w:t>.  The estimated annual cost (per clinician) ranges from $</w:t>
      </w:r>
      <w:r w:rsidR="008B587C">
        <w:rPr>
          <w:rFonts w:eastAsia="Calibri"/>
        </w:rPr>
        <w:t>8</w:t>
      </w:r>
      <w:r w:rsidR="00FB6E19">
        <w:rPr>
          <w:rFonts w:eastAsia="Calibri"/>
        </w:rPr>
        <w:t>59.33</w:t>
      </w:r>
      <w:r w:rsidRPr="000709BE" w:rsidR="000709BE">
        <w:rPr>
          <w:rFonts w:eastAsia="Calibri"/>
        </w:rPr>
        <w:t xml:space="preserve"> [(0.15 hr x $</w:t>
      </w:r>
      <w:r w:rsidR="00FB6E19">
        <w:rPr>
          <w:rFonts w:eastAsia="Calibri"/>
        </w:rPr>
        <w:t>103.40</w:t>
      </w:r>
      <w:r w:rsidRPr="000709BE" w:rsidR="000709BE">
        <w:rPr>
          <w:rFonts w:eastAsia="Calibri"/>
        </w:rPr>
        <w:t>/hr) + (3 hr x $1</w:t>
      </w:r>
      <w:r w:rsidR="00FB6E19">
        <w:rPr>
          <w:rFonts w:eastAsia="Calibri"/>
        </w:rPr>
        <w:t>23.06</w:t>
      </w:r>
      <w:r w:rsidRPr="000709BE" w:rsidR="000709BE">
        <w:rPr>
          <w:rFonts w:eastAsia="Calibri"/>
        </w:rPr>
        <w:t>/hr) + (1 hr x $</w:t>
      </w:r>
      <w:r w:rsidR="00FB6E19">
        <w:rPr>
          <w:rFonts w:eastAsia="Calibri"/>
        </w:rPr>
        <w:t>103.40</w:t>
      </w:r>
      <w:r w:rsidRPr="000709BE" w:rsidR="000709BE">
        <w:rPr>
          <w:rFonts w:eastAsia="Calibri"/>
        </w:rPr>
        <w:t>/hr) + (1 hr x $</w:t>
      </w:r>
      <w:r w:rsidR="00FB6E19">
        <w:rPr>
          <w:rFonts w:eastAsia="Calibri"/>
        </w:rPr>
        <w:t>53.72</w:t>
      </w:r>
      <w:r w:rsidRPr="000709BE" w:rsidR="000709BE">
        <w:rPr>
          <w:rFonts w:eastAsia="Calibri"/>
        </w:rPr>
        <w:t>/hr) + (1 hr x $</w:t>
      </w:r>
      <w:r w:rsidR="001C6451">
        <w:rPr>
          <w:rFonts w:eastAsia="Calibri"/>
        </w:rPr>
        <w:t>4</w:t>
      </w:r>
      <w:r w:rsidR="00FB6E19">
        <w:rPr>
          <w:rFonts w:eastAsia="Calibri"/>
        </w:rPr>
        <w:t>3.06</w:t>
      </w:r>
      <w:r w:rsidRPr="000709BE" w:rsidR="000709BE">
        <w:rPr>
          <w:rFonts w:eastAsia="Calibri"/>
        </w:rPr>
        <w:t>/hr) + (1 hr x $2</w:t>
      </w:r>
      <w:r w:rsidR="00FB6E19">
        <w:rPr>
          <w:rFonts w:eastAsia="Calibri"/>
        </w:rPr>
        <w:t>74.44</w:t>
      </w:r>
      <w:r w:rsidRPr="000709BE" w:rsidR="000709BE">
        <w:rPr>
          <w:rFonts w:eastAsia="Calibri"/>
        </w:rPr>
        <w:t>/hr)] to a maximum of $1,</w:t>
      </w:r>
      <w:r w:rsidR="009A5D05">
        <w:rPr>
          <w:rFonts w:eastAsia="Calibri"/>
        </w:rPr>
        <w:t>5</w:t>
      </w:r>
      <w:r w:rsidR="00FB6E19">
        <w:rPr>
          <w:rFonts w:eastAsia="Calibri"/>
        </w:rPr>
        <w:t>88.30</w:t>
      </w:r>
      <w:r w:rsidRPr="000709BE" w:rsidR="000709BE">
        <w:rPr>
          <w:rFonts w:eastAsia="Calibri"/>
        </w:rPr>
        <w:t xml:space="preserve"> [(7.2 hr x $</w:t>
      </w:r>
      <w:r w:rsidR="00FB6E19">
        <w:rPr>
          <w:rFonts w:eastAsia="Calibri"/>
        </w:rPr>
        <w:t>103.40</w:t>
      </w:r>
      <w:r w:rsidRPr="000709BE" w:rsidR="000709BE">
        <w:rPr>
          <w:rFonts w:eastAsia="Calibri"/>
        </w:rPr>
        <w:t>/hr) + (3 hr x $1</w:t>
      </w:r>
      <w:r w:rsidR="00FB6E19">
        <w:rPr>
          <w:rFonts w:eastAsia="Calibri"/>
        </w:rPr>
        <w:t>23.06</w:t>
      </w:r>
      <w:r w:rsidRPr="000709BE" w:rsidR="000709BE">
        <w:rPr>
          <w:rFonts w:eastAsia="Calibri"/>
        </w:rPr>
        <w:t>/hr) + (1 hr x $</w:t>
      </w:r>
      <w:r w:rsidR="00FB6E19">
        <w:rPr>
          <w:rFonts w:eastAsia="Calibri"/>
        </w:rPr>
        <w:t>103.40</w:t>
      </w:r>
      <w:r w:rsidRPr="000709BE" w:rsidR="000709BE">
        <w:rPr>
          <w:rFonts w:eastAsia="Calibri"/>
        </w:rPr>
        <w:t>/hr) + (1 hr x $</w:t>
      </w:r>
      <w:r w:rsidR="00FB6E19">
        <w:rPr>
          <w:rFonts w:eastAsia="Calibri"/>
        </w:rPr>
        <w:t>53.72</w:t>
      </w:r>
      <w:r w:rsidRPr="000709BE" w:rsidR="000709BE">
        <w:rPr>
          <w:rFonts w:eastAsia="Calibri"/>
        </w:rPr>
        <w:t>/hr) + (1 hr x $</w:t>
      </w:r>
      <w:r w:rsidR="00933FBD">
        <w:rPr>
          <w:rFonts w:eastAsia="Calibri"/>
        </w:rPr>
        <w:t>4</w:t>
      </w:r>
      <w:r w:rsidR="00FB6E19">
        <w:rPr>
          <w:rFonts w:eastAsia="Calibri"/>
        </w:rPr>
        <w:t>3.06</w:t>
      </w:r>
      <w:r w:rsidRPr="000709BE" w:rsidR="000709BE">
        <w:rPr>
          <w:rFonts w:eastAsia="Calibri"/>
        </w:rPr>
        <w:t>/hr) + (1 hr x $2</w:t>
      </w:r>
      <w:r w:rsidR="00FB6E19">
        <w:rPr>
          <w:rFonts w:eastAsia="Calibri"/>
        </w:rPr>
        <w:t>74.44</w:t>
      </w:r>
      <w:r w:rsidRPr="000709BE" w:rsidR="000709BE">
        <w:rPr>
          <w:rFonts w:eastAsia="Calibri"/>
        </w:rPr>
        <w:t xml:space="preserve">/hr)].  The total annual cost </w:t>
      </w:r>
      <w:r w:rsidR="0001401A">
        <w:rPr>
          <w:rFonts w:eastAsia="Calibri"/>
        </w:rPr>
        <w:t>for the CY 202</w:t>
      </w:r>
      <w:r w:rsidR="004414A5">
        <w:rPr>
          <w:rFonts w:eastAsia="Calibri"/>
        </w:rPr>
        <w:t>4</w:t>
      </w:r>
      <w:r w:rsidR="0001401A">
        <w:rPr>
          <w:rFonts w:eastAsia="Calibri"/>
        </w:rPr>
        <w:t xml:space="preserve"> performance period/202</w:t>
      </w:r>
      <w:r w:rsidR="004414A5">
        <w:rPr>
          <w:rFonts w:eastAsia="Calibri"/>
        </w:rPr>
        <w:t>6</w:t>
      </w:r>
      <w:r w:rsidR="0001401A">
        <w:rPr>
          <w:rFonts w:eastAsia="Calibri"/>
        </w:rPr>
        <w:t xml:space="preserve"> MIPS payment year </w:t>
      </w:r>
      <w:r w:rsidRPr="000709BE" w:rsidR="000709BE">
        <w:rPr>
          <w:rFonts w:eastAsia="Calibri"/>
        </w:rPr>
        <w:t>ranges from a minimum of $</w:t>
      </w:r>
      <w:r w:rsidR="0001401A">
        <w:rPr>
          <w:rFonts w:eastAsia="Calibri"/>
        </w:rPr>
        <w:t>1</w:t>
      </w:r>
      <w:r w:rsidR="007C76CF">
        <w:rPr>
          <w:rFonts w:eastAsia="Calibri"/>
        </w:rPr>
        <w:t>1,526,193</w:t>
      </w:r>
      <w:r w:rsidRPr="000709BE" w:rsidR="000709BE">
        <w:rPr>
          <w:rFonts w:eastAsia="Calibri"/>
        </w:rPr>
        <w:t xml:space="preserve"> (</w:t>
      </w:r>
      <w:r w:rsidR="0001401A">
        <w:rPr>
          <w:rFonts w:eastAsia="Calibri"/>
        </w:rPr>
        <w:t>1</w:t>
      </w:r>
      <w:r w:rsidR="007C76CF">
        <w:rPr>
          <w:rFonts w:eastAsia="Calibri"/>
        </w:rPr>
        <w:t>3,413</w:t>
      </w:r>
      <w:r w:rsidRPr="000709BE" w:rsidR="000709BE">
        <w:rPr>
          <w:rFonts w:eastAsia="Calibri"/>
        </w:rPr>
        <w:t xml:space="preserve"> clinicians x $</w:t>
      </w:r>
      <w:r w:rsidR="00D21700">
        <w:rPr>
          <w:rFonts w:eastAsia="Calibri"/>
        </w:rPr>
        <w:t>8</w:t>
      </w:r>
      <w:r w:rsidR="00FB6E19">
        <w:rPr>
          <w:rFonts w:eastAsia="Calibri"/>
        </w:rPr>
        <w:t>59.33</w:t>
      </w:r>
      <w:r w:rsidRPr="000709BE" w:rsidR="000709BE">
        <w:rPr>
          <w:rFonts w:eastAsia="Calibri"/>
        </w:rPr>
        <w:t>) to a maximum of $</w:t>
      </w:r>
      <w:r w:rsidR="003512A6">
        <w:rPr>
          <w:rFonts w:eastAsia="Calibri"/>
        </w:rPr>
        <w:t>2</w:t>
      </w:r>
      <w:r w:rsidR="007C76CF">
        <w:rPr>
          <w:rFonts w:eastAsia="Calibri"/>
        </w:rPr>
        <w:t>1,303,868</w:t>
      </w:r>
      <w:r w:rsidRPr="000709BE" w:rsidR="000709BE">
        <w:rPr>
          <w:rFonts w:eastAsia="Calibri"/>
        </w:rPr>
        <w:t xml:space="preserve"> (</w:t>
      </w:r>
      <w:r w:rsidR="003512A6">
        <w:rPr>
          <w:rFonts w:eastAsia="Calibri"/>
        </w:rPr>
        <w:t>1</w:t>
      </w:r>
      <w:r w:rsidR="007C76CF">
        <w:rPr>
          <w:rFonts w:eastAsia="Calibri"/>
        </w:rPr>
        <w:t>3,413</w:t>
      </w:r>
      <w:r w:rsidRPr="000709BE" w:rsidR="000709BE">
        <w:rPr>
          <w:rFonts w:eastAsia="Calibri"/>
        </w:rPr>
        <w:t xml:space="preserve"> clinicians x $1,</w:t>
      </w:r>
      <w:r w:rsidR="00506CF8">
        <w:rPr>
          <w:rFonts w:eastAsia="Calibri"/>
        </w:rPr>
        <w:t>5</w:t>
      </w:r>
      <w:r w:rsidR="00FB6E19">
        <w:rPr>
          <w:rFonts w:eastAsia="Calibri"/>
        </w:rPr>
        <w:t>88.30</w:t>
      </w:r>
      <w:r w:rsidRPr="000709BE" w:rsidR="000709BE">
        <w:rPr>
          <w:rFonts w:eastAsia="Calibri"/>
        </w:rPr>
        <w:t>)</w:t>
      </w:r>
      <w:r>
        <w:rPr>
          <w:rFonts w:eastAsia="Calibri"/>
        </w:rPr>
        <w:t>.</w:t>
      </w:r>
    </w:p>
    <w:p w:rsidR="00C351ED" w:rsidRPr="00732012" w:rsidP="00380B9C" w14:paraId="4A56D872" w14:textId="2237A3B9">
      <w:pPr>
        <w:keepNext/>
        <w:keepLines/>
        <w:spacing w:after="0"/>
        <w:jc w:val="center"/>
        <w:rPr>
          <w:b/>
          <w:bCs/>
        </w:rPr>
      </w:pPr>
      <w:r w:rsidRPr="00C47150">
        <w:rPr>
          <w:b/>
          <w:bCs/>
        </w:rPr>
        <w:t xml:space="preserve">TABLE </w:t>
      </w:r>
      <w:r w:rsidR="00FB6E19">
        <w:rPr>
          <w:b/>
          <w:bCs/>
        </w:rPr>
        <w:t>11</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1937"/>
        <w:gridCol w:w="2216"/>
        <w:gridCol w:w="2430"/>
      </w:tblGrid>
      <w:tr w14:paraId="654BD251" w14:textId="73ABC69B" w:rsidTr="003D29BA">
        <w:tblPrEx>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30"/>
          <w:tblHeader/>
          <w:jc w:val="center"/>
        </w:trPr>
        <w:tc>
          <w:tcPr>
            <w:tcW w:w="2425" w:type="dxa"/>
            <w:shd w:val="clear" w:color="auto" w:fill="auto"/>
            <w:vAlign w:val="center"/>
            <w:hideMark/>
          </w:tcPr>
          <w:p w:rsidR="002753EA" w:rsidRPr="00C351ED" w:rsidP="00380B9C" w14:paraId="00BA7BA3" w14:textId="69830F03">
            <w:pPr>
              <w:keepNext/>
              <w:keepLines/>
              <w:spacing w:after="0"/>
              <w:rPr>
                <w:b/>
                <w:sz w:val="20"/>
                <w:szCs w:val="20"/>
              </w:rPr>
            </w:pPr>
            <w:r w:rsidRPr="00732012">
              <w:rPr>
                <w:sz w:val="20"/>
                <w:szCs w:val="20"/>
              </w:rPr>
              <w:t> </w:t>
            </w:r>
            <w:r w:rsidRPr="00C351ED">
              <w:rPr>
                <w:b/>
                <w:sz w:val="20"/>
                <w:szCs w:val="20"/>
              </w:rPr>
              <w:t>Burden and Respondent Descriptions</w:t>
            </w:r>
          </w:p>
        </w:tc>
        <w:tc>
          <w:tcPr>
            <w:tcW w:w="1937" w:type="dxa"/>
            <w:shd w:val="clear" w:color="auto" w:fill="auto"/>
            <w:vAlign w:val="center"/>
            <w:hideMark/>
          </w:tcPr>
          <w:p w:rsidR="002753EA" w:rsidRPr="00732012" w:rsidP="00380B9C" w14:paraId="0D25D71D" w14:textId="70BFCA6D">
            <w:pPr>
              <w:keepNext/>
              <w:keepLines/>
              <w:spacing w:after="0"/>
              <w:rPr>
                <w:b/>
                <w:bCs/>
                <w:sz w:val="20"/>
                <w:szCs w:val="20"/>
              </w:rPr>
            </w:pPr>
            <w:r w:rsidRPr="00732012">
              <w:rPr>
                <w:b/>
                <w:bCs/>
                <w:sz w:val="20"/>
                <w:szCs w:val="20"/>
              </w:rPr>
              <w:t>Minimum Burden</w:t>
            </w:r>
            <w:r>
              <w:rPr>
                <w:b/>
                <w:bCs/>
                <w:sz w:val="20"/>
                <w:szCs w:val="20"/>
              </w:rPr>
              <w:t xml:space="preserve"> Estimate</w:t>
            </w:r>
          </w:p>
        </w:tc>
        <w:tc>
          <w:tcPr>
            <w:tcW w:w="2216" w:type="dxa"/>
            <w:shd w:val="clear" w:color="auto" w:fill="auto"/>
            <w:vAlign w:val="center"/>
            <w:hideMark/>
          </w:tcPr>
          <w:p w:rsidR="002753EA" w:rsidRPr="00732012" w:rsidP="00380B9C" w14:paraId="7FBA1E2B" w14:textId="574B0D2F">
            <w:pPr>
              <w:keepNext/>
              <w:keepLines/>
              <w:spacing w:after="0"/>
              <w:rPr>
                <w:b/>
                <w:bCs/>
                <w:sz w:val="20"/>
                <w:szCs w:val="20"/>
              </w:rPr>
            </w:pPr>
            <w:r w:rsidRPr="00732012">
              <w:rPr>
                <w:b/>
                <w:bCs/>
                <w:sz w:val="20"/>
                <w:szCs w:val="20"/>
              </w:rPr>
              <w:t>Median Burden</w:t>
            </w:r>
            <w:r>
              <w:rPr>
                <w:b/>
                <w:bCs/>
                <w:sz w:val="20"/>
                <w:szCs w:val="20"/>
              </w:rPr>
              <w:t xml:space="preserve"> Estimate</w:t>
            </w:r>
          </w:p>
        </w:tc>
        <w:tc>
          <w:tcPr>
            <w:tcW w:w="2430" w:type="dxa"/>
            <w:shd w:val="clear" w:color="auto" w:fill="auto"/>
            <w:vAlign w:val="center"/>
            <w:hideMark/>
          </w:tcPr>
          <w:p w:rsidR="002753EA" w:rsidRPr="00732012" w:rsidP="00380B9C" w14:paraId="22244A87" w14:textId="53B69C9E">
            <w:pPr>
              <w:keepNext/>
              <w:keepLines/>
              <w:spacing w:after="0"/>
              <w:rPr>
                <w:b/>
                <w:bCs/>
                <w:sz w:val="20"/>
                <w:szCs w:val="20"/>
              </w:rPr>
            </w:pPr>
            <w:r w:rsidRPr="00732012">
              <w:rPr>
                <w:b/>
                <w:bCs/>
                <w:sz w:val="20"/>
                <w:szCs w:val="20"/>
              </w:rPr>
              <w:t>Maximum Burden Estimate</w:t>
            </w:r>
            <w:r>
              <w:rPr>
                <w:b/>
                <w:bCs/>
                <w:sz w:val="20"/>
                <w:szCs w:val="20"/>
              </w:rPr>
              <w:t xml:space="preserve"> </w:t>
            </w:r>
          </w:p>
        </w:tc>
      </w:tr>
      <w:tr w14:paraId="1AA9F1F7" w14:textId="34A3CAC7" w:rsidTr="003D29BA">
        <w:tblPrEx>
          <w:tblW w:w="9008" w:type="dxa"/>
          <w:jc w:val="center"/>
          <w:tblLook w:val="04A0"/>
        </w:tblPrEx>
        <w:trPr>
          <w:cantSplit/>
          <w:trHeight w:val="3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2753EA" w:rsidRPr="00732012" w:rsidP="00B26904" w14:paraId="28D04CE3" w14:textId="77777777">
            <w:pPr>
              <w:keepLines/>
              <w:spacing w:after="0"/>
              <w:rPr>
                <w:sz w:val="20"/>
                <w:szCs w:val="20"/>
              </w:rPr>
            </w:pPr>
            <w:r w:rsidRPr="00732012">
              <w:rPr>
                <w:sz w:val="20"/>
                <w:szCs w:val="20"/>
              </w:rPr>
              <w:t># of Clinicians (a)</w:t>
            </w:r>
          </w:p>
        </w:tc>
        <w:tc>
          <w:tcPr>
            <w:tcW w:w="1937" w:type="dxa"/>
            <w:tcBorders>
              <w:top w:val="single" w:sz="4" w:space="0" w:color="auto"/>
              <w:left w:val="single" w:sz="4" w:space="0" w:color="auto"/>
              <w:bottom w:val="single" w:sz="4" w:space="0" w:color="auto"/>
              <w:right w:val="single" w:sz="4" w:space="0" w:color="auto"/>
            </w:tcBorders>
            <w:shd w:val="clear" w:color="auto" w:fill="auto"/>
            <w:noWrap/>
          </w:tcPr>
          <w:p w:rsidR="002753EA" w:rsidRPr="00E538DA" w:rsidP="00B26904" w14:paraId="5A2263AD" w14:textId="3026F0F9">
            <w:pPr>
              <w:keepLines/>
              <w:spacing w:after="0"/>
              <w:rPr>
                <w:sz w:val="20"/>
                <w:szCs w:val="20"/>
              </w:rPr>
            </w:pPr>
            <w:r>
              <w:rPr>
                <w:rFonts w:eastAsia="Calibri"/>
                <w:sz w:val="20"/>
                <w:szCs w:val="20"/>
              </w:rPr>
              <w:t>1</w:t>
            </w:r>
            <w:r w:rsidR="00DB519A">
              <w:rPr>
                <w:rFonts w:eastAsia="Calibri"/>
                <w:sz w:val="20"/>
                <w:szCs w:val="20"/>
              </w:rPr>
              <w:t>3,413</w:t>
            </w:r>
          </w:p>
        </w:tc>
        <w:tc>
          <w:tcPr>
            <w:tcW w:w="2216" w:type="dxa"/>
            <w:tcBorders>
              <w:top w:val="single" w:sz="4" w:space="0" w:color="auto"/>
              <w:left w:val="single" w:sz="4" w:space="0" w:color="auto"/>
              <w:bottom w:val="single" w:sz="4" w:space="0" w:color="auto"/>
              <w:right w:val="single" w:sz="4" w:space="0" w:color="auto"/>
            </w:tcBorders>
            <w:shd w:val="clear" w:color="auto" w:fill="auto"/>
            <w:noWrap/>
          </w:tcPr>
          <w:p w:rsidR="002753EA" w:rsidRPr="00E538DA" w:rsidP="00B26904" w14:paraId="7456BB10" w14:textId="0A531E2D">
            <w:pPr>
              <w:keepLines/>
              <w:spacing w:after="0"/>
              <w:rPr>
                <w:sz w:val="20"/>
                <w:szCs w:val="20"/>
              </w:rPr>
            </w:pPr>
            <w:r>
              <w:rPr>
                <w:rFonts w:eastAsia="Calibri"/>
                <w:sz w:val="20"/>
                <w:szCs w:val="20"/>
              </w:rPr>
              <w:t>1</w:t>
            </w:r>
            <w:r w:rsidR="00DB519A">
              <w:rPr>
                <w:rFonts w:eastAsia="Calibri"/>
                <w:sz w:val="20"/>
                <w:szCs w:val="20"/>
              </w:rPr>
              <w:t>3,413</w:t>
            </w:r>
          </w:p>
        </w:tc>
        <w:tc>
          <w:tcPr>
            <w:tcW w:w="2430" w:type="dxa"/>
            <w:tcBorders>
              <w:top w:val="single" w:sz="4" w:space="0" w:color="auto"/>
              <w:left w:val="single" w:sz="4" w:space="0" w:color="auto"/>
              <w:bottom w:val="single" w:sz="4" w:space="0" w:color="auto"/>
              <w:right w:val="single" w:sz="4" w:space="0" w:color="auto"/>
            </w:tcBorders>
            <w:shd w:val="clear" w:color="auto" w:fill="auto"/>
            <w:noWrap/>
          </w:tcPr>
          <w:p w:rsidR="002753EA" w:rsidRPr="00E538DA" w:rsidP="00B26904" w14:paraId="3E533F23" w14:textId="2E6DEB32">
            <w:pPr>
              <w:keepLines/>
              <w:spacing w:after="0"/>
              <w:rPr>
                <w:sz w:val="20"/>
                <w:szCs w:val="20"/>
              </w:rPr>
            </w:pPr>
            <w:r>
              <w:rPr>
                <w:rFonts w:eastAsia="Calibri"/>
                <w:sz w:val="20"/>
                <w:szCs w:val="20"/>
              </w:rPr>
              <w:t>13,413</w:t>
            </w:r>
          </w:p>
        </w:tc>
      </w:tr>
      <w:tr w14:paraId="36D8AB84" w14:textId="2D91D0A0" w:rsidTr="003D29BA">
        <w:tblPrEx>
          <w:tblW w:w="9008" w:type="dxa"/>
          <w:jc w:val="center"/>
          <w:tblLook w:val="04A0"/>
        </w:tblPrEx>
        <w:trPr>
          <w:cantSplit/>
          <w:trHeight w:val="358"/>
          <w:jc w:val="center"/>
        </w:trPr>
        <w:tc>
          <w:tcPr>
            <w:tcW w:w="2425" w:type="dxa"/>
            <w:shd w:val="clear" w:color="auto" w:fill="auto"/>
            <w:hideMark/>
          </w:tcPr>
          <w:p w:rsidR="002753EA" w:rsidRPr="00732012" w:rsidP="00591967" w14:paraId="04B458D1" w14:textId="65217394">
            <w:pPr>
              <w:keepLines/>
              <w:spacing w:after="0"/>
              <w:rPr>
                <w:sz w:val="20"/>
                <w:szCs w:val="20"/>
              </w:rPr>
            </w:pPr>
            <w:r w:rsidRPr="00732012">
              <w:rPr>
                <w:sz w:val="20"/>
                <w:szCs w:val="20"/>
              </w:rPr>
              <w:t>Hours Per Clinician to Submit Quality Data (b)</w:t>
            </w:r>
          </w:p>
        </w:tc>
        <w:tc>
          <w:tcPr>
            <w:tcW w:w="1937" w:type="dxa"/>
            <w:shd w:val="clear" w:color="auto" w:fill="auto"/>
            <w:hideMark/>
          </w:tcPr>
          <w:p w:rsidR="002753EA" w:rsidRPr="00732012" w:rsidP="00591967" w14:paraId="15BFF35D" w14:textId="5DDDFCEB">
            <w:pPr>
              <w:keepLines/>
              <w:spacing w:after="0"/>
              <w:rPr>
                <w:sz w:val="20"/>
                <w:szCs w:val="20"/>
              </w:rPr>
            </w:pPr>
            <w:r w:rsidRPr="003428D4">
              <w:rPr>
                <w:rFonts w:eastAsia="Calibri"/>
                <w:sz w:val="20"/>
                <w:szCs w:val="20"/>
              </w:rPr>
              <w:t>0.15</w:t>
            </w:r>
          </w:p>
        </w:tc>
        <w:tc>
          <w:tcPr>
            <w:tcW w:w="2216" w:type="dxa"/>
            <w:shd w:val="clear" w:color="auto" w:fill="auto"/>
            <w:hideMark/>
          </w:tcPr>
          <w:p w:rsidR="002753EA" w:rsidRPr="00732012" w:rsidP="00591967" w14:paraId="7FE7FB6A" w14:textId="39FD400E">
            <w:pPr>
              <w:keepLines/>
              <w:spacing w:after="0"/>
              <w:rPr>
                <w:sz w:val="20"/>
                <w:szCs w:val="20"/>
              </w:rPr>
            </w:pPr>
            <w:r w:rsidRPr="003428D4">
              <w:rPr>
                <w:rFonts w:eastAsia="Calibri"/>
                <w:sz w:val="20"/>
                <w:szCs w:val="20"/>
              </w:rPr>
              <w:t>1.05</w:t>
            </w:r>
          </w:p>
        </w:tc>
        <w:tc>
          <w:tcPr>
            <w:tcW w:w="2430" w:type="dxa"/>
            <w:shd w:val="clear" w:color="auto" w:fill="auto"/>
            <w:hideMark/>
          </w:tcPr>
          <w:p w:rsidR="002753EA" w:rsidRPr="00732012" w:rsidP="00591967" w14:paraId="01A52066" w14:textId="66B8AA3E">
            <w:pPr>
              <w:keepLines/>
              <w:spacing w:after="0"/>
              <w:rPr>
                <w:sz w:val="20"/>
                <w:szCs w:val="20"/>
              </w:rPr>
            </w:pPr>
            <w:r w:rsidRPr="003428D4">
              <w:rPr>
                <w:rFonts w:eastAsia="Calibri"/>
                <w:sz w:val="20"/>
                <w:szCs w:val="20"/>
              </w:rPr>
              <w:t>7.2</w:t>
            </w:r>
          </w:p>
        </w:tc>
      </w:tr>
      <w:tr w14:paraId="2BC8F339" w14:textId="47AD0FE2" w:rsidTr="003D29BA">
        <w:tblPrEx>
          <w:tblW w:w="9008" w:type="dxa"/>
          <w:jc w:val="center"/>
          <w:tblLook w:val="04A0"/>
        </w:tblPrEx>
        <w:trPr>
          <w:cantSplit/>
          <w:trHeight w:val="525"/>
          <w:jc w:val="center"/>
        </w:trPr>
        <w:tc>
          <w:tcPr>
            <w:tcW w:w="2425" w:type="dxa"/>
            <w:shd w:val="clear" w:color="auto" w:fill="auto"/>
            <w:hideMark/>
          </w:tcPr>
          <w:p w:rsidR="002753EA" w:rsidRPr="00732012" w:rsidP="00591967" w14:paraId="3138C537" w14:textId="4D4212E7">
            <w:pPr>
              <w:keepLines/>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(c)</w:t>
            </w:r>
          </w:p>
        </w:tc>
        <w:tc>
          <w:tcPr>
            <w:tcW w:w="1937" w:type="dxa"/>
            <w:shd w:val="clear" w:color="auto" w:fill="auto"/>
            <w:hideMark/>
          </w:tcPr>
          <w:p w:rsidR="002753EA" w:rsidRPr="00732012" w:rsidP="00591967" w14:paraId="69F2A140" w14:textId="11F401CF">
            <w:pPr>
              <w:keepLines/>
              <w:spacing w:after="0"/>
              <w:rPr>
                <w:sz w:val="20"/>
                <w:szCs w:val="20"/>
              </w:rPr>
            </w:pPr>
            <w:r w:rsidRPr="003428D4">
              <w:rPr>
                <w:rFonts w:eastAsia="Calibri"/>
                <w:sz w:val="20"/>
                <w:szCs w:val="20"/>
              </w:rPr>
              <w:t>3</w:t>
            </w:r>
          </w:p>
        </w:tc>
        <w:tc>
          <w:tcPr>
            <w:tcW w:w="2216" w:type="dxa"/>
            <w:shd w:val="clear" w:color="auto" w:fill="auto"/>
            <w:hideMark/>
          </w:tcPr>
          <w:p w:rsidR="002753EA" w:rsidRPr="00732012" w:rsidP="00591967" w14:paraId="1C20FF06" w14:textId="740EFAFE">
            <w:pPr>
              <w:keepLines/>
              <w:spacing w:after="0"/>
              <w:rPr>
                <w:sz w:val="20"/>
                <w:szCs w:val="20"/>
              </w:rPr>
            </w:pPr>
            <w:r w:rsidRPr="003428D4">
              <w:rPr>
                <w:rFonts w:eastAsia="Calibri"/>
                <w:sz w:val="20"/>
                <w:szCs w:val="20"/>
              </w:rPr>
              <w:t>3</w:t>
            </w:r>
          </w:p>
        </w:tc>
        <w:tc>
          <w:tcPr>
            <w:tcW w:w="2430" w:type="dxa"/>
            <w:shd w:val="clear" w:color="auto" w:fill="auto"/>
            <w:hideMark/>
          </w:tcPr>
          <w:p w:rsidR="002753EA" w:rsidRPr="00732012" w:rsidP="00591967" w14:paraId="38E45CCD" w14:textId="40F0C713">
            <w:pPr>
              <w:keepLines/>
              <w:spacing w:after="0"/>
              <w:rPr>
                <w:sz w:val="20"/>
                <w:szCs w:val="20"/>
              </w:rPr>
            </w:pPr>
            <w:r w:rsidRPr="003428D4">
              <w:rPr>
                <w:rFonts w:eastAsia="Calibri"/>
                <w:sz w:val="20"/>
                <w:szCs w:val="20"/>
              </w:rPr>
              <w:t>3</w:t>
            </w:r>
          </w:p>
        </w:tc>
      </w:tr>
      <w:tr w14:paraId="507376EA" w14:textId="4F21E1A9" w:rsidTr="003D29BA">
        <w:tblPrEx>
          <w:tblW w:w="9008" w:type="dxa"/>
          <w:jc w:val="center"/>
          <w:tblLook w:val="04A0"/>
        </w:tblPrEx>
        <w:trPr>
          <w:cantSplit/>
          <w:trHeight w:val="520"/>
          <w:jc w:val="center"/>
        </w:trPr>
        <w:tc>
          <w:tcPr>
            <w:tcW w:w="2425" w:type="dxa"/>
            <w:shd w:val="clear" w:color="auto" w:fill="auto"/>
            <w:hideMark/>
          </w:tcPr>
          <w:p w:rsidR="002753EA" w:rsidRPr="00732012" w:rsidP="00591967" w14:paraId="5727A7E0" w14:textId="77777777">
            <w:pPr>
              <w:keepLines/>
              <w:spacing w:after="0"/>
              <w:rPr>
                <w:sz w:val="20"/>
                <w:szCs w:val="20"/>
              </w:rPr>
            </w:pPr>
            <w:r w:rsidRPr="00732012">
              <w:rPr>
                <w:sz w:val="20"/>
                <w:szCs w:val="20"/>
              </w:rPr>
              <w:t># of Hours Computer Systems Analyst Review Measure Specifications (d)</w:t>
            </w:r>
          </w:p>
        </w:tc>
        <w:tc>
          <w:tcPr>
            <w:tcW w:w="1937" w:type="dxa"/>
            <w:shd w:val="clear" w:color="auto" w:fill="auto"/>
            <w:hideMark/>
          </w:tcPr>
          <w:p w:rsidR="002753EA" w:rsidRPr="00732012" w:rsidP="00591967" w14:paraId="276011DF" w14:textId="7FAD17C2">
            <w:pPr>
              <w:keepLines/>
              <w:spacing w:after="0"/>
              <w:rPr>
                <w:sz w:val="20"/>
                <w:szCs w:val="20"/>
              </w:rPr>
            </w:pPr>
            <w:r w:rsidRPr="003428D4">
              <w:rPr>
                <w:rFonts w:eastAsia="Calibri"/>
                <w:sz w:val="20"/>
                <w:szCs w:val="20"/>
              </w:rPr>
              <w:t>1</w:t>
            </w:r>
          </w:p>
        </w:tc>
        <w:tc>
          <w:tcPr>
            <w:tcW w:w="2216" w:type="dxa"/>
            <w:shd w:val="clear" w:color="auto" w:fill="auto"/>
            <w:hideMark/>
          </w:tcPr>
          <w:p w:rsidR="002753EA" w:rsidRPr="00732012" w:rsidP="00591967" w14:paraId="2B9A5528" w14:textId="68C70BEC">
            <w:pPr>
              <w:keepLines/>
              <w:spacing w:after="0"/>
              <w:rPr>
                <w:sz w:val="20"/>
                <w:szCs w:val="20"/>
              </w:rPr>
            </w:pPr>
            <w:r w:rsidRPr="003428D4">
              <w:rPr>
                <w:rFonts w:eastAsia="Calibri"/>
                <w:sz w:val="20"/>
                <w:szCs w:val="20"/>
              </w:rPr>
              <w:t>1</w:t>
            </w:r>
          </w:p>
        </w:tc>
        <w:tc>
          <w:tcPr>
            <w:tcW w:w="2430" w:type="dxa"/>
            <w:shd w:val="clear" w:color="auto" w:fill="auto"/>
            <w:hideMark/>
          </w:tcPr>
          <w:p w:rsidR="002753EA" w:rsidRPr="00732012" w:rsidP="00591967" w14:paraId="5AC19B66" w14:textId="14A6E3FE">
            <w:pPr>
              <w:keepLines/>
              <w:spacing w:after="0"/>
              <w:rPr>
                <w:sz w:val="20"/>
                <w:szCs w:val="20"/>
              </w:rPr>
            </w:pPr>
            <w:r w:rsidRPr="003428D4">
              <w:rPr>
                <w:rFonts w:eastAsia="Calibri"/>
                <w:sz w:val="20"/>
                <w:szCs w:val="20"/>
              </w:rPr>
              <w:t>1</w:t>
            </w:r>
          </w:p>
        </w:tc>
      </w:tr>
      <w:tr w14:paraId="214A14BE" w14:textId="6C3E7A2E" w:rsidTr="003D29BA">
        <w:tblPrEx>
          <w:tblW w:w="9008" w:type="dxa"/>
          <w:jc w:val="center"/>
          <w:tblLook w:val="04A0"/>
        </w:tblPrEx>
        <w:trPr>
          <w:cantSplit/>
          <w:trHeight w:val="525"/>
          <w:jc w:val="center"/>
        </w:trPr>
        <w:tc>
          <w:tcPr>
            <w:tcW w:w="2425" w:type="dxa"/>
            <w:shd w:val="clear" w:color="auto" w:fill="auto"/>
            <w:hideMark/>
          </w:tcPr>
          <w:p w:rsidR="002753EA" w:rsidRPr="00732012" w:rsidP="00591967" w14:paraId="78A5C732" w14:textId="77777777">
            <w:pPr>
              <w:keepLines/>
              <w:spacing w:after="0"/>
              <w:rPr>
                <w:sz w:val="20"/>
                <w:szCs w:val="20"/>
              </w:rPr>
            </w:pPr>
            <w:r w:rsidRPr="00732012">
              <w:rPr>
                <w:sz w:val="20"/>
                <w:szCs w:val="20"/>
              </w:rPr>
              <w:t xml:space="preserve"> # of Hours LPN Review Measure Specifications (e)</w:t>
            </w:r>
          </w:p>
        </w:tc>
        <w:tc>
          <w:tcPr>
            <w:tcW w:w="1937" w:type="dxa"/>
            <w:shd w:val="clear" w:color="auto" w:fill="auto"/>
            <w:hideMark/>
          </w:tcPr>
          <w:p w:rsidR="002753EA" w:rsidRPr="00732012" w:rsidP="00591967" w14:paraId="0AD7C15A" w14:textId="525EE490">
            <w:pPr>
              <w:keepLines/>
              <w:spacing w:after="0"/>
              <w:rPr>
                <w:sz w:val="20"/>
                <w:szCs w:val="20"/>
              </w:rPr>
            </w:pPr>
            <w:r w:rsidRPr="003428D4">
              <w:rPr>
                <w:rFonts w:eastAsia="Calibri"/>
                <w:sz w:val="20"/>
                <w:szCs w:val="20"/>
              </w:rPr>
              <w:t>1</w:t>
            </w:r>
          </w:p>
        </w:tc>
        <w:tc>
          <w:tcPr>
            <w:tcW w:w="2216" w:type="dxa"/>
            <w:shd w:val="clear" w:color="auto" w:fill="auto"/>
            <w:hideMark/>
          </w:tcPr>
          <w:p w:rsidR="002753EA" w:rsidRPr="00732012" w:rsidP="00591967" w14:paraId="12215AA9" w14:textId="6BE2AB23">
            <w:pPr>
              <w:keepLines/>
              <w:spacing w:after="0"/>
              <w:rPr>
                <w:sz w:val="20"/>
                <w:szCs w:val="20"/>
              </w:rPr>
            </w:pPr>
            <w:r w:rsidRPr="003428D4">
              <w:rPr>
                <w:rFonts w:eastAsia="Calibri"/>
                <w:sz w:val="20"/>
                <w:szCs w:val="20"/>
              </w:rPr>
              <w:t>1</w:t>
            </w:r>
          </w:p>
        </w:tc>
        <w:tc>
          <w:tcPr>
            <w:tcW w:w="2430" w:type="dxa"/>
            <w:shd w:val="clear" w:color="auto" w:fill="auto"/>
            <w:hideMark/>
          </w:tcPr>
          <w:p w:rsidR="002753EA" w:rsidRPr="00732012" w:rsidP="00591967" w14:paraId="249FCB61" w14:textId="4530D517">
            <w:pPr>
              <w:keepLines/>
              <w:spacing w:after="0"/>
              <w:rPr>
                <w:sz w:val="20"/>
                <w:szCs w:val="20"/>
              </w:rPr>
            </w:pPr>
            <w:r w:rsidRPr="003428D4">
              <w:rPr>
                <w:rFonts w:eastAsia="Calibri"/>
                <w:sz w:val="20"/>
                <w:szCs w:val="20"/>
              </w:rPr>
              <w:t>1</w:t>
            </w:r>
          </w:p>
        </w:tc>
      </w:tr>
      <w:tr w14:paraId="0681AC2D" w14:textId="03B18CE5" w:rsidTr="003D29BA">
        <w:tblPrEx>
          <w:tblW w:w="9008" w:type="dxa"/>
          <w:jc w:val="center"/>
          <w:tblLook w:val="04A0"/>
        </w:tblPrEx>
        <w:trPr>
          <w:cantSplit/>
          <w:trHeight w:val="525"/>
          <w:jc w:val="center"/>
        </w:trPr>
        <w:tc>
          <w:tcPr>
            <w:tcW w:w="2425" w:type="dxa"/>
            <w:shd w:val="clear" w:color="auto" w:fill="auto"/>
            <w:hideMark/>
          </w:tcPr>
          <w:p w:rsidR="002753EA" w:rsidRPr="00732012" w:rsidP="00591967" w14:paraId="320A81F5" w14:textId="77777777">
            <w:pPr>
              <w:keepLines/>
              <w:spacing w:after="0"/>
              <w:rPr>
                <w:sz w:val="20"/>
                <w:szCs w:val="20"/>
              </w:rPr>
            </w:pPr>
            <w:r w:rsidRPr="00732012">
              <w:rPr>
                <w:sz w:val="20"/>
                <w:szCs w:val="20"/>
              </w:rPr>
              <w:t xml:space="preserve"> # of Hours Billing Clerk Review Measure Specifications (f)</w:t>
            </w:r>
          </w:p>
        </w:tc>
        <w:tc>
          <w:tcPr>
            <w:tcW w:w="1937" w:type="dxa"/>
            <w:shd w:val="clear" w:color="auto" w:fill="auto"/>
            <w:hideMark/>
          </w:tcPr>
          <w:p w:rsidR="002753EA" w:rsidRPr="00732012" w:rsidP="00591967" w14:paraId="5828720A" w14:textId="2775A21D">
            <w:pPr>
              <w:keepLines/>
              <w:spacing w:after="0"/>
              <w:rPr>
                <w:sz w:val="20"/>
                <w:szCs w:val="20"/>
              </w:rPr>
            </w:pPr>
            <w:r w:rsidRPr="003428D4">
              <w:rPr>
                <w:rFonts w:eastAsia="Calibri"/>
                <w:sz w:val="20"/>
                <w:szCs w:val="20"/>
              </w:rPr>
              <w:t>1</w:t>
            </w:r>
          </w:p>
        </w:tc>
        <w:tc>
          <w:tcPr>
            <w:tcW w:w="2216" w:type="dxa"/>
            <w:shd w:val="clear" w:color="auto" w:fill="auto"/>
            <w:hideMark/>
          </w:tcPr>
          <w:p w:rsidR="002753EA" w:rsidRPr="00732012" w:rsidP="00591967" w14:paraId="22ABC1E7" w14:textId="2C52B7DD">
            <w:pPr>
              <w:keepLines/>
              <w:spacing w:after="0"/>
              <w:rPr>
                <w:sz w:val="20"/>
                <w:szCs w:val="20"/>
              </w:rPr>
            </w:pPr>
            <w:r w:rsidRPr="003428D4">
              <w:rPr>
                <w:rFonts w:eastAsia="Calibri"/>
                <w:sz w:val="20"/>
                <w:szCs w:val="20"/>
              </w:rPr>
              <w:t>1</w:t>
            </w:r>
          </w:p>
        </w:tc>
        <w:tc>
          <w:tcPr>
            <w:tcW w:w="2430" w:type="dxa"/>
            <w:shd w:val="clear" w:color="auto" w:fill="auto"/>
            <w:hideMark/>
          </w:tcPr>
          <w:p w:rsidR="002753EA" w:rsidRPr="00732012" w:rsidP="00591967" w14:paraId="323A6D59" w14:textId="32963BD6">
            <w:pPr>
              <w:keepLines/>
              <w:spacing w:after="0"/>
              <w:rPr>
                <w:sz w:val="20"/>
                <w:szCs w:val="20"/>
              </w:rPr>
            </w:pPr>
            <w:r w:rsidRPr="003428D4">
              <w:rPr>
                <w:rFonts w:eastAsia="Calibri"/>
                <w:sz w:val="20"/>
                <w:szCs w:val="20"/>
              </w:rPr>
              <w:t>1</w:t>
            </w:r>
          </w:p>
        </w:tc>
      </w:tr>
      <w:tr w14:paraId="289074F4" w14:textId="0A512110" w:rsidTr="003D29BA">
        <w:tblPrEx>
          <w:tblW w:w="9008" w:type="dxa"/>
          <w:jc w:val="center"/>
          <w:tblLook w:val="04A0"/>
        </w:tblPrEx>
        <w:trPr>
          <w:cantSplit/>
          <w:trHeight w:val="502"/>
          <w:jc w:val="center"/>
        </w:trPr>
        <w:tc>
          <w:tcPr>
            <w:tcW w:w="2425" w:type="dxa"/>
            <w:shd w:val="clear" w:color="auto" w:fill="auto"/>
            <w:hideMark/>
          </w:tcPr>
          <w:p w:rsidR="002753EA" w:rsidRPr="00732012" w:rsidP="00591967" w14:paraId="37B700B5" w14:textId="77777777">
            <w:pPr>
              <w:keepLines/>
              <w:spacing w:after="0"/>
              <w:rPr>
                <w:sz w:val="20"/>
                <w:szCs w:val="20"/>
              </w:rPr>
            </w:pPr>
            <w:r w:rsidRPr="00732012">
              <w:rPr>
                <w:sz w:val="20"/>
                <w:szCs w:val="20"/>
              </w:rPr>
              <w:t># of Hours Clinician Review Measure Specifications (g)</w:t>
            </w:r>
          </w:p>
        </w:tc>
        <w:tc>
          <w:tcPr>
            <w:tcW w:w="1937" w:type="dxa"/>
            <w:shd w:val="clear" w:color="auto" w:fill="auto"/>
            <w:hideMark/>
          </w:tcPr>
          <w:p w:rsidR="002753EA" w:rsidRPr="00732012" w:rsidP="00591967" w14:paraId="02A2E8BD" w14:textId="49337652">
            <w:pPr>
              <w:keepLines/>
              <w:spacing w:after="0"/>
              <w:rPr>
                <w:sz w:val="20"/>
                <w:szCs w:val="20"/>
              </w:rPr>
            </w:pPr>
            <w:r w:rsidRPr="003428D4">
              <w:rPr>
                <w:rFonts w:eastAsia="Calibri"/>
                <w:sz w:val="20"/>
                <w:szCs w:val="20"/>
              </w:rPr>
              <w:t>1</w:t>
            </w:r>
          </w:p>
        </w:tc>
        <w:tc>
          <w:tcPr>
            <w:tcW w:w="2216" w:type="dxa"/>
            <w:shd w:val="clear" w:color="auto" w:fill="auto"/>
            <w:hideMark/>
          </w:tcPr>
          <w:p w:rsidR="002753EA" w:rsidRPr="00732012" w:rsidP="00591967" w14:paraId="3EC74AFD" w14:textId="31F278A9">
            <w:pPr>
              <w:keepLines/>
              <w:spacing w:after="0"/>
              <w:rPr>
                <w:sz w:val="20"/>
                <w:szCs w:val="20"/>
              </w:rPr>
            </w:pPr>
            <w:r w:rsidRPr="003428D4">
              <w:rPr>
                <w:rFonts w:eastAsia="Calibri"/>
                <w:sz w:val="20"/>
                <w:szCs w:val="20"/>
              </w:rPr>
              <w:t>1</w:t>
            </w:r>
          </w:p>
        </w:tc>
        <w:tc>
          <w:tcPr>
            <w:tcW w:w="2430" w:type="dxa"/>
            <w:shd w:val="clear" w:color="auto" w:fill="auto"/>
            <w:hideMark/>
          </w:tcPr>
          <w:p w:rsidR="002753EA" w:rsidRPr="00732012" w:rsidP="00591967" w14:paraId="7E94ABD1" w14:textId="608F8F06">
            <w:pPr>
              <w:keepLines/>
              <w:spacing w:after="0"/>
              <w:rPr>
                <w:sz w:val="20"/>
                <w:szCs w:val="20"/>
              </w:rPr>
            </w:pPr>
            <w:r w:rsidRPr="003428D4">
              <w:rPr>
                <w:rFonts w:eastAsia="Calibri"/>
                <w:sz w:val="20"/>
                <w:szCs w:val="20"/>
              </w:rPr>
              <w:t>1</w:t>
            </w:r>
          </w:p>
        </w:tc>
      </w:tr>
      <w:tr w14:paraId="3D37EF86" w14:textId="1BBEC9AA" w:rsidTr="003D29BA">
        <w:tblPrEx>
          <w:tblW w:w="9008" w:type="dxa"/>
          <w:jc w:val="center"/>
          <w:tblLook w:val="04A0"/>
        </w:tblPrEx>
        <w:trPr>
          <w:cantSplit/>
          <w:trHeight w:val="525"/>
          <w:jc w:val="center"/>
        </w:trPr>
        <w:tc>
          <w:tcPr>
            <w:tcW w:w="2425" w:type="dxa"/>
            <w:shd w:val="clear" w:color="auto" w:fill="auto"/>
            <w:hideMark/>
          </w:tcPr>
          <w:p w:rsidR="002753EA" w:rsidRPr="00732012" w:rsidP="00591967" w14:paraId="48E36A37" w14:textId="77777777">
            <w:pPr>
              <w:keepLines/>
              <w:spacing w:after="0"/>
              <w:rPr>
                <w:sz w:val="20"/>
                <w:szCs w:val="20"/>
              </w:rPr>
            </w:pPr>
            <w:r w:rsidRPr="00732012">
              <w:rPr>
                <w:sz w:val="20"/>
                <w:szCs w:val="20"/>
              </w:rPr>
              <w:t>Annual Hours per Clinician (h) = (b)+(c)+(d)+(e)+(f)+(g)</w:t>
            </w:r>
          </w:p>
        </w:tc>
        <w:tc>
          <w:tcPr>
            <w:tcW w:w="1937" w:type="dxa"/>
            <w:shd w:val="clear" w:color="auto" w:fill="auto"/>
            <w:hideMark/>
          </w:tcPr>
          <w:p w:rsidR="002753EA" w:rsidRPr="00732012" w:rsidP="00591967" w14:paraId="576E94F3" w14:textId="7BA22CC6">
            <w:pPr>
              <w:keepLines/>
              <w:spacing w:after="0"/>
              <w:rPr>
                <w:sz w:val="20"/>
                <w:szCs w:val="20"/>
              </w:rPr>
            </w:pPr>
            <w:r w:rsidRPr="003428D4">
              <w:rPr>
                <w:rFonts w:eastAsia="Calibri"/>
                <w:sz w:val="20"/>
                <w:szCs w:val="20"/>
              </w:rPr>
              <w:t>7.15</w:t>
            </w:r>
          </w:p>
        </w:tc>
        <w:tc>
          <w:tcPr>
            <w:tcW w:w="2216" w:type="dxa"/>
            <w:shd w:val="clear" w:color="auto" w:fill="auto"/>
            <w:hideMark/>
          </w:tcPr>
          <w:p w:rsidR="002753EA" w:rsidRPr="00732012" w:rsidP="00591967" w14:paraId="4855075E" w14:textId="6E13874E">
            <w:pPr>
              <w:keepLines/>
              <w:spacing w:after="0"/>
              <w:rPr>
                <w:sz w:val="20"/>
                <w:szCs w:val="20"/>
              </w:rPr>
            </w:pPr>
            <w:r w:rsidRPr="003428D4">
              <w:rPr>
                <w:rFonts w:eastAsia="Calibri"/>
                <w:sz w:val="20"/>
                <w:szCs w:val="20"/>
              </w:rPr>
              <w:t>8.05</w:t>
            </w:r>
          </w:p>
        </w:tc>
        <w:tc>
          <w:tcPr>
            <w:tcW w:w="2430" w:type="dxa"/>
            <w:shd w:val="clear" w:color="auto" w:fill="auto"/>
            <w:hideMark/>
          </w:tcPr>
          <w:p w:rsidR="002753EA" w:rsidRPr="00732012" w:rsidP="00591967" w14:paraId="010879DE" w14:textId="01F7B31B">
            <w:pPr>
              <w:keepLines/>
              <w:spacing w:after="0"/>
              <w:rPr>
                <w:sz w:val="20"/>
                <w:szCs w:val="20"/>
              </w:rPr>
            </w:pPr>
            <w:r w:rsidRPr="003428D4">
              <w:rPr>
                <w:rFonts w:eastAsia="Calibri"/>
                <w:sz w:val="20"/>
                <w:szCs w:val="20"/>
              </w:rPr>
              <w:t>14.2</w:t>
            </w:r>
          </w:p>
        </w:tc>
      </w:tr>
      <w:tr w14:paraId="6D6A47A8" w14:textId="6A17E254" w:rsidTr="00B936AA">
        <w:tblPrEx>
          <w:tblW w:w="9008" w:type="dxa"/>
          <w:jc w:val="center"/>
          <w:tblLook w:val="04A0"/>
        </w:tblPrEx>
        <w:trPr>
          <w:cantSplit/>
          <w:trHeight w:val="525"/>
          <w:jc w:val="center"/>
        </w:trPr>
        <w:tc>
          <w:tcPr>
            <w:tcW w:w="2425" w:type="dxa"/>
            <w:shd w:val="clear" w:color="auto" w:fill="E7E6E6" w:themeFill="background2"/>
            <w:hideMark/>
          </w:tcPr>
          <w:p w:rsidR="004E4507" w:rsidRPr="00732012" w:rsidP="004E4507" w14:paraId="25ECB229" w14:textId="79F17D38">
            <w:pPr>
              <w:keepLines/>
              <w:spacing w:after="0"/>
              <w:rPr>
                <w:b/>
                <w:bCs/>
                <w:sz w:val="20"/>
                <w:szCs w:val="20"/>
              </w:rPr>
            </w:pPr>
            <w:r w:rsidRPr="00732012">
              <w:rPr>
                <w:b/>
                <w:bCs/>
                <w:sz w:val="20"/>
                <w:szCs w:val="20"/>
              </w:rPr>
              <w:t>Total Annual Hours (i) = (a)</w:t>
            </w:r>
            <w:r>
              <w:t xml:space="preserve"> </w:t>
            </w:r>
            <w:r w:rsidRPr="007C77E5">
              <w:rPr>
                <w:sz w:val="20"/>
                <w:szCs w:val="20"/>
              </w:rPr>
              <w:t>[</w:t>
            </w:r>
            <w:r w:rsidRPr="007C77E5">
              <w:rPr>
                <w:b/>
                <w:bCs/>
                <w:sz w:val="20"/>
                <w:szCs w:val="20"/>
              </w:rPr>
              <w:t>x]</w:t>
            </w:r>
            <w:r w:rsidRPr="00DE6BD8">
              <w:rPr>
                <w:b/>
                <w:bCs/>
                <w:sz w:val="20"/>
                <w:szCs w:val="20"/>
              </w:rPr>
              <w:t xml:space="preserve"> </w:t>
            </w:r>
            <w:r w:rsidRPr="00732012">
              <w:rPr>
                <w:b/>
                <w:bCs/>
                <w:sz w:val="20"/>
                <w:szCs w:val="20"/>
              </w:rPr>
              <w:t>(h)</w:t>
            </w:r>
          </w:p>
        </w:tc>
        <w:tc>
          <w:tcPr>
            <w:tcW w:w="1937" w:type="dxa"/>
            <w:tcBorders>
              <w:top w:val="single" w:sz="4" w:space="0" w:color="auto"/>
              <w:left w:val="single" w:sz="4" w:space="0" w:color="auto"/>
              <w:bottom w:val="single" w:sz="4" w:space="0" w:color="auto"/>
              <w:right w:val="single" w:sz="4" w:space="0" w:color="auto"/>
            </w:tcBorders>
            <w:shd w:val="clear" w:color="auto" w:fill="E7E6E6" w:themeFill="background2"/>
          </w:tcPr>
          <w:p w:rsidR="004E4507" w:rsidRPr="00804D97" w:rsidP="004E4507" w14:paraId="047BA2F8" w14:textId="49E4B26F">
            <w:pPr>
              <w:keepLines/>
              <w:spacing w:after="0"/>
              <w:rPr>
                <w:b/>
                <w:bCs/>
                <w:sz w:val="20"/>
                <w:szCs w:val="20"/>
              </w:rPr>
            </w:pPr>
            <w:r>
              <w:rPr>
                <w:b/>
                <w:bCs/>
                <w:color w:val="000000" w:themeColor="text1"/>
                <w:sz w:val="20"/>
                <w:szCs w:val="20"/>
              </w:rPr>
              <w:t>95,903</w:t>
            </w:r>
          </w:p>
        </w:tc>
        <w:tc>
          <w:tcPr>
            <w:tcW w:w="2216" w:type="dxa"/>
            <w:tcBorders>
              <w:top w:val="single" w:sz="4" w:space="0" w:color="auto"/>
              <w:left w:val="single" w:sz="4" w:space="0" w:color="auto"/>
              <w:bottom w:val="single" w:sz="4" w:space="0" w:color="auto"/>
              <w:right w:val="single" w:sz="4" w:space="0" w:color="auto"/>
            </w:tcBorders>
            <w:shd w:val="clear" w:color="auto" w:fill="E7E6E6" w:themeFill="background2"/>
          </w:tcPr>
          <w:p w:rsidR="004E4507" w:rsidRPr="00804D97" w:rsidP="004E4507" w14:paraId="1627AFEE" w14:textId="659E1AEC">
            <w:pPr>
              <w:keepLines/>
              <w:spacing w:after="0"/>
              <w:rPr>
                <w:b/>
                <w:bCs/>
                <w:sz w:val="20"/>
                <w:szCs w:val="20"/>
              </w:rPr>
            </w:pPr>
            <w:r w:rsidRPr="001375BC">
              <w:rPr>
                <w:b/>
                <w:bCs/>
                <w:color w:val="000000" w:themeColor="text1"/>
                <w:sz w:val="20"/>
                <w:szCs w:val="20"/>
              </w:rPr>
              <w:t>1</w:t>
            </w:r>
            <w:r w:rsidR="008D5477">
              <w:rPr>
                <w:b/>
                <w:bCs/>
                <w:color w:val="000000" w:themeColor="text1"/>
                <w:sz w:val="20"/>
                <w:szCs w:val="20"/>
              </w:rPr>
              <w:t>07,975</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tcPr>
          <w:p w:rsidR="004E4507" w:rsidRPr="00804D97" w:rsidP="004E4507" w14:paraId="0B94FAE8" w14:textId="7D7BBE53">
            <w:pPr>
              <w:keepLines/>
              <w:spacing w:after="0"/>
              <w:rPr>
                <w:b/>
                <w:bCs/>
                <w:sz w:val="20"/>
                <w:szCs w:val="20"/>
              </w:rPr>
            </w:pPr>
            <w:r>
              <w:rPr>
                <w:b/>
                <w:bCs/>
                <w:color w:val="000000" w:themeColor="text1"/>
                <w:sz w:val="20"/>
                <w:szCs w:val="20"/>
              </w:rPr>
              <w:t>190,465</w:t>
            </w:r>
          </w:p>
        </w:tc>
      </w:tr>
      <w:tr w14:paraId="3637C460" w14:textId="2AEC5869" w:rsidTr="003D29BA">
        <w:tblPrEx>
          <w:tblW w:w="9008" w:type="dxa"/>
          <w:jc w:val="center"/>
          <w:tblLook w:val="04A0"/>
        </w:tblPrEx>
        <w:trPr>
          <w:cantSplit/>
          <w:trHeight w:val="520"/>
          <w:jc w:val="center"/>
        </w:trPr>
        <w:tc>
          <w:tcPr>
            <w:tcW w:w="2425" w:type="dxa"/>
            <w:shd w:val="clear" w:color="auto" w:fill="auto"/>
            <w:hideMark/>
          </w:tcPr>
          <w:p w:rsidR="007355CD" w:rsidRPr="00B17713" w:rsidP="007355CD" w14:paraId="214BECC6" w14:textId="410A9C62">
            <w:pPr>
              <w:keepLines/>
              <w:spacing w:after="0"/>
              <w:rPr>
                <w:sz w:val="20"/>
                <w:szCs w:val="20"/>
              </w:rPr>
            </w:pPr>
            <w:r w:rsidRPr="00B17713">
              <w:rPr>
                <w:sz w:val="20"/>
                <w:szCs w:val="20"/>
              </w:rPr>
              <w:t>Cost to Submit Quality Data (@ computer systems analyst’s labor rate of $</w:t>
            </w:r>
            <w:r>
              <w:rPr>
                <w:sz w:val="20"/>
                <w:szCs w:val="20"/>
              </w:rPr>
              <w:t>103.40</w:t>
            </w:r>
            <w:r w:rsidRPr="00B17713">
              <w:rPr>
                <w:sz w:val="20"/>
                <w:szCs w:val="20"/>
              </w:rPr>
              <w:t>/hr @ varying times) (j)</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78C71B67" w14:textId="563CB2FA">
            <w:pPr>
              <w:keepLines/>
              <w:spacing w:after="0"/>
              <w:rPr>
                <w:sz w:val="20"/>
                <w:szCs w:val="20"/>
              </w:rPr>
            </w:pPr>
            <w:r w:rsidRPr="001375BC">
              <w:rPr>
                <w:color w:val="000000" w:themeColor="text1"/>
                <w:sz w:val="20"/>
                <w:szCs w:val="20"/>
              </w:rPr>
              <w:t>$1</w:t>
            </w:r>
            <w:r>
              <w:rPr>
                <w:color w:val="000000" w:themeColor="text1"/>
                <w:sz w:val="20"/>
                <w:szCs w:val="20"/>
              </w:rPr>
              <w:t>5.51</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09733675" w14:textId="1024A1E4">
            <w:pPr>
              <w:keepLines/>
              <w:spacing w:after="0"/>
              <w:rPr>
                <w:sz w:val="20"/>
                <w:szCs w:val="20"/>
              </w:rPr>
            </w:pPr>
            <w:r w:rsidRPr="001375BC">
              <w:rPr>
                <w:color w:val="000000" w:themeColor="text1"/>
                <w:sz w:val="20"/>
                <w:szCs w:val="20"/>
              </w:rPr>
              <w:t>$10</w:t>
            </w:r>
            <w:r>
              <w:rPr>
                <w:color w:val="000000" w:themeColor="text1"/>
                <w:sz w:val="20"/>
                <w:szCs w:val="20"/>
              </w:rPr>
              <w:t>8.57</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23FCD9AF" w14:textId="73B71BE2">
            <w:pPr>
              <w:keepLines/>
              <w:spacing w:after="0"/>
              <w:rPr>
                <w:sz w:val="20"/>
                <w:szCs w:val="20"/>
              </w:rPr>
            </w:pPr>
            <w:r w:rsidRPr="001375BC">
              <w:rPr>
                <w:color w:val="000000" w:themeColor="text1"/>
                <w:sz w:val="20"/>
                <w:szCs w:val="20"/>
              </w:rPr>
              <w:t>$7</w:t>
            </w:r>
            <w:r>
              <w:rPr>
                <w:color w:val="000000" w:themeColor="text1"/>
                <w:sz w:val="20"/>
                <w:szCs w:val="20"/>
              </w:rPr>
              <w:t>44.48</w:t>
            </w:r>
          </w:p>
        </w:tc>
      </w:tr>
      <w:tr w14:paraId="77B72102" w14:textId="400C5969" w:rsidTr="003D29BA">
        <w:tblPrEx>
          <w:tblW w:w="9008" w:type="dxa"/>
          <w:jc w:val="center"/>
          <w:tblLook w:val="04A0"/>
        </w:tblPrEx>
        <w:trPr>
          <w:cantSplit/>
          <w:trHeight w:val="520"/>
          <w:jc w:val="center"/>
        </w:trPr>
        <w:tc>
          <w:tcPr>
            <w:tcW w:w="2425" w:type="dxa"/>
            <w:shd w:val="clear" w:color="auto" w:fill="auto"/>
            <w:hideMark/>
          </w:tcPr>
          <w:p w:rsidR="007355CD" w:rsidRPr="00B17713" w:rsidP="007355CD" w14:paraId="14755A63" w14:textId="52B595DA">
            <w:pPr>
              <w:keepLines/>
              <w:spacing w:after="0"/>
              <w:rPr>
                <w:sz w:val="20"/>
                <w:szCs w:val="20"/>
              </w:rPr>
            </w:pPr>
            <w:r w:rsidRPr="00B17713">
              <w:rPr>
                <w:sz w:val="20"/>
                <w:szCs w:val="20"/>
              </w:rPr>
              <w:t>Cost to Review Measure Specifications (@ medical and health services manager's labor rate of $1</w:t>
            </w:r>
            <w:r w:rsidR="00A01750">
              <w:rPr>
                <w:sz w:val="20"/>
                <w:szCs w:val="20"/>
              </w:rPr>
              <w:t>23.06</w:t>
            </w:r>
            <w:r w:rsidRPr="00B17713">
              <w:rPr>
                <w:sz w:val="20"/>
                <w:szCs w:val="20"/>
              </w:rPr>
              <w:t>/hr @ 3 hr) (k)</w:t>
            </w:r>
          </w:p>
        </w:tc>
        <w:tc>
          <w:tcPr>
            <w:tcW w:w="1937" w:type="dxa"/>
            <w:shd w:val="clear" w:color="auto" w:fill="auto"/>
          </w:tcPr>
          <w:p w:rsidR="007355CD" w:rsidRPr="00B17713" w:rsidP="007355CD" w14:paraId="751954B0" w14:textId="4579DAE2">
            <w:pPr>
              <w:keepLines/>
              <w:spacing w:after="0"/>
              <w:rPr>
                <w:sz w:val="20"/>
                <w:szCs w:val="20"/>
              </w:rPr>
            </w:pPr>
            <w:r w:rsidRPr="001375BC">
              <w:rPr>
                <w:color w:val="000000" w:themeColor="text1"/>
                <w:sz w:val="20"/>
                <w:szCs w:val="20"/>
              </w:rPr>
              <w:t>$3</w:t>
            </w:r>
            <w:r>
              <w:rPr>
                <w:color w:val="000000" w:themeColor="text1"/>
                <w:sz w:val="20"/>
                <w:szCs w:val="20"/>
              </w:rPr>
              <w:t>69.18</w:t>
            </w:r>
          </w:p>
        </w:tc>
        <w:tc>
          <w:tcPr>
            <w:tcW w:w="2216" w:type="dxa"/>
            <w:shd w:val="clear" w:color="auto" w:fill="auto"/>
          </w:tcPr>
          <w:p w:rsidR="007355CD" w:rsidRPr="00B17713" w:rsidP="007355CD" w14:paraId="67D2E423" w14:textId="250F9BC3">
            <w:pPr>
              <w:keepLines/>
              <w:spacing w:after="0"/>
              <w:rPr>
                <w:sz w:val="20"/>
                <w:szCs w:val="20"/>
              </w:rPr>
            </w:pPr>
            <w:r w:rsidRPr="001375BC">
              <w:rPr>
                <w:color w:val="000000" w:themeColor="text1"/>
                <w:sz w:val="20"/>
                <w:szCs w:val="20"/>
              </w:rPr>
              <w:t>$3</w:t>
            </w:r>
            <w:r>
              <w:rPr>
                <w:color w:val="000000" w:themeColor="text1"/>
                <w:sz w:val="20"/>
                <w:szCs w:val="20"/>
              </w:rPr>
              <w:t>69.18</w:t>
            </w:r>
          </w:p>
        </w:tc>
        <w:tc>
          <w:tcPr>
            <w:tcW w:w="2430" w:type="dxa"/>
            <w:shd w:val="clear" w:color="auto" w:fill="auto"/>
          </w:tcPr>
          <w:p w:rsidR="007355CD" w:rsidRPr="00B17713" w:rsidP="007355CD" w14:paraId="20870AD4" w14:textId="6AE3A0F0">
            <w:pPr>
              <w:keepLines/>
              <w:spacing w:after="0"/>
              <w:rPr>
                <w:sz w:val="20"/>
                <w:szCs w:val="20"/>
              </w:rPr>
            </w:pPr>
            <w:r w:rsidRPr="001375BC">
              <w:rPr>
                <w:color w:val="000000" w:themeColor="text1"/>
                <w:sz w:val="20"/>
                <w:szCs w:val="20"/>
              </w:rPr>
              <w:t>$3</w:t>
            </w:r>
            <w:r>
              <w:rPr>
                <w:color w:val="000000" w:themeColor="text1"/>
                <w:sz w:val="20"/>
                <w:szCs w:val="20"/>
              </w:rPr>
              <w:t>69.18</w:t>
            </w:r>
          </w:p>
        </w:tc>
      </w:tr>
      <w:tr w14:paraId="470510B7" w14:textId="06019229" w:rsidTr="003D29BA">
        <w:tblPrEx>
          <w:tblW w:w="9008" w:type="dxa"/>
          <w:jc w:val="center"/>
          <w:tblLook w:val="04A0"/>
        </w:tblPrEx>
        <w:trPr>
          <w:cantSplit/>
          <w:trHeight w:val="520"/>
          <w:jc w:val="center"/>
        </w:trPr>
        <w:tc>
          <w:tcPr>
            <w:tcW w:w="2425" w:type="dxa"/>
            <w:shd w:val="clear" w:color="auto" w:fill="auto"/>
            <w:hideMark/>
          </w:tcPr>
          <w:p w:rsidR="007355CD" w:rsidRPr="00B17713" w:rsidP="007355CD" w14:paraId="477A3A32" w14:textId="17406D58">
            <w:pPr>
              <w:keepLines/>
              <w:spacing w:after="0"/>
              <w:rPr>
                <w:sz w:val="20"/>
                <w:szCs w:val="20"/>
              </w:rPr>
            </w:pPr>
            <w:r w:rsidRPr="00B17713">
              <w:rPr>
                <w:sz w:val="20"/>
                <w:szCs w:val="20"/>
              </w:rPr>
              <w:t>Cost to Review Measure Specifications (@ computer systems analyst’s labor rate of $</w:t>
            </w:r>
            <w:r w:rsidR="00A01750">
              <w:rPr>
                <w:sz w:val="20"/>
                <w:szCs w:val="20"/>
              </w:rPr>
              <w:t>103.40</w:t>
            </w:r>
            <w:r w:rsidRPr="00B17713">
              <w:rPr>
                <w:sz w:val="20"/>
                <w:szCs w:val="20"/>
              </w:rPr>
              <w:t>/hr @ 1 hr) (l)</w:t>
            </w:r>
          </w:p>
        </w:tc>
        <w:tc>
          <w:tcPr>
            <w:tcW w:w="1937" w:type="dxa"/>
            <w:shd w:val="clear" w:color="auto" w:fill="auto"/>
          </w:tcPr>
          <w:p w:rsidR="007355CD" w:rsidRPr="00B17713" w:rsidP="007355CD" w14:paraId="37175C5E" w14:textId="13519BE0">
            <w:pPr>
              <w:keepLines/>
              <w:spacing w:after="0"/>
              <w:rPr>
                <w:sz w:val="20"/>
                <w:szCs w:val="20"/>
              </w:rPr>
            </w:pPr>
            <w:r w:rsidRPr="001375BC">
              <w:rPr>
                <w:color w:val="000000" w:themeColor="text1"/>
                <w:sz w:val="20"/>
                <w:szCs w:val="20"/>
              </w:rPr>
              <w:t>$</w:t>
            </w:r>
            <w:r>
              <w:rPr>
                <w:color w:val="000000" w:themeColor="text1"/>
                <w:sz w:val="20"/>
                <w:szCs w:val="20"/>
              </w:rPr>
              <w:t>103.40</w:t>
            </w:r>
          </w:p>
        </w:tc>
        <w:tc>
          <w:tcPr>
            <w:tcW w:w="2216" w:type="dxa"/>
            <w:shd w:val="clear" w:color="auto" w:fill="auto"/>
          </w:tcPr>
          <w:p w:rsidR="007355CD" w:rsidRPr="00B17713" w:rsidP="007355CD" w14:paraId="163F5193" w14:textId="042FAEEB">
            <w:pPr>
              <w:keepLines/>
              <w:spacing w:after="0"/>
              <w:rPr>
                <w:sz w:val="20"/>
                <w:szCs w:val="20"/>
              </w:rPr>
            </w:pPr>
            <w:r w:rsidRPr="001375BC">
              <w:rPr>
                <w:color w:val="000000" w:themeColor="text1"/>
                <w:sz w:val="20"/>
                <w:szCs w:val="20"/>
              </w:rPr>
              <w:t>$</w:t>
            </w:r>
            <w:r>
              <w:rPr>
                <w:color w:val="000000" w:themeColor="text1"/>
                <w:sz w:val="20"/>
                <w:szCs w:val="20"/>
              </w:rPr>
              <w:t>103.40</w:t>
            </w:r>
          </w:p>
        </w:tc>
        <w:tc>
          <w:tcPr>
            <w:tcW w:w="2430" w:type="dxa"/>
            <w:shd w:val="clear" w:color="auto" w:fill="auto"/>
          </w:tcPr>
          <w:p w:rsidR="007355CD" w:rsidRPr="00B17713" w:rsidP="007355CD" w14:paraId="16293C90" w14:textId="17E4FB45">
            <w:pPr>
              <w:keepLines/>
              <w:spacing w:after="0"/>
              <w:rPr>
                <w:sz w:val="20"/>
                <w:szCs w:val="20"/>
              </w:rPr>
            </w:pPr>
            <w:r w:rsidRPr="001375BC">
              <w:rPr>
                <w:color w:val="000000" w:themeColor="text1"/>
                <w:sz w:val="20"/>
                <w:szCs w:val="20"/>
              </w:rPr>
              <w:t>$</w:t>
            </w:r>
            <w:r>
              <w:rPr>
                <w:color w:val="000000" w:themeColor="text1"/>
                <w:sz w:val="20"/>
                <w:szCs w:val="20"/>
              </w:rPr>
              <w:t>103.40</w:t>
            </w:r>
          </w:p>
        </w:tc>
      </w:tr>
      <w:tr w14:paraId="7C82E7FF" w14:textId="14F5E9B9" w:rsidTr="003D29BA">
        <w:tblPrEx>
          <w:tblW w:w="9008" w:type="dxa"/>
          <w:jc w:val="center"/>
          <w:tblLook w:val="04A0"/>
        </w:tblPrEx>
        <w:trPr>
          <w:cantSplit/>
          <w:trHeight w:val="520"/>
          <w:jc w:val="center"/>
        </w:trPr>
        <w:tc>
          <w:tcPr>
            <w:tcW w:w="2425" w:type="dxa"/>
            <w:shd w:val="clear" w:color="auto" w:fill="auto"/>
            <w:hideMark/>
          </w:tcPr>
          <w:p w:rsidR="007355CD" w:rsidRPr="00B17713" w:rsidP="007355CD" w14:paraId="285F235C" w14:textId="74F185B2">
            <w:pPr>
              <w:keepLines/>
              <w:spacing w:after="0"/>
              <w:rPr>
                <w:sz w:val="20"/>
                <w:szCs w:val="20"/>
              </w:rPr>
            </w:pPr>
            <w:r w:rsidRPr="00B17713">
              <w:rPr>
                <w:sz w:val="20"/>
                <w:szCs w:val="20"/>
              </w:rPr>
              <w:t>Cost to Review Measu</w:t>
            </w:r>
            <w:r>
              <w:rPr>
                <w:sz w:val="20"/>
                <w:szCs w:val="20"/>
              </w:rPr>
              <w:t>r</w:t>
            </w:r>
            <w:r w:rsidRPr="00B17713">
              <w:rPr>
                <w:sz w:val="20"/>
                <w:szCs w:val="20"/>
              </w:rPr>
              <w:t>e Specifications (@ LPN's labor rate of $</w:t>
            </w:r>
            <w:r w:rsidR="00A01750">
              <w:rPr>
                <w:sz w:val="20"/>
                <w:szCs w:val="20"/>
              </w:rPr>
              <w:t>53.72</w:t>
            </w:r>
            <w:r w:rsidRPr="00B17713">
              <w:rPr>
                <w:sz w:val="20"/>
                <w:szCs w:val="20"/>
              </w:rPr>
              <w:t>/hr @1 hr) (m)</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64DC42F5" w14:textId="281FEA8E">
            <w:pPr>
              <w:keepLines/>
              <w:spacing w:after="0"/>
              <w:rPr>
                <w:sz w:val="20"/>
                <w:szCs w:val="20"/>
              </w:rPr>
            </w:pPr>
            <w:r w:rsidRPr="001375BC">
              <w:rPr>
                <w:color w:val="000000" w:themeColor="text1"/>
                <w:sz w:val="20"/>
                <w:szCs w:val="20"/>
              </w:rPr>
              <w:t>$</w:t>
            </w:r>
            <w:r>
              <w:rPr>
                <w:color w:val="000000" w:themeColor="text1"/>
                <w:sz w:val="20"/>
                <w:szCs w:val="20"/>
              </w:rPr>
              <w:t>53.72</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7101963B" w14:textId="50376A32">
            <w:pPr>
              <w:keepLines/>
              <w:spacing w:after="0"/>
              <w:rPr>
                <w:sz w:val="20"/>
                <w:szCs w:val="20"/>
              </w:rPr>
            </w:pPr>
            <w:r w:rsidRPr="001375BC">
              <w:rPr>
                <w:color w:val="000000" w:themeColor="text1"/>
                <w:sz w:val="20"/>
                <w:szCs w:val="20"/>
              </w:rPr>
              <w:t>$</w:t>
            </w:r>
            <w:r>
              <w:rPr>
                <w:color w:val="000000" w:themeColor="text1"/>
                <w:sz w:val="20"/>
                <w:szCs w:val="20"/>
              </w:rPr>
              <w:t>53.72</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64ED3E7B" w14:textId="2C40E6D3">
            <w:pPr>
              <w:keepLines/>
              <w:spacing w:after="0"/>
              <w:rPr>
                <w:sz w:val="20"/>
                <w:szCs w:val="20"/>
              </w:rPr>
            </w:pPr>
            <w:r w:rsidRPr="001375BC">
              <w:rPr>
                <w:color w:val="000000" w:themeColor="text1"/>
                <w:sz w:val="20"/>
                <w:szCs w:val="20"/>
              </w:rPr>
              <w:t>$</w:t>
            </w:r>
            <w:r>
              <w:rPr>
                <w:color w:val="000000" w:themeColor="text1"/>
                <w:sz w:val="20"/>
                <w:szCs w:val="20"/>
              </w:rPr>
              <w:t>53.72</w:t>
            </w:r>
          </w:p>
        </w:tc>
      </w:tr>
      <w:tr w14:paraId="459D0BA8" w14:textId="123C7C1F" w:rsidTr="003D29BA">
        <w:tblPrEx>
          <w:tblW w:w="9008" w:type="dxa"/>
          <w:jc w:val="center"/>
          <w:tblLook w:val="04A0"/>
        </w:tblPrEx>
        <w:trPr>
          <w:cantSplit/>
          <w:trHeight w:val="520"/>
          <w:jc w:val="center"/>
        </w:trPr>
        <w:tc>
          <w:tcPr>
            <w:tcW w:w="2425" w:type="dxa"/>
            <w:shd w:val="clear" w:color="auto" w:fill="auto"/>
            <w:hideMark/>
          </w:tcPr>
          <w:p w:rsidR="007355CD" w:rsidRPr="00B17713" w:rsidP="007355CD" w14:paraId="450B1061" w14:textId="50E40059">
            <w:pPr>
              <w:keepLines/>
              <w:spacing w:after="0"/>
              <w:rPr>
                <w:sz w:val="20"/>
                <w:szCs w:val="20"/>
              </w:rPr>
            </w:pPr>
            <w:r w:rsidRPr="00B17713">
              <w:rPr>
                <w:sz w:val="20"/>
                <w:szCs w:val="20"/>
              </w:rPr>
              <w:t>Cost to Review Measure Specifications (@ billing clerk’s labor rate of $</w:t>
            </w:r>
            <w:r>
              <w:rPr>
                <w:sz w:val="20"/>
                <w:szCs w:val="20"/>
              </w:rPr>
              <w:t>4</w:t>
            </w:r>
            <w:r w:rsidR="00A01750">
              <w:rPr>
                <w:sz w:val="20"/>
                <w:szCs w:val="20"/>
              </w:rPr>
              <w:t>3.08</w:t>
            </w:r>
            <w:r w:rsidRPr="00B17713">
              <w:rPr>
                <w:sz w:val="20"/>
                <w:szCs w:val="20"/>
              </w:rPr>
              <w:t>/hr @ 1 hr) (n)</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5480450F" w14:textId="6C1D1153">
            <w:pPr>
              <w:keepLines/>
              <w:spacing w:after="0"/>
              <w:rPr>
                <w:sz w:val="20"/>
                <w:szCs w:val="20"/>
              </w:rPr>
            </w:pPr>
            <w:r w:rsidRPr="001375BC">
              <w:rPr>
                <w:color w:val="000000" w:themeColor="text1"/>
                <w:sz w:val="20"/>
                <w:szCs w:val="20"/>
              </w:rPr>
              <w:t>$</w:t>
            </w:r>
            <w:r>
              <w:rPr>
                <w:color w:val="000000" w:themeColor="text1"/>
                <w:sz w:val="20"/>
                <w:szCs w:val="20"/>
              </w:rPr>
              <w:t>43.08</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57E638E6" w14:textId="5DFD5C37">
            <w:pPr>
              <w:keepLines/>
              <w:spacing w:after="0"/>
              <w:rPr>
                <w:sz w:val="20"/>
                <w:szCs w:val="20"/>
              </w:rPr>
            </w:pPr>
            <w:r w:rsidRPr="001375BC">
              <w:rPr>
                <w:color w:val="000000" w:themeColor="text1"/>
                <w:sz w:val="20"/>
                <w:szCs w:val="20"/>
              </w:rPr>
              <w:t>$</w:t>
            </w:r>
            <w:r>
              <w:rPr>
                <w:color w:val="000000" w:themeColor="text1"/>
                <w:sz w:val="20"/>
                <w:szCs w:val="20"/>
              </w:rPr>
              <w:t>43.08</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3621B156" w14:textId="2A39A03D">
            <w:pPr>
              <w:keepLines/>
              <w:spacing w:after="0"/>
              <w:rPr>
                <w:sz w:val="20"/>
                <w:szCs w:val="20"/>
              </w:rPr>
            </w:pPr>
            <w:r w:rsidRPr="001375BC">
              <w:rPr>
                <w:color w:val="000000" w:themeColor="text1"/>
                <w:sz w:val="20"/>
                <w:szCs w:val="20"/>
              </w:rPr>
              <w:t>$</w:t>
            </w:r>
            <w:r>
              <w:rPr>
                <w:color w:val="000000" w:themeColor="text1"/>
                <w:sz w:val="20"/>
                <w:szCs w:val="20"/>
              </w:rPr>
              <w:t>43.08</w:t>
            </w:r>
          </w:p>
        </w:tc>
      </w:tr>
      <w:tr w14:paraId="42CF337B" w14:textId="39632B92" w:rsidTr="003D29BA">
        <w:tblPrEx>
          <w:tblW w:w="9008" w:type="dxa"/>
          <w:jc w:val="center"/>
          <w:tblLook w:val="04A0"/>
        </w:tblPrEx>
        <w:trPr>
          <w:cantSplit/>
          <w:trHeight w:val="520"/>
          <w:jc w:val="center"/>
        </w:trPr>
        <w:tc>
          <w:tcPr>
            <w:tcW w:w="2425" w:type="dxa"/>
            <w:shd w:val="clear" w:color="auto" w:fill="auto"/>
            <w:hideMark/>
          </w:tcPr>
          <w:p w:rsidR="007355CD" w:rsidRPr="00B17713" w:rsidP="007355CD" w14:paraId="34D4F696" w14:textId="7FC4FC0E">
            <w:pPr>
              <w:keepLines/>
              <w:spacing w:after="0"/>
              <w:rPr>
                <w:sz w:val="20"/>
                <w:szCs w:val="20"/>
              </w:rPr>
            </w:pPr>
            <w:r w:rsidRPr="00B17713">
              <w:rPr>
                <w:sz w:val="20"/>
                <w:szCs w:val="20"/>
              </w:rPr>
              <w:t>Cost to Review Measure Specifications (@ physician’s labor rate of $2</w:t>
            </w:r>
            <w:r w:rsidR="00A01750">
              <w:rPr>
                <w:sz w:val="20"/>
                <w:szCs w:val="20"/>
              </w:rPr>
              <w:t>74.44</w:t>
            </w:r>
            <w:r w:rsidRPr="00B17713">
              <w:rPr>
                <w:sz w:val="20"/>
                <w:szCs w:val="20"/>
              </w:rPr>
              <w:t>/hr @ 1 hr) (o)</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6904A810" w14:textId="6E25BA7A">
            <w:pPr>
              <w:keepLines/>
              <w:spacing w:after="0"/>
              <w:rPr>
                <w:sz w:val="20"/>
                <w:szCs w:val="20"/>
              </w:rPr>
            </w:pPr>
            <w:r w:rsidRPr="001375BC">
              <w:rPr>
                <w:color w:val="000000" w:themeColor="text1"/>
                <w:sz w:val="20"/>
                <w:szCs w:val="20"/>
              </w:rPr>
              <w:t>$2</w:t>
            </w:r>
            <w:r>
              <w:rPr>
                <w:color w:val="000000" w:themeColor="text1"/>
                <w:sz w:val="20"/>
                <w:szCs w:val="20"/>
              </w:rPr>
              <w:t>74.44</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72B06A44" w14:textId="32FD1C6F">
            <w:pPr>
              <w:keepLines/>
              <w:spacing w:after="0"/>
              <w:rPr>
                <w:sz w:val="20"/>
                <w:szCs w:val="20"/>
              </w:rPr>
            </w:pPr>
            <w:r w:rsidRPr="001375BC">
              <w:rPr>
                <w:color w:val="000000" w:themeColor="text1"/>
                <w:sz w:val="20"/>
                <w:szCs w:val="20"/>
              </w:rPr>
              <w:t>$2</w:t>
            </w:r>
            <w:r>
              <w:rPr>
                <w:color w:val="000000" w:themeColor="text1"/>
                <w:sz w:val="20"/>
                <w:szCs w:val="20"/>
              </w:rPr>
              <w:t>74.44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74E9A797" w14:textId="1F5BC7A6">
            <w:pPr>
              <w:keepLines/>
              <w:spacing w:after="0"/>
              <w:rPr>
                <w:sz w:val="20"/>
                <w:szCs w:val="20"/>
              </w:rPr>
            </w:pPr>
            <w:r w:rsidRPr="001375BC">
              <w:rPr>
                <w:color w:val="000000" w:themeColor="text1"/>
                <w:sz w:val="20"/>
                <w:szCs w:val="20"/>
              </w:rPr>
              <w:t>$2</w:t>
            </w:r>
            <w:r>
              <w:rPr>
                <w:color w:val="000000" w:themeColor="text1"/>
                <w:sz w:val="20"/>
                <w:szCs w:val="20"/>
              </w:rPr>
              <w:t>74.44</w:t>
            </w:r>
          </w:p>
        </w:tc>
      </w:tr>
      <w:tr w14:paraId="37ED80F3" w14:textId="1F51E4B0" w:rsidTr="003D29BA">
        <w:tblPrEx>
          <w:tblW w:w="9008" w:type="dxa"/>
          <w:jc w:val="center"/>
          <w:tblLook w:val="04A0"/>
        </w:tblPrEx>
        <w:trPr>
          <w:cantSplit/>
          <w:trHeight w:val="525"/>
          <w:jc w:val="center"/>
        </w:trPr>
        <w:tc>
          <w:tcPr>
            <w:tcW w:w="2425" w:type="dxa"/>
            <w:shd w:val="clear" w:color="auto" w:fill="auto"/>
            <w:hideMark/>
          </w:tcPr>
          <w:p w:rsidR="007355CD" w:rsidRPr="00B17713" w:rsidP="007355CD" w14:paraId="21F6D79E" w14:textId="6520E512">
            <w:pPr>
              <w:keepLines/>
              <w:spacing w:after="0"/>
              <w:rPr>
                <w:sz w:val="20"/>
                <w:szCs w:val="20"/>
              </w:rPr>
            </w:pPr>
            <w:r w:rsidRPr="00B17713">
              <w:rPr>
                <w:sz w:val="20"/>
                <w:szCs w:val="20"/>
              </w:rPr>
              <w:t>Total Annual Cost Per Clinician (p) = (j)+(k)+(l)+(m)+(n)+(o)</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15BA8B63" w14:textId="6704C029">
            <w:pPr>
              <w:keepLines/>
              <w:spacing w:after="0"/>
              <w:rPr>
                <w:sz w:val="20"/>
                <w:szCs w:val="20"/>
              </w:rPr>
            </w:pPr>
            <w:r w:rsidRPr="001375BC">
              <w:rPr>
                <w:color w:val="000000" w:themeColor="text1"/>
                <w:sz w:val="20"/>
                <w:szCs w:val="20"/>
              </w:rPr>
              <w:t>$8</w:t>
            </w:r>
            <w:r>
              <w:rPr>
                <w:color w:val="000000" w:themeColor="text1"/>
                <w:sz w:val="20"/>
                <w:szCs w:val="20"/>
              </w:rPr>
              <w:t>59.33</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30821747" w14:textId="6A76FEDA">
            <w:pPr>
              <w:keepLines/>
              <w:spacing w:after="0"/>
              <w:rPr>
                <w:sz w:val="20"/>
                <w:szCs w:val="20"/>
              </w:rPr>
            </w:pPr>
            <w:r w:rsidRPr="001375BC">
              <w:rPr>
                <w:color w:val="000000" w:themeColor="text1"/>
                <w:sz w:val="20"/>
                <w:szCs w:val="20"/>
              </w:rPr>
              <w:t>$</w:t>
            </w:r>
            <w:r>
              <w:rPr>
                <w:color w:val="000000" w:themeColor="text1"/>
                <w:sz w:val="20"/>
                <w:szCs w:val="20"/>
              </w:rPr>
              <w:t>952.39</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7355CD" w:rsidRPr="00B17713" w:rsidP="007355CD" w14:paraId="09C3CF1F" w14:textId="3031BF78">
            <w:pPr>
              <w:keepLines/>
              <w:spacing w:after="0"/>
              <w:rPr>
                <w:sz w:val="20"/>
                <w:szCs w:val="20"/>
              </w:rPr>
            </w:pPr>
            <w:r w:rsidRPr="001375BC">
              <w:rPr>
                <w:color w:val="000000" w:themeColor="text1"/>
                <w:sz w:val="20"/>
                <w:szCs w:val="20"/>
              </w:rPr>
              <w:t>$1,5</w:t>
            </w:r>
            <w:r>
              <w:rPr>
                <w:color w:val="000000" w:themeColor="text1"/>
                <w:sz w:val="20"/>
                <w:szCs w:val="20"/>
              </w:rPr>
              <w:t>88.30</w:t>
            </w:r>
          </w:p>
        </w:tc>
      </w:tr>
      <w:tr w14:paraId="54D57C73" w14:textId="753A39FA" w:rsidTr="00B936AA">
        <w:tblPrEx>
          <w:tblW w:w="9008" w:type="dxa"/>
          <w:jc w:val="center"/>
          <w:tblLook w:val="04A0"/>
        </w:tblPrEx>
        <w:trPr>
          <w:cantSplit/>
          <w:trHeight w:val="305"/>
          <w:jc w:val="center"/>
        </w:trPr>
        <w:tc>
          <w:tcPr>
            <w:tcW w:w="2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A01750" w:rsidRPr="00732012" w:rsidP="00A01750" w14:paraId="2D78B5F5" w14:textId="268EB6AA">
            <w:pPr>
              <w:keepLines/>
              <w:spacing w:after="0"/>
              <w:rPr>
                <w:b/>
                <w:bCs/>
                <w:sz w:val="20"/>
                <w:szCs w:val="20"/>
              </w:rPr>
            </w:pPr>
            <w:r w:rsidRPr="00732012">
              <w:rPr>
                <w:b/>
                <w:bCs/>
                <w:sz w:val="20"/>
                <w:szCs w:val="20"/>
              </w:rPr>
              <w:t>Total Annual Cost (q) = (a)</w:t>
            </w:r>
            <w:r>
              <w:t xml:space="preserve"> </w:t>
            </w:r>
            <w:r w:rsidRPr="002810D2">
              <w:rPr>
                <w:sz w:val="20"/>
                <w:szCs w:val="20"/>
              </w:rPr>
              <w:t>[</w:t>
            </w:r>
            <w:r w:rsidRPr="002810D2">
              <w:rPr>
                <w:b/>
                <w:bCs/>
                <w:sz w:val="20"/>
                <w:szCs w:val="20"/>
              </w:rPr>
              <w:t>x]</w:t>
            </w:r>
            <w:r w:rsidRPr="00533172">
              <w:rPr>
                <w:b/>
                <w:bCs/>
                <w:sz w:val="20"/>
                <w:szCs w:val="20"/>
              </w:rPr>
              <w:t xml:space="preserve"> </w:t>
            </w:r>
            <w:r w:rsidRPr="00732012">
              <w:rPr>
                <w:b/>
                <w:bCs/>
                <w:sz w:val="20"/>
                <w:szCs w:val="20"/>
              </w:rPr>
              <w:t>(p)</w:t>
            </w:r>
          </w:p>
        </w:tc>
        <w:tc>
          <w:tcPr>
            <w:tcW w:w="1937" w:type="dxa"/>
            <w:tcBorders>
              <w:top w:val="single" w:sz="4" w:space="0" w:color="auto"/>
              <w:left w:val="single" w:sz="4" w:space="0" w:color="auto"/>
              <w:bottom w:val="single" w:sz="4" w:space="0" w:color="auto"/>
              <w:right w:val="single" w:sz="4" w:space="0" w:color="auto"/>
            </w:tcBorders>
            <w:shd w:val="clear" w:color="auto" w:fill="E7E6E6" w:themeFill="background2"/>
          </w:tcPr>
          <w:p w:rsidR="00A01750" w:rsidRPr="00B17713" w:rsidP="00A01750" w14:paraId="0AE93D04" w14:textId="483C9B62">
            <w:pPr>
              <w:keepLines/>
              <w:spacing w:after="0"/>
              <w:rPr>
                <w:b/>
                <w:bCs/>
                <w:sz w:val="20"/>
                <w:szCs w:val="20"/>
              </w:rPr>
            </w:pPr>
            <w:r w:rsidRPr="001375BC">
              <w:rPr>
                <w:color w:val="000000" w:themeColor="text1"/>
                <w:sz w:val="20"/>
                <w:szCs w:val="20"/>
              </w:rPr>
              <w:t>$</w:t>
            </w:r>
            <w:r w:rsidRPr="001375BC">
              <w:rPr>
                <w:b/>
                <w:bCs/>
                <w:color w:val="000000" w:themeColor="text1"/>
                <w:sz w:val="20"/>
                <w:szCs w:val="20"/>
              </w:rPr>
              <w:t>1</w:t>
            </w:r>
            <w:r w:rsidR="00EB68C2">
              <w:rPr>
                <w:b/>
                <w:bCs/>
                <w:color w:val="000000" w:themeColor="text1"/>
                <w:sz w:val="20"/>
                <w:szCs w:val="20"/>
              </w:rPr>
              <w:t>1,526,193</w:t>
            </w:r>
          </w:p>
        </w:tc>
        <w:tc>
          <w:tcPr>
            <w:tcW w:w="2216" w:type="dxa"/>
            <w:tcBorders>
              <w:top w:val="single" w:sz="4" w:space="0" w:color="auto"/>
              <w:left w:val="single" w:sz="4" w:space="0" w:color="auto"/>
              <w:bottom w:val="single" w:sz="4" w:space="0" w:color="auto"/>
              <w:right w:val="single" w:sz="4" w:space="0" w:color="auto"/>
            </w:tcBorders>
            <w:shd w:val="clear" w:color="auto" w:fill="E7E6E6" w:themeFill="background2"/>
          </w:tcPr>
          <w:p w:rsidR="00A01750" w:rsidRPr="00B17713" w:rsidP="00A01750" w14:paraId="30D68118" w14:textId="7D8695A0">
            <w:pPr>
              <w:keepLines/>
              <w:spacing w:after="0"/>
              <w:rPr>
                <w:b/>
                <w:bCs/>
                <w:sz w:val="20"/>
                <w:szCs w:val="20"/>
              </w:rPr>
            </w:pPr>
            <w:r w:rsidRPr="001375BC">
              <w:rPr>
                <w:color w:val="000000" w:themeColor="text1"/>
                <w:sz w:val="20"/>
                <w:szCs w:val="20"/>
              </w:rPr>
              <w:t>$</w:t>
            </w:r>
            <w:r w:rsidRPr="001375BC">
              <w:rPr>
                <w:b/>
                <w:bCs/>
                <w:color w:val="000000" w:themeColor="text1"/>
                <w:sz w:val="20"/>
                <w:szCs w:val="20"/>
              </w:rPr>
              <w:t>1</w:t>
            </w:r>
            <w:r w:rsidR="00392A93">
              <w:rPr>
                <w:b/>
                <w:bCs/>
                <w:color w:val="000000" w:themeColor="text1"/>
                <w:sz w:val="20"/>
                <w:szCs w:val="20"/>
              </w:rPr>
              <w:t>2,774,407</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tcPr>
          <w:p w:rsidR="00A01750" w:rsidRPr="00B17713" w:rsidP="00A01750" w14:paraId="302349DD" w14:textId="600168BF">
            <w:pPr>
              <w:keepLines/>
              <w:spacing w:after="0"/>
              <w:rPr>
                <w:b/>
                <w:bCs/>
                <w:sz w:val="20"/>
                <w:szCs w:val="20"/>
              </w:rPr>
            </w:pPr>
            <w:r w:rsidRPr="001375BC">
              <w:rPr>
                <w:color w:val="000000" w:themeColor="text1"/>
                <w:sz w:val="20"/>
                <w:szCs w:val="20"/>
              </w:rPr>
              <w:t>$</w:t>
            </w:r>
            <w:r w:rsidRPr="001375BC">
              <w:rPr>
                <w:b/>
                <w:color w:val="000000" w:themeColor="text1"/>
                <w:sz w:val="20"/>
                <w:szCs w:val="20"/>
              </w:rPr>
              <w:t>2</w:t>
            </w:r>
            <w:r w:rsidR="0076472E">
              <w:rPr>
                <w:b/>
                <w:color w:val="000000" w:themeColor="text1"/>
                <w:sz w:val="20"/>
                <w:szCs w:val="20"/>
              </w:rPr>
              <w:t>1,303,868</w:t>
            </w:r>
            <w:r>
              <w:rPr>
                <w:b/>
                <w:color w:val="000000" w:themeColor="text1"/>
                <w:sz w:val="20"/>
                <w:szCs w:val="20"/>
              </w:rPr>
              <w:t xml:space="preserve"> </w:t>
            </w:r>
          </w:p>
        </w:tc>
      </w:tr>
    </w:tbl>
    <w:p w:rsidR="00355C3A" w:rsidP="0011028A" w14:paraId="4C42F5BF" w14:textId="77777777">
      <w:pPr>
        <w:pStyle w:val="Heading4"/>
        <w:numPr>
          <w:ilvl w:val="0"/>
          <w:numId w:val="0"/>
        </w:numPr>
      </w:pPr>
    </w:p>
    <w:p w:rsidR="00C351ED" w:rsidRPr="00041A6A" w:rsidP="0011028A" w14:paraId="66F748FE" w14:textId="72EEBFDA">
      <w:pPr>
        <w:pStyle w:val="Heading4"/>
        <w:numPr>
          <w:ilvl w:val="3"/>
          <w:numId w:val="23"/>
        </w:numPr>
      </w:pPr>
      <w:r w:rsidRPr="00041A6A">
        <w:t>Burden for Quality Data Submission by Individuals</w:t>
      </w:r>
      <w:r w:rsidRPr="00041A6A" w:rsidR="001964ED">
        <w:t xml:space="preserve"> and</w:t>
      </w:r>
      <w:r w:rsidRPr="00041A6A">
        <w:t xml:space="preserve"> Groups: </w:t>
      </w:r>
      <w:r w:rsidR="00532B06">
        <w:br/>
      </w:r>
      <w:r w:rsidRPr="00041A6A" w:rsidR="00037FF8">
        <w:t>MIPS CQM</w:t>
      </w:r>
      <w:r w:rsidRPr="00041A6A">
        <w:t xml:space="preserve"> and QCDR Collection Types</w:t>
      </w:r>
    </w:p>
    <w:p w:rsidR="00423A87" w:rsidRPr="00423A87" w:rsidP="00CF4BB7" w14:paraId="51A7F991" w14:textId="7E415682">
      <w:pPr>
        <w:rPr>
          <w:rFonts w:eastAsia="Calibri"/>
        </w:rPr>
      </w:pPr>
      <w:r>
        <w:rPr>
          <w:rFonts w:eastAsia="Calibri"/>
        </w:rPr>
        <w:t>B</w:t>
      </w:r>
      <w:r w:rsidRPr="00F13BBE" w:rsidR="00F13BBE">
        <w:rPr>
          <w:rFonts w:eastAsia="Calibri"/>
        </w:rPr>
        <w:t xml:space="preserve">ased on </w:t>
      </w:r>
      <w:r w:rsidR="00397B58">
        <w:rPr>
          <w:rFonts w:eastAsia="Calibri"/>
        </w:rPr>
        <w:t xml:space="preserve">CY </w:t>
      </w:r>
      <w:r w:rsidRPr="00F13BBE" w:rsidR="00F13BBE">
        <w:rPr>
          <w:rFonts w:eastAsia="Calibri"/>
        </w:rPr>
        <w:t>20</w:t>
      </w:r>
      <w:r w:rsidR="00EA77EC">
        <w:rPr>
          <w:rFonts w:eastAsia="Calibri"/>
        </w:rPr>
        <w:t>2</w:t>
      </w:r>
      <w:r w:rsidR="004208B2">
        <w:rPr>
          <w:rFonts w:eastAsia="Calibri"/>
        </w:rPr>
        <w:t>2</w:t>
      </w:r>
      <w:r w:rsidRPr="00F13BBE" w:rsidR="00F13BBE">
        <w:rPr>
          <w:rFonts w:eastAsia="Calibri"/>
        </w:rPr>
        <w:t xml:space="preserve"> performance period</w:t>
      </w:r>
      <w:r w:rsidR="00397B58">
        <w:rPr>
          <w:rFonts w:eastAsia="Calibri"/>
        </w:rPr>
        <w:t>/202</w:t>
      </w:r>
      <w:r w:rsidR="004208B2">
        <w:rPr>
          <w:rFonts w:eastAsia="Calibri"/>
        </w:rPr>
        <w:t>4</w:t>
      </w:r>
      <w:r w:rsidR="00397B58">
        <w:rPr>
          <w:rFonts w:eastAsia="Calibri"/>
        </w:rPr>
        <w:t xml:space="preserve"> MIPS payment year</w:t>
      </w:r>
      <w:r w:rsidRPr="00F13BBE" w:rsidR="00F13BBE">
        <w:rPr>
          <w:rFonts w:eastAsia="Calibri"/>
        </w:rPr>
        <w:t xml:space="preserve"> </w:t>
      </w:r>
      <w:r w:rsidR="00D915F6">
        <w:rPr>
          <w:rFonts w:eastAsia="Calibri"/>
        </w:rPr>
        <w:t xml:space="preserve">submission </w:t>
      </w:r>
      <w:r w:rsidRPr="00F13BBE" w:rsidR="00F13BBE">
        <w:rPr>
          <w:rFonts w:eastAsia="Calibri"/>
        </w:rPr>
        <w:t>data</w:t>
      </w:r>
      <w:r>
        <w:rPr>
          <w:rFonts w:eastAsia="Calibri"/>
        </w:rPr>
        <w:t>, f</w:t>
      </w:r>
      <w:r w:rsidR="00D74D9C">
        <w:rPr>
          <w:rFonts w:eastAsia="Calibri"/>
        </w:rPr>
        <w:t>or</w:t>
      </w:r>
      <w:r w:rsidRPr="00F13BBE" w:rsidR="00D74D9C">
        <w:rPr>
          <w:rFonts w:eastAsia="Calibri"/>
        </w:rPr>
        <w:t xml:space="preserve"> the </w:t>
      </w:r>
      <w:r w:rsidR="00D74D9C">
        <w:rPr>
          <w:rFonts w:eastAsia="Calibri"/>
        </w:rPr>
        <w:t xml:space="preserve">CY </w:t>
      </w:r>
      <w:r w:rsidRPr="00F13BBE" w:rsidR="00D74D9C">
        <w:rPr>
          <w:rFonts w:eastAsia="Calibri"/>
        </w:rPr>
        <w:t>202</w:t>
      </w:r>
      <w:r>
        <w:rPr>
          <w:rFonts w:eastAsia="Calibri"/>
        </w:rPr>
        <w:t>4</w:t>
      </w:r>
      <w:r w:rsidRPr="00F13BBE" w:rsidR="00D74D9C">
        <w:rPr>
          <w:rFonts w:eastAsia="Calibri"/>
        </w:rPr>
        <w:t xml:space="preserve"> performance period</w:t>
      </w:r>
      <w:r w:rsidR="00D74D9C">
        <w:rPr>
          <w:rFonts w:eastAsia="Calibri"/>
        </w:rPr>
        <w:t>/202</w:t>
      </w:r>
      <w:r>
        <w:rPr>
          <w:rFonts w:eastAsia="Calibri"/>
        </w:rPr>
        <w:t>6</w:t>
      </w:r>
      <w:r w:rsidR="00D74D9C">
        <w:rPr>
          <w:rFonts w:eastAsia="Calibri"/>
        </w:rPr>
        <w:t xml:space="preserve"> MIPS payment year</w:t>
      </w:r>
      <w:r w:rsidRPr="00F13BBE" w:rsidR="00F13BBE">
        <w:rPr>
          <w:rFonts w:eastAsia="Calibri"/>
        </w:rPr>
        <w:t xml:space="preserve">, we </w:t>
      </w:r>
      <w:r w:rsidR="00855649">
        <w:rPr>
          <w:rFonts w:eastAsia="Calibri"/>
        </w:rPr>
        <w:t>estimat</w:t>
      </w:r>
      <w:r w:rsidRPr="00F13BBE" w:rsidR="00F13BBE">
        <w:rPr>
          <w:rFonts w:eastAsia="Calibri"/>
        </w:rPr>
        <w:t xml:space="preserve">e that </w:t>
      </w:r>
      <w:r w:rsidR="005E6830">
        <w:rPr>
          <w:rFonts w:eastAsia="Calibri"/>
        </w:rPr>
        <w:t>1</w:t>
      </w:r>
      <w:r w:rsidR="00855649">
        <w:rPr>
          <w:rFonts w:eastAsia="Calibri"/>
        </w:rPr>
        <w:t>6,632</w:t>
      </w:r>
      <w:r w:rsidR="005E6830">
        <w:rPr>
          <w:rFonts w:eastAsia="Calibri"/>
        </w:rPr>
        <w:t xml:space="preserve"> clinicians</w:t>
      </w:r>
      <w:r w:rsidR="001B0A87">
        <w:rPr>
          <w:rFonts w:eastAsia="Calibri"/>
        </w:rPr>
        <w:t xml:space="preserve"> (1</w:t>
      </w:r>
      <w:r w:rsidR="00855649">
        <w:rPr>
          <w:rFonts w:eastAsia="Calibri"/>
        </w:rPr>
        <w:t>0,682</w:t>
      </w:r>
      <w:r w:rsidRPr="00F13BBE" w:rsidR="00F13BBE">
        <w:rPr>
          <w:rFonts w:eastAsia="Calibri"/>
        </w:rPr>
        <w:t xml:space="preserve"> </w:t>
      </w:r>
      <w:r w:rsidR="00F51E87">
        <w:rPr>
          <w:rFonts w:eastAsia="Calibri"/>
        </w:rPr>
        <w:t xml:space="preserve">individual </w:t>
      </w:r>
      <w:r w:rsidRPr="00F13BBE" w:rsidR="00F13BBE">
        <w:rPr>
          <w:rFonts w:eastAsia="Calibri"/>
        </w:rPr>
        <w:t xml:space="preserve">clinicians and </w:t>
      </w:r>
      <w:r w:rsidR="00855649">
        <w:rPr>
          <w:rFonts w:eastAsia="Calibri"/>
        </w:rPr>
        <w:t>5,950</w:t>
      </w:r>
      <w:r w:rsidRPr="00F13BBE" w:rsidR="00F13BBE">
        <w:rPr>
          <w:rFonts w:eastAsia="Calibri"/>
        </w:rPr>
        <w:t xml:space="preserve"> groups and virtual groups</w:t>
      </w:r>
      <w:r w:rsidR="001B0A87">
        <w:rPr>
          <w:rFonts w:eastAsia="Calibri"/>
        </w:rPr>
        <w:t>)</w:t>
      </w:r>
      <w:r w:rsidR="00F51E87">
        <w:rPr>
          <w:rFonts w:eastAsia="Calibri"/>
        </w:rPr>
        <w:t xml:space="preserve"> will submit quality data for the MIPS CQM and QCDR collection types</w:t>
      </w:r>
      <w:r w:rsidR="00880913">
        <w:rPr>
          <w:rFonts w:eastAsia="Calibri"/>
        </w:rPr>
        <w:t>.</w:t>
      </w:r>
      <w:r w:rsidRPr="00F13BBE" w:rsidR="00F13BBE">
        <w:rPr>
          <w:rFonts w:eastAsia="Calibri"/>
        </w:rPr>
        <w:t xml:space="preserve"> Given that the number of measures required is the same for clinicians and groups, we expect the burden to be the same for each respondent collecting data via MIPS CQM or QCDR</w:t>
      </w:r>
      <w:r w:rsidR="00AB3709">
        <w:rPr>
          <w:rFonts w:eastAsia="Calibri"/>
        </w:rPr>
        <w:t xml:space="preserve"> collection type</w:t>
      </w:r>
      <w:r w:rsidRPr="00F13BBE" w:rsidR="00F13BBE">
        <w:rPr>
          <w:rFonts w:eastAsia="Calibri"/>
        </w:rPr>
        <w:t>, whether the clinician is participating in MIPS as an individual or group</w:t>
      </w:r>
      <w:r w:rsidR="00B17713">
        <w:rPr>
          <w:rFonts w:eastAsia="Calibri"/>
        </w:rPr>
        <w:t>.</w:t>
      </w:r>
    </w:p>
    <w:p w:rsidR="00350382" w:rsidP="00B17713" w14:paraId="4CE15E62" w14:textId="13B4436D">
      <w:pPr>
        <w:rPr>
          <w:rFonts w:eastAsia="Calibri"/>
        </w:rPr>
      </w:pPr>
      <w:r w:rsidRPr="00B17713">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We estimate that the burden associated with the QCDR collection type is </w:t>
      </w:r>
      <w:r w:rsidRPr="00B17713">
        <w:rPr>
          <w:rFonts w:eastAsia="Calibri"/>
        </w:rPr>
        <w:t>similar to</w:t>
      </w:r>
      <w:r w:rsidRPr="00B17713">
        <w:rPr>
          <w:rFonts w:eastAsia="Calibri"/>
        </w:rPr>
        <w:t xml:space="preserve"> the burden associated with the MIPS CQM collection type; therefore, we discuss the burden for both together below. For MIPS CQM and QCDR collection types, we estimate an additional time for respondents (individual </w:t>
      </w:r>
      <w:r w:rsidRPr="00B17713">
        <w:rPr>
          <w:rFonts w:eastAsia="Calibri"/>
        </w:rPr>
        <w:t>clinicians and groups) to become familiar with MIPS quality measure specifications and, in some cases, specialty measure sets and QCDR measures. Therefore, we believe that the burden for an individual clinician or group to review measure specifications and submit quality data total</w:t>
      </w:r>
      <w:r w:rsidR="002136EE">
        <w:rPr>
          <w:rFonts w:eastAsia="Calibri"/>
        </w:rPr>
        <w:t>s</w:t>
      </w:r>
      <w:r w:rsidRPr="00B17713">
        <w:rPr>
          <w:rFonts w:eastAsia="Calibri"/>
        </w:rPr>
        <w:t xml:space="preserve"> 9</w:t>
      </w:r>
      <w:r w:rsidR="00BC0BD7">
        <w:rPr>
          <w:rFonts w:eastAsia="Calibri"/>
        </w:rPr>
        <w:t>.083</w:t>
      </w:r>
      <w:r w:rsidRPr="00B17713">
        <w:rPr>
          <w:rFonts w:eastAsia="Calibri"/>
        </w:rPr>
        <w:t xml:space="preserve"> hours. This consists of 3 hours at $</w:t>
      </w:r>
      <w:r w:rsidR="00E43D34">
        <w:rPr>
          <w:rFonts w:eastAsia="Calibri"/>
        </w:rPr>
        <w:t>103.40</w:t>
      </w:r>
      <w:r w:rsidRPr="00B17713">
        <w:rPr>
          <w:rFonts w:eastAsia="Calibri"/>
        </w:rPr>
        <w:t>/hr for a computer systems analyst (or their equivalent) to submit quality data along with 2 hours at $1</w:t>
      </w:r>
      <w:r w:rsidR="00E43D34">
        <w:rPr>
          <w:rFonts w:eastAsia="Calibri"/>
        </w:rPr>
        <w:t>23.06</w:t>
      </w:r>
      <w:r w:rsidRPr="00B17713">
        <w:rPr>
          <w:rFonts w:eastAsia="Calibri"/>
        </w:rPr>
        <w:t>/hr for a medical and health services manager, 1 hour at $</w:t>
      </w:r>
      <w:r w:rsidR="00E43D34">
        <w:rPr>
          <w:rFonts w:eastAsia="Calibri"/>
        </w:rPr>
        <w:t>103.40</w:t>
      </w:r>
      <w:r w:rsidRPr="00B17713">
        <w:rPr>
          <w:rFonts w:eastAsia="Calibri"/>
        </w:rPr>
        <w:t>/hr for a computer systems analyst, 1 hour at $</w:t>
      </w:r>
      <w:r w:rsidR="00E43D34">
        <w:rPr>
          <w:rFonts w:eastAsia="Calibri"/>
        </w:rPr>
        <w:t>53.72</w:t>
      </w:r>
      <w:r w:rsidRPr="00B17713">
        <w:rPr>
          <w:rFonts w:eastAsia="Calibri"/>
        </w:rPr>
        <w:t>/hr for a LPN, 1 hour at $</w:t>
      </w:r>
      <w:r w:rsidR="00E74637">
        <w:rPr>
          <w:rFonts w:eastAsia="Calibri"/>
        </w:rPr>
        <w:t>4</w:t>
      </w:r>
      <w:r w:rsidR="00E43D34">
        <w:rPr>
          <w:rFonts w:eastAsia="Calibri"/>
        </w:rPr>
        <w:t>3.08</w:t>
      </w:r>
      <w:r w:rsidRPr="00B17713">
        <w:rPr>
          <w:rFonts w:eastAsia="Calibri"/>
        </w:rPr>
        <w:t>/hr for a billing clerk, and 1 hour at $2</w:t>
      </w:r>
      <w:r w:rsidR="00E43D34">
        <w:rPr>
          <w:rFonts w:eastAsia="Calibri"/>
        </w:rPr>
        <w:t>74.44</w:t>
      </w:r>
      <w:r w:rsidRPr="00B17713">
        <w:rPr>
          <w:rFonts w:eastAsia="Calibri"/>
        </w:rPr>
        <w:t>/hr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w:t>
      </w:r>
      <w:r w:rsidR="00BC0BD7">
        <w:rPr>
          <w:rFonts w:eastAsia="Calibri"/>
        </w:rPr>
        <w:t>103.40</w:t>
      </w:r>
      <w:r w:rsidRPr="00B17713">
        <w:rPr>
          <w:rFonts w:eastAsia="Calibri"/>
        </w:rPr>
        <w:t>/hr for a computer systems analyst at a cost of $</w:t>
      </w:r>
      <w:r w:rsidR="00EC568D">
        <w:rPr>
          <w:rFonts w:eastAsia="Calibri"/>
        </w:rPr>
        <w:t>8</w:t>
      </w:r>
      <w:r w:rsidRPr="00B17713">
        <w:rPr>
          <w:rFonts w:eastAsia="Calibri"/>
        </w:rPr>
        <w:t>.</w:t>
      </w:r>
      <w:r w:rsidR="00F93236">
        <w:rPr>
          <w:rFonts w:eastAsia="Calibri"/>
        </w:rPr>
        <w:t>58</w:t>
      </w:r>
      <w:r w:rsidRPr="00B17713">
        <w:rPr>
          <w:rFonts w:eastAsia="Calibri"/>
        </w:rPr>
        <w:t xml:space="preserve"> (0.083 hr x $</w:t>
      </w:r>
      <w:r w:rsidR="00BC0BD7">
        <w:rPr>
          <w:rFonts w:eastAsia="Calibri"/>
        </w:rPr>
        <w:t>103.40</w:t>
      </w:r>
      <w:r w:rsidRPr="00B17713">
        <w:rPr>
          <w:rFonts w:eastAsia="Calibri"/>
        </w:rPr>
        <w:t>/hr). Overall</w:t>
      </w:r>
      <w:r w:rsidR="00E36F4F">
        <w:rPr>
          <w:rFonts w:eastAsia="Calibri"/>
        </w:rPr>
        <w:t>,</w:t>
      </w:r>
      <w:r w:rsidRPr="00B17713">
        <w:rPr>
          <w:rFonts w:eastAsia="Calibri"/>
        </w:rPr>
        <w:t xml:space="preserve"> we estimate</w:t>
      </w:r>
      <w:r w:rsidR="005F4145">
        <w:rPr>
          <w:rFonts w:eastAsia="Calibri"/>
        </w:rPr>
        <w:t xml:space="preserve"> </w:t>
      </w:r>
      <w:r w:rsidR="005F4145">
        <w:rPr>
          <w:rStyle w:val="normaltextrun"/>
          <w:color w:val="000000"/>
          <w:shd w:val="clear" w:color="auto" w:fill="FFFFFF"/>
        </w:rPr>
        <w:t xml:space="preserve">9.083 </w:t>
      </w:r>
      <w:r w:rsidR="005F4145">
        <w:rPr>
          <w:rStyle w:val="normaltextrun"/>
          <w:color w:val="000000"/>
          <w:shd w:val="clear" w:color="auto" w:fill="FFFFFF"/>
        </w:rPr>
        <w:t>hrs</w:t>
      </w:r>
      <w:r w:rsidR="005F4145">
        <w:rPr>
          <w:rStyle w:val="normaltextrun"/>
          <w:color w:val="000000"/>
          <w:shd w:val="clear" w:color="auto" w:fill="FFFFFF"/>
        </w:rPr>
        <w:t xml:space="preserve">/response (3 </w:t>
      </w:r>
      <w:r w:rsidR="005F4145">
        <w:rPr>
          <w:rStyle w:val="normaltextrun"/>
          <w:color w:val="000000"/>
          <w:shd w:val="clear" w:color="auto" w:fill="FFFFFF"/>
        </w:rPr>
        <w:t>hrs</w:t>
      </w:r>
      <w:r w:rsidR="005F4145">
        <w:rPr>
          <w:rStyle w:val="normaltextrun"/>
          <w:color w:val="000000"/>
          <w:shd w:val="clear" w:color="auto" w:fill="FFFFFF"/>
        </w:rPr>
        <w:t xml:space="preserve"> + 2 </w:t>
      </w:r>
      <w:r w:rsidR="005F4145">
        <w:rPr>
          <w:rStyle w:val="normaltextrun"/>
          <w:color w:val="000000"/>
          <w:shd w:val="clear" w:color="auto" w:fill="FFFFFF"/>
        </w:rPr>
        <w:t>hrs</w:t>
      </w:r>
      <w:r w:rsidR="005F4145">
        <w:rPr>
          <w:rStyle w:val="normaltextrun"/>
          <w:color w:val="000000"/>
          <w:shd w:val="clear" w:color="auto" w:fill="FFFFFF"/>
        </w:rPr>
        <w:t xml:space="preserve"> + 1 </w:t>
      </w:r>
      <w:r w:rsidR="005F4145">
        <w:rPr>
          <w:rStyle w:val="normaltextrun"/>
          <w:color w:val="000000"/>
          <w:shd w:val="clear" w:color="auto" w:fill="FFFFFF"/>
        </w:rPr>
        <w:t>hr</w:t>
      </w:r>
      <w:r w:rsidR="005F4145">
        <w:rPr>
          <w:rStyle w:val="normaltextrun"/>
          <w:color w:val="000000"/>
          <w:shd w:val="clear" w:color="auto" w:fill="FFFFFF"/>
        </w:rPr>
        <w:t xml:space="preserve"> + 1 hr + 1 </w:t>
      </w:r>
      <w:r w:rsidR="005F4145">
        <w:rPr>
          <w:rStyle w:val="normaltextrun"/>
          <w:color w:val="000000"/>
          <w:shd w:val="clear" w:color="auto" w:fill="FFFFFF"/>
        </w:rPr>
        <w:t>hr</w:t>
      </w:r>
      <w:r w:rsidR="005F4145">
        <w:rPr>
          <w:rStyle w:val="normaltextrun"/>
          <w:color w:val="000000"/>
          <w:shd w:val="clear" w:color="auto" w:fill="FFFFFF"/>
        </w:rPr>
        <w:t xml:space="preserve"> + 1 </w:t>
      </w:r>
      <w:r w:rsidR="005F4145">
        <w:rPr>
          <w:rStyle w:val="normaltextrun"/>
          <w:color w:val="000000"/>
          <w:shd w:val="clear" w:color="auto" w:fill="FFFFFF"/>
        </w:rPr>
        <w:t>hr</w:t>
      </w:r>
      <w:r w:rsidR="005F4145">
        <w:rPr>
          <w:rStyle w:val="normaltextrun"/>
          <w:color w:val="000000"/>
          <w:shd w:val="clear" w:color="auto" w:fill="FFFFFF"/>
        </w:rPr>
        <w:t xml:space="preserve"> + 0.083 </w:t>
      </w:r>
      <w:r w:rsidR="005F4145">
        <w:rPr>
          <w:rStyle w:val="normaltextrun"/>
          <w:color w:val="000000"/>
          <w:shd w:val="clear" w:color="auto" w:fill="FFFFFF"/>
        </w:rPr>
        <w:t>hrs</w:t>
      </w:r>
      <w:r w:rsidR="005F4145">
        <w:rPr>
          <w:rStyle w:val="normaltextrun"/>
          <w:color w:val="000000"/>
          <w:shd w:val="clear" w:color="auto" w:fill="FFFFFF"/>
        </w:rPr>
        <w:t>) at</w:t>
      </w:r>
      <w:r w:rsidRPr="00B17713">
        <w:rPr>
          <w:rFonts w:eastAsia="Calibri"/>
        </w:rPr>
        <w:t xml:space="preserve"> a cost of $</w:t>
      </w:r>
      <w:r w:rsidR="00F93236">
        <w:rPr>
          <w:rFonts w:eastAsia="Calibri"/>
        </w:rPr>
        <w:t>1,039.54</w:t>
      </w:r>
      <w:r w:rsidRPr="00B17713">
        <w:rPr>
          <w:rFonts w:eastAsia="Calibri"/>
        </w:rPr>
        <w:t>/response [(3 hr x $</w:t>
      </w:r>
      <w:r w:rsidR="00F93236">
        <w:rPr>
          <w:rFonts w:eastAsia="Calibri"/>
        </w:rPr>
        <w:t>103.40</w:t>
      </w:r>
      <w:r w:rsidRPr="00B17713">
        <w:rPr>
          <w:rFonts w:eastAsia="Calibri"/>
        </w:rPr>
        <w:t>/hr) + (2 hr x $1</w:t>
      </w:r>
      <w:r w:rsidR="00F93236">
        <w:rPr>
          <w:rFonts w:eastAsia="Calibri"/>
        </w:rPr>
        <w:t>23.06</w:t>
      </w:r>
      <w:r w:rsidRPr="00B17713">
        <w:rPr>
          <w:rFonts w:eastAsia="Calibri"/>
        </w:rPr>
        <w:t>/hr) + (1 hr x $2</w:t>
      </w:r>
      <w:r w:rsidR="00F93236">
        <w:rPr>
          <w:rFonts w:eastAsia="Calibri"/>
        </w:rPr>
        <w:t>74.44</w:t>
      </w:r>
      <w:r w:rsidRPr="00B17713">
        <w:rPr>
          <w:rFonts w:eastAsia="Calibri"/>
        </w:rPr>
        <w:t>/hr) + (1 hr x $</w:t>
      </w:r>
      <w:r w:rsidR="00F93236">
        <w:rPr>
          <w:rFonts w:eastAsia="Calibri"/>
        </w:rPr>
        <w:t>103.40</w:t>
      </w:r>
      <w:r w:rsidRPr="00B17713">
        <w:rPr>
          <w:rFonts w:eastAsia="Calibri"/>
        </w:rPr>
        <w:t>/hr) + (1 hr x $</w:t>
      </w:r>
      <w:r w:rsidR="00F93236">
        <w:rPr>
          <w:rFonts w:eastAsia="Calibri"/>
        </w:rPr>
        <w:t>53.72</w:t>
      </w:r>
      <w:r w:rsidRPr="00B17713">
        <w:rPr>
          <w:rFonts w:eastAsia="Calibri"/>
        </w:rPr>
        <w:t>/hr) + (1 hr x $</w:t>
      </w:r>
      <w:r w:rsidR="009871F7">
        <w:rPr>
          <w:rFonts w:eastAsia="Calibri"/>
        </w:rPr>
        <w:t>4</w:t>
      </w:r>
      <w:r w:rsidR="00F93236">
        <w:rPr>
          <w:rFonts w:eastAsia="Calibri"/>
        </w:rPr>
        <w:t>3.08</w:t>
      </w:r>
      <w:r w:rsidRPr="00B17713">
        <w:rPr>
          <w:rFonts w:eastAsia="Calibri"/>
        </w:rPr>
        <w:t>/hr) + (0.083 hr x $</w:t>
      </w:r>
      <w:r w:rsidR="00F93236">
        <w:rPr>
          <w:rFonts w:eastAsia="Calibri"/>
        </w:rPr>
        <w:t>103.40</w:t>
      </w:r>
      <w:r w:rsidRPr="00B17713">
        <w:rPr>
          <w:rFonts w:eastAsia="Calibri"/>
        </w:rPr>
        <w:t>/hr)]</w:t>
      </w:r>
      <w:r w:rsidRPr="00350382">
        <w:rPr>
          <w:rFonts w:eastAsia="Calibri"/>
        </w:rPr>
        <w:t xml:space="preserve">.  </w:t>
      </w:r>
    </w:p>
    <w:p w:rsidR="002D76B5" w:rsidRPr="00871E51" w:rsidP="00380B9C" w14:paraId="4962B367" w14:textId="3F2E7373">
      <w:pPr>
        <w:rPr>
          <w:rFonts w:eastAsia="Calibri"/>
        </w:rPr>
      </w:pPr>
      <w:r>
        <w:rPr>
          <w:rFonts w:eastAsia="Calibri"/>
        </w:rPr>
        <w:t>As shown in Table 1</w:t>
      </w:r>
      <w:r w:rsidR="00C17DCF">
        <w:rPr>
          <w:rFonts w:eastAsia="Calibri"/>
        </w:rPr>
        <w:t>2</w:t>
      </w:r>
      <w:r>
        <w:rPr>
          <w:rFonts w:eastAsia="Calibri"/>
        </w:rPr>
        <w:t>, f</w:t>
      </w:r>
      <w:r w:rsidRPr="00584388" w:rsidR="00584388">
        <w:rPr>
          <w:rFonts w:eastAsia="Calibri"/>
        </w:rPr>
        <w:t>or the CY 202</w:t>
      </w:r>
      <w:r w:rsidR="00C17DCF">
        <w:rPr>
          <w:rFonts w:eastAsia="Calibri"/>
        </w:rPr>
        <w:t>4</w:t>
      </w:r>
      <w:r w:rsidRPr="00584388" w:rsidR="00584388">
        <w:rPr>
          <w:rFonts w:eastAsia="Calibri"/>
        </w:rPr>
        <w:t xml:space="preserve"> performance period/202</w:t>
      </w:r>
      <w:r w:rsidR="00C17DCF">
        <w:rPr>
          <w:rFonts w:eastAsia="Calibri"/>
        </w:rPr>
        <w:t>6</w:t>
      </w:r>
      <w:r w:rsidRPr="00584388" w:rsidR="00584388">
        <w:rPr>
          <w:rFonts w:eastAsia="Calibri"/>
        </w:rPr>
        <w:t xml:space="preserve"> MIPS payment year</w:t>
      </w:r>
      <w:r w:rsidR="00584388">
        <w:rPr>
          <w:rFonts w:eastAsia="Calibri"/>
        </w:rPr>
        <w:t>, i</w:t>
      </w:r>
      <w:r w:rsidRPr="006B20F0" w:rsidR="006B20F0">
        <w:rPr>
          <w:rFonts w:eastAsia="Calibri"/>
        </w:rPr>
        <w:t xml:space="preserve">n aggregate, we estimate a burden of </w:t>
      </w:r>
      <w:r w:rsidR="0042348E">
        <w:rPr>
          <w:rFonts w:eastAsia="Calibri"/>
        </w:rPr>
        <w:t>1</w:t>
      </w:r>
      <w:r w:rsidR="00C17DCF">
        <w:rPr>
          <w:rFonts w:eastAsia="Calibri"/>
        </w:rPr>
        <w:t>5</w:t>
      </w:r>
      <w:r w:rsidR="009E558D">
        <w:rPr>
          <w:rFonts w:eastAsia="Calibri"/>
        </w:rPr>
        <w:t>1,068</w:t>
      </w:r>
      <w:r w:rsidRPr="00871E51" w:rsidR="00C26A3A">
        <w:rPr>
          <w:rFonts w:eastAsia="Calibri"/>
        </w:rPr>
        <w:t xml:space="preserve"> </w:t>
      </w:r>
      <w:r w:rsidRPr="006B20F0" w:rsidR="006B20F0">
        <w:rPr>
          <w:rFonts w:eastAsia="Calibri"/>
        </w:rPr>
        <w:t>hours [9.08</w:t>
      </w:r>
      <w:r>
        <w:rPr>
          <w:rFonts w:eastAsia="Calibri"/>
        </w:rPr>
        <w:t>3</w:t>
      </w:r>
      <w:r w:rsidR="00A66D31">
        <w:rPr>
          <w:rFonts w:eastAsia="Calibri"/>
        </w:rPr>
        <w:t xml:space="preserve"> </w:t>
      </w:r>
      <w:r w:rsidRPr="006B20F0" w:rsidR="006B20F0">
        <w:rPr>
          <w:rFonts w:eastAsia="Calibri"/>
        </w:rPr>
        <w:t xml:space="preserve">hr/response x </w:t>
      </w:r>
      <w:r w:rsidR="00C17DCF">
        <w:rPr>
          <w:rFonts w:eastAsia="Calibri"/>
        </w:rPr>
        <w:t>1</w:t>
      </w:r>
      <w:r w:rsidR="00CD7A6B">
        <w:rPr>
          <w:rFonts w:eastAsia="Calibri"/>
        </w:rPr>
        <w:t>6,632</w:t>
      </w:r>
      <w:r w:rsidR="00C17DCF">
        <w:rPr>
          <w:rFonts w:eastAsia="Calibri"/>
        </w:rPr>
        <w:t xml:space="preserve"> responses </w:t>
      </w:r>
      <w:r w:rsidRPr="006B20F0" w:rsidR="006B20F0">
        <w:rPr>
          <w:rFonts w:eastAsia="Calibri"/>
        </w:rPr>
        <w:t>(</w:t>
      </w:r>
      <w:r w:rsidR="00F23397">
        <w:rPr>
          <w:rFonts w:eastAsia="Calibri"/>
        </w:rPr>
        <w:t>1</w:t>
      </w:r>
      <w:r w:rsidR="00CD7A6B">
        <w:rPr>
          <w:rFonts w:eastAsia="Calibri"/>
        </w:rPr>
        <w:t>0,682</w:t>
      </w:r>
      <w:r w:rsidRPr="006B20F0" w:rsidR="006B20F0">
        <w:rPr>
          <w:rFonts w:eastAsia="Calibri"/>
        </w:rPr>
        <w:t xml:space="preserve"> clinicians submitting as individuals + </w:t>
      </w:r>
      <w:r w:rsidR="00CD7A6B">
        <w:rPr>
          <w:rFonts w:eastAsia="Calibri"/>
        </w:rPr>
        <w:t>5,950</w:t>
      </w:r>
      <w:r w:rsidR="00B40762">
        <w:rPr>
          <w:rFonts w:eastAsia="Calibri"/>
        </w:rPr>
        <w:t xml:space="preserve"> </w:t>
      </w:r>
      <w:r w:rsidRPr="006B20F0" w:rsidR="006B20F0">
        <w:rPr>
          <w:rFonts w:eastAsia="Calibri"/>
        </w:rPr>
        <w:t>groups submitting via QCDR or MIPS CQM on behalf of individual clinicians)] at a cost of $</w:t>
      </w:r>
      <w:r w:rsidR="00421716">
        <w:rPr>
          <w:rFonts w:eastAsia="Calibri"/>
        </w:rPr>
        <w:t>1</w:t>
      </w:r>
      <w:r w:rsidR="00240F50">
        <w:rPr>
          <w:rFonts w:eastAsia="Calibri"/>
        </w:rPr>
        <w:t>7,289,629</w:t>
      </w:r>
      <w:r w:rsidR="00A835FC">
        <w:rPr>
          <w:rFonts w:eastAsia="Calibri"/>
        </w:rPr>
        <w:t xml:space="preserve"> </w:t>
      </w:r>
      <w:r w:rsidRPr="006B20F0" w:rsidR="006B20F0">
        <w:rPr>
          <w:rFonts w:eastAsia="Calibri"/>
        </w:rPr>
        <w:t>(</w:t>
      </w:r>
      <w:r w:rsidR="00C14BC5">
        <w:rPr>
          <w:rFonts w:eastAsia="Calibri"/>
        </w:rPr>
        <w:t>1</w:t>
      </w:r>
      <w:r w:rsidR="0050644D">
        <w:rPr>
          <w:rFonts w:eastAsia="Calibri"/>
        </w:rPr>
        <w:t>6,632</w:t>
      </w:r>
      <w:r w:rsidRPr="006B20F0" w:rsidR="006B20F0">
        <w:rPr>
          <w:rFonts w:eastAsia="Calibri"/>
        </w:rPr>
        <w:t xml:space="preserve"> responses x $</w:t>
      </w:r>
      <w:r w:rsidR="00C17DCF">
        <w:rPr>
          <w:rFonts w:eastAsia="Calibri"/>
        </w:rPr>
        <w:t>1,039.54</w:t>
      </w:r>
      <w:r w:rsidRPr="006B20F0" w:rsidR="006B20F0">
        <w:rPr>
          <w:rFonts w:eastAsia="Calibri"/>
        </w:rPr>
        <w:t>/response)</w:t>
      </w:r>
      <w:r>
        <w:rPr>
          <w:rFonts w:eastAsia="Calibri"/>
        </w:rPr>
        <w:t>.</w:t>
      </w:r>
      <w:r w:rsidRPr="002D76B5">
        <w:rPr>
          <w:rFonts w:eastAsia="Calibri"/>
        </w:rPr>
        <w:t xml:space="preserve"> </w:t>
      </w:r>
    </w:p>
    <w:p w:rsidR="00C351ED" w:rsidRPr="00C47150" w:rsidP="00F37138" w14:paraId="3F53AADF" w14:textId="7D7D5A91">
      <w:pPr>
        <w:keepNext/>
        <w:keepLines/>
        <w:spacing w:after="0"/>
        <w:jc w:val="center"/>
        <w:rPr>
          <w:b/>
        </w:rPr>
      </w:pPr>
      <w:r w:rsidRPr="00C47150">
        <w:rPr>
          <w:b/>
        </w:rPr>
        <w:t xml:space="preserve">TABLE </w:t>
      </w:r>
      <w:r w:rsidR="00CA1C83">
        <w:rPr>
          <w:b/>
        </w:rPr>
        <w:t>1</w:t>
      </w:r>
      <w:r w:rsidR="00C17DCF">
        <w:rPr>
          <w:b/>
        </w:rPr>
        <w:t>2</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0052171D">
        <w:rPr>
          <w:b/>
        </w:rPr>
        <w:t xml:space="preserve"> and </w:t>
      </w:r>
      <w:r w:rsidRPr="00C47150">
        <w:rPr>
          <w:b/>
        </w:rPr>
        <w:t>QCDR Collection Type</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5"/>
        <w:gridCol w:w="2430"/>
      </w:tblGrid>
      <w:tr w14:paraId="14827F76" w14:textId="6DDA0092" w:rsidTr="00143674">
        <w:tblPrEx>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67"/>
          <w:tblHeader/>
          <w:jc w:val="center"/>
        </w:trPr>
        <w:tc>
          <w:tcPr>
            <w:tcW w:w="6305" w:type="dxa"/>
            <w:shd w:val="clear" w:color="auto" w:fill="auto"/>
            <w:vAlign w:val="center"/>
            <w:hideMark/>
          </w:tcPr>
          <w:p w:rsidR="00045313" w:rsidRPr="00C351ED" w:rsidP="00F37138" w14:paraId="07CF05E1" w14:textId="035601BB">
            <w:pPr>
              <w:keepNext/>
              <w:keepLines/>
              <w:spacing w:after="0"/>
              <w:rPr>
                <w:b/>
                <w:sz w:val="20"/>
                <w:szCs w:val="20"/>
              </w:rPr>
            </w:pPr>
            <w:r w:rsidRPr="001742C7">
              <w:rPr>
                <w:sz w:val="20"/>
                <w:szCs w:val="20"/>
              </w:rPr>
              <w:t> </w:t>
            </w:r>
            <w:r w:rsidRPr="00C351ED">
              <w:rPr>
                <w:b/>
                <w:sz w:val="20"/>
                <w:szCs w:val="20"/>
              </w:rPr>
              <w:t>Burden and Respondent Descriptions</w:t>
            </w:r>
          </w:p>
        </w:tc>
        <w:tc>
          <w:tcPr>
            <w:tcW w:w="2430" w:type="dxa"/>
          </w:tcPr>
          <w:p w:rsidR="00045313" w:rsidRPr="001742C7" w:rsidP="00F37138" w14:paraId="5F54DCBE" w14:textId="047C3EFA">
            <w:pPr>
              <w:keepNext/>
              <w:keepLines/>
              <w:spacing w:after="0"/>
              <w:jc w:val="center"/>
              <w:rPr>
                <w:b/>
                <w:sz w:val="20"/>
                <w:szCs w:val="20"/>
              </w:rPr>
            </w:pPr>
            <w:r w:rsidRPr="00CC1878">
              <w:rPr>
                <w:b/>
                <w:sz w:val="20"/>
                <w:szCs w:val="20"/>
              </w:rPr>
              <w:t>Burden Estimate</w:t>
            </w:r>
          </w:p>
        </w:tc>
      </w:tr>
      <w:tr w14:paraId="7607FF30" w14:textId="394BAF89" w:rsidTr="00B936AA">
        <w:tblPrEx>
          <w:tblW w:w="8735" w:type="dxa"/>
          <w:jc w:val="center"/>
          <w:tblLook w:val="04A0"/>
        </w:tblPrEx>
        <w:trPr>
          <w:cantSplit/>
          <w:trHeight w:val="315"/>
          <w:jc w:val="center"/>
        </w:trPr>
        <w:tc>
          <w:tcPr>
            <w:tcW w:w="6305" w:type="dxa"/>
            <w:tcBorders>
              <w:top w:val="single" w:sz="4" w:space="0" w:color="auto"/>
              <w:left w:val="single" w:sz="4" w:space="0" w:color="auto"/>
              <w:bottom w:val="single" w:sz="4" w:space="0" w:color="auto"/>
              <w:right w:val="single" w:sz="4" w:space="0" w:color="auto"/>
            </w:tcBorders>
            <w:shd w:val="clear" w:color="auto" w:fill="auto"/>
            <w:hideMark/>
          </w:tcPr>
          <w:p w:rsidR="00DC11F0" w:rsidRPr="001742C7" w:rsidP="00DC11F0" w14:paraId="6D609B38" w14:textId="77777777">
            <w:pPr>
              <w:keepNext/>
              <w:keepLines/>
              <w:spacing w:after="0"/>
              <w:rPr>
                <w:sz w:val="20"/>
                <w:szCs w:val="20"/>
              </w:rPr>
            </w:pPr>
            <w:r w:rsidRPr="00732012">
              <w:rPr>
                <w:sz w:val="20"/>
                <w:szCs w:val="20"/>
              </w:rPr>
              <w:t># of clinicians submitting as individuals (a)</w:t>
            </w:r>
          </w:p>
        </w:tc>
        <w:tc>
          <w:tcPr>
            <w:tcW w:w="2430" w:type="dxa"/>
            <w:tcBorders>
              <w:top w:val="single" w:sz="4" w:space="0" w:color="auto"/>
              <w:left w:val="single" w:sz="4" w:space="0" w:color="auto"/>
              <w:bottom w:val="single" w:sz="4" w:space="0" w:color="auto"/>
              <w:right w:val="single" w:sz="4" w:space="0" w:color="auto"/>
            </w:tcBorders>
            <w:vAlign w:val="center"/>
          </w:tcPr>
          <w:p w:rsidR="00DC11F0" w:rsidRPr="00EC04A5" w:rsidP="00B936AA" w14:paraId="2799FA61" w14:textId="740FD100">
            <w:pPr>
              <w:keepNext/>
              <w:keepLines/>
              <w:spacing w:after="0"/>
              <w:jc w:val="right"/>
              <w:rPr>
                <w:sz w:val="20"/>
                <w:szCs w:val="20"/>
              </w:rPr>
            </w:pPr>
            <w:r w:rsidRPr="00DB5DF1">
              <w:rPr>
                <w:color w:val="000000" w:themeColor="text1"/>
                <w:sz w:val="20"/>
                <w:szCs w:val="20"/>
              </w:rPr>
              <w:t>1</w:t>
            </w:r>
            <w:r w:rsidR="00782E79">
              <w:rPr>
                <w:color w:val="000000" w:themeColor="text1"/>
                <w:sz w:val="20"/>
                <w:szCs w:val="20"/>
              </w:rPr>
              <w:t>0,682</w:t>
            </w:r>
          </w:p>
        </w:tc>
      </w:tr>
      <w:tr w14:paraId="16B6B84E" w14:textId="4DD10242" w:rsidTr="00143674">
        <w:tblPrEx>
          <w:tblW w:w="8735" w:type="dxa"/>
          <w:jc w:val="center"/>
          <w:tblLook w:val="04A0"/>
        </w:tblPrEx>
        <w:trPr>
          <w:cantSplit/>
          <w:trHeight w:val="525"/>
          <w:jc w:val="center"/>
        </w:trPr>
        <w:tc>
          <w:tcPr>
            <w:tcW w:w="6305" w:type="dxa"/>
            <w:tcBorders>
              <w:top w:val="single" w:sz="4" w:space="0" w:color="auto"/>
              <w:left w:val="single" w:sz="4" w:space="0" w:color="auto"/>
              <w:bottom w:val="single" w:sz="4" w:space="0" w:color="auto"/>
              <w:right w:val="single" w:sz="4" w:space="0" w:color="auto"/>
            </w:tcBorders>
            <w:shd w:val="clear" w:color="auto" w:fill="auto"/>
            <w:hideMark/>
          </w:tcPr>
          <w:p w:rsidR="00DC11F0" w:rsidRPr="001742C7" w:rsidP="00DC11F0" w14:paraId="2BD5D145" w14:textId="33964798">
            <w:pPr>
              <w:keepNext/>
              <w:keepLines/>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2430" w:type="dxa"/>
            <w:tcBorders>
              <w:top w:val="single" w:sz="4" w:space="0" w:color="auto"/>
              <w:left w:val="single" w:sz="4" w:space="0" w:color="auto"/>
              <w:bottom w:val="single" w:sz="4" w:space="0" w:color="auto"/>
              <w:right w:val="single" w:sz="4" w:space="0" w:color="auto"/>
            </w:tcBorders>
          </w:tcPr>
          <w:p w:rsidR="00DC11F0" w:rsidRPr="00EC04A5" w:rsidP="00B936AA" w14:paraId="66508D78" w14:textId="1DD1DF1E">
            <w:pPr>
              <w:keepNext/>
              <w:keepLines/>
              <w:spacing w:after="0"/>
              <w:jc w:val="right"/>
              <w:rPr>
                <w:sz w:val="20"/>
                <w:szCs w:val="20"/>
              </w:rPr>
            </w:pPr>
            <w:r>
              <w:rPr>
                <w:color w:val="000000" w:themeColor="text1"/>
                <w:sz w:val="20"/>
                <w:szCs w:val="20"/>
              </w:rPr>
              <w:t>5,950</w:t>
            </w:r>
          </w:p>
        </w:tc>
      </w:tr>
      <w:tr w14:paraId="793A2CC7" w14:textId="614D04E4" w:rsidTr="00B936AA">
        <w:tblPrEx>
          <w:tblW w:w="8735" w:type="dxa"/>
          <w:jc w:val="center"/>
          <w:tblLook w:val="04A0"/>
        </w:tblPrEx>
        <w:trPr>
          <w:cantSplit/>
          <w:trHeight w:val="525"/>
          <w:jc w:val="center"/>
        </w:trPr>
        <w:tc>
          <w:tcPr>
            <w:tcW w:w="6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C11F0" w:rsidRPr="00B936AA" w:rsidP="00DC11F0" w14:paraId="7AC93D75" w14:textId="274559ED">
            <w:pPr>
              <w:spacing w:after="0"/>
              <w:rPr>
                <w:b/>
                <w:bCs/>
                <w:sz w:val="20"/>
                <w:szCs w:val="20"/>
              </w:rPr>
            </w:pPr>
            <w:r w:rsidRPr="00B936AA">
              <w:rPr>
                <w:b/>
                <w:bCs/>
                <w:sz w:val="20"/>
                <w:szCs w:val="20"/>
              </w:rPr>
              <w:t># of Respondents (groups and clinicians submitting as individuals) (c)=(a)+(b)</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tcPr>
          <w:p w:rsidR="00DC11F0" w:rsidRPr="00EC04A5" w:rsidP="00B936AA" w14:paraId="62C18301" w14:textId="17694DF4">
            <w:pPr>
              <w:spacing w:after="0"/>
              <w:jc w:val="right"/>
              <w:rPr>
                <w:sz w:val="20"/>
                <w:szCs w:val="20"/>
              </w:rPr>
            </w:pPr>
            <w:r w:rsidRPr="00DB5DF1">
              <w:rPr>
                <w:b/>
                <w:bCs/>
                <w:color w:val="000000" w:themeColor="text1"/>
                <w:sz w:val="20"/>
                <w:szCs w:val="20"/>
              </w:rPr>
              <w:t>1</w:t>
            </w:r>
            <w:r w:rsidR="009D75E8">
              <w:rPr>
                <w:b/>
                <w:bCs/>
                <w:color w:val="000000" w:themeColor="text1"/>
                <w:sz w:val="20"/>
                <w:szCs w:val="20"/>
              </w:rPr>
              <w:t>6,632</w:t>
            </w:r>
          </w:p>
        </w:tc>
      </w:tr>
      <w:tr w14:paraId="01C49441" w14:textId="2A4E6AEC" w:rsidTr="00143674">
        <w:tblPrEx>
          <w:tblW w:w="8735" w:type="dxa"/>
          <w:jc w:val="center"/>
          <w:tblLook w:val="04A0"/>
        </w:tblPrEx>
        <w:trPr>
          <w:cantSplit/>
          <w:trHeight w:val="350"/>
          <w:jc w:val="center"/>
        </w:trPr>
        <w:tc>
          <w:tcPr>
            <w:tcW w:w="6305" w:type="dxa"/>
            <w:shd w:val="clear" w:color="auto" w:fill="auto"/>
            <w:hideMark/>
          </w:tcPr>
          <w:p w:rsidR="00DC11F0" w:rsidRPr="001742C7" w:rsidP="00DC11F0" w14:paraId="47D4CB20" w14:textId="77777777">
            <w:pPr>
              <w:spacing w:after="0"/>
              <w:rPr>
                <w:sz w:val="20"/>
                <w:szCs w:val="20"/>
              </w:rPr>
            </w:pPr>
            <w:r w:rsidRPr="00732012">
              <w:rPr>
                <w:sz w:val="20"/>
                <w:szCs w:val="20"/>
              </w:rPr>
              <w:t xml:space="preserve">Hours Per Respondent to Report Quality Data (d) </w:t>
            </w:r>
          </w:p>
        </w:tc>
        <w:tc>
          <w:tcPr>
            <w:tcW w:w="2430" w:type="dxa"/>
            <w:vAlign w:val="center"/>
          </w:tcPr>
          <w:p w:rsidR="00DC11F0" w:rsidRPr="003428D4" w:rsidP="00B936AA" w14:paraId="1D68B83A" w14:textId="3D3E34F9">
            <w:pPr>
              <w:spacing w:after="0"/>
              <w:jc w:val="right"/>
              <w:rPr>
                <w:rFonts w:eastAsia="Calibri"/>
                <w:sz w:val="20"/>
                <w:szCs w:val="20"/>
              </w:rPr>
            </w:pPr>
            <w:r w:rsidRPr="00DB5DF1">
              <w:rPr>
                <w:color w:val="000000" w:themeColor="text1"/>
                <w:sz w:val="20"/>
                <w:szCs w:val="20"/>
              </w:rPr>
              <w:t>3</w:t>
            </w:r>
          </w:p>
        </w:tc>
      </w:tr>
      <w:tr w14:paraId="119E679C" w14:textId="56FF0FD2" w:rsidTr="00143674">
        <w:tblPrEx>
          <w:tblW w:w="8735" w:type="dxa"/>
          <w:jc w:val="center"/>
          <w:tblLook w:val="04A0"/>
        </w:tblPrEx>
        <w:trPr>
          <w:cantSplit/>
          <w:trHeight w:val="350"/>
          <w:jc w:val="center"/>
        </w:trPr>
        <w:tc>
          <w:tcPr>
            <w:tcW w:w="6305" w:type="dxa"/>
            <w:shd w:val="clear" w:color="auto" w:fill="auto"/>
            <w:hideMark/>
          </w:tcPr>
          <w:p w:rsidR="00DC11F0" w:rsidRPr="001742C7" w:rsidP="00DC11F0" w14:paraId="6D7836BC" w14:textId="667B52CB">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430" w:type="dxa"/>
            <w:vAlign w:val="center"/>
          </w:tcPr>
          <w:p w:rsidR="00DC11F0" w:rsidRPr="003428D4" w:rsidP="00B936AA" w14:paraId="120ED012" w14:textId="168301F0">
            <w:pPr>
              <w:spacing w:after="0"/>
              <w:jc w:val="right"/>
              <w:rPr>
                <w:rFonts w:eastAsia="Calibri"/>
                <w:sz w:val="20"/>
                <w:szCs w:val="20"/>
              </w:rPr>
            </w:pPr>
            <w:r w:rsidRPr="00DB5DF1">
              <w:rPr>
                <w:color w:val="000000" w:themeColor="text1"/>
                <w:sz w:val="20"/>
                <w:szCs w:val="20"/>
              </w:rPr>
              <w:t>2</w:t>
            </w:r>
          </w:p>
        </w:tc>
      </w:tr>
      <w:tr w14:paraId="19DE3DB2" w14:textId="22319ADA" w:rsidTr="00143674">
        <w:tblPrEx>
          <w:tblW w:w="8735" w:type="dxa"/>
          <w:jc w:val="center"/>
          <w:tblLook w:val="04A0"/>
        </w:tblPrEx>
        <w:trPr>
          <w:cantSplit/>
          <w:trHeight w:val="525"/>
          <w:jc w:val="center"/>
        </w:trPr>
        <w:tc>
          <w:tcPr>
            <w:tcW w:w="6305" w:type="dxa"/>
            <w:shd w:val="clear" w:color="auto" w:fill="auto"/>
            <w:hideMark/>
          </w:tcPr>
          <w:p w:rsidR="00DC11F0" w:rsidRPr="001742C7" w:rsidP="00DC11F0" w14:paraId="04F979AF" w14:textId="77777777">
            <w:pPr>
              <w:spacing w:after="0"/>
              <w:rPr>
                <w:sz w:val="20"/>
                <w:szCs w:val="20"/>
              </w:rPr>
            </w:pPr>
            <w:r w:rsidRPr="00732012">
              <w:rPr>
                <w:sz w:val="20"/>
                <w:szCs w:val="20"/>
              </w:rPr>
              <w:t># of Hours Computer Systems Analyst Review Measure Specifications (f)</w:t>
            </w:r>
          </w:p>
        </w:tc>
        <w:tc>
          <w:tcPr>
            <w:tcW w:w="2430" w:type="dxa"/>
            <w:vAlign w:val="center"/>
          </w:tcPr>
          <w:p w:rsidR="00DC11F0" w:rsidRPr="003428D4" w:rsidP="00B936AA" w14:paraId="640E5983" w14:textId="3AEE009F">
            <w:pPr>
              <w:spacing w:after="0"/>
              <w:jc w:val="right"/>
              <w:rPr>
                <w:rFonts w:eastAsia="Calibri"/>
                <w:sz w:val="20"/>
                <w:szCs w:val="20"/>
              </w:rPr>
            </w:pPr>
            <w:r w:rsidRPr="00DB5DF1">
              <w:rPr>
                <w:color w:val="000000" w:themeColor="text1"/>
                <w:sz w:val="20"/>
                <w:szCs w:val="20"/>
              </w:rPr>
              <w:t>1</w:t>
            </w:r>
          </w:p>
        </w:tc>
      </w:tr>
      <w:tr w14:paraId="1E617F2B" w14:textId="0C6C26E4" w:rsidTr="00143674">
        <w:tblPrEx>
          <w:tblW w:w="8735" w:type="dxa"/>
          <w:jc w:val="center"/>
          <w:tblLook w:val="04A0"/>
        </w:tblPrEx>
        <w:trPr>
          <w:cantSplit/>
          <w:trHeight w:val="315"/>
          <w:jc w:val="center"/>
        </w:trPr>
        <w:tc>
          <w:tcPr>
            <w:tcW w:w="6305" w:type="dxa"/>
            <w:shd w:val="clear" w:color="auto" w:fill="auto"/>
            <w:hideMark/>
          </w:tcPr>
          <w:p w:rsidR="00DC11F0" w:rsidRPr="001742C7" w:rsidP="00DC11F0" w14:paraId="7DF18889" w14:textId="77777777">
            <w:pPr>
              <w:spacing w:after="0"/>
              <w:rPr>
                <w:sz w:val="20"/>
                <w:szCs w:val="20"/>
              </w:rPr>
            </w:pPr>
            <w:r w:rsidRPr="00732012">
              <w:rPr>
                <w:sz w:val="20"/>
                <w:szCs w:val="20"/>
              </w:rPr>
              <w:t># of Hours LPN Review Measure Specifications (g)</w:t>
            </w:r>
          </w:p>
        </w:tc>
        <w:tc>
          <w:tcPr>
            <w:tcW w:w="2430" w:type="dxa"/>
            <w:vAlign w:val="center"/>
          </w:tcPr>
          <w:p w:rsidR="00DC11F0" w:rsidRPr="003428D4" w:rsidP="00B936AA" w14:paraId="2C1CA4AA" w14:textId="579AA296">
            <w:pPr>
              <w:spacing w:after="0"/>
              <w:jc w:val="right"/>
              <w:rPr>
                <w:rFonts w:eastAsia="Calibri"/>
                <w:sz w:val="20"/>
                <w:szCs w:val="20"/>
              </w:rPr>
            </w:pPr>
            <w:r w:rsidRPr="00DB5DF1">
              <w:rPr>
                <w:color w:val="000000" w:themeColor="text1"/>
                <w:sz w:val="20"/>
                <w:szCs w:val="20"/>
              </w:rPr>
              <w:t>1</w:t>
            </w:r>
          </w:p>
        </w:tc>
      </w:tr>
      <w:tr w14:paraId="748CE47C" w14:textId="753B9470" w:rsidTr="00143674">
        <w:tblPrEx>
          <w:tblW w:w="8735" w:type="dxa"/>
          <w:jc w:val="center"/>
          <w:tblLook w:val="04A0"/>
        </w:tblPrEx>
        <w:trPr>
          <w:cantSplit/>
          <w:trHeight w:val="305"/>
          <w:jc w:val="center"/>
        </w:trPr>
        <w:tc>
          <w:tcPr>
            <w:tcW w:w="6305" w:type="dxa"/>
            <w:shd w:val="clear" w:color="auto" w:fill="auto"/>
            <w:hideMark/>
          </w:tcPr>
          <w:p w:rsidR="00DC11F0" w:rsidRPr="001742C7" w:rsidP="00DC11F0" w14:paraId="1D58476D" w14:textId="77777777">
            <w:pPr>
              <w:spacing w:after="0"/>
              <w:rPr>
                <w:sz w:val="20"/>
                <w:szCs w:val="20"/>
              </w:rPr>
            </w:pPr>
            <w:r w:rsidRPr="00732012">
              <w:rPr>
                <w:sz w:val="20"/>
                <w:szCs w:val="20"/>
              </w:rPr>
              <w:t># of Hours Billing Clerk Review Measure Specifications (h)</w:t>
            </w:r>
          </w:p>
        </w:tc>
        <w:tc>
          <w:tcPr>
            <w:tcW w:w="2430" w:type="dxa"/>
            <w:vAlign w:val="center"/>
          </w:tcPr>
          <w:p w:rsidR="00DC11F0" w:rsidRPr="003428D4" w:rsidP="00B936AA" w14:paraId="09BA8CBE" w14:textId="625C31A0">
            <w:pPr>
              <w:spacing w:after="0"/>
              <w:jc w:val="right"/>
              <w:rPr>
                <w:rFonts w:eastAsia="Calibri"/>
                <w:sz w:val="20"/>
                <w:szCs w:val="20"/>
              </w:rPr>
            </w:pPr>
            <w:r w:rsidRPr="00DB5DF1">
              <w:rPr>
                <w:color w:val="000000" w:themeColor="text1"/>
                <w:sz w:val="20"/>
                <w:szCs w:val="20"/>
              </w:rPr>
              <w:t>1</w:t>
            </w:r>
          </w:p>
        </w:tc>
      </w:tr>
      <w:tr w14:paraId="2B7195DD" w14:textId="7C7DE589" w:rsidTr="00143674">
        <w:tblPrEx>
          <w:tblW w:w="8735" w:type="dxa"/>
          <w:jc w:val="center"/>
          <w:tblLook w:val="04A0"/>
        </w:tblPrEx>
        <w:trPr>
          <w:cantSplit/>
          <w:trHeight w:val="350"/>
          <w:jc w:val="center"/>
        </w:trPr>
        <w:tc>
          <w:tcPr>
            <w:tcW w:w="6305" w:type="dxa"/>
            <w:shd w:val="clear" w:color="auto" w:fill="auto"/>
            <w:hideMark/>
          </w:tcPr>
          <w:p w:rsidR="00DC11F0" w:rsidRPr="001742C7" w:rsidP="00DC11F0" w14:paraId="5C265A43" w14:textId="77777777">
            <w:pPr>
              <w:spacing w:after="0"/>
              <w:rPr>
                <w:sz w:val="20"/>
                <w:szCs w:val="20"/>
              </w:rPr>
            </w:pPr>
            <w:r w:rsidRPr="00732012">
              <w:rPr>
                <w:sz w:val="20"/>
                <w:szCs w:val="20"/>
              </w:rPr>
              <w:t># of Hours Clinician Review Measure Specifications (i)</w:t>
            </w:r>
          </w:p>
        </w:tc>
        <w:tc>
          <w:tcPr>
            <w:tcW w:w="2430" w:type="dxa"/>
            <w:vAlign w:val="center"/>
          </w:tcPr>
          <w:p w:rsidR="00DC11F0" w:rsidRPr="003428D4" w:rsidP="00B936AA" w14:paraId="04DBB24F" w14:textId="05E8BEDD">
            <w:pPr>
              <w:spacing w:after="0"/>
              <w:jc w:val="right"/>
              <w:rPr>
                <w:rFonts w:eastAsia="Calibri"/>
                <w:sz w:val="20"/>
                <w:szCs w:val="20"/>
              </w:rPr>
            </w:pPr>
            <w:r w:rsidRPr="00DB5DF1">
              <w:rPr>
                <w:color w:val="000000" w:themeColor="text1"/>
                <w:sz w:val="20"/>
                <w:szCs w:val="20"/>
              </w:rPr>
              <w:t>1</w:t>
            </w:r>
          </w:p>
        </w:tc>
      </w:tr>
      <w:tr w14:paraId="2272F756" w14:textId="6F3A5259" w:rsidTr="00143674">
        <w:tblPrEx>
          <w:tblW w:w="8735" w:type="dxa"/>
          <w:jc w:val="center"/>
          <w:tblLook w:val="04A0"/>
        </w:tblPrEx>
        <w:trPr>
          <w:cantSplit/>
          <w:trHeight w:val="525"/>
          <w:jc w:val="center"/>
        </w:trPr>
        <w:tc>
          <w:tcPr>
            <w:tcW w:w="6305" w:type="dxa"/>
            <w:shd w:val="clear" w:color="auto" w:fill="auto"/>
            <w:hideMark/>
          </w:tcPr>
          <w:p w:rsidR="00DC11F0" w:rsidRPr="001742C7" w:rsidP="00DC11F0" w14:paraId="3F8F0B30" w14:textId="77777777">
            <w:pPr>
              <w:spacing w:after="0"/>
              <w:rPr>
                <w:sz w:val="20"/>
                <w:szCs w:val="20"/>
              </w:rPr>
            </w:pPr>
            <w:r w:rsidRPr="00732012">
              <w:rPr>
                <w:sz w:val="20"/>
                <w:szCs w:val="20"/>
              </w:rPr>
              <w:t># of Hours Per Respondent to Authorize Qualified Registry to Report on Respondent's Behalf (j)</w:t>
            </w:r>
          </w:p>
        </w:tc>
        <w:tc>
          <w:tcPr>
            <w:tcW w:w="2430" w:type="dxa"/>
            <w:vAlign w:val="center"/>
          </w:tcPr>
          <w:p w:rsidR="00DC11F0" w:rsidRPr="003428D4" w:rsidP="00B936AA" w14:paraId="2B76014A" w14:textId="03595430">
            <w:pPr>
              <w:spacing w:after="0"/>
              <w:jc w:val="right"/>
              <w:rPr>
                <w:rFonts w:eastAsia="Calibri"/>
                <w:sz w:val="20"/>
                <w:szCs w:val="20"/>
              </w:rPr>
            </w:pPr>
            <w:r w:rsidRPr="00DB5DF1">
              <w:rPr>
                <w:color w:val="000000" w:themeColor="text1"/>
                <w:sz w:val="20"/>
                <w:szCs w:val="20"/>
              </w:rPr>
              <w:t>0.083</w:t>
            </w:r>
          </w:p>
        </w:tc>
      </w:tr>
      <w:tr w14:paraId="530384EC" w14:textId="33101581" w:rsidTr="00B936AA">
        <w:tblPrEx>
          <w:tblW w:w="8735" w:type="dxa"/>
          <w:jc w:val="center"/>
          <w:tblLook w:val="04A0"/>
        </w:tblPrEx>
        <w:trPr>
          <w:cantSplit/>
          <w:trHeight w:val="350"/>
          <w:jc w:val="center"/>
        </w:trPr>
        <w:tc>
          <w:tcPr>
            <w:tcW w:w="6305" w:type="dxa"/>
            <w:shd w:val="clear" w:color="auto" w:fill="auto"/>
            <w:hideMark/>
          </w:tcPr>
          <w:p w:rsidR="00DC11F0" w:rsidRPr="001742C7" w:rsidP="00DC11F0" w14:paraId="2F877396" w14:textId="77777777">
            <w:pPr>
              <w:spacing w:after="0"/>
              <w:rPr>
                <w:sz w:val="20"/>
                <w:szCs w:val="20"/>
              </w:rPr>
            </w:pPr>
            <w:r w:rsidRPr="00732012">
              <w:rPr>
                <w:sz w:val="20"/>
                <w:szCs w:val="20"/>
              </w:rPr>
              <w:t>Annual Hours Per Respondent (k)= (d)+(e)+(f)+(g)+(h)+(i)+(j)</w:t>
            </w:r>
          </w:p>
        </w:tc>
        <w:tc>
          <w:tcPr>
            <w:tcW w:w="2430" w:type="dxa"/>
            <w:shd w:val="clear" w:color="auto" w:fill="auto"/>
            <w:vAlign w:val="center"/>
          </w:tcPr>
          <w:p w:rsidR="00DC11F0" w:rsidRPr="003428D4" w:rsidP="003D29BA" w14:paraId="0B15CD29" w14:textId="2312C595">
            <w:pPr>
              <w:spacing w:after="0"/>
              <w:jc w:val="right"/>
              <w:rPr>
                <w:rFonts w:eastAsia="Calibri"/>
                <w:sz w:val="20"/>
                <w:szCs w:val="20"/>
              </w:rPr>
            </w:pPr>
            <w:r w:rsidRPr="00DB5DF1">
              <w:rPr>
                <w:color w:val="000000" w:themeColor="text1"/>
                <w:sz w:val="20"/>
                <w:szCs w:val="20"/>
              </w:rPr>
              <w:t>9.083</w:t>
            </w:r>
          </w:p>
        </w:tc>
      </w:tr>
      <w:tr w14:paraId="438A47F3" w14:textId="49184339" w:rsidTr="00B936AA">
        <w:tblPrEx>
          <w:tblW w:w="8735" w:type="dxa"/>
          <w:jc w:val="center"/>
          <w:tblLook w:val="04A0"/>
        </w:tblPrEx>
        <w:trPr>
          <w:cantSplit/>
          <w:trHeight w:val="315"/>
          <w:jc w:val="center"/>
        </w:trPr>
        <w:tc>
          <w:tcPr>
            <w:tcW w:w="6305" w:type="dxa"/>
            <w:shd w:val="clear" w:color="auto" w:fill="E7E6E6" w:themeFill="background2"/>
            <w:hideMark/>
          </w:tcPr>
          <w:p w:rsidR="00DC11F0" w:rsidRPr="001B2C82" w:rsidP="00DC11F0" w14:paraId="490F2FEB" w14:textId="7DAB7EBB">
            <w:pPr>
              <w:spacing w:after="0"/>
              <w:rPr>
                <w:b/>
                <w:bCs/>
                <w:sz w:val="20"/>
                <w:szCs w:val="20"/>
              </w:rPr>
            </w:pPr>
            <w:r w:rsidRPr="001B2C82">
              <w:rPr>
                <w:b/>
                <w:bCs/>
                <w:sz w:val="20"/>
                <w:szCs w:val="20"/>
              </w:rPr>
              <w:t>Total Annual Hours (l) = (c)</w:t>
            </w:r>
            <w:r>
              <w:t xml:space="preserve"> </w:t>
            </w:r>
            <w:r w:rsidRPr="00965121">
              <w:rPr>
                <w:sz w:val="20"/>
                <w:szCs w:val="20"/>
              </w:rPr>
              <w:t>[</w:t>
            </w:r>
            <w:r w:rsidRPr="00965121">
              <w:rPr>
                <w:b/>
                <w:bCs/>
                <w:sz w:val="20"/>
                <w:szCs w:val="20"/>
              </w:rPr>
              <w:t>x]</w:t>
            </w:r>
            <w:r w:rsidRPr="006E00F7">
              <w:rPr>
                <w:b/>
                <w:bCs/>
                <w:sz w:val="20"/>
                <w:szCs w:val="20"/>
              </w:rPr>
              <w:t xml:space="preserve"> </w:t>
            </w:r>
            <w:r w:rsidRPr="001B2C82">
              <w:rPr>
                <w:b/>
                <w:bCs/>
                <w:sz w:val="20"/>
                <w:szCs w:val="20"/>
              </w:rPr>
              <w:t>(k)</w:t>
            </w:r>
          </w:p>
        </w:tc>
        <w:tc>
          <w:tcPr>
            <w:tcW w:w="2430" w:type="dxa"/>
            <w:shd w:val="clear" w:color="auto" w:fill="E7E6E6" w:themeFill="background2"/>
            <w:vAlign w:val="center"/>
          </w:tcPr>
          <w:p w:rsidR="00DC11F0" w:rsidRPr="000146D2" w:rsidP="003D29BA" w14:paraId="42D7B241" w14:textId="3DE04B21">
            <w:pPr>
              <w:spacing w:after="0"/>
              <w:jc w:val="right"/>
              <w:rPr>
                <w:b/>
                <w:bCs/>
                <w:sz w:val="20"/>
                <w:szCs w:val="20"/>
              </w:rPr>
            </w:pPr>
            <w:r w:rsidRPr="00DB5DF1">
              <w:rPr>
                <w:b/>
                <w:bCs/>
                <w:color w:val="000000" w:themeColor="text1"/>
                <w:sz w:val="20"/>
                <w:szCs w:val="20"/>
              </w:rPr>
              <w:t>15</w:t>
            </w:r>
            <w:r w:rsidR="00B700AE">
              <w:rPr>
                <w:b/>
                <w:bCs/>
                <w:color w:val="000000" w:themeColor="text1"/>
                <w:sz w:val="20"/>
                <w:szCs w:val="20"/>
              </w:rPr>
              <w:t>1,068</w:t>
            </w:r>
          </w:p>
        </w:tc>
      </w:tr>
      <w:tr w14:paraId="5F248A75" w14:textId="3A566C31" w:rsidTr="00143674">
        <w:tblPrEx>
          <w:tblW w:w="8735" w:type="dxa"/>
          <w:jc w:val="center"/>
          <w:tblLook w:val="04A0"/>
        </w:tblPrEx>
        <w:trPr>
          <w:cantSplit/>
          <w:trHeight w:val="436"/>
          <w:jc w:val="center"/>
        </w:trPr>
        <w:tc>
          <w:tcPr>
            <w:tcW w:w="6305" w:type="dxa"/>
            <w:shd w:val="clear" w:color="auto" w:fill="auto"/>
          </w:tcPr>
          <w:p w:rsidR="00DC11F0" w:rsidRPr="000146D2" w:rsidP="00DC11F0" w14:paraId="150B3614" w14:textId="27A01EFD">
            <w:pPr>
              <w:spacing w:after="0"/>
              <w:rPr>
                <w:sz w:val="20"/>
                <w:szCs w:val="20"/>
              </w:rPr>
            </w:pPr>
            <w:r w:rsidRPr="000146D2">
              <w:rPr>
                <w:sz w:val="20"/>
                <w:szCs w:val="20"/>
              </w:rPr>
              <w:t>Cost Per Respondent to Submit Quality Data (@ computer systems analyst’s labor rate of $</w:t>
            </w:r>
            <w:r>
              <w:rPr>
                <w:sz w:val="20"/>
                <w:szCs w:val="20"/>
              </w:rPr>
              <w:t>103.40</w:t>
            </w:r>
            <w:r w:rsidRPr="000146D2">
              <w:rPr>
                <w:sz w:val="20"/>
                <w:szCs w:val="20"/>
              </w:rPr>
              <w:t>/hr) (m)</w:t>
            </w:r>
          </w:p>
        </w:tc>
        <w:tc>
          <w:tcPr>
            <w:tcW w:w="2430" w:type="dxa"/>
            <w:vAlign w:val="center"/>
          </w:tcPr>
          <w:p w:rsidR="00DC11F0" w:rsidRPr="000146D2" w:rsidP="003D29BA" w14:paraId="20816E3E" w14:textId="271079A4">
            <w:pPr>
              <w:spacing w:after="0"/>
              <w:jc w:val="right"/>
              <w:rPr>
                <w:sz w:val="20"/>
                <w:szCs w:val="20"/>
              </w:rPr>
            </w:pPr>
            <w:r w:rsidRPr="00DB5DF1">
              <w:rPr>
                <w:color w:val="000000" w:themeColor="text1"/>
                <w:sz w:val="20"/>
                <w:szCs w:val="20"/>
              </w:rPr>
              <w:t>$</w:t>
            </w:r>
            <w:r>
              <w:rPr>
                <w:color w:val="000000" w:themeColor="text1"/>
                <w:sz w:val="20"/>
                <w:szCs w:val="20"/>
              </w:rPr>
              <w:t>310.20</w:t>
            </w:r>
          </w:p>
        </w:tc>
      </w:tr>
      <w:tr w14:paraId="7C7C68AA" w14:textId="3EEB016D" w:rsidTr="003D29BA">
        <w:tblPrEx>
          <w:tblW w:w="8735" w:type="dxa"/>
          <w:jc w:val="center"/>
          <w:tblLook w:val="04A0"/>
        </w:tblPrEx>
        <w:trPr>
          <w:cantSplit/>
          <w:trHeight w:val="436"/>
          <w:jc w:val="center"/>
        </w:trPr>
        <w:tc>
          <w:tcPr>
            <w:tcW w:w="6305" w:type="dxa"/>
            <w:shd w:val="clear" w:color="auto" w:fill="auto"/>
            <w:hideMark/>
          </w:tcPr>
          <w:p w:rsidR="00DC11F0" w:rsidRPr="000146D2" w:rsidP="00DC11F0" w14:paraId="2AF7193C" w14:textId="21331F8A">
            <w:pPr>
              <w:spacing w:after="0"/>
              <w:rPr>
                <w:sz w:val="20"/>
                <w:szCs w:val="20"/>
              </w:rPr>
            </w:pPr>
            <w:r w:rsidRPr="000146D2">
              <w:rPr>
                <w:sz w:val="20"/>
                <w:szCs w:val="20"/>
              </w:rPr>
              <w:t>Cost to Review Measure Specifications (@ medical and health services manager's labor rate of $1</w:t>
            </w:r>
            <w:r>
              <w:rPr>
                <w:sz w:val="20"/>
                <w:szCs w:val="20"/>
              </w:rPr>
              <w:t>23.06</w:t>
            </w:r>
            <w:r w:rsidRPr="000146D2">
              <w:rPr>
                <w:sz w:val="20"/>
                <w:szCs w:val="20"/>
              </w:rPr>
              <w:t>/hr) (n)</w:t>
            </w:r>
          </w:p>
        </w:tc>
        <w:tc>
          <w:tcPr>
            <w:tcW w:w="2430" w:type="dxa"/>
            <w:vAlign w:val="center"/>
          </w:tcPr>
          <w:p w:rsidR="00DC11F0" w:rsidRPr="000146D2" w:rsidP="003D29BA" w14:paraId="58A2888A" w14:textId="0B0E6F05">
            <w:pPr>
              <w:spacing w:after="0"/>
              <w:jc w:val="right"/>
              <w:rPr>
                <w:sz w:val="20"/>
                <w:szCs w:val="20"/>
              </w:rPr>
            </w:pPr>
            <w:r w:rsidRPr="00DB5DF1">
              <w:rPr>
                <w:color w:val="000000" w:themeColor="text1"/>
                <w:sz w:val="20"/>
                <w:szCs w:val="20"/>
              </w:rPr>
              <w:t>$2</w:t>
            </w:r>
            <w:r>
              <w:rPr>
                <w:color w:val="000000" w:themeColor="text1"/>
                <w:sz w:val="20"/>
                <w:szCs w:val="20"/>
              </w:rPr>
              <w:t>46.12</w:t>
            </w:r>
          </w:p>
        </w:tc>
      </w:tr>
      <w:tr w14:paraId="2B389C5E" w14:textId="6CDD64F7" w:rsidTr="003D29BA">
        <w:tblPrEx>
          <w:tblW w:w="8735" w:type="dxa"/>
          <w:jc w:val="center"/>
          <w:tblLook w:val="04A0"/>
        </w:tblPrEx>
        <w:trPr>
          <w:cantSplit/>
          <w:trHeight w:val="525"/>
          <w:jc w:val="center"/>
        </w:trPr>
        <w:tc>
          <w:tcPr>
            <w:tcW w:w="6305" w:type="dxa"/>
            <w:shd w:val="clear" w:color="auto" w:fill="auto"/>
            <w:hideMark/>
          </w:tcPr>
          <w:p w:rsidR="00DC11F0" w:rsidRPr="000146D2" w:rsidP="00DC11F0" w14:paraId="3309A0EB" w14:textId="60AF0162">
            <w:pPr>
              <w:spacing w:after="0"/>
              <w:rPr>
                <w:sz w:val="20"/>
                <w:szCs w:val="20"/>
              </w:rPr>
            </w:pPr>
            <w:r w:rsidRPr="000146D2">
              <w:rPr>
                <w:sz w:val="20"/>
                <w:szCs w:val="20"/>
              </w:rPr>
              <w:t xml:space="preserve">Cost </w:t>
            </w:r>
            <w:r w:rsidR="00E770BF">
              <w:rPr>
                <w:sz w:val="20"/>
                <w:szCs w:val="20"/>
              </w:rPr>
              <w:t xml:space="preserve">for </w:t>
            </w:r>
            <w:r w:rsidRPr="000146D2">
              <w:rPr>
                <w:sz w:val="20"/>
                <w:szCs w:val="20"/>
              </w:rPr>
              <w:t>Computer System</w:t>
            </w:r>
            <w:r w:rsidR="00E770BF">
              <w:rPr>
                <w:sz w:val="20"/>
                <w:szCs w:val="20"/>
              </w:rPr>
              <w:t xml:space="preserve"> </w:t>
            </w:r>
            <w:r w:rsidRPr="000146D2">
              <w:rPr>
                <w:sz w:val="20"/>
                <w:szCs w:val="20"/>
              </w:rPr>
              <w:t xml:space="preserve">Analyst </w:t>
            </w:r>
            <w:r w:rsidR="00E770BF">
              <w:rPr>
                <w:sz w:val="20"/>
                <w:szCs w:val="20"/>
              </w:rPr>
              <w:t xml:space="preserve">to </w:t>
            </w:r>
            <w:r w:rsidRPr="000146D2">
              <w:rPr>
                <w:sz w:val="20"/>
                <w:szCs w:val="20"/>
              </w:rPr>
              <w:t>Review Measure Specifications (@ computer systems analyst’s labor rate of $</w:t>
            </w:r>
            <w:r>
              <w:rPr>
                <w:sz w:val="20"/>
                <w:szCs w:val="20"/>
              </w:rPr>
              <w:t>103.40</w:t>
            </w:r>
            <w:r w:rsidRPr="000146D2">
              <w:rPr>
                <w:sz w:val="20"/>
                <w:szCs w:val="20"/>
              </w:rPr>
              <w:t>/hr) (o)</w:t>
            </w:r>
          </w:p>
        </w:tc>
        <w:tc>
          <w:tcPr>
            <w:tcW w:w="2430" w:type="dxa"/>
            <w:vAlign w:val="center"/>
          </w:tcPr>
          <w:p w:rsidR="00DC11F0" w:rsidRPr="000146D2" w:rsidP="003D29BA" w14:paraId="04775337" w14:textId="57D70683">
            <w:pPr>
              <w:spacing w:after="0"/>
              <w:jc w:val="right"/>
              <w:rPr>
                <w:sz w:val="20"/>
                <w:szCs w:val="20"/>
              </w:rPr>
            </w:pPr>
            <w:r w:rsidRPr="00DB5DF1">
              <w:rPr>
                <w:color w:val="000000" w:themeColor="text1"/>
                <w:sz w:val="20"/>
                <w:szCs w:val="20"/>
              </w:rPr>
              <w:t>$</w:t>
            </w:r>
            <w:r>
              <w:rPr>
                <w:color w:val="000000" w:themeColor="text1"/>
                <w:sz w:val="20"/>
                <w:szCs w:val="20"/>
              </w:rPr>
              <w:t>103.40</w:t>
            </w:r>
          </w:p>
        </w:tc>
      </w:tr>
      <w:tr w14:paraId="5520AB71" w14:textId="0769EEA6" w:rsidTr="003D29BA">
        <w:tblPrEx>
          <w:tblW w:w="8735" w:type="dxa"/>
          <w:jc w:val="center"/>
          <w:tblLook w:val="04A0"/>
        </w:tblPrEx>
        <w:trPr>
          <w:cantSplit/>
          <w:trHeight w:val="602"/>
          <w:jc w:val="center"/>
        </w:trPr>
        <w:tc>
          <w:tcPr>
            <w:tcW w:w="6305" w:type="dxa"/>
            <w:shd w:val="clear" w:color="auto" w:fill="auto"/>
            <w:hideMark/>
          </w:tcPr>
          <w:p w:rsidR="00DC11F0" w:rsidRPr="000146D2" w:rsidP="00DC11F0" w14:paraId="35D39D69" w14:textId="151A7EA5">
            <w:pPr>
              <w:spacing w:after="0"/>
              <w:rPr>
                <w:sz w:val="20"/>
                <w:szCs w:val="20"/>
              </w:rPr>
            </w:pPr>
            <w:r w:rsidRPr="000146D2">
              <w:rPr>
                <w:sz w:val="20"/>
                <w:szCs w:val="20"/>
              </w:rPr>
              <w:t>Cost</w:t>
            </w:r>
            <w:r w:rsidR="00E770BF">
              <w:rPr>
                <w:sz w:val="20"/>
                <w:szCs w:val="20"/>
              </w:rPr>
              <w:t xml:space="preserve"> for</w:t>
            </w:r>
            <w:r w:rsidRPr="000146D2">
              <w:rPr>
                <w:sz w:val="20"/>
                <w:szCs w:val="20"/>
              </w:rPr>
              <w:t xml:space="preserve"> LPN </w:t>
            </w:r>
            <w:r w:rsidR="00E770BF">
              <w:rPr>
                <w:sz w:val="20"/>
                <w:szCs w:val="20"/>
              </w:rPr>
              <w:t xml:space="preserve">to </w:t>
            </w:r>
            <w:r w:rsidRPr="000146D2">
              <w:rPr>
                <w:sz w:val="20"/>
                <w:szCs w:val="20"/>
              </w:rPr>
              <w:t>Review Measure Specifications (@ LPN's labor rate of $</w:t>
            </w:r>
            <w:r>
              <w:rPr>
                <w:sz w:val="20"/>
                <w:szCs w:val="20"/>
              </w:rPr>
              <w:t>53.72</w:t>
            </w:r>
            <w:r w:rsidRPr="000146D2">
              <w:rPr>
                <w:sz w:val="20"/>
                <w:szCs w:val="20"/>
              </w:rPr>
              <w:t>/hr) (p)</w:t>
            </w:r>
          </w:p>
        </w:tc>
        <w:tc>
          <w:tcPr>
            <w:tcW w:w="2430" w:type="dxa"/>
            <w:vAlign w:val="center"/>
          </w:tcPr>
          <w:p w:rsidR="00DC11F0" w:rsidRPr="000146D2" w:rsidP="003D29BA" w14:paraId="05F50151" w14:textId="7E434DFD">
            <w:pPr>
              <w:spacing w:after="0"/>
              <w:jc w:val="right"/>
              <w:rPr>
                <w:sz w:val="20"/>
                <w:szCs w:val="20"/>
              </w:rPr>
            </w:pPr>
            <w:r w:rsidRPr="00DB5DF1">
              <w:rPr>
                <w:color w:val="000000" w:themeColor="text1"/>
                <w:sz w:val="20"/>
                <w:szCs w:val="20"/>
              </w:rPr>
              <w:t>$</w:t>
            </w:r>
            <w:r>
              <w:rPr>
                <w:color w:val="000000" w:themeColor="text1"/>
                <w:sz w:val="20"/>
                <w:szCs w:val="20"/>
              </w:rPr>
              <w:t>53.72</w:t>
            </w:r>
          </w:p>
        </w:tc>
      </w:tr>
      <w:tr w14:paraId="3B5E2173" w14:textId="5EC34598" w:rsidTr="003D29BA">
        <w:tblPrEx>
          <w:tblW w:w="8735" w:type="dxa"/>
          <w:jc w:val="center"/>
          <w:tblLook w:val="04A0"/>
        </w:tblPrEx>
        <w:trPr>
          <w:cantSplit/>
          <w:trHeight w:val="525"/>
          <w:jc w:val="center"/>
        </w:trPr>
        <w:tc>
          <w:tcPr>
            <w:tcW w:w="6305" w:type="dxa"/>
            <w:shd w:val="clear" w:color="auto" w:fill="auto"/>
            <w:hideMark/>
          </w:tcPr>
          <w:p w:rsidR="00DC11F0" w:rsidRPr="000146D2" w:rsidP="00DC11F0" w14:paraId="615DE364" w14:textId="06994006">
            <w:pPr>
              <w:spacing w:after="0"/>
              <w:rPr>
                <w:sz w:val="20"/>
                <w:szCs w:val="20"/>
              </w:rPr>
            </w:pPr>
            <w:r w:rsidRPr="000146D2">
              <w:rPr>
                <w:sz w:val="20"/>
                <w:szCs w:val="20"/>
              </w:rPr>
              <w:t>Cost</w:t>
            </w:r>
            <w:r w:rsidR="00E770BF">
              <w:rPr>
                <w:sz w:val="20"/>
                <w:szCs w:val="20"/>
              </w:rPr>
              <w:t xml:space="preserve"> for</w:t>
            </w:r>
            <w:r w:rsidRPr="000146D2">
              <w:rPr>
                <w:sz w:val="20"/>
                <w:szCs w:val="20"/>
              </w:rPr>
              <w:t xml:space="preserve"> Billing Clerk</w:t>
            </w:r>
            <w:r w:rsidR="00E770BF">
              <w:rPr>
                <w:sz w:val="20"/>
                <w:szCs w:val="20"/>
              </w:rPr>
              <w:t xml:space="preserve"> to</w:t>
            </w:r>
            <w:r w:rsidRPr="000146D2">
              <w:rPr>
                <w:sz w:val="20"/>
                <w:szCs w:val="20"/>
              </w:rPr>
              <w:t xml:space="preserve"> Review Measure Specifications (@ clerk’s labor rate of $</w:t>
            </w:r>
            <w:r>
              <w:rPr>
                <w:sz w:val="20"/>
                <w:szCs w:val="20"/>
              </w:rPr>
              <w:t>43.08</w:t>
            </w:r>
            <w:r w:rsidRPr="000146D2">
              <w:rPr>
                <w:sz w:val="20"/>
                <w:szCs w:val="20"/>
              </w:rPr>
              <w:t>/hr) (q)</w:t>
            </w:r>
          </w:p>
        </w:tc>
        <w:tc>
          <w:tcPr>
            <w:tcW w:w="2430" w:type="dxa"/>
            <w:vAlign w:val="center"/>
          </w:tcPr>
          <w:p w:rsidR="00DC11F0" w:rsidRPr="000146D2" w:rsidP="003D29BA" w14:paraId="0451B25D" w14:textId="5B936E23">
            <w:pPr>
              <w:spacing w:after="0"/>
              <w:jc w:val="right"/>
              <w:rPr>
                <w:sz w:val="20"/>
                <w:szCs w:val="20"/>
              </w:rPr>
            </w:pPr>
            <w:r w:rsidRPr="00DB5DF1">
              <w:rPr>
                <w:color w:val="000000" w:themeColor="text1"/>
                <w:sz w:val="20"/>
                <w:szCs w:val="20"/>
              </w:rPr>
              <w:t>$4</w:t>
            </w:r>
            <w:r>
              <w:rPr>
                <w:color w:val="000000" w:themeColor="text1"/>
                <w:sz w:val="20"/>
                <w:szCs w:val="20"/>
              </w:rPr>
              <w:t>3.08</w:t>
            </w:r>
          </w:p>
        </w:tc>
      </w:tr>
      <w:tr w14:paraId="009764B3" w14:textId="426FAEB4" w:rsidTr="003D29BA">
        <w:tblPrEx>
          <w:tblW w:w="8735" w:type="dxa"/>
          <w:jc w:val="center"/>
          <w:tblLook w:val="04A0"/>
        </w:tblPrEx>
        <w:trPr>
          <w:cantSplit/>
          <w:trHeight w:val="525"/>
          <w:jc w:val="center"/>
        </w:trPr>
        <w:tc>
          <w:tcPr>
            <w:tcW w:w="6305" w:type="dxa"/>
            <w:shd w:val="clear" w:color="auto" w:fill="auto"/>
            <w:hideMark/>
          </w:tcPr>
          <w:p w:rsidR="00DC11F0" w:rsidRPr="000146D2" w:rsidP="00DC11F0" w14:paraId="253616E4" w14:textId="28921682">
            <w:pPr>
              <w:spacing w:after="0"/>
              <w:rPr>
                <w:sz w:val="20"/>
                <w:szCs w:val="20"/>
              </w:rPr>
            </w:pPr>
            <w:r w:rsidRPr="000146D2">
              <w:rPr>
                <w:sz w:val="20"/>
                <w:szCs w:val="20"/>
              </w:rPr>
              <w:t>Cost</w:t>
            </w:r>
            <w:r w:rsidR="00E770BF">
              <w:rPr>
                <w:sz w:val="20"/>
                <w:szCs w:val="20"/>
              </w:rPr>
              <w:t xml:space="preserve"> for</w:t>
            </w:r>
            <w:r w:rsidRPr="000146D2">
              <w:rPr>
                <w:sz w:val="20"/>
                <w:szCs w:val="20"/>
              </w:rPr>
              <w:t xml:space="preserve"> Physician</w:t>
            </w:r>
            <w:r w:rsidR="00E770BF">
              <w:rPr>
                <w:sz w:val="20"/>
                <w:szCs w:val="20"/>
              </w:rPr>
              <w:t xml:space="preserve"> to</w:t>
            </w:r>
            <w:r w:rsidRPr="000146D2">
              <w:rPr>
                <w:sz w:val="20"/>
                <w:szCs w:val="20"/>
              </w:rPr>
              <w:t xml:space="preserve"> Review Measure Specifications (@ physician’s labor rate of $2</w:t>
            </w:r>
            <w:r>
              <w:rPr>
                <w:sz w:val="20"/>
                <w:szCs w:val="20"/>
              </w:rPr>
              <w:t>74.44</w:t>
            </w:r>
            <w:r w:rsidRPr="000146D2">
              <w:rPr>
                <w:sz w:val="20"/>
                <w:szCs w:val="20"/>
              </w:rPr>
              <w:t>/hr) (r)</w:t>
            </w:r>
          </w:p>
        </w:tc>
        <w:tc>
          <w:tcPr>
            <w:tcW w:w="2430" w:type="dxa"/>
            <w:vAlign w:val="center"/>
          </w:tcPr>
          <w:p w:rsidR="00DC11F0" w:rsidRPr="000146D2" w:rsidP="003D29BA" w14:paraId="518E136B" w14:textId="10BFD18E">
            <w:pPr>
              <w:spacing w:after="0"/>
              <w:jc w:val="right"/>
              <w:rPr>
                <w:sz w:val="20"/>
                <w:szCs w:val="20"/>
              </w:rPr>
            </w:pPr>
            <w:r w:rsidRPr="00DB5DF1">
              <w:rPr>
                <w:color w:val="000000" w:themeColor="text1"/>
                <w:sz w:val="20"/>
                <w:szCs w:val="20"/>
              </w:rPr>
              <w:t>$2</w:t>
            </w:r>
            <w:r>
              <w:rPr>
                <w:color w:val="000000" w:themeColor="text1"/>
                <w:sz w:val="20"/>
                <w:szCs w:val="20"/>
              </w:rPr>
              <w:t>74.44</w:t>
            </w:r>
          </w:p>
        </w:tc>
      </w:tr>
      <w:tr w14:paraId="6A402A68" w14:textId="05551D55" w:rsidTr="003D29BA">
        <w:tblPrEx>
          <w:tblW w:w="8735" w:type="dxa"/>
          <w:jc w:val="center"/>
          <w:tblLook w:val="04A0"/>
        </w:tblPrEx>
        <w:trPr>
          <w:cantSplit/>
          <w:trHeight w:val="525"/>
          <w:jc w:val="center"/>
        </w:trPr>
        <w:tc>
          <w:tcPr>
            <w:tcW w:w="6305" w:type="dxa"/>
            <w:shd w:val="clear" w:color="auto" w:fill="auto"/>
            <w:hideMark/>
          </w:tcPr>
          <w:p w:rsidR="00DC11F0" w:rsidRPr="000146D2" w:rsidP="00DC11F0" w14:paraId="4AFEE43E" w14:textId="3865B363">
            <w:pPr>
              <w:spacing w:after="0"/>
              <w:rPr>
                <w:sz w:val="20"/>
                <w:szCs w:val="20"/>
              </w:rPr>
            </w:pPr>
            <w:r w:rsidRPr="000146D2">
              <w:rPr>
                <w:sz w:val="20"/>
                <w:szCs w:val="20"/>
              </w:rPr>
              <w:t>Cost for Respondent to Authorize Qualified Registry/QCDR to Report on Respondent's Behalf (@ computer systems analyst’s labor rate of $</w:t>
            </w:r>
            <w:r>
              <w:rPr>
                <w:sz w:val="20"/>
                <w:szCs w:val="20"/>
              </w:rPr>
              <w:t>103.40</w:t>
            </w:r>
            <w:r w:rsidRPr="000146D2">
              <w:rPr>
                <w:sz w:val="20"/>
                <w:szCs w:val="20"/>
              </w:rPr>
              <w:t>/hr) (s)</w:t>
            </w:r>
          </w:p>
        </w:tc>
        <w:tc>
          <w:tcPr>
            <w:tcW w:w="2430" w:type="dxa"/>
            <w:vAlign w:val="center"/>
          </w:tcPr>
          <w:p w:rsidR="00DC11F0" w:rsidRPr="000146D2" w:rsidP="003D29BA" w14:paraId="2D52FF0D" w14:textId="2150A67B">
            <w:pPr>
              <w:spacing w:after="0"/>
              <w:jc w:val="right"/>
              <w:rPr>
                <w:sz w:val="20"/>
                <w:szCs w:val="20"/>
              </w:rPr>
            </w:pPr>
            <w:r w:rsidRPr="00DB5DF1">
              <w:rPr>
                <w:color w:val="000000" w:themeColor="text1"/>
                <w:sz w:val="20"/>
                <w:szCs w:val="20"/>
              </w:rPr>
              <w:t>$8.</w:t>
            </w:r>
            <w:r>
              <w:rPr>
                <w:color w:val="000000" w:themeColor="text1"/>
                <w:sz w:val="20"/>
                <w:szCs w:val="20"/>
              </w:rPr>
              <w:t>58</w:t>
            </w:r>
          </w:p>
        </w:tc>
      </w:tr>
      <w:tr w14:paraId="74FAE34A" w14:textId="504401C9" w:rsidTr="003D29BA">
        <w:tblPrEx>
          <w:tblW w:w="8735" w:type="dxa"/>
          <w:jc w:val="center"/>
          <w:tblLook w:val="04A0"/>
        </w:tblPrEx>
        <w:trPr>
          <w:cantSplit/>
          <w:trHeight w:val="287"/>
          <w:jc w:val="center"/>
        </w:trPr>
        <w:tc>
          <w:tcPr>
            <w:tcW w:w="6305" w:type="dxa"/>
            <w:shd w:val="clear" w:color="auto" w:fill="auto"/>
            <w:hideMark/>
          </w:tcPr>
          <w:p w:rsidR="00DC11F0" w:rsidRPr="000146D2" w:rsidP="00DC11F0" w14:paraId="3AA7CEB1" w14:textId="08DCD5DC">
            <w:pPr>
              <w:spacing w:after="0"/>
              <w:rPr>
                <w:sz w:val="20"/>
                <w:szCs w:val="20"/>
              </w:rPr>
            </w:pPr>
            <w:r w:rsidRPr="000146D2">
              <w:rPr>
                <w:sz w:val="20"/>
                <w:szCs w:val="20"/>
              </w:rPr>
              <w:t>Total Annual Cost Per Respondent (t) = (m)+(n)+(o)+(p)+(q)+(r)+(s)</w:t>
            </w:r>
          </w:p>
        </w:tc>
        <w:tc>
          <w:tcPr>
            <w:tcW w:w="2430" w:type="dxa"/>
            <w:vAlign w:val="center"/>
          </w:tcPr>
          <w:p w:rsidR="00DC11F0" w:rsidRPr="000146D2" w:rsidP="003D29BA" w14:paraId="5C056F08" w14:textId="234E4F8C">
            <w:pPr>
              <w:spacing w:after="0"/>
              <w:jc w:val="right"/>
              <w:rPr>
                <w:sz w:val="20"/>
                <w:szCs w:val="20"/>
              </w:rPr>
            </w:pPr>
            <w:r w:rsidRPr="00DB5DF1">
              <w:rPr>
                <w:color w:val="000000" w:themeColor="text1"/>
                <w:sz w:val="20"/>
                <w:szCs w:val="20"/>
              </w:rPr>
              <w:t>$</w:t>
            </w:r>
            <w:r>
              <w:rPr>
                <w:color w:val="000000" w:themeColor="text1"/>
                <w:sz w:val="20"/>
                <w:szCs w:val="20"/>
              </w:rPr>
              <w:t>1,039.54</w:t>
            </w:r>
          </w:p>
        </w:tc>
      </w:tr>
      <w:tr w14:paraId="251B90E8" w14:textId="35D90D07" w:rsidTr="00B936AA">
        <w:tblPrEx>
          <w:tblW w:w="8735" w:type="dxa"/>
          <w:jc w:val="center"/>
          <w:tblLook w:val="04A0"/>
        </w:tblPrEx>
        <w:trPr>
          <w:cantSplit/>
          <w:trHeight w:val="296"/>
          <w:jc w:val="center"/>
        </w:trPr>
        <w:tc>
          <w:tcPr>
            <w:tcW w:w="6305" w:type="dxa"/>
            <w:shd w:val="clear" w:color="auto" w:fill="E7E6E6" w:themeFill="background2"/>
            <w:hideMark/>
          </w:tcPr>
          <w:p w:rsidR="00DC11F0" w:rsidRPr="000146D2" w:rsidP="00DC11F0" w14:paraId="57EE7A61" w14:textId="7F1280D1">
            <w:pPr>
              <w:spacing w:after="0"/>
              <w:rPr>
                <w:b/>
                <w:bCs/>
                <w:sz w:val="20"/>
                <w:szCs w:val="20"/>
              </w:rPr>
            </w:pPr>
            <w:r w:rsidRPr="000146D2">
              <w:rPr>
                <w:b/>
                <w:bCs/>
                <w:sz w:val="20"/>
                <w:szCs w:val="20"/>
              </w:rPr>
              <w:t>Total Annual Cost (u) = (c)</w:t>
            </w:r>
            <w:r>
              <w:t xml:space="preserve"> </w:t>
            </w:r>
            <w:r w:rsidRPr="00965121">
              <w:rPr>
                <w:sz w:val="20"/>
                <w:szCs w:val="20"/>
              </w:rPr>
              <w:t>[</w:t>
            </w:r>
            <w:r w:rsidRPr="00965121">
              <w:rPr>
                <w:b/>
                <w:bCs/>
                <w:sz w:val="20"/>
                <w:szCs w:val="20"/>
              </w:rPr>
              <w:t>x]</w:t>
            </w:r>
            <w:r w:rsidRPr="006E00F7">
              <w:rPr>
                <w:b/>
                <w:bCs/>
                <w:sz w:val="20"/>
                <w:szCs w:val="20"/>
              </w:rPr>
              <w:t xml:space="preserve"> </w:t>
            </w:r>
            <w:r w:rsidRPr="000146D2">
              <w:rPr>
                <w:b/>
                <w:bCs/>
                <w:sz w:val="20"/>
                <w:szCs w:val="20"/>
              </w:rPr>
              <w:t>(t)</w:t>
            </w:r>
          </w:p>
        </w:tc>
        <w:tc>
          <w:tcPr>
            <w:tcW w:w="2430" w:type="dxa"/>
            <w:shd w:val="clear" w:color="auto" w:fill="E7E6E6" w:themeFill="background2"/>
            <w:vAlign w:val="center"/>
          </w:tcPr>
          <w:p w:rsidR="00DC11F0" w:rsidRPr="000146D2" w:rsidP="003D29BA" w14:paraId="62D5974A" w14:textId="34D508FC">
            <w:pPr>
              <w:spacing w:after="0"/>
              <w:jc w:val="right"/>
              <w:rPr>
                <w:b/>
                <w:bCs/>
                <w:sz w:val="20"/>
                <w:szCs w:val="20"/>
              </w:rPr>
            </w:pPr>
            <w:r w:rsidRPr="00DB5DF1">
              <w:rPr>
                <w:b/>
                <w:bCs/>
                <w:color w:val="000000" w:themeColor="text1"/>
                <w:sz w:val="20"/>
                <w:szCs w:val="20"/>
              </w:rPr>
              <w:t>$1</w:t>
            </w:r>
            <w:r w:rsidR="003B4C8B">
              <w:rPr>
                <w:b/>
                <w:bCs/>
                <w:color w:val="000000" w:themeColor="text1"/>
                <w:sz w:val="20"/>
                <w:szCs w:val="20"/>
              </w:rPr>
              <w:t>7,289,629</w:t>
            </w:r>
          </w:p>
        </w:tc>
      </w:tr>
    </w:tbl>
    <w:p w:rsidR="00C351ED" w:rsidRPr="00C351ED" w:rsidP="00C351ED" w14:paraId="6B995C2F" w14:textId="77777777">
      <w:pPr>
        <w:ind w:firstLine="360"/>
      </w:pPr>
    </w:p>
    <w:p w:rsidR="00C351ED" w:rsidRPr="0096593D" w:rsidP="0011028A" w14:paraId="1EF3F5C6" w14:textId="2777813E">
      <w:pPr>
        <w:pStyle w:val="Heading4"/>
        <w:numPr>
          <w:ilvl w:val="3"/>
          <w:numId w:val="23"/>
        </w:numPr>
      </w:pPr>
      <w:r w:rsidRPr="0096593D">
        <w:t>Burden for Quality Data Submission by Clinicians</w:t>
      </w:r>
      <w:r w:rsidRPr="0096593D" w:rsidR="001964ED">
        <w:t xml:space="preserve"> and</w:t>
      </w:r>
      <w:r w:rsidRPr="0096593D">
        <w:t xml:space="preserve"> Groups: eCQM Collection Type</w:t>
      </w:r>
    </w:p>
    <w:p w:rsidR="00597766" w:rsidRPr="00597766" w:rsidP="00730BEF" w14:paraId="6122C363" w14:textId="6438442E">
      <w:pPr>
        <w:rPr>
          <w:rFonts w:eastAsia="Calibri"/>
        </w:rPr>
      </w:pPr>
      <w:r w:rsidRPr="00597766">
        <w:rPr>
          <w:rFonts w:eastAsia="Calibri"/>
        </w:rPr>
        <w:t>As noted in Table</w:t>
      </w:r>
      <w:r w:rsidR="004B631D">
        <w:rPr>
          <w:rFonts w:eastAsia="Calibri"/>
        </w:rPr>
        <w:t xml:space="preserve"> </w:t>
      </w:r>
      <w:r w:rsidR="00211F39">
        <w:rPr>
          <w:rFonts w:eastAsia="Calibri"/>
        </w:rPr>
        <w:t>1</w:t>
      </w:r>
      <w:r w:rsidR="009E1F53">
        <w:rPr>
          <w:rFonts w:eastAsia="Calibri"/>
        </w:rPr>
        <w:t>3</w:t>
      </w:r>
      <w:r w:rsidR="004B631D">
        <w:rPr>
          <w:rFonts w:eastAsia="Calibri"/>
        </w:rPr>
        <w:t xml:space="preserve"> below, </w:t>
      </w:r>
      <w:r w:rsidRPr="00377E40" w:rsidR="00377E40">
        <w:rPr>
          <w:rFonts w:eastAsia="Calibri"/>
        </w:rPr>
        <w:t xml:space="preserve">based </w:t>
      </w:r>
      <w:r w:rsidRPr="003F6059" w:rsidR="003F6059">
        <w:rPr>
          <w:rFonts w:eastAsia="Calibri"/>
        </w:rPr>
        <w:t>on</w:t>
      </w:r>
      <w:r w:rsidR="00D915F6">
        <w:rPr>
          <w:rFonts w:eastAsia="Calibri"/>
        </w:rPr>
        <w:t xml:space="preserve"> submission</w:t>
      </w:r>
      <w:r w:rsidRPr="003F6059" w:rsidR="003F6059">
        <w:rPr>
          <w:rFonts w:eastAsia="Calibri"/>
        </w:rPr>
        <w:t xml:space="preserve"> </w:t>
      </w:r>
      <w:r w:rsidR="003B0D8A">
        <w:rPr>
          <w:rFonts w:eastAsia="Calibri"/>
        </w:rPr>
        <w:t xml:space="preserve">data </w:t>
      </w:r>
      <w:r w:rsidR="005E054C">
        <w:rPr>
          <w:rFonts w:eastAsia="Calibri"/>
        </w:rPr>
        <w:t xml:space="preserve">in the </w:t>
      </w:r>
      <w:r w:rsidR="003B0D8A">
        <w:rPr>
          <w:rFonts w:eastAsia="Calibri"/>
        </w:rPr>
        <w:t xml:space="preserve">CY </w:t>
      </w:r>
      <w:r w:rsidRPr="003F6059" w:rsidR="003F6059">
        <w:rPr>
          <w:rFonts w:eastAsia="Calibri"/>
        </w:rPr>
        <w:t>20</w:t>
      </w:r>
      <w:r w:rsidR="00A43C72">
        <w:rPr>
          <w:rFonts w:eastAsia="Calibri"/>
        </w:rPr>
        <w:t>2</w:t>
      </w:r>
      <w:r w:rsidR="00EB19C7">
        <w:rPr>
          <w:rFonts w:eastAsia="Calibri"/>
        </w:rPr>
        <w:t>2</w:t>
      </w:r>
      <w:r w:rsidRPr="003F6059" w:rsidR="003F6059">
        <w:rPr>
          <w:rFonts w:eastAsia="Calibri"/>
        </w:rPr>
        <w:t xml:space="preserve"> performance period</w:t>
      </w:r>
      <w:r w:rsidR="005E054C">
        <w:rPr>
          <w:rFonts w:eastAsia="Calibri"/>
        </w:rPr>
        <w:t>/202</w:t>
      </w:r>
      <w:r w:rsidR="00EB19C7">
        <w:rPr>
          <w:rFonts w:eastAsia="Calibri"/>
        </w:rPr>
        <w:t>4</w:t>
      </w:r>
      <w:r w:rsidR="005E054C">
        <w:rPr>
          <w:rFonts w:eastAsia="Calibri"/>
        </w:rPr>
        <w:t xml:space="preserve"> MIPS payment year</w:t>
      </w:r>
      <w:r w:rsidRPr="003F6059" w:rsidR="003F6059">
        <w:rPr>
          <w:rFonts w:eastAsia="Calibri"/>
        </w:rPr>
        <w:t xml:space="preserve">, </w:t>
      </w:r>
      <w:r w:rsidRPr="00753E2D" w:rsidR="00753E2D">
        <w:rPr>
          <w:rFonts w:eastAsia="Calibri"/>
        </w:rPr>
        <w:t xml:space="preserve">we </w:t>
      </w:r>
      <w:r w:rsidR="008549F8">
        <w:rPr>
          <w:rFonts w:eastAsia="Calibri"/>
        </w:rPr>
        <w:t>estimat</w:t>
      </w:r>
      <w:r w:rsidRPr="00753E2D" w:rsidR="00753E2D">
        <w:rPr>
          <w:rFonts w:eastAsia="Calibri"/>
        </w:rPr>
        <w:t xml:space="preserve">e that </w:t>
      </w:r>
      <w:r w:rsidR="00FE695C">
        <w:rPr>
          <w:rFonts w:eastAsia="Calibri"/>
        </w:rPr>
        <w:t>2</w:t>
      </w:r>
      <w:r w:rsidR="005F523F">
        <w:rPr>
          <w:rFonts w:eastAsia="Calibri"/>
        </w:rPr>
        <w:t>8,714</w:t>
      </w:r>
      <w:r w:rsidR="00FE695C">
        <w:rPr>
          <w:rFonts w:eastAsia="Calibri"/>
        </w:rPr>
        <w:t xml:space="preserve"> </w:t>
      </w:r>
      <w:r w:rsidRPr="00753E2D" w:rsidR="00753E2D">
        <w:rPr>
          <w:rFonts w:eastAsia="Calibri"/>
        </w:rPr>
        <w:t>clinicians</w:t>
      </w:r>
      <w:r w:rsidR="00FE695C">
        <w:rPr>
          <w:rFonts w:eastAsia="Calibri"/>
        </w:rPr>
        <w:t xml:space="preserve"> (</w:t>
      </w:r>
      <w:r w:rsidR="004E7B70">
        <w:rPr>
          <w:rFonts w:eastAsia="Calibri"/>
        </w:rPr>
        <w:t>22,897</w:t>
      </w:r>
      <w:r w:rsidR="007150A7">
        <w:rPr>
          <w:rFonts w:eastAsia="Calibri"/>
        </w:rPr>
        <w:t xml:space="preserve"> individual clinicians and 5,</w:t>
      </w:r>
      <w:r w:rsidR="004E7B70">
        <w:rPr>
          <w:rFonts w:eastAsia="Calibri"/>
        </w:rPr>
        <w:t>817</w:t>
      </w:r>
      <w:r w:rsidR="007150A7">
        <w:rPr>
          <w:rFonts w:eastAsia="Calibri"/>
        </w:rPr>
        <w:t xml:space="preserve"> groups and virtual groups</w:t>
      </w:r>
      <w:r w:rsidR="00FE695C">
        <w:rPr>
          <w:rFonts w:eastAsia="Calibri"/>
        </w:rPr>
        <w:t>)</w:t>
      </w:r>
      <w:r w:rsidRPr="00753E2D" w:rsidR="00753E2D">
        <w:rPr>
          <w:rFonts w:eastAsia="Calibri"/>
        </w:rPr>
        <w:t xml:space="preserve"> </w:t>
      </w:r>
      <w:r w:rsidR="00C84E67">
        <w:rPr>
          <w:rFonts w:eastAsia="Calibri"/>
        </w:rPr>
        <w:t>will</w:t>
      </w:r>
      <w:r w:rsidRPr="00753E2D" w:rsidR="00753E2D">
        <w:rPr>
          <w:rFonts w:eastAsia="Calibri"/>
        </w:rPr>
        <w:t xml:space="preserve"> submit </w:t>
      </w:r>
      <w:r w:rsidR="00C84E67">
        <w:rPr>
          <w:rFonts w:eastAsia="Calibri"/>
        </w:rPr>
        <w:t xml:space="preserve">quality data </w:t>
      </w:r>
      <w:r w:rsidR="005217B6">
        <w:rPr>
          <w:rFonts w:eastAsia="Calibri"/>
        </w:rPr>
        <w:t xml:space="preserve">using the </w:t>
      </w:r>
      <w:r w:rsidRPr="00753E2D" w:rsidR="00753E2D">
        <w:rPr>
          <w:rFonts w:eastAsia="Calibri"/>
        </w:rPr>
        <w:t>eCQM</w:t>
      </w:r>
      <w:r w:rsidR="005217B6">
        <w:rPr>
          <w:rFonts w:eastAsia="Calibri"/>
        </w:rPr>
        <w:t xml:space="preserve"> collection type</w:t>
      </w:r>
      <w:r w:rsidR="002245A8">
        <w:rPr>
          <w:rFonts w:eastAsia="Calibri"/>
        </w:rPr>
        <w:t xml:space="preserve"> for the CY 202</w:t>
      </w:r>
      <w:r w:rsidR="009E1F53">
        <w:rPr>
          <w:rFonts w:eastAsia="Calibri"/>
        </w:rPr>
        <w:t>4</w:t>
      </w:r>
      <w:r w:rsidR="002245A8">
        <w:rPr>
          <w:rFonts w:eastAsia="Calibri"/>
        </w:rPr>
        <w:t xml:space="preserve"> performance period/202</w:t>
      </w:r>
      <w:r w:rsidR="009E1F53">
        <w:rPr>
          <w:rFonts w:eastAsia="Calibri"/>
        </w:rPr>
        <w:t>6</w:t>
      </w:r>
      <w:r w:rsidR="002245A8">
        <w:rPr>
          <w:rFonts w:eastAsia="Calibri"/>
        </w:rPr>
        <w:t xml:space="preserve"> MIPS payment year</w:t>
      </w:r>
      <w:r w:rsidR="00FD2F34">
        <w:rPr>
          <w:rFonts w:eastAsia="Calibri"/>
        </w:rPr>
        <w:t xml:space="preserve">. </w:t>
      </w:r>
      <w:r w:rsidRPr="00753E2D" w:rsidR="00753E2D">
        <w:rPr>
          <w:rFonts w:eastAsia="Calibri"/>
        </w:rPr>
        <w:t>We expect the burden to be the same for each respondent using the eCQM collection type, whether the clinician is participating in MIPS as an individual or group</w:t>
      </w:r>
      <w:r w:rsidRPr="00C40280" w:rsidR="00C40280">
        <w:rPr>
          <w:rFonts w:eastAsia="Calibri"/>
        </w:rPr>
        <w:t>.</w:t>
      </w:r>
    </w:p>
    <w:p w:rsidR="0015124B" w:rsidRPr="0015124B" w:rsidP="00730BEF" w14:paraId="5FCC58BC" w14:textId="77777777">
      <w:pPr>
        <w:rPr>
          <w:rFonts w:eastAsia="Calibri"/>
        </w:rPr>
      </w:pPr>
      <w:r w:rsidRPr="0015124B">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rsidR="00597766" w:rsidRPr="00597766" w:rsidP="00730BEF" w14:paraId="7BB59BA9" w14:textId="5D9C7938">
      <w:pPr>
        <w:rPr>
          <w:rFonts w:eastAsia="Calibri"/>
        </w:rPr>
      </w:pPr>
      <w:r w:rsidRPr="003F6059">
        <w:rPr>
          <w:rFonts w:eastAsia="Calibri"/>
        </w:rPr>
        <w:t xml:space="preserve">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a QCDR/qualified registry or use a health IT vendor to submit the data on 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w:t>
      </w:r>
      <w:r>
        <w:rPr>
          <w:rFonts w:eastAsia="Calibri"/>
        </w:rPr>
        <w:t>QCDR/qualified registry</w:t>
      </w:r>
      <w:r w:rsidRPr="00597766">
        <w:rPr>
          <w:rFonts w:eastAsia="Calibri"/>
        </w:rPr>
        <w:t xml:space="preserve">.  </w:t>
      </w:r>
    </w:p>
    <w:p w:rsidR="00BC2347" w:rsidP="00730BEF" w14:paraId="17817310" w14:textId="56E33162">
      <w:pPr>
        <w:rPr>
          <w:rFonts w:eastAsia="Calibri"/>
        </w:rPr>
      </w:pPr>
      <w:r w:rsidRPr="00CC2BFB">
        <w:rPr>
          <w:rFonts w:eastAsia="Calibri"/>
        </w:rPr>
        <w:t>We estimate that it will take no more than 2 hours at $</w:t>
      </w:r>
      <w:r w:rsidR="009E1F53">
        <w:rPr>
          <w:rFonts w:eastAsia="Calibri"/>
        </w:rPr>
        <w:t>103.40</w:t>
      </w:r>
      <w:r w:rsidRPr="00CC2BFB">
        <w:rPr>
          <w:rFonts w:eastAsia="Calibri"/>
        </w:rPr>
        <w:t xml:space="preserve">/hr for a computer systems analyst to submit the actual data file. The burden will also involve becoming familiar with MIPS 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t>
      </w:r>
      <w:r w:rsidRPr="003F6059" w:rsidR="003F6059">
        <w:rPr>
          <w:rFonts w:eastAsia="Calibri"/>
        </w:rPr>
        <w:t>we estimate 2 hours at $1</w:t>
      </w:r>
      <w:r w:rsidR="009E1F53">
        <w:rPr>
          <w:rFonts w:eastAsia="Calibri"/>
        </w:rPr>
        <w:t>23.06</w:t>
      </w:r>
      <w:r w:rsidRPr="003F6059" w:rsidR="003F6059">
        <w:rPr>
          <w:rFonts w:eastAsia="Calibri"/>
        </w:rPr>
        <w:t>/hr for a medical and health services manager, 1 hour at $2</w:t>
      </w:r>
      <w:r w:rsidR="009E1F53">
        <w:rPr>
          <w:rFonts w:eastAsia="Calibri"/>
        </w:rPr>
        <w:t>74.44</w:t>
      </w:r>
      <w:r w:rsidRPr="003F6059" w:rsidR="003F6059">
        <w:rPr>
          <w:rFonts w:eastAsia="Calibri"/>
        </w:rPr>
        <w:t>/hr for a physician, 1 hour at $</w:t>
      </w:r>
      <w:r w:rsidR="009E1F53">
        <w:rPr>
          <w:rFonts w:eastAsia="Calibri"/>
        </w:rPr>
        <w:t>103.40</w:t>
      </w:r>
      <w:r w:rsidRPr="003F6059" w:rsidR="003F6059">
        <w:rPr>
          <w:rFonts w:eastAsia="Calibri"/>
        </w:rPr>
        <w:t>/hr for a computer systems analyst, 1 hour at $</w:t>
      </w:r>
      <w:r w:rsidR="009E1F53">
        <w:rPr>
          <w:rFonts w:eastAsia="Calibri"/>
        </w:rPr>
        <w:t>53.72</w:t>
      </w:r>
      <w:r w:rsidRPr="003F6059" w:rsidR="003F6059">
        <w:rPr>
          <w:rFonts w:eastAsia="Calibri"/>
        </w:rPr>
        <w:t>/hr for an LPN, and 1 hour at $</w:t>
      </w:r>
      <w:r w:rsidR="00A41551">
        <w:rPr>
          <w:rFonts w:eastAsia="Calibri"/>
        </w:rPr>
        <w:t>4</w:t>
      </w:r>
      <w:r w:rsidR="009E1F53">
        <w:rPr>
          <w:rFonts w:eastAsia="Calibri"/>
        </w:rPr>
        <w:t>3.08</w:t>
      </w:r>
      <w:r w:rsidRPr="003F6059" w:rsidR="003F6059">
        <w:rPr>
          <w:rFonts w:eastAsia="Calibri"/>
        </w:rPr>
        <w:t xml:space="preserve">/hr for a billing clerk. </w:t>
      </w:r>
      <w:r w:rsidR="001E287C">
        <w:rPr>
          <w:rFonts w:eastAsia="Calibri"/>
        </w:rPr>
        <w:t xml:space="preserve"> </w:t>
      </w:r>
      <w:r w:rsidR="003F6059">
        <w:rPr>
          <w:rFonts w:eastAsia="Calibri"/>
        </w:rPr>
        <w:t xml:space="preserve">As </w:t>
      </w:r>
      <w:r w:rsidR="003F6059">
        <w:rPr>
          <w:rFonts w:eastAsia="Calibri"/>
        </w:rPr>
        <w:t xml:space="preserve">shown in Table </w:t>
      </w:r>
      <w:r w:rsidR="00E466B5">
        <w:rPr>
          <w:rFonts w:eastAsia="Calibri"/>
        </w:rPr>
        <w:t>1</w:t>
      </w:r>
      <w:r w:rsidR="009E1F53">
        <w:rPr>
          <w:rFonts w:eastAsia="Calibri"/>
        </w:rPr>
        <w:t>3</w:t>
      </w:r>
      <w:r w:rsidR="003F6059">
        <w:rPr>
          <w:rFonts w:eastAsia="Calibri"/>
        </w:rPr>
        <w:t xml:space="preserve">, </w:t>
      </w:r>
      <w:r w:rsidRPr="003F6059" w:rsidR="003F6059">
        <w:rPr>
          <w:rFonts w:eastAsia="Calibri"/>
        </w:rPr>
        <w:t>we estimate a cost of $</w:t>
      </w:r>
      <w:r w:rsidR="009E1F53">
        <w:rPr>
          <w:rFonts w:eastAsia="Calibri"/>
        </w:rPr>
        <w:t>927.56</w:t>
      </w:r>
      <w:r w:rsidRPr="003F6059" w:rsidR="003F6059">
        <w:rPr>
          <w:rFonts w:eastAsia="Calibri"/>
        </w:rPr>
        <w:t>/response [(2 hr x $</w:t>
      </w:r>
      <w:r w:rsidR="009E1F53">
        <w:rPr>
          <w:rFonts w:eastAsia="Calibri"/>
        </w:rPr>
        <w:t>103.40</w:t>
      </w:r>
      <w:r w:rsidRPr="003F6059" w:rsidR="003F6059">
        <w:rPr>
          <w:rFonts w:eastAsia="Calibri"/>
        </w:rPr>
        <w:t>/hr) + (2 hr x $1</w:t>
      </w:r>
      <w:r w:rsidR="009E1F53">
        <w:rPr>
          <w:rFonts w:eastAsia="Calibri"/>
        </w:rPr>
        <w:t>23.06</w:t>
      </w:r>
      <w:r w:rsidRPr="003F6059" w:rsidR="003F6059">
        <w:rPr>
          <w:rFonts w:eastAsia="Calibri"/>
        </w:rPr>
        <w:t>/hr) + (1 hr x $2</w:t>
      </w:r>
      <w:r w:rsidR="009E1F53">
        <w:rPr>
          <w:rFonts w:eastAsia="Calibri"/>
        </w:rPr>
        <w:t>74.44</w:t>
      </w:r>
      <w:r w:rsidRPr="003F6059" w:rsidR="003F6059">
        <w:rPr>
          <w:rFonts w:eastAsia="Calibri"/>
        </w:rPr>
        <w:t>/hr) + (1 hr x $</w:t>
      </w:r>
      <w:r w:rsidR="009E1F53">
        <w:rPr>
          <w:rFonts w:eastAsia="Calibri"/>
        </w:rPr>
        <w:t>103.40</w:t>
      </w:r>
      <w:r w:rsidRPr="003F6059" w:rsidR="003F6059">
        <w:rPr>
          <w:rFonts w:eastAsia="Calibri"/>
        </w:rPr>
        <w:t>/hr) + (1 hr x $</w:t>
      </w:r>
      <w:r w:rsidR="009E1F53">
        <w:rPr>
          <w:rFonts w:eastAsia="Calibri"/>
        </w:rPr>
        <w:t>53.72</w:t>
      </w:r>
      <w:r w:rsidRPr="003F6059" w:rsidR="003F6059">
        <w:rPr>
          <w:rFonts w:eastAsia="Calibri"/>
        </w:rPr>
        <w:t>/hr) + (1 hr x $</w:t>
      </w:r>
      <w:r w:rsidR="002F2652">
        <w:rPr>
          <w:rFonts w:eastAsia="Calibri"/>
        </w:rPr>
        <w:t>4</w:t>
      </w:r>
      <w:r w:rsidR="009E1F53">
        <w:rPr>
          <w:rFonts w:eastAsia="Calibri"/>
        </w:rPr>
        <w:t>3.08</w:t>
      </w:r>
      <w:r w:rsidRPr="003F6059" w:rsidR="003F6059">
        <w:rPr>
          <w:rFonts w:eastAsia="Calibri"/>
        </w:rPr>
        <w:t>/hr)]</w:t>
      </w:r>
      <w:r w:rsidRPr="00BC2347">
        <w:rPr>
          <w:rFonts w:eastAsia="Calibri"/>
        </w:rPr>
        <w:t xml:space="preserve">.  </w:t>
      </w:r>
    </w:p>
    <w:p w:rsidR="001E287C" w:rsidRPr="00BC2347" w:rsidP="00730BEF" w14:paraId="27843669" w14:textId="79808DF7">
      <w:pPr>
        <w:rPr>
          <w:rFonts w:eastAsia="Calibri"/>
        </w:rPr>
      </w:pPr>
      <w:r>
        <w:rPr>
          <w:rFonts w:eastAsia="Calibri"/>
        </w:rPr>
        <w:t xml:space="preserve">As shown in Table </w:t>
      </w:r>
      <w:r w:rsidR="00FA3B6E">
        <w:rPr>
          <w:rFonts w:eastAsia="Calibri"/>
        </w:rPr>
        <w:t>13</w:t>
      </w:r>
      <w:r>
        <w:rPr>
          <w:rFonts w:eastAsia="Calibri"/>
        </w:rPr>
        <w:t xml:space="preserve">, for </w:t>
      </w:r>
      <w:r w:rsidRPr="001E287C">
        <w:rPr>
          <w:rFonts w:eastAsia="Calibri"/>
        </w:rPr>
        <w:t xml:space="preserve">the </w:t>
      </w:r>
      <w:r w:rsidR="00651DBA">
        <w:rPr>
          <w:rFonts w:eastAsia="Calibri"/>
        </w:rPr>
        <w:t xml:space="preserve">CY </w:t>
      </w:r>
      <w:r w:rsidRPr="001E287C">
        <w:rPr>
          <w:rFonts w:eastAsia="Calibri"/>
        </w:rPr>
        <w:t>202</w:t>
      </w:r>
      <w:r w:rsidR="00FA3B6E">
        <w:rPr>
          <w:rFonts w:eastAsia="Calibri"/>
        </w:rPr>
        <w:t>4</w:t>
      </w:r>
      <w:r w:rsidR="00D15369">
        <w:rPr>
          <w:rFonts w:eastAsia="Calibri"/>
        </w:rPr>
        <w:t xml:space="preserve"> </w:t>
      </w:r>
      <w:r w:rsidRPr="001E287C">
        <w:rPr>
          <w:rFonts w:eastAsia="Calibri"/>
        </w:rPr>
        <w:t>performance period</w:t>
      </w:r>
      <w:r w:rsidR="00651DBA">
        <w:rPr>
          <w:rFonts w:eastAsia="Calibri"/>
        </w:rPr>
        <w:t>/202</w:t>
      </w:r>
      <w:r w:rsidR="00FA3B6E">
        <w:rPr>
          <w:rFonts w:eastAsia="Calibri"/>
        </w:rPr>
        <w:t>6</w:t>
      </w:r>
      <w:r w:rsidR="00651DBA">
        <w:rPr>
          <w:rFonts w:eastAsia="Calibri"/>
        </w:rPr>
        <w:t xml:space="preserve"> MIPS payment year</w:t>
      </w:r>
      <w:r w:rsidRPr="001E287C">
        <w:rPr>
          <w:rFonts w:eastAsia="Calibri"/>
        </w:rPr>
        <w:t xml:space="preserve">, we estimate a burden of </w:t>
      </w:r>
      <w:r w:rsidR="00C32703">
        <w:rPr>
          <w:rFonts w:eastAsia="Calibri"/>
        </w:rPr>
        <w:t>229,712</w:t>
      </w:r>
      <w:r w:rsidR="00FA3B6E">
        <w:rPr>
          <w:rFonts w:eastAsia="Calibri"/>
        </w:rPr>
        <w:t xml:space="preserve"> </w:t>
      </w:r>
      <w:r w:rsidRPr="001E287C">
        <w:rPr>
          <w:rFonts w:eastAsia="Calibri"/>
        </w:rPr>
        <w:t xml:space="preserve">hours </w:t>
      </w:r>
      <w:r w:rsidR="00BC30C6">
        <w:rPr>
          <w:rFonts w:eastAsia="Calibri"/>
        </w:rPr>
        <w:t>[</w:t>
      </w:r>
      <w:r w:rsidRPr="001E287C">
        <w:rPr>
          <w:rFonts w:eastAsia="Calibri"/>
        </w:rPr>
        <w:t xml:space="preserve">8 hr x </w:t>
      </w:r>
      <w:r w:rsidR="001A04A1">
        <w:rPr>
          <w:rFonts w:eastAsia="Calibri"/>
        </w:rPr>
        <w:t>2</w:t>
      </w:r>
      <w:r w:rsidR="00C433D2">
        <w:rPr>
          <w:rFonts w:eastAsia="Calibri"/>
        </w:rPr>
        <w:t>8,714</w:t>
      </w:r>
      <w:r w:rsidR="006649BC">
        <w:rPr>
          <w:rFonts w:eastAsia="Calibri"/>
        </w:rPr>
        <w:t xml:space="preserve"> (</w:t>
      </w:r>
      <w:r w:rsidR="001A04A1">
        <w:rPr>
          <w:rFonts w:eastAsia="Calibri"/>
        </w:rPr>
        <w:t>5,</w:t>
      </w:r>
      <w:r w:rsidR="00C433D2">
        <w:rPr>
          <w:rFonts w:eastAsia="Calibri"/>
        </w:rPr>
        <w:t>817</w:t>
      </w:r>
      <w:r w:rsidRPr="001E287C">
        <w:rPr>
          <w:rFonts w:eastAsia="Calibri"/>
        </w:rPr>
        <w:t xml:space="preserve"> groups and </w:t>
      </w:r>
      <w:r w:rsidR="00C433D2">
        <w:rPr>
          <w:rFonts w:eastAsia="Calibri"/>
        </w:rPr>
        <w:t>22,897</w:t>
      </w:r>
      <w:r w:rsidR="00445C09">
        <w:rPr>
          <w:rFonts w:eastAsia="Calibri"/>
        </w:rPr>
        <w:t xml:space="preserve"> </w:t>
      </w:r>
      <w:r w:rsidRPr="001E287C">
        <w:rPr>
          <w:rFonts w:eastAsia="Calibri"/>
        </w:rPr>
        <w:t>clinicians submitting as individuals)</w:t>
      </w:r>
      <w:r w:rsidR="00BC30C6">
        <w:rPr>
          <w:rFonts w:eastAsia="Calibri"/>
        </w:rPr>
        <w:t>]</w:t>
      </w:r>
      <w:r w:rsidRPr="001E287C">
        <w:rPr>
          <w:rFonts w:eastAsia="Calibri"/>
        </w:rPr>
        <w:t xml:space="preserve"> at a cost of $</w:t>
      </w:r>
      <w:r w:rsidR="008D23A5">
        <w:rPr>
          <w:rFonts w:eastAsia="Calibri"/>
        </w:rPr>
        <w:t>2</w:t>
      </w:r>
      <w:r w:rsidR="00B450C3">
        <w:rPr>
          <w:rFonts w:eastAsia="Calibri"/>
        </w:rPr>
        <w:t>6,633,958</w:t>
      </w:r>
      <w:r w:rsidRPr="001E287C">
        <w:rPr>
          <w:rFonts w:eastAsia="Calibri"/>
        </w:rPr>
        <w:t xml:space="preserve"> (</w:t>
      </w:r>
      <w:r w:rsidR="001344E4">
        <w:rPr>
          <w:rFonts w:eastAsia="Calibri"/>
        </w:rPr>
        <w:t>2</w:t>
      </w:r>
      <w:r w:rsidR="00870F08">
        <w:rPr>
          <w:rFonts w:eastAsia="Calibri"/>
        </w:rPr>
        <w:t>8,714</w:t>
      </w:r>
      <w:r w:rsidRPr="001E287C">
        <w:rPr>
          <w:rFonts w:eastAsia="Calibri"/>
        </w:rPr>
        <w:t xml:space="preserve"> responses x $</w:t>
      </w:r>
      <w:r w:rsidR="00837F97">
        <w:rPr>
          <w:rFonts w:eastAsia="Calibri"/>
        </w:rPr>
        <w:t>927.56</w:t>
      </w:r>
      <w:r w:rsidRPr="001E287C">
        <w:rPr>
          <w:rFonts w:eastAsia="Calibri"/>
        </w:rPr>
        <w:t>/response</w:t>
      </w:r>
      <w:r>
        <w:rPr>
          <w:rFonts w:eastAsia="Calibri"/>
        </w:rPr>
        <w:t>).</w:t>
      </w:r>
    </w:p>
    <w:p w:rsidR="00C351ED" w:rsidRPr="00C47150" w:rsidP="00334306" w14:paraId="5AD8D160" w14:textId="09188BB8">
      <w:pPr>
        <w:keepNext/>
        <w:keepLines/>
        <w:spacing w:after="0"/>
        <w:jc w:val="center"/>
        <w:rPr>
          <w:b/>
        </w:rPr>
      </w:pPr>
      <w:r w:rsidRPr="00C47150">
        <w:rPr>
          <w:b/>
        </w:rPr>
        <w:t xml:space="preserve">TABLE </w:t>
      </w:r>
      <w:r w:rsidR="00181CE4">
        <w:rPr>
          <w:b/>
        </w:rPr>
        <w:t>1</w:t>
      </w:r>
      <w:r w:rsidR="007E0301">
        <w:rPr>
          <w:b/>
        </w:rPr>
        <w:t>3</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2075"/>
      </w:tblGrid>
      <w:tr w14:paraId="5D805747" w14:textId="3BAD4D9E" w:rsidTr="006140C8">
        <w:tblPrEx>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15"/>
          <w:tblHeader/>
          <w:jc w:val="center"/>
        </w:trPr>
        <w:tc>
          <w:tcPr>
            <w:tcW w:w="7375" w:type="dxa"/>
            <w:shd w:val="clear" w:color="auto" w:fill="auto"/>
            <w:vAlign w:val="center"/>
            <w:hideMark/>
          </w:tcPr>
          <w:p w:rsidR="00F243D4" w:rsidRPr="00C351ED" w:rsidP="0012106B" w14:paraId="00783F55" w14:textId="6B39AEAD">
            <w:pPr>
              <w:keepNext/>
              <w:keepLines/>
              <w:spacing w:after="0"/>
              <w:rPr>
                <w:b/>
                <w:sz w:val="20"/>
                <w:szCs w:val="20"/>
              </w:rPr>
            </w:pPr>
            <w:r w:rsidRPr="00C351ED">
              <w:rPr>
                <w:b/>
                <w:sz w:val="20"/>
                <w:szCs w:val="20"/>
              </w:rPr>
              <w:t>Burden and Respondent Descriptions </w:t>
            </w:r>
          </w:p>
        </w:tc>
        <w:tc>
          <w:tcPr>
            <w:tcW w:w="2075" w:type="dxa"/>
            <w:vAlign w:val="bottom"/>
          </w:tcPr>
          <w:p w:rsidR="00F243D4" w:rsidRPr="00732012" w:rsidP="006140C8" w14:paraId="02877C7F" w14:textId="7AD55E38">
            <w:pPr>
              <w:keepNext/>
              <w:keepLines/>
              <w:spacing w:after="0"/>
              <w:rPr>
                <w:b/>
                <w:sz w:val="20"/>
                <w:szCs w:val="20"/>
              </w:rPr>
            </w:pPr>
            <w:r w:rsidRPr="00CC1878">
              <w:rPr>
                <w:rFonts w:eastAsia="Calibri"/>
                <w:b/>
                <w:sz w:val="20"/>
                <w:szCs w:val="20"/>
              </w:rPr>
              <w:t>Burden estimate</w:t>
            </w:r>
          </w:p>
        </w:tc>
      </w:tr>
      <w:tr w14:paraId="6827D5AD" w14:textId="2861D1A8" w:rsidTr="006140C8">
        <w:tblPrEx>
          <w:tblW w:w="9450" w:type="dxa"/>
          <w:jc w:val="center"/>
          <w:tblLook w:val="04A0"/>
        </w:tblPrEx>
        <w:trPr>
          <w:trHeight w:val="296"/>
          <w:jc w:val="center"/>
        </w:trPr>
        <w:tc>
          <w:tcPr>
            <w:tcW w:w="7375" w:type="dxa"/>
            <w:shd w:val="clear" w:color="auto" w:fill="auto"/>
            <w:hideMark/>
          </w:tcPr>
          <w:p w:rsidR="00F243D4" w:rsidRPr="001742C7" w:rsidP="00A55FB3" w14:paraId="1FA11F1E" w14:textId="668C8E97">
            <w:pPr>
              <w:keepNext/>
              <w:keepLines/>
              <w:spacing w:after="0"/>
              <w:rPr>
                <w:sz w:val="20"/>
                <w:szCs w:val="20"/>
              </w:rPr>
            </w:pPr>
            <w:r w:rsidRPr="00732012">
              <w:rPr>
                <w:sz w:val="20"/>
                <w:szCs w:val="20"/>
              </w:rPr>
              <w:t xml:space="preserve"># of </w:t>
            </w:r>
            <w:r w:rsidR="007D7574">
              <w:rPr>
                <w:sz w:val="20"/>
                <w:szCs w:val="20"/>
              </w:rPr>
              <w:t>C</w:t>
            </w:r>
            <w:r w:rsidRPr="00732012">
              <w:rPr>
                <w:sz w:val="20"/>
                <w:szCs w:val="20"/>
              </w:rPr>
              <w:t>linicians submitting as individuals (a)</w:t>
            </w:r>
          </w:p>
        </w:tc>
        <w:tc>
          <w:tcPr>
            <w:tcW w:w="2075" w:type="dxa"/>
            <w:shd w:val="clear" w:color="auto" w:fill="FFFFFF" w:themeFill="background1"/>
            <w:vAlign w:val="center"/>
          </w:tcPr>
          <w:p w:rsidR="00F243D4" w:rsidP="003D29BA" w14:paraId="4BB4F358" w14:textId="6679F52A">
            <w:pPr>
              <w:keepNext/>
              <w:keepLines/>
              <w:spacing w:after="0"/>
              <w:jc w:val="right"/>
              <w:rPr>
                <w:sz w:val="20"/>
                <w:szCs w:val="20"/>
              </w:rPr>
            </w:pPr>
            <w:r>
              <w:rPr>
                <w:rFonts w:eastAsia="Calibri"/>
                <w:sz w:val="20"/>
                <w:szCs w:val="20"/>
              </w:rPr>
              <w:t>22,897</w:t>
            </w:r>
          </w:p>
        </w:tc>
      </w:tr>
      <w:tr w14:paraId="4A626300" w14:textId="0CF305B1" w:rsidTr="006140C8">
        <w:tblPrEx>
          <w:tblW w:w="9450" w:type="dxa"/>
          <w:jc w:val="center"/>
          <w:tblLook w:val="04A0"/>
        </w:tblPrEx>
        <w:trPr>
          <w:trHeight w:val="251"/>
          <w:jc w:val="center"/>
        </w:trPr>
        <w:tc>
          <w:tcPr>
            <w:tcW w:w="7375" w:type="dxa"/>
            <w:shd w:val="clear" w:color="auto" w:fill="auto"/>
            <w:hideMark/>
          </w:tcPr>
          <w:p w:rsidR="00F243D4" w:rsidRPr="001742C7" w:rsidP="00A55FB3"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075" w:type="dxa"/>
            <w:vAlign w:val="center"/>
          </w:tcPr>
          <w:p w:rsidR="00F243D4" w:rsidRPr="00CC2BFB" w:rsidP="003D29BA" w14:paraId="622DFCEA" w14:textId="13C377A5">
            <w:pPr>
              <w:keepNext/>
              <w:keepLines/>
              <w:spacing w:after="0"/>
              <w:jc w:val="right"/>
              <w:rPr>
                <w:rFonts w:eastAsia="Calibri"/>
                <w:sz w:val="20"/>
                <w:szCs w:val="20"/>
              </w:rPr>
            </w:pPr>
            <w:r>
              <w:rPr>
                <w:rFonts w:eastAsia="Calibri"/>
                <w:sz w:val="20"/>
                <w:szCs w:val="20"/>
              </w:rPr>
              <w:t>5,</w:t>
            </w:r>
            <w:r w:rsidR="00503DF7">
              <w:rPr>
                <w:rFonts w:eastAsia="Calibri"/>
                <w:sz w:val="20"/>
                <w:szCs w:val="20"/>
              </w:rPr>
              <w:t>817</w:t>
            </w:r>
          </w:p>
        </w:tc>
      </w:tr>
      <w:tr w14:paraId="363407A4" w14:textId="0D5DF3FA" w:rsidTr="00B936AA">
        <w:tblPrEx>
          <w:tblW w:w="9450" w:type="dxa"/>
          <w:jc w:val="center"/>
          <w:tblLook w:val="04A0"/>
        </w:tblPrEx>
        <w:trPr>
          <w:trHeight w:val="525"/>
          <w:jc w:val="center"/>
        </w:trPr>
        <w:tc>
          <w:tcPr>
            <w:tcW w:w="7375" w:type="dxa"/>
            <w:shd w:val="clear" w:color="auto" w:fill="E7E6E6" w:themeFill="background2"/>
            <w:hideMark/>
          </w:tcPr>
          <w:p w:rsidR="00F243D4" w:rsidRPr="003D29BA" w:rsidP="00A55FB3" w14:paraId="3B7CD868" w14:textId="30D15E68">
            <w:pPr>
              <w:spacing w:after="0"/>
              <w:rPr>
                <w:b/>
                <w:bCs/>
                <w:sz w:val="20"/>
                <w:szCs w:val="20"/>
              </w:rPr>
            </w:pPr>
            <w:r w:rsidRPr="003D29BA">
              <w:rPr>
                <w:b/>
                <w:bCs/>
                <w:sz w:val="20"/>
                <w:szCs w:val="20"/>
              </w:rPr>
              <w:t># of Respondents (groups and clinicians submitting as individuals) (c)=(a)+(b)</w:t>
            </w:r>
          </w:p>
        </w:tc>
        <w:tc>
          <w:tcPr>
            <w:tcW w:w="2075" w:type="dxa"/>
            <w:shd w:val="clear" w:color="auto" w:fill="E7E6E6" w:themeFill="background2"/>
            <w:vAlign w:val="center"/>
          </w:tcPr>
          <w:p w:rsidR="00F243D4" w:rsidRPr="00B936AA" w:rsidP="003D29BA" w14:paraId="686588E5" w14:textId="22AF9D1D">
            <w:pPr>
              <w:spacing w:after="0"/>
              <w:jc w:val="right"/>
              <w:rPr>
                <w:rFonts w:eastAsia="Calibri"/>
                <w:b/>
                <w:bCs/>
                <w:sz w:val="20"/>
                <w:szCs w:val="20"/>
              </w:rPr>
            </w:pPr>
            <w:r w:rsidRPr="00B936AA">
              <w:rPr>
                <w:rFonts w:eastAsia="Calibri"/>
                <w:b/>
                <w:bCs/>
                <w:sz w:val="20"/>
                <w:szCs w:val="20"/>
              </w:rPr>
              <w:t>2</w:t>
            </w:r>
            <w:r w:rsidR="00361742">
              <w:rPr>
                <w:rFonts w:eastAsia="Calibri"/>
                <w:b/>
                <w:bCs/>
                <w:sz w:val="20"/>
                <w:szCs w:val="20"/>
              </w:rPr>
              <w:t>8,714</w:t>
            </w:r>
          </w:p>
        </w:tc>
      </w:tr>
      <w:tr w14:paraId="32C19599" w14:textId="213681F5" w:rsidTr="006140C8">
        <w:tblPrEx>
          <w:tblW w:w="9450" w:type="dxa"/>
          <w:jc w:val="center"/>
          <w:tblLook w:val="04A0"/>
        </w:tblPrEx>
        <w:trPr>
          <w:trHeight w:val="359"/>
          <w:jc w:val="center"/>
        </w:trPr>
        <w:tc>
          <w:tcPr>
            <w:tcW w:w="7375" w:type="dxa"/>
            <w:shd w:val="clear" w:color="auto" w:fill="auto"/>
            <w:hideMark/>
          </w:tcPr>
          <w:p w:rsidR="00F243D4" w:rsidRPr="001742C7" w:rsidP="0012106B" w14:paraId="0515EC48" w14:textId="4781C5F1">
            <w:pPr>
              <w:spacing w:after="0"/>
              <w:rPr>
                <w:sz w:val="20"/>
                <w:szCs w:val="20"/>
              </w:rPr>
            </w:pPr>
            <w:r>
              <w:rPr>
                <w:sz w:val="20"/>
                <w:szCs w:val="20"/>
              </w:rPr>
              <w:t xml:space="preserve"># of </w:t>
            </w:r>
            <w:r w:rsidRPr="00732012">
              <w:rPr>
                <w:sz w:val="20"/>
                <w:szCs w:val="20"/>
              </w:rPr>
              <w:t xml:space="preserve">Hours Per Respondent to Submit MIPS Quality Data File to CMS (d) </w:t>
            </w:r>
          </w:p>
        </w:tc>
        <w:tc>
          <w:tcPr>
            <w:tcW w:w="2075" w:type="dxa"/>
            <w:vAlign w:val="center"/>
          </w:tcPr>
          <w:p w:rsidR="00F243D4" w:rsidRPr="003428D4" w:rsidP="003D29BA" w14:paraId="432462FA" w14:textId="13D0865D">
            <w:pPr>
              <w:spacing w:after="0"/>
              <w:jc w:val="right"/>
              <w:rPr>
                <w:rFonts w:eastAsia="Calibri"/>
                <w:sz w:val="20"/>
                <w:szCs w:val="20"/>
              </w:rPr>
            </w:pPr>
            <w:r w:rsidRPr="003428D4">
              <w:rPr>
                <w:rFonts w:eastAsia="Calibri"/>
                <w:sz w:val="20"/>
                <w:szCs w:val="20"/>
              </w:rPr>
              <w:t>2</w:t>
            </w:r>
          </w:p>
        </w:tc>
      </w:tr>
      <w:tr w14:paraId="68252D38" w14:textId="6682B36A" w:rsidTr="006140C8">
        <w:tblPrEx>
          <w:tblW w:w="9450" w:type="dxa"/>
          <w:jc w:val="center"/>
          <w:tblLook w:val="04A0"/>
        </w:tblPrEx>
        <w:trPr>
          <w:trHeight w:val="350"/>
          <w:jc w:val="center"/>
        </w:trPr>
        <w:tc>
          <w:tcPr>
            <w:tcW w:w="7375" w:type="dxa"/>
            <w:shd w:val="clear" w:color="auto" w:fill="auto"/>
            <w:hideMark/>
          </w:tcPr>
          <w:p w:rsidR="00F243D4" w:rsidRPr="001742C7" w:rsidP="0012106B" w14:paraId="4794ECD7" w14:textId="16D87AC5">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075" w:type="dxa"/>
            <w:vAlign w:val="center"/>
          </w:tcPr>
          <w:p w:rsidR="00F243D4" w:rsidRPr="003428D4" w:rsidP="00B936AA" w14:paraId="3F29E78A" w14:textId="41BF4E90">
            <w:pPr>
              <w:spacing w:after="0"/>
              <w:jc w:val="right"/>
              <w:rPr>
                <w:rFonts w:eastAsia="Calibri"/>
                <w:sz w:val="20"/>
                <w:szCs w:val="20"/>
              </w:rPr>
            </w:pPr>
            <w:r w:rsidRPr="003428D4">
              <w:rPr>
                <w:rFonts w:eastAsia="Calibri"/>
                <w:sz w:val="20"/>
                <w:szCs w:val="20"/>
              </w:rPr>
              <w:t>2</w:t>
            </w:r>
          </w:p>
        </w:tc>
      </w:tr>
      <w:tr w14:paraId="11DFDC9F" w14:textId="19F1E647" w:rsidTr="006140C8">
        <w:tblPrEx>
          <w:tblW w:w="9450" w:type="dxa"/>
          <w:jc w:val="center"/>
          <w:tblLook w:val="04A0"/>
        </w:tblPrEx>
        <w:trPr>
          <w:trHeight w:val="315"/>
          <w:jc w:val="center"/>
        </w:trPr>
        <w:tc>
          <w:tcPr>
            <w:tcW w:w="7375" w:type="dxa"/>
            <w:shd w:val="clear" w:color="auto" w:fill="auto"/>
            <w:hideMark/>
          </w:tcPr>
          <w:p w:rsidR="00F243D4" w:rsidRPr="001742C7" w:rsidP="0012106B" w14:paraId="7544A1AB" w14:textId="77777777">
            <w:pPr>
              <w:spacing w:after="0"/>
              <w:rPr>
                <w:sz w:val="20"/>
                <w:szCs w:val="20"/>
              </w:rPr>
            </w:pPr>
            <w:r w:rsidRPr="00732012">
              <w:rPr>
                <w:sz w:val="20"/>
                <w:szCs w:val="20"/>
              </w:rPr>
              <w:t># of Hours Computer Systems Analyst Review Measure Specifications (f)</w:t>
            </w:r>
          </w:p>
        </w:tc>
        <w:tc>
          <w:tcPr>
            <w:tcW w:w="2075" w:type="dxa"/>
            <w:vAlign w:val="center"/>
          </w:tcPr>
          <w:p w:rsidR="00F243D4" w:rsidRPr="003428D4" w:rsidP="00B936AA" w14:paraId="701BF095" w14:textId="6335CDAA">
            <w:pPr>
              <w:spacing w:after="0"/>
              <w:jc w:val="right"/>
              <w:rPr>
                <w:rFonts w:eastAsia="Calibri"/>
                <w:sz w:val="20"/>
                <w:szCs w:val="20"/>
              </w:rPr>
            </w:pPr>
            <w:r w:rsidRPr="003428D4">
              <w:rPr>
                <w:rFonts w:eastAsia="Calibri"/>
                <w:sz w:val="20"/>
                <w:szCs w:val="20"/>
              </w:rPr>
              <w:t>1</w:t>
            </w:r>
          </w:p>
        </w:tc>
      </w:tr>
      <w:tr w14:paraId="1C59A6D3" w14:textId="77BBCC82" w:rsidTr="006140C8">
        <w:tblPrEx>
          <w:tblW w:w="9450" w:type="dxa"/>
          <w:jc w:val="center"/>
          <w:tblLook w:val="04A0"/>
        </w:tblPrEx>
        <w:trPr>
          <w:trHeight w:val="296"/>
          <w:jc w:val="center"/>
        </w:trPr>
        <w:tc>
          <w:tcPr>
            <w:tcW w:w="7375" w:type="dxa"/>
            <w:shd w:val="clear" w:color="auto" w:fill="auto"/>
            <w:hideMark/>
          </w:tcPr>
          <w:p w:rsidR="00F243D4" w:rsidRPr="001742C7" w:rsidP="0012106B" w14:paraId="541F83A5" w14:textId="77777777">
            <w:pPr>
              <w:spacing w:after="0"/>
              <w:rPr>
                <w:sz w:val="20"/>
                <w:szCs w:val="20"/>
              </w:rPr>
            </w:pPr>
            <w:r w:rsidRPr="00732012">
              <w:rPr>
                <w:sz w:val="20"/>
                <w:szCs w:val="20"/>
              </w:rPr>
              <w:t># of Hours LPN Review Measure Specifications (g)</w:t>
            </w:r>
          </w:p>
        </w:tc>
        <w:tc>
          <w:tcPr>
            <w:tcW w:w="2075" w:type="dxa"/>
            <w:vAlign w:val="center"/>
          </w:tcPr>
          <w:p w:rsidR="00F243D4" w:rsidRPr="003428D4" w:rsidP="00B936AA" w14:paraId="7AA19182" w14:textId="221FED6B">
            <w:pPr>
              <w:spacing w:after="0"/>
              <w:jc w:val="right"/>
              <w:rPr>
                <w:rFonts w:eastAsia="Calibri"/>
                <w:sz w:val="20"/>
                <w:szCs w:val="20"/>
              </w:rPr>
            </w:pPr>
            <w:r w:rsidRPr="003428D4">
              <w:rPr>
                <w:rFonts w:eastAsia="Calibri"/>
                <w:sz w:val="20"/>
                <w:szCs w:val="20"/>
              </w:rPr>
              <w:t>1</w:t>
            </w:r>
          </w:p>
        </w:tc>
      </w:tr>
      <w:tr w14:paraId="170BACFE" w14:textId="6CC34099" w:rsidTr="006140C8">
        <w:tblPrEx>
          <w:tblW w:w="9450" w:type="dxa"/>
          <w:jc w:val="center"/>
          <w:tblLook w:val="04A0"/>
        </w:tblPrEx>
        <w:trPr>
          <w:trHeight w:val="350"/>
          <w:jc w:val="center"/>
        </w:trPr>
        <w:tc>
          <w:tcPr>
            <w:tcW w:w="7375" w:type="dxa"/>
            <w:shd w:val="clear" w:color="auto" w:fill="auto"/>
            <w:hideMark/>
          </w:tcPr>
          <w:p w:rsidR="00F243D4" w:rsidRPr="001742C7" w:rsidP="0012106B" w14:paraId="3661C033" w14:textId="77777777">
            <w:pPr>
              <w:spacing w:after="0"/>
              <w:rPr>
                <w:sz w:val="20"/>
                <w:szCs w:val="20"/>
              </w:rPr>
            </w:pPr>
            <w:r w:rsidRPr="00732012">
              <w:rPr>
                <w:sz w:val="20"/>
                <w:szCs w:val="20"/>
              </w:rPr>
              <w:t># of Hours Billing Clerk Review Measure Specifications (h)</w:t>
            </w:r>
          </w:p>
        </w:tc>
        <w:tc>
          <w:tcPr>
            <w:tcW w:w="2075" w:type="dxa"/>
            <w:vAlign w:val="center"/>
          </w:tcPr>
          <w:p w:rsidR="00F243D4" w:rsidRPr="003428D4" w:rsidP="00B936AA" w14:paraId="1992253F" w14:textId="3DE3E29C">
            <w:pPr>
              <w:spacing w:after="0"/>
              <w:jc w:val="right"/>
              <w:rPr>
                <w:rFonts w:eastAsia="Calibri"/>
                <w:sz w:val="20"/>
                <w:szCs w:val="20"/>
              </w:rPr>
            </w:pPr>
            <w:r w:rsidRPr="003428D4">
              <w:rPr>
                <w:rFonts w:eastAsia="Calibri"/>
                <w:sz w:val="20"/>
                <w:szCs w:val="20"/>
              </w:rPr>
              <w:t>1</w:t>
            </w:r>
          </w:p>
        </w:tc>
      </w:tr>
      <w:tr w14:paraId="29BB4B84" w14:textId="28C2DB4E" w:rsidTr="006140C8">
        <w:tblPrEx>
          <w:tblW w:w="9450" w:type="dxa"/>
          <w:jc w:val="center"/>
          <w:tblLook w:val="04A0"/>
        </w:tblPrEx>
        <w:trPr>
          <w:trHeight w:val="260"/>
          <w:jc w:val="center"/>
        </w:trPr>
        <w:tc>
          <w:tcPr>
            <w:tcW w:w="7375" w:type="dxa"/>
            <w:shd w:val="clear" w:color="auto" w:fill="auto"/>
            <w:hideMark/>
          </w:tcPr>
          <w:p w:rsidR="00F243D4" w:rsidRPr="001742C7" w:rsidP="0012106B" w14:paraId="35F83B08" w14:textId="77777777">
            <w:pPr>
              <w:spacing w:after="0"/>
              <w:rPr>
                <w:sz w:val="20"/>
                <w:szCs w:val="20"/>
              </w:rPr>
            </w:pPr>
            <w:r w:rsidRPr="00732012">
              <w:rPr>
                <w:sz w:val="20"/>
                <w:szCs w:val="20"/>
              </w:rPr>
              <w:t># of Hours Clinicians Review Measure Specifications (i)</w:t>
            </w:r>
          </w:p>
        </w:tc>
        <w:tc>
          <w:tcPr>
            <w:tcW w:w="2075" w:type="dxa"/>
            <w:vAlign w:val="center"/>
          </w:tcPr>
          <w:p w:rsidR="00F243D4" w:rsidRPr="003428D4" w:rsidP="00B936AA" w14:paraId="5663F6EF" w14:textId="6A79521C">
            <w:pPr>
              <w:spacing w:after="0"/>
              <w:jc w:val="right"/>
              <w:rPr>
                <w:rFonts w:eastAsia="Calibri"/>
                <w:sz w:val="20"/>
                <w:szCs w:val="20"/>
              </w:rPr>
            </w:pPr>
            <w:r w:rsidRPr="003428D4">
              <w:rPr>
                <w:rFonts w:eastAsia="Calibri"/>
                <w:sz w:val="20"/>
                <w:szCs w:val="20"/>
              </w:rPr>
              <w:t>1</w:t>
            </w:r>
          </w:p>
        </w:tc>
      </w:tr>
      <w:tr w14:paraId="665582A6" w14:textId="32A8B4D1" w:rsidTr="006140C8">
        <w:tblPrEx>
          <w:tblW w:w="9450" w:type="dxa"/>
          <w:jc w:val="center"/>
          <w:tblLook w:val="04A0"/>
        </w:tblPrEx>
        <w:trPr>
          <w:trHeight w:val="315"/>
          <w:jc w:val="center"/>
        </w:trPr>
        <w:tc>
          <w:tcPr>
            <w:tcW w:w="7375" w:type="dxa"/>
            <w:shd w:val="clear" w:color="auto" w:fill="FFFFFF" w:themeFill="background1"/>
            <w:hideMark/>
          </w:tcPr>
          <w:p w:rsidR="00F243D4" w:rsidRPr="008C0B7F" w:rsidP="0012106B" w14:paraId="114CBD94" w14:textId="77777777">
            <w:pPr>
              <w:spacing w:after="0"/>
              <w:rPr>
                <w:bCs/>
                <w:sz w:val="20"/>
                <w:szCs w:val="20"/>
              </w:rPr>
            </w:pPr>
            <w:r w:rsidRPr="008C0B7F">
              <w:rPr>
                <w:bCs/>
                <w:sz w:val="20"/>
                <w:szCs w:val="20"/>
              </w:rPr>
              <w:t>Annual Hours Per Respondent (j)=(d)+(e)+(f)+(g)+(h)+(i)</w:t>
            </w:r>
            <w:r w:rsidRPr="008C0B7F">
              <w:rPr>
                <w:bCs/>
                <w:sz w:val="20"/>
                <w:szCs w:val="20"/>
              </w:rPr>
              <w:t xml:space="preserve"> </w:t>
            </w:r>
          </w:p>
        </w:tc>
        <w:tc>
          <w:tcPr>
            <w:tcW w:w="2075" w:type="dxa"/>
            <w:shd w:val="clear" w:color="auto" w:fill="FFFFFF" w:themeFill="background1"/>
            <w:vAlign w:val="center"/>
          </w:tcPr>
          <w:p w:rsidR="00F243D4" w:rsidRPr="008C0B7F" w:rsidP="003D29BA" w14:paraId="0D2D7FCF" w14:textId="4B4FFB66">
            <w:pPr>
              <w:spacing w:after="0"/>
              <w:jc w:val="right"/>
              <w:rPr>
                <w:rFonts w:eastAsia="Calibri"/>
                <w:bCs/>
                <w:sz w:val="20"/>
                <w:szCs w:val="20"/>
              </w:rPr>
            </w:pPr>
            <w:r w:rsidRPr="008C0B7F">
              <w:rPr>
                <w:rFonts w:eastAsia="Calibri"/>
                <w:bCs/>
                <w:sz w:val="20"/>
                <w:szCs w:val="20"/>
              </w:rPr>
              <w:t>8</w:t>
            </w:r>
          </w:p>
        </w:tc>
      </w:tr>
      <w:tr w14:paraId="3FD84EFD" w14:textId="206F6F3E" w:rsidTr="00B936AA">
        <w:tblPrEx>
          <w:tblW w:w="9450" w:type="dxa"/>
          <w:jc w:val="center"/>
          <w:tblLook w:val="04A0"/>
        </w:tblPrEx>
        <w:trPr>
          <w:trHeight w:val="296"/>
          <w:jc w:val="center"/>
        </w:trPr>
        <w:tc>
          <w:tcPr>
            <w:tcW w:w="7375" w:type="dxa"/>
            <w:shd w:val="clear" w:color="auto" w:fill="E7E6E6" w:themeFill="background2"/>
            <w:hideMark/>
          </w:tcPr>
          <w:p w:rsidR="00F243D4" w:rsidRPr="008C0B7F" w:rsidP="0012106B" w14:paraId="7981F843" w14:textId="62157B9D">
            <w:pPr>
              <w:spacing w:after="0"/>
              <w:rPr>
                <w:b/>
                <w:bCs/>
                <w:sz w:val="20"/>
                <w:szCs w:val="20"/>
                <w:highlight w:val="lightGray"/>
              </w:rPr>
            </w:pPr>
            <w:r w:rsidRPr="008C0B7F">
              <w:rPr>
                <w:b/>
                <w:bCs/>
                <w:sz w:val="20"/>
                <w:szCs w:val="20"/>
                <w:highlight w:val="lightGray"/>
              </w:rPr>
              <w:t>Total Annual Hours (k)=(c)</w:t>
            </w:r>
            <w:r w:rsidR="00E57C00">
              <w:t xml:space="preserve"> </w:t>
            </w:r>
            <w:r w:rsidRPr="007A5987" w:rsidR="007A5987">
              <w:rPr>
                <w:sz w:val="20"/>
                <w:szCs w:val="20"/>
              </w:rPr>
              <w:t>[</w:t>
            </w:r>
            <w:r w:rsidRPr="007A5987" w:rsidR="00E57C00">
              <w:rPr>
                <w:b/>
                <w:bCs/>
                <w:sz w:val="20"/>
                <w:szCs w:val="20"/>
              </w:rPr>
              <w:t>x</w:t>
            </w:r>
            <w:r w:rsidRPr="007A5987" w:rsidR="007A5987">
              <w:rPr>
                <w:b/>
                <w:bCs/>
                <w:sz w:val="20"/>
                <w:szCs w:val="20"/>
              </w:rPr>
              <w:t>]</w:t>
            </w:r>
            <w:r w:rsidRPr="00E57C00" w:rsidR="00E57C00">
              <w:rPr>
                <w:b/>
                <w:bCs/>
                <w:sz w:val="20"/>
                <w:szCs w:val="20"/>
                <w:highlight w:val="lightGray"/>
              </w:rPr>
              <w:t xml:space="preserve"> </w:t>
            </w:r>
            <w:r w:rsidRPr="008C0B7F">
              <w:rPr>
                <w:b/>
                <w:bCs/>
                <w:sz w:val="20"/>
                <w:szCs w:val="20"/>
                <w:highlight w:val="lightGray"/>
              </w:rPr>
              <w:t>(j)</w:t>
            </w:r>
          </w:p>
        </w:tc>
        <w:tc>
          <w:tcPr>
            <w:tcW w:w="2075" w:type="dxa"/>
            <w:shd w:val="clear" w:color="auto" w:fill="E7E6E6" w:themeFill="background2"/>
          </w:tcPr>
          <w:p w:rsidR="00F243D4" w:rsidP="003D29BA" w14:paraId="6E0B581D" w14:textId="008F4636">
            <w:pPr>
              <w:spacing w:after="0"/>
              <w:jc w:val="right"/>
              <w:rPr>
                <w:b/>
                <w:bCs/>
                <w:sz w:val="20"/>
                <w:szCs w:val="20"/>
                <w:highlight w:val="lightGray"/>
              </w:rPr>
            </w:pPr>
            <w:r>
              <w:rPr>
                <w:b/>
                <w:bCs/>
                <w:sz w:val="20"/>
                <w:szCs w:val="20"/>
                <w:highlight w:val="lightGray"/>
              </w:rPr>
              <w:t>229,712</w:t>
            </w:r>
          </w:p>
        </w:tc>
      </w:tr>
      <w:tr w14:paraId="3160D751" w14:textId="500273BC" w:rsidTr="006140C8">
        <w:tblPrEx>
          <w:tblW w:w="9450" w:type="dxa"/>
          <w:jc w:val="center"/>
          <w:tblLook w:val="04A0"/>
        </w:tblPrEx>
        <w:trPr>
          <w:trHeight w:val="525"/>
          <w:jc w:val="center"/>
        </w:trPr>
        <w:tc>
          <w:tcPr>
            <w:tcW w:w="7375" w:type="dxa"/>
            <w:shd w:val="clear" w:color="auto" w:fill="auto"/>
            <w:hideMark/>
          </w:tcPr>
          <w:p w:rsidR="006D3707" w:rsidRPr="003F6059" w:rsidP="006D3707" w14:paraId="685B0358" w14:textId="51591796">
            <w:pPr>
              <w:spacing w:after="0"/>
              <w:rPr>
                <w:sz w:val="20"/>
                <w:szCs w:val="20"/>
              </w:rPr>
            </w:pPr>
            <w:r w:rsidRPr="003F6059">
              <w:rPr>
                <w:sz w:val="20"/>
                <w:szCs w:val="20"/>
              </w:rPr>
              <w:t>Cost Per Respondent to Submit Quality Data (@ computer systems analyst’s labor rate of $</w:t>
            </w:r>
            <w:r w:rsidR="00C575F5">
              <w:rPr>
                <w:sz w:val="20"/>
                <w:szCs w:val="20"/>
              </w:rPr>
              <w:t>103.40</w:t>
            </w:r>
            <w:r w:rsidRPr="003F6059">
              <w:rPr>
                <w:sz w:val="20"/>
                <w:szCs w:val="20"/>
              </w:rPr>
              <w:t>/hr) (l)</w:t>
            </w:r>
          </w:p>
        </w:tc>
        <w:tc>
          <w:tcPr>
            <w:tcW w:w="2075" w:type="dxa"/>
          </w:tcPr>
          <w:p w:rsidR="006D3707" w:rsidRPr="003F6059" w:rsidP="003D29BA" w14:paraId="091EC5A6" w14:textId="061E017B">
            <w:pPr>
              <w:spacing w:after="0"/>
              <w:jc w:val="right"/>
              <w:rPr>
                <w:sz w:val="20"/>
                <w:szCs w:val="20"/>
              </w:rPr>
            </w:pPr>
            <w:r w:rsidRPr="00776053">
              <w:rPr>
                <w:color w:val="000000" w:themeColor="text1"/>
                <w:sz w:val="20"/>
                <w:szCs w:val="20"/>
              </w:rPr>
              <w:t>$</w:t>
            </w:r>
            <w:r>
              <w:rPr>
                <w:color w:val="000000" w:themeColor="text1"/>
                <w:sz w:val="20"/>
                <w:szCs w:val="20"/>
              </w:rPr>
              <w:t>206.80</w:t>
            </w:r>
          </w:p>
        </w:tc>
      </w:tr>
      <w:tr w14:paraId="11ABA6BB" w14:textId="02144116" w:rsidTr="006140C8">
        <w:tblPrEx>
          <w:tblW w:w="9450" w:type="dxa"/>
          <w:jc w:val="center"/>
          <w:tblLook w:val="04A0"/>
        </w:tblPrEx>
        <w:trPr>
          <w:trHeight w:val="525"/>
          <w:jc w:val="center"/>
        </w:trPr>
        <w:tc>
          <w:tcPr>
            <w:tcW w:w="7375" w:type="dxa"/>
            <w:shd w:val="clear" w:color="auto" w:fill="auto"/>
            <w:hideMark/>
          </w:tcPr>
          <w:p w:rsidR="006D3707" w:rsidRPr="003F6059" w:rsidP="006D3707" w14:paraId="6B310FB8" w14:textId="49B9C28C">
            <w:pPr>
              <w:spacing w:after="0"/>
              <w:rPr>
                <w:sz w:val="20"/>
                <w:szCs w:val="20"/>
              </w:rPr>
            </w:pPr>
            <w:r w:rsidRPr="003F6059">
              <w:rPr>
                <w:sz w:val="20"/>
                <w:szCs w:val="20"/>
              </w:rPr>
              <w:t>Cost to Review Measure Specifications (@ medical and health services manager's labor rate of $1</w:t>
            </w:r>
            <w:r w:rsidR="00C575F5">
              <w:rPr>
                <w:sz w:val="20"/>
                <w:szCs w:val="20"/>
              </w:rPr>
              <w:t>23.06</w:t>
            </w:r>
            <w:r w:rsidRPr="003F6059">
              <w:rPr>
                <w:sz w:val="20"/>
                <w:szCs w:val="20"/>
              </w:rPr>
              <w:t>/hr) (m)</w:t>
            </w:r>
          </w:p>
        </w:tc>
        <w:tc>
          <w:tcPr>
            <w:tcW w:w="2075" w:type="dxa"/>
          </w:tcPr>
          <w:p w:rsidR="006D3707" w:rsidRPr="003F6059" w:rsidP="003D29BA" w14:paraId="5E119C3E" w14:textId="4CFB4F4F">
            <w:pPr>
              <w:spacing w:after="0"/>
              <w:jc w:val="right"/>
              <w:rPr>
                <w:sz w:val="20"/>
                <w:szCs w:val="20"/>
              </w:rPr>
            </w:pPr>
            <w:r w:rsidRPr="00776053">
              <w:rPr>
                <w:color w:val="000000" w:themeColor="text1"/>
                <w:sz w:val="20"/>
                <w:szCs w:val="20"/>
              </w:rPr>
              <w:t>$</w:t>
            </w:r>
            <w:r>
              <w:rPr>
                <w:color w:val="000000" w:themeColor="text1"/>
                <w:sz w:val="20"/>
                <w:szCs w:val="20"/>
              </w:rPr>
              <w:t>246.12</w:t>
            </w:r>
          </w:p>
        </w:tc>
      </w:tr>
      <w:tr w14:paraId="2C4F90A0" w14:textId="7F3891A1" w:rsidTr="006140C8">
        <w:tblPrEx>
          <w:tblW w:w="9450" w:type="dxa"/>
          <w:jc w:val="center"/>
          <w:tblLook w:val="04A0"/>
        </w:tblPrEx>
        <w:trPr>
          <w:trHeight w:val="525"/>
          <w:jc w:val="center"/>
        </w:trPr>
        <w:tc>
          <w:tcPr>
            <w:tcW w:w="7375" w:type="dxa"/>
            <w:shd w:val="clear" w:color="auto" w:fill="auto"/>
            <w:hideMark/>
          </w:tcPr>
          <w:p w:rsidR="006D3707" w:rsidRPr="003F6059" w:rsidP="006D3707" w14:paraId="01281DD1" w14:textId="08257F16">
            <w:pPr>
              <w:spacing w:after="0"/>
              <w:rPr>
                <w:sz w:val="20"/>
                <w:szCs w:val="20"/>
              </w:rPr>
            </w:pPr>
            <w:r w:rsidRPr="003F6059">
              <w:rPr>
                <w:sz w:val="20"/>
                <w:szCs w:val="20"/>
              </w:rPr>
              <w:t>Cost to Review Measure Specifications (@ computer systems analyst’s labor rate of $</w:t>
            </w:r>
            <w:r w:rsidR="00C575F5">
              <w:rPr>
                <w:sz w:val="20"/>
                <w:szCs w:val="20"/>
              </w:rPr>
              <w:t>103.40</w:t>
            </w:r>
            <w:r w:rsidRPr="003F6059">
              <w:rPr>
                <w:sz w:val="20"/>
                <w:szCs w:val="20"/>
              </w:rPr>
              <w:t>/hr) (n)</w:t>
            </w:r>
          </w:p>
        </w:tc>
        <w:tc>
          <w:tcPr>
            <w:tcW w:w="2075" w:type="dxa"/>
          </w:tcPr>
          <w:p w:rsidR="006D3707" w:rsidRPr="003F6059" w:rsidP="003D29BA" w14:paraId="3837CAFE" w14:textId="2432F052">
            <w:pPr>
              <w:spacing w:after="0"/>
              <w:jc w:val="right"/>
              <w:rPr>
                <w:sz w:val="20"/>
                <w:szCs w:val="20"/>
              </w:rPr>
            </w:pPr>
            <w:r w:rsidRPr="00776053">
              <w:rPr>
                <w:color w:val="000000" w:themeColor="text1"/>
                <w:sz w:val="20"/>
                <w:szCs w:val="20"/>
              </w:rPr>
              <w:t>$</w:t>
            </w:r>
            <w:r>
              <w:rPr>
                <w:color w:val="000000" w:themeColor="text1"/>
                <w:sz w:val="20"/>
                <w:szCs w:val="20"/>
              </w:rPr>
              <w:t>103.40</w:t>
            </w:r>
          </w:p>
        </w:tc>
      </w:tr>
      <w:tr w14:paraId="6D05C566" w14:textId="5464AAA6" w:rsidTr="006140C8">
        <w:tblPrEx>
          <w:tblW w:w="9450" w:type="dxa"/>
          <w:jc w:val="center"/>
          <w:tblLook w:val="04A0"/>
        </w:tblPrEx>
        <w:trPr>
          <w:trHeight w:val="525"/>
          <w:jc w:val="center"/>
        </w:trPr>
        <w:tc>
          <w:tcPr>
            <w:tcW w:w="7375" w:type="dxa"/>
            <w:shd w:val="clear" w:color="auto" w:fill="auto"/>
            <w:hideMark/>
          </w:tcPr>
          <w:p w:rsidR="006D3707" w:rsidRPr="003F6059" w:rsidP="006D3707" w14:paraId="036C20D2" w14:textId="42D2B9C0">
            <w:pPr>
              <w:spacing w:after="0"/>
              <w:rPr>
                <w:sz w:val="20"/>
                <w:szCs w:val="20"/>
              </w:rPr>
            </w:pPr>
            <w:r w:rsidRPr="003F6059">
              <w:rPr>
                <w:sz w:val="20"/>
                <w:szCs w:val="20"/>
              </w:rPr>
              <w:t>Cost to Review Measure Specifications (@ LPN's labor rate of $</w:t>
            </w:r>
            <w:r w:rsidR="00C575F5">
              <w:rPr>
                <w:sz w:val="20"/>
                <w:szCs w:val="20"/>
              </w:rPr>
              <w:t>53.72</w:t>
            </w:r>
            <w:r w:rsidRPr="003F6059">
              <w:rPr>
                <w:sz w:val="20"/>
                <w:szCs w:val="20"/>
              </w:rPr>
              <w:t>/hr) (o)</w:t>
            </w:r>
          </w:p>
        </w:tc>
        <w:tc>
          <w:tcPr>
            <w:tcW w:w="2075" w:type="dxa"/>
          </w:tcPr>
          <w:p w:rsidR="006D3707" w:rsidRPr="003F6059" w:rsidP="003D29BA" w14:paraId="34F37A1F" w14:textId="383AB2A6">
            <w:pPr>
              <w:spacing w:after="0"/>
              <w:jc w:val="right"/>
              <w:rPr>
                <w:sz w:val="20"/>
                <w:szCs w:val="20"/>
              </w:rPr>
            </w:pPr>
            <w:r w:rsidRPr="00776053">
              <w:rPr>
                <w:color w:val="000000" w:themeColor="text1"/>
                <w:sz w:val="20"/>
                <w:szCs w:val="20"/>
              </w:rPr>
              <w:t>$</w:t>
            </w:r>
            <w:r>
              <w:rPr>
                <w:color w:val="000000" w:themeColor="text1"/>
                <w:sz w:val="20"/>
                <w:szCs w:val="20"/>
              </w:rPr>
              <w:t>53.72</w:t>
            </w:r>
          </w:p>
        </w:tc>
      </w:tr>
      <w:tr w14:paraId="3B036A58" w14:textId="4D5E1AFF" w:rsidTr="006140C8">
        <w:tblPrEx>
          <w:tblW w:w="9450" w:type="dxa"/>
          <w:jc w:val="center"/>
          <w:tblLook w:val="04A0"/>
        </w:tblPrEx>
        <w:trPr>
          <w:trHeight w:val="525"/>
          <w:jc w:val="center"/>
        </w:trPr>
        <w:tc>
          <w:tcPr>
            <w:tcW w:w="7375" w:type="dxa"/>
            <w:shd w:val="clear" w:color="auto" w:fill="auto"/>
            <w:hideMark/>
          </w:tcPr>
          <w:p w:rsidR="006D3707" w:rsidRPr="003F6059" w:rsidP="006D3707" w14:paraId="1172BEE9" w14:textId="3EE45B27">
            <w:pPr>
              <w:spacing w:after="0"/>
              <w:rPr>
                <w:sz w:val="20"/>
                <w:szCs w:val="20"/>
              </w:rPr>
            </w:pPr>
            <w:r w:rsidRPr="003F6059">
              <w:rPr>
                <w:sz w:val="20"/>
                <w:szCs w:val="20"/>
              </w:rPr>
              <w:t>Cost to Review Measure Specifications (@ clerk’s labor rate of $</w:t>
            </w:r>
            <w:r>
              <w:rPr>
                <w:sz w:val="20"/>
                <w:szCs w:val="20"/>
              </w:rPr>
              <w:t>4</w:t>
            </w:r>
            <w:r w:rsidR="00C575F5">
              <w:rPr>
                <w:sz w:val="20"/>
                <w:szCs w:val="20"/>
              </w:rPr>
              <w:t>3.08</w:t>
            </w:r>
            <w:r w:rsidRPr="003F6059">
              <w:rPr>
                <w:sz w:val="20"/>
                <w:szCs w:val="20"/>
              </w:rPr>
              <w:t>/hr) (p)</w:t>
            </w:r>
          </w:p>
        </w:tc>
        <w:tc>
          <w:tcPr>
            <w:tcW w:w="2075" w:type="dxa"/>
          </w:tcPr>
          <w:p w:rsidR="006D3707" w:rsidRPr="003F6059" w:rsidP="003D29BA" w14:paraId="2E3E94AF" w14:textId="14AFDC0C">
            <w:pPr>
              <w:spacing w:after="0"/>
              <w:jc w:val="right"/>
              <w:rPr>
                <w:sz w:val="20"/>
                <w:szCs w:val="20"/>
              </w:rPr>
            </w:pPr>
            <w:r w:rsidRPr="00776053">
              <w:rPr>
                <w:color w:val="000000" w:themeColor="text1"/>
                <w:sz w:val="20"/>
                <w:szCs w:val="20"/>
              </w:rPr>
              <w:t>$</w:t>
            </w:r>
            <w:r>
              <w:rPr>
                <w:color w:val="000000" w:themeColor="text1"/>
                <w:sz w:val="20"/>
                <w:szCs w:val="20"/>
              </w:rPr>
              <w:t>43.08</w:t>
            </w:r>
          </w:p>
        </w:tc>
      </w:tr>
      <w:tr w14:paraId="27D599C7" w14:textId="77533941" w:rsidTr="006140C8">
        <w:tblPrEx>
          <w:tblW w:w="9450" w:type="dxa"/>
          <w:jc w:val="center"/>
          <w:tblLook w:val="04A0"/>
        </w:tblPrEx>
        <w:trPr>
          <w:trHeight w:val="525"/>
          <w:jc w:val="center"/>
        </w:trPr>
        <w:tc>
          <w:tcPr>
            <w:tcW w:w="7375" w:type="dxa"/>
            <w:shd w:val="clear" w:color="auto" w:fill="auto"/>
            <w:hideMark/>
          </w:tcPr>
          <w:p w:rsidR="006D3707" w:rsidRPr="003F6059" w:rsidP="006D3707" w14:paraId="0D1388D0" w14:textId="39997FFE">
            <w:pPr>
              <w:spacing w:after="0"/>
              <w:rPr>
                <w:sz w:val="20"/>
                <w:szCs w:val="20"/>
              </w:rPr>
            </w:pPr>
            <w:r w:rsidRPr="003F6059">
              <w:rPr>
                <w:sz w:val="20"/>
                <w:szCs w:val="20"/>
              </w:rPr>
              <w:t>Cost to Review Measure Specifications (@ physician’s labor rate of $2</w:t>
            </w:r>
            <w:r w:rsidR="00C575F5">
              <w:rPr>
                <w:sz w:val="20"/>
                <w:szCs w:val="20"/>
              </w:rPr>
              <w:t>74.44</w:t>
            </w:r>
            <w:r w:rsidRPr="003F6059">
              <w:rPr>
                <w:sz w:val="20"/>
                <w:szCs w:val="20"/>
              </w:rPr>
              <w:t>/hr) (q)</w:t>
            </w:r>
          </w:p>
        </w:tc>
        <w:tc>
          <w:tcPr>
            <w:tcW w:w="2075" w:type="dxa"/>
          </w:tcPr>
          <w:p w:rsidR="006D3707" w:rsidRPr="003F6059" w:rsidP="003D29BA" w14:paraId="4EC858F7" w14:textId="568E7A7C">
            <w:pPr>
              <w:spacing w:after="0"/>
              <w:jc w:val="right"/>
              <w:rPr>
                <w:sz w:val="20"/>
                <w:szCs w:val="20"/>
              </w:rPr>
            </w:pPr>
            <w:r w:rsidRPr="00776053">
              <w:rPr>
                <w:color w:val="000000" w:themeColor="text1"/>
                <w:sz w:val="20"/>
                <w:szCs w:val="20"/>
              </w:rPr>
              <w:t>$</w:t>
            </w:r>
            <w:r>
              <w:rPr>
                <w:color w:val="000000" w:themeColor="text1"/>
                <w:sz w:val="20"/>
                <w:szCs w:val="20"/>
              </w:rPr>
              <w:t>274.44</w:t>
            </w:r>
          </w:p>
        </w:tc>
      </w:tr>
      <w:tr w14:paraId="18D7F363" w14:textId="52C27FA8" w:rsidTr="006140C8">
        <w:tblPrEx>
          <w:tblW w:w="9450" w:type="dxa"/>
          <w:jc w:val="center"/>
          <w:tblLook w:val="04A0"/>
        </w:tblPrEx>
        <w:trPr>
          <w:trHeight w:val="315"/>
          <w:jc w:val="center"/>
        </w:trPr>
        <w:tc>
          <w:tcPr>
            <w:tcW w:w="7375" w:type="dxa"/>
            <w:shd w:val="clear" w:color="auto" w:fill="auto"/>
            <w:hideMark/>
          </w:tcPr>
          <w:p w:rsidR="006D3707" w:rsidRPr="003F6059" w:rsidP="006D3707" w14:paraId="48792688" w14:textId="43BC0315">
            <w:pPr>
              <w:spacing w:after="0"/>
              <w:rPr>
                <w:sz w:val="20"/>
                <w:szCs w:val="20"/>
              </w:rPr>
            </w:pPr>
            <w:r w:rsidRPr="003F6059">
              <w:rPr>
                <w:sz w:val="20"/>
                <w:szCs w:val="20"/>
              </w:rPr>
              <w:t>Total Cost Per Respondent (r)=(l)+(m)+(n)+(o)+(p)+(q)</w:t>
            </w:r>
          </w:p>
        </w:tc>
        <w:tc>
          <w:tcPr>
            <w:tcW w:w="2075" w:type="dxa"/>
          </w:tcPr>
          <w:p w:rsidR="006D3707" w:rsidRPr="003F6059" w:rsidP="003D29BA" w14:paraId="0AA8442C" w14:textId="4DBAC0AB">
            <w:pPr>
              <w:spacing w:after="0"/>
              <w:jc w:val="right"/>
              <w:rPr>
                <w:sz w:val="20"/>
                <w:szCs w:val="20"/>
              </w:rPr>
            </w:pPr>
            <w:r w:rsidRPr="00776053">
              <w:rPr>
                <w:color w:val="000000" w:themeColor="text1"/>
                <w:sz w:val="20"/>
                <w:szCs w:val="20"/>
              </w:rPr>
              <w:t>$</w:t>
            </w:r>
            <w:r>
              <w:rPr>
                <w:color w:val="000000" w:themeColor="text1"/>
                <w:sz w:val="20"/>
                <w:szCs w:val="20"/>
              </w:rPr>
              <w:t>927.56</w:t>
            </w:r>
          </w:p>
        </w:tc>
      </w:tr>
      <w:tr w14:paraId="5F4C4579" w14:textId="689B3C20" w:rsidTr="00B936AA">
        <w:tblPrEx>
          <w:tblW w:w="9450" w:type="dxa"/>
          <w:jc w:val="center"/>
          <w:tblLook w:val="04A0"/>
        </w:tblPrEx>
        <w:trPr>
          <w:trHeight w:val="315"/>
          <w:jc w:val="center"/>
        </w:trPr>
        <w:tc>
          <w:tcPr>
            <w:tcW w:w="7375" w:type="dxa"/>
            <w:shd w:val="clear" w:color="auto" w:fill="E7E6E6" w:themeFill="background2"/>
          </w:tcPr>
          <w:p w:rsidR="00F243D4" w:rsidRPr="003F6059" w:rsidP="009C12FC" w14:paraId="2FA0D96F" w14:textId="0EE2FE00">
            <w:pPr>
              <w:spacing w:after="0"/>
              <w:rPr>
                <w:b/>
                <w:bCs/>
                <w:sz w:val="20"/>
                <w:szCs w:val="20"/>
              </w:rPr>
            </w:pPr>
            <w:r w:rsidRPr="003F6059">
              <w:rPr>
                <w:b/>
                <w:bCs/>
                <w:sz w:val="20"/>
                <w:szCs w:val="20"/>
              </w:rPr>
              <w:t>Total Annual Cost (s) = (c)</w:t>
            </w:r>
            <w:r w:rsidR="000E6370">
              <w:t xml:space="preserve"> </w:t>
            </w:r>
            <w:r w:rsidRPr="007A5987" w:rsidR="007A5987">
              <w:rPr>
                <w:sz w:val="20"/>
                <w:szCs w:val="20"/>
              </w:rPr>
              <w:t>[</w:t>
            </w:r>
            <w:r w:rsidRPr="007A5987" w:rsidR="000E6370">
              <w:rPr>
                <w:b/>
                <w:bCs/>
                <w:sz w:val="20"/>
                <w:szCs w:val="20"/>
              </w:rPr>
              <w:t>x</w:t>
            </w:r>
            <w:r w:rsidRPr="007A5987" w:rsidR="007A5987">
              <w:rPr>
                <w:b/>
                <w:bCs/>
                <w:sz w:val="20"/>
                <w:szCs w:val="20"/>
              </w:rPr>
              <w:t>]</w:t>
            </w:r>
            <w:r w:rsidRPr="000E6370" w:rsidR="000E6370">
              <w:rPr>
                <w:b/>
                <w:bCs/>
                <w:sz w:val="20"/>
                <w:szCs w:val="20"/>
              </w:rPr>
              <w:t xml:space="preserve"> </w:t>
            </w:r>
            <w:r w:rsidRPr="003F6059">
              <w:rPr>
                <w:b/>
                <w:bCs/>
                <w:sz w:val="20"/>
                <w:szCs w:val="20"/>
              </w:rPr>
              <w:t>(r)</w:t>
            </w:r>
          </w:p>
        </w:tc>
        <w:tc>
          <w:tcPr>
            <w:tcW w:w="2075" w:type="dxa"/>
            <w:shd w:val="clear" w:color="auto" w:fill="E7E6E6" w:themeFill="background2"/>
            <w:vAlign w:val="center"/>
          </w:tcPr>
          <w:p w:rsidR="00F243D4" w:rsidRPr="003F6059" w:rsidP="003D29BA" w14:paraId="265E8147" w14:textId="1385308E">
            <w:pPr>
              <w:spacing w:after="0"/>
              <w:jc w:val="right"/>
              <w:rPr>
                <w:b/>
                <w:bCs/>
                <w:sz w:val="20"/>
                <w:szCs w:val="20"/>
              </w:rPr>
            </w:pPr>
            <w:r w:rsidRPr="00A84883">
              <w:rPr>
                <w:rFonts w:eastAsia="Calibri"/>
                <w:b/>
                <w:sz w:val="20"/>
                <w:szCs w:val="20"/>
              </w:rPr>
              <w:t>$</w:t>
            </w:r>
            <w:r w:rsidR="00294617">
              <w:rPr>
                <w:rFonts w:eastAsia="Calibri"/>
                <w:b/>
                <w:sz w:val="20"/>
                <w:szCs w:val="20"/>
              </w:rPr>
              <w:t>2</w:t>
            </w:r>
            <w:r w:rsidR="00E72141">
              <w:rPr>
                <w:rFonts w:eastAsia="Calibri"/>
                <w:b/>
                <w:sz w:val="20"/>
                <w:szCs w:val="20"/>
              </w:rPr>
              <w:t>6,633,958</w:t>
            </w:r>
          </w:p>
        </w:tc>
      </w:tr>
    </w:tbl>
    <w:p w:rsidR="00845EA3" w:rsidRPr="007B475F" w:rsidP="003507A9" w14:paraId="7F09F4C1" w14:textId="77777777">
      <w:pPr>
        <w:rPr>
          <w:rFonts w:eastAsia="Calibri"/>
        </w:rPr>
      </w:pPr>
    </w:p>
    <w:p w:rsidR="009E1A51" w:rsidRPr="009E1A51" w:rsidP="0011028A" w14:paraId="4E7294BD" w14:textId="6E664419">
      <w:pPr>
        <w:pStyle w:val="Heading3"/>
      </w:pPr>
      <w:r w:rsidRPr="009E1A51">
        <w:t>ICRs Regarding Burden for MVP Reporting</w:t>
      </w:r>
    </w:p>
    <w:p w:rsidR="00E3288A" w:rsidP="00DF4A91" w14:paraId="5755502E" w14:textId="77A46E22">
      <w:r>
        <w:t xml:space="preserve">In the CY 2022 PFS final rule, </w:t>
      </w:r>
      <w:r w:rsidR="004F6B99">
        <w:t xml:space="preserve">we finalized </w:t>
      </w:r>
      <w:r w:rsidR="00A12E56">
        <w:t xml:space="preserve">the implementation of voluntary </w:t>
      </w:r>
      <w:r w:rsidR="007E48D5">
        <w:t>MIPS Value Pathways</w:t>
      </w:r>
      <w:r w:rsidR="00C12223">
        <w:t xml:space="preserve"> (MVP)</w:t>
      </w:r>
      <w:r w:rsidR="007E48D5">
        <w:t xml:space="preserve"> </w:t>
      </w:r>
      <w:r w:rsidR="003C00CB">
        <w:t xml:space="preserve">and subgroup </w:t>
      </w:r>
      <w:r w:rsidR="007E48D5">
        <w:t xml:space="preserve">reporting </w:t>
      </w:r>
      <w:r w:rsidR="00BC751B">
        <w:t xml:space="preserve">for eligible clinicians </w:t>
      </w:r>
      <w:r w:rsidR="00014B8C">
        <w:t>beginning with the CY 2023 performance period/2025 MIPS payment year</w:t>
      </w:r>
      <w:r w:rsidR="004A6CE2">
        <w:t>.</w:t>
      </w:r>
      <w:r w:rsidR="00BC751B">
        <w:t xml:space="preserve"> </w:t>
      </w:r>
      <w:r w:rsidR="007426C6">
        <w:t>Therefore</w:t>
      </w:r>
      <w:r w:rsidRPr="00064DFC" w:rsidR="00AB1814">
        <w:t>, clinicians participating in MIPS w</w:t>
      </w:r>
      <w:r w:rsidR="009D6531">
        <w:t xml:space="preserve">ill </w:t>
      </w:r>
      <w:r w:rsidRPr="00064DFC" w:rsidR="00AB1814">
        <w:t>have the option to voluntarily submit data using MVPs starting with the CY 2023 performance period/2025 MIPS payment year</w:t>
      </w:r>
      <w:r w:rsidR="0002421D">
        <w:t xml:space="preserve">. </w:t>
      </w:r>
      <w:r w:rsidR="00B53B2D">
        <w:t xml:space="preserve">Additionally, </w:t>
      </w:r>
      <w:r w:rsidR="00943FD2">
        <w:t xml:space="preserve">clinicians participating in MIPS through reporting MVPs </w:t>
      </w:r>
      <w:r w:rsidR="00046ACA">
        <w:t xml:space="preserve">could also choose to form subgroups beginning with the CY 2023 performance </w:t>
      </w:r>
      <w:r w:rsidR="00046ACA">
        <w:t xml:space="preserve">period/2025 MIPS payment year. </w:t>
      </w:r>
      <w:r w:rsidRPr="00BC751B" w:rsidR="00BC751B">
        <w:t>The MVPs w</w:t>
      </w:r>
      <w:r w:rsidR="006039A4">
        <w:t>ill</w:t>
      </w:r>
      <w:r w:rsidRPr="00BC751B" w:rsidR="00BC751B">
        <w:t xml:space="preserve"> include the Promoting Interoperability performance category as a foundational element and incorporate population health claims-based measures, as feasible, along with the relevant measures and activities in the quality, cost</w:t>
      </w:r>
      <w:r w:rsidR="00913189">
        <w:t>,</w:t>
      </w:r>
      <w:r w:rsidRPr="00BC751B" w:rsidR="00BC751B">
        <w:t xml:space="preserve"> and improvement activities performance categories.</w:t>
      </w:r>
      <w:r w:rsidRPr="00064DFC" w:rsidR="00064DFC">
        <w:t xml:space="preserve"> We estimate that the clinicians choosing to participate in MIPS for reporting MVPs w</w:t>
      </w:r>
      <w:r w:rsidR="006039A4">
        <w:t>ill</w:t>
      </w:r>
      <w:r w:rsidRPr="00064DFC" w:rsidR="00064DFC">
        <w:t xml:space="preserve"> need to select from a reduced inventory of measures and activities for the quality and improvement activities performance categories. This reduction in burden is described in the quality, improvement activities and Promoting Interoperability performance categories sections below. </w:t>
      </w:r>
      <w:r w:rsidRPr="007F4396" w:rsidR="007F4396">
        <w:t>The following ICRs reflect the burden associated with data collection related to the implementation of MVPs and subgroup reporting in the CY 202</w:t>
      </w:r>
      <w:r w:rsidR="003555D1">
        <w:t>4</w:t>
      </w:r>
      <w:r w:rsidRPr="007F4396" w:rsidR="007F4396">
        <w:t xml:space="preserve"> performance period/202</w:t>
      </w:r>
      <w:r w:rsidR="003555D1">
        <w:t>6</w:t>
      </w:r>
      <w:r w:rsidRPr="007F4396" w:rsidR="007F4396">
        <w:t xml:space="preserve"> MIPS payment year.</w:t>
      </w:r>
      <w:r w:rsidR="006D2AF0">
        <w:t xml:space="preserve"> </w:t>
      </w:r>
    </w:p>
    <w:p w:rsidR="00662DAE" w:rsidP="00DF4A91" w14:paraId="1138604A" w14:textId="60112FAB">
      <w:r w:rsidRPr="00871E51">
        <w:t xml:space="preserve">For the ICRs related to MVP participants, </w:t>
      </w:r>
      <w:r w:rsidR="001B6EBA">
        <w:t>our burden</w:t>
      </w:r>
      <w:r w:rsidR="00041916">
        <w:t xml:space="preserve"> estimates </w:t>
      </w:r>
      <w:r w:rsidR="001B6EBA">
        <w:t xml:space="preserve">are </w:t>
      </w:r>
      <w:r w:rsidR="00041916">
        <w:t>based on</w:t>
      </w:r>
      <w:r w:rsidRPr="00871E51">
        <w:t xml:space="preserve"> the MIPS submission data from the CY 20</w:t>
      </w:r>
      <w:r w:rsidR="006039A4">
        <w:t>2</w:t>
      </w:r>
      <w:r w:rsidR="00556EA6">
        <w:t>2</w:t>
      </w:r>
      <w:r w:rsidRPr="00871E51">
        <w:t xml:space="preserve"> performance period/202</w:t>
      </w:r>
      <w:r w:rsidR="00556EA6">
        <w:t>4</w:t>
      </w:r>
      <w:r w:rsidRPr="00871E51">
        <w:t xml:space="preserve"> MIPS payment year. </w:t>
      </w:r>
      <w:r w:rsidR="00D56C3E">
        <w:t>I</w:t>
      </w:r>
      <w:r w:rsidRPr="00A646F5" w:rsidR="00E3288A">
        <w:rPr>
          <w:rFonts w:eastAsia="Calibri"/>
          <w:color w:val="000000" w:themeColor="text1"/>
        </w:rPr>
        <w:t xml:space="preserve">n </w:t>
      </w:r>
      <w:r w:rsidR="00E3288A">
        <w:rPr>
          <w:rFonts w:eastAsia="Calibri"/>
          <w:color w:val="000000" w:themeColor="text1"/>
        </w:rPr>
        <w:t xml:space="preserve">Appendix 3:  MVP Inventory </w:t>
      </w:r>
      <w:r w:rsidRPr="00A646F5" w:rsidR="00E3288A">
        <w:rPr>
          <w:color w:val="000000" w:themeColor="text1"/>
        </w:rPr>
        <w:t xml:space="preserve">of </w:t>
      </w:r>
      <w:r w:rsidRPr="00A646F5" w:rsidR="00E3288A">
        <w:rPr>
          <w:rFonts w:eastAsia="Calibri"/>
          <w:color w:val="000000" w:themeColor="text1"/>
        </w:rPr>
        <w:t>th</w:t>
      </w:r>
      <w:r w:rsidR="00E3288A">
        <w:rPr>
          <w:rFonts w:eastAsia="Calibri"/>
          <w:color w:val="000000" w:themeColor="text1"/>
        </w:rPr>
        <w:t>e CY 202</w:t>
      </w:r>
      <w:r w:rsidR="001B6EBA">
        <w:rPr>
          <w:rFonts w:eastAsia="Calibri"/>
          <w:color w:val="000000" w:themeColor="text1"/>
        </w:rPr>
        <w:t>4</w:t>
      </w:r>
      <w:r w:rsidR="00E3288A">
        <w:rPr>
          <w:rFonts w:eastAsia="Calibri"/>
          <w:color w:val="000000" w:themeColor="text1"/>
        </w:rPr>
        <w:t xml:space="preserve"> PFS </w:t>
      </w:r>
      <w:r w:rsidR="00556EA6">
        <w:rPr>
          <w:rFonts w:eastAsia="Calibri"/>
          <w:color w:val="000000" w:themeColor="text1"/>
        </w:rPr>
        <w:t>final</w:t>
      </w:r>
      <w:r w:rsidR="00E3288A">
        <w:rPr>
          <w:rFonts w:eastAsia="Calibri"/>
          <w:color w:val="000000" w:themeColor="text1"/>
        </w:rPr>
        <w:t xml:space="preserve"> </w:t>
      </w:r>
      <w:r w:rsidRPr="00A646F5" w:rsidR="00E3288A">
        <w:rPr>
          <w:rFonts w:eastAsia="Calibri"/>
          <w:color w:val="000000" w:themeColor="text1"/>
        </w:rPr>
        <w:t xml:space="preserve">rule, </w:t>
      </w:r>
      <w:r w:rsidRPr="001B6EBA" w:rsidR="001B6EBA">
        <w:rPr>
          <w:rFonts w:eastAsia="Calibri"/>
          <w:color w:val="000000" w:themeColor="text1"/>
        </w:rPr>
        <w:t xml:space="preserve">we are </w:t>
      </w:r>
      <w:r w:rsidR="00556EA6">
        <w:rPr>
          <w:rFonts w:eastAsia="Calibri"/>
          <w:color w:val="000000" w:themeColor="text1"/>
        </w:rPr>
        <w:t>finalizing</w:t>
      </w:r>
      <w:r w:rsidRPr="001B6EBA" w:rsidR="001B6EBA">
        <w:rPr>
          <w:rFonts w:eastAsia="Calibri"/>
          <w:color w:val="000000" w:themeColor="text1"/>
        </w:rPr>
        <w:t xml:space="preserve"> to add five new MVPs to the MVP Inventory. Additionally, we are </w:t>
      </w:r>
      <w:r w:rsidR="00165FAC">
        <w:rPr>
          <w:rFonts w:eastAsia="Calibri"/>
          <w:color w:val="000000" w:themeColor="text1"/>
        </w:rPr>
        <w:t>finalizing</w:t>
      </w:r>
      <w:r w:rsidRPr="001B6EBA" w:rsidR="001B6EBA">
        <w:rPr>
          <w:rFonts w:eastAsia="Calibri"/>
          <w:color w:val="000000" w:themeColor="text1"/>
        </w:rPr>
        <w:t xml:space="preserve"> to consolidate the previously finalized Promoting Wellness and Optimizing Chronic Disease Management MVPs into a single consolidated primary care MVP titled Value in Primary Care MVP. Therefore, MVP participants will have a total of sixteen MVPs available for the CY 2024 performance period/2026 MIPS payment year.  Due to the availability of new MVPs, we expect an increase in the projected number of MVP participants. For each newly </w:t>
      </w:r>
      <w:r w:rsidR="004B00FE">
        <w:rPr>
          <w:rFonts w:eastAsia="Calibri"/>
          <w:color w:val="000000" w:themeColor="text1"/>
        </w:rPr>
        <w:t>finaliz</w:t>
      </w:r>
      <w:r w:rsidRPr="001B6EBA" w:rsidR="001B6EBA">
        <w:rPr>
          <w:rFonts w:eastAsia="Calibri"/>
          <w:color w:val="000000" w:themeColor="text1"/>
        </w:rPr>
        <w:t>ed MVP, we calculated the average quality measure submission rate across the measures available in each MVP for the CY 202</w:t>
      </w:r>
      <w:r w:rsidR="00BB1953">
        <w:rPr>
          <w:rFonts w:eastAsia="Calibri"/>
          <w:color w:val="000000" w:themeColor="text1"/>
        </w:rPr>
        <w:t>2</w:t>
      </w:r>
      <w:r w:rsidRPr="001B6EBA" w:rsidR="001B6EBA">
        <w:rPr>
          <w:rFonts w:eastAsia="Calibri"/>
          <w:color w:val="000000" w:themeColor="text1"/>
        </w:rPr>
        <w:t xml:space="preserve"> performance period/202</w:t>
      </w:r>
      <w:r w:rsidR="00BB1953">
        <w:rPr>
          <w:rFonts w:eastAsia="Calibri"/>
          <w:color w:val="000000" w:themeColor="text1"/>
        </w:rPr>
        <w:t>4</w:t>
      </w:r>
      <w:r w:rsidRPr="001B6EBA" w:rsidR="001B6EBA">
        <w:rPr>
          <w:rFonts w:eastAsia="Calibri"/>
          <w:color w:val="000000" w:themeColor="text1"/>
        </w:rPr>
        <w:t xml:space="preserve"> MIPS payment year. The total of these average quality measure submissions for each MVP was equivalent to about 2 percent of total quality measure submissions in the CY 20</w:t>
      </w:r>
      <w:r w:rsidR="00B94DA1">
        <w:rPr>
          <w:rFonts w:eastAsia="Calibri"/>
          <w:color w:val="000000" w:themeColor="text1"/>
        </w:rPr>
        <w:t>22</w:t>
      </w:r>
      <w:r w:rsidRPr="001B6EBA" w:rsidR="001B6EBA">
        <w:rPr>
          <w:rFonts w:eastAsia="Calibri"/>
          <w:color w:val="000000" w:themeColor="text1"/>
        </w:rPr>
        <w:t xml:space="preserve"> performance period/202</w:t>
      </w:r>
      <w:r w:rsidR="00B94DA1">
        <w:rPr>
          <w:rFonts w:eastAsia="Calibri"/>
          <w:color w:val="000000" w:themeColor="text1"/>
        </w:rPr>
        <w:t>4</w:t>
      </w:r>
      <w:r w:rsidRPr="001B6EBA" w:rsidR="001B6EBA">
        <w:rPr>
          <w:rFonts w:eastAsia="Calibri"/>
          <w:color w:val="000000" w:themeColor="text1"/>
        </w:rPr>
        <w:t xml:space="preserve"> MIPS payment year. </w:t>
      </w:r>
      <w:r w:rsidRPr="00A646F5" w:rsidR="00E3288A">
        <w:rPr>
          <w:rFonts w:eastAsia="Calibri"/>
          <w:color w:val="000000" w:themeColor="text1"/>
        </w:rPr>
        <w:t>Therefore, we estimate</w:t>
      </w:r>
      <w:r w:rsidRPr="00A646F5" w:rsidR="00E3288A">
        <w:rPr>
          <w:color w:val="000000" w:themeColor="text1"/>
        </w:rPr>
        <w:t xml:space="preserve"> that </w:t>
      </w:r>
      <w:r w:rsidRPr="00A646F5" w:rsidR="00E3288A">
        <w:rPr>
          <w:rFonts w:eastAsia="Calibri"/>
          <w:color w:val="000000" w:themeColor="text1"/>
        </w:rPr>
        <w:t>1</w:t>
      </w:r>
      <w:r w:rsidR="001B6EBA">
        <w:rPr>
          <w:rFonts w:eastAsia="Calibri"/>
          <w:color w:val="000000" w:themeColor="text1"/>
        </w:rPr>
        <w:t>4</w:t>
      </w:r>
      <w:r w:rsidRPr="00A646F5" w:rsidR="00E3288A">
        <w:rPr>
          <w:color w:val="000000" w:themeColor="text1"/>
        </w:rPr>
        <w:t xml:space="preserve"> percent of the clinicians </w:t>
      </w:r>
      <w:r w:rsidRPr="00A646F5" w:rsidR="00E3288A">
        <w:rPr>
          <w:rFonts w:eastAsia="Calibri"/>
          <w:color w:val="000000" w:themeColor="text1"/>
        </w:rPr>
        <w:t>w</w:t>
      </w:r>
      <w:r w:rsidR="002C4A94">
        <w:rPr>
          <w:rFonts w:eastAsia="Calibri"/>
          <w:color w:val="000000" w:themeColor="text1"/>
        </w:rPr>
        <w:t xml:space="preserve">ill </w:t>
      </w:r>
      <w:r w:rsidRPr="00A646F5" w:rsidR="00E3288A">
        <w:rPr>
          <w:rFonts w:eastAsia="Calibri"/>
          <w:color w:val="000000" w:themeColor="text1"/>
        </w:rPr>
        <w:t>participate in MVP reporting in the CY 202</w:t>
      </w:r>
      <w:r w:rsidR="001B6EBA">
        <w:rPr>
          <w:rFonts w:eastAsia="Calibri"/>
          <w:color w:val="000000" w:themeColor="text1"/>
        </w:rPr>
        <w:t>4</w:t>
      </w:r>
      <w:r w:rsidRPr="00A646F5" w:rsidR="00E3288A">
        <w:rPr>
          <w:rFonts w:eastAsia="Calibri"/>
          <w:color w:val="000000" w:themeColor="text1"/>
        </w:rPr>
        <w:t xml:space="preserve"> performance period/202</w:t>
      </w:r>
      <w:r w:rsidR="001B6EBA">
        <w:rPr>
          <w:rFonts w:eastAsia="Calibri"/>
          <w:color w:val="000000" w:themeColor="text1"/>
        </w:rPr>
        <w:t xml:space="preserve">6 </w:t>
      </w:r>
      <w:r w:rsidRPr="00A646F5" w:rsidR="00E3288A">
        <w:rPr>
          <w:rFonts w:eastAsia="Calibri"/>
          <w:color w:val="000000" w:themeColor="text1"/>
        </w:rPr>
        <w:t xml:space="preserve">MIPS payment year. </w:t>
      </w:r>
    </w:p>
    <w:p w:rsidR="008B2106" w:rsidP="00536DD8" w14:paraId="4F28661E" w14:textId="2D8D9C53">
      <w:pPr>
        <w:pStyle w:val="Heading4"/>
        <w:numPr>
          <w:ilvl w:val="0"/>
          <w:numId w:val="0"/>
        </w:numPr>
        <w:ind w:left="2160"/>
      </w:pPr>
      <w:r>
        <w:t>i</w:t>
      </w:r>
      <w:r>
        <w:t>.</w:t>
      </w:r>
      <w:r w:rsidR="00754333">
        <w:t xml:space="preserve"> </w:t>
      </w:r>
      <w:r w:rsidR="00807FBE">
        <w:t xml:space="preserve"> </w:t>
      </w:r>
      <w:r w:rsidRPr="00754333" w:rsidR="00282256">
        <w:t xml:space="preserve">Burden for MVP Registration: Individuals, Groups and </w:t>
      </w:r>
      <w:r w:rsidR="00CA5C81">
        <w:br/>
      </w:r>
      <w:r w:rsidRPr="00754333" w:rsidR="00282256">
        <w:t>APM Entities</w:t>
      </w:r>
      <w:r w:rsidR="00BE6DD2">
        <w:t xml:space="preserve"> </w:t>
      </w:r>
    </w:p>
    <w:p w:rsidR="00BE6DD2" w:rsidP="00DF4A91" w14:paraId="67053948" w14:textId="0183836A">
      <w:r w:rsidRPr="00871E51">
        <w:t>Beginning with the CY 202</w:t>
      </w:r>
      <w:r w:rsidR="006325A1">
        <w:t>4</w:t>
      </w:r>
      <w:r w:rsidRPr="00871E51">
        <w:t xml:space="preserve"> performance period/202</w:t>
      </w:r>
      <w:r w:rsidR="006325A1">
        <w:t>6</w:t>
      </w:r>
      <w:r w:rsidRPr="00871E51">
        <w:t xml:space="preserve"> MIPS payment year,</w:t>
      </w:r>
      <w:r w:rsidR="000542F3">
        <w:t xml:space="preserve"> </w:t>
      </w:r>
      <w:r w:rsidRPr="00871E51">
        <w:t xml:space="preserve">clinicians interested in participating in MIPS through MVP reporting would be required to complete an annual registration process described in </w:t>
      </w:r>
      <w:r w:rsidR="000211FD">
        <w:t xml:space="preserve">the CY 2022 PFS </w:t>
      </w:r>
      <w:r w:rsidR="002F0025">
        <w:t>final</w:t>
      </w:r>
      <w:r w:rsidR="000211FD">
        <w:t xml:space="preserve"> </w:t>
      </w:r>
      <w:r w:rsidRPr="00871E51">
        <w:t>rule</w:t>
      </w:r>
      <w:r w:rsidR="00E01BE9">
        <w:t xml:space="preserve"> (86 FR 65589 through 65590)</w:t>
      </w:r>
      <w:r w:rsidRPr="00871E51">
        <w:t xml:space="preserve">. At the time of registration, MVP participants would need to select a specific MVP, a population health measure and if administrative claims measures are included in the selected MVP, the MVP participants would also need to choose an applicable administrative claims measure in the MVP. </w:t>
      </w:r>
      <w:r w:rsidRPr="00C31575" w:rsidR="00C31575">
        <w:t xml:space="preserve">In Table </w:t>
      </w:r>
      <w:r w:rsidR="00571D24">
        <w:t>1</w:t>
      </w:r>
      <w:r w:rsidR="006325A1">
        <w:t>4</w:t>
      </w:r>
      <w:r w:rsidR="00571D24">
        <w:t xml:space="preserve"> below</w:t>
      </w:r>
      <w:r w:rsidRPr="00C31575" w:rsidR="00C31575">
        <w:t>, we estimate that the registration process for clinicians choosing to submit MIPS data for the measures and the activities in an MVP would require 0.25 hours of a computer systems analyst’s time. We assume that the staff involved in the MVP registration process will mainly be computer systems analysts or their equivalent, who have an average labor cost of $</w:t>
      </w:r>
      <w:r w:rsidR="006325A1">
        <w:t>103.40</w:t>
      </w:r>
      <w:r w:rsidRPr="00C31575" w:rsidR="00C31575">
        <w:t xml:space="preserve">/hour. </w:t>
      </w:r>
      <w:r w:rsidRPr="00871E51">
        <w:t xml:space="preserve"> </w:t>
      </w:r>
    </w:p>
    <w:p w:rsidR="006E3E52" w:rsidP="006E3E52" w14:paraId="58F4E717" w14:textId="49E97558">
      <w:r>
        <w:t>B</w:t>
      </w:r>
      <w:r w:rsidRPr="00871E51">
        <w:t xml:space="preserve">ased on </w:t>
      </w:r>
      <w:r w:rsidR="001C1BD1">
        <w:t xml:space="preserve">submission </w:t>
      </w:r>
      <w:r w:rsidRPr="00871E51">
        <w:t>data from the CY 20</w:t>
      </w:r>
      <w:r w:rsidR="008F08EC">
        <w:t>2</w:t>
      </w:r>
      <w:r w:rsidR="00604C94">
        <w:t xml:space="preserve">2 </w:t>
      </w:r>
      <w:r w:rsidRPr="00871E51">
        <w:t>performance period/202</w:t>
      </w:r>
      <w:r w:rsidR="00604C94">
        <w:t>4</w:t>
      </w:r>
      <w:r w:rsidRPr="00871E51">
        <w:t xml:space="preserve"> MIPS payment </w:t>
      </w:r>
      <w:r w:rsidRPr="00871E51" w:rsidR="00F22B6C">
        <w:t>year,</w:t>
      </w:r>
      <w:r w:rsidR="00F22B6C">
        <w:t xml:space="preserve"> </w:t>
      </w:r>
      <w:r w:rsidRPr="00871E51" w:rsidR="00F22B6C">
        <w:t>and</w:t>
      </w:r>
      <w:r w:rsidR="001B63FA">
        <w:t xml:space="preserve"> accounting for the </w:t>
      </w:r>
      <w:r w:rsidR="00604C94">
        <w:t>finaliz</w:t>
      </w:r>
      <w:r w:rsidR="001B63FA">
        <w:t xml:space="preserve">ed changes to the existing MVPs and the </w:t>
      </w:r>
      <w:r w:rsidR="00604C94">
        <w:t>finaliz</w:t>
      </w:r>
      <w:r w:rsidR="00F13291">
        <w:t xml:space="preserve">ed </w:t>
      </w:r>
      <w:r w:rsidR="001B63FA">
        <w:t xml:space="preserve">addition of </w:t>
      </w:r>
      <w:r w:rsidR="00F13291">
        <w:t xml:space="preserve">5 </w:t>
      </w:r>
      <w:r w:rsidR="001B63FA">
        <w:t xml:space="preserve">new MVPs, we </w:t>
      </w:r>
      <w:r w:rsidR="004F4204">
        <w:t>estimate that 1</w:t>
      </w:r>
      <w:r w:rsidR="006325A1">
        <w:t>4</w:t>
      </w:r>
      <w:r w:rsidRPr="00871E51">
        <w:t xml:space="preserve"> percent of the clinicians that currently participate in MIPS will submit data for the measures and activities in an MVP</w:t>
      </w:r>
      <w:r w:rsidR="007A3879">
        <w:t xml:space="preserve">. </w:t>
      </w:r>
      <w:r w:rsidRPr="00871E51">
        <w:t>For the CY 202</w:t>
      </w:r>
      <w:r w:rsidR="006325A1">
        <w:t>4</w:t>
      </w:r>
      <w:r w:rsidRPr="00871E51">
        <w:t xml:space="preserve"> performance period/202</w:t>
      </w:r>
      <w:r w:rsidR="006325A1">
        <w:t>6</w:t>
      </w:r>
      <w:r w:rsidRPr="00871E51">
        <w:t xml:space="preserve"> MIPS payment year, we assume that a total of </w:t>
      </w:r>
      <w:r w:rsidR="002D3FF5">
        <w:t>9,</w:t>
      </w:r>
      <w:r w:rsidR="00B8196B">
        <w:t>58</w:t>
      </w:r>
      <w:r w:rsidR="002D3FF5">
        <w:t>5</w:t>
      </w:r>
      <w:r w:rsidRPr="00871E51">
        <w:t xml:space="preserve"> submissions w</w:t>
      </w:r>
      <w:r w:rsidR="00CE1593">
        <w:t>il</w:t>
      </w:r>
      <w:r w:rsidRPr="00871E51">
        <w:t xml:space="preserve">l be received for the measures and activities included in MVPs. This total includes our estimate of 20 </w:t>
      </w:r>
      <w:r w:rsidRPr="00871E51">
        <w:t xml:space="preserve">subgroup reporters that will also be reporting MVPs in addition to MVP reporters who currently participate in MIPS. Therefore, we </w:t>
      </w:r>
      <w:r w:rsidR="007C5725">
        <w:t>estimat</w:t>
      </w:r>
      <w:r w:rsidRPr="00871E51">
        <w:t xml:space="preserve">e that the total number of individual clinicians, groups, subgroups and APM Entities to complete the MVP registration process is </w:t>
      </w:r>
      <w:r w:rsidR="002D3FF5">
        <w:t>9</w:t>
      </w:r>
      <w:r w:rsidR="00FB0F0A">
        <w:t>,</w:t>
      </w:r>
      <w:r w:rsidR="00214444">
        <w:t>58</w:t>
      </w:r>
      <w:r w:rsidR="002D3FF5">
        <w:t>5</w:t>
      </w:r>
      <w:r w:rsidRPr="00871E51">
        <w:t xml:space="preserve">  </w:t>
      </w:r>
      <w:r w:rsidR="00B800E1">
        <w:t>As shown in Table 1</w:t>
      </w:r>
      <w:r w:rsidR="002D3FF5">
        <w:t>4</w:t>
      </w:r>
      <w:r w:rsidR="00B800E1">
        <w:t>, w</w:t>
      </w:r>
      <w:r w:rsidRPr="00871E51">
        <w:t xml:space="preserve">e estimate that </w:t>
      </w:r>
      <w:r w:rsidR="0035000E">
        <w:t>it w</w:t>
      </w:r>
      <w:r w:rsidR="00F31BE8">
        <w:t>ill</w:t>
      </w:r>
      <w:r w:rsidR="0035000E">
        <w:t xml:space="preserve"> </w:t>
      </w:r>
      <w:r w:rsidR="00FF315A">
        <w:t xml:space="preserve">take </w:t>
      </w:r>
      <w:r w:rsidR="002D3FF5">
        <w:t>2,</w:t>
      </w:r>
      <w:r w:rsidR="00F31BE8">
        <w:t>396</w:t>
      </w:r>
      <w:r w:rsidR="0035000E">
        <w:t xml:space="preserve"> hours</w:t>
      </w:r>
      <w:r w:rsidR="007F4712">
        <w:t xml:space="preserve"> (</w:t>
      </w:r>
      <w:r w:rsidR="002D3FF5">
        <w:t>9,</w:t>
      </w:r>
      <w:r w:rsidR="00F31BE8">
        <w:t>58</w:t>
      </w:r>
      <w:r w:rsidR="002D3FF5">
        <w:t>5</w:t>
      </w:r>
      <w:r w:rsidR="007F4712">
        <w:t xml:space="preserve"> </w:t>
      </w:r>
      <w:r w:rsidR="007222CB">
        <w:t>r</w:t>
      </w:r>
      <w:r w:rsidR="002D3FF5">
        <w:t>egistrations</w:t>
      </w:r>
      <w:r w:rsidR="007222CB">
        <w:t xml:space="preserve"> </w:t>
      </w:r>
      <w:r w:rsidRPr="003F6059" w:rsidR="007222CB">
        <w:rPr>
          <w:rFonts w:eastAsia="Calibri"/>
        </w:rPr>
        <w:t>x</w:t>
      </w:r>
      <w:r w:rsidR="007222CB">
        <w:rPr>
          <w:rFonts w:eastAsia="Calibri"/>
        </w:rPr>
        <w:t xml:space="preserve"> 0.25 hr/registration</w:t>
      </w:r>
      <w:r w:rsidR="007F4712">
        <w:t>)</w:t>
      </w:r>
      <w:r w:rsidR="0035000E">
        <w:t xml:space="preserve"> </w:t>
      </w:r>
      <w:r w:rsidR="00AB1AE3">
        <w:t>for</w:t>
      </w:r>
      <w:r w:rsidRPr="00871E51">
        <w:t xml:space="preserve"> individual</w:t>
      </w:r>
      <w:r w:rsidR="00955385">
        <w:t xml:space="preserve"> clinicians</w:t>
      </w:r>
      <w:r w:rsidR="00FF30DA">
        <w:t xml:space="preserve">, </w:t>
      </w:r>
      <w:r w:rsidRPr="00871E51">
        <w:t>groups</w:t>
      </w:r>
      <w:r w:rsidR="00955385">
        <w:t>, subgroups, and APM Entities</w:t>
      </w:r>
      <w:r w:rsidRPr="00871E51">
        <w:t xml:space="preserve"> </w:t>
      </w:r>
      <w:r w:rsidR="007222CB">
        <w:t>to complete</w:t>
      </w:r>
      <w:r w:rsidRPr="00871E51">
        <w:t xml:space="preserve"> the MVP registration process </w:t>
      </w:r>
      <w:r w:rsidR="007222CB">
        <w:t>at a cost of</w:t>
      </w:r>
      <w:r w:rsidRPr="00871E51">
        <w:t xml:space="preserve"> $</w:t>
      </w:r>
      <w:r w:rsidR="002D3FF5">
        <w:rPr>
          <w:color w:val="000000" w:themeColor="text1"/>
        </w:rPr>
        <w:t>2</w:t>
      </w:r>
      <w:r w:rsidR="00001272">
        <w:rPr>
          <w:color w:val="000000" w:themeColor="text1"/>
        </w:rPr>
        <w:t>47,772</w:t>
      </w:r>
      <w:r w:rsidR="00305884">
        <w:rPr>
          <w:color w:val="000000" w:themeColor="text1"/>
        </w:rPr>
        <w:t xml:space="preserve"> (</w:t>
      </w:r>
      <w:r w:rsidR="002D3FF5">
        <w:t>9,</w:t>
      </w:r>
      <w:r w:rsidR="00F31BE8">
        <w:t>58</w:t>
      </w:r>
      <w:r w:rsidR="002D3FF5">
        <w:t>5 registrations</w:t>
      </w:r>
      <w:r w:rsidR="00305884">
        <w:t xml:space="preserve"> </w:t>
      </w:r>
      <w:r w:rsidRPr="003F6059" w:rsidR="00305884">
        <w:rPr>
          <w:rFonts w:eastAsia="Calibri"/>
        </w:rPr>
        <w:t>x</w:t>
      </w:r>
      <w:r w:rsidR="00305884">
        <w:rPr>
          <w:rFonts w:eastAsia="Calibri"/>
        </w:rPr>
        <w:t xml:space="preserve"> </w:t>
      </w:r>
      <w:r w:rsidR="002D3FF5">
        <w:rPr>
          <w:rFonts w:eastAsia="Calibri"/>
        </w:rPr>
        <w:t>$25.85</w:t>
      </w:r>
      <w:r w:rsidR="00305884">
        <w:rPr>
          <w:rFonts w:eastAsia="Calibri"/>
        </w:rPr>
        <w:t>/</w:t>
      </w:r>
      <w:r w:rsidR="002D3FF5">
        <w:rPr>
          <w:rFonts w:eastAsia="Calibri"/>
        </w:rPr>
        <w:t>registration</w:t>
      </w:r>
      <w:r w:rsidR="00305884">
        <w:rPr>
          <w:color w:val="000000" w:themeColor="text1"/>
        </w:rPr>
        <w:t>)</w:t>
      </w:r>
      <w:r w:rsidR="00BD6D1A">
        <w:rPr>
          <w:color w:val="000000" w:themeColor="text1"/>
        </w:rPr>
        <w:t xml:space="preserve"> for the CY 202</w:t>
      </w:r>
      <w:r w:rsidR="00F13291">
        <w:rPr>
          <w:color w:val="000000" w:themeColor="text1"/>
        </w:rPr>
        <w:t>4</w:t>
      </w:r>
      <w:r w:rsidR="00BD6D1A">
        <w:rPr>
          <w:color w:val="000000" w:themeColor="text1"/>
        </w:rPr>
        <w:t xml:space="preserve"> performance period/202</w:t>
      </w:r>
      <w:r w:rsidR="00F13291">
        <w:rPr>
          <w:color w:val="000000" w:themeColor="text1"/>
        </w:rPr>
        <w:t>6</w:t>
      </w:r>
      <w:r w:rsidR="00BD6D1A">
        <w:rPr>
          <w:color w:val="000000" w:themeColor="text1"/>
        </w:rPr>
        <w:t xml:space="preserve"> MIPS payment year</w:t>
      </w:r>
      <w:r w:rsidRPr="00871E51">
        <w:t xml:space="preserve">. </w:t>
      </w:r>
    </w:p>
    <w:p w:rsidR="003F1DAF" w:rsidRPr="00CF538E" w:rsidP="00CF538E" w14:paraId="5859D628" w14:textId="2ACC771D">
      <w:pPr>
        <w:jc w:val="center"/>
        <w:rPr>
          <w:b/>
          <w:bCs/>
        </w:rPr>
      </w:pPr>
      <w:r w:rsidRPr="00871E51">
        <w:rPr>
          <w:b/>
          <w:bCs/>
        </w:rPr>
        <w:t xml:space="preserve">TABLE </w:t>
      </w:r>
      <w:r>
        <w:rPr>
          <w:b/>
          <w:bCs/>
        </w:rPr>
        <w:t>1</w:t>
      </w:r>
      <w:r w:rsidR="002208FC">
        <w:rPr>
          <w:b/>
          <w:bCs/>
        </w:rPr>
        <w:t>4</w:t>
      </w:r>
      <w:r w:rsidRPr="00871E51">
        <w:rPr>
          <w:b/>
          <w:bCs/>
        </w:rPr>
        <w:t>: Total Estimated Burden for MVP Registration (Individual clinicians, Groups, Subgroups and APM Entities)</w:t>
      </w:r>
      <w:r w:rsidR="000E57F6">
        <w:rPr>
          <w:b/>
          <w:bCs/>
        </w:rPr>
        <w:t xml:space="preserve"> </w:t>
      </w:r>
    </w:p>
    <w:tbl>
      <w:tblPr>
        <w:tblW w:w="9720" w:type="dxa"/>
        <w:tblLook w:val="04A0"/>
      </w:tblPr>
      <w:tblGrid>
        <w:gridCol w:w="6650"/>
        <w:gridCol w:w="3070"/>
      </w:tblGrid>
      <w:tr w14:paraId="6E351D79" w14:textId="77777777" w:rsidTr="00F37138">
        <w:tblPrEx>
          <w:tblW w:w="9720" w:type="dxa"/>
          <w:tblLook w:val="04A0"/>
        </w:tblPrEx>
        <w:trPr>
          <w:trHeight w:val="476"/>
        </w:trPr>
        <w:tc>
          <w:tcPr>
            <w:tcW w:w="6650"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rsidR="003F1DAF" w:rsidRPr="00871E51" w:rsidP="00467327" w14:paraId="0979AE5A" w14:textId="182C20EB">
            <w:pPr>
              <w:spacing w:after="0"/>
              <w:rPr>
                <w:color w:val="FFFFFF" w:themeColor="background1"/>
                <w:sz w:val="20"/>
                <w:szCs w:val="20"/>
              </w:rPr>
            </w:pPr>
            <w:r w:rsidRPr="00C351ED">
              <w:rPr>
                <w:b/>
                <w:sz w:val="20"/>
                <w:szCs w:val="20"/>
              </w:rPr>
              <w:t>Burden and Respondent Descriptions </w:t>
            </w:r>
          </w:p>
        </w:tc>
        <w:tc>
          <w:tcPr>
            <w:tcW w:w="3070" w:type="dxa"/>
            <w:tcBorders>
              <w:top w:val="single" w:sz="4" w:space="0" w:color="auto"/>
              <w:left w:val="nil"/>
              <w:bottom w:val="single" w:sz="4" w:space="0" w:color="auto"/>
              <w:right w:val="single" w:sz="8" w:space="0" w:color="000000" w:themeColor="text1"/>
            </w:tcBorders>
            <w:shd w:val="clear" w:color="auto" w:fill="FFFFFF" w:themeFill="background1"/>
            <w:vAlign w:val="center"/>
          </w:tcPr>
          <w:p w:rsidR="003F1DAF" w:rsidRPr="00B01445" w:rsidP="00467327" w14:paraId="1C2262CD" w14:textId="219523CE">
            <w:pPr>
              <w:jc w:val="center"/>
              <w:rPr>
                <w:b/>
                <w:bCs/>
                <w:sz w:val="20"/>
                <w:szCs w:val="20"/>
              </w:rPr>
            </w:pPr>
            <w:r w:rsidRPr="000724EF">
              <w:rPr>
                <w:b/>
                <w:bCs/>
                <w:sz w:val="20"/>
                <w:szCs w:val="20"/>
              </w:rPr>
              <w:t>Burden</w:t>
            </w:r>
            <w:r w:rsidR="00B01445">
              <w:rPr>
                <w:b/>
                <w:bCs/>
                <w:sz w:val="20"/>
                <w:szCs w:val="20"/>
              </w:rPr>
              <w:t xml:space="preserve"> </w:t>
            </w:r>
            <w:r w:rsidRPr="002E77D0" w:rsidR="002E77D0">
              <w:rPr>
                <w:b/>
                <w:bCs/>
                <w:sz w:val="20"/>
                <w:szCs w:val="20"/>
              </w:rPr>
              <w:t>Estimate</w:t>
            </w:r>
          </w:p>
        </w:tc>
      </w:tr>
      <w:tr w14:paraId="40BF9104" w14:textId="77777777" w:rsidTr="00F37138">
        <w:tblPrEx>
          <w:tblW w:w="9720" w:type="dxa"/>
          <w:tblLook w:val="04A0"/>
        </w:tblPrEx>
        <w:trPr>
          <w:trHeight w:val="539"/>
        </w:trPr>
        <w:tc>
          <w:tcPr>
            <w:tcW w:w="6650" w:type="dxa"/>
            <w:tcBorders>
              <w:top w:val="single" w:sz="4" w:space="0" w:color="auto"/>
              <w:left w:val="single" w:sz="8" w:space="0" w:color="000000" w:themeColor="text1"/>
              <w:bottom w:val="single" w:sz="4" w:space="0" w:color="auto"/>
              <w:right w:val="single" w:sz="8" w:space="0" w:color="000000" w:themeColor="text1"/>
            </w:tcBorders>
            <w:shd w:val="clear" w:color="auto" w:fill="auto"/>
            <w:vAlign w:val="center"/>
            <w:hideMark/>
          </w:tcPr>
          <w:p w:rsidR="003F1DAF" w:rsidRPr="00871E51" w:rsidP="00467327" w14:paraId="06B8A458" w14:textId="77777777">
            <w:pPr>
              <w:rPr>
                <w:color w:val="000000"/>
                <w:sz w:val="20"/>
                <w:szCs w:val="20"/>
              </w:rPr>
            </w:pPr>
            <w:r w:rsidRPr="00871E51">
              <w:rPr>
                <w:color w:val="000000"/>
                <w:sz w:val="20"/>
                <w:szCs w:val="20"/>
              </w:rPr>
              <w:t>Estimated # of Individual clinicians, groups, subgroups and APM Entities Registering (a)</w:t>
            </w:r>
          </w:p>
        </w:tc>
        <w:tc>
          <w:tcPr>
            <w:tcW w:w="3070" w:type="dxa"/>
            <w:tcBorders>
              <w:top w:val="single" w:sz="4" w:space="0" w:color="auto"/>
              <w:left w:val="nil"/>
              <w:bottom w:val="single" w:sz="4" w:space="0" w:color="auto"/>
              <w:right w:val="single" w:sz="8" w:space="0" w:color="000000" w:themeColor="text1"/>
            </w:tcBorders>
            <w:shd w:val="clear" w:color="auto" w:fill="auto"/>
            <w:vAlign w:val="center"/>
            <w:hideMark/>
          </w:tcPr>
          <w:p w:rsidR="003F1DAF" w:rsidRPr="00871E51" w:rsidP="00467327" w14:paraId="74858155" w14:textId="1C478198">
            <w:pPr>
              <w:jc w:val="right"/>
              <w:rPr>
                <w:color w:val="000000"/>
                <w:sz w:val="20"/>
                <w:szCs w:val="20"/>
              </w:rPr>
            </w:pPr>
            <w:r>
              <w:rPr>
                <w:color w:val="000000"/>
                <w:sz w:val="20"/>
                <w:szCs w:val="20"/>
              </w:rPr>
              <w:t>9,</w:t>
            </w:r>
            <w:r w:rsidR="00C31A85">
              <w:rPr>
                <w:color w:val="000000"/>
                <w:sz w:val="20"/>
                <w:szCs w:val="20"/>
              </w:rPr>
              <w:t>58</w:t>
            </w:r>
            <w:r>
              <w:rPr>
                <w:color w:val="000000"/>
                <w:sz w:val="20"/>
                <w:szCs w:val="20"/>
              </w:rPr>
              <w:t>5</w:t>
            </w:r>
          </w:p>
        </w:tc>
      </w:tr>
      <w:tr w14:paraId="13159143" w14:textId="77777777" w:rsidTr="00F37138">
        <w:tblPrEx>
          <w:tblW w:w="9720" w:type="dxa"/>
          <w:tblLook w:val="04A0"/>
        </w:tblPrEx>
        <w:trPr>
          <w:trHeight w:val="350"/>
        </w:trPr>
        <w:tc>
          <w:tcPr>
            <w:tcW w:w="665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rsidR="003F1DAF" w:rsidRPr="00871E51" w:rsidP="00467327" w14:paraId="102B191A" w14:textId="77777777">
            <w:pPr>
              <w:rPr>
                <w:color w:val="000000"/>
                <w:sz w:val="20"/>
                <w:szCs w:val="20"/>
              </w:rPr>
            </w:pPr>
            <w:r w:rsidRPr="00871E51">
              <w:rPr>
                <w:color w:val="000000"/>
                <w:sz w:val="20"/>
                <w:szCs w:val="20"/>
              </w:rPr>
              <w:t>Estimated Total Annual Burden Hours Per Registration (b)</w:t>
            </w:r>
          </w:p>
        </w:tc>
        <w:tc>
          <w:tcPr>
            <w:tcW w:w="3070" w:type="dxa"/>
            <w:tcBorders>
              <w:top w:val="single" w:sz="4" w:space="0" w:color="auto"/>
              <w:left w:val="nil"/>
              <w:bottom w:val="single" w:sz="8" w:space="0" w:color="000000" w:themeColor="text1"/>
              <w:right w:val="single" w:sz="8" w:space="0" w:color="000000" w:themeColor="text1"/>
            </w:tcBorders>
            <w:shd w:val="clear" w:color="auto" w:fill="auto"/>
            <w:vAlign w:val="center"/>
            <w:hideMark/>
          </w:tcPr>
          <w:p w:rsidR="003F1DAF" w:rsidRPr="00871E51" w:rsidP="00467327" w14:paraId="606EBB55" w14:textId="77777777">
            <w:pPr>
              <w:jc w:val="right"/>
              <w:rPr>
                <w:color w:val="000000"/>
                <w:sz w:val="20"/>
                <w:szCs w:val="20"/>
              </w:rPr>
            </w:pPr>
            <w:r w:rsidRPr="00871E51">
              <w:rPr>
                <w:color w:val="000000"/>
                <w:sz w:val="20"/>
                <w:szCs w:val="20"/>
              </w:rPr>
              <w:t>0.25</w:t>
            </w:r>
          </w:p>
        </w:tc>
      </w:tr>
      <w:tr w14:paraId="58A0D76B" w14:textId="77777777" w:rsidTr="00B936AA">
        <w:tblPrEx>
          <w:tblW w:w="9720" w:type="dxa"/>
          <w:tblLook w:val="04A0"/>
        </w:tblPrEx>
        <w:trPr>
          <w:trHeight w:val="520"/>
        </w:trPr>
        <w:tc>
          <w:tcPr>
            <w:tcW w:w="6650" w:type="dxa"/>
            <w:tcBorders>
              <w:top w:val="nil"/>
              <w:left w:val="single" w:sz="8" w:space="0" w:color="000000" w:themeColor="text1"/>
              <w:bottom w:val="single" w:sz="8" w:space="0" w:color="000000" w:themeColor="text1"/>
              <w:right w:val="single" w:sz="8" w:space="0" w:color="000000" w:themeColor="text1"/>
            </w:tcBorders>
            <w:shd w:val="clear" w:color="auto" w:fill="E7E6E6" w:themeFill="background2"/>
            <w:vAlign w:val="center"/>
            <w:hideMark/>
          </w:tcPr>
          <w:p w:rsidR="003F1DAF" w:rsidRPr="00871E51" w:rsidP="00467327" w14:paraId="3D72619A" w14:textId="587B1F94">
            <w:pPr>
              <w:rPr>
                <w:b/>
                <w:bCs/>
                <w:color w:val="000000"/>
                <w:sz w:val="20"/>
                <w:szCs w:val="20"/>
              </w:rPr>
            </w:pPr>
            <w:r w:rsidRPr="00871E51">
              <w:rPr>
                <w:b/>
                <w:bCs/>
                <w:color w:val="000000"/>
                <w:sz w:val="20"/>
                <w:szCs w:val="20"/>
              </w:rPr>
              <w:t>Estimated Total Annual Burden Hours for MVP</w:t>
            </w:r>
            <w:r w:rsidRPr="00871E51">
              <w:rPr>
                <w:b/>
                <w:bCs/>
                <w:color w:val="000000"/>
                <w:sz w:val="20"/>
                <w:szCs w:val="20"/>
              </w:rPr>
              <w:t xml:space="preserve"> </w:t>
            </w:r>
            <w:r w:rsidRPr="00871E51">
              <w:rPr>
                <w:b/>
                <w:bCs/>
                <w:color w:val="000000"/>
                <w:sz w:val="20"/>
                <w:szCs w:val="20"/>
              </w:rPr>
              <w:t xml:space="preserve">Registration (c) = (a) </w:t>
            </w:r>
            <w:r w:rsidR="00347945">
              <w:rPr>
                <w:b/>
                <w:bCs/>
                <w:color w:val="000000"/>
                <w:sz w:val="20"/>
                <w:szCs w:val="20"/>
              </w:rPr>
              <w:t>[</w:t>
            </w:r>
            <w:r w:rsidRPr="007922C3" w:rsidR="007922C3">
              <w:rPr>
                <w:b/>
                <w:bCs/>
                <w:color w:val="000000"/>
                <w:sz w:val="20"/>
                <w:szCs w:val="20"/>
              </w:rPr>
              <w:t>x</w:t>
            </w:r>
            <w:r w:rsidR="00347945">
              <w:rPr>
                <w:b/>
                <w:bCs/>
                <w:color w:val="000000"/>
                <w:sz w:val="20"/>
                <w:szCs w:val="20"/>
              </w:rPr>
              <w:t>]</w:t>
            </w:r>
            <w:r w:rsidRPr="007922C3" w:rsidR="007922C3">
              <w:rPr>
                <w:b/>
                <w:bCs/>
                <w:color w:val="000000"/>
                <w:sz w:val="20"/>
                <w:szCs w:val="20"/>
              </w:rPr>
              <w:t xml:space="preserve"> </w:t>
            </w:r>
            <w:r w:rsidRPr="00871E51">
              <w:rPr>
                <w:b/>
                <w:bCs/>
                <w:color w:val="000000"/>
                <w:sz w:val="20"/>
                <w:szCs w:val="20"/>
              </w:rPr>
              <w:t>(b)</w:t>
            </w:r>
          </w:p>
        </w:tc>
        <w:tc>
          <w:tcPr>
            <w:tcW w:w="3070" w:type="dxa"/>
            <w:tcBorders>
              <w:top w:val="nil"/>
              <w:left w:val="nil"/>
              <w:bottom w:val="single" w:sz="8" w:space="0" w:color="000000" w:themeColor="text1"/>
              <w:right w:val="single" w:sz="8" w:space="0" w:color="000000" w:themeColor="text1"/>
            </w:tcBorders>
            <w:shd w:val="clear" w:color="auto" w:fill="E7E6E6" w:themeFill="background2"/>
            <w:vAlign w:val="center"/>
            <w:hideMark/>
          </w:tcPr>
          <w:p w:rsidR="003F1DAF" w:rsidRPr="00871E51" w:rsidP="00467327" w14:paraId="68171581" w14:textId="7E4368C6">
            <w:pPr>
              <w:jc w:val="right"/>
              <w:rPr>
                <w:b/>
                <w:bCs/>
                <w:color w:val="000000"/>
                <w:sz w:val="20"/>
                <w:szCs w:val="20"/>
              </w:rPr>
            </w:pPr>
            <w:r>
              <w:rPr>
                <w:b/>
                <w:bCs/>
                <w:color w:val="000000"/>
                <w:sz w:val="20"/>
                <w:szCs w:val="20"/>
              </w:rPr>
              <w:t>2,</w:t>
            </w:r>
            <w:r w:rsidR="00C31A85">
              <w:rPr>
                <w:b/>
                <w:bCs/>
                <w:color w:val="000000"/>
                <w:sz w:val="20"/>
                <w:szCs w:val="20"/>
              </w:rPr>
              <w:t>396</w:t>
            </w:r>
          </w:p>
        </w:tc>
      </w:tr>
      <w:tr w14:paraId="28A62F01" w14:textId="77777777" w:rsidTr="00F37138">
        <w:tblPrEx>
          <w:tblW w:w="9720" w:type="dxa"/>
          <w:tblLook w:val="04A0"/>
        </w:tblPrEx>
        <w:trPr>
          <w:trHeight w:val="520"/>
        </w:trPr>
        <w:tc>
          <w:tcPr>
            <w:tcW w:w="6650"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3F1DAF" w:rsidRPr="00871E51" w:rsidP="00467327" w14:paraId="2D7510BE" w14:textId="65E7BE90">
            <w:pPr>
              <w:rPr>
                <w:color w:val="000000"/>
                <w:sz w:val="20"/>
                <w:szCs w:val="20"/>
              </w:rPr>
            </w:pPr>
            <w:r w:rsidRPr="00871E51">
              <w:rPr>
                <w:color w:val="000000"/>
                <w:sz w:val="20"/>
                <w:szCs w:val="20"/>
              </w:rPr>
              <w:t>Estimated Cost Per MVP (@ computer systems analyst’s labor rate of $</w:t>
            </w:r>
            <w:r w:rsidR="002208FC">
              <w:rPr>
                <w:color w:val="000000"/>
                <w:sz w:val="20"/>
                <w:szCs w:val="20"/>
              </w:rPr>
              <w:t>103.40</w:t>
            </w:r>
            <w:r w:rsidRPr="00871E51">
              <w:rPr>
                <w:color w:val="000000"/>
                <w:sz w:val="20"/>
                <w:szCs w:val="20"/>
              </w:rPr>
              <w:t>/hr. (d)</w:t>
            </w:r>
            <w:r w:rsidR="002208FC">
              <w:rPr>
                <w:color w:val="000000"/>
                <w:sz w:val="20"/>
                <w:szCs w:val="20"/>
              </w:rPr>
              <w:t xml:space="preserve"> = (b) [x] $103.40/hr</w:t>
            </w:r>
          </w:p>
        </w:tc>
        <w:tc>
          <w:tcPr>
            <w:tcW w:w="3070" w:type="dxa"/>
            <w:tcBorders>
              <w:top w:val="nil"/>
              <w:left w:val="nil"/>
              <w:bottom w:val="single" w:sz="8" w:space="0" w:color="000000" w:themeColor="text1"/>
              <w:right w:val="single" w:sz="8" w:space="0" w:color="000000" w:themeColor="text1"/>
            </w:tcBorders>
            <w:shd w:val="clear" w:color="auto" w:fill="auto"/>
            <w:vAlign w:val="center"/>
            <w:hideMark/>
          </w:tcPr>
          <w:p w:rsidR="003F1DAF" w:rsidRPr="00871E51" w:rsidP="00467327" w14:paraId="7F101FF0" w14:textId="4413A9E5">
            <w:pPr>
              <w:jc w:val="right"/>
              <w:rPr>
                <w:color w:val="000000"/>
                <w:sz w:val="20"/>
                <w:szCs w:val="20"/>
              </w:rPr>
            </w:pPr>
            <w:r>
              <w:rPr>
                <w:color w:val="000000"/>
                <w:sz w:val="20"/>
                <w:szCs w:val="20"/>
              </w:rPr>
              <w:t>$</w:t>
            </w:r>
            <w:r w:rsidR="002208FC">
              <w:rPr>
                <w:color w:val="000000"/>
                <w:sz w:val="20"/>
                <w:szCs w:val="20"/>
              </w:rPr>
              <w:t>25.85</w:t>
            </w:r>
          </w:p>
        </w:tc>
      </w:tr>
      <w:tr w14:paraId="486D4AA0" w14:textId="77777777" w:rsidTr="00B936AA">
        <w:tblPrEx>
          <w:tblW w:w="9720" w:type="dxa"/>
          <w:tblLook w:val="04A0"/>
        </w:tblPrEx>
        <w:trPr>
          <w:trHeight w:val="610"/>
        </w:trPr>
        <w:tc>
          <w:tcPr>
            <w:tcW w:w="6650" w:type="dxa"/>
            <w:tcBorders>
              <w:top w:val="nil"/>
              <w:left w:val="single" w:sz="8" w:space="0" w:color="000000" w:themeColor="text1"/>
              <w:bottom w:val="single" w:sz="8" w:space="0" w:color="000000" w:themeColor="text1"/>
              <w:right w:val="single" w:sz="8" w:space="0" w:color="000000" w:themeColor="text1"/>
            </w:tcBorders>
            <w:shd w:val="clear" w:color="auto" w:fill="E7E6E6" w:themeFill="background2"/>
            <w:vAlign w:val="center"/>
            <w:hideMark/>
          </w:tcPr>
          <w:p w:rsidR="003F1DAF" w:rsidRPr="00871E51" w:rsidP="00467327" w14:paraId="0A65F3BC" w14:textId="41697C06">
            <w:pPr>
              <w:rPr>
                <w:b/>
                <w:bCs/>
                <w:color w:val="000000"/>
                <w:sz w:val="20"/>
                <w:szCs w:val="20"/>
              </w:rPr>
            </w:pPr>
            <w:r w:rsidRPr="00871E51">
              <w:rPr>
                <w:b/>
                <w:bCs/>
                <w:color w:val="000000"/>
                <w:sz w:val="20"/>
                <w:szCs w:val="20"/>
              </w:rPr>
              <w:t>Estimated Total Annual Burden Cost for MVP Registration (e) = (</w:t>
            </w:r>
            <w:r w:rsidR="002208FC">
              <w:rPr>
                <w:b/>
                <w:bCs/>
                <w:color w:val="000000"/>
                <w:sz w:val="20"/>
                <w:szCs w:val="20"/>
              </w:rPr>
              <w:t>a</w:t>
            </w:r>
            <w:r w:rsidRPr="00871E51">
              <w:rPr>
                <w:b/>
                <w:bCs/>
                <w:color w:val="000000"/>
                <w:sz w:val="20"/>
                <w:szCs w:val="20"/>
              </w:rPr>
              <w:t>)</w:t>
            </w:r>
            <w:r w:rsidR="0014637A">
              <w:t xml:space="preserve"> </w:t>
            </w:r>
            <w:r w:rsidRPr="00347945" w:rsidR="00347945">
              <w:rPr>
                <w:sz w:val="20"/>
                <w:szCs w:val="20"/>
              </w:rPr>
              <w:t>[</w:t>
            </w:r>
            <w:r w:rsidRPr="00347945" w:rsidR="0014637A">
              <w:rPr>
                <w:b/>
                <w:bCs/>
                <w:color w:val="000000"/>
                <w:sz w:val="20"/>
                <w:szCs w:val="20"/>
              </w:rPr>
              <w:t>x</w:t>
            </w:r>
            <w:r w:rsidRPr="00347945" w:rsidR="00347945">
              <w:rPr>
                <w:b/>
                <w:bCs/>
                <w:color w:val="000000"/>
                <w:sz w:val="20"/>
                <w:szCs w:val="20"/>
              </w:rPr>
              <w:t>]</w:t>
            </w:r>
            <w:r w:rsidRPr="00871E51">
              <w:rPr>
                <w:b/>
                <w:bCs/>
                <w:color w:val="000000"/>
                <w:sz w:val="20"/>
                <w:szCs w:val="20"/>
              </w:rPr>
              <w:t xml:space="preserve"> (d)</w:t>
            </w:r>
          </w:p>
        </w:tc>
        <w:tc>
          <w:tcPr>
            <w:tcW w:w="3070" w:type="dxa"/>
            <w:tcBorders>
              <w:top w:val="nil"/>
              <w:left w:val="nil"/>
              <w:bottom w:val="single" w:sz="8" w:space="0" w:color="000000" w:themeColor="text1"/>
              <w:right w:val="single" w:sz="8" w:space="0" w:color="000000" w:themeColor="text1"/>
            </w:tcBorders>
            <w:shd w:val="clear" w:color="auto" w:fill="E7E6E6" w:themeFill="background2"/>
            <w:vAlign w:val="center"/>
            <w:hideMark/>
          </w:tcPr>
          <w:p w:rsidR="003F1DAF" w:rsidRPr="00871E51" w:rsidP="00467327" w14:paraId="044439E2" w14:textId="7B177BD9">
            <w:pPr>
              <w:jc w:val="right"/>
              <w:rPr>
                <w:b/>
                <w:bCs/>
                <w:color w:val="000000"/>
                <w:sz w:val="20"/>
                <w:szCs w:val="20"/>
              </w:rPr>
            </w:pPr>
            <w:r w:rsidRPr="00871E51">
              <w:rPr>
                <w:b/>
                <w:bCs/>
                <w:color w:val="000000" w:themeColor="text1"/>
                <w:sz w:val="20"/>
                <w:szCs w:val="20"/>
              </w:rPr>
              <w:t>$</w:t>
            </w:r>
            <w:r w:rsidR="002208FC">
              <w:rPr>
                <w:b/>
                <w:bCs/>
                <w:color w:val="000000" w:themeColor="text1"/>
                <w:sz w:val="20"/>
                <w:szCs w:val="20"/>
              </w:rPr>
              <w:t>2</w:t>
            </w:r>
            <w:r w:rsidR="00C31A85">
              <w:rPr>
                <w:b/>
                <w:bCs/>
                <w:color w:val="000000" w:themeColor="text1"/>
                <w:sz w:val="20"/>
                <w:szCs w:val="20"/>
              </w:rPr>
              <w:t>47,772</w:t>
            </w:r>
          </w:p>
        </w:tc>
      </w:tr>
    </w:tbl>
    <w:p w:rsidR="00B46A0D" w:rsidP="0011028A" w14:paraId="45FC4A11" w14:textId="77777777">
      <w:pPr>
        <w:pStyle w:val="Heading3"/>
        <w:numPr>
          <w:ilvl w:val="0"/>
          <w:numId w:val="0"/>
        </w:numPr>
        <w:ind w:left="2160"/>
      </w:pPr>
    </w:p>
    <w:p w:rsidR="006E3E52" w:rsidRPr="006F2CBD" w:rsidP="0011028A" w14:paraId="1AC02916" w14:textId="360A58C5">
      <w:pPr>
        <w:pStyle w:val="Heading3"/>
        <w:numPr>
          <w:ilvl w:val="0"/>
          <w:numId w:val="0"/>
        </w:numPr>
        <w:ind w:left="2160"/>
        <w:rPr>
          <w:rStyle w:val="Heading4Char"/>
        </w:rPr>
      </w:pPr>
      <w:r>
        <w:t>ii</w:t>
      </w:r>
      <w:r w:rsidR="00F17655">
        <w:t>.</w:t>
      </w:r>
      <w:r w:rsidR="00E73765">
        <w:t xml:space="preserve"> </w:t>
      </w:r>
      <w:r>
        <w:t xml:space="preserve"> </w:t>
      </w:r>
      <w:r w:rsidRPr="006F2CBD">
        <w:rPr>
          <w:rStyle w:val="Heading4Char"/>
        </w:rPr>
        <w:t>Burden for Subgroup Registration</w:t>
      </w:r>
    </w:p>
    <w:p w:rsidR="00D872CB" w:rsidP="00F17655" w14:paraId="48CB2B56" w14:textId="77777777">
      <w:r w:rsidRPr="00871E51">
        <w:t>In th</w:t>
      </w:r>
      <w:r>
        <w:t xml:space="preserve">e CY 2022 PFS </w:t>
      </w:r>
      <w:r w:rsidR="002E2F62">
        <w:t>final</w:t>
      </w:r>
      <w:r w:rsidRPr="00871E51" w:rsidR="002E2F62">
        <w:t xml:space="preserve"> </w:t>
      </w:r>
      <w:r w:rsidRPr="00871E51">
        <w:t xml:space="preserve">rule, we </w:t>
      </w:r>
      <w:r w:rsidR="00D655F7">
        <w:t>finalize</w:t>
      </w:r>
      <w:r w:rsidR="00072469">
        <w:t>d</w:t>
      </w:r>
      <w:r w:rsidRPr="00871E51">
        <w:t xml:space="preserve"> to define a subgroup at § 414.1305 as a subset of a group, as identified by a combination of the group TIN, the subgroup identifier, and each eligible clinician’s NPI. In addition to the burden for MVP registration process described above</w:t>
      </w:r>
      <w:r>
        <w:t xml:space="preserve"> in Table 1</w:t>
      </w:r>
      <w:r w:rsidR="00C624E6">
        <w:t>2</w:t>
      </w:r>
      <w:r w:rsidRPr="00871E51">
        <w:t>, clinicians who choose to form subgroups for reporting the MVPs w</w:t>
      </w:r>
      <w:r w:rsidR="00CD6E93">
        <w:t>ill</w:t>
      </w:r>
      <w:r w:rsidRPr="00871E51">
        <w:t xml:space="preserve"> need to submit a list of each TIN/NPI associated with the subgroup and a plain language name for the subgroup in a manner specified by CMS, </w:t>
      </w:r>
      <w:r w:rsidR="00B766BA">
        <w:t xml:space="preserve">as </w:t>
      </w:r>
      <w:r w:rsidRPr="00871E51">
        <w:t>described in th</w:t>
      </w:r>
      <w:r w:rsidR="00B766BA">
        <w:t xml:space="preserve">e CY 2022 PFS </w:t>
      </w:r>
      <w:r w:rsidR="00C502FE">
        <w:t>final</w:t>
      </w:r>
      <w:r w:rsidRPr="00871E51">
        <w:t xml:space="preserve"> rule</w:t>
      </w:r>
      <w:r w:rsidR="00D42C6D">
        <w:t xml:space="preserve"> (</w:t>
      </w:r>
      <w:r w:rsidR="00B46BAC">
        <w:t xml:space="preserve">86 FR </w:t>
      </w:r>
      <w:r w:rsidR="00ED23C1">
        <w:t>65415 through 65418</w:t>
      </w:r>
      <w:r w:rsidR="00D42C6D">
        <w:t>)</w:t>
      </w:r>
      <w:r w:rsidRPr="00871E51">
        <w:t>.</w:t>
      </w:r>
      <w:r w:rsidR="00C9198F">
        <w:t xml:space="preserve"> For the CY 202</w:t>
      </w:r>
      <w:r w:rsidR="00511864">
        <w:t>4</w:t>
      </w:r>
      <w:r w:rsidR="00C9198F">
        <w:t xml:space="preserve"> performance period/202</w:t>
      </w:r>
      <w:r w:rsidR="00511864">
        <w:t>6</w:t>
      </w:r>
      <w:r w:rsidR="00C9198F">
        <w:t xml:space="preserve"> MIPS payment year, we</w:t>
      </w:r>
      <w:r w:rsidRPr="00871E51" w:rsidR="00C9198F">
        <w:t xml:space="preserve"> estimate that clinicians would choose to form 20 subgroups for reporting the measures and activities in MVPs</w:t>
      </w:r>
      <w:r w:rsidR="00F7327B">
        <w:t xml:space="preserve"> and that it</w:t>
      </w:r>
      <w:r w:rsidRPr="00871E51" w:rsidR="00C9198F">
        <w:t xml:space="preserve"> would require a minimum of 0.5 hours per subgroup respondent to submit the </w:t>
      </w:r>
      <w:r w:rsidR="009E5E79">
        <w:t>finalized</w:t>
      </w:r>
      <w:r w:rsidRPr="00871E51" w:rsidR="009E5E79">
        <w:t xml:space="preserve"> </w:t>
      </w:r>
      <w:r w:rsidRPr="00871E51" w:rsidR="00C9198F">
        <w:t xml:space="preserve">requirements for subgroup registration.  </w:t>
      </w:r>
    </w:p>
    <w:p w:rsidR="00C9198F" w:rsidRPr="00871E51" w:rsidP="00F17655" w14:paraId="5B41D686" w14:textId="313491D3">
      <w:r>
        <w:t>As shown in Table 1</w:t>
      </w:r>
      <w:r w:rsidR="00511864">
        <w:t>5</w:t>
      </w:r>
      <w:r>
        <w:t xml:space="preserve"> below, w</w:t>
      </w:r>
      <w:r w:rsidRPr="00871E51">
        <w:t>e assume that the staff involved in the subgroup registration process will mainly be computer systems analysts or their equivalent, who have an average labor cost of $</w:t>
      </w:r>
      <w:r w:rsidR="00511864">
        <w:t>103.40</w:t>
      </w:r>
      <w:r w:rsidRPr="00871E51">
        <w:t xml:space="preserve">/hr. </w:t>
      </w:r>
      <w:r w:rsidR="000A7ECC">
        <w:t>In aggregate, w</w:t>
      </w:r>
      <w:r w:rsidR="00DA298E">
        <w:t>e estim</w:t>
      </w:r>
      <w:r w:rsidR="000A7ECC">
        <w:t>ate that it will take 10 hours (20 subgroups</w:t>
      </w:r>
      <w:r w:rsidR="0090340C">
        <w:t xml:space="preserve"> </w:t>
      </w:r>
      <w:r w:rsidRPr="003F6059" w:rsidR="0090340C">
        <w:rPr>
          <w:rFonts w:eastAsia="Calibri"/>
        </w:rPr>
        <w:t>x</w:t>
      </w:r>
      <w:r w:rsidR="0090340C">
        <w:rPr>
          <w:rFonts w:eastAsia="Calibri"/>
        </w:rPr>
        <w:t xml:space="preserve"> </w:t>
      </w:r>
      <w:r w:rsidR="007A46EE">
        <w:rPr>
          <w:rFonts w:eastAsia="Calibri"/>
        </w:rPr>
        <w:t>0.5 hr/subgroup</w:t>
      </w:r>
      <w:r w:rsidR="000A7ECC">
        <w:t xml:space="preserve">) </w:t>
      </w:r>
      <w:r w:rsidR="007A46EE">
        <w:t>to</w:t>
      </w:r>
      <w:r w:rsidR="000A7ECC">
        <w:t xml:space="preserve"> </w:t>
      </w:r>
      <w:r w:rsidR="00DA298E">
        <w:t xml:space="preserve">complete the subgroup registration process </w:t>
      </w:r>
      <w:r w:rsidR="00560FDE">
        <w:t>at a cost of</w:t>
      </w:r>
      <w:r w:rsidR="00DA298E">
        <w:t xml:space="preserve"> $</w:t>
      </w:r>
      <w:r w:rsidR="00511864">
        <w:t>1,034</w:t>
      </w:r>
      <w:r w:rsidR="00DA298E">
        <w:t xml:space="preserve"> (</w:t>
      </w:r>
      <w:r w:rsidR="001B0110">
        <w:t>20 subgroups</w:t>
      </w:r>
      <w:r w:rsidR="00560FDE">
        <w:t xml:space="preserve"> </w:t>
      </w:r>
      <w:r w:rsidRPr="003F6059" w:rsidR="00560FDE">
        <w:rPr>
          <w:rFonts w:eastAsia="Calibri"/>
        </w:rPr>
        <w:t>x</w:t>
      </w:r>
      <w:r w:rsidR="00560FDE">
        <w:rPr>
          <w:rFonts w:eastAsia="Calibri"/>
        </w:rPr>
        <w:t xml:space="preserve"> </w:t>
      </w:r>
      <w:r w:rsidR="001B0110">
        <w:rPr>
          <w:rFonts w:eastAsia="Calibri"/>
        </w:rPr>
        <w:t>$51.70</w:t>
      </w:r>
      <w:r w:rsidR="00560FDE">
        <w:rPr>
          <w:rFonts w:eastAsia="Calibri"/>
        </w:rPr>
        <w:t>/</w:t>
      </w:r>
      <w:r w:rsidR="001B0110">
        <w:rPr>
          <w:rFonts w:eastAsia="Calibri"/>
        </w:rPr>
        <w:t>registration</w:t>
      </w:r>
      <w:r w:rsidR="00DA298E">
        <w:t>)</w:t>
      </w:r>
      <w:r w:rsidR="00072469">
        <w:t>.</w:t>
      </w:r>
    </w:p>
    <w:p w:rsidR="00196858" w:rsidP="00E53E05" w14:paraId="24794FE0" w14:textId="22272CD7">
      <w:r w:rsidRPr="00871E51">
        <w:t>As subgroup</w:t>
      </w:r>
      <w:r w:rsidR="00F23744">
        <w:t xml:space="preserve"> participation option is only available </w:t>
      </w:r>
      <w:r w:rsidR="00C42ACD">
        <w:t>to</w:t>
      </w:r>
      <w:r w:rsidRPr="00871E51">
        <w:t xml:space="preserve"> report MVPs, the burden associated with subgroup reporting </w:t>
      </w:r>
      <w:r w:rsidR="00630078">
        <w:t xml:space="preserve">of the quality performance category </w:t>
      </w:r>
      <w:r w:rsidRPr="00871E51">
        <w:t>will be included with the MVP quality reporting ICR. Burden associated with subgroup submissions for Promoting Interoperability and improvement activities will be included with those ICRs.</w:t>
      </w:r>
    </w:p>
    <w:p w:rsidR="00C9198F" w:rsidRPr="00871E51" w:rsidP="007F64F4" w14:paraId="07CFCA32" w14:textId="315B546A">
      <w:pPr>
        <w:keepNext/>
        <w:keepLines/>
        <w:jc w:val="center"/>
      </w:pPr>
      <w:r w:rsidRPr="00871E51">
        <w:rPr>
          <w:b/>
          <w:bCs/>
        </w:rPr>
        <w:t xml:space="preserve">TABLE </w:t>
      </w:r>
      <w:r>
        <w:rPr>
          <w:b/>
          <w:bCs/>
        </w:rPr>
        <w:t>1</w:t>
      </w:r>
      <w:r w:rsidR="00511864">
        <w:rPr>
          <w:b/>
          <w:bCs/>
        </w:rPr>
        <w:t>5</w:t>
      </w:r>
      <w:r w:rsidRPr="00871E51">
        <w:rPr>
          <w:b/>
          <w:bCs/>
        </w:rPr>
        <w:t xml:space="preserve">: </w:t>
      </w:r>
      <w:r>
        <w:rPr>
          <w:b/>
          <w:bCs/>
        </w:rPr>
        <w:t xml:space="preserve"> </w:t>
      </w:r>
      <w:r w:rsidRPr="00871E51">
        <w:rPr>
          <w:b/>
          <w:bCs/>
        </w:rPr>
        <w:t xml:space="preserve">Total Estimated Burden for Subgroup Registration </w:t>
      </w:r>
    </w:p>
    <w:tbl>
      <w:tblPr>
        <w:tblW w:w="9720" w:type="dxa"/>
        <w:tblInd w:w="-10" w:type="dxa"/>
        <w:tblLook w:val="04A0"/>
      </w:tblPr>
      <w:tblGrid>
        <w:gridCol w:w="7560"/>
        <w:gridCol w:w="2160"/>
      </w:tblGrid>
      <w:tr w14:paraId="182436E2" w14:textId="77777777" w:rsidTr="007F64F4">
        <w:tblPrEx>
          <w:tblW w:w="9720" w:type="dxa"/>
          <w:tblInd w:w="-10" w:type="dxa"/>
          <w:tblLook w:val="04A0"/>
        </w:tblPrEx>
        <w:trPr>
          <w:cantSplit/>
          <w:trHeight w:val="314"/>
          <w:tblHeader/>
        </w:trPr>
        <w:tc>
          <w:tcPr>
            <w:tcW w:w="7560" w:type="dxa"/>
            <w:tcBorders>
              <w:top w:val="single" w:sz="4" w:space="0" w:color="auto"/>
              <w:left w:val="single" w:sz="8" w:space="0" w:color="000000"/>
              <w:bottom w:val="single" w:sz="4" w:space="0" w:color="auto"/>
              <w:right w:val="single" w:sz="8" w:space="0" w:color="000000"/>
            </w:tcBorders>
            <w:shd w:val="clear" w:color="auto" w:fill="FFFFFF" w:themeFill="background1"/>
            <w:vAlign w:val="center"/>
          </w:tcPr>
          <w:p w:rsidR="00830CFC" w:rsidRPr="00EC6F6D" w:rsidP="00580609" w14:paraId="70DD3538" w14:textId="2E26E69C">
            <w:pPr>
              <w:keepNext/>
              <w:keepLines/>
              <w:rPr>
                <w:b/>
                <w:bCs/>
                <w:color w:val="FFFFFF" w:themeColor="background1"/>
                <w:sz w:val="20"/>
                <w:szCs w:val="20"/>
              </w:rPr>
            </w:pPr>
            <w:r w:rsidRPr="00EC6F6D">
              <w:rPr>
                <w:b/>
                <w:sz w:val="20"/>
                <w:szCs w:val="20"/>
              </w:rPr>
              <w:t>Burden and Respondent Descriptions</w:t>
            </w:r>
          </w:p>
        </w:tc>
        <w:tc>
          <w:tcPr>
            <w:tcW w:w="2160" w:type="dxa"/>
            <w:tcBorders>
              <w:top w:val="single" w:sz="4" w:space="0" w:color="auto"/>
              <w:left w:val="nil"/>
              <w:bottom w:val="single" w:sz="4" w:space="0" w:color="auto"/>
              <w:right w:val="single" w:sz="8" w:space="0" w:color="000000"/>
            </w:tcBorders>
            <w:shd w:val="clear" w:color="auto" w:fill="FFFFFF" w:themeFill="background1"/>
            <w:vAlign w:val="center"/>
          </w:tcPr>
          <w:p w:rsidR="00830CFC" w:rsidRPr="00B01445" w:rsidP="007F64F4" w14:paraId="714FA971" w14:textId="2D177DCA">
            <w:pPr>
              <w:keepNext/>
              <w:keepLines/>
              <w:jc w:val="center"/>
              <w:rPr>
                <w:b/>
                <w:bCs/>
                <w:sz w:val="20"/>
                <w:szCs w:val="20"/>
              </w:rPr>
            </w:pPr>
            <w:r w:rsidRPr="00EC6F6D">
              <w:rPr>
                <w:b/>
                <w:bCs/>
                <w:sz w:val="20"/>
                <w:szCs w:val="20"/>
              </w:rPr>
              <w:t>Burden</w:t>
            </w:r>
            <w:r w:rsidR="00B01445">
              <w:rPr>
                <w:b/>
                <w:bCs/>
                <w:sz w:val="20"/>
                <w:szCs w:val="20"/>
              </w:rPr>
              <w:t xml:space="preserve"> </w:t>
            </w:r>
            <w:r w:rsidRPr="00EC6F6D">
              <w:rPr>
                <w:b/>
                <w:bCs/>
                <w:sz w:val="20"/>
                <w:szCs w:val="20"/>
              </w:rPr>
              <w:t>Estimate</w:t>
            </w:r>
          </w:p>
        </w:tc>
      </w:tr>
      <w:tr w14:paraId="0FB44347" w14:textId="77777777" w:rsidTr="007F64F4">
        <w:tblPrEx>
          <w:tblW w:w="9720" w:type="dxa"/>
          <w:tblInd w:w="-10" w:type="dxa"/>
          <w:tblLook w:val="04A0"/>
        </w:tblPrEx>
        <w:trPr>
          <w:cantSplit/>
          <w:trHeight w:val="323"/>
        </w:trPr>
        <w:tc>
          <w:tcPr>
            <w:tcW w:w="756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30CFC" w:rsidRPr="00871E51" w:rsidP="007F64F4" w14:paraId="405A460E" w14:textId="19BFB167">
            <w:pPr>
              <w:keepNext/>
              <w:keepLines/>
              <w:rPr>
                <w:color w:val="000000"/>
                <w:sz w:val="20"/>
                <w:szCs w:val="20"/>
              </w:rPr>
            </w:pPr>
            <w:r w:rsidRPr="00871E51">
              <w:rPr>
                <w:color w:val="000000"/>
                <w:sz w:val="20"/>
                <w:szCs w:val="20"/>
              </w:rPr>
              <w:t>Estimated # of Subgroups Registering</w:t>
            </w:r>
            <w:r w:rsidR="006A5EE1">
              <w:rPr>
                <w:color w:val="000000"/>
                <w:sz w:val="20"/>
                <w:szCs w:val="20"/>
              </w:rPr>
              <w:t xml:space="preserve"> </w:t>
            </w:r>
            <w:r w:rsidRPr="00871E51">
              <w:rPr>
                <w:color w:val="000000"/>
                <w:sz w:val="20"/>
                <w:szCs w:val="20"/>
              </w:rPr>
              <w:t>(a)</w:t>
            </w:r>
          </w:p>
        </w:tc>
        <w:tc>
          <w:tcPr>
            <w:tcW w:w="2160" w:type="dxa"/>
            <w:tcBorders>
              <w:top w:val="single" w:sz="4" w:space="0" w:color="auto"/>
              <w:left w:val="nil"/>
              <w:bottom w:val="single" w:sz="4" w:space="0" w:color="auto"/>
              <w:right w:val="single" w:sz="8" w:space="0" w:color="000000"/>
            </w:tcBorders>
            <w:shd w:val="clear" w:color="auto" w:fill="auto"/>
            <w:vAlign w:val="center"/>
            <w:hideMark/>
          </w:tcPr>
          <w:p w:rsidR="00830CFC" w:rsidRPr="00871E51" w:rsidP="007F64F4" w14:paraId="623E6BA3" w14:textId="77777777">
            <w:pPr>
              <w:keepNext/>
              <w:keepLines/>
              <w:jc w:val="right"/>
              <w:rPr>
                <w:color w:val="000000"/>
                <w:sz w:val="20"/>
                <w:szCs w:val="20"/>
              </w:rPr>
            </w:pPr>
            <w:r w:rsidRPr="00871E51">
              <w:rPr>
                <w:color w:val="000000"/>
                <w:sz w:val="20"/>
                <w:szCs w:val="20"/>
              </w:rPr>
              <w:t>20</w:t>
            </w:r>
          </w:p>
        </w:tc>
      </w:tr>
      <w:tr w14:paraId="6E3918F3" w14:textId="77777777" w:rsidTr="007F64F4">
        <w:tblPrEx>
          <w:tblW w:w="9720" w:type="dxa"/>
          <w:tblInd w:w="-10" w:type="dxa"/>
          <w:tblLook w:val="04A0"/>
        </w:tblPrEx>
        <w:trPr>
          <w:cantSplit/>
          <w:trHeight w:val="440"/>
        </w:trPr>
        <w:tc>
          <w:tcPr>
            <w:tcW w:w="756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830CFC" w:rsidRPr="00871E51" w:rsidP="00830CFC" w14:paraId="1185C653" w14:textId="77777777">
            <w:pPr>
              <w:rPr>
                <w:color w:val="000000"/>
                <w:sz w:val="20"/>
                <w:szCs w:val="20"/>
              </w:rPr>
            </w:pPr>
            <w:r w:rsidRPr="00871E51">
              <w:rPr>
                <w:color w:val="000000"/>
                <w:sz w:val="20"/>
                <w:szCs w:val="20"/>
              </w:rPr>
              <w:t>Estimated Total Annual Burden Hours Per Subgroup (b)</w:t>
            </w:r>
          </w:p>
        </w:tc>
        <w:tc>
          <w:tcPr>
            <w:tcW w:w="2160" w:type="dxa"/>
            <w:tcBorders>
              <w:top w:val="single" w:sz="4" w:space="0" w:color="auto"/>
              <w:left w:val="nil"/>
              <w:bottom w:val="single" w:sz="8" w:space="0" w:color="000000"/>
              <w:right w:val="single" w:sz="8" w:space="0" w:color="000000"/>
            </w:tcBorders>
            <w:shd w:val="clear" w:color="auto" w:fill="auto"/>
            <w:vAlign w:val="center"/>
            <w:hideMark/>
          </w:tcPr>
          <w:p w:rsidR="00830CFC" w:rsidRPr="00871E51" w:rsidP="00830CFC" w14:paraId="54161539" w14:textId="77777777">
            <w:pPr>
              <w:jc w:val="right"/>
              <w:rPr>
                <w:color w:val="000000"/>
                <w:sz w:val="20"/>
                <w:szCs w:val="20"/>
              </w:rPr>
            </w:pPr>
            <w:r w:rsidRPr="00871E51">
              <w:rPr>
                <w:color w:val="000000"/>
                <w:sz w:val="20"/>
                <w:szCs w:val="20"/>
              </w:rPr>
              <w:t xml:space="preserve">0.5 </w:t>
            </w:r>
          </w:p>
        </w:tc>
      </w:tr>
      <w:tr w14:paraId="023BBBBA" w14:textId="77777777" w:rsidTr="00B936AA">
        <w:tblPrEx>
          <w:tblW w:w="9720" w:type="dxa"/>
          <w:tblInd w:w="-10" w:type="dxa"/>
          <w:tblLook w:val="04A0"/>
        </w:tblPrEx>
        <w:trPr>
          <w:cantSplit/>
          <w:trHeight w:val="430"/>
        </w:trPr>
        <w:tc>
          <w:tcPr>
            <w:tcW w:w="7560" w:type="dxa"/>
            <w:tcBorders>
              <w:top w:val="nil"/>
              <w:left w:val="single" w:sz="8" w:space="0" w:color="000000"/>
              <w:bottom w:val="single" w:sz="8" w:space="0" w:color="000000"/>
              <w:right w:val="single" w:sz="8" w:space="0" w:color="000000"/>
            </w:tcBorders>
            <w:shd w:val="clear" w:color="auto" w:fill="E7E6E6" w:themeFill="background2"/>
            <w:vAlign w:val="center"/>
            <w:hideMark/>
          </w:tcPr>
          <w:p w:rsidR="00830CFC" w:rsidRPr="00871E51" w:rsidP="00830CFC" w14:paraId="1F7F1C0A" w14:textId="68854413">
            <w:pPr>
              <w:rPr>
                <w:b/>
                <w:bCs/>
                <w:color w:val="000000"/>
                <w:sz w:val="20"/>
                <w:szCs w:val="20"/>
              </w:rPr>
            </w:pPr>
            <w:r w:rsidRPr="00871E51">
              <w:rPr>
                <w:b/>
                <w:bCs/>
                <w:color w:val="000000"/>
                <w:sz w:val="20"/>
                <w:szCs w:val="20"/>
              </w:rPr>
              <w:t xml:space="preserve">Estimated Total Annual Burden Hours for Subgroup Reporting (c) = (a) </w:t>
            </w:r>
            <w:r w:rsidR="00EC0526">
              <w:rPr>
                <w:b/>
                <w:bCs/>
                <w:color w:val="000000"/>
                <w:sz w:val="20"/>
                <w:szCs w:val="20"/>
              </w:rPr>
              <w:t>[</w:t>
            </w:r>
            <w:r w:rsidRPr="00D05F9E" w:rsidR="00D05F9E">
              <w:rPr>
                <w:b/>
                <w:bCs/>
                <w:color w:val="000000"/>
                <w:sz w:val="20"/>
                <w:szCs w:val="20"/>
              </w:rPr>
              <w:t>x</w:t>
            </w:r>
            <w:r w:rsidR="00EC0526">
              <w:rPr>
                <w:b/>
                <w:bCs/>
                <w:color w:val="000000"/>
                <w:sz w:val="20"/>
                <w:szCs w:val="20"/>
              </w:rPr>
              <w:t>]</w:t>
            </w:r>
            <w:r w:rsidRPr="00D05F9E" w:rsidR="00D05F9E">
              <w:rPr>
                <w:b/>
                <w:bCs/>
                <w:color w:val="000000"/>
                <w:sz w:val="20"/>
                <w:szCs w:val="20"/>
              </w:rPr>
              <w:t xml:space="preserve"> </w:t>
            </w:r>
            <w:r w:rsidRPr="00871E51">
              <w:rPr>
                <w:b/>
                <w:bCs/>
                <w:color w:val="000000"/>
                <w:sz w:val="20"/>
                <w:szCs w:val="20"/>
              </w:rPr>
              <w:t>(b)</w:t>
            </w:r>
          </w:p>
        </w:tc>
        <w:tc>
          <w:tcPr>
            <w:tcW w:w="2160" w:type="dxa"/>
            <w:tcBorders>
              <w:top w:val="nil"/>
              <w:left w:val="nil"/>
              <w:bottom w:val="single" w:sz="8" w:space="0" w:color="000000"/>
              <w:right w:val="single" w:sz="8" w:space="0" w:color="000000"/>
            </w:tcBorders>
            <w:shd w:val="clear" w:color="auto" w:fill="E7E6E6" w:themeFill="background2"/>
            <w:vAlign w:val="center"/>
            <w:hideMark/>
          </w:tcPr>
          <w:p w:rsidR="00830CFC" w:rsidRPr="00871E51" w:rsidP="00830CFC" w14:paraId="6A63658D" w14:textId="77777777">
            <w:pPr>
              <w:jc w:val="right"/>
              <w:rPr>
                <w:b/>
                <w:bCs/>
                <w:color w:val="000000"/>
                <w:sz w:val="20"/>
                <w:szCs w:val="20"/>
              </w:rPr>
            </w:pPr>
            <w:r w:rsidRPr="00871E51">
              <w:rPr>
                <w:b/>
                <w:bCs/>
                <w:color w:val="000000"/>
                <w:sz w:val="20"/>
                <w:szCs w:val="20"/>
              </w:rPr>
              <w:t>10</w:t>
            </w:r>
          </w:p>
        </w:tc>
      </w:tr>
      <w:tr w14:paraId="4241A94B" w14:textId="77777777" w:rsidTr="007F64F4">
        <w:tblPrEx>
          <w:tblW w:w="9720" w:type="dxa"/>
          <w:tblInd w:w="-10" w:type="dxa"/>
          <w:tblLook w:val="04A0"/>
        </w:tblPrEx>
        <w:trPr>
          <w:cantSplit/>
          <w:trHeight w:val="583"/>
        </w:trPr>
        <w:tc>
          <w:tcPr>
            <w:tcW w:w="7560" w:type="dxa"/>
            <w:tcBorders>
              <w:top w:val="nil"/>
              <w:left w:val="single" w:sz="8" w:space="0" w:color="000000"/>
              <w:bottom w:val="single" w:sz="8" w:space="0" w:color="000000"/>
              <w:right w:val="single" w:sz="8" w:space="0" w:color="000000"/>
            </w:tcBorders>
            <w:shd w:val="clear" w:color="auto" w:fill="auto"/>
            <w:vAlign w:val="center"/>
            <w:hideMark/>
          </w:tcPr>
          <w:p w:rsidR="00830CFC" w:rsidRPr="00871E51" w:rsidP="00830CFC" w14:paraId="489D7874" w14:textId="170CDA69">
            <w:pPr>
              <w:rPr>
                <w:color w:val="000000"/>
                <w:sz w:val="20"/>
                <w:szCs w:val="20"/>
              </w:rPr>
            </w:pPr>
            <w:r w:rsidRPr="00871E51">
              <w:rPr>
                <w:color w:val="000000"/>
                <w:sz w:val="20"/>
                <w:szCs w:val="20"/>
              </w:rPr>
              <w:t>Estimated Cost Per Subgroup (@ computer systems analyst’s labor rate of $</w:t>
            </w:r>
            <w:r w:rsidR="001B0110">
              <w:rPr>
                <w:color w:val="000000"/>
                <w:sz w:val="20"/>
                <w:szCs w:val="20"/>
              </w:rPr>
              <w:t>103.40</w:t>
            </w:r>
            <w:r w:rsidRPr="00871E51">
              <w:rPr>
                <w:color w:val="000000"/>
                <w:sz w:val="20"/>
                <w:szCs w:val="20"/>
              </w:rPr>
              <w:t>/hr. (d)</w:t>
            </w:r>
            <w:r w:rsidR="001B0110">
              <w:rPr>
                <w:color w:val="000000"/>
                <w:sz w:val="20"/>
                <w:szCs w:val="20"/>
              </w:rPr>
              <w:t xml:space="preserve"> = (b) [x] $103.40/hr</w:t>
            </w:r>
          </w:p>
        </w:tc>
        <w:tc>
          <w:tcPr>
            <w:tcW w:w="2160" w:type="dxa"/>
            <w:tcBorders>
              <w:top w:val="nil"/>
              <w:left w:val="nil"/>
              <w:bottom w:val="single" w:sz="8" w:space="0" w:color="000000"/>
              <w:right w:val="single" w:sz="8" w:space="0" w:color="000000"/>
            </w:tcBorders>
            <w:shd w:val="clear" w:color="auto" w:fill="auto"/>
            <w:vAlign w:val="center"/>
            <w:hideMark/>
          </w:tcPr>
          <w:p w:rsidR="00830CFC" w:rsidRPr="00871E51" w:rsidP="00830CFC" w14:paraId="5C22E896" w14:textId="040F1F11">
            <w:pPr>
              <w:jc w:val="right"/>
              <w:rPr>
                <w:color w:val="000000"/>
                <w:sz w:val="20"/>
                <w:szCs w:val="20"/>
              </w:rPr>
            </w:pPr>
            <w:r w:rsidRPr="00871E51">
              <w:rPr>
                <w:color w:val="000000"/>
                <w:sz w:val="20"/>
                <w:szCs w:val="20"/>
              </w:rPr>
              <w:t>$</w:t>
            </w:r>
            <w:r w:rsidR="001B0110">
              <w:rPr>
                <w:color w:val="000000"/>
                <w:sz w:val="20"/>
                <w:szCs w:val="20"/>
              </w:rPr>
              <w:t>51.70</w:t>
            </w:r>
          </w:p>
        </w:tc>
      </w:tr>
      <w:tr w14:paraId="7438E47C" w14:textId="77777777" w:rsidTr="00B936AA">
        <w:tblPrEx>
          <w:tblW w:w="9720" w:type="dxa"/>
          <w:tblInd w:w="-10" w:type="dxa"/>
          <w:tblLook w:val="04A0"/>
        </w:tblPrEx>
        <w:trPr>
          <w:cantSplit/>
          <w:trHeight w:val="520"/>
        </w:trPr>
        <w:tc>
          <w:tcPr>
            <w:tcW w:w="7560" w:type="dxa"/>
            <w:tcBorders>
              <w:top w:val="nil"/>
              <w:left w:val="single" w:sz="8" w:space="0" w:color="000000"/>
              <w:bottom w:val="single" w:sz="8" w:space="0" w:color="000000"/>
              <w:right w:val="single" w:sz="8" w:space="0" w:color="000000"/>
            </w:tcBorders>
            <w:shd w:val="clear" w:color="auto" w:fill="E7E6E6" w:themeFill="background2"/>
            <w:vAlign w:val="center"/>
            <w:hideMark/>
          </w:tcPr>
          <w:p w:rsidR="00830CFC" w:rsidRPr="00871E51" w:rsidP="00830CFC" w14:paraId="6C08842D" w14:textId="21107783">
            <w:pPr>
              <w:rPr>
                <w:b/>
                <w:bCs/>
                <w:color w:val="000000"/>
                <w:sz w:val="20"/>
                <w:szCs w:val="20"/>
              </w:rPr>
            </w:pPr>
            <w:r w:rsidRPr="00871E51">
              <w:rPr>
                <w:b/>
                <w:bCs/>
                <w:color w:val="000000"/>
                <w:sz w:val="20"/>
                <w:szCs w:val="20"/>
              </w:rPr>
              <w:t>Estimated Total Annual Burden Cost for Subgroup Registration (e) = (</w:t>
            </w:r>
            <w:r w:rsidR="00BB18CA">
              <w:rPr>
                <w:b/>
                <w:bCs/>
                <w:color w:val="000000"/>
                <w:sz w:val="20"/>
                <w:szCs w:val="20"/>
              </w:rPr>
              <w:t>a</w:t>
            </w:r>
            <w:r w:rsidRPr="00871E51">
              <w:rPr>
                <w:b/>
                <w:bCs/>
                <w:color w:val="000000"/>
                <w:sz w:val="20"/>
                <w:szCs w:val="20"/>
              </w:rPr>
              <w:t xml:space="preserve">) </w:t>
            </w:r>
            <w:r w:rsidR="00EC0526">
              <w:rPr>
                <w:b/>
                <w:bCs/>
                <w:color w:val="000000"/>
                <w:sz w:val="20"/>
                <w:szCs w:val="20"/>
              </w:rPr>
              <w:t>[</w:t>
            </w:r>
            <w:r w:rsidRPr="00D05F9E" w:rsidR="00D05F9E">
              <w:rPr>
                <w:b/>
                <w:bCs/>
                <w:color w:val="000000"/>
                <w:sz w:val="20"/>
                <w:szCs w:val="20"/>
              </w:rPr>
              <w:t>x</w:t>
            </w:r>
            <w:r w:rsidR="00EC0526">
              <w:rPr>
                <w:b/>
                <w:bCs/>
                <w:color w:val="000000"/>
                <w:sz w:val="20"/>
                <w:szCs w:val="20"/>
              </w:rPr>
              <w:t>]</w:t>
            </w:r>
            <w:r w:rsidRPr="00D05F9E" w:rsidR="00D05F9E">
              <w:rPr>
                <w:b/>
                <w:bCs/>
                <w:color w:val="000000"/>
                <w:sz w:val="20"/>
                <w:szCs w:val="20"/>
              </w:rPr>
              <w:t xml:space="preserve"> </w:t>
            </w:r>
            <w:r w:rsidRPr="00871E51">
              <w:rPr>
                <w:b/>
                <w:bCs/>
                <w:color w:val="000000"/>
                <w:sz w:val="20"/>
                <w:szCs w:val="20"/>
              </w:rPr>
              <w:t>(d)</w:t>
            </w:r>
          </w:p>
        </w:tc>
        <w:tc>
          <w:tcPr>
            <w:tcW w:w="2160" w:type="dxa"/>
            <w:tcBorders>
              <w:top w:val="nil"/>
              <w:left w:val="nil"/>
              <w:bottom w:val="single" w:sz="8" w:space="0" w:color="000000"/>
              <w:right w:val="single" w:sz="8" w:space="0" w:color="000000"/>
            </w:tcBorders>
            <w:shd w:val="clear" w:color="auto" w:fill="E7E6E6" w:themeFill="background2"/>
            <w:vAlign w:val="center"/>
            <w:hideMark/>
          </w:tcPr>
          <w:p w:rsidR="00830CFC" w:rsidRPr="00871E51" w:rsidP="00830CFC" w14:paraId="1DC39BB3" w14:textId="2CE33CD1">
            <w:pPr>
              <w:jc w:val="right"/>
              <w:rPr>
                <w:b/>
                <w:bCs/>
                <w:color w:val="000000"/>
                <w:sz w:val="20"/>
                <w:szCs w:val="20"/>
              </w:rPr>
            </w:pPr>
            <w:r>
              <w:rPr>
                <w:b/>
                <w:bCs/>
                <w:color w:val="000000"/>
                <w:sz w:val="20"/>
                <w:szCs w:val="20"/>
              </w:rPr>
              <w:t>$1,034</w:t>
            </w:r>
          </w:p>
        </w:tc>
      </w:tr>
    </w:tbl>
    <w:p w:rsidR="00797709" w:rsidP="00797709" w14:paraId="4331B91C" w14:textId="24C44148"/>
    <w:p w:rsidR="00653648" w:rsidRPr="00871E51" w:rsidP="0011028A" w14:paraId="18092C8B" w14:textId="72F61511">
      <w:pPr>
        <w:pStyle w:val="Heading3"/>
        <w:numPr>
          <w:ilvl w:val="0"/>
          <w:numId w:val="0"/>
        </w:numPr>
        <w:ind w:left="2160"/>
      </w:pPr>
      <w:r>
        <w:t>iii</w:t>
      </w:r>
      <w:r w:rsidR="008B160D">
        <w:t>.</w:t>
      </w:r>
      <w:r w:rsidR="00E73765">
        <w:t xml:space="preserve">  </w:t>
      </w:r>
      <w:r>
        <w:t xml:space="preserve"> </w:t>
      </w:r>
      <w:r w:rsidRPr="00871E51">
        <w:t xml:space="preserve">Burden for MVP Quality Performance Category Submission  </w:t>
      </w:r>
    </w:p>
    <w:p w:rsidR="00E8757B" w:rsidRPr="00871E51" w:rsidP="00F17655" w14:paraId="2F2856EF" w14:textId="79AE7061">
      <w:r w:rsidRPr="00871E51">
        <w:t>In the CY 20</w:t>
      </w:r>
      <w:r w:rsidR="00C241AB">
        <w:t>22</w:t>
      </w:r>
      <w:r w:rsidRPr="00871E51">
        <w:t xml:space="preserve"> PFS final rule </w:t>
      </w:r>
      <w:r w:rsidRPr="00BC2C47">
        <w:rPr>
          <w:shd w:val="clear" w:color="auto" w:fill="FFFFFF"/>
        </w:rPr>
        <w:t>(8</w:t>
      </w:r>
      <w:r w:rsidRPr="00BC2C47" w:rsidR="00C241AB">
        <w:rPr>
          <w:shd w:val="clear" w:color="auto" w:fill="FFFFFF"/>
        </w:rPr>
        <w:t>6</w:t>
      </w:r>
      <w:r w:rsidRPr="00BC2C47">
        <w:rPr>
          <w:shd w:val="clear" w:color="auto" w:fill="FFFFFF"/>
        </w:rPr>
        <w:t xml:space="preserve"> FR </w:t>
      </w:r>
      <w:r w:rsidRPr="00BC2C47" w:rsidR="00C241AB">
        <w:rPr>
          <w:shd w:val="clear" w:color="auto" w:fill="FFFFFF"/>
        </w:rPr>
        <w:t>65411</w:t>
      </w:r>
      <w:r w:rsidRPr="00BC2C47">
        <w:rPr>
          <w:shd w:val="clear" w:color="auto" w:fill="FFFFFF"/>
        </w:rPr>
        <w:t xml:space="preserve"> through </w:t>
      </w:r>
      <w:r w:rsidRPr="00BC2C47" w:rsidR="00C241AB">
        <w:rPr>
          <w:shd w:val="clear" w:color="auto" w:fill="FFFFFF"/>
        </w:rPr>
        <w:t>65415</w:t>
      </w:r>
      <w:r w:rsidRPr="00871E51">
        <w:rPr>
          <w:color w:val="333333"/>
          <w:shd w:val="clear" w:color="auto" w:fill="FFFFFF"/>
        </w:rPr>
        <w:t>)</w:t>
      </w:r>
      <w:r w:rsidRPr="00871E51">
        <w:t xml:space="preserve">, we </w:t>
      </w:r>
      <w:r w:rsidR="00E93888">
        <w:t>finaliz</w:t>
      </w:r>
      <w:r w:rsidR="00697866">
        <w:t>ed</w:t>
      </w:r>
      <w:r w:rsidRPr="00871E51">
        <w:t xml:space="preserve"> that except as provided in paragraph § 414.1365(c)(1)(i), an MVP Participant must select and report 4 quality measures, including 1 outcome measure (or, if an outcome measure is not available, 1 high priority measure</w:t>
      </w:r>
      <w:r w:rsidR="00BF53D6">
        <w:t>)</w:t>
      </w:r>
      <w:r w:rsidRPr="00871E51">
        <w:t xml:space="preserve">, included in the MVP. The decrease in the number of required measures in the quality performance category from 6 to 4 is a two-thirds reduction in the number of measures needed for eligible clinicians to submit data for the quality performance category in MVPs described in Appendix 3: MVP Inventory of </w:t>
      </w:r>
      <w:r w:rsidRPr="00871E51" w:rsidR="00314BFB">
        <w:t>th</w:t>
      </w:r>
      <w:r w:rsidR="00314BFB">
        <w:t>e CY 202</w:t>
      </w:r>
      <w:r w:rsidR="008F3BB5">
        <w:t>3</w:t>
      </w:r>
      <w:r w:rsidR="00314BFB">
        <w:t xml:space="preserve"> PFS</w:t>
      </w:r>
      <w:r w:rsidR="00FE7B7D">
        <w:t xml:space="preserve"> </w:t>
      </w:r>
      <w:r w:rsidR="00A8723B">
        <w:t>final</w:t>
      </w:r>
      <w:r w:rsidRPr="00871E51" w:rsidR="00314BFB">
        <w:t xml:space="preserve"> rule</w:t>
      </w:r>
      <w:r w:rsidRPr="00871E51">
        <w:t>.</w:t>
      </w:r>
      <w:r w:rsidR="00ED728E">
        <w:t xml:space="preserve"> </w:t>
      </w:r>
      <w:r w:rsidRPr="00871E51">
        <w:t>Therefore, we</w:t>
      </w:r>
      <w:r w:rsidR="008F3BB5">
        <w:t xml:space="preserve"> </w:t>
      </w:r>
      <w:r w:rsidRPr="00871E51">
        <w:t xml:space="preserve">estimate that the time for submitting the measures in the MVP quality performance category will, on average, take two-thirds of the currently approved burden per respondent for the quality performance category as it does to complete a MIPS quality submission through the CQM, eCQM, and Claims submission types.  </w:t>
      </w:r>
    </w:p>
    <w:p w:rsidR="003907B5" w:rsidP="00E53E05" w14:paraId="67902C83" w14:textId="6572F5F6">
      <w:pPr>
        <w:widowControl w:val="0"/>
        <w:rPr>
          <w:rFonts w:eastAsia="Calibri"/>
        </w:rPr>
      </w:pPr>
      <w:r>
        <w:t>For the CY 202</w:t>
      </w:r>
      <w:r w:rsidR="005B18F7">
        <w:t>4</w:t>
      </w:r>
      <w:r>
        <w:t xml:space="preserve"> performance period/202</w:t>
      </w:r>
      <w:r w:rsidR="005B18F7">
        <w:t>6</w:t>
      </w:r>
      <w:r>
        <w:t xml:space="preserve"> MIPS payment year, </w:t>
      </w:r>
      <w:r w:rsidRPr="00871E51" w:rsidR="00E8757B">
        <w:rPr>
          <w:rFonts w:eastAsia="Calibri"/>
        </w:rPr>
        <w:t>we estimate that 1</w:t>
      </w:r>
      <w:r w:rsidR="005B18F7">
        <w:rPr>
          <w:rFonts w:eastAsia="Calibri"/>
        </w:rPr>
        <w:t>4</w:t>
      </w:r>
      <w:r w:rsidRPr="00871E51" w:rsidR="00E8757B">
        <w:rPr>
          <w:rFonts w:eastAsia="Calibri"/>
        </w:rPr>
        <w:t xml:space="preserve"> percent of the clinicians who participated in MIPS for the CY 20</w:t>
      </w:r>
      <w:r w:rsidR="00F61EFE">
        <w:rPr>
          <w:rFonts w:eastAsia="Calibri"/>
        </w:rPr>
        <w:t>2</w:t>
      </w:r>
      <w:r w:rsidR="001568DA">
        <w:rPr>
          <w:rFonts w:eastAsia="Calibri"/>
        </w:rPr>
        <w:t>2</w:t>
      </w:r>
      <w:r w:rsidRPr="00871E51" w:rsidR="00E8757B">
        <w:rPr>
          <w:rFonts w:eastAsia="Calibri"/>
        </w:rPr>
        <w:t xml:space="preserve"> performance period/202</w:t>
      </w:r>
      <w:r w:rsidR="001568DA">
        <w:rPr>
          <w:rFonts w:eastAsia="Calibri"/>
        </w:rPr>
        <w:t>4</w:t>
      </w:r>
      <w:r w:rsidRPr="00871E51" w:rsidR="00E8757B">
        <w:rPr>
          <w:rFonts w:eastAsia="Calibri"/>
        </w:rPr>
        <w:t xml:space="preserve"> MIPS payment year</w:t>
      </w:r>
      <w:r w:rsidR="00221A67">
        <w:rPr>
          <w:rFonts w:eastAsia="Calibri"/>
        </w:rPr>
        <w:t xml:space="preserve">, and </w:t>
      </w:r>
      <w:r w:rsidRPr="00871E51" w:rsidR="00221A67">
        <w:rPr>
          <w:rFonts w:eastAsia="Calibri"/>
        </w:rPr>
        <w:t xml:space="preserve">20 subgroups </w:t>
      </w:r>
      <w:r w:rsidRPr="00871E51" w:rsidR="00E8757B">
        <w:rPr>
          <w:rFonts w:eastAsia="Calibri"/>
        </w:rPr>
        <w:t>w</w:t>
      </w:r>
      <w:r w:rsidR="00DA282E">
        <w:rPr>
          <w:rFonts w:eastAsia="Calibri"/>
        </w:rPr>
        <w:t>ill</w:t>
      </w:r>
      <w:r w:rsidRPr="00871E51" w:rsidR="00E8757B">
        <w:rPr>
          <w:rFonts w:eastAsia="Calibri"/>
        </w:rPr>
        <w:t xml:space="preserve"> submit data for the quality performance category of MVPs.  As shown in </w:t>
      </w:r>
      <w:r w:rsidR="00E8757B">
        <w:rPr>
          <w:rFonts w:eastAsia="Calibri"/>
        </w:rPr>
        <w:t>T</w:t>
      </w:r>
      <w:r w:rsidRPr="00871E51" w:rsidR="00E8757B">
        <w:rPr>
          <w:rFonts w:eastAsia="Calibri"/>
        </w:rPr>
        <w:t>able</w:t>
      </w:r>
      <w:r w:rsidR="00E0487C">
        <w:rPr>
          <w:rFonts w:eastAsia="Calibri"/>
        </w:rPr>
        <w:t xml:space="preserve"> 1</w:t>
      </w:r>
      <w:r w:rsidR="005B18F7">
        <w:rPr>
          <w:rFonts w:eastAsia="Calibri"/>
        </w:rPr>
        <w:t>6</w:t>
      </w:r>
      <w:r w:rsidRPr="00871E51" w:rsidR="00E8757B">
        <w:rPr>
          <w:rFonts w:eastAsia="Calibri"/>
        </w:rPr>
        <w:t xml:space="preserve">, we estimate that approximately </w:t>
      </w:r>
      <w:r w:rsidR="00D030A3">
        <w:rPr>
          <w:rFonts w:eastAsia="Calibri"/>
        </w:rPr>
        <w:t>4,674</w:t>
      </w:r>
      <w:r w:rsidRPr="003907B5">
        <w:rPr>
          <w:rFonts w:eastAsia="Calibri"/>
        </w:rPr>
        <w:t xml:space="preserve"> clinicians and 10 subgroups will submit data using eCQMs collection type at </w:t>
      </w:r>
      <w:r w:rsidR="008C25E3">
        <w:rPr>
          <w:rFonts w:eastAsia="Calibri"/>
        </w:rPr>
        <w:t xml:space="preserve">a cost of </w:t>
      </w:r>
      <w:r w:rsidRPr="003907B5">
        <w:rPr>
          <w:rFonts w:eastAsia="Calibri"/>
        </w:rPr>
        <w:t>$614.45/response (see line q for eCQMs); 2,</w:t>
      </w:r>
      <w:r w:rsidR="0062686C">
        <w:rPr>
          <w:rFonts w:eastAsia="Calibri"/>
        </w:rPr>
        <w:t>707</w:t>
      </w:r>
      <w:r w:rsidRPr="003907B5">
        <w:rPr>
          <w:rFonts w:eastAsia="Calibri"/>
        </w:rPr>
        <w:t xml:space="preserve"> clinicians and 10 subgroups will submit data using MIPS CQM and QCDR collection type at</w:t>
      </w:r>
      <w:r w:rsidR="008C25E3">
        <w:rPr>
          <w:rFonts w:eastAsia="Calibri"/>
        </w:rPr>
        <w:t xml:space="preserve"> a cost of</w:t>
      </w:r>
      <w:r w:rsidRPr="003907B5">
        <w:rPr>
          <w:rFonts w:eastAsia="Calibri"/>
        </w:rPr>
        <w:t xml:space="preserve"> $683.73/response (see line q for CQM and QCDRs); and 2,</w:t>
      </w:r>
      <w:r w:rsidR="0062686C">
        <w:rPr>
          <w:rFonts w:eastAsia="Calibri"/>
        </w:rPr>
        <w:t>18</w:t>
      </w:r>
      <w:r w:rsidRPr="003907B5">
        <w:rPr>
          <w:rFonts w:eastAsia="Calibri"/>
        </w:rPr>
        <w:t xml:space="preserve">4 clinicians and 0 subgroups will submit data for the MVP quality performance category using the Medicare Part B claims collection type at </w:t>
      </w:r>
      <w:r w:rsidR="008C25E3">
        <w:rPr>
          <w:rFonts w:eastAsia="Calibri"/>
        </w:rPr>
        <w:t xml:space="preserve">a cost of </w:t>
      </w:r>
      <w:r w:rsidRPr="003907B5">
        <w:rPr>
          <w:rFonts w:eastAsia="Calibri"/>
        </w:rPr>
        <w:t xml:space="preserve">$1,055.70/response (see line q for claims).  </w:t>
      </w:r>
    </w:p>
    <w:p w:rsidR="003907B5" w:rsidRPr="00871E51" w:rsidP="00E53E05" w14:paraId="72B86D8C" w14:textId="0753B0E6">
      <w:pPr>
        <w:widowControl w:val="0"/>
        <w:rPr>
          <w:rFonts w:eastAsia="Calibri"/>
        </w:rPr>
      </w:pPr>
      <w:r>
        <w:rPr>
          <w:rFonts w:eastAsia="Calibri"/>
        </w:rPr>
        <w:t>As shown in Table 16, f</w:t>
      </w:r>
      <w:r w:rsidRPr="003907B5">
        <w:rPr>
          <w:rFonts w:eastAsia="Calibri"/>
        </w:rPr>
        <w:t>or the CY 2024 performance period/2026 MIPS payment year, we estimate a burden of 2</w:t>
      </w:r>
      <w:r w:rsidR="005414FF">
        <w:rPr>
          <w:rFonts w:eastAsia="Calibri"/>
        </w:rPr>
        <w:t>4,825</w:t>
      </w:r>
      <w:r w:rsidRPr="003907B5">
        <w:rPr>
          <w:rFonts w:eastAsia="Calibri"/>
        </w:rPr>
        <w:t xml:space="preserve"> hours [5.3 hr x </w:t>
      </w:r>
      <w:r w:rsidR="005414FF">
        <w:rPr>
          <w:rFonts w:eastAsia="Calibri"/>
        </w:rPr>
        <w:t>4,6</w:t>
      </w:r>
      <w:r w:rsidR="009F2738">
        <w:rPr>
          <w:rFonts w:eastAsia="Calibri"/>
        </w:rPr>
        <w:t>8</w:t>
      </w:r>
      <w:r w:rsidR="005414FF">
        <w:rPr>
          <w:rFonts w:eastAsia="Calibri"/>
        </w:rPr>
        <w:t>4</w:t>
      </w:r>
      <w:r w:rsidRPr="003907B5">
        <w:rPr>
          <w:rFonts w:eastAsia="Calibri"/>
        </w:rPr>
        <w:t xml:space="preserve"> (</w:t>
      </w:r>
      <w:r w:rsidR="00430F58">
        <w:rPr>
          <w:rFonts w:eastAsia="Calibri"/>
        </w:rPr>
        <w:t>4,674</w:t>
      </w:r>
      <w:r w:rsidRPr="003907B5">
        <w:rPr>
          <w:rFonts w:eastAsia="Calibri"/>
        </w:rPr>
        <w:t xml:space="preserve"> +10) responses] at a cost of $2,</w:t>
      </w:r>
      <w:r w:rsidR="00430F58">
        <w:rPr>
          <w:rFonts w:eastAsia="Calibri"/>
        </w:rPr>
        <w:t>878,084</w:t>
      </w:r>
      <w:r w:rsidRPr="003907B5">
        <w:rPr>
          <w:rFonts w:eastAsia="Calibri"/>
        </w:rPr>
        <w:t xml:space="preserve"> (</w:t>
      </w:r>
      <w:r w:rsidR="001E673E">
        <w:rPr>
          <w:rFonts w:eastAsia="Calibri"/>
        </w:rPr>
        <w:t>4,684</w:t>
      </w:r>
      <w:r w:rsidRPr="003907B5">
        <w:rPr>
          <w:rFonts w:eastAsia="Calibri"/>
        </w:rPr>
        <w:t xml:space="preserve"> responses x $614.45/response) for the eCQM collection type, 1</w:t>
      </w:r>
      <w:r w:rsidR="00FE33C9">
        <w:rPr>
          <w:rFonts w:eastAsia="Calibri"/>
        </w:rPr>
        <w:t>6,220</w:t>
      </w:r>
      <w:r w:rsidRPr="003907B5">
        <w:rPr>
          <w:rFonts w:eastAsia="Calibri"/>
        </w:rPr>
        <w:t xml:space="preserve"> hours [5.97 hr x 2,</w:t>
      </w:r>
      <w:r w:rsidR="00AD540D">
        <w:rPr>
          <w:rFonts w:eastAsia="Calibri"/>
        </w:rPr>
        <w:t>717</w:t>
      </w:r>
      <w:r w:rsidRPr="003907B5">
        <w:rPr>
          <w:rFonts w:eastAsia="Calibri"/>
        </w:rPr>
        <w:t xml:space="preserve"> (2,</w:t>
      </w:r>
      <w:r w:rsidR="00AD540D">
        <w:rPr>
          <w:rFonts w:eastAsia="Calibri"/>
        </w:rPr>
        <w:t>707</w:t>
      </w:r>
      <w:r w:rsidRPr="003907B5">
        <w:rPr>
          <w:rFonts w:eastAsia="Calibri"/>
        </w:rPr>
        <w:t xml:space="preserve"> +10)] at a cost of $1,</w:t>
      </w:r>
      <w:r w:rsidR="00A77978">
        <w:rPr>
          <w:rFonts w:eastAsia="Calibri"/>
        </w:rPr>
        <w:t>857,694</w:t>
      </w:r>
      <w:r w:rsidRPr="003907B5">
        <w:rPr>
          <w:rFonts w:eastAsia="Calibri"/>
        </w:rPr>
        <w:t xml:space="preserve"> (2,</w:t>
      </w:r>
      <w:r w:rsidR="00A77978">
        <w:rPr>
          <w:rFonts w:eastAsia="Calibri"/>
        </w:rPr>
        <w:t>717</w:t>
      </w:r>
      <w:r w:rsidRPr="003907B5">
        <w:rPr>
          <w:rFonts w:eastAsia="Calibri"/>
        </w:rPr>
        <w:t xml:space="preserve"> responses x $683.73/responses) for the MIPS CQM and QCDR collection type, and </w:t>
      </w:r>
      <w:r w:rsidR="00055B18">
        <w:rPr>
          <w:rFonts w:eastAsia="Calibri"/>
        </w:rPr>
        <w:t>20,617</w:t>
      </w:r>
      <w:r w:rsidRPr="003907B5">
        <w:rPr>
          <w:rFonts w:eastAsia="Calibri"/>
        </w:rPr>
        <w:t xml:space="preserve"> hours (9.44 hr x 2,</w:t>
      </w:r>
      <w:r w:rsidR="00BA251E">
        <w:rPr>
          <w:rFonts w:eastAsia="Calibri"/>
        </w:rPr>
        <w:t>18</w:t>
      </w:r>
      <w:r w:rsidRPr="003907B5">
        <w:rPr>
          <w:rFonts w:eastAsia="Calibri"/>
        </w:rPr>
        <w:t>4 clinician responses) at a cost of $2,</w:t>
      </w:r>
      <w:r w:rsidR="00D2522C">
        <w:rPr>
          <w:rFonts w:eastAsia="Calibri"/>
        </w:rPr>
        <w:t>305,649</w:t>
      </w:r>
      <w:r w:rsidRPr="003907B5">
        <w:rPr>
          <w:rFonts w:eastAsia="Calibri"/>
        </w:rPr>
        <w:t xml:space="preserve"> (2,</w:t>
      </w:r>
      <w:r w:rsidR="0045235B">
        <w:rPr>
          <w:rFonts w:eastAsia="Calibri"/>
        </w:rPr>
        <w:t>184</w:t>
      </w:r>
      <w:r w:rsidRPr="003907B5">
        <w:rPr>
          <w:rFonts w:eastAsia="Calibri"/>
        </w:rPr>
        <w:t xml:space="preserve"> responses x $1,055.70/response) for the Medicare Part B claims collection type.  </w:t>
      </w:r>
    </w:p>
    <w:p w:rsidR="00067362" w:rsidRPr="00871E51" w:rsidP="00AF3F09" w14:paraId="376BB722" w14:textId="0FC3FECC">
      <w:pPr>
        <w:keepNext/>
        <w:keepLines/>
        <w:widowControl w:val="0"/>
        <w:jc w:val="center"/>
        <w:rPr>
          <w:rFonts w:eastAsia="Calibri"/>
          <w:b/>
          <w:bCs/>
        </w:rPr>
      </w:pPr>
      <w:r w:rsidRPr="00B572F2">
        <w:rPr>
          <w:rFonts w:eastAsia="Calibri"/>
          <w:b/>
          <w:bCs/>
        </w:rPr>
        <w:t xml:space="preserve">TABLE </w:t>
      </w:r>
      <w:r>
        <w:rPr>
          <w:rFonts w:eastAsia="Calibri"/>
          <w:b/>
        </w:rPr>
        <w:t>1</w:t>
      </w:r>
      <w:r w:rsidR="003907B5">
        <w:rPr>
          <w:rFonts w:eastAsia="Calibri"/>
          <w:b/>
        </w:rPr>
        <w:t>6</w:t>
      </w:r>
      <w:r w:rsidRPr="00B572F2">
        <w:rPr>
          <w:rFonts w:eastAsia="Calibri"/>
          <w:b/>
          <w:bCs/>
        </w:rPr>
        <w:t>:  Estimated Burden for Quality Performance Category</w:t>
      </w:r>
      <w:r w:rsidR="007D0866">
        <w:rPr>
          <w:rFonts w:eastAsia="Calibri"/>
          <w:b/>
          <w:bCs/>
        </w:rPr>
        <w:t xml:space="preserve"> Submission</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170"/>
        <w:gridCol w:w="1440"/>
        <w:gridCol w:w="1235"/>
      </w:tblGrid>
      <w:tr w14:paraId="73F0C4FF" w14:textId="77777777" w:rsidTr="007F64F4">
        <w:tblPrEx>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36"/>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7362" w:rsidRPr="00EC6F6D" w:rsidP="00AF3F09" w14:paraId="3A5D6B05" w14:textId="71C9AFF9">
            <w:pPr>
              <w:keepNext/>
              <w:keepLines/>
              <w:widowControl w:val="0"/>
              <w:rPr>
                <w:rFonts w:eastAsia="Calibri"/>
                <w:b/>
                <w:bCs/>
                <w:sz w:val="20"/>
                <w:szCs w:val="20"/>
              </w:rPr>
            </w:pPr>
            <w:r w:rsidRPr="00EC6F6D">
              <w:rPr>
                <w:rFonts w:eastAsia="Calibri"/>
                <w:b/>
                <w:bCs/>
                <w:sz w:val="20"/>
                <w:szCs w:val="20"/>
              </w:rPr>
              <w:t>Burden and Respondent Descriptions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7362" w:rsidRPr="00871E51" w:rsidP="00AF3F09" w14:paraId="2CDF6639" w14:textId="77777777">
            <w:pPr>
              <w:keepNext/>
              <w:keepLines/>
              <w:widowControl w:val="0"/>
              <w:jc w:val="center"/>
              <w:rPr>
                <w:rFonts w:eastAsia="Calibri"/>
                <w:b/>
                <w:bCs/>
                <w:sz w:val="20"/>
                <w:szCs w:val="20"/>
              </w:rPr>
            </w:pPr>
            <w:r w:rsidRPr="00871E51">
              <w:rPr>
                <w:rFonts w:eastAsia="Calibri"/>
                <w:b/>
                <w:bCs/>
                <w:sz w:val="20"/>
                <w:szCs w:val="20"/>
              </w:rPr>
              <w:t>eCQM Collection Type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7362" w:rsidRPr="00871E51" w:rsidP="00AF3F09" w14:paraId="11617685" w14:textId="77777777">
            <w:pPr>
              <w:keepNext/>
              <w:keepLines/>
              <w:widowControl w:val="0"/>
              <w:jc w:val="center"/>
              <w:rPr>
                <w:rFonts w:eastAsia="Calibri"/>
                <w:b/>
                <w:bCs/>
                <w:sz w:val="20"/>
                <w:szCs w:val="20"/>
              </w:rPr>
            </w:pPr>
            <w:r w:rsidRPr="00871E51">
              <w:rPr>
                <w:rFonts w:eastAsia="Calibri"/>
                <w:b/>
                <w:bCs/>
                <w:sz w:val="20"/>
                <w:szCs w:val="20"/>
              </w:rPr>
              <w:t>CQM and QCDR Collection Type</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7362" w:rsidRPr="00871E51" w:rsidP="00AF3F09" w14:paraId="630C8FAD" w14:textId="77777777">
            <w:pPr>
              <w:keepNext/>
              <w:keepLines/>
              <w:widowControl w:val="0"/>
              <w:jc w:val="center"/>
              <w:rPr>
                <w:rFonts w:eastAsia="Calibri"/>
                <w:b/>
                <w:bCs/>
                <w:sz w:val="20"/>
                <w:szCs w:val="20"/>
              </w:rPr>
            </w:pPr>
            <w:r w:rsidRPr="00871E51">
              <w:rPr>
                <w:rFonts w:eastAsia="Calibri"/>
                <w:b/>
                <w:bCs/>
                <w:sz w:val="20"/>
                <w:szCs w:val="20"/>
              </w:rPr>
              <w:t>Claims Collection Type</w:t>
            </w:r>
          </w:p>
        </w:tc>
      </w:tr>
      <w:tr w14:paraId="07194DE9"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76C27314" w14:textId="77777777">
            <w:pPr>
              <w:keepNext/>
              <w:keepLines/>
              <w:widowControl w:val="0"/>
              <w:rPr>
                <w:rFonts w:eastAsia="Calibri"/>
                <w:sz w:val="20"/>
                <w:szCs w:val="20"/>
              </w:rPr>
            </w:pPr>
            <w:r w:rsidRPr="00871E51">
              <w:rPr>
                <w:rFonts w:eastAsia="Calibri"/>
                <w:sz w:val="20"/>
                <w:szCs w:val="20"/>
              </w:rPr>
              <w:t># of Submissions from pre-existing collection types (a)</w:t>
            </w:r>
          </w:p>
        </w:tc>
        <w:tc>
          <w:tcPr>
            <w:tcW w:w="1170" w:type="dxa"/>
            <w:tcBorders>
              <w:top w:val="single" w:sz="4" w:space="0" w:color="auto"/>
              <w:left w:val="single" w:sz="4" w:space="0" w:color="auto"/>
              <w:bottom w:val="single" w:sz="4" w:space="0" w:color="auto"/>
              <w:right w:val="single" w:sz="4" w:space="0" w:color="auto"/>
            </w:tcBorders>
            <w:noWrap/>
            <w:hideMark/>
          </w:tcPr>
          <w:p w:rsidR="003907B5" w:rsidRPr="00871E51" w:rsidP="003907B5" w14:paraId="1CC5BDA1" w14:textId="30B61809">
            <w:pPr>
              <w:keepNext/>
              <w:keepLines/>
              <w:widowControl w:val="0"/>
              <w:jc w:val="right"/>
              <w:rPr>
                <w:rFonts w:eastAsia="Calibri"/>
                <w:sz w:val="20"/>
                <w:szCs w:val="20"/>
              </w:rPr>
            </w:pPr>
            <w:r>
              <w:rPr>
                <w:color w:val="000000" w:themeColor="text1"/>
                <w:sz w:val="20"/>
                <w:szCs w:val="20"/>
              </w:rPr>
              <w:t>4,674</w:t>
            </w:r>
          </w:p>
        </w:tc>
        <w:tc>
          <w:tcPr>
            <w:tcW w:w="1440" w:type="dxa"/>
            <w:tcBorders>
              <w:top w:val="single" w:sz="4" w:space="0" w:color="auto"/>
              <w:left w:val="single" w:sz="4" w:space="0" w:color="auto"/>
              <w:bottom w:val="single" w:sz="4" w:space="0" w:color="auto"/>
              <w:right w:val="single" w:sz="4" w:space="0" w:color="auto"/>
            </w:tcBorders>
            <w:noWrap/>
            <w:hideMark/>
          </w:tcPr>
          <w:p w:rsidR="003907B5" w:rsidRPr="00871E51" w:rsidP="003D29BA" w14:paraId="69088A99" w14:textId="54C4D8C0">
            <w:pPr>
              <w:keepNext/>
              <w:keepLines/>
              <w:widowControl w:val="0"/>
              <w:jc w:val="right"/>
              <w:rPr>
                <w:rFonts w:eastAsia="Calibri"/>
                <w:sz w:val="20"/>
                <w:szCs w:val="20"/>
              </w:rPr>
            </w:pPr>
            <w:r w:rsidRPr="00A965B2">
              <w:rPr>
                <w:color w:val="000000" w:themeColor="text1"/>
                <w:sz w:val="20"/>
                <w:szCs w:val="20"/>
              </w:rPr>
              <w:t>2,</w:t>
            </w:r>
            <w:r w:rsidR="00262304">
              <w:rPr>
                <w:color w:val="000000" w:themeColor="text1"/>
                <w:sz w:val="20"/>
                <w:szCs w:val="20"/>
              </w:rPr>
              <w:t>707</w:t>
            </w:r>
          </w:p>
        </w:tc>
        <w:tc>
          <w:tcPr>
            <w:tcW w:w="1235" w:type="dxa"/>
            <w:tcBorders>
              <w:top w:val="single" w:sz="4" w:space="0" w:color="auto"/>
              <w:left w:val="single" w:sz="4" w:space="0" w:color="auto"/>
              <w:bottom w:val="single" w:sz="4" w:space="0" w:color="auto"/>
              <w:right w:val="single" w:sz="4" w:space="0" w:color="auto"/>
            </w:tcBorders>
            <w:noWrap/>
            <w:hideMark/>
          </w:tcPr>
          <w:p w:rsidR="003907B5" w:rsidRPr="00871E51" w:rsidP="003907B5" w14:paraId="07BA09DE" w14:textId="1EBC2288">
            <w:pPr>
              <w:keepNext/>
              <w:keepLines/>
              <w:widowControl w:val="0"/>
              <w:jc w:val="right"/>
              <w:rPr>
                <w:rFonts w:eastAsia="Calibri"/>
                <w:sz w:val="20"/>
                <w:szCs w:val="20"/>
              </w:rPr>
            </w:pPr>
            <w:r w:rsidRPr="00A965B2">
              <w:rPr>
                <w:color w:val="000000" w:themeColor="text1"/>
                <w:sz w:val="20"/>
                <w:szCs w:val="20"/>
              </w:rPr>
              <w:t>2,</w:t>
            </w:r>
            <w:r w:rsidR="00FE3107">
              <w:rPr>
                <w:color w:val="000000" w:themeColor="text1"/>
                <w:sz w:val="20"/>
                <w:szCs w:val="20"/>
              </w:rPr>
              <w:t>184</w:t>
            </w:r>
          </w:p>
        </w:tc>
      </w:tr>
      <w:tr w14:paraId="6C1E0090"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tcPr>
          <w:p w:rsidR="003907B5" w:rsidRPr="00871E51" w:rsidP="003907B5" w14:paraId="70CEA953" w14:textId="77777777">
            <w:pPr>
              <w:keepNext/>
              <w:keepLines/>
              <w:widowControl w:val="0"/>
              <w:rPr>
                <w:rFonts w:eastAsia="Calibri"/>
                <w:sz w:val="20"/>
                <w:szCs w:val="20"/>
              </w:rPr>
            </w:pPr>
            <w:r w:rsidRPr="00871E51">
              <w:rPr>
                <w:rFonts w:eastAsia="Calibri"/>
                <w:sz w:val="20"/>
                <w:szCs w:val="20"/>
              </w:rPr>
              <w:t># of Subgroup reporters (b)</w:t>
            </w:r>
          </w:p>
        </w:tc>
        <w:tc>
          <w:tcPr>
            <w:tcW w:w="1170" w:type="dxa"/>
            <w:tcBorders>
              <w:top w:val="single" w:sz="4" w:space="0" w:color="auto"/>
              <w:left w:val="single" w:sz="4" w:space="0" w:color="auto"/>
              <w:bottom w:val="single" w:sz="4" w:space="0" w:color="auto"/>
              <w:right w:val="single" w:sz="4" w:space="0" w:color="auto"/>
            </w:tcBorders>
            <w:noWrap/>
          </w:tcPr>
          <w:p w:rsidR="003907B5" w:rsidRPr="00871E51" w:rsidP="003907B5" w14:paraId="4342D282" w14:textId="5975E19F">
            <w:pPr>
              <w:keepNext/>
              <w:keepLines/>
              <w:widowControl w:val="0"/>
              <w:jc w:val="right"/>
              <w:rPr>
                <w:rFonts w:eastAsia="Calibri"/>
                <w:sz w:val="20"/>
                <w:szCs w:val="20"/>
              </w:rPr>
            </w:pPr>
            <w:r w:rsidRPr="00A965B2">
              <w:rPr>
                <w:color w:val="000000" w:themeColor="text1"/>
                <w:sz w:val="20"/>
                <w:szCs w:val="20"/>
              </w:rPr>
              <w:t>10</w:t>
            </w:r>
          </w:p>
        </w:tc>
        <w:tc>
          <w:tcPr>
            <w:tcW w:w="1440" w:type="dxa"/>
            <w:tcBorders>
              <w:top w:val="single" w:sz="4" w:space="0" w:color="auto"/>
              <w:left w:val="single" w:sz="4" w:space="0" w:color="auto"/>
              <w:bottom w:val="single" w:sz="4" w:space="0" w:color="auto"/>
              <w:right w:val="single" w:sz="4" w:space="0" w:color="auto"/>
            </w:tcBorders>
            <w:noWrap/>
          </w:tcPr>
          <w:p w:rsidR="003907B5" w:rsidRPr="00871E51" w:rsidP="003907B5" w14:paraId="75929AB8" w14:textId="1A5D8341">
            <w:pPr>
              <w:keepNext/>
              <w:keepLines/>
              <w:widowControl w:val="0"/>
              <w:jc w:val="right"/>
              <w:rPr>
                <w:rFonts w:eastAsia="Calibri"/>
                <w:sz w:val="20"/>
                <w:szCs w:val="20"/>
              </w:rPr>
            </w:pPr>
            <w:r w:rsidRPr="00A965B2">
              <w:rPr>
                <w:color w:val="000000" w:themeColor="text1"/>
                <w:sz w:val="20"/>
                <w:szCs w:val="20"/>
              </w:rPr>
              <w:t>10</w:t>
            </w:r>
          </w:p>
        </w:tc>
        <w:tc>
          <w:tcPr>
            <w:tcW w:w="1235" w:type="dxa"/>
            <w:tcBorders>
              <w:top w:val="single" w:sz="4" w:space="0" w:color="auto"/>
              <w:left w:val="single" w:sz="4" w:space="0" w:color="auto"/>
              <w:bottom w:val="single" w:sz="4" w:space="0" w:color="auto"/>
              <w:right w:val="single" w:sz="4" w:space="0" w:color="auto"/>
            </w:tcBorders>
            <w:noWrap/>
          </w:tcPr>
          <w:p w:rsidR="003907B5" w:rsidRPr="00871E51" w:rsidP="003907B5" w14:paraId="1446685A" w14:textId="10811D12">
            <w:pPr>
              <w:keepNext/>
              <w:keepLines/>
              <w:widowControl w:val="0"/>
              <w:jc w:val="right"/>
              <w:rPr>
                <w:rFonts w:eastAsia="Calibri"/>
                <w:sz w:val="20"/>
                <w:szCs w:val="20"/>
              </w:rPr>
            </w:pPr>
            <w:r w:rsidRPr="00A965B2">
              <w:rPr>
                <w:color w:val="000000" w:themeColor="text1"/>
                <w:sz w:val="20"/>
                <w:szCs w:val="20"/>
              </w:rPr>
              <w:t>0</w:t>
            </w:r>
          </w:p>
        </w:tc>
      </w:tr>
      <w:tr w14:paraId="0498EBAB" w14:textId="77777777" w:rsidTr="003D29BA">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3D29BA" w:rsidP="003907B5" w14:paraId="5608732C" w14:textId="77777777">
            <w:pPr>
              <w:keepNext/>
              <w:keepLines/>
              <w:widowControl w:val="0"/>
              <w:rPr>
                <w:rFonts w:eastAsia="Calibri"/>
                <w:b/>
                <w:bCs/>
                <w:sz w:val="20"/>
                <w:szCs w:val="20"/>
              </w:rPr>
            </w:pPr>
            <w:r w:rsidRPr="003D29BA">
              <w:rPr>
                <w:rFonts w:eastAsia="Calibri"/>
                <w:b/>
                <w:bCs/>
                <w:sz w:val="20"/>
                <w:szCs w:val="20"/>
              </w:rPr>
              <w:t xml:space="preserve">Total MVP participants (c) = (a) + (b) </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3907B5" w:rsidRPr="003D29BA" w:rsidP="003907B5" w14:paraId="1D373754" w14:textId="32857AA6">
            <w:pPr>
              <w:keepNext/>
              <w:keepLines/>
              <w:widowControl w:val="0"/>
              <w:jc w:val="right"/>
              <w:rPr>
                <w:rFonts w:eastAsia="Calibri"/>
                <w:b/>
                <w:bCs/>
                <w:sz w:val="20"/>
                <w:szCs w:val="20"/>
              </w:rPr>
            </w:pPr>
            <w:r>
              <w:rPr>
                <w:b/>
                <w:bCs/>
                <w:color w:val="000000" w:themeColor="text1"/>
                <w:sz w:val="20"/>
                <w:szCs w:val="20"/>
              </w:rPr>
              <w:t>4,684</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3907B5" w:rsidRPr="003D29BA" w:rsidP="003907B5" w14:paraId="6A524AE9" w14:textId="45BEF178">
            <w:pPr>
              <w:keepNext/>
              <w:keepLines/>
              <w:widowControl w:val="0"/>
              <w:jc w:val="right"/>
              <w:rPr>
                <w:rFonts w:eastAsia="Calibri"/>
                <w:b/>
                <w:bCs/>
                <w:sz w:val="20"/>
                <w:szCs w:val="20"/>
              </w:rPr>
            </w:pPr>
            <w:r w:rsidRPr="00B936AA">
              <w:rPr>
                <w:b/>
                <w:bCs/>
                <w:color w:val="000000" w:themeColor="text1"/>
                <w:sz w:val="20"/>
                <w:szCs w:val="20"/>
              </w:rPr>
              <w:t>2,</w:t>
            </w:r>
            <w:r w:rsidR="00262304">
              <w:rPr>
                <w:b/>
                <w:bCs/>
                <w:color w:val="000000" w:themeColor="text1"/>
                <w:sz w:val="20"/>
                <w:szCs w:val="20"/>
              </w:rPr>
              <w:t>717</w:t>
            </w:r>
          </w:p>
        </w:tc>
        <w:tc>
          <w:tcPr>
            <w:tcW w:w="1235"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3907B5" w:rsidRPr="003D29BA" w:rsidP="003907B5" w14:paraId="7210ABBA" w14:textId="49426727">
            <w:pPr>
              <w:keepNext/>
              <w:keepLines/>
              <w:widowControl w:val="0"/>
              <w:jc w:val="right"/>
              <w:rPr>
                <w:rFonts w:eastAsia="Calibri"/>
                <w:b/>
                <w:bCs/>
                <w:sz w:val="20"/>
                <w:szCs w:val="20"/>
              </w:rPr>
            </w:pPr>
            <w:r w:rsidRPr="00B936AA">
              <w:rPr>
                <w:b/>
                <w:bCs/>
                <w:color w:val="000000" w:themeColor="text1"/>
                <w:sz w:val="20"/>
                <w:szCs w:val="20"/>
              </w:rPr>
              <w:t>2,</w:t>
            </w:r>
            <w:r w:rsidR="00FE3107">
              <w:rPr>
                <w:b/>
                <w:bCs/>
                <w:color w:val="000000" w:themeColor="text1"/>
                <w:sz w:val="20"/>
                <w:szCs w:val="20"/>
              </w:rPr>
              <w:t>18</w:t>
            </w:r>
            <w:r w:rsidRPr="00B936AA">
              <w:rPr>
                <w:b/>
                <w:bCs/>
                <w:color w:val="000000" w:themeColor="text1"/>
                <w:sz w:val="20"/>
                <w:szCs w:val="20"/>
              </w:rPr>
              <w:t>4</w:t>
            </w:r>
          </w:p>
        </w:tc>
      </w:tr>
      <w:tr w14:paraId="295D747D"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7995C494" w14:textId="77777777">
            <w:pPr>
              <w:widowControl w:val="0"/>
              <w:rPr>
                <w:rFonts w:eastAsia="Calibri"/>
                <w:sz w:val="20"/>
                <w:szCs w:val="20"/>
              </w:rPr>
            </w:pPr>
            <w:r w:rsidRPr="00871E51">
              <w:rPr>
                <w:rFonts w:eastAsia="Calibri"/>
                <w:sz w:val="20"/>
                <w:szCs w:val="20"/>
              </w:rPr>
              <w:t>Hours Per Clinician to Submit Quality Data (d)</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01A34A38" w14:textId="7A38B9CA">
            <w:pPr>
              <w:widowControl w:val="0"/>
              <w:jc w:val="right"/>
              <w:rPr>
                <w:rFonts w:eastAsia="Calibri"/>
                <w:sz w:val="20"/>
                <w:szCs w:val="20"/>
              </w:rPr>
            </w:pPr>
            <w:r w:rsidRPr="00A965B2">
              <w:rPr>
                <w:color w:val="000000" w:themeColor="text1"/>
                <w:sz w:val="20"/>
                <w:szCs w:val="20"/>
              </w:rPr>
              <w:t>1.33</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706301E9" w14:textId="6D3C8419">
            <w:pPr>
              <w:widowControl w:val="0"/>
              <w:jc w:val="right"/>
              <w:rPr>
                <w:rFonts w:eastAsia="Calibri"/>
                <w:sz w:val="20"/>
                <w:szCs w:val="20"/>
              </w:rPr>
            </w:pPr>
            <w:r w:rsidRPr="00A965B2">
              <w:rPr>
                <w:color w:val="000000" w:themeColor="text1"/>
                <w:sz w:val="20"/>
                <w:szCs w:val="20"/>
              </w:rPr>
              <w:t>2</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214D30FF" w14:textId="45A4ADBD">
            <w:pPr>
              <w:widowControl w:val="0"/>
              <w:jc w:val="right"/>
              <w:rPr>
                <w:rFonts w:eastAsia="Calibri"/>
                <w:sz w:val="20"/>
                <w:szCs w:val="20"/>
              </w:rPr>
            </w:pPr>
            <w:r w:rsidRPr="00A965B2">
              <w:rPr>
                <w:color w:val="000000" w:themeColor="text1"/>
                <w:sz w:val="20"/>
                <w:szCs w:val="20"/>
              </w:rPr>
              <w:t>4.8</w:t>
            </w:r>
          </w:p>
        </w:tc>
      </w:tr>
      <w:tr w14:paraId="6200E91B"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014AAEB0" w14:textId="3D0E8BF2">
            <w:pPr>
              <w:widowControl w:val="0"/>
              <w:rPr>
                <w:rFonts w:eastAsia="Calibri"/>
                <w:sz w:val="20"/>
                <w:szCs w:val="20"/>
              </w:rPr>
            </w:pPr>
            <w:r w:rsidRPr="00871E51">
              <w:rPr>
                <w:rFonts w:eastAsia="Calibri"/>
                <w:sz w:val="20"/>
                <w:szCs w:val="20"/>
              </w:rPr>
              <w:t># of Hours</w:t>
            </w:r>
            <w:r w:rsidR="00E233C0">
              <w:rPr>
                <w:rFonts w:eastAsia="Calibri"/>
                <w:sz w:val="20"/>
                <w:szCs w:val="20"/>
              </w:rPr>
              <w:t xml:space="preserve"> for</w:t>
            </w:r>
            <w:r w:rsidRPr="00871E51">
              <w:rPr>
                <w:rFonts w:eastAsia="Calibri"/>
                <w:sz w:val="20"/>
                <w:szCs w:val="20"/>
              </w:rPr>
              <w:t xml:space="preserve"> Medical and Health Services Manager </w:t>
            </w:r>
            <w:r w:rsidR="00E233C0">
              <w:rPr>
                <w:rFonts w:eastAsia="Calibri"/>
                <w:sz w:val="20"/>
                <w:szCs w:val="20"/>
              </w:rPr>
              <w:t xml:space="preserve"> to </w:t>
            </w:r>
            <w:r w:rsidRPr="00871E51">
              <w:rPr>
                <w:rFonts w:eastAsia="Calibri"/>
                <w:sz w:val="20"/>
                <w:szCs w:val="20"/>
              </w:rPr>
              <w:t>Review Measure Specifications (e)</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291C5029" w14:textId="59AA12D6">
            <w:pPr>
              <w:widowControl w:val="0"/>
              <w:jc w:val="right"/>
              <w:rPr>
                <w:rFonts w:eastAsia="Calibri"/>
                <w:sz w:val="20"/>
                <w:szCs w:val="20"/>
              </w:rPr>
            </w:pPr>
            <w:r w:rsidRPr="00A965B2">
              <w:rPr>
                <w:color w:val="000000" w:themeColor="text1"/>
                <w:sz w:val="20"/>
                <w:szCs w:val="20"/>
              </w:rPr>
              <w:t>1.33</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3E3BED8B" w14:textId="6CA17A26">
            <w:pPr>
              <w:widowControl w:val="0"/>
              <w:jc w:val="right"/>
              <w:rPr>
                <w:rFonts w:eastAsia="Calibri"/>
                <w:sz w:val="20"/>
                <w:szCs w:val="20"/>
              </w:rPr>
            </w:pPr>
            <w:r w:rsidRPr="00A965B2">
              <w:rPr>
                <w:color w:val="000000" w:themeColor="text1"/>
                <w:sz w:val="20"/>
                <w:szCs w:val="20"/>
              </w:rPr>
              <w:t>1.33</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1C14B8C4" w14:textId="09D7FEEA">
            <w:pPr>
              <w:widowControl w:val="0"/>
              <w:jc w:val="right"/>
              <w:rPr>
                <w:rFonts w:eastAsia="Calibri"/>
                <w:sz w:val="20"/>
                <w:szCs w:val="20"/>
              </w:rPr>
            </w:pPr>
            <w:r w:rsidRPr="00A965B2">
              <w:rPr>
                <w:color w:val="000000" w:themeColor="text1"/>
                <w:sz w:val="20"/>
                <w:szCs w:val="20"/>
              </w:rPr>
              <w:t>2</w:t>
            </w:r>
          </w:p>
        </w:tc>
      </w:tr>
      <w:tr w14:paraId="046D830F"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57FB8999" w14:textId="0BBDC69E">
            <w:pPr>
              <w:widowControl w:val="0"/>
              <w:rPr>
                <w:rFonts w:eastAsia="Calibri"/>
                <w:sz w:val="20"/>
                <w:szCs w:val="20"/>
              </w:rPr>
            </w:pPr>
            <w:r w:rsidRPr="00871E51">
              <w:rPr>
                <w:rFonts w:eastAsia="Calibri"/>
                <w:sz w:val="20"/>
                <w:szCs w:val="20"/>
              </w:rPr>
              <w:t xml:space="preserve"># of Hours </w:t>
            </w:r>
            <w:r w:rsidR="00E233C0">
              <w:rPr>
                <w:rFonts w:eastAsia="Calibri"/>
                <w:sz w:val="20"/>
                <w:szCs w:val="20"/>
              </w:rPr>
              <w:t xml:space="preserve">for </w:t>
            </w:r>
            <w:r w:rsidRPr="00871E51">
              <w:rPr>
                <w:rFonts w:eastAsia="Calibri"/>
                <w:sz w:val="20"/>
                <w:szCs w:val="20"/>
              </w:rPr>
              <w:t xml:space="preserve">Computer Systems Analyst </w:t>
            </w:r>
            <w:r w:rsidR="00E233C0">
              <w:rPr>
                <w:rFonts w:eastAsia="Calibri"/>
                <w:sz w:val="20"/>
                <w:szCs w:val="20"/>
              </w:rPr>
              <w:t xml:space="preserve">to </w:t>
            </w:r>
            <w:r w:rsidRPr="00871E51">
              <w:rPr>
                <w:rFonts w:eastAsia="Calibri"/>
                <w:sz w:val="20"/>
                <w:szCs w:val="20"/>
              </w:rPr>
              <w:t>Review Measure Specifications (f)</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67DA95C9" w14:textId="3E5B1B45">
            <w:pPr>
              <w:widowControl w:val="0"/>
              <w:jc w:val="right"/>
              <w:rPr>
                <w:rFonts w:eastAsia="Calibri"/>
                <w:sz w:val="20"/>
                <w:szCs w:val="20"/>
              </w:rPr>
            </w:pPr>
            <w:r w:rsidRPr="00A965B2">
              <w:rPr>
                <w:color w:val="000000" w:themeColor="text1"/>
                <w:sz w:val="20"/>
                <w:szCs w:val="20"/>
              </w:rPr>
              <w:t>0.66</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47B12CBE" w14:textId="4831EBC0">
            <w:pPr>
              <w:widowControl w:val="0"/>
              <w:jc w:val="right"/>
              <w:rPr>
                <w:rFonts w:eastAsia="Calibri"/>
                <w:sz w:val="20"/>
                <w:szCs w:val="20"/>
              </w:rPr>
            </w:pPr>
            <w:r w:rsidRPr="00A965B2">
              <w:rPr>
                <w:color w:val="000000" w:themeColor="text1"/>
                <w:sz w:val="20"/>
                <w:szCs w:val="20"/>
              </w:rPr>
              <w:t>0.66</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730E3E00" w14:textId="3E2DFBBE">
            <w:pPr>
              <w:widowControl w:val="0"/>
              <w:jc w:val="right"/>
              <w:rPr>
                <w:rFonts w:eastAsia="Calibri"/>
                <w:sz w:val="20"/>
                <w:szCs w:val="20"/>
              </w:rPr>
            </w:pPr>
            <w:r w:rsidRPr="00A965B2">
              <w:rPr>
                <w:color w:val="000000" w:themeColor="text1"/>
                <w:sz w:val="20"/>
                <w:szCs w:val="20"/>
              </w:rPr>
              <w:t>0.66</w:t>
            </w:r>
          </w:p>
        </w:tc>
      </w:tr>
      <w:tr w14:paraId="76814097"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78499011" w14:textId="3319E6FC">
            <w:pPr>
              <w:widowControl w:val="0"/>
              <w:rPr>
                <w:rFonts w:eastAsia="Calibri"/>
                <w:sz w:val="20"/>
                <w:szCs w:val="20"/>
              </w:rPr>
            </w:pPr>
            <w:r w:rsidRPr="00871E51">
              <w:rPr>
                <w:rFonts w:eastAsia="Calibri"/>
                <w:sz w:val="20"/>
                <w:szCs w:val="20"/>
              </w:rPr>
              <w:t xml:space="preserve"> # of Hours</w:t>
            </w:r>
            <w:r w:rsidR="00E233C0">
              <w:rPr>
                <w:rFonts w:eastAsia="Calibri"/>
                <w:sz w:val="20"/>
                <w:szCs w:val="20"/>
              </w:rPr>
              <w:t xml:space="preserve"> for </w:t>
            </w:r>
            <w:r w:rsidRPr="00871E51">
              <w:rPr>
                <w:rFonts w:eastAsia="Calibri"/>
                <w:sz w:val="20"/>
                <w:szCs w:val="20"/>
              </w:rPr>
              <w:t xml:space="preserve"> LPN</w:t>
            </w:r>
            <w:r w:rsidR="00E233C0">
              <w:rPr>
                <w:rFonts w:eastAsia="Calibri"/>
                <w:sz w:val="20"/>
                <w:szCs w:val="20"/>
              </w:rPr>
              <w:t xml:space="preserve"> to</w:t>
            </w:r>
            <w:r w:rsidRPr="00871E51">
              <w:rPr>
                <w:rFonts w:eastAsia="Calibri"/>
                <w:sz w:val="20"/>
                <w:szCs w:val="20"/>
              </w:rPr>
              <w:t xml:space="preserve"> Review Measure Specifications (g)</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3928D02A" w14:textId="051F7D72">
            <w:pPr>
              <w:widowControl w:val="0"/>
              <w:jc w:val="right"/>
              <w:rPr>
                <w:rFonts w:eastAsia="Calibri"/>
                <w:sz w:val="20"/>
                <w:szCs w:val="20"/>
              </w:rPr>
            </w:pPr>
            <w:r w:rsidRPr="00A965B2">
              <w:rPr>
                <w:color w:val="000000" w:themeColor="text1"/>
                <w:sz w:val="20"/>
                <w:szCs w:val="20"/>
              </w:rPr>
              <w:t>0.66</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6DC6BBFD" w14:textId="241C3497">
            <w:pPr>
              <w:widowControl w:val="0"/>
              <w:jc w:val="right"/>
              <w:rPr>
                <w:rFonts w:eastAsia="Calibri"/>
                <w:sz w:val="20"/>
                <w:szCs w:val="20"/>
              </w:rPr>
            </w:pPr>
            <w:r w:rsidRPr="00A965B2">
              <w:rPr>
                <w:color w:val="000000" w:themeColor="text1"/>
                <w:sz w:val="20"/>
                <w:szCs w:val="20"/>
              </w:rPr>
              <w:t>0.66</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7C26C5DA" w14:textId="691A44D8">
            <w:pPr>
              <w:widowControl w:val="0"/>
              <w:jc w:val="right"/>
              <w:rPr>
                <w:rFonts w:eastAsia="Calibri"/>
                <w:sz w:val="20"/>
                <w:szCs w:val="20"/>
              </w:rPr>
            </w:pPr>
            <w:r w:rsidRPr="00A965B2">
              <w:rPr>
                <w:color w:val="000000" w:themeColor="text1"/>
                <w:sz w:val="20"/>
                <w:szCs w:val="20"/>
              </w:rPr>
              <w:t>0.66</w:t>
            </w:r>
          </w:p>
        </w:tc>
      </w:tr>
      <w:tr w14:paraId="4F015182"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5797DF8F" w14:textId="28D7F043">
            <w:pPr>
              <w:widowControl w:val="0"/>
              <w:rPr>
                <w:rFonts w:eastAsia="Calibri"/>
                <w:sz w:val="20"/>
                <w:szCs w:val="20"/>
              </w:rPr>
            </w:pPr>
            <w:r w:rsidRPr="00871E51">
              <w:rPr>
                <w:rFonts w:eastAsia="Calibri"/>
                <w:sz w:val="20"/>
                <w:szCs w:val="20"/>
              </w:rPr>
              <w:t xml:space="preserve"> # of Hours </w:t>
            </w:r>
            <w:r w:rsidR="000153E4">
              <w:rPr>
                <w:rFonts w:eastAsia="Calibri"/>
                <w:sz w:val="20"/>
                <w:szCs w:val="20"/>
              </w:rPr>
              <w:t xml:space="preserve">for </w:t>
            </w:r>
            <w:r w:rsidRPr="00871E51">
              <w:rPr>
                <w:rFonts w:eastAsia="Calibri"/>
                <w:sz w:val="20"/>
                <w:szCs w:val="20"/>
              </w:rPr>
              <w:t xml:space="preserve">Billing Clerk </w:t>
            </w:r>
            <w:r w:rsidR="000153E4">
              <w:rPr>
                <w:rFonts w:eastAsia="Calibri"/>
                <w:sz w:val="20"/>
                <w:szCs w:val="20"/>
              </w:rPr>
              <w:t xml:space="preserve">to </w:t>
            </w:r>
            <w:r w:rsidRPr="00871E51">
              <w:rPr>
                <w:rFonts w:eastAsia="Calibri"/>
                <w:sz w:val="20"/>
                <w:szCs w:val="20"/>
              </w:rPr>
              <w:t>Review Measure Specifications (h)</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786850C8" w14:textId="2FCFF0F4">
            <w:pPr>
              <w:widowControl w:val="0"/>
              <w:jc w:val="right"/>
              <w:rPr>
                <w:rFonts w:eastAsia="Calibri"/>
                <w:sz w:val="20"/>
                <w:szCs w:val="20"/>
              </w:rPr>
            </w:pPr>
            <w:r w:rsidRPr="00A965B2">
              <w:rPr>
                <w:color w:val="000000" w:themeColor="text1"/>
                <w:sz w:val="20"/>
                <w:szCs w:val="20"/>
              </w:rPr>
              <w:t>0.66</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54EFEEB5" w14:textId="575B9C5A">
            <w:pPr>
              <w:widowControl w:val="0"/>
              <w:jc w:val="right"/>
              <w:rPr>
                <w:rFonts w:eastAsia="Calibri"/>
                <w:sz w:val="20"/>
                <w:szCs w:val="20"/>
              </w:rPr>
            </w:pPr>
            <w:r w:rsidRPr="00A965B2">
              <w:rPr>
                <w:color w:val="000000" w:themeColor="text1"/>
                <w:sz w:val="20"/>
                <w:szCs w:val="20"/>
              </w:rPr>
              <w:t>0.66</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13A57EE2" w14:textId="708A0F1F">
            <w:pPr>
              <w:widowControl w:val="0"/>
              <w:jc w:val="right"/>
              <w:rPr>
                <w:rFonts w:eastAsia="Calibri"/>
                <w:sz w:val="20"/>
                <w:szCs w:val="20"/>
              </w:rPr>
            </w:pPr>
            <w:r w:rsidRPr="00A965B2">
              <w:rPr>
                <w:color w:val="000000" w:themeColor="text1"/>
                <w:sz w:val="20"/>
                <w:szCs w:val="20"/>
              </w:rPr>
              <w:t>0.66</w:t>
            </w:r>
          </w:p>
        </w:tc>
      </w:tr>
      <w:tr w14:paraId="31E0C9C0"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00A0C4EB" w14:textId="609B91F2">
            <w:pPr>
              <w:widowControl w:val="0"/>
              <w:rPr>
                <w:rFonts w:eastAsia="Calibri"/>
                <w:sz w:val="20"/>
                <w:szCs w:val="20"/>
              </w:rPr>
            </w:pPr>
            <w:r w:rsidRPr="00871E51">
              <w:rPr>
                <w:rFonts w:eastAsia="Calibri"/>
                <w:sz w:val="20"/>
                <w:szCs w:val="20"/>
              </w:rPr>
              <w:t xml:space="preserve"># of Hours </w:t>
            </w:r>
            <w:r w:rsidR="000153E4">
              <w:rPr>
                <w:rFonts w:eastAsia="Calibri"/>
                <w:sz w:val="20"/>
                <w:szCs w:val="20"/>
              </w:rPr>
              <w:t xml:space="preserve">for </w:t>
            </w:r>
            <w:r w:rsidRPr="00871E51">
              <w:rPr>
                <w:rFonts w:eastAsia="Calibri"/>
                <w:sz w:val="20"/>
                <w:szCs w:val="20"/>
              </w:rPr>
              <w:t>Physician</w:t>
            </w:r>
            <w:r w:rsidR="000153E4">
              <w:rPr>
                <w:rFonts w:eastAsia="Calibri"/>
                <w:sz w:val="20"/>
                <w:szCs w:val="20"/>
              </w:rPr>
              <w:t xml:space="preserve"> to</w:t>
            </w:r>
            <w:r w:rsidRPr="00871E51">
              <w:rPr>
                <w:rFonts w:eastAsia="Calibri"/>
                <w:sz w:val="20"/>
                <w:szCs w:val="20"/>
              </w:rPr>
              <w:t xml:space="preserve"> Review Measure Specifications (i)</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32AF12EF" w14:textId="7B72FDB6">
            <w:pPr>
              <w:widowControl w:val="0"/>
              <w:jc w:val="right"/>
              <w:rPr>
                <w:rFonts w:eastAsia="Calibri"/>
                <w:sz w:val="20"/>
                <w:szCs w:val="20"/>
              </w:rPr>
            </w:pPr>
            <w:r w:rsidRPr="00A965B2">
              <w:rPr>
                <w:color w:val="000000" w:themeColor="text1"/>
                <w:sz w:val="20"/>
                <w:szCs w:val="20"/>
              </w:rPr>
              <w:t>0.66</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01763112" w14:textId="057C2D13">
            <w:pPr>
              <w:widowControl w:val="0"/>
              <w:jc w:val="right"/>
              <w:rPr>
                <w:rFonts w:eastAsia="Calibri"/>
                <w:sz w:val="20"/>
                <w:szCs w:val="20"/>
              </w:rPr>
            </w:pPr>
            <w:r w:rsidRPr="00A965B2">
              <w:rPr>
                <w:color w:val="000000" w:themeColor="text1"/>
                <w:sz w:val="20"/>
                <w:szCs w:val="20"/>
              </w:rPr>
              <w:t>0.66</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2E454124" w14:textId="07D9F26B">
            <w:pPr>
              <w:widowControl w:val="0"/>
              <w:jc w:val="right"/>
              <w:rPr>
                <w:rFonts w:eastAsia="Calibri"/>
                <w:sz w:val="20"/>
                <w:szCs w:val="20"/>
              </w:rPr>
            </w:pPr>
            <w:r w:rsidRPr="00A965B2">
              <w:rPr>
                <w:color w:val="000000" w:themeColor="text1"/>
                <w:sz w:val="20"/>
                <w:szCs w:val="20"/>
              </w:rPr>
              <w:t>0.66</w:t>
            </w:r>
          </w:p>
        </w:tc>
      </w:tr>
      <w:tr w14:paraId="3554E3E5"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tcPr>
          <w:p w:rsidR="003907B5" w:rsidRPr="00871E51" w:rsidP="003907B5" w14:paraId="17A892E9" w14:textId="77777777">
            <w:pPr>
              <w:widowControl w:val="0"/>
              <w:rPr>
                <w:rFonts w:eastAsia="Calibri"/>
                <w:sz w:val="20"/>
                <w:szCs w:val="20"/>
              </w:rPr>
            </w:pPr>
            <w:r w:rsidRPr="00871E51">
              <w:rPr>
                <w:rFonts w:eastAsia="Calibri"/>
                <w:sz w:val="20"/>
                <w:szCs w:val="20"/>
              </w:rPr>
              <w:t>Annual Hours per Clinician Submitting Data for MVPs (j) = (d) + (e) + (f) + (g) + (h) + (i)</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3918A50D" w14:textId="4F35B568">
            <w:pPr>
              <w:widowControl w:val="0"/>
              <w:jc w:val="right"/>
              <w:rPr>
                <w:rFonts w:eastAsia="Calibri"/>
                <w:sz w:val="20"/>
                <w:szCs w:val="20"/>
              </w:rPr>
            </w:pPr>
            <w:r w:rsidRPr="00A965B2">
              <w:rPr>
                <w:color w:val="000000" w:themeColor="text1"/>
                <w:sz w:val="20"/>
                <w:szCs w:val="20"/>
              </w:rPr>
              <w:t>5.3</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0180A43D" w14:textId="5A7D3C02">
            <w:pPr>
              <w:widowControl w:val="0"/>
              <w:jc w:val="right"/>
              <w:rPr>
                <w:rFonts w:eastAsia="Calibri"/>
                <w:sz w:val="20"/>
                <w:szCs w:val="20"/>
              </w:rPr>
            </w:pPr>
            <w:r w:rsidRPr="00A965B2">
              <w:rPr>
                <w:color w:val="000000" w:themeColor="text1"/>
                <w:sz w:val="20"/>
                <w:szCs w:val="20"/>
              </w:rPr>
              <w:t>5.97</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3F297AB2" w14:textId="2A74FC19">
            <w:pPr>
              <w:widowControl w:val="0"/>
              <w:jc w:val="right"/>
              <w:rPr>
                <w:rFonts w:eastAsia="Calibri"/>
                <w:sz w:val="20"/>
                <w:szCs w:val="20"/>
              </w:rPr>
            </w:pPr>
            <w:r w:rsidRPr="00A965B2">
              <w:rPr>
                <w:color w:val="000000" w:themeColor="text1"/>
                <w:sz w:val="20"/>
                <w:szCs w:val="20"/>
              </w:rPr>
              <w:t>9.44</w:t>
            </w:r>
          </w:p>
        </w:tc>
      </w:tr>
      <w:tr w14:paraId="676D91AA" w14:textId="77777777" w:rsidTr="003D29BA">
        <w:tblPrEx>
          <w:tblW w:w="10055" w:type="dxa"/>
          <w:jc w:val="center"/>
          <w:tblLayout w:type="fixed"/>
          <w:tblLook w:val="04A0"/>
        </w:tblPrEx>
        <w:trPr>
          <w:trHeight w:val="449"/>
          <w:jc w:val="center"/>
        </w:trPr>
        <w:tc>
          <w:tcPr>
            <w:tcW w:w="62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907B5" w:rsidRPr="00871E51" w:rsidP="003907B5" w14:paraId="14B79658" w14:textId="18D5A283">
            <w:pPr>
              <w:widowControl w:val="0"/>
              <w:rPr>
                <w:rFonts w:eastAsia="Calibri"/>
                <w:b/>
                <w:bCs/>
                <w:sz w:val="20"/>
                <w:szCs w:val="20"/>
              </w:rPr>
            </w:pPr>
            <w:r w:rsidRPr="00871E51">
              <w:rPr>
                <w:rFonts w:eastAsia="Calibri"/>
                <w:b/>
                <w:bCs/>
                <w:sz w:val="20"/>
                <w:szCs w:val="20"/>
              </w:rPr>
              <w:t xml:space="preserve">Total Annual Hours (k) = (c) </w:t>
            </w:r>
            <w:r>
              <w:rPr>
                <w:rFonts w:eastAsia="Calibri"/>
                <w:b/>
                <w:bCs/>
                <w:sz w:val="20"/>
                <w:szCs w:val="20"/>
              </w:rPr>
              <w:t>[</w:t>
            </w:r>
            <w:r w:rsidRPr="0007309D">
              <w:rPr>
                <w:rFonts w:eastAsia="Calibri"/>
                <w:b/>
                <w:bCs/>
                <w:sz w:val="20"/>
                <w:szCs w:val="20"/>
              </w:rPr>
              <w:t>x</w:t>
            </w:r>
            <w:r>
              <w:rPr>
                <w:rFonts w:eastAsia="Calibri"/>
                <w:b/>
                <w:bCs/>
                <w:sz w:val="20"/>
                <w:szCs w:val="20"/>
              </w:rPr>
              <w:t>]</w:t>
            </w:r>
            <w:r w:rsidRPr="0007309D">
              <w:rPr>
                <w:rFonts w:eastAsia="Calibri"/>
                <w:b/>
                <w:bCs/>
                <w:sz w:val="20"/>
                <w:szCs w:val="20"/>
              </w:rPr>
              <w:t xml:space="preserve"> </w:t>
            </w:r>
            <w:r w:rsidRPr="00871E51">
              <w:rPr>
                <w:rFonts w:eastAsia="Calibri"/>
                <w:b/>
                <w:bCs/>
                <w:sz w:val="20"/>
                <w:szCs w:val="20"/>
              </w:rPr>
              <w:t>(j)</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871E51" w:rsidP="003D29BA" w14:paraId="620F72C0" w14:textId="137C25DA">
            <w:pPr>
              <w:widowControl w:val="0"/>
              <w:jc w:val="right"/>
              <w:rPr>
                <w:rFonts w:eastAsia="Calibri"/>
                <w:b/>
                <w:bCs/>
                <w:sz w:val="20"/>
                <w:szCs w:val="20"/>
              </w:rPr>
            </w:pPr>
            <w:r w:rsidRPr="00A965B2">
              <w:rPr>
                <w:b/>
                <w:bCs/>
                <w:color w:val="000000" w:themeColor="text1"/>
                <w:sz w:val="20"/>
                <w:szCs w:val="20"/>
              </w:rPr>
              <w:t>2</w:t>
            </w:r>
            <w:r w:rsidR="00F5482E">
              <w:rPr>
                <w:b/>
                <w:bCs/>
                <w:color w:val="000000" w:themeColor="text1"/>
                <w:sz w:val="20"/>
                <w:szCs w:val="20"/>
              </w:rPr>
              <w:t>4,825</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871E51" w:rsidP="003907B5" w14:paraId="05B22637" w14:textId="1CC4D824">
            <w:pPr>
              <w:widowControl w:val="0"/>
              <w:jc w:val="right"/>
              <w:rPr>
                <w:rFonts w:eastAsia="Calibri"/>
                <w:b/>
                <w:bCs/>
                <w:sz w:val="20"/>
                <w:szCs w:val="20"/>
              </w:rPr>
            </w:pPr>
            <w:r w:rsidRPr="00A965B2">
              <w:rPr>
                <w:b/>
                <w:bCs/>
                <w:color w:val="000000" w:themeColor="text1"/>
                <w:sz w:val="20"/>
                <w:szCs w:val="20"/>
              </w:rPr>
              <w:t>1</w:t>
            </w:r>
            <w:r w:rsidR="003817FC">
              <w:rPr>
                <w:b/>
                <w:bCs/>
                <w:color w:val="000000" w:themeColor="text1"/>
                <w:sz w:val="20"/>
                <w:szCs w:val="20"/>
              </w:rPr>
              <w:t>6,220</w:t>
            </w:r>
          </w:p>
        </w:tc>
        <w:tc>
          <w:tcPr>
            <w:tcW w:w="1235"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871E51" w:rsidP="003907B5" w14:paraId="1E70C621" w14:textId="46A49C8B">
            <w:pPr>
              <w:widowControl w:val="0"/>
              <w:jc w:val="right"/>
              <w:rPr>
                <w:rFonts w:eastAsia="Calibri"/>
                <w:b/>
                <w:bCs/>
                <w:sz w:val="20"/>
                <w:szCs w:val="20"/>
              </w:rPr>
            </w:pPr>
            <w:r w:rsidRPr="00A965B2">
              <w:rPr>
                <w:b/>
                <w:bCs/>
                <w:color w:val="000000" w:themeColor="text1"/>
                <w:sz w:val="20"/>
                <w:szCs w:val="20"/>
              </w:rPr>
              <w:t>2</w:t>
            </w:r>
            <w:r w:rsidR="003817FC">
              <w:rPr>
                <w:b/>
                <w:bCs/>
                <w:color w:val="000000" w:themeColor="text1"/>
                <w:sz w:val="20"/>
                <w:szCs w:val="20"/>
              </w:rPr>
              <w:t>0,617</w:t>
            </w:r>
          </w:p>
        </w:tc>
      </w:tr>
      <w:tr w14:paraId="2CADE22E"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717A1101" w14:textId="5FFA4C77">
            <w:pPr>
              <w:widowControl w:val="0"/>
              <w:rPr>
                <w:rFonts w:eastAsia="Calibri"/>
                <w:sz w:val="20"/>
                <w:szCs w:val="20"/>
              </w:rPr>
            </w:pPr>
            <w:r w:rsidRPr="00871E51">
              <w:rPr>
                <w:rFonts w:eastAsia="Calibri"/>
                <w:sz w:val="20"/>
                <w:szCs w:val="20"/>
              </w:rPr>
              <w:t>Cost to Submit Quality Data (@ computer systems analyst’s labor rate of $</w:t>
            </w:r>
            <w:r w:rsidR="00943517">
              <w:rPr>
                <w:rFonts w:eastAsia="Calibri"/>
                <w:sz w:val="20"/>
                <w:szCs w:val="20"/>
              </w:rPr>
              <w:t>103.40</w:t>
            </w:r>
            <w:r w:rsidRPr="00871E51">
              <w:rPr>
                <w:rFonts w:eastAsia="Calibri"/>
                <w:sz w:val="20"/>
                <w:szCs w:val="20"/>
              </w:rPr>
              <w:t>/hr @ varying times) (k)</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72EB42EE" w14:textId="0049C274">
            <w:pPr>
              <w:widowControl w:val="0"/>
              <w:jc w:val="right"/>
              <w:rPr>
                <w:rFonts w:eastAsia="Calibri"/>
                <w:sz w:val="20"/>
                <w:szCs w:val="20"/>
              </w:rPr>
            </w:pPr>
            <w:r w:rsidRPr="00A965B2">
              <w:rPr>
                <w:color w:val="000000" w:themeColor="text1"/>
                <w:sz w:val="20"/>
                <w:szCs w:val="20"/>
              </w:rPr>
              <w:t>$13</w:t>
            </w:r>
            <w:r>
              <w:rPr>
                <w:color w:val="000000" w:themeColor="text1"/>
                <w:sz w:val="20"/>
                <w:szCs w:val="20"/>
              </w:rPr>
              <w:t>7.52</w:t>
            </w:r>
            <w:r w:rsidRPr="00A965B2">
              <w:rPr>
                <w:color w:val="000000" w:themeColor="text1"/>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46739022" w14:textId="107FF8A4">
            <w:pPr>
              <w:widowControl w:val="0"/>
              <w:jc w:val="right"/>
              <w:rPr>
                <w:rFonts w:eastAsia="Calibri"/>
                <w:sz w:val="20"/>
                <w:szCs w:val="20"/>
              </w:rPr>
            </w:pPr>
            <w:r w:rsidRPr="00A965B2">
              <w:rPr>
                <w:color w:val="000000" w:themeColor="text1"/>
                <w:sz w:val="20"/>
                <w:szCs w:val="20"/>
              </w:rPr>
              <w:t>$</w:t>
            </w:r>
            <w:r>
              <w:rPr>
                <w:color w:val="000000" w:themeColor="text1"/>
                <w:sz w:val="20"/>
                <w:szCs w:val="20"/>
              </w:rPr>
              <w:t>206.80</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5A6D42F0" w14:textId="7C16CFED">
            <w:pPr>
              <w:widowControl w:val="0"/>
              <w:jc w:val="right"/>
              <w:rPr>
                <w:rFonts w:eastAsia="Calibri"/>
                <w:sz w:val="20"/>
                <w:szCs w:val="20"/>
              </w:rPr>
            </w:pPr>
            <w:r w:rsidRPr="00A965B2">
              <w:rPr>
                <w:color w:val="000000" w:themeColor="text1"/>
                <w:sz w:val="20"/>
                <w:szCs w:val="20"/>
              </w:rPr>
              <w:t>$4</w:t>
            </w:r>
            <w:r>
              <w:rPr>
                <w:color w:val="000000" w:themeColor="text1"/>
                <w:sz w:val="20"/>
                <w:szCs w:val="20"/>
              </w:rPr>
              <w:t>96.32</w:t>
            </w:r>
          </w:p>
        </w:tc>
      </w:tr>
      <w:tr w14:paraId="048DB073"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25CAD541" w14:textId="388D0A79">
            <w:pPr>
              <w:widowControl w:val="0"/>
              <w:rPr>
                <w:rFonts w:eastAsia="Calibri"/>
                <w:sz w:val="20"/>
                <w:szCs w:val="20"/>
              </w:rPr>
            </w:pPr>
            <w:r w:rsidRPr="00871E51">
              <w:rPr>
                <w:rFonts w:eastAsia="Calibri"/>
                <w:sz w:val="20"/>
                <w:szCs w:val="20"/>
              </w:rPr>
              <w:t>Cost to Review Measure Specifications (@ medical and health services manager's labor rate of $1</w:t>
            </w:r>
            <w:r w:rsidR="00943517">
              <w:rPr>
                <w:rFonts w:eastAsia="Calibri"/>
                <w:sz w:val="20"/>
                <w:szCs w:val="20"/>
              </w:rPr>
              <w:t>23.06</w:t>
            </w:r>
            <w:r w:rsidRPr="00871E51">
              <w:rPr>
                <w:rFonts w:eastAsia="Calibri"/>
                <w:sz w:val="20"/>
                <w:szCs w:val="20"/>
              </w:rPr>
              <w:t>/hr) (l)</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7163F095" w14:textId="50F69039">
            <w:pPr>
              <w:widowControl w:val="0"/>
              <w:jc w:val="right"/>
              <w:rPr>
                <w:rFonts w:eastAsia="Calibri"/>
                <w:sz w:val="20"/>
                <w:szCs w:val="20"/>
              </w:rPr>
            </w:pPr>
            <w:r w:rsidRPr="00A965B2">
              <w:rPr>
                <w:color w:val="000000" w:themeColor="text1"/>
                <w:sz w:val="20"/>
                <w:szCs w:val="20"/>
              </w:rPr>
              <w:t>$1</w:t>
            </w:r>
            <w:r>
              <w:rPr>
                <w:color w:val="000000" w:themeColor="text1"/>
                <w:sz w:val="20"/>
                <w:szCs w:val="20"/>
              </w:rPr>
              <w:t>63.67</w:t>
            </w:r>
            <w:r w:rsidRPr="00A965B2">
              <w:rPr>
                <w:color w:val="000000" w:themeColor="text1"/>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22117965" w14:textId="7071B8AE">
            <w:pPr>
              <w:widowControl w:val="0"/>
              <w:jc w:val="right"/>
              <w:rPr>
                <w:rFonts w:eastAsia="Calibri"/>
                <w:sz w:val="20"/>
                <w:szCs w:val="20"/>
              </w:rPr>
            </w:pPr>
            <w:r w:rsidRPr="00A965B2">
              <w:rPr>
                <w:color w:val="000000" w:themeColor="text1"/>
                <w:sz w:val="20"/>
                <w:szCs w:val="20"/>
              </w:rPr>
              <w:t>$1</w:t>
            </w:r>
            <w:r>
              <w:rPr>
                <w:color w:val="000000" w:themeColor="text1"/>
                <w:sz w:val="20"/>
                <w:szCs w:val="20"/>
              </w:rPr>
              <w:t>63.67</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136AD583" w14:textId="5E63F0E6">
            <w:pPr>
              <w:widowControl w:val="0"/>
              <w:jc w:val="right"/>
              <w:rPr>
                <w:rFonts w:eastAsia="Calibri"/>
                <w:sz w:val="20"/>
                <w:szCs w:val="20"/>
              </w:rPr>
            </w:pPr>
            <w:r w:rsidRPr="00A965B2">
              <w:rPr>
                <w:color w:val="000000" w:themeColor="text1"/>
                <w:sz w:val="20"/>
                <w:szCs w:val="20"/>
              </w:rPr>
              <w:t>$2</w:t>
            </w:r>
            <w:r>
              <w:rPr>
                <w:color w:val="000000" w:themeColor="text1"/>
                <w:sz w:val="20"/>
                <w:szCs w:val="20"/>
              </w:rPr>
              <w:t>46.12</w:t>
            </w:r>
            <w:r w:rsidRPr="00A965B2">
              <w:rPr>
                <w:color w:val="000000" w:themeColor="text1"/>
                <w:sz w:val="20"/>
                <w:szCs w:val="20"/>
              </w:rPr>
              <w:t xml:space="preserve"> </w:t>
            </w:r>
          </w:p>
        </w:tc>
      </w:tr>
      <w:tr w14:paraId="00DA64C4"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4AB6E58C" w14:textId="6D16AAA5">
            <w:pPr>
              <w:widowControl w:val="0"/>
              <w:rPr>
                <w:rFonts w:eastAsia="Calibri"/>
                <w:sz w:val="20"/>
                <w:szCs w:val="20"/>
              </w:rPr>
            </w:pPr>
            <w:r w:rsidRPr="00871E51">
              <w:rPr>
                <w:rFonts w:eastAsia="Calibri"/>
                <w:sz w:val="20"/>
                <w:szCs w:val="20"/>
              </w:rPr>
              <w:t>Cost to Review Measure Specifications (@ computer systems analyst’s labor rate of $</w:t>
            </w:r>
            <w:r w:rsidR="00943517">
              <w:rPr>
                <w:rFonts w:eastAsia="Calibri"/>
                <w:sz w:val="20"/>
                <w:szCs w:val="20"/>
              </w:rPr>
              <w:t>103.40</w:t>
            </w:r>
            <w:r w:rsidRPr="00871E51">
              <w:rPr>
                <w:rFonts w:eastAsia="Calibri"/>
                <w:sz w:val="20"/>
                <w:szCs w:val="20"/>
              </w:rPr>
              <w:t>/hr) (m)</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6591076B" w14:textId="00499FDB">
            <w:pPr>
              <w:widowControl w:val="0"/>
              <w:jc w:val="right"/>
              <w:rPr>
                <w:rFonts w:eastAsia="Calibri"/>
                <w:sz w:val="20"/>
                <w:szCs w:val="20"/>
              </w:rPr>
            </w:pPr>
            <w:r w:rsidRPr="00A965B2">
              <w:rPr>
                <w:color w:val="000000" w:themeColor="text1"/>
                <w:sz w:val="20"/>
                <w:szCs w:val="20"/>
              </w:rPr>
              <w:t>$6</w:t>
            </w:r>
            <w:r>
              <w:rPr>
                <w:color w:val="000000" w:themeColor="text1"/>
                <w:sz w:val="20"/>
                <w:szCs w:val="20"/>
              </w:rPr>
              <w:t>8.24</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07D692BA" w14:textId="46525475">
            <w:pPr>
              <w:widowControl w:val="0"/>
              <w:jc w:val="right"/>
              <w:rPr>
                <w:rFonts w:eastAsia="Calibri"/>
                <w:sz w:val="20"/>
                <w:szCs w:val="20"/>
              </w:rPr>
            </w:pPr>
            <w:r w:rsidRPr="00A965B2">
              <w:rPr>
                <w:color w:val="000000" w:themeColor="text1"/>
                <w:sz w:val="20"/>
                <w:szCs w:val="20"/>
              </w:rPr>
              <w:t>$6</w:t>
            </w:r>
            <w:r>
              <w:rPr>
                <w:color w:val="000000" w:themeColor="text1"/>
                <w:sz w:val="20"/>
                <w:szCs w:val="20"/>
              </w:rPr>
              <w:t>8.24</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4DC7B0E7" w14:textId="10C0E8B1">
            <w:pPr>
              <w:widowControl w:val="0"/>
              <w:jc w:val="right"/>
              <w:rPr>
                <w:rFonts w:eastAsia="Calibri"/>
                <w:sz w:val="20"/>
                <w:szCs w:val="20"/>
              </w:rPr>
            </w:pPr>
            <w:r w:rsidRPr="00A965B2">
              <w:rPr>
                <w:color w:val="000000" w:themeColor="text1"/>
                <w:sz w:val="20"/>
                <w:szCs w:val="20"/>
              </w:rPr>
              <w:t>$6</w:t>
            </w:r>
            <w:r>
              <w:rPr>
                <w:color w:val="000000" w:themeColor="text1"/>
                <w:sz w:val="20"/>
                <w:szCs w:val="20"/>
              </w:rPr>
              <w:t>8.24</w:t>
            </w:r>
          </w:p>
        </w:tc>
      </w:tr>
      <w:tr w14:paraId="6BB7509E"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55585452" w14:textId="4D8A818A">
            <w:pPr>
              <w:widowControl w:val="0"/>
              <w:rPr>
                <w:rFonts w:eastAsia="Calibri"/>
                <w:sz w:val="20"/>
                <w:szCs w:val="20"/>
              </w:rPr>
            </w:pPr>
            <w:r w:rsidRPr="00871E51">
              <w:rPr>
                <w:rFonts w:eastAsia="Calibri"/>
                <w:sz w:val="20"/>
                <w:szCs w:val="20"/>
              </w:rPr>
              <w:t>Cost to Review Measure Specifications (@ LPN's labor rate of $</w:t>
            </w:r>
            <w:r w:rsidR="00943517">
              <w:rPr>
                <w:rFonts w:eastAsia="Calibri"/>
                <w:sz w:val="20"/>
                <w:szCs w:val="20"/>
              </w:rPr>
              <w:t>53.72</w:t>
            </w:r>
            <w:r w:rsidRPr="00871E51">
              <w:rPr>
                <w:rFonts w:eastAsia="Calibri"/>
                <w:sz w:val="20"/>
                <w:szCs w:val="20"/>
              </w:rPr>
              <w:t>/hr) (n)</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38A7B292" w14:textId="11D9C8D6">
            <w:pPr>
              <w:widowControl w:val="0"/>
              <w:jc w:val="right"/>
              <w:rPr>
                <w:rFonts w:eastAsia="Calibri"/>
                <w:sz w:val="20"/>
                <w:szCs w:val="20"/>
              </w:rPr>
            </w:pPr>
            <w:r w:rsidRPr="00A965B2">
              <w:rPr>
                <w:color w:val="000000" w:themeColor="text1"/>
                <w:sz w:val="20"/>
                <w:szCs w:val="20"/>
              </w:rPr>
              <w:t>$3</w:t>
            </w:r>
            <w:r>
              <w:rPr>
                <w:color w:val="000000" w:themeColor="text1"/>
                <w:sz w:val="20"/>
                <w:szCs w:val="20"/>
              </w:rPr>
              <w:t>5.46</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147A55BF" w14:textId="06EF277F">
            <w:pPr>
              <w:widowControl w:val="0"/>
              <w:jc w:val="right"/>
              <w:rPr>
                <w:rFonts w:eastAsia="Calibri"/>
                <w:sz w:val="20"/>
                <w:szCs w:val="20"/>
              </w:rPr>
            </w:pPr>
            <w:r w:rsidRPr="00A965B2">
              <w:rPr>
                <w:color w:val="000000" w:themeColor="text1"/>
                <w:sz w:val="20"/>
                <w:szCs w:val="20"/>
              </w:rPr>
              <w:t>$3</w:t>
            </w:r>
            <w:r>
              <w:rPr>
                <w:color w:val="000000" w:themeColor="text1"/>
                <w:sz w:val="20"/>
                <w:szCs w:val="20"/>
              </w:rPr>
              <w:t>5.46</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34383789" w14:textId="38099393">
            <w:pPr>
              <w:widowControl w:val="0"/>
              <w:jc w:val="right"/>
              <w:rPr>
                <w:rFonts w:eastAsia="Calibri"/>
                <w:sz w:val="20"/>
                <w:szCs w:val="20"/>
              </w:rPr>
            </w:pPr>
            <w:r w:rsidRPr="00A965B2">
              <w:rPr>
                <w:color w:val="000000" w:themeColor="text1"/>
                <w:sz w:val="20"/>
                <w:szCs w:val="20"/>
              </w:rPr>
              <w:t>$3</w:t>
            </w:r>
            <w:r>
              <w:rPr>
                <w:color w:val="000000" w:themeColor="text1"/>
                <w:sz w:val="20"/>
                <w:szCs w:val="20"/>
              </w:rPr>
              <w:t>5.46</w:t>
            </w:r>
          </w:p>
        </w:tc>
      </w:tr>
      <w:tr w14:paraId="011C8629"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729CB308" w14:textId="3EDAEDF4">
            <w:pPr>
              <w:widowControl w:val="0"/>
              <w:rPr>
                <w:rFonts w:eastAsia="Calibri"/>
                <w:sz w:val="20"/>
                <w:szCs w:val="20"/>
              </w:rPr>
            </w:pPr>
            <w:r w:rsidRPr="00871E51">
              <w:rPr>
                <w:rFonts w:eastAsia="Calibri"/>
                <w:sz w:val="20"/>
                <w:szCs w:val="20"/>
              </w:rPr>
              <w:t>Cost to Review Measure Specifications (@ billing clerk’s labor rate of $4</w:t>
            </w:r>
            <w:r w:rsidR="00943517">
              <w:rPr>
                <w:rFonts w:eastAsia="Calibri"/>
                <w:sz w:val="20"/>
                <w:szCs w:val="20"/>
              </w:rPr>
              <w:t>3.08</w:t>
            </w:r>
            <w:r w:rsidRPr="00871E51">
              <w:rPr>
                <w:rFonts w:eastAsia="Calibri"/>
                <w:sz w:val="20"/>
                <w:szCs w:val="20"/>
              </w:rPr>
              <w:t>/hr) (o)</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008D4102" w14:textId="2788D259">
            <w:pPr>
              <w:widowControl w:val="0"/>
              <w:jc w:val="right"/>
              <w:rPr>
                <w:rFonts w:eastAsia="Calibri"/>
                <w:sz w:val="20"/>
                <w:szCs w:val="20"/>
              </w:rPr>
            </w:pPr>
            <w:r w:rsidRPr="00A965B2">
              <w:rPr>
                <w:color w:val="000000" w:themeColor="text1"/>
                <w:sz w:val="20"/>
                <w:szCs w:val="20"/>
              </w:rPr>
              <w:t>$2</w:t>
            </w:r>
            <w:r>
              <w:rPr>
                <w:color w:val="000000" w:themeColor="text1"/>
                <w:sz w:val="20"/>
                <w:szCs w:val="20"/>
              </w:rPr>
              <w:t>8.43</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46038A05" w14:textId="5BA9CCA9">
            <w:pPr>
              <w:widowControl w:val="0"/>
              <w:jc w:val="right"/>
              <w:rPr>
                <w:rFonts w:eastAsia="Calibri"/>
                <w:sz w:val="20"/>
                <w:szCs w:val="20"/>
              </w:rPr>
            </w:pPr>
            <w:r w:rsidRPr="00A965B2">
              <w:rPr>
                <w:color w:val="000000" w:themeColor="text1"/>
                <w:sz w:val="20"/>
                <w:szCs w:val="20"/>
              </w:rPr>
              <w:t>$2</w:t>
            </w:r>
            <w:r>
              <w:rPr>
                <w:color w:val="000000" w:themeColor="text1"/>
                <w:sz w:val="20"/>
                <w:szCs w:val="20"/>
              </w:rPr>
              <w:t>8.43</w:t>
            </w:r>
            <w:r w:rsidRPr="00A965B2">
              <w:rPr>
                <w:color w:val="000000" w:themeColor="text1"/>
                <w:sz w:val="20"/>
                <w:szCs w:val="20"/>
              </w:rPr>
              <w:t xml:space="preserve"> </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10D2C6AD" w14:textId="0EF0AF57">
            <w:pPr>
              <w:widowControl w:val="0"/>
              <w:jc w:val="right"/>
              <w:rPr>
                <w:rFonts w:eastAsia="Calibri"/>
                <w:sz w:val="20"/>
                <w:szCs w:val="20"/>
              </w:rPr>
            </w:pPr>
            <w:r w:rsidRPr="00A965B2">
              <w:rPr>
                <w:color w:val="000000" w:themeColor="text1"/>
                <w:sz w:val="20"/>
                <w:szCs w:val="20"/>
              </w:rPr>
              <w:t>$2</w:t>
            </w:r>
            <w:r>
              <w:rPr>
                <w:color w:val="000000" w:themeColor="text1"/>
                <w:sz w:val="20"/>
                <w:szCs w:val="20"/>
              </w:rPr>
              <w:t>8.43</w:t>
            </w:r>
          </w:p>
        </w:tc>
      </w:tr>
      <w:tr w14:paraId="41457864"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3E5385EC" w14:textId="42835C98">
            <w:pPr>
              <w:widowControl w:val="0"/>
              <w:rPr>
                <w:rFonts w:eastAsia="Calibri"/>
                <w:sz w:val="20"/>
                <w:szCs w:val="20"/>
              </w:rPr>
            </w:pPr>
            <w:r w:rsidRPr="00871E51">
              <w:rPr>
                <w:rFonts w:eastAsia="Calibri"/>
                <w:sz w:val="20"/>
                <w:szCs w:val="20"/>
              </w:rPr>
              <w:t>Cost to Review Measure Specifications (@ physician’s labor rate of $2</w:t>
            </w:r>
            <w:r w:rsidR="00943517">
              <w:rPr>
                <w:rFonts w:eastAsia="Calibri"/>
                <w:sz w:val="20"/>
                <w:szCs w:val="20"/>
              </w:rPr>
              <w:t>74.44</w:t>
            </w:r>
            <w:r w:rsidRPr="00871E51">
              <w:rPr>
                <w:rFonts w:eastAsia="Calibri"/>
                <w:sz w:val="20"/>
                <w:szCs w:val="20"/>
              </w:rPr>
              <w:t>/hr) (p)</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25457CF6" w14:textId="19A8021B">
            <w:pPr>
              <w:widowControl w:val="0"/>
              <w:jc w:val="right"/>
              <w:rPr>
                <w:rFonts w:eastAsia="Calibri"/>
                <w:sz w:val="20"/>
                <w:szCs w:val="20"/>
              </w:rPr>
            </w:pPr>
            <w:r w:rsidRPr="00A965B2">
              <w:rPr>
                <w:color w:val="000000" w:themeColor="text1"/>
                <w:sz w:val="20"/>
                <w:szCs w:val="20"/>
              </w:rPr>
              <w:t>$1</w:t>
            </w:r>
            <w:r>
              <w:rPr>
                <w:color w:val="000000" w:themeColor="text1"/>
                <w:sz w:val="20"/>
                <w:szCs w:val="20"/>
              </w:rPr>
              <w:t>81.13</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75D7C095" w14:textId="1ACDA178">
            <w:pPr>
              <w:widowControl w:val="0"/>
              <w:jc w:val="right"/>
              <w:rPr>
                <w:rFonts w:eastAsia="Calibri"/>
                <w:sz w:val="20"/>
                <w:szCs w:val="20"/>
              </w:rPr>
            </w:pPr>
            <w:r w:rsidRPr="00A965B2">
              <w:rPr>
                <w:color w:val="000000" w:themeColor="text1"/>
                <w:sz w:val="20"/>
                <w:szCs w:val="20"/>
              </w:rPr>
              <w:t>$1</w:t>
            </w:r>
            <w:r>
              <w:rPr>
                <w:color w:val="000000" w:themeColor="text1"/>
                <w:sz w:val="20"/>
                <w:szCs w:val="20"/>
              </w:rPr>
              <w:t>81.13</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7103FE73" w14:textId="3326084A">
            <w:pPr>
              <w:widowControl w:val="0"/>
              <w:jc w:val="right"/>
              <w:rPr>
                <w:rFonts w:eastAsia="Calibri"/>
                <w:sz w:val="20"/>
                <w:szCs w:val="20"/>
              </w:rPr>
            </w:pPr>
            <w:r w:rsidRPr="00A965B2">
              <w:rPr>
                <w:color w:val="000000" w:themeColor="text1"/>
                <w:sz w:val="20"/>
                <w:szCs w:val="20"/>
              </w:rPr>
              <w:t>$1</w:t>
            </w:r>
            <w:r>
              <w:rPr>
                <w:color w:val="000000" w:themeColor="text1"/>
                <w:sz w:val="20"/>
                <w:szCs w:val="20"/>
              </w:rPr>
              <w:t>81.13</w:t>
            </w:r>
          </w:p>
        </w:tc>
      </w:tr>
      <w:tr w14:paraId="3D4301B9" w14:textId="77777777" w:rsidTr="007F64F4">
        <w:tblPrEx>
          <w:tblW w:w="10055" w:type="dxa"/>
          <w:jc w:val="center"/>
          <w:tblLayout w:type="fixed"/>
          <w:tblLook w:val="04A0"/>
        </w:tblPrEx>
        <w:trPr>
          <w:jc w:val="center"/>
        </w:trPr>
        <w:tc>
          <w:tcPr>
            <w:tcW w:w="6210" w:type="dxa"/>
            <w:tcBorders>
              <w:top w:val="single" w:sz="4" w:space="0" w:color="auto"/>
              <w:left w:val="single" w:sz="4" w:space="0" w:color="auto"/>
              <w:bottom w:val="single" w:sz="4" w:space="0" w:color="auto"/>
              <w:right w:val="single" w:sz="4" w:space="0" w:color="auto"/>
            </w:tcBorders>
            <w:hideMark/>
          </w:tcPr>
          <w:p w:rsidR="003907B5" w:rsidRPr="00871E51" w:rsidP="003907B5" w14:paraId="21285C7C" w14:textId="73423FDE">
            <w:pPr>
              <w:widowControl w:val="0"/>
              <w:rPr>
                <w:rFonts w:eastAsia="Calibri"/>
                <w:sz w:val="20"/>
                <w:szCs w:val="20"/>
              </w:rPr>
            </w:pPr>
            <w:r w:rsidRPr="00871E51">
              <w:rPr>
                <w:rFonts w:eastAsia="Calibri"/>
                <w:sz w:val="20"/>
                <w:szCs w:val="20"/>
              </w:rPr>
              <w:t>Total Annual Cost Per Clinician (q) = (k) + (l) + (m) + (n) + (o) + (p)</w:t>
            </w:r>
          </w:p>
        </w:tc>
        <w:tc>
          <w:tcPr>
            <w:tcW w:w="1170" w:type="dxa"/>
            <w:tcBorders>
              <w:top w:val="single" w:sz="4" w:space="0" w:color="auto"/>
              <w:left w:val="single" w:sz="4" w:space="0" w:color="auto"/>
              <w:bottom w:val="single" w:sz="4" w:space="0" w:color="auto"/>
              <w:right w:val="single" w:sz="4" w:space="0" w:color="auto"/>
            </w:tcBorders>
          </w:tcPr>
          <w:p w:rsidR="003907B5" w:rsidRPr="00871E51" w:rsidP="003907B5" w14:paraId="2470D7D1" w14:textId="59C08C5D">
            <w:pPr>
              <w:widowControl w:val="0"/>
              <w:jc w:val="right"/>
              <w:rPr>
                <w:rFonts w:eastAsia="Calibri"/>
                <w:sz w:val="20"/>
                <w:szCs w:val="20"/>
              </w:rPr>
            </w:pPr>
            <w:r w:rsidRPr="00A965B2">
              <w:rPr>
                <w:color w:val="000000" w:themeColor="text1"/>
                <w:sz w:val="20"/>
                <w:szCs w:val="20"/>
              </w:rPr>
              <w:t>$</w:t>
            </w:r>
            <w:r>
              <w:rPr>
                <w:color w:val="000000" w:themeColor="text1"/>
                <w:sz w:val="20"/>
                <w:szCs w:val="20"/>
              </w:rPr>
              <w:t>614.45</w:t>
            </w:r>
          </w:p>
        </w:tc>
        <w:tc>
          <w:tcPr>
            <w:tcW w:w="1440" w:type="dxa"/>
            <w:tcBorders>
              <w:top w:val="single" w:sz="4" w:space="0" w:color="auto"/>
              <w:left w:val="single" w:sz="4" w:space="0" w:color="auto"/>
              <w:bottom w:val="single" w:sz="4" w:space="0" w:color="auto"/>
              <w:right w:val="single" w:sz="4" w:space="0" w:color="auto"/>
            </w:tcBorders>
          </w:tcPr>
          <w:p w:rsidR="003907B5" w:rsidRPr="00871E51" w:rsidP="003907B5" w14:paraId="18142D71" w14:textId="31D300B8">
            <w:pPr>
              <w:widowControl w:val="0"/>
              <w:jc w:val="right"/>
              <w:rPr>
                <w:rFonts w:eastAsia="Calibri"/>
                <w:sz w:val="20"/>
                <w:szCs w:val="20"/>
              </w:rPr>
            </w:pPr>
            <w:r w:rsidRPr="00A965B2">
              <w:rPr>
                <w:color w:val="000000" w:themeColor="text1"/>
                <w:sz w:val="20"/>
                <w:szCs w:val="20"/>
              </w:rPr>
              <w:t>$6</w:t>
            </w:r>
            <w:r>
              <w:rPr>
                <w:color w:val="000000" w:themeColor="text1"/>
                <w:sz w:val="20"/>
                <w:szCs w:val="20"/>
              </w:rPr>
              <w:t>83.73</w:t>
            </w:r>
          </w:p>
        </w:tc>
        <w:tc>
          <w:tcPr>
            <w:tcW w:w="1235" w:type="dxa"/>
            <w:tcBorders>
              <w:top w:val="single" w:sz="4" w:space="0" w:color="auto"/>
              <w:left w:val="single" w:sz="4" w:space="0" w:color="auto"/>
              <w:bottom w:val="single" w:sz="4" w:space="0" w:color="auto"/>
              <w:right w:val="single" w:sz="4" w:space="0" w:color="auto"/>
            </w:tcBorders>
          </w:tcPr>
          <w:p w:rsidR="003907B5" w:rsidRPr="00871E51" w:rsidP="003907B5" w14:paraId="59200A96" w14:textId="3A87463C">
            <w:pPr>
              <w:widowControl w:val="0"/>
              <w:jc w:val="right"/>
              <w:rPr>
                <w:rFonts w:eastAsia="Calibri"/>
                <w:sz w:val="20"/>
                <w:szCs w:val="20"/>
              </w:rPr>
            </w:pPr>
            <w:r w:rsidRPr="00A965B2">
              <w:rPr>
                <w:color w:val="000000" w:themeColor="text1"/>
                <w:sz w:val="20"/>
                <w:szCs w:val="20"/>
              </w:rPr>
              <w:t>$</w:t>
            </w:r>
            <w:r>
              <w:rPr>
                <w:color w:val="000000" w:themeColor="text1"/>
                <w:sz w:val="20"/>
                <w:szCs w:val="20"/>
              </w:rPr>
              <w:t>1,055.70</w:t>
            </w:r>
          </w:p>
        </w:tc>
      </w:tr>
      <w:tr w14:paraId="40BE277A" w14:textId="77777777" w:rsidTr="003D29BA">
        <w:tblPrEx>
          <w:tblW w:w="10055" w:type="dxa"/>
          <w:jc w:val="center"/>
          <w:tblLayout w:type="fixed"/>
          <w:tblLook w:val="04A0"/>
        </w:tblPrEx>
        <w:trPr>
          <w:trHeight w:val="440"/>
          <w:jc w:val="center"/>
        </w:trPr>
        <w:tc>
          <w:tcPr>
            <w:tcW w:w="62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907B5" w:rsidRPr="00871E51" w:rsidP="003907B5" w14:paraId="4EA5D8E5" w14:textId="4B917678">
            <w:pPr>
              <w:widowControl w:val="0"/>
              <w:rPr>
                <w:rFonts w:eastAsia="Calibri"/>
                <w:b/>
                <w:bCs/>
                <w:sz w:val="20"/>
                <w:szCs w:val="20"/>
              </w:rPr>
            </w:pPr>
            <w:r w:rsidRPr="00871E51">
              <w:rPr>
                <w:rFonts w:eastAsia="Calibri"/>
                <w:b/>
                <w:bCs/>
                <w:sz w:val="20"/>
                <w:szCs w:val="20"/>
              </w:rPr>
              <w:t xml:space="preserve">Total Annual Cost (r) = (c) </w:t>
            </w:r>
            <w:r>
              <w:rPr>
                <w:rFonts w:eastAsia="Calibri"/>
                <w:b/>
                <w:bCs/>
                <w:sz w:val="20"/>
                <w:szCs w:val="20"/>
              </w:rPr>
              <w:t>[</w:t>
            </w:r>
            <w:r w:rsidRPr="0007309D">
              <w:rPr>
                <w:rFonts w:eastAsia="Calibri"/>
                <w:b/>
                <w:bCs/>
                <w:sz w:val="20"/>
                <w:szCs w:val="20"/>
              </w:rPr>
              <w:t>x</w:t>
            </w:r>
            <w:r>
              <w:rPr>
                <w:rFonts w:eastAsia="Calibri"/>
                <w:b/>
                <w:bCs/>
                <w:sz w:val="20"/>
                <w:szCs w:val="20"/>
              </w:rPr>
              <w:t>]</w:t>
            </w:r>
            <w:r w:rsidRPr="0007309D">
              <w:rPr>
                <w:rFonts w:eastAsia="Calibri"/>
                <w:b/>
                <w:bCs/>
                <w:sz w:val="20"/>
                <w:szCs w:val="20"/>
              </w:rPr>
              <w:t xml:space="preserve"> </w:t>
            </w:r>
            <w:r w:rsidRPr="00871E51">
              <w:rPr>
                <w:rFonts w:eastAsia="Calibri"/>
                <w:b/>
                <w:bCs/>
                <w:sz w:val="20"/>
                <w:szCs w:val="20"/>
              </w:rPr>
              <w:t>(q)</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871E51" w:rsidP="003907B5" w14:paraId="4B7E95FE" w14:textId="34165491">
            <w:pPr>
              <w:widowControl w:val="0"/>
              <w:jc w:val="right"/>
              <w:rPr>
                <w:rFonts w:eastAsia="Calibri"/>
                <w:b/>
                <w:bCs/>
                <w:sz w:val="20"/>
                <w:szCs w:val="20"/>
              </w:rPr>
            </w:pPr>
            <w:r w:rsidRPr="00A965B2">
              <w:rPr>
                <w:b/>
                <w:bCs/>
                <w:color w:val="000000" w:themeColor="text1"/>
                <w:sz w:val="20"/>
                <w:szCs w:val="20"/>
              </w:rPr>
              <w:t>$2,</w:t>
            </w:r>
            <w:r w:rsidR="006B7CCF">
              <w:rPr>
                <w:b/>
                <w:bCs/>
                <w:color w:val="000000" w:themeColor="text1"/>
                <w:sz w:val="20"/>
                <w:szCs w:val="20"/>
              </w:rPr>
              <w:t>878,084</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871E51" w:rsidP="003907B5" w14:paraId="524D1214" w14:textId="57B710DF">
            <w:pPr>
              <w:widowControl w:val="0"/>
              <w:jc w:val="right"/>
              <w:rPr>
                <w:rFonts w:eastAsia="Calibri"/>
                <w:b/>
                <w:bCs/>
                <w:sz w:val="20"/>
                <w:szCs w:val="20"/>
              </w:rPr>
            </w:pPr>
            <w:r w:rsidRPr="00A965B2">
              <w:rPr>
                <w:b/>
                <w:bCs/>
                <w:color w:val="000000" w:themeColor="text1"/>
                <w:sz w:val="20"/>
                <w:szCs w:val="20"/>
              </w:rPr>
              <w:t xml:space="preserve">  $1,</w:t>
            </w:r>
            <w:r w:rsidR="006B7CCF">
              <w:rPr>
                <w:b/>
                <w:bCs/>
                <w:color w:val="000000" w:themeColor="text1"/>
                <w:sz w:val="20"/>
                <w:szCs w:val="20"/>
              </w:rPr>
              <w:t>857,694</w:t>
            </w:r>
          </w:p>
        </w:tc>
        <w:tc>
          <w:tcPr>
            <w:tcW w:w="1235" w:type="dxa"/>
            <w:tcBorders>
              <w:top w:val="single" w:sz="4" w:space="0" w:color="auto"/>
              <w:left w:val="single" w:sz="4" w:space="0" w:color="auto"/>
              <w:bottom w:val="single" w:sz="4" w:space="0" w:color="auto"/>
              <w:right w:val="single" w:sz="4" w:space="0" w:color="auto"/>
            </w:tcBorders>
            <w:shd w:val="clear" w:color="auto" w:fill="E7E6E6" w:themeFill="background2"/>
          </w:tcPr>
          <w:p w:rsidR="003907B5" w:rsidRPr="00871E51" w:rsidP="003907B5" w14:paraId="71BB7D2D" w14:textId="250F1ED1">
            <w:pPr>
              <w:widowControl w:val="0"/>
              <w:jc w:val="right"/>
              <w:rPr>
                <w:rFonts w:eastAsia="Calibri"/>
                <w:b/>
                <w:bCs/>
                <w:sz w:val="20"/>
                <w:szCs w:val="20"/>
              </w:rPr>
            </w:pPr>
            <w:r w:rsidRPr="00A965B2">
              <w:rPr>
                <w:b/>
                <w:bCs/>
                <w:color w:val="000000" w:themeColor="text1"/>
                <w:sz w:val="20"/>
                <w:szCs w:val="20"/>
              </w:rPr>
              <w:t>$2,</w:t>
            </w:r>
            <w:r w:rsidR="002B724E">
              <w:rPr>
                <w:b/>
                <w:bCs/>
                <w:color w:val="000000" w:themeColor="text1"/>
                <w:sz w:val="20"/>
                <w:szCs w:val="20"/>
              </w:rPr>
              <w:t>305,649</w:t>
            </w:r>
          </w:p>
        </w:tc>
      </w:tr>
    </w:tbl>
    <w:p w:rsidR="000F2475" w:rsidRPr="003507A9" w:rsidP="003507A9" w14:paraId="01338B3C" w14:textId="77777777">
      <w:pPr>
        <w:rPr>
          <w:rFonts w:eastAsia="Calibri"/>
        </w:rPr>
      </w:pPr>
    </w:p>
    <w:p w:rsidR="006B22A9" w:rsidRPr="00C45D11" w:rsidP="0011028A" w14:paraId="438D6AB8" w14:textId="5966AB21">
      <w:pPr>
        <w:pStyle w:val="Heading3"/>
      </w:pPr>
      <w:r w:rsidRPr="00C45D11">
        <w:t>Burden Estimate for the Nomination of Quality Measures</w:t>
      </w:r>
    </w:p>
    <w:p w:rsidR="004B1E43" w:rsidP="008479BC" w14:paraId="1F83A640" w14:textId="2C4BE17F">
      <w:r w:rsidRPr="008463EE">
        <w:t xml:space="preserve">Quality measures are selected annually through a call for quality measures under consideration, with a final list of quality measures being published in the Federal Register by November 1 of </w:t>
      </w:r>
      <w:r w:rsidRPr="008463EE">
        <w:t xml:space="preserve">each year. </w:t>
      </w:r>
      <w:r w:rsidRP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w:t>
      </w:r>
      <w:r w:rsidR="001E0315">
        <w:t>two</w:t>
      </w:r>
      <w:r w:rsidRPr="004B1E43" w:rsidR="001E0315">
        <w:t xml:space="preserve"> </w:t>
      </w:r>
      <w:r w:rsidRPr="004B1E43">
        <w:t>years after the measure is submitted. This process is consistent with the pre-rulemaking process and the annual call for measures, which are further described at https://www.cms.gov/Medicare/</w:t>
      </w:r>
      <w:r w:rsidR="00A13F83">
        <w:br/>
      </w:r>
      <w:r w:rsidRPr="004B1E43">
        <w:t xml:space="preserve">Quality-Initiatives-Patient-Assessment-Instruments/QualityMeasures/Pre-Rule-Making.html. </w:t>
      </w:r>
    </w:p>
    <w:p w:rsidR="008E76E0" w:rsidP="00730BEF" w14:paraId="7339D562" w14:textId="6F9E8F66">
      <w:r>
        <w:t xml:space="preserve">As shown in Table </w:t>
      </w:r>
      <w:r w:rsidR="00A6605C">
        <w:t>1</w:t>
      </w:r>
      <w:r w:rsidR="00943517">
        <w:t>7</w:t>
      </w:r>
      <w:r>
        <w:t xml:space="preserve">, </w:t>
      </w:r>
      <w:r w:rsidR="00943517">
        <w:t>we estima</w:t>
      </w:r>
      <w:r w:rsidR="00A90B2D">
        <w:rPr>
          <w:color w:val="000000" w:themeColor="text1"/>
        </w:rPr>
        <w:t>te</w:t>
      </w:r>
      <w:r w:rsidR="00DF1533">
        <w:rPr>
          <w:color w:val="000000" w:themeColor="text1"/>
        </w:rPr>
        <w:t xml:space="preserve"> </w:t>
      </w:r>
      <w:r w:rsidR="00BB1AC4">
        <w:rPr>
          <w:color w:val="000000" w:themeColor="text1"/>
        </w:rPr>
        <w:t xml:space="preserve">that we will receive </w:t>
      </w:r>
      <w:r w:rsidR="00943517">
        <w:rPr>
          <w:color w:val="000000" w:themeColor="text1"/>
        </w:rPr>
        <w:t>31</w:t>
      </w:r>
      <w:r w:rsidR="00BB1AC4">
        <w:rPr>
          <w:color w:val="000000" w:themeColor="text1"/>
        </w:rPr>
        <w:t xml:space="preserve"> quality measure submissions during the 2023 Annual Call for Quality Measures</w:t>
      </w:r>
      <w:r w:rsidR="00943517">
        <w:rPr>
          <w:color w:val="000000" w:themeColor="text1"/>
        </w:rPr>
        <w:t xml:space="preserve"> for the CY 2024 performance period/2026 MIPS payment year</w:t>
      </w:r>
      <w:r w:rsidR="001A00DE">
        <w:t xml:space="preserve">. </w:t>
      </w:r>
      <w:r w:rsidR="009E7F67">
        <w:rPr>
          <w:rFonts w:eastAsia="Calibri"/>
        </w:rPr>
        <w:t>W</w:t>
      </w:r>
      <w:r w:rsidR="00287469">
        <w:rPr>
          <w:rFonts w:eastAsia="Calibri"/>
        </w:rPr>
        <w:t>e</w:t>
      </w:r>
      <w:r w:rsidR="009E7F67">
        <w:rPr>
          <w:rFonts w:eastAsia="Calibri"/>
        </w:rPr>
        <w:t xml:space="preserve"> </w:t>
      </w:r>
      <w:r w:rsidR="00287469">
        <w:rPr>
          <w:rFonts w:eastAsia="Calibri"/>
        </w:rPr>
        <w:t xml:space="preserve">estimate that it would </w:t>
      </w:r>
      <w:r w:rsidR="00A4626A">
        <w:rPr>
          <w:rFonts w:eastAsia="Calibri"/>
        </w:rPr>
        <w:t>take</w:t>
      </w:r>
      <w:r w:rsidR="00287469">
        <w:rPr>
          <w:rFonts w:eastAsia="Calibri"/>
        </w:rPr>
        <w:t xml:space="preserve"> approximately </w:t>
      </w:r>
      <w:r w:rsidR="009C033D">
        <w:rPr>
          <w:rFonts w:eastAsia="Calibri"/>
        </w:rPr>
        <w:t xml:space="preserve">5.5 hours per quality measure </w:t>
      </w:r>
      <w:r w:rsidR="00B90D84">
        <w:rPr>
          <w:rFonts w:eastAsia="Calibri"/>
        </w:rPr>
        <w:t>submission. This estimate includes</w:t>
      </w:r>
      <w:r w:rsidR="009C033D">
        <w:rPr>
          <w:rFonts w:eastAsia="Calibri"/>
        </w:rPr>
        <w:t xml:space="preserve"> </w:t>
      </w:r>
      <w:r w:rsidR="00A4626A">
        <w:rPr>
          <w:rFonts w:eastAsia="Calibri"/>
        </w:rPr>
        <w:t>2</w:t>
      </w:r>
      <w:r w:rsidR="00287469">
        <w:rPr>
          <w:rFonts w:eastAsia="Calibri"/>
        </w:rPr>
        <w:t>.</w:t>
      </w:r>
      <w:r w:rsidR="00A4626A">
        <w:rPr>
          <w:rFonts w:eastAsia="Calibri"/>
        </w:rPr>
        <w:t>4</w:t>
      </w:r>
      <w:r w:rsidR="00287469">
        <w:rPr>
          <w:rFonts w:eastAsia="Calibri"/>
        </w:rPr>
        <w:t xml:space="preserve"> hours for the practice administrator at $1</w:t>
      </w:r>
      <w:r w:rsidR="00943517">
        <w:rPr>
          <w:rFonts w:eastAsia="Calibri"/>
        </w:rPr>
        <w:t>23.06</w:t>
      </w:r>
      <w:r w:rsidR="00287469">
        <w:rPr>
          <w:rFonts w:eastAsia="Calibri"/>
        </w:rPr>
        <w:t>/hr and</w:t>
      </w:r>
      <w:r w:rsidR="006F5091">
        <w:rPr>
          <w:rFonts w:eastAsia="Calibri"/>
        </w:rPr>
        <w:t xml:space="preserve"> </w:t>
      </w:r>
      <w:r w:rsidR="004522FE">
        <w:rPr>
          <w:rFonts w:eastAsia="Calibri"/>
        </w:rPr>
        <w:t>1</w:t>
      </w:r>
      <w:r w:rsidR="00287469">
        <w:rPr>
          <w:rFonts w:eastAsia="Calibri"/>
        </w:rPr>
        <w:t>.</w:t>
      </w:r>
      <w:r w:rsidR="00A4626A">
        <w:rPr>
          <w:rFonts w:eastAsia="Calibri"/>
        </w:rPr>
        <w:t>1</w:t>
      </w:r>
      <w:r w:rsidR="00287469">
        <w:rPr>
          <w:rFonts w:eastAsia="Calibri"/>
        </w:rPr>
        <w:t xml:space="preserve"> hours at $2</w:t>
      </w:r>
      <w:r w:rsidR="00943517">
        <w:rPr>
          <w:rFonts w:eastAsia="Calibri"/>
        </w:rPr>
        <w:t>74.44</w:t>
      </w:r>
      <w:r w:rsidR="00287469">
        <w:rPr>
          <w:rFonts w:eastAsia="Calibri"/>
        </w:rPr>
        <w:t>/hr for a clinician to identify, propose, and link the quality measure, and approximately 2 hours at $</w:t>
      </w:r>
      <w:r w:rsidR="004522FE">
        <w:rPr>
          <w:rFonts w:eastAsia="Calibri"/>
        </w:rPr>
        <w:t>2</w:t>
      </w:r>
      <w:r w:rsidR="00943517">
        <w:rPr>
          <w:rFonts w:eastAsia="Calibri"/>
        </w:rPr>
        <w:t>74.44</w:t>
      </w:r>
      <w:r w:rsidR="004522FE">
        <w:rPr>
          <w:rFonts w:eastAsia="Calibri"/>
        </w:rPr>
        <w:t>/</w:t>
      </w:r>
      <w:r w:rsidR="00287469">
        <w:rPr>
          <w:rFonts w:eastAsia="Calibri"/>
        </w:rPr>
        <w:t xml:space="preserve">hr for a clinician to complete the Peer Review Journal Article Form. </w:t>
      </w:r>
      <w:r>
        <w:t xml:space="preserve"> </w:t>
      </w:r>
    </w:p>
    <w:p w:rsidR="006B22A9" w:rsidRPr="00732012" w:rsidP="001941DF" w14:paraId="24727311" w14:textId="5BBEFCD0">
      <w:pPr>
        <w:spacing w:after="0"/>
        <w:rPr>
          <w:b/>
          <w:bCs/>
        </w:rPr>
      </w:pPr>
      <w:r>
        <w:t xml:space="preserve">As shown in Table </w:t>
      </w:r>
      <w:r w:rsidR="009A4D1A">
        <w:t>1</w:t>
      </w:r>
      <w:r w:rsidR="00943517">
        <w:t>7</w:t>
      </w:r>
      <w:r>
        <w:t xml:space="preserve">, </w:t>
      </w:r>
      <w:r w:rsidRPr="73846790" w:rsidR="006B4556">
        <w:rPr>
          <w:rFonts w:eastAsia="Calibri"/>
        </w:rPr>
        <w:t>in aggregate we estimate an annual burden of 1</w:t>
      </w:r>
      <w:r w:rsidR="00943517">
        <w:rPr>
          <w:rFonts w:eastAsia="Calibri"/>
        </w:rPr>
        <w:t>71</w:t>
      </w:r>
      <w:r w:rsidRPr="73846790" w:rsidR="006B4556">
        <w:rPr>
          <w:rFonts w:eastAsia="Calibri"/>
        </w:rPr>
        <w:t xml:space="preserve"> hours (</w:t>
      </w:r>
      <w:r w:rsidR="00943517">
        <w:rPr>
          <w:rFonts w:eastAsia="Calibri"/>
        </w:rPr>
        <w:t>31</w:t>
      </w:r>
      <w:r w:rsidRPr="73846790" w:rsidR="006B4556">
        <w:rPr>
          <w:rFonts w:eastAsia="Calibri"/>
        </w:rPr>
        <w:t xml:space="preserve"> submissions x 5.5 hr/submission) at a cost of $</w:t>
      </w:r>
      <w:r w:rsidRPr="73846790" w:rsidR="00982BEA">
        <w:rPr>
          <w:rFonts w:eastAsia="Calibri"/>
        </w:rPr>
        <w:t>3</w:t>
      </w:r>
      <w:r w:rsidR="00943517">
        <w:rPr>
          <w:rFonts w:eastAsia="Calibri"/>
        </w:rPr>
        <w:t>5,529</w:t>
      </w:r>
      <w:r w:rsidRPr="73846790" w:rsidR="006B4556">
        <w:rPr>
          <w:rFonts w:eastAsia="Calibri"/>
        </w:rPr>
        <w:t xml:space="preserve"> {</w:t>
      </w:r>
      <w:r w:rsidR="00943517">
        <w:rPr>
          <w:rFonts w:eastAsia="Calibri"/>
        </w:rPr>
        <w:t>31 measure</w:t>
      </w:r>
      <w:r w:rsidRPr="73846790" w:rsidR="006B4556">
        <w:rPr>
          <w:rFonts w:eastAsia="Calibri"/>
        </w:rPr>
        <w:t xml:space="preserve"> submissions x </w:t>
      </w:r>
      <w:r w:rsidR="00943517">
        <w:rPr>
          <w:rFonts w:eastAsia="Calibri"/>
        </w:rPr>
        <w:t xml:space="preserve">$1,146.11 </w:t>
      </w:r>
      <w:r w:rsidRPr="73846790" w:rsidR="006B4556">
        <w:rPr>
          <w:rFonts w:eastAsia="Calibri"/>
        </w:rPr>
        <w:t>[(</w:t>
      </w:r>
      <w:r w:rsidRPr="73846790" w:rsidR="00EA43E2">
        <w:rPr>
          <w:rFonts w:eastAsia="Calibri"/>
        </w:rPr>
        <w:t>2.4</w:t>
      </w:r>
      <w:r w:rsidRPr="73846790" w:rsidR="006B4556">
        <w:rPr>
          <w:rFonts w:eastAsia="Calibri"/>
        </w:rPr>
        <w:t xml:space="preserve"> hr x $1</w:t>
      </w:r>
      <w:r w:rsidR="00943517">
        <w:rPr>
          <w:rFonts w:eastAsia="Calibri"/>
        </w:rPr>
        <w:t>23.06</w:t>
      </w:r>
      <w:r w:rsidRPr="73846790" w:rsidR="006B4556">
        <w:rPr>
          <w:rFonts w:eastAsia="Calibri"/>
        </w:rPr>
        <w:t>/hr) + (</w:t>
      </w:r>
      <w:r w:rsidRPr="73846790" w:rsidR="00D67558">
        <w:rPr>
          <w:rFonts w:eastAsia="Calibri"/>
        </w:rPr>
        <w:t>3.1</w:t>
      </w:r>
      <w:r w:rsidRPr="73846790" w:rsidR="006B4556">
        <w:rPr>
          <w:rFonts w:eastAsia="Calibri"/>
        </w:rPr>
        <w:t xml:space="preserve"> hr x</w:t>
      </w:r>
      <w:r w:rsidR="00137665">
        <w:rPr>
          <w:rFonts w:eastAsia="Calibri"/>
        </w:rPr>
        <w:t xml:space="preserve"> </w:t>
      </w:r>
      <w:r w:rsidRPr="73846790" w:rsidR="006B4556">
        <w:rPr>
          <w:rFonts w:eastAsia="Calibri"/>
        </w:rPr>
        <w:t>$2</w:t>
      </w:r>
      <w:r w:rsidR="00943517">
        <w:rPr>
          <w:rFonts w:eastAsia="Calibri"/>
        </w:rPr>
        <w:t>74.44</w:t>
      </w:r>
      <w:r w:rsidRPr="73846790" w:rsidR="006B4556">
        <w:rPr>
          <w:rFonts w:eastAsia="Calibri"/>
        </w:rPr>
        <w:t>/hr)</w:t>
      </w:r>
      <w:r w:rsidRPr="73846790" w:rsidR="00982820">
        <w:rPr>
          <w:rFonts w:eastAsia="Calibri"/>
        </w:rPr>
        <w:t>]</w:t>
      </w:r>
      <w:r w:rsidRPr="73846790" w:rsidR="006B4556">
        <w:rPr>
          <w:rFonts w:eastAsia="Calibri"/>
        </w:rPr>
        <w:t>}.</w:t>
      </w:r>
    </w:p>
    <w:p w:rsidR="005244C8" w:rsidP="00777D2C" w14:paraId="29F9B013" w14:textId="77777777">
      <w:pPr>
        <w:spacing w:after="0"/>
        <w:jc w:val="center"/>
        <w:rPr>
          <w:b/>
          <w:bCs/>
        </w:rPr>
      </w:pPr>
    </w:p>
    <w:p w:rsidR="006B22A9" w:rsidRPr="00732012" w:rsidP="00777D2C" w14:paraId="7020CDC7" w14:textId="48F58E1B">
      <w:pPr>
        <w:spacing w:after="0"/>
        <w:jc w:val="center"/>
        <w:rPr>
          <w:b/>
          <w:bCs/>
        </w:rPr>
      </w:pPr>
      <w:r w:rsidRPr="73846790">
        <w:rPr>
          <w:b/>
          <w:bCs/>
        </w:rPr>
        <w:t xml:space="preserve">TABLE </w:t>
      </w:r>
      <w:r w:rsidRPr="73846790" w:rsidR="0015290C">
        <w:rPr>
          <w:b/>
          <w:bCs/>
        </w:rPr>
        <w:t>1</w:t>
      </w:r>
      <w:r w:rsidR="00943517">
        <w:rPr>
          <w:b/>
          <w:bCs/>
        </w:rPr>
        <w:t>7</w:t>
      </w:r>
      <w:r w:rsidRPr="73846790">
        <w:rPr>
          <w:b/>
          <w:bCs/>
        </w:rPr>
        <w:t xml:space="preserve">: </w:t>
      </w:r>
      <w:bookmarkStart w:id="2" w:name="_Hlk515182434"/>
      <w:r w:rsidRPr="73846790">
        <w:rPr>
          <w:b/>
          <w:bCs/>
        </w:rPr>
        <w:t xml:space="preserve">Burden Estimates </w:t>
      </w:r>
      <w:bookmarkEnd w:id="2"/>
      <w:r w:rsidRPr="73846790">
        <w:rPr>
          <w:b/>
          <w:bCs/>
        </w:rPr>
        <w:t>for Call for Quality Measures</w:t>
      </w:r>
      <w:r w:rsidRPr="73846790" w:rsidR="00FB13FB">
        <w:rPr>
          <w:b/>
          <w:bCs/>
        </w:rPr>
        <w:t xml:space="preserve"> </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0"/>
        <w:gridCol w:w="1100"/>
      </w:tblGrid>
      <w:tr w14:paraId="610F9ED6" w14:textId="77777777" w:rsidTr="007F64F4">
        <w:tblPrEx>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22"/>
          <w:tblHeader/>
          <w:jc w:val="center"/>
        </w:trPr>
        <w:tc>
          <w:tcPr>
            <w:tcW w:w="8550" w:type="dxa"/>
            <w:shd w:val="clear" w:color="auto" w:fill="auto"/>
            <w:vAlign w:val="center"/>
            <w:hideMark/>
          </w:tcPr>
          <w:p w:rsidR="006B22A9" w:rsidRPr="006B22A9" w:rsidP="00A13C65"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100" w:type="dxa"/>
            <w:shd w:val="clear" w:color="auto" w:fill="auto"/>
            <w:hideMark/>
          </w:tcPr>
          <w:p w:rsidR="006B22A9" w:rsidRPr="00732012" w:rsidP="00A13C65" w14:paraId="04342F84" w14:textId="3F0AA110">
            <w:pPr>
              <w:spacing w:after="0"/>
              <w:rPr>
                <w:b/>
                <w:bCs/>
                <w:sz w:val="20"/>
                <w:szCs w:val="20"/>
              </w:rPr>
            </w:pPr>
            <w:r w:rsidRPr="00732012">
              <w:rPr>
                <w:b/>
                <w:bCs/>
                <w:sz w:val="20"/>
                <w:szCs w:val="20"/>
              </w:rPr>
              <w:t xml:space="preserve">Burden </w:t>
            </w:r>
            <w:r w:rsidR="002E799B">
              <w:rPr>
                <w:b/>
                <w:bCs/>
                <w:sz w:val="20"/>
                <w:szCs w:val="20"/>
              </w:rPr>
              <w:t>E</w:t>
            </w:r>
            <w:r w:rsidRPr="00732012">
              <w:rPr>
                <w:b/>
                <w:bCs/>
                <w:sz w:val="20"/>
                <w:szCs w:val="20"/>
              </w:rPr>
              <w:t>stimate</w:t>
            </w:r>
          </w:p>
        </w:tc>
      </w:tr>
      <w:tr w14:paraId="41B39028" w14:textId="77777777" w:rsidTr="007F64F4">
        <w:tblPrEx>
          <w:tblW w:w="9650" w:type="dxa"/>
          <w:jc w:val="center"/>
          <w:tblLook w:val="04A0"/>
        </w:tblPrEx>
        <w:trPr>
          <w:trHeight w:val="300"/>
          <w:jc w:val="center"/>
        </w:trPr>
        <w:tc>
          <w:tcPr>
            <w:tcW w:w="8550" w:type="dxa"/>
            <w:shd w:val="clear" w:color="auto" w:fill="auto"/>
            <w:hideMark/>
          </w:tcPr>
          <w:p w:rsidR="006B22A9" w:rsidRPr="00732012" w:rsidP="00A13C65" w14:paraId="2F4D6750" w14:textId="77777777">
            <w:pPr>
              <w:spacing w:after="0"/>
              <w:rPr>
                <w:sz w:val="20"/>
                <w:szCs w:val="20"/>
              </w:rPr>
            </w:pPr>
            <w:r w:rsidRPr="00732012">
              <w:rPr>
                <w:sz w:val="20"/>
                <w:szCs w:val="20"/>
              </w:rPr>
              <w:t># of Organizations Nominating New Quality Measures (a)</w:t>
            </w:r>
          </w:p>
        </w:tc>
        <w:tc>
          <w:tcPr>
            <w:tcW w:w="1100" w:type="dxa"/>
            <w:shd w:val="clear" w:color="auto" w:fill="auto"/>
            <w:noWrap/>
            <w:hideMark/>
          </w:tcPr>
          <w:p w:rsidR="006B22A9" w:rsidRPr="00732012" w:rsidP="00A13C65" w14:paraId="47812D4C" w14:textId="75BB8E8E">
            <w:pPr>
              <w:spacing w:after="0"/>
              <w:rPr>
                <w:sz w:val="20"/>
                <w:szCs w:val="20"/>
              </w:rPr>
            </w:pPr>
            <w:r>
              <w:rPr>
                <w:sz w:val="20"/>
                <w:szCs w:val="20"/>
              </w:rPr>
              <w:t xml:space="preserve">                           31</w:t>
            </w:r>
          </w:p>
        </w:tc>
      </w:tr>
      <w:tr w14:paraId="3BF7B2D0" w14:textId="77777777" w:rsidTr="003D29BA">
        <w:tblPrEx>
          <w:tblW w:w="9650" w:type="dxa"/>
          <w:jc w:val="center"/>
          <w:tblLook w:val="04A0"/>
        </w:tblPrEx>
        <w:trPr>
          <w:trHeight w:val="305"/>
          <w:jc w:val="center"/>
        </w:trPr>
        <w:tc>
          <w:tcPr>
            <w:tcW w:w="8550" w:type="dxa"/>
            <w:shd w:val="clear" w:color="auto" w:fill="auto"/>
            <w:hideMark/>
          </w:tcPr>
          <w:p w:rsidR="00943517" w:rsidRPr="00732012" w:rsidP="00943517" w14:paraId="20AE1651" w14:textId="3AC9B619">
            <w:pPr>
              <w:spacing w:after="0"/>
              <w:rPr>
                <w:sz w:val="20"/>
                <w:szCs w:val="20"/>
              </w:rPr>
            </w:pPr>
            <w:r w:rsidRPr="00732012">
              <w:rPr>
                <w:sz w:val="20"/>
                <w:szCs w:val="20"/>
              </w:rPr>
              <w:t xml:space="preserve"># of Hours Per </w:t>
            </w:r>
            <w:r>
              <w:rPr>
                <w:sz w:val="20"/>
                <w:szCs w:val="20"/>
              </w:rPr>
              <w:t>Medical and health services manager</w:t>
            </w:r>
            <w:r w:rsidRPr="00732012">
              <w:rPr>
                <w:sz w:val="20"/>
                <w:szCs w:val="20"/>
              </w:rPr>
              <w:t xml:space="preserve"> to Identify and Propose Measure (b) </w:t>
            </w:r>
          </w:p>
        </w:tc>
        <w:tc>
          <w:tcPr>
            <w:tcW w:w="1100" w:type="dxa"/>
            <w:shd w:val="clear" w:color="auto" w:fill="auto"/>
            <w:noWrap/>
            <w:vAlign w:val="center"/>
            <w:hideMark/>
          </w:tcPr>
          <w:p w:rsidR="00943517" w:rsidRPr="00732012" w:rsidP="00943517" w14:paraId="519AD55A" w14:textId="3758C1B1">
            <w:pPr>
              <w:spacing w:after="0"/>
              <w:rPr>
                <w:sz w:val="20"/>
                <w:szCs w:val="20"/>
              </w:rPr>
            </w:pPr>
            <w:r>
              <w:rPr>
                <w:rFonts w:eastAsia="Calibri"/>
                <w:sz w:val="20"/>
                <w:szCs w:val="20"/>
              </w:rPr>
              <w:t xml:space="preserve">                          </w:t>
            </w:r>
            <w:r w:rsidRPr="00D95EFA">
              <w:rPr>
                <w:rFonts w:eastAsia="Calibri"/>
                <w:sz w:val="20"/>
                <w:szCs w:val="20"/>
              </w:rPr>
              <w:t>2.4</w:t>
            </w:r>
          </w:p>
        </w:tc>
      </w:tr>
      <w:tr w14:paraId="6B8A1C80" w14:textId="77777777" w:rsidTr="003D29BA">
        <w:tblPrEx>
          <w:tblW w:w="9650" w:type="dxa"/>
          <w:jc w:val="center"/>
          <w:tblLook w:val="04A0"/>
        </w:tblPrEx>
        <w:trPr>
          <w:trHeight w:val="260"/>
          <w:jc w:val="center"/>
        </w:trPr>
        <w:tc>
          <w:tcPr>
            <w:tcW w:w="8550" w:type="dxa"/>
            <w:shd w:val="clear" w:color="auto" w:fill="auto"/>
          </w:tcPr>
          <w:p w:rsidR="00943517" w:rsidRPr="00732012" w:rsidP="00943517" w14:paraId="2893BC97" w14:textId="458C7489">
            <w:pPr>
              <w:spacing w:after="0"/>
              <w:rPr>
                <w:sz w:val="20"/>
                <w:szCs w:val="20"/>
              </w:rPr>
            </w:pPr>
            <w:r w:rsidRPr="00732012">
              <w:rPr>
                <w:sz w:val="20"/>
                <w:szCs w:val="20"/>
              </w:rPr>
              <w:t># of Hours Per</w:t>
            </w:r>
            <w:r>
              <w:rPr>
                <w:sz w:val="20"/>
                <w:szCs w:val="20"/>
              </w:rPr>
              <w:t xml:space="preserve"> Clinician to Identify Measure (c)</w:t>
            </w:r>
          </w:p>
        </w:tc>
        <w:tc>
          <w:tcPr>
            <w:tcW w:w="1100" w:type="dxa"/>
            <w:shd w:val="clear" w:color="auto" w:fill="auto"/>
            <w:vAlign w:val="center"/>
          </w:tcPr>
          <w:p w:rsidR="00943517" w:rsidRPr="00732012" w:rsidP="00943517" w14:paraId="46B6BD54" w14:textId="630B708D">
            <w:pPr>
              <w:spacing w:after="0"/>
              <w:rPr>
                <w:sz w:val="20"/>
                <w:szCs w:val="20"/>
              </w:rPr>
            </w:pPr>
            <w:r>
              <w:rPr>
                <w:rFonts w:eastAsia="Calibri"/>
                <w:sz w:val="20"/>
                <w:szCs w:val="20"/>
              </w:rPr>
              <w:t xml:space="preserve">                          </w:t>
            </w:r>
            <w:r w:rsidRPr="00D95EFA">
              <w:rPr>
                <w:rFonts w:eastAsia="Calibri"/>
                <w:sz w:val="20"/>
                <w:szCs w:val="20"/>
              </w:rPr>
              <w:t>1.1</w:t>
            </w:r>
          </w:p>
        </w:tc>
      </w:tr>
      <w:tr w14:paraId="0834FAE6" w14:textId="77777777" w:rsidTr="003D29BA">
        <w:tblPrEx>
          <w:tblW w:w="9650" w:type="dxa"/>
          <w:jc w:val="center"/>
          <w:tblLook w:val="04A0"/>
        </w:tblPrEx>
        <w:trPr>
          <w:trHeight w:val="260"/>
          <w:jc w:val="center"/>
        </w:trPr>
        <w:tc>
          <w:tcPr>
            <w:tcW w:w="8550" w:type="dxa"/>
            <w:shd w:val="clear" w:color="auto" w:fill="auto"/>
          </w:tcPr>
          <w:p w:rsidR="00943517" w:rsidRPr="00732012" w:rsidP="00943517" w14:paraId="2C74444D" w14:textId="77777777">
            <w:pPr>
              <w:spacing w:after="0"/>
              <w:rPr>
                <w:sz w:val="20"/>
                <w:szCs w:val="20"/>
              </w:rPr>
            </w:pPr>
            <w:r w:rsidRPr="00732012">
              <w:rPr>
                <w:sz w:val="20"/>
                <w:szCs w:val="20"/>
              </w:rPr>
              <w:t># of Hours Per Clinician to Complete Peer Review Article Form (d)</w:t>
            </w:r>
          </w:p>
        </w:tc>
        <w:tc>
          <w:tcPr>
            <w:tcW w:w="1100" w:type="dxa"/>
            <w:shd w:val="clear" w:color="auto" w:fill="auto"/>
            <w:vAlign w:val="center"/>
          </w:tcPr>
          <w:p w:rsidR="00943517" w:rsidRPr="00732012" w:rsidP="00943517" w14:paraId="036D03BC" w14:textId="48E9B57A">
            <w:pPr>
              <w:spacing w:after="0"/>
              <w:rPr>
                <w:sz w:val="20"/>
                <w:szCs w:val="20"/>
              </w:rPr>
            </w:pPr>
            <w:r>
              <w:rPr>
                <w:rFonts w:eastAsia="Calibri"/>
                <w:sz w:val="20"/>
                <w:szCs w:val="20"/>
              </w:rPr>
              <w:t xml:space="preserve">                            </w:t>
            </w:r>
            <w:r w:rsidRPr="00D95EFA">
              <w:rPr>
                <w:rFonts w:eastAsia="Calibri"/>
                <w:sz w:val="20"/>
                <w:szCs w:val="20"/>
              </w:rPr>
              <w:t>2</w:t>
            </w:r>
          </w:p>
        </w:tc>
      </w:tr>
      <w:tr w14:paraId="4297F89F" w14:textId="77777777" w:rsidTr="003D29BA">
        <w:tblPrEx>
          <w:tblW w:w="9650" w:type="dxa"/>
          <w:jc w:val="center"/>
          <w:tblLook w:val="04A0"/>
        </w:tblPrEx>
        <w:trPr>
          <w:trHeight w:val="300"/>
          <w:jc w:val="center"/>
        </w:trPr>
        <w:tc>
          <w:tcPr>
            <w:tcW w:w="8550" w:type="dxa"/>
            <w:shd w:val="clear" w:color="auto" w:fill="auto"/>
            <w:hideMark/>
          </w:tcPr>
          <w:p w:rsidR="00943517" w:rsidRPr="00732012" w:rsidP="00943517"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100" w:type="dxa"/>
            <w:shd w:val="clear" w:color="auto" w:fill="auto"/>
            <w:vAlign w:val="center"/>
            <w:hideMark/>
          </w:tcPr>
          <w:p w:rsidR="00943517" w:rsidRPr="00732012" w:rsidP="00943517" w14:paraId="0E753C53" w14:textId="69C22B3C">
            <w:pPr>
              <w:spacing w:after="0"/>
              <w:rPr>
                <w:sz w:val="20"/>
                <w:szCs w:val="20"/>
              </w:rPr>
            </w:pPr>
            <w:r>
              <w:rPr>
                <w:rFonts w:eastAsia="Calibri"/>
                <w:sz w:val="20"/>
                <w:szCs w:val="20"/>
              </w:rPr>
              <w:t xml:space="preserve">                          </w:t>
            </w:r>
            <w:r w:rsidRPr="00D95EFA">
              <w:rPr>
                <w:rFonts w:eastAsia="Calibri"/>
                <w:sz w:val="20"/>
                <w:szCs w:val="20"/>
              </w:rPr>
              <w:t>5.5</w:t>
            </w:r>
          </w:p>
        </w:tc>
      </w:tr>
      <w:tr w14:paraId="6FD34A13" w14:textId="77777777" w:rsidTr="003D29BA">
        <w:tblPrEx>
          <w:tblW w:w="9650" w:type="dxa"/>
          <w:jc w:val="center"/>
          <w:tblLook w:val="04A0"/>
        </w:tblPrEx>
        <w:trPr>
          <w:trHeight w:val="300"/>
          <w:jc w:val="center"/>
        </w:trPr>
        <w:tc>
          <w:tcPr>
            <w:tcW w:w="8550" w:type="dxa"/>
            <w:shd w:val="clear" w:color="auto" w:fill="E7E6E6" w:themeFill="background2"/>
            <w:hideMark/>
          </w:tcPr>
          <w:p w:rsidR="00943517" w:rsidRPr="00014265" w:rsidP="00943517" w14:paraId="5B29B5A4" w14:textId="27164E58">
            <w:pPr>
              <w:spacing w:after="0"/>
              <w:rPr>
                <w:b/>
                <w:sz w:val="20"/>
                <w:szCs w:val="20"/>
              </w:rPr>
            </w:pPr>
            <w:r w:rsidRPr="00014265">
              <w:rPr>
                <w:b/>
                <w:sz w:val="20"/>
                <w:szCs w:val="20"/>
              </w:rPr>
              <w:t>Total Annual Hours (f) = (a)</w:t>
            </w:r>
            <w:r>
              <w:t xml:space="preserve"> </w:t>
            </w:r>
            <w:r w:rsidRPr="00664C9B">
              <w:rPr>
                <w:sz w:val="20"/>
                <w:szCs w:val="20"/>
              </w:rPr>
              <w:t>[</w:t>
            </w:r>
            <w:r w:rsidRPr="00664C9B">
              <w:rPr>
                <w:b/>
                <w:sz w:val="20"/>
                <w:szCs w:val="20"/>
              </w:rPr>
              <w:t>x]</w:t>
            </w:r>
            <w:r w:rsidRPr="000E7CDD">
              <w:rPr>
                <w:b/>
                <w:sz w:val="20"/>
                <w:szCs w:val="20"/>
              </w:rPr>
              <w:t xml:space="preserve"> </w:t>
            </w:r>
            <w:r w:rsidRPr="00014265">
              <w:rPr>
                <w:b/>
                <w:sz w:val="20"/>
                <w:szCs w:val="20"/>
              </w:rPr>
              <w:t>(e)</w:t>
            </w:r>
          </w:p>
        </w:tc>
        <w:tc>
          <w:tcPr>
            <w:tcW w:w="1100" w:type="dxa"/>
            <w:shd w:val="clear" w:color="auto" w:fill="E7E6E6" w:themeFill="background2"/>
            <w:vAlign w:val="center"/>
            <w:hideMark/>
          </w:tcPr>
          <w:p w:rsidR="00943517" w:rsidRPr="00014265" w:rsidP="00943517" w14:paraId="6A2A3229" w14:textId="2E41570D">
            <w:pPr>
              <w:spacing w:after="0"/>
              <w:rPr>
                <w:b/>
                <w:sz w:val="20"/>
                <w:szCs w:val="20"/>
              </w:rPr>
            </w:pPr>
            <w:r>
              <w:rPr>
                <w:rFonts w:eastAsia="Calibri"/>
                <w:b/>
                <w:bCs/>
                <w:sz w:val="20"/>
                <w:szCs w:val="20"/>
              </w:rPr>
              <w:t xml:space="preserve">                         </w:t>
            </w:r>
            <w:r w:rsidRPr="00D95EFA">
              <w:rPr>
                <w:rFonts w:eastAsia="Calibri"/>
                <w:b/>
                <w:bCs/>
                <w:sz w:val="20"/>
                <w:szCs w:val="20"/>
              </w:rPr>
              <w:t>171</w:t>
            </w:r>
          </w:p>
        </w:tc>
      </w:tr>
      <w:tr w14:paraId="1BBE3160" w14:textId="77777777" w:rsidTr="003D29BA">
        <w:tblPrEx>
          <w:tblW w:w="9650" w:type="dxa"/>
          <w:jc w:val="center"/>
          <w:tblLook w:val="04A0"/>
        </w:tblPrEx>
        <w:trPr>
          <w:trHeight w:val="233"/>
          <w:jc w:val="center"/>
        </w:trPr>
        <w:tc>
          <w:tcPr>
            <w:tcW w:w="8550" w:type="dxa"/>
            <w:shd w:val="clear" w:color="auto" w:fill="auto"/>
            <w:hideMark/>
          </w:tcPr>
          <w:p w:rsidR="00943517" w:rsidRPr="00732012" w:rsidP="00943517" w14:paraId="17CDAC6C" w14:textId="3F7CDB61">
            <w:pPr>
              <w:spacing w:after="0"/>
              <w:rPr>
                <w:sz w:val="20"/>
                <w:szCs w:val="20"/>
              </w:rPr>
            </w:pPr>
            <w:r w:rsidRPr="00732012">
              <w:rPr>
                <w:sz w:val="20"/>
                <w:szCs w:val="20"/>
              </w:rPr>
              <w:t>Cost to Identify and Submit Measure (@</w:t>
            </w:r>
            <w:r>
              <w:rPr>
                <w:sz w:val="20"/>
                <w:szCs w:val="20"/>
              </w:rPr>
              <w:t>practice administrator</w:t>
            </w:r>
            <w:r w:rsidRPr="00732012">
              <w:rPr>
                <w:sz w:val="20"/>
                <w:szCs w:val="20"/>
              </w:rPr>
              <w:t>'s labor rate of $1</w:t>
            </w:r>
            <w:r w:rsidR="00246854">
              <w:rPr>
                <w:sz w:val="20"/>
                <w:szCs w:val="20"/>
              </w:rPr>
              <w:t>23.06</w:t>
            </w:r>
            <w:r w:rsidRPr="00732012">
              <w:rPr>
                <w:sz w:val="20"/>
                <w:szCs w:val="20"/>
              </w:rPr>
              <w:t xml:space="preserve">/hr.) </w:t>
            </w:r>
            <w:r w:rsidR="007F2F93">
              <w:rPr>
                <w:sz w:val="20"/>
                <w:szCs w:val="20"/>
              </w:rPr>
              <w:t>[</w:t>
            </w:r>
            <w:r w:rsidRPr="000E7CDD">
              <w:rPr>
                <w:sz w:val="20"/>
                <w:szCs w:val="20"/>
              </w:rPr>
              <w:t>x</w:t>
            </w:r>
            <w:r w:rsidR="007F2F93">
              <w:rPr>
                <w:sz w:val="20"/>
                <w:szCs w:val="20"/>
              </w:rPr>
              <w:t>]</w:t>
            </w:r>
            <w:r w:rsidRPr="000E7CDD">
              <w:rPr>
                <w:sz w:val="20"/>
                <w:szCs w:val="20"/>
              </w:rPr>
              <w:t xml:space="preserve"> </w:t>
            </w:r>
            <w:r>
              <w:rPr>
                <w:sz w:val="20"/>
                <w:szCs w:val="20"/>
              </w:rPr>
              <w:t xml:space="preserve">2.4 hr </w:t>
            </w:r>
            <w:r w:rsidRPr="00732012">
              <w:rPr>
                <w:sz w:val="20"/>
                <w:szCs w:val="20"/>
              </w:rPr>
              <w:t>(g)</w:t>
            </w:r>
          </w:p>
        </w:tc>
        <w:tc>
          <w:tcPr>
            <w:tcW w:w="1100" w:type="dxa"/>
            <w:shd w:val="clear" w:color="auto" w:fill="auto"/>
            <w:vAlign w:val="center"/>
            <w:hideMark/>
          </w:tcPr>
          <w:p w:rsidR="00943517" w:rsidRPr="00732012" w:rsidP="00943517" w14:paraId="485C65E7" w14:textId="4A680A08">
            <w:pPr>
              <w:spacing w:after="0"/>
              <w:rPr>
                <w:sz w:val="20"/>
                <w:szCs w:val="20"/>
              </w:rPr>
            </w:pPr>
            <w:r>
              <w:rPr>
                <w:rFonts w:eastAsia="Calibri"/>
                <w:sz w:val="20"/>
                <w:szCs w:val="20"/>
              </w:rPr>
              <w:t xml:space="preserve">                   </w:t>
            </w:r>
            <w:r w:rsidRPr="00D95EFA">
              <w:rPr>
                <w:rFonts w:eastAsia="Calibri"/>
                <w:sz w:val="20"/>
                <w:szCs w:val="20"/>
              </w:rPr>
              <w:t>$2</w:t>
            </w:r>
            <w:r>
              <w:rPr>
                <w:rFonts w:eastAsia="Calibri"/>
                <w:sz w:val="20"/>
                <w:szCs w:val="20"/>
              </w:rPr>
              <w:t>95.34</w:t>
            </w:r>
          </w:p>
        </w:tc>
      </w:tr>
      <w:tr w14:paraId="1BE99EB6" w14:textId="77777777" w:rsidTr="003D29BA">
        <w:tblPrEx>
          <w:tblW w:w="9650" w:type="dxa"/>
          <w:jc w:val="center"/>
          <w:tblLook w:val="04A0"/>
        </w:tblPrEx>
        <w:trPr>
          <w:trHeight w:val="242"/>
          <w:jc w:val="center"/>
        </w:trPr>
        <w:tc>
          <w:tcPr>
            <w:tcW w:w="8550" w:type="dxa"/>
            <w:shd w:val="clear" w:color="auto" w:fill="auto"/>
            <w:hideMark/>
          </w:tcPr>
          <w:p w:rsidR="00943517" w:rsidRPr="00732012" w:rsidP="00943517" w14:paraId="6A78FD46" w14:textId="2714B128">
            <w:pPr>
              <w:spacing w:after="0"/>
              <w:rPr>
                <w:sz w:val="20"/>
                <w:szCs w:val="20"/>
              </w:rPr>
            </w:pPr>
            <w:r w:rsidRPr="00732012">
              <w:rPr>
                <w:sz w:val="20"/>
                <w:szCs w:val="20"/>
              </w:rPr>
              <w:t>Cost to Identify Quality Measure and Complete Peer Review Article Form (@ physician’s labor rate of $2</w:t>
            </w:r>
            <w:r w:rsidR="00DD1355">
              <w:rPr>
                <w:sz w:val="20"/>
                <w:szCs w:val="20"/>
              </w:rPr>
              <w:t>74.44</w:t>
            </w:r>
            <w:r w:rsidRPr="00732012">
              <w:rPr>
                <w:sz w:val="20"/>
                <w:szCs w:val="20"/>
              </w:rPr>
              <w:t>/hr.)</w:t>
            </w:r>
            <w:r>
              <w:rPr>
                <w:sz w:val="20"/>
                <w:szCs w:val="20"/>
              </w:rPr>
              <w:t xml:space="preserve"> </w:t>
            </w:r>
            <w:r w:rsidR="007F2F93">
              <w:rPr>
                <w:sz w:val="20"/>
                <w:szCs w:val="20"/>
              </w:rPr>
              <w:t>[</w:t>
            </w:r>
            <w:r w:rsidRPr="000E7CDD">
              <w:rPr>
                <w:sz w:val="20"/>
                <w:szCs w:val="20"/>
              </w:rPr>
              <w:t>x</w:t>
            </w:r>
            <w:r w:rsidR="007F2F93">
              <w:rPr>
                <w:sz w:val="20"/>
                <w:szCs w:val="20"/>
              </w:rPr>
              <w:t>]</w:t>
            </w:r>
            <w:r w:rsidRPr="000E7CDD">
              <w:rPr>
                <w:sz w:val="20"/>
                <w:szCs w:val="20"/>
              </w:rPr>
              <w:t xml:space="preserve"> </w:t>
            </w:r>
            <w:r>
              <w:rPr>
                <w:sz w:val="20"/>
                <w:szCs w:val="20"/>
              </w:rPr>
              <w:t>3.1 hr</w:t>
            </w:r>
            <w:r w:rsidRPr="00732012">
              <w:rPr>
                <w:sz w:val="20"/>
                <w:szCs w:val="20"/>
              </w:rPr>
              <w:t xml:space="preserve"> (h)</w:t>
            </w:r>
          </w:p>
        </w:tc>
        <w:tc>
          <w:tcPr>
            <w:tcW w:w="1100" w:type="dxa"/>
            <w:shd w:val="clear" w:color="auto" w:fill="auto"/>
            <w:noWrap/>
            <w:vAlign w:val="center"/>
            <w:hideMark/>
          </w:tcPr>
          <w:p w:rsidR="00943517" w:rsidRPr="00732012" w:rsidP="00943517" w14:paraId="3E99589F" w14:textId="5C3BF840">
            <w:pPr>
              <w:spacing w:after="0"/>
              <w:rPr>
                <w:sz w:val="20"/>
                <w:szCs w:val="20"/>
              </w:rPr>
            </w:pPr>
            <w:r>
              <w:rPr>
                <w:rFonts w:eastAsia="Calibri"/>
                <w:sz w:val="20"/>
                <w:szCs w:val="20"/>
              </w:rPr>
              <w:t xml:space="preserve">                   </w:t>
            </w:r>
            <w:r w:rsidRPr="00D95EFA">
              <w:rPr>
                <w:rFonts w:eastAsia="Calibri"/>
                <w:sz w:val="20"/>
                <w:szCs w:val="20"/>
              </w:rPr>
              <w:t>$8</w:t>
            </w:r>
            <w:r>
              <w:rPr>
                <w:rFonts w:eastAsia="Calibri"/>
                <w:sz w:val="20"/>
                <w:szCs w:val="20"/>
              </w:rPr>
              <w:t>50.77</w:t>
            </w:r>
          </w:p>
        </w:tc>
      </w:tr>
      <w:tr w14:paraId="719EF507" w14:textId="77777777" w:rsidTr="003D29BA">
        <w:tblPrEx>
          <w:tblW w:w="9650" w:type="dxa"/>
          <w:jc w:val="center"/>
          <w:tblLook w:val="04A0"/>
        </w:tblPrEx>
        <w:trPr>
          <w:trHeight w:val="300"/>
          <w:jc w:val="center"/>
        </w:trPr>
        <w:tc>
          <w:tcPr>
            <w:tcW w:w="8550" w:type="dxa"/>
            <w:shd w:val="clear" w:color="auto" w:fill="auto"/>
            <w:hideMark/>
          </w:tcPr>
          <w:p w:rsidR="00943517" w:rsidRPr="00732012" w:rsidP="00943517" w14:paraId="6C7A6283" w14:textId="2ECFF46C">
            <w:pPr>
              <w:spacing w:after="0"/>
              <w:rPr>
                <w:sz w:val="20"/>
                <w:szCs w:val="20"/>
              </w:rPr>
            </w:pPr>
            <w:r w:rsidRPr="00732012">
              <w:rPr>
                <w:sz w:val="20"/>
                <w:szCs w:val="20"/>
              </w:rPr>
              <w:t>Total Annual Cost Per Respondent (i)</w:t>
            </w:r>
            <w:r w:rsidR="008E6E9A">
              <w:rPr>
                <w:sz w:val="20"/>
                <w:szCs w:val="20"/>
              </w:rPr>
              <w:t xml:space="preserve"> </w:t>
            </w:r>
            <w:r w:rsidRPr="00732012">
              <w:rPr>
                <w:sz w:val="20"/>
                <w:szCs w:val="20"/>
              </w:rPr>
              <w:t>=</w:t>
            </w:r>
            <w:r w:rsidR="008E6E9A">
              <w:rPr>
                <w:sz w:val="20"/>
                <w:szCs w:val="20"/>
              </w:rPr>
              <w:t xml:space="preserve"> </w:t>
            </w:r>
            <w:r w:rsidRPr="00732012">
              <w:rPr>
                <w:sz w:val="20"/>
                <w:szCs w:val="20"/>
              </w:rPr>
              <w:t>(g)</w:t>
            </w:r>
            <w:r w:rsidR="005F42D9">
              <w:rPr>
                <w:sz w:val="20"/>
                <w:szCs w:val="20"/>
              </w:rPr>
              <w:t xml:space="preserve"> </w:t>
            </w:r>
            <w:r w:rsidRPr="00732012">
              <w:rPr>
                <w:sz w:val="20"/>
                <w:szCs w:val="20"/>
              </w:rPr>
              <w:t>+</w:t>
            </w:r>
            <w:r w:rsidR="005F42D9">
              <w:rPr>
                <w:sz w:val="20"/>
                <w:szCs w:val="20"/>
              </w:rPr>
              <w:t xml:space="preserve"> </w:t>
            </w:r>
            <w:r w:rsidRPr="00732012">
              <w:rPr>
                <w:sz w:val="20"/>
                <w:szCs w:val="20"/>
              </w:rPr>
              <w:t>(h)</w:t>
            </w:r>
          </w:p>
        </w:tc>
        <w:tc>
          <w:tcPr>
            <w:tcW w:w="1100" w:type="dxa"/>
            <w:shd w:val="clear" w:color="auto" w:fill="auto"/>
            <w:noWrap/>
            <w:vAlign w:val="center"/>
            <w:hideMark/>
          </w:tcPr>
          <w:p w:rsidR="00943517" w:rsidRPr="00732012" w:rsidP="00943517" w14:paraId="2E2236D9" w14:textId="042A5AFE">
            <w:pPr>
              <w:spacing w:after="0"/>
              <w:rPr>
                <w:sz w:val="20"/>
                <w:szCs w:val="20"/>
              </w:rPr>
            </w:pPr>
            <w:r>
              <w:rPr>
                <w:rFonts w:eastAsia="Calibri"/>
                <w:sz w:val="20"/>
                <w:szCs w:val="20"/>
              </w:rPr>
              <w:t xml:space="preserve">                </w:t>
            </w:r>
            <w:r w:rsidRPr="00D95EFA">
              <w:rPr>
                <w:rFonts w:eastAsia="Calibri"/>
                <w:sz w:val="20"/>
                <w:szCs w:val="20"/>
              </w:rPr>
              <w:t>$1,</w:t>
            </w:r>
            <w:r>
              <w:rPr>
                <w:rFonts w:eastAsia="Calibri"/>
                <w:sz w:val="20"/>
                <w:szCs w:val="20"/>
              </w:rPr>
              <w:t>146.11</w:t>
            </w:r>
          </w:p>
        </w:tc>
      </w:tr>
      <w:tr w14:paraId="450A965A" w14:textId="77777777" w:rsidTr="003D29BA">
        <w:tblPrEx>
          <w:tblW w:w="9650" w:type="dxa"/>
          <w:jc w:val="center"/>
          <w:tblLook w:val="04A0"/>
        </w:tblPrEx>
        <w:trPr>
          <w:trHeight w:val="300"/>
          <w:jc w:val="center"/>
        </w:trPr>
        <w:tc>
          <w:tcPr>
            <w:tcW w:w="8550" w:type="dxa"/>
            <w:shd w:val="clear" w:color="auto" w:fill="E7E6E6" w:themeFill="background2"/>
            <w:hideMark/>
          </w:tcPr>
          <w:p w:rsidR="00943517" w:rsidRPr="00014265" w:rsidP="00943517" w14:paraId="7A2AF158" w14:textId="72B8E206">
            <w:pPr>
              <w:spacing w:after="0"/>
              <w:rPr>
                <w:b/>
                <w:sz w:val="20"/>
                <w:szCs w:val="20"/>
              </w:rPr>
            </w:pPr>
            <w:r w:rsidRPr="00014265">
              <w:rPr>
                <w:b/>
                <w:sz w:val="20"/>
                <w:szCs w:val="20"/>
              </w:rPr>
              <w:t>Total Annual Cost (j)</w:t>
            </w:r>
            <w:r w:rsidR="00380529">
              <w:rPr>
                <w:b/>
                <w:sz w:val="20"/>
                <w:szCs w:val="20"/>
              </w:rPr>
              <w:t xml:space="preserve"> </w:t>
            </w:r>
            <w:r w:rsidRPr="00014265">
              <w:rPr>
                <w:b/>
                <w:sz w:val="20"/>
                <w:szCs w:val="20"/>
              </w:rPr>
              <w:t>=</w:t>
            </w:r>
            <w:r w:rsidR="00380529">
              <w:rPr>
                <w:b/>
                <w:sz w:val="20"/>
                <w:szCs w:val="20"/>
              </w:rPr>
              <w:t xml:space="preserve"> </w:t>
            </w:r>
            <w:r w:rsidRPr="00014265">
              <w:rPr>
                <w:b/>
                <w:sz w:val="20"/>
                <w:szCs w:val="20"/>
              </w:rPr>
              <w:t>(a)</w:t>
            </w:r>
            <w:r>
              <w:t xml:space="preserve"> </w:t>
            </w:r>
            <w:r w:rsidRPr="00664C9B">
              <w:rPr>
                <w:sz w:val="20"/>
                <w:szCs w:val="20"/>
              </w:rPr>
              <w:t>[</w:t>
            </w:r>
            <w:r w:rsidRPr="00664C9B">
              <w:rPr>
                <w:b/>
                <w:sz w:val="20"/>
                <w:szCs w:val="20"/>
              </w:rPr>
              <w:t>x]</w:t>
            </w:r>
            <w:r w:rsidRPr="000E7CDD">
              <w:rPr>
                <w:b/>
                <w:sz w:val="20"/>
                <w:szCs w:val="20"/>
              </w:rPr>
              <w:t xml:space="preserve"> </w:t>
            </w:r>
            <w:r w:rsidRPr="00014265">
              <w:rPr>
                <w:b/>
                <w:sz w:val="20"/>
                <w:szCs w:val="20"/>
              </w:rPr>
              <w:t>(i)</w:t>
            </w:r>
          </w:p>
        </w:tc>
        <w:tc>
          <w:tcPr>
            <w:tcW w:w="1100" w:type="dxa"/>
            <w:shd w:val="clear" w:color="auto" w:fill="E7E6E6" w:themeFill="background2"/>
            <w:noWrap/>
            <w:vAlign w:val="center"/>
            <w:hideMark/>
          </w:tcPr>
          <w:p w:rsidR="00943517" w:rsidRPr="00014265" w:rsidP="00943517" w14:paraId="5C79BB12" w14:textId="33C9693C">
            <w:pPr>
              <w:spacing w:after="0"/>
              <w:rPr>
                <w:b/>
                <w:sz w:val="20"/>
                <w:szCs w:val="20"/>
              </w:rPr>
            </w:pPr>
            <w:r>
              <w:rPr>
                <w:rFonts w:eastAsia="Calibri"/>
                <w:b/>
                <w:sz w:val="20"/>
                <w:szCs w:val="20"/>
              </w:rPr>
              <w:t xml:space="preserve">                   </w:t>
            </w:r>
            <w:r w:rsidRPr="00D95EFA">
              <w:rPr>
                <w:rFonts w:eastAsia="Calibri"/>
                <w:b/>
                <w:sz w:val="20"/>
                <w:szCs w:val="20"/>
              </w:rPr>
              <w:t>$3</w:t>
            </w:r>
            <w:r>
              <w:rPr>
                <w:rFonts w:eastAsia="Calibri"/>
                <w:b/>
                <w:sz w:val="20"/>
                <w:szCs w:val="20"/>
              </w:rPr>
              <w:t>5,529</w:t>
            </w:r>
          </w:p>
        </w:tc>
      </w:tr>
    </w:tbl>
    <w:p w:rsidR="000F2475" w:rsidRPr="003507A9" w:rsidP="003507A9" w14:paraId="0A0DF578" w14:textId="77777777">
      <w:pPr>
        <w:rPr>
          <w:rFonts w:eastAsia="Calibri"/>
        </w:rPr>
      </w:pPr>
    </w:p>
    <w:p w:rsidR="006B22A9" w:rsidRPr="00C45D11" w:rsidP="0011028A" w14:paraId="5B484AE7" w14:textId="314C5985">
      <w:pPr>
        <w:pStyle w:val="Heading3"/>
      </w:pPr>
      <w:r w:rsidRPr="00C45D11">
        <w:t>Burden Estimate for the Promoting Interoperability Performance Category</w:t>
      </w:r>
    </w:p>
    <w:p w:rsidR="006B22A9" w:rsidP="00E12B53" w14:paraId="273DD452" w14:textId="6261CDFD">
      <w:r w:rsidRPr="00D8379C">
        <w:rPr>
          <w:rFonts w:eastAsia="Calibri"/>
        </w:rPr>
        <w:t xml:space="preserve">For the </w:t>
      </w:r>
      <w:r w:rsidR="0042558C">
        <w:rPr>
          <w:rFonts w:eastAsia="Calibri"/>
        </w:rPr>
        <w:t xml:space="preserve">CY </w:t>
      </w:r>
      <w:r w:rsidRPr="00D8379C">
        <w:rPr>
          <w:rFonts w:eastAsia="Calibri"/>
        </w:rPr>
        <w:t>202</w:t>
      </w:r>
      <w:r w:rsidR="00683451">
        <w:rPr>
          <w:rFonts w:eastAsia="Calibri"/>
        </w:rPr>
        <w:t>4</w:t>
      </w:r>
      <w:r w:rsidR="00076EF1">
        <w:rPr>
          <w:rFonts w:eastAsia="Calibri"/>
        </w:rPr>
        <w:t xml:space="preserve"> </w:t>
      </w:r>
      <w:r w:rsidRPr="00D8379C">
        <w:rPr>
          <w:rFonts w:eastAsia="Calibri"/>
        </w:rPr>
        <w:t>performance period</w:t>
      </w:r>
      <w:r w:rsidR="0042558C">
        <w:rPr>
          <w:rFonts w:eastAsia="Calibri"/>
        </w:rPr>
        <w:t>/202</w:t>
      </w:r>
      <w:r w:rsidR="00683451">
        <w:rPr>
          <w:rFonts w:eastAsia="Calibri"/>
        </w:rPr>
        <w:t>6</w:t>
      </w:r>
      <w:r w:rsidR="0042558C">
        <w:rPr>
          <w:rFonts w:eastAsia="Calibri"/>
        </w:rPr>
        <w:t xml:space="preserve"> MIPS payment year</w:t>
      </w:r>
      <w:r w:rsidRPr="00D8379C">
        <w:rPr>
          <w:rFonts w:eastAsia="Calibri"/>
        </w:rPr>
        <w:t xml:space="preserve">, </w:t>
      </w:r>
      <w:r w:rsidR="00683451">
        <w:rPr>
          <w:rFonts w:eastAsia="Calibri"/>
        </w:rPr>
        <w:t xml:space="preserve">MIPS eligible </w:t>
      </w:r>
      <w:r w:rsidRPr="00D8379C">
        <w:rPr>
          <w:rFonts w:eastAsia="Calibri"/>
        </w:rPr>
        <w:t>clinicians and groups</w:t>
      </w:r>
      <w:r w:rsidR="00683451">
        <w:rPr>
          <w:rFonts w:eastAsia="Calibri"/>
        </w:rPr>
        <w:t>, subgroups, and APM Entities</w:t>
      </w:r>
      <w:r w:rsidRPr="00D8379C">
        <w:rPr>
          <w:rFonts w:eastAsia="Calibri"/>
        </w:rPr>
        <w:t xml:space="preserve"> can submit Promoting Interoperability data through direct, log in and upload, or log in and attest submission types. With the exception of submitters who elect to use the log in and attest submission type for the Promoting Interoperability performance </w:t>
      </w:r>
      <w:r w:rsidRPr="00D8379C">
        <w:rPr>
          <w:rFonts w:eastAsia="Calibri"/>
        </w:rPr>
        <w:t>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The following burden estimates show only incremental hours required above and beyond the time already accounted for in the quality data submission process. Although this analysis assesses burden by performance category and submission type, we emphasize MIPS is a consolidated program and submission analysis</w:t>
      </w:r>
      <w:r w:rsidR="004353C2">
        <w:rPr>
          <w:rFonts w:eastAsia="Calibri"/>
        </w:rPr>
        <w:t>,</w:t>
      </w:r>
      <w:r w:rsidRPr="00D8379C">
        <w:rPr>
          <w:rFonts w:eastAsia="Calibri"/>
        </w:rPr>
        <w:t xml:space="preserve"> and decisions are expected to be made for the </w:t>
      </w:r>
      <w:r w:rsidRPr="00D8379C" w:rsidR="001E7DBC">
        <w:rPr>
          <w:rFonts w:eastAsia="Calibri"/>
        </w:rPr>
        <w:t>program</w:t>
      </w:r>
      <w:r w:rsidRPr="00CC2BFB" w:rsidR="008D6B81">
        <w:rPr>
          <w:rFonts w:eastAsia="Calibri"/>
        </w:rPr>
        <w:t xml:space="preserve">. </w:t>
      </w:r>
    </w:p>
    <w:p w:rsidR="006B22A9" w:rsidRPr="00C45D11" w:rsidP="0011028A" w14:paraId="08EADA58" w14:textId="5D28527A">
      <w:pPr>
        <w:pStyle w:val="Heading4"/>
        <w:numPr>
          <w:ilvl w:val="0"/>
          <w:numId w:val="18"/>
        </w:numPr>
      </w:pPr>
      <w:r>
        <w:t xml:space="preserve">  </w:t>
      </w:r>
      <w:r w:rsidRPr="00C45D11">
        <w:t xml:space="preserve">Burden for </w:t>
      </w:r>
      <w:r w:rsidRPr="00C45D11" w:rsidR="0015290C">
        <w:t xml:space="preserve">Reweighting Applications for </w:t>
      </w:r>
      <w:r w:rsidRPr="00C45D11">
        <w:t xml:space="preserve">Promoting Interoperability </w:t>
      </w:r>
      <w:r w:rsidRPr="00C45D11" w:rsidR="0015290C">
        <w:t>and Other Performance Categories</w:t>
      </w:r>
    </w:p>
    <w:p w:rsidR="00920A23" w:rsidRPr="00920A23" w:rsidP="004E13F7" w14:paraId="55E71124" w14:textId="7E620573">
      <w:pPr>
        <w:keepNext/>
        <w:keepLines/>
        <w:rPr>
          <w:rFonts w:eastAsia="Calibri"/>
        </w:rPr>
      </w:pPr>
      <w:bookmarkStart w:id="3" w:name="_Hlk516984963"/>
      <w:r w:rsidRPr="00C25E67">
        <w:rPr>
          <w:rFonts w:eastAsia="Calibri"/>
        </w:rPr>
        <w:t xml:space="preserve">As established in the CY 2017 and CY 2018 Quality Payment Program final rules, MIPS eligible clinicians who meet the criteria for a significant hardship or other type of exception may </w:t>
      </w:r>
      <w:r w:rsidRPr="00C25E67">
        <w:rPr>
          <w:rFonts w:eastAsia="Calibri"/>
        </w:rPr>
        <w:t>submit an application</w:t>
      </w:r>
      <w:r w:rsidRPr="00C25E67">
        <w:rPr>
          <w:rFonts w:eastAsia="Calibri"/>
        </w:rPr>
        <w:t xml:space="preserve"> requesting a zero percent weighting for the Promoting Interoperability, quality, cost, and/or improvement activities performance categories under specific circumstances (81 FR 77240 through 77243, 82 FR 53680 through 53686, and 82 FR 53783 through 53785).  Respondents who apply for a reweighting for the quality, cost, and/or improvement activities performance categories have the option of applying for reweighting for the Promoting Interoperability performance category on the same online form. We assume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Pr>
          <w:rFonts w:eastAsia="Calibri"/>
        </w:rPr>
        <w:t xml:space="preserve">.    </w:t>
      </w:r>
    </w:p>
    <w:p w:rsidR="003D0A18" w:rsidRPr="00920A23" w:rsidP="003D0A18" w14:paraId="2A0F18D6" w14:textId="331E55C4">
      <w:pPr>
        <w:rPr>
          <w:rFonts w:eastAsia="Calibri"/>
        </w:rPr>
      </w:pPr>
      <w:r w:rsidRPr="00920A23">
        <w:rPr>
          <w:rFonts w:eastAsia="Calibri"/>
        </w:rPr>
        <w:t xml:space="preserve">Table </w:t>
      </w:r>
      <w:r>
        <w:rPr>
          <w:rFonts w:eastAsia="Calibri"/>
        </w:rPr>
        <w:t>1</w:t>
      </w:r>
      <w:r w:rsidR="00FC111D">
        <w:rPr>
          <w:rFonts w:eastAsia="Calibri"/>
        </w:rPr>
        <w:t>8</w:t>
      </w:r>
      <w:r w:rsidRPr="00920A23">
        <w:rPr>
          <w:rFonts w:eastAsia="Calibri"/>
        </w:rPr>
        <w:t xml:space="preserve"> </w:t>
      </w:r>
      <w:r w:rsidRPr="006F3E8B" w:rsidR="006F3E8B">
        <w:rPr>
          <w:rFonts w:eastAsia="Calibri"/>
        </w:rPr>
        <w:t xml:space="preserve">summarizes the burden for clinicians to apply for reweighting the Promoting Interoperability performance category to zero percent due to a significant hardship exception or </w:t>
      </w:r>
      <w:r w:rsidRPr="006F3E8B" w:rsidR="00123509">
        <w:rPr>
          <w:rFonts w:eastAsia="Calibri"/>
        </w:rPr>
        <w:t>because of</w:t>
      </w:r>
      <w:r w:rsidRPr="006F3E8B" w:rsidR="006F3E8B">
        <w:rPr>
          <w:rFonts w:eastAsia="Calibri"/>
        </w:rPr>
        <w:t xml:space="preserve"> a decertification of an EHR. Based on the number of reweighting applications received for the </w:t>
      </w:r>
      <w:r w:rsidR="004A3B10">
        <w:rPr>
          <w:rFonts w:eastAsia="Calibri"/>
        </w:rPr>
        <w:t>CY 20</w:t>
      </w:r>
      <w:r w:rsidR="00DB39C0">
        <w:rPr>
          <w:rFonts w:eastAsia="Calibri"/>
        </w:rPr>
        <w:t>2</w:t>
      </w:r>
      <w:r w:rsidR="00BE3AB2">
        <w:rPr>
          <w:rFonts w:eastAsia="Calibri"/>
        </w:rPr>
        <w:t>2</w:t>
      </w:r>
      <w:r w:rsidRPr="006F3E8B" w:rsidR="006F3E8B">
        <w:rPr>
          <w:rFonts w:eastAsia="Calibri"/>
        </w:rPr>
        <w:t xml:space="preserve"> performance period</w:t>
      </w:r>
      <w:r w:rsidR="00DB39C0">
        <w:rPr>
          <w:rFonts w:eastAsia="Calibri"/>
        </w:rPr>
        <w:t>/202</w:t>
      </w:r>
      <w:r w:rsidR="00BE3AB2">
        <w:rPr>
          <w:rFonts w:eastAsia="Calibri"/>
        </w:rPr>
        <w:t>4</w:t>
      </w:r>
      <w:r w:rsidR="00DB39C0">
        <w:rPr>
          <w:rFonts w:eastAsia="Calibri"/>
        </w:rPr>
        <w:t xml:space="preserve"> MIPS payment year</w:t>
      </w:r>
      <w:r w:rsidRPr="006F3E8B" w:rsidR="006F3E8B">
        <w:rPr>
          <w:rFonts w:eastAsia="Calibri"/>
        </w:rPr>
        <w:t xml:space="preserve">, we assume </w:t>
      </w:r>
      <w:r w:rsidR="00412B36">
        <w:rPr>
          <w:rFonts w:eastAsia="Calibri"/>
        </w:rPr>
        <w:t xml:space="preserve">that we will receive approximately </w:t>
      </w:r>
      <w:r w:rsidR="00FC111D">
        <w:rPr>
          <w:rFonts w:eastAsia="Calibri"/>
        </w:rPr>
        <w:t>29,227</w:t>
      </w:r>
      <w:r w:rsidR="00412B36">
        <w:rPr>
          <w:rFonts w:eastAsia="Calibri"/>
        </w:rPr>
        <w:t xml:space="preserve"> reweighting applications for the CY 202</w:t>
      </w:r>
      <w:r w:rsidR="00FC111D">
        <w:rPr>
          <w:rFonts w:eastAsia="Calibri"/>
        </w:rPr>
        <w:t>4</w:t>
      </w:r>
      <w:r w:rsidR="00412B36">
        <w:rPr>
          <w:rFonts w:eastAsia="Calibri"/>
        </w:rPr>
        <w:t xml:space="preserve"> performance period/202</w:t>
      </w:r>
      <w:r w:rsidR="00FC111D">
        <w:rPr>
          <w:rFonts w:eastAsia="Calibri"/>
        </w:rPr>
        <w:t>6</w:t>
      </w:r>
      <w:r w:rsidR="00412B36">
        <w:rPr>
          <w:rFonts w:eastAsia="Calibri"/>
        </w:rPr>
        <w:t xml:space="preserve"> MIPS payment year</w:t>
      </w:r>
      <w:r w:rsidR="00956017">
        <w:rPr>
          <w:rFonts w:eastAsia="Calibri"/>
        </w:rPr>
        <w:t xml:space="preserve">. </w:t>
      </w:r>
      <w:r w:rsidR="00902391">
        <w:rPr>
          <w:rFonts w:eastAsia="Calibri"/>
        </w:rPr>
        <w:t xml:space="preserve">Out of the </w:t>
      </w:r>
      <w:r w:rsidR="00FC111D">
        <w:rPr>
          <w:rFonts w:eastAsia="Calibri"/>
        </w:rPr>
        <w:t>29</w:t>
      </w:r>
      <w:r w:rsidR="00902391">
        <w:rPr>
          <w:rFonts w:eastAsia="Calibri"/>
        </w:rPr>
        <w:t>,</w:t>
      </w:r>
      <w:r w:rsidR="00FC111D">
        <w:rPr>
          <w:rFonts w:eastAsia="Calibri"/>
        </w:rPr>
        <w:t>227,</w:t>
      </w:r>
      <w:r w:rsidR="00902391">
        <w:rPr>
          <w:rFonts w:eastAsia="Calibri"/>
        </w:rPr>
        <w:t xml:space="preserve"> we estimate that </w:t>
      </w:r>
      <w:r w:rsidR="00FC111D">
        <w:rPr>
          <w:rFonts w:eastAsia="Calibri"/>
        </w:rPr>
        <w:t>2,70</w:t>
      </w:r>
      <w:r w:rsidR="00902391">
        <w:rPr>
          <w:rFonts w:eastAsia="Calibri"/>
        </w:rPr>
        <w:t>6</w:t>
      </w:r>
      <w:r w:rsidRPr="006F3E8B" w:rsidR="006F3E8B">
        <w:rPr>
          <w:rFonts w:eastAsia="Calibri"/>
        </w:rPr>
        <w:t xml:space="preserve"> respondents (eligible clinicians or groups) will submit a request to reweight the Promoting Interoperability performance category to zero percent due to a significant hardship or</w:t>
      </w:r>
      <w:r w:rsidR="00FC111D">
        <w:rPr>
          <w:rFonts w:eastAsia="Calibri"/>
        </w:rPr>
        <w:t xml:space="preserve"> other exception as provided under </w:t>
      </w:r>
      <w:r w:rsidRPr="00FC111D" w:rsidR="00FC111D">
        <w:rPr>
          <w:rFonts w:eastAsia="Calibri"/>
        </w:rPr>
        <w:t>§ 414.1380(c)(2)(i)</w:t>
      </w:r>
      <w:r w:rsidR="00FC111D">
        <w:rPr>
          <w:rFonts w:eastAsia="Calibri"/>
        </w:rPr>
        <w:t xml:space="preserve">(C), </w:t>
      </w:r>
      <w:r w:rsidRPr="006F3E8B" w:rsidR="006F3E8B">
        <w:rPr>
          <w:rFonts w:eastAsia="Calibri"/>
        </w:rPr>
        <w:t xml:space="preserve">and </w:t>
      </w:r>
      <w:r w:rsidR="00701F66">
        <w:rPr>
          <w:rFonts w:eastAsia="Calibri"/>
        </w:rPr>
        <w:t xml:space="preserve">that the remaining </w:t>
      </w:r>
      <w:r w:rsidR="00FC111D">
        <w:rPr>
          <w:rFonts w:eastAsia="Calibri"/>
        </w:rPr>
        <w:t>26,</w:t>
      </w:r>
      <w:r w:rsidR="00701F66">
        <w:rPr>
          <w:rFonts w:eastAsia="Calibri"/>
        </w:rPr>
        <w:t>51</w:t>
      </w:r>
      <w:r w:rsidR="00FC111D">
        <w:rPr>
          <w:rFonts w:eastAsia="Calibri"/>
        </w:rPr>
        <w:t>0</w:t>
      </w:r>
      <w:r w:rsidRPr="006F3E8B" w:rsidR="006F3E8B">
        <w:rPr>
          <w:rFonts w:eastAsia="Calibri"/>
        </w:rPr>
        <w:t xml:space="preserve"> respondents will submit a request to reweight one or more of the quality, cost, Promoting Interoperability, or improvement activity performance categories due to an extreme or uncontrollable circumstance. </w:t>
      </w:r>
      <w:r w:rsidR="00FC111D">
        <w:rPr>
          <w:rFonts w:eastAsia="Calibri"/>
        </w:rPr>
        <w:t>Additionally</w:t>
      </w:r>
      <w:r w:rsidRPr="00FD55A2">
        <w:rPr>
          <w:rFonts w:eastAsia="Calibri"/>
        </w:rPr>
        <w:t xml:space="preserve">, we estimate </w:t>
      </w:r>
      <w:r>
        <w:rPr>
          <w:rFonts w:eastAsia="Calibri"/>
        </w:rPr>
        <w:t xml:space="preserve">that </w:t>
      </w:r>
      <w:r w:rsidR="00FC111D">
        <w:rPr>
          <w:rFonts w:eastAsia="Calibri"/>
        </w:rPr>
        <w:t>11</w:t>
      </w:r>
      <w:r>
        <w:rPr>
          <w:rFonts w:eastAsia="Calibri"/>
        </w:rPr>
        <w:t xml:space="preserve"> </w:t>
      </w:r>
      <w:r w:rsidRPr="00FD55A2">
        <w:rPr>
          <w:rFonts w:eastAsia="Calibri"/>
        </w:rPr>
        <w:t xml:space="preserve">APM Entities will submit an extreme and uncontrollable circumstances exception application for the </w:t>
      </w:r>
      <w:r>
        <w:rPr>
          <w:rFonts w:eastAsia="Calibri"/>
        </w:rPr>
        <w:t xml:space="preserve">CY </w:t>
      </w:r>
      <w:r w:rsidRPr="00FD55A2">
        <w:rPr>
          <w:rFonts w:eastAsia="Calibri"/>
        </w:rPr>
        <w:t>202</w:t>
      </w:r>
      <w:r w:rsidR="00FC111D">
        <w:rPr>
          <w:rFonts w:eastAsia="Calibri"/>
        </w:rPr>
        <w:t>4</w:t>
      </w:r>
      <w:r w:rsidRPr="00FD55A2">
        <w:rPr>
          <w:rFonts w:eastAsia="Calibri"/>
        </w:rPr>
        <w:t xml:space="preserve"> performance period</w:t>
      </w:r>
      <w:r>
        <w:rPr>
          <w:rFonts w:eastAsia="Calibri"/>
        </w:rPr>
        <w:t>/202</w:t>
      </w:r>
      <w:r w:rsidR="00FC111D">
        <w:rPr>
          <w:rFonts w:eastAsia="Calibri"/>
        </w:rPr>
        <w:t>6</w:t>
      </w:r>
      <w:r>
        <w:rPr>
          <w:rFonts w:eastAsia="Calibri"/>
        </w:rPr>
        <w:t xml:space="preserve"> MIPS payment year</w:t>
      </w:r>
      <w:r w:rsidRPr="00FD55A2">
        <w:rPr>
          <w:rFonts w:eastAsia="Calibri"/>
        </w:rPr>
        <w:t>.</w:t>
      </w:r>
    </w:p>
    <w:p w:rsidR="00786CAC" w:rsidP="00E12B53" w14:paraId="05FBD1D6" w14:textId="77777777">
      <w:pPr>
        <w:rPr>
          <w:rFonts w:eastAsia="Calibri"/>
        </w:rPr>
      </w:pPr>
      <w:r w:rsidRPr="00377419">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t>
      </w:r>
      <w:r w:rsidRPr="00377419" w:rsidR="00FE723C">
        <w:rPr>
          <w:rFonts w:eastAsia="Calibri"/>
        </w:rPr>
        <w:t>apart from</w:t>
      </w:r>
      <w:r w:rsidRPr="00377419">
        <w:rPr>
          <w:rFonts w:eastAsia="Calibri"/>
        </w:rPr>
        <w:t xml:space="preserve"> there being only one option for the type of hardship experienced. </w:t>
      </w:r>
    </w:p>
    <w:p w:rsidR="006B22A9" w:rsidP="00E12B53" w14:paraId="14F7D0AD" w14:textId="473A6FE7">
      <w:pPr>
        <w:rPr>
          <w:rFonts w:eastAsia="Calibri"/>
        </w:rPr>
      </w:pPr>
      <w:r>
        <w:rPr>
          <w:rFonts w:eastAsia="Calibri"/>
        </w:rPr>
        <w:t>As shown in Table 18, w</w:t>
      </w:r>
      <w:r w:rsidRPr="00377419" w:rsidR="00377419">
        <w:rPr>
          <w:rFonts w:eastAsia="Calibri"/>
        </w:rPr>
        <w:t xml:space="preserve">e estimate </w:t>
      </w:r>
      <w:r>
        <w:rPr>
          <w:rFonts w:eastAsia="Calibri"/>
        </w:rPr>
        <w:t xml:space="preserve">that </w:t>
      </w:r>
      <w:r w:rsidRPr="00377419" w:rsidR="00377419">
        <w:rPr>
          <w:rFonts w:eastAsia="Calibri"/>
        </w:rPr>
        <w:t>it will take 0.25 hours at $</w:t>
      </w:r>
      <w:r>
        <w:rPr>
          <w:rFonts w:eastAsia="Calibri"/>
        </w:rPr>
        <w:t>103.40</w:t>
      </w:r>
      <w:r w:rsidRPr="00377419" w:rsidR="00377419">
        <w:rPr>
          <w:rFonts w:eastAsia="Calibri"/>
        </w:rPr>
        <w:t>/hr for a computer system analyst to complete and submit the application</w:t>
      </w:r>
      <w:r w:rsidRPr="002E563B" w:rsidR="002E563B">
        <w:rPr>
          <w:rFonts w:eastAsia="Calibri"/>
        </w:rPr>
        <w:t xml:space="preserve">. As shown in Table </w:t>
      </w:r>
      <w:r w:rsidR="002E563B">
        <w:rPr>
          <w:rFonts w:eastAsia="Calibri"/>
        </w:rPr>
        <w:t>1</w:t>
      </w:r>
      <w:r>
        <w:rPr>
          <w:rFonts w:eastAsia="Calibri"/>
        </w:rPr>
        <w:t>8</w:t>
      </w:r>
      <w:r w:rsidRPr="002E563B" w:rsidR="002E563B">
        <w:rPr>
          <w:rFonts w:eastAsia="Calibri"/>
        </w:rPr>
        <w:t xml:space="preserve">, </w:t>
      </w:r>
      <w:r w:rsidR="0055143D">
        <w:rPr>
          <w:rFonts w:eastAsia="Calibri"/>
        </w:rPr>
        <w:t xml:space="preserve">in aggregate, </w:t>
      </w:r>
      <w:r w:rsidRPr="00B009B7" w:rsidR="00B009B7">
        <w:rPr>
          <w:rFonts w:eastAsia="Calibri"/>
        </w:rPr>
        <w:t xml:space="preserve">we estimate an annual burden of </w:t>
      </w:r>
      <w:r>
        <w:rPr>
          <w:rFonts w:eastAsia="Calibri"/>
        </w:rPr>
        <w:t>7,307</w:t>
      </w:r>
      <w:r w:rsidRPr="00B009B7" w:rsidR="00B009B7">
        <w:rPr>
          <w:rFonts w:eastAsia="Calibri"/>
        </w:rPr>
        <w:t xml:space="preserve"> hours (</w:t>
      </w:r>
      <w:r>
        <w:rPr>
          <w:rFonts w:eastAsia="Calibri"/>
        </w:rPr>
        <w:t>29,227</w:t>
      </w:r>
      <w:r w:rsidRPr="00B009B7" w:rsidR="00B009B7">
        <w:rPr>
          <w:rFonts w:eastAsia="Calibri"/>
        </w:rPr>
        <w:t xml:space="preserve"> applications x 0.25 hr/application) a</w:t>
      </w:r>
      <w:r w:rsidR="00613C8F">
        <w:rPr>
          <w:rFonts w:eastAsia="Calibri"/>
        </w:rPr>
        <w:t>t an annual</w:t>
      </w:r>
      <w:r w:rsidR="002629D9">
        <w:rPr>
          <w:rFonts w:eastAsia="Calibri"/>
        </w:rPr>
        <w:t xml:space="preserve"> cost </w:t>
      </w:r>
      <w:r w:rsidR="00BC3840">
        <w:rPr>
          <w:rFonts w:eastAsia="Calibri"/>
        </w:rPr>
        <w:t xml:space="preserve">of </w:t>
      </w:r>
      <w:r w:rsidRPr="00B009B7" w:rsidR="00BC3840">
        <w:rPr>
          <w:rFonts w:eastAsia="Calibri"/>
        </w:rPr>
        <w:t>$</w:t>
      </w:r>
      <w:r w:rsidRPr="00B009B7" w:rsidR="00B009B7">
        <w:rPr>
          <w:rFonts w:eastAsia="Calibri"/>
        </w:rPr>
        <w:t xml:space="preserve"> </w:t>
      </w:r>
      <w:r>
        <w:rPr>
          <w:rFonts w:eastAsia="Calibri"/>
        </w:rPr>
        <w:t xml:space="preserve">755,518 </w:t>
      </w:r>
      <w:r w:rsidRPr="00B009B7" w:rsidR="00B009B7">
        <w:rPr>
          <w:rFonts w:eastAsia="Calibri"/>
        </w:rPr>
        <w:t>(</w:t>
      </w:r>
      <w:r>
        <w:rPr>
          <w:rFonts w:eastAsia="Calibri"/>
        </w:rPr>
        <w:t>29,227 applications</w:t>
      </w:r>
      <w:r w:rsidRPr="00B009B7" w:rsidR="00B009B7">
        <w:rPr>
          <w:rFonts w:eastAsia="Calibri"/>
        </w:rPr>
        <w:t xml:space="preserve"> x $</w:t>
      </w:r>
      <w:r>
        <w:rPr>
          <w:rFonts w:eastAsia="Calibri"/>
        </w:rPr>
        <w:t>25.85</w:t>
      </w:r>
      <w:r w:rsidRPr="00B009B7" w:rsidR="00B009B7">
        <w:rPr>
          <w:rFonts w:eastAsia="Calibri"/>
        </w:rPr>
        <w:t>/</w:t>
      </w:r>
      <w:r>
        <w:rPr>
          <w:rFonts w:eastAsia="Calibri"/>
        </w:rPr>
        <w:t>application</w:t>
      </w:r>
      <w:r w:rsidRPr="00B009B7" w:rsidR="00B009B7">
        <w:rPr>
          <w:rFonts w:eastAsia="Calibri"/>
        </w:rPr>
        <w:t>)</w:t>
      </w:r>
      <w:r w:rsidRPr="004276D6" w:rsidR="0015290C">
        <w:rPr>
          <w:rFonts w:eastAsia="Calibri"/>
        </w:rPr>
        <w:t>.</w:t>
      </w:r>
      <w:bookmarkEnd w:id="3"/>
    </w:p>
    <w:p w:rsidR="006B22A9" w:rsidRPr="00C47150" w:rsidP="00A452F4" w14:paraId="094C324F" w14:textId="7D8FACFC">
      <w:pPr>
        <w:keepNext/>
        <w:keepLines/>
        <w:spacing w:after="0"/>
        <w:jc w:val="center"/>
        <w:rPr>
          <w:b/>
          <w:bCs/>
        </w:rPr>
      </w:pPr>
      <w:r w:rsidRPr="00C47150">
        <w:rPr>
          <w:b/>
          <w:bCs/>
        </w:rPr>
        <w:t xml:space="preserve">TABLE </w:t>
      </w:r>
      <w:r w:rsidR="0015290C">
        <w:rPr>
          <w:b/>
          <w:bCs/>
        </w:rPr>
        <w:t>1</w:t>
      </w:r>
      <w:r w:rsidR="0055314C">
        <w:rPr>
          <w:b/>
          <w:bCs/>
        </w:rPr>
        <w:t>8</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r w:rsidR="00540946">
        <w:rPr>
          <w:b/>
          <w:bCs/>
        </w:rPr>
        <w:t xml:space="preserve"> </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4"/>
        <w:gridCol w:w="1316"/>
      </w:tblGrid>
      <w:tr w14:paraId="52EC8B1B" w14:textId="77777777" w:rsidTr="00102850">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8944" w:type="dxa"/>
            <w:shd w:val="clear" w:color="auto" w:fill="auto"/>
            <w:vAlign w:val="center"/>
            <w:hideMark/>
          </w:tcPr>
          <w:p w:rsidR="006B22A9" w:rsidRPr="006B22A9" w:rsidP="00A452F4" w14:paraId="4B32C76E" w14:textId="4A4198C1">
            <w:pPr>
              <w:keepNext/>
              <w:keepLines/>
              <w:spacing w:after="0"/>
              <w:rPr>
                <w:b/>
                <w:sz w:val="20"/>
                <w:szCs w:val="20"/>
              </w:rPr>
            </w:pPr>
            <w:r w:rsidRPr="006B22A9">
              <w:rPr>
                <w:b/>
                <w:sz w:val="20"/>
                <w:szCs w:val="20"/>
              </w:rPr>
              <w:t>Burden and Respondent Descriptions</w:t>
            </w:r>
          </w:p>
        </w:tc>
        <w:tc>
          <w:tcPr>
            <w:tcW w:w="1316" w:type="dxa"/>
            <w:shd w:val="clear" w:color="auto" w:fill="FFFFFF" w:themeFill="background1"/>
            <w:vAlign w:val="center"/>
            <w:hideMark/>
          </w:tcPr>
          <w:p w:rsidR="006B22A9" w:rsidRPr="00675D16" w:rsidP="00A452F4" w14:paraId="7619B2C8" w14:textId="37521178">
            <w:pPr>
              <w:keepNext/>
              <w:keepLines/>
              <w:spacing w:after="0"/>
              <w:rPr>
                <w:b/>
                <w:bCs/>
                <w:sz w:val="20"/>
                <w:szCs w:val="20"/>
              </w:rPr>
            </w:pPr>
            <w:r w:rsidRPr="00675D16">
              <w:rPr>
                <w:b/>
                <w:bCs/>
                <w:sz w:val="20"/>
                <w:szCs w:val="20"/>
              </w:rPr>
              <w:t xml:space="preserve">Burden </w:t>
            </w:r>
            <w:r w:rsidR="002E799B">
              <w:rPr>
                <w:b/>
                <w:bCs/>
                <w:sz w:val="20"/>
                <w:szCs w:val="20"/>
              </w:rPr>
              <w:t>E</w:t>
            </w:r>
            <w:r w:rsidRPr="00675D16">
              <w:rPr>
                <w:b/>
                <w:bCs/>
                <w:sz w:val="20"/>
                <w:szCs w:val="20"/>
              </w:rPr>
              <w:t>stimate</w:t>
            </w:r>
          </w:p>
        </w:tc>
      </w:tr>
      <w:tr w14:paraId="2669CD67" w14:textId="77777777" w:rsidTr="003D29BA">
        <w:tblPrEx>
          <w:tblW w:w="10260" w:type="dxa"/>
          <w:tblInd w:w="-455" w:type="dxa"/>
          <w:tblLook w:val="04A0"/>
        </w:tblPrEx>
        <w:trPr>
          <w:trHeight w:val="359"/>
        </w:trPr>
        <w:tc>
          <w:tcPr>
            <w:tcW w:w="8944" w:type="dxa"/>
            <w:shd w:val="clear" w:color="auto" w:fill="auto"/>
            <w:hideMark/>
          </w:tcPr>
          <w:p w:rsidR="00BD4BE8" w:rsidRPr="00675D16" w:rsidP="00BD4BE8" w14:paraId="57A16CBD" w14:textId="3A7F7957">
            <w:pPr>
              <w:spacing w:after="0"/>
              <w:rPr>
                <w:sz w:val="20"/>
                <w:szCs w:val="20"/>
              </w:rPr>
            </w:pPr>
            <w:r w:rsidRPr="00CB6E0C">
              <w:rPr>
                <w:color w:val="000000" w:themeColor="text1"/>
                <w:sz w:val="20"/>
                <w:szCs w:val="20"/>
              </w:rPr>
              <w:t># of Eligible Clinicians or Groups Applying Due to Significant Hardship and Other Exceptions or Extreme and Uncontrollable Circumstances (a)</w:t>
            </w:r>
          </w:p>
        </w:tc>
        <w:tc>
          <w:tcPr>
            <w:tcW w:w="1316" w:type="dxa"/>
            <w:shd w:val="clear" w:color="auto" w:fill="auto"/>
            <w:noWrap/>
            <w:hideMark/>
          </w:tcPr>
          <w:p w:rsidR="00BD4BE8" w:rsidRPr="00675D16" w:rsidP="00BD4BE8" w14:paraId="66D57802" w14:textId="475EBEF8">
            <w:pPr>
              <w:spacing w:after="0"/>
              <w:jc w:val="right"/>
              <w:rPr>
                <w:sz w:val="20"/>
                <w:szCs w:val="20"/>
              </w:rPr>
            </w:pPr>
            <w:r w:rsidRPr="00CB6E0C">
              <w:rPr>
                <w:color w:val="000000" w:themeColor="text1"/>
                <w:sz w:val="20"/>
                <w:szCs w:val="20"/>
              </w:rPr>
              <w:t>29,216</w:t>
            </w:r>
          </w:p>
        </w:tc>
      </w:tr>
      <w:tr w14:paraId="74C93C7E" w14:textId="77777777" w:rsidTr="003D29BA">
        <w:tblPrEx>
          <w:tblW w:w="10260" w:type="dxa"/>
          <w:tblInd w:w="-455" w:type="dxa"/>
          <w:tblLook w:val="04A0"/>
        </w:tblPrEx>
        <w:trPr>
          <w:trHeight w:val="278"/>
        </w:trPr>
        <w:tc>
          <w:tcPr>
            <w:tcW w:w="8944" w:type="dxa"/>
            <w:shd w:val="clear" w:color="auto" w:fill="auto"/>
          </w:tcPr>
          <w:p w:rsidR="00BD4BE8" w:rsidRPr="00732012" w:rsidP="00BD4BE8" w14:paraId="39C24E06" w14:textId="18D11686">
            <w:pPr>
              <w:spacing w:after="0"/>
              <w:rPr>
                <w:sz w:val="20"/>
                <w:szCs w:val="20"/>
              </w:rPr>
            </w:pPr>
            <w:r w:rsidRPr="00CB6E0C">
              <w:rPr>
                <w:color w:val="000000" w:themeColor="text1"/>
                <w:sz w:val="20"/>
                <w:szCs w:val="20"/>
              </w:rPr>
              <w:t># APM Entities requesting Extreme and Uncontrollable Circumstances exception (b)</w:t>
            </w:r>
          </w:p>
        </w:tc>
        <w:tc>
          <w:tcPr>
            <w:tcW w:w="1316" w:type="dxa"/>
            <w:shd w:val="clear" w:color="auto" w:fill="auto"/>
          </w:tcPr>
          <w:p w:rsidR="00BD4BE8" w:rsidP="00BD4BE8" w14:paraId="6E37FBF1" w14:textId="2859D1C5">
            <w:pPr>
              <w:spacing w:after="0"/>
              <w:jc w:val="right"/>
              <w:rPr>
                <w:sz w:val="20"/>
                <w:szCs w:val="20"/>
              </w:rPr>
            </w:pPr>
            <w:r w:rsidRPr="00CB6E0C">
              <w:rPr>
                <w:color w:val="000000" w:themeColor="text1"/>
                <w:sz w:val="20"/>
                <w:szCs w:val="20"/>
              </w:rPr>
              <w:t>11</w:t>
            </w:r>
          </w:p>
        </w:tc>
      </w:tr>
      <w:tr w14:paraId="165E12FE" w14:textId="77777777" w:rsidTr="003D29BA">
        <w:tblPrEx>
          <w:tblW w:w="10260" w:type="dxa"/>
          <w:tblInd w:w="-455" w:type="dxa"/>
          <w:tblLook w:val="04A0"/>
        </w:tblPrEx>
        <w:trPr>
          <w:trHeight w:val="278"/>
        </w:trPr>
        <w:tc>
          <w:tcPr>
            <w:tcW w:w="8944" w:type="dxa"/>
            <w:shd w:val="clear" w:color="auto" w:fill="E7E6E6" w:themeFill="background2"/>
          </w:tcPr>
          <w:p w:rsidR="00BD4BE8" w:rsidRPr="003D29BA" w:rsidP="00BD4BE8" w14:paraId="5B5BCD23" w14:textId="3016C756">
            <w:pPr>
              <w:spacing w:after="0"/>
              <w:rPr>
                <w:b/>
                <w:bCs/>
                <w:sz w:val="20"/>
                <w:szCs w:val="20"/>
              </w:rPr>
            </w:pPr>
            <w:r w:rsidRPr="003D29BA">
              <w:rPr>
                <w:b/>
                <w:bCs/>
                <w:color w:val="000000" w:themeColor="text1"/>
                <w:sz w:val="20"/>
                <w:szCs w:val="20"/>
              </w:rPr>
              <w:t>Total Applications Submitted (c)</w:t>
            </w:r>
          </w:p>
        </w:tc>
        <w:tc>
          <w:tcPr>
            <w:tcW w:w="1316" w:type="dxa"/>
            <w:shd w:val="clear" w:color="auto" w:fill="E7E6E6" w:themeFill="background2"/>
          </w:tcPr>
          <w:p w:rsidR="00BD4BE8" w:rsidRPr="00675D16" w:rsidP="00BD4BE8" w14:paraId="6BD99CB7" w14:textId="74E9E9CF">
            <w:pPr>
              <w:spacing w:after="0"/>
              <w:jc w:val="right"/>
              <w:rPr>
                <w:sz w:val="20"/>
                <w:szCs w:val="20"/>
              </w:rPr>
            </w:pPr>
            <w:r w:rsidRPr="00CB6E0C">
              <w:rPr>
                <w:b/>
                <w:bCs/>
                <w:color w:val="000000" w:themeColor="text1"/>
                <w:sz w:val="20"/>
                <w:szCs w:val="20"/>
              </w:rPr>
              <w:t>29,227</w:t>
            </w:r>
          </w:p>
        </w:tc>
      </w:tr>
      <w:tr w14:paraId="49280980" w14:textId="77777777" w:rsidTr="003D29BA">
        <w:tblPrEx>
          <w:tblW w:w="10260" w:type="dxa"/>
          <w:tblInd w:w="-455" w:type="dxa"/>
          <w:tblLook w:val="04A0"/>
        </w:tblPrEx>
        <w:trPr>
          <w:trHeight w:val="260"/>
        </w:trPr>
        <w:tc>
          <w:tcPr>
            <w:tcW w:w="8944" w:type="dxa"/>
            <w:shd w:val="clear" w:color="auto" w:fill="auto"/>
            <w:hideMark/>
          </w:tcPr>
          <w:p w:rsidR="00BD4BE8" w:rsidRPr="00675D16" w:rsidP="00BD4BE8" w14:paraId="320B4D27" w14:textId="09D9463F">
            <w:pPr>
              <w:spacing w:after="0"/>
              <w:rPr>
                <w:sz w:val="20"/>
                <w:szCs w:val="20"/>
              </w:rPr>
            </w:pPr>
            <w:r w:rsidRPr="00CB6E0C">
              <w:rPr>
                <w:color w:val="000000" w:themeColor="text1"/>
                <w:sz w:val="20"/>
                <w:szCs w:val="20"/>
              </w:rPr>
              <w:t xml:space="preserve">Annual Hours Per Applicant per Application Submission (d) </w:t>
            </w:r>
          </w:p>
        </w:tc>
        <w:tc>
          <w:tcPr>
            <w:tcW w:w="1316" w:type="dxa"/>
            <w:shd w:val="clear" w:color="auto" w:fill="auto"/>
            <w:hideMark/>
          </w:tcPr>
          <w:p w:rsidR="00BD4BE8" w:rsidRPr="00675D16" w:rsidP="00BD4BE8" w14:paraId="769B9174" w14:textId="6F68A3E5">
            <w:pPr>
              <w:spacing w:after="0"/>
              <w:jc w:val="right"/>
              <w:rPr>
                <w:sz w:val="20"/>
                <w:szCs w:val="20"/>
              </w:rPr>
            </w:pPr>
            <w:r w:rsidRPr="00CB6E0C">
              <w:rPr>
                <w:color w:val="000000" w:themeColor="text1"/>
                <w:sz w:val="20"/>
                <w:szCs w:val="20"/>
              </w:rPr>
              <w:t>0.25</w:t>
            </w:r>
          </w:p>
        </w:tc>
      </w:tr>
      <w:tr w14:paraId="42804265" w14:textId="77777777" w:rsidTr="003D29BA">
        <w:tblPrEx>
          <w:tblW w:w="10260" w:type="dxa"/>
          <w:tblInd w:w="-455" w:type="dxa"/>
          <w:tblLook w:val="04A0"/>
        </w:tblPrEx>
        <w:trPr>
          <w:trHeight w:val="187"/>
        </w:trPr>
        <w:tc>
          <w:tcPr>
            <w:tcW w:w="8944" w:type="dxa"/>
            <w:shd w:val="clear" w:color="auto" w:fill="E7E6E6" w:themeFill="background2"/>
            <w:hideMark/>
          </w:tcPr>
          <w:p w:rsidR="00BD4BE8" w:rsidRPr="00BD4BE8" w:rsidP="00BD4BE8" w14:paraId="20013ECE" w14:textId="7D515A07">
            <w:pPr>
              <w:spacing w:after="0"/>
              <w:rPr>
                <w:b/>
                <w:bCs/>
                <w:sz w:val="20"/>
                <w:szCs w:val="20"/>
              </w:rPr>
            </w:pPr>
            <w:r w:rsidRPr="003D29BA">
              <w:rPr>
                <w:b/>
                <w:bCs/>
                <w:color w:val="000000" w:themeColor="text1"/>
                <w:sz w:val="20"/>
                <w:szCs w:val="20"/>
              </w:rPr>
              <w:t xml:space="preserve">Total Annual Hours (e) = (c) </w:t>
            </w:r>
            <w:r w:rsidR="00982ABB">
              <w:rPr>
                <w:b/>
                <w:bCs/>
                <w:color w:val="000000" w:themeColor="text1"/>
                <w:sz w:val="20"/>
                <w:szCs w:val="20"/>
              </w:rPr>
              <w:t>[</w:t>
            </w:r>
            <w:r w:rsidR="004B444B">
              <w:rPr>
                <w:b/>
                <w:bCs/>
                <w:color w:val="000000" w:themeColor="text1"/>
                <w:sz w:val="20"/>
                <w:szCs w:val="20"/>
              </w:rPr>
              <w:t>x</w:t>
            </w:r>
            <w:r w:rsidR="00982ABB">
              <w:rPr>
                <w:b/>
                <w:bCs/>
                <w:color w:val="000000" w:themeColor="text1"/>
                <w:sz w:val="20"/>
                <w:szCs w:val="20"/>
              </w:rPr>
              <w:t>]</w:t>
            </w:r>
            <w:r w:rsidRPr="003D29BA">
              <w:rPr>
                <w:b/>
                <w:bCs/>
                <w:color w:val="000000" w:themeColor="text1"/>
                <w:sz w:val="20"/>
                <w:szCs w:val="20"/>
              </w:rPr>
              <w:t xml:space="preserve"> (d)</w:t>
            </w:r>
          </w:p>
        </w:tc>
        <w:tc>
          <w:tcPr>
            <w:tcW w:w="1316" w:type="dxa"/>
            <w:shd w:val="clear" w:color="auto" w:fill="E7E6E6" w:themeFill="background2"/>
            <w:hideMark/>
          </w:tcPr>
          <w:p w:rsidR="00BD4BE8" w:rsidRPr="00920A23" w:rsidP="00BD4BE8" w14:paraId="6AD32D5D" w14:textId="1256E936">
            <w:pPr>
              <w:spacing w:after="0"/>
              <w:jc w:val="right"/>
              <w:rPr>
                <w:b/>
                <w:sz w:val="20"/>
                <w:szCs w:val="20"/>
              </w:rPr>
            </w:pPr>
            <w:r w:rsidRPr="00CB6E0C">
              <w:rPr>
                <w:b/>
                <w:bCs/>
                <w:color w:val="000000" w:themeColor="text1"/>
                <w:sz w:val="20"/>
                <w:szCs w:val="20"/>
              </w:rPr>
              <w:t>7,307</w:t>
            </w:r>
          </w:p>
        </w:tc>
      </w:tr>
      <w:tr w14:paraId="2C462897" w14:textId="77777777" w:rsidTr="003D29BA">
        <w:tblPrEx>
          <w:tblW w:w="10260" w:type="dxa"/>
          <w:tblInd w:w="-455" w:type="dxa"/>
          <w:tblLook w:val="04A0"/>
        </w:tblPrEx>
        <w:trPr>
          <w:trHeight w:val="287"/>
        </w:trPr>
        <w:tc>
          <w:tcPr>
            <w:tcW w:w="8944" w:type="dxa"/>
            <w:shd w:val="clear" w:color="auto" w:fill="auto"/>
            <w:hideMark/>
          </w:tcPr>
          <w:p w:rsidR="00BD4BE8" w:rsidRPr="00675D16" w:rsidP="00BD4BE8" w14:paraId="4D7FEF09" w14:textId="248C559B">
            <w:pPr>
              <w:spacing w:after="0"/>
              <w:rPr>
                <w:sz w:val="20"/>
                <w:szCs w:val="20"/>
              </w:rPr>
            </w:pPr>
            <w:r w:rsidRPr="00CB6E0C">
              <w:rPr>
                <w:color w:val="000000" w:themeColor="text1"/>
                <w:sz w:val="20"/>
                <w:szCs w:val="20"/>
              </w:rPr>
              <w:t>Cost to Submit a Reweighting Application @ computer systems analyst’s labor rate of $</w:t>
            </w:r>
            <w:r>
              <w:rPr>
                <w:color w:val="000000" w:themeColor="text1"/>
                <w:sz w:val="20"/>
                <w:szCs w:val="20"/>
              </w:rPr>
              <w:t>103</w:t>
            </w:r>
            <w:r w:rsidRPr="00CB6E0C">
              <w:rPr>
                <w:color w:val="000000" w:themeColor="text1"/>
                <w:sz w:val="20"/>
                <w:szCs w:val="20"/>
              </w:rPr>
              <w:t>.</w:t>
            </w:r>
            <w:r>
              <w:rPr>
                <w:color w:val="000000" w:themeColor="text1"/>
                <w:sz w:val="20"/>
                <w:szCs w:val="20"/>
              </w:rPr>
              <w:t>40</w:t>
            </w:r>
            <w:r w:rsidRPr="00CB6E0C">
              <w:rPr>
                <w:color w:val="000000" w:themeColor="text1"/>
                <w:sz w:val="20"/>
                <w:szCs w:val="20"/>
              </w:rPr>
              <w:t xml:space="preserve">/hr </w:t>
            </w:r>
            <w:r>
              <w:rPr>
                <w:color w:val="000000" w:themeColor="text1"/>
                <w:sz w:val="20"/>
                <w:szCs w:val="20"/>
              </w:rPr>
              <w:t>(f) = (d) *$103.40/hr</w:t>
            </w:r>
          </w:p>
        </w:tc>
        <w:tc>
          <w:tcPr>
            <w:tcW w:w="1316" w:type="dxa"/>
            <w:shd w:val="clear" w:color="auto" w:fill="auto"/>
            <w:hideMark/>
          </w:tcPr>
          <w:p w:rsidR="00BD4BE8" w:rsidRPr="00675D16" w:rsidP="00BD4BE8" w14:paraId="40021E03" w14:textId="76C64FEC">
            <w:pPr>
              <w:spacing w:after="0"/>
              <w:jc w:val="right"/>
              <w:rPr>
                <w:sz w:val="20"/>
                <w:szCs w:val="20"/>
              </w:rPr>
            </w:pPr>
            <w:r w:rsidRPr="00CB6E0C">
              <w:rPr>
                <w:color w:val="000000" w:themeColor="text1"/>
                <w:sz w:val="20"/>
                <w:szCs w:val="20"/>
              </w:rPr>
              <w:t>$</w:t>
            </w:r>
            <w:r>
              <w:rPr>
                <w:color w:val="000000" w:themeColor="text1"/>
                <w:sz w:val="20"/>
                <w:szCs w:val="20"/>
              </w:rPr>
              <w:t>25.85</w:t>
            </w:r>
          </w:p>
        </w:tc>
      </w:tr>
      <w:tr w14:paraId="665CEE44" w14:textId="77777777" w:rsidTr="003D29BA">
        <w:tblPrEx>
          <w:tblW w:w="10260" w:type="dxa"/>
          <w:tblInd w:w="-455" w:type="dxa"/>
          <w:tblLook w:val="04A0"/>
        </w:tblPrEx>
        <w:trPr>
          <w:trHeight w:val="295"/>
        </w:trPr>
        <w:tc>
          <w:tcPr>
            <w:tcW w:w="8944" w:type="dxa"/>
            <w:shd w:val="clear" w:color="auto" w:fill="E7E6E6" w:themeFill="background2"/>
            <w:vAlign w:val="center"/>
            <w:hideMark/>
          </w:tcPr>
          <w:p w:rsidR="00BD4BE8" w:rsidRPr="00920A23" w:rsidP="00BD4BE8" w14:paraId="1A8FF7FB" w14:textId="37FC501D">
            <w:pPr>
              <w:spacing w:after="0"/>
              <w:rPr>
                <w:b/>
                <w:sz w:val="20"/>
                <w:szCs w:val="20"/>
              </w:rPr>
            </w:pPr>
            <w:r w:rsidRPr="003D29BA">
              <w:rPr>
                <w:b/>
                <w:bCs/>
                <w:color w:val="000000" w:themeColor="text1"/>
                <w:sz w:val="20"/>
                <w:szCs w:val="20"/>
              </w:rPr>
              <w:t xml:space="preserve">Total Annual Cost (g) = (e) </w:t>
            </w:r>
            <w:r w:rsidR="00982ABB">
              <w:rPr>
                <w:b/>
                <w:bCs/>
                <w:color w:val="000000" w:themeColor="text1"/>
                <w:sz w:val="20"/>
                <w:szCs w:val="20"/>
              </w:rPr>
              <w:t>[x]</w:t>
            </w:r>
            <w:r w:rsidRPr="003D29BA">
              <w:rPr>
                <w:b/>
                <w:bCs/>
                <w:color w:val="000000" w:themeColor="text1"/>
                <w:sz w:val="20"/>
                <w:szCs w:val="20"/>
              </w:rPr>
              <w:t xml:space="preserve"> (f)</w:t>
            </w:r>
          </w:p>
        </w:tc>
        <w:tc>
          <w:tcPr>
            <w:tcW w:w="1316" w:type="dxa"/>
            <w:shd w:val="clear" w:color="auto" w:fill="E7E6E6" w:themeFill="background2"/>
            <w:noWrap/>
            <w:hideMark/>
          </w:tcPr>
          <w:p w:rsidR="00BD4BE8" w:rsidRPr="00920A23" w:rsidP="00BD4BE8" w14:paraId="20292AD5" w14:textId="50F62E79">
            <w:pPr>
              <w:spacing w:after="0"/>
              <w:jc w:val="right"/>
              <w:rPr>
                <w:b/>
                <w:sz w:val="20"/>
                <w:szCs w:val="20"/>
              </w:rPr>
            </w:pPr>
            <w:r w:rsidRPr="00CB6E0C">
              <w:rPr>
                <w:b/>
                <w:bCs/>
                <w:color w:val="000000" w:themeColor="text1"/>
                <w:sz w:val="20"/>
                <w:szCs w:val="20"/>
              </w:rPr>
              <w:t>$7</w:t>
            </w:r>
            <w:r>
              <w:rPr>
                <w:b/>
                <w:bCs/>
                <w:color w:val="000000" w:themeColor="text1"/>
                <w:sz w:val="20"/>
                <w:szCs w:val="20"/>
              </w:rPr>
              <w:t>55</w:t>
            </w:r>
            <w:r w:rsidRPr="00CB6E0C">
              <w:rPr>
                <w:b/>
                <w:bCs/>
                <w:color w:val="000000" w:themeColor="text1"/>
                <w:sz w:val="20"/>
                <w:szCs w:val="20"/>
              </w:rPr>
              <w:t>,</w:t>
            </w:r>
            <w:r>
              <w:rPr>
                <w:b/>
                <w:bCs/>
                <w:color w:val="000000" w:themeColor="text1"/>
                <w:sz w:val="20"/>
                <w:szCs w:val="20"/>
              </w:rPr>
              <w:t>518</w:t>
            </w:r>
          </w:p>
        </w:tc>
      </w:tr>
    </w:tbl>
    <w:p w:rsidR="00192E1D" w:rsidP="0011028A" w14:paraId="1C683B15" w14:textId="77777777">
      <w:pPr>
        <w:pStyle w:val="Heading4"/>
        <w:numPr>
          <w:ilvl w:val="0"/>
          <w:numId w:val="0"/>
        </w:numPr>
      </w:pPr>
    </w:p>
    <w:p w:rsidR="00A13C65" w:rsidRPr="004330C9" w:rsidP="0011028A" w14:paraId="5929BAB2" w14:textId="379DEFCA">
      <w:pPr>
        <w:pStyle w:val="Heading4"/>
        <w:numPr>
          <w:ilvl w:val="0"/>
          <w:numId w:val="18"/>
        </w:numPr>
      </w:pPr>
      <w:r>
        <w:t xml:space="preserve">   </w:t>
      </w:r>
      <w:r w:rsidRPr="004330C9">
        <w:t>Burden for Submitting Promoting Interoperability Data</w:t>
      </w:r>
    </w:p>
    <w:p w:rsidR="00AF3F68" w:rsidRPr="00AF3F68" w:rsidP="00E12B53" w14:paraId="2A5002D9" w14:textId="36D29BFE">
      <w:pPr>
        <w:rPr>
          <w:rFonts w:eastAsia="Calibri"/>
        </w:rPr>
      </w:pPr>
      <w:r w:rsidRPr="009672C1">
        <w:rPr>
          <w:rFonts w:eastAsia="Calibri"/>
        </w:rPr>
        <w:t>A variety of organizations will submit Promoting Interoperability data on behalf of clinicians.  Clinicians not participating in a MIPS APM may submit data as individuals or as part of a group</w:t>
      </w:r>
      <w:r w:rsidR="006F1602">
        <w:rPr>
          <w:rFonts w:eastAsia="Calibri"/>
        </w:rPr>
        <w:t xml:space="preserve"> or a subgroup</w:t>
      </w:r>
      <w:r w:rsidRPr="009672C1">
        <w:rPr>
          <w:rFonts w:eastAsia="Calibri"/>
        </w:rPr>
        <w:t>.  In the CY 2017 Quality Payment Program final rule (81 FR 77258 through 77260, 77262 through 77264) and CY 2019 PFS final rule (83 FR 59822-59823), we established that</w:t>
      </w:r>
      <w:r w:rsidR="005B7BB5">
        <w:rPr>
          <w:rFonts w:eastAsia="Calibri"/>
        </w:rPr>
        <w:t xml:space="preserve"> </w:t>
      </w:r>
      <w:r w:rsidRPr="009672C1">
        <w:rPr>
          <w:rFonts w:eastAsia="Calibri"/>
        </w:rPr>
        <w:t>eligible clinicians in MIPS APMs (including the Shared Savings Program) may report for the Promoting Interoperability performance category as an APM Entity group, individuals, or a group</w:t>
      </w:r>
      <w:r w:rsidRPr="00AF3F68">
        <w:rPr>
          <w:rFonts w:eastAsia="Calibri"/>
        </w:rPr>
        <w:t xml:space="preserve">.  </w:t>
      </w:r>
    </w:p>
    <w:p w:rsidR="00620552" w:rsidRPr="00AF3F68" w:rsidP="00E12B53" w14:paraId="47FA69BC" w14:textId="78968291">
      <w:pPr>
        <w:rPr>
          <w:rFonts w:eastAsia="Calibri"/>
        </w:rPr>
      </w:pPr>
      <w:r w:rsidRPr="00AF3F68">
        <w:rPr>
          <w:rFonts w:eastAsia="Calibri"/>
        </w:rPr>
        <w:t xml:space="preserve">As shown in Table </w:t>
      </w:r>
      <w:r w:rsidR="00F76436">
        <w:rPr>
          <w:rFonts w:eastAsia="Calibri"/>
        </w:rPr>
        <w:t>1</w:t>
      </w:r>
      <w:r w:rsidR="0055314C">
        <w:rPr>
          <w:rFonts w:eastAsia="Calibri"/>
        </w:rPr>
        <w:t>9</w:t>
      </w:r>
      <w:r w:rsidRPr="00AF3F68">
        <w:rPr>
          <w:rFonts w:eastAsia="Calibri"/>
        </w:rPr>
        <w:t xml:space="preserve">, </w:t>
      </w:r>
      <w:r w:rsidRPr="00D11B1D" w:rsidR="00D11B1D">
        <w:rPr>
          <w:rFonts w:eastAsia="Calibri"/>
        </w:rPr>
        <w:t>based on data from the</w:t>
      </w:r>
      <w:r w:rsidR="00130E58">
        <w:rPr>
          <w:rFonts w:eastAsia="Calibri"/>
        </w:rPr>
        <w:t xml:space="preserve"> CY</w:t>
      </w:r>
      <w:r w:rsidRPr="00D11B1D" w:rsidR="00D11B1D">
        <w:rPr>
          <w:rFonts w:eastAsia="Calibri"/>
        </w:rPr>
        <w:t xml:space="preserve"> 20</w:t>
      </w:r>
      <w:r w:rsidR="009862F5">
        <w:rPr>
          <w:rFonts w:eastAsia="Calibri"/>
        </w:rPr>
        <w:t>2</w:t>
      </w:r>
      <w:r w:rsidR="003C29CA">
        <w:rPr>
          <w:rFonts w:eastAsia="Calibri"/>
        </w:rPr>
        <w:t>2</w:t>
      </w:r>
      <w:r w:rsidR="009C0470">
        <w:rPr>
          <w:rFonts w:eastAsia="Calibri"/>
        </w:rPr>
        <w:t xml:space="preserve"> </w:t>
      </w:r>
      <w:r w:rsidRPr="00D11B1D" w:rsidR="00D11B1D">
        <w:rPr>
          <w:rFonts w:eastAsia="Calibri"/>
        </w:rPr>
        <w:t>performance period</w:t>
      </w:r>
      <w:r w:rsidR="004B302C">
        <w:rPr>
          <w:rFonts w:eastAsia="Calibri"/>
        </w:rPr>
        <w:t>/202</w:t>
      </w:r>
      <w:r w:rsidR="003C29CA">
        <w:rPr>
          <w:rFonts w:eastAsia="Calibri"/>
        </w:rPr>
        <w:t>4</w:t>
      </w:r>
      <w:r w:rsidR="009C0470">
        <w:rPr>
          <w:rFonts w:eastAsia="Calibri"/>
        </w:rPr>
        <w:t xml:space="preserve"> </w:t>
      </w:r>
      <w:r w:rsidR="004B302C">
        <w:rPr>
          <w:rFonts w:eastAsia="Calibri"/>
        </w:rPr>
        <w:t>MIPS payment year</w:t>
      </w:r>
      <w:r w:rsidRPr="00D11B1D" w:rsidR="00D11B1D">
        <w:rPr>
          <w:rFonts w:eastAsia="Calibri"/>
        </w:rPr>
        <w:t xml:space="preserve">, we estimate that a total of </w:t>
      </w:r>
      <w:r w:rsidR="009E73F4">
        <w:rPr>
          <w:rFonts w:eastAsia="Calibri"/>
        </w:rPr>
        <w:t>25,990</w:t>
      </w:r>
      <w:r w:rsidR="00BC3840">
        <w:rPr>
          <w:rFonts w:eastAsia="Calibri"/>
        </w:rPr>
        <w:t xml:space="preserve"> </w:t>
      </w:r>
      <w:r w:rsidRPr="00D11B1D" w:rsidR="00BC3840">
        <w:rPr>
          <w:rFonts w:eastAsia="Calibri"/>
        </w:rPr>
        <w:t>respondents</w:t>
      </w:r>
      <w:r w:rsidRPr="00D11B1D" w:rsidR="00D11B1D">
        <w:rPr>
          <w:rFonts w:eastAsia="Calibri"/>
        </w:rPr>
        <w:t xml:space="preserve"> consisting of </w:t>
      </w:r>
      <w:r w:rsidR="009E73F4">
        <w:rPr>
          <w:rFonts w:eastAsia="Calibri"/>
        </w:rPr>
        <w:t>19,292</w:t>
      </w:r>
      <w:r w:rsidRPr="00D11B1D" w:rsidR="00D11B1D">
        <w:rPr>
          <w:rFonts w:eastAsia="Calibri"/>
        </w:rPr>
        <w:t xml:space="preserve"> individual MIPS eligible clinicians</w:t>
      </w:r>
      <w:r w:rsidR="000D2E35">
        <w:rPr>
          <w:rFonts w:eastAsia="Calibri"/>
        </w:rPr>
        <w:t xml:space="preserve">, </w:t>
      </w:r>
      <w:r w:rsidR="009E73F4">
        <w:rPr>
          <w:rFonts w:eastAsia="Calibri"/>
        </w:rPr>
        <w:t>6,678</w:t>
      </w:r>
      <w:r w:rsidRPr="00D11B1D" w:rsidR="00D11B1D">
        <w:rPr>
          <w:rFonts w:eastAsia="Calibri"/>
        </w:rPr>
        <w:t xml:space="preserve"> groups and virtual groups</w:t>
      </w:r>
      <w:r w:rsidR="000D2E35">
        <w:rPr>
          <w:rFonts w:eastAsia="Calibri"/>
        </w:rPr>
        <w:t>, and 20 subgroups</w:t>
      </w:r>
      <w:r w:rsidRPr="00D11B1D" w:rsidR="00D11B1D">
        <w:rPr>
          <w:rFonts w:eastAsia="Calibri"/>
        </w:rPr>
        <w:t xml:space="preserve"> will submit Promoting Interoperability data</w:t>
      </w:r>
      <w:r w:rsidR="000D2E35">
        <w:rPr>
          <w:rFonts w:eastAsia="Calibri"/>
        </w:rPr>
        <w:t xml:space="preserve"> for the CY 202</w:t>
      </w:r>
      <w:r w:rsidR="0055314C">
        <w:rPr>
          <w:rFonts w:eastAsia="Calibri"/>
        </w:rPr>
        <w:t>4</w:t>
      </w:r>
      <w:r w:rsidR="000D2E35">
        <w:rPr>
          <w:rFonts w:eastAsia="Calibri"/>
        </w:rPr>
        <w:t xml:space="preserve"> performance period/202</w:t>
      </w:r>
      <w:r w:rsidR="0055314C">
        <w:rPr>
          <w:rFonts w:eastAsia="Calibri"/>
        </w:rPr>
        <w:t>6</w:t>
      </w:r>
      <w:r w:rsidR="000D2E35">
        <w:rPr>
          <w:rFonts w:eastAsia="Calibri"/>
        </w:rPr>
        <w:t xml:space="preserve"> MIPS payment year</w:t>
      </w:r>
      <w:r w:rsidRPr="00D11B1D" w:rsidR="00D11B1D">
        <w:rPr>
          <w:rFonts w:eastAsia="Calibri"/>
        </w:rPr>
        <w:t>.</w:t>
      </w:r>
      <w:r w:rsidRPr="00CC2BFB" w:rsidR="00DF07C7">
        <w:rPr>
          <w:rFonts w:eastAsia="Calibri"/>
        </w:rPr>
        <w:t xml:space="preserve"> </w:t>
      </w:r>
    </w:p>
    <w:p w:rsidR="00AF3F68" w:rsidRPr="00AF3F68" w:rsidP="00E12B53" w14:paraId="7A1BA71E" w14:textId="2183687B">
      <w:pPr>
        <w:rPr>
          <w:rFonts w:eastAsia="Calibri"/>
        </w:rPr>
      </w:pPr>
      <w:r w:rsidRPr="4BF14CA9">
        <w:rPr>
          <w:rFonts w:eastAsia="Calibri"/>
        </w:rPr>
        <w:t>C</w:t>
      </w:r>
      <w:r w:rsidRPr="4BF14CA9" w:rsidR="00397E24">
        <w:rPr>
          <w:rFonts w:eastAsia="Calibri"/>
        </w:rPr>
        <w:t xml:space="preserve">ertain MIPS eligible clinicians will be eligible for automatic reweighting of the Promoting Interoperability performance category to zero percent, including MIPS eligible clinicians </w:t>
      </w:r>
      <w:r w:rsidRPr="4BF14CA9" w:rsidR="003C1A99">
        <w:rPr>
          <w:rFonts w:eastAsia="Calibri"/>
        </w:rPr>
        <w:t xml:space="preserve">who </w:t>
      </w:r>
      <w:r w:rsidRPr="4BF14CA9" w:rsidR="00397E24">
        <w:rPr>
          <w:rFonts w:eastAsia="Calibri"/>
        </w:rPr>
        <w:t>are hospital-based, ambulatory surgical center-based, non-patient facing clinicians,</w:t>
      </w:r>
      <w:r w:rsidRPr="4BF14CA9" w:rsidR="00316C47">
        <w:rPr>
          <w:rFonts w:eastAsia="Calibri"/>
        </w:rPr>
        <w:t xml:space="preserve"> and clinical social workers</w:t>
      </w:r>
      <w:r w:rsidRPr="4BF14CA9">
        <w:rPr>
          <w:rFonts w:eastAsia="Calibri"/>
        </w:rPr>
        <w:t>.</w:t>
      </w:r>
      <w:r w:rsidRPr="4BF14CA9" w:rsidR="0FDFBB50">
        <w:rPr>
          <w:rFonts w:eastAsia="Calibri"/>
        </w:rPr>
        <w:t xml:space="preserve"> </w:t>
      </w:r>
      <w:r w:rsidRPr="4BF14CA9">
        <w:rPr>
          <w:rFonts w:eastAsia="Calibri"/>
        </w:rPr>
        <w:t>T</w:t>
      </w:r>
      <w:r w:rsidRPr="4BF14CA9" w:rsidR="00397E24">
        <w:rPr>
          <w:rFonts w:eastAsia="Calibri"/>
        </w:rPr>
        <w:t xml:space="preserve">hese estimates account for </w:t>
      </w:r>
      <w:r w:rsidRPr="4BF14CA9">
        <w:rPr>
          <w:rFonts w:eastAsia="Calibri"/>
        </w:rPr>
        <w:t>previously finalized</w:t>
      </w:r>
      <w:r w:rsidRPr="4BF14CA9" w:rsidR="00397E24">
        <w:rPr>
          <w:rFonts w:eastAsia="Calibri"/>
        </w:rPr>
        <w:t xml:space="preserve"> reweighting policies including exceptions for MIPS eligible clinicians who have experienced a significant hardship</w:t>
      </w:r>
      <w:r w:rsidRPr="4BF14CA9" w:rsidR="008B2A26">
        <w:rPr>
          <w:rFonts w:eastAsia="Calibri"/>
        </w:rPr>
        <w:t xml:space="preserve"> </w:t>
      </w:r>
      <w:r w:rsidRPr="4BF14CA9">
        <w:rPr>
          <w:rFonts w:eastAsia="Calibri"/>
        </w:rPr>
        <w:t>and</w:t>
      </w:r>
      <w:r w:rsidRPr="4BF14CA9" w:rsidR="00397E24">
        <w:rPr>
          <w:rFonts w:eastAsia="Calibri"/>
        </w:rPr>
        <w:t xml:space="preserve"> decertification of an EHR</w:t>
      </w:r>
      <w:r w:rsidRPr="4BF14CA9">
        <w:rPr>
          <w:rFonts w:eastAsia="Calibri"/>
        </w:rPr>
        <w:t>.</w:t>
      </w:r>
    </w:p>
    <w:p w:rsidR="00AB3F07" w14:paraId="096E881D" w14:textId="34881AF7">
      <w:r w:rsidRPr="0061423A">
        <w:rPr>
          <w:rFonts w:eastAsia="Calibri"/>
        </w:rPr>
        <w:t xml:space="preserve">We assume that MIPS eligible clinicians previously scored under the APM scoring standard, as described in the CY 2020 PFS final rule, will continue to submit Promoting Interoperability data (84 FR 63006) in a similar way through the APP. </w:t>
      </w:r>
      <w:r w:rsidRPr="00202799" w:rsidR="00202799">
        <w:rPr>
          <w:rFonts w:eastAsia="Calibri"/>
        </w:rPr>
        <w:t xml:space="preserve">Each MIPS eligible clinician in an APM Entity reports data for the Promoting Interoperability performance category through either their group TIN or individual reporting. </w:t>
      </w:r>
      <w:r w:rsidR="005E467C">
        <w:rPr>
          <w:rFonts w:eastAsia="Calibri"/>
        </w:rPr>
        <w:t xml:space="preserve">In the CY 2023 PFS </w:t>
      </w:r>
      <w:r w:rsidR="004144D9">
        <w:rPr>
          <w:rFonts w:eastAsia="Calibri"/>
        </w:rPr>
        <w:t>final</w:t>
      </w:r>
      <w:r w:rsidR="005E467C">
        <w:rPr>
          <w:rFonts w:eastAsia="Calibri"/>
        </w:rPr>
        <w:t xml:space="preserve"> rule, </w:t>
      </w:r>
      <w:r w:rsidRPr="00794B98" w:rsidR="00794B98">
        <w:rPr>
          <w:rFonts w:eastAsia="Calibri"/>
        </w:rPr>
        <w:t xml:space="preserve">we </w:t>
      </w:r>
      <w:r w:rsidR="004144D9">
        <w:rPr>
          <w:rFonts w:eastAsia="Calibri"/>
        </w:rPr>
        <w:t>finaliz</w:t>
      </w:r>
      <w:r w:rsidR="00D31B28">
        <w:rPr>
          <w:rFonts w:eastAsia="Calibri"/>
        </w:rPr>
        <w:t>ed</w:t>
      </w:r>
      <w:r w:rsidRPr="00794B98" w:rsidR="00794B98">
        <w:rPr>
          <w:rFonts w:eastAsia="Calibri"/>
        </w:rPr>
        <w:t xml:space="preserve"> </w:t>
      </w:r>
      <w:r w:rsidR="00D31B28">
        <w:rPr>
          <w:rFonts w:eastAsia="Calibri"/>
        </w:rPr>
        <w:t>a</w:t>
      </w:r>
      <w:r w:rsidRPr="00794B98" w:rsidR="00794B98">
        <w:rPr>
          <w:rFonts w:eastAsia="Calibri"/>
        </w:rPr>
        <w:t xml:space="preserve"> </w:t>
      </w:r>
      <w:r w:rsidRPr="00794B98" w:rsidR="00794B98">
        <w:rPr>
          <w:rFonts w:eastAsia="Calibri"/>
        </w:rPr>
        <w:t>a</w:t>
      </w:r>
      <w:r w:rsidRPr="00794B98" w:rsidR="00794B98">
        <w:rPr>
          <w:rFonts w:eastAsia="Calibri"/>
        </w:rPr>
        <w:t xml:space="preserve"> voluntary reporting option for APM Entities to report the Promoting Interoperability performance category at the APM Entity level beginning with the CY 2023 performance period/2025 MIPS payment year. </w:t>
      </w:r>
      <w:r w:rsidRPr="00202799" w:rsidR="00202799">
        <w:rPr>
          <w:rFonts w:eastAsia="Calibri"/>
        </w:rPr>
        <w:t xml:space="preserve"> Sections 1899 of the Act (42 U.S.C. 1395jjj) state that the Shared Savings Program and the </w:t>
      </w:r>
      <w:r w:rsidRPr="00202799" w:rsidR="00202799">
        <w:rPr>
          <w:rFonts w:eastAsia="Calibri"/>
        </w:rPr>
        <w:t xml:space="preserve">testing, evaluation, and expansion of Innovation Center models are not subject to the PRA.  However, in the CY 2019 PFS final rule, we established that MIPS eligible clinicians who participate in the Shared Savings Program are no longer limited to reporting for the Promoting Interoperability performance category through their ACO participant TIN (83 FR 59822 through 59823). Burden estimates for this </w:t>
      </w:r>
      <w:r w:rsidR="004144D9">
        <w:rPr>
          <w:rFonts w:eastAsia="Calibri"/>
        </w:rPr>
        <w:t>final</w:t>
      </w:r>
      <w:r w:rsidRPr="00202799" w:rsidR="0046726E">
        <w:rPr>
          <w:rFonts w:eastAsia="Calibri"/>
        </w:rPr>
        <w:t xml:space="preserve"> </w:t>
      </w:r>
      <w:r w:rsidRPr="00202799" w:rsidR="00202799">
        <w:rPr>
          <w:rFonts w:eastAsia="Calibri"/>
        </w:rPr>
        <w:t>rule assume group TIN-level reporting as we believe this is the most reasonable assumption for the Shared Savings Program, which requires that ACOs include full TINs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bookmarkStart w:id="4" w:name="_Hlk516985201"/>
    </w:p>
    <w:p w:rsidR="005F1F24" w:rsidRPr="00751305" w14:paraId="361C5E7B" w14:textId="418BDE22">
      <w:pPr>
        <w:rPr>
          <w:rFonts w:eastAsia="Calibri"/>
        </w:rPr>
      </w:pPr>
      <w:r>
        <w:rPr>
          <w:color w:val="000000" w:themeColor="text1"/>
        </w:rPr>
        <w:t>W</w:t>
      </w:r>
      <w:r w:rsidRPr="00A646F5" w:rsidR="00051CD1">
        <w:rPr>
          <w:color w:val="000000" w:themeColor="text1"/>
        </w:rPr>
        <w:t>e estimate that it w</w:t>
      </w:r>
      <w:r w:rsidR="00B21180">
        <w:rPr>
          <w:color w:val="000000" w:themeColor="text1"/>
        </w:rPr>
        <w:t>ill</w:t>
      </w:r>
      <w:r w:rsidRPr="00A646F5" w:rsidR="00051CD1">
        <w:rPr>
          <w:color w:val="000000" w:themeColor="text1"/>
        </w:rPr>
        <w:t xml:space="preserve"> </w:t>
      </w:r>
      <w:r w:rsidR="0055314C">
        <w:rPr>
          <w:color w:val="000000" w:themeColor="text1"/>
        </w:rPr>
        <w:t>take</w:t>
      </w:r>
      <w:r w:rsidRPr="00A646F5" w:rsidR="00051CD1">
        <w:rPr>
          <w:color w:val="000000" w:themeColor="text1"/>
        </w:rPr>
        <w:t xml:space="preserve"> 2.7</w:t>
      </w:r>
      <w:r w:rsidR="00CA0940">
        <w:rPr>
          <w:color w:val="000000" w:themeColor="text1"/>
        </w:rPr>
        <w:t>0</w:t>
      </w:r>
      <w:r w:rsidRPr="00A646F5" w:rsidR="00051CD1">
        <w:rPr>
          <w:color w:val="000000" w:themeColor="text1"/>
        </w:rPr>
        <w:t xml:space="preserve"> hours </w:t>
      </w:r>
      <w:r w:rsidR="0055314C">
        <w:rPr>
          <w:color w:val="000000" w:themeColor="text1"/>
        </w:rPr>
        <w:t xml:space="preserve">of a </w:t>
      </w:r>
      <w:r w:rsidRPr="0055314C" w:rsidR="0055314C">
        <w:rPr>
          <w:color w:val="000000" w:themeColor="text1"/>
        </w:rPr>
        <w:t xml:space="preserve">computer analyst’s time </w:t>
      </w:r>
      <w:r w:rsidR="0055314C">
        <w:rPr>
          <w:color w:val="000000" w:themeColor="text1"/>
        </w:rPr>
        <w:t>(</w:t>
      </w:r>
      <w:r w:rsidRPr="0055314C" w:rsidR="0055314C">
        <w:rPr>
          <w:color w:val="000000" w:themeColor="text1"/>
        </w:rPr>
        <w:t xml:space="preserve">above and beyond the physician, medical and health services manager, and computer system’s analyst time required to submit quality data) </w:t>
      </w:r>
      <w:r w:rsidRPr="00A646F5" w:rsidR="00051CD1">
        <w:rPr>
          <w:color w:val="000000" w:themeColor="text1"/>
        </w:rPr>
        <w:t>for clinicians</w:t>
      </w:r>
      <w:r w:rsidR="0055314C">
        <w:rPr>
          <w:color w:val="000000" w:themeColor="text1"/>
        </w:rPr>
        <w:t xml:space="preserve"> </w:t>
      </w:r>
      <w:r w:rsidRPr="00A646F5" w:rsidR="00051CD1">
        <w:rPr>
          <w:color w:val="000000" w:themeColor="text1"/>
        </w:rPr>
        <w:t xml:space="preserve">to submit data for the Promoting Interoperability performance category. </w:t>
      </w:r>
      <w:r w:rsidRPr="007C6167" w:rsidR="007C6167">
        <w:rPr>
          <w:rFonts w:eastAsia="Calibri"/>
        </w:rPr>
        <w:t xml:space="preserve">As shown in Table </w:t>
      </w:r>
      <w:r w:rsidR="008A2A08">
        <w:rPr>
          <w:rFonts w:eastAsia="Calibri"/>
        </w:rPr>
        <w:t>1</w:t>
      </w:r>
      <w:r w:rsidR="0055314C">
        <w:rPr>
          <w:rFonts w:eastAsia="Calibri"/>
        </w:rPr>
        <w:t>9</w:t>
      </w:r>
      <w:r w:rsidRPr="007C6167" w:rsidR="007C6167">
        <w:rPr>
          <w:rFonts w:eastAsia="Calibri"/>
        </w:rPr>
        <w:t xml:space="preserve">, </w:t>
      </w:r>
      <w:r w:rsidRPr="0055314C" w:rsidR="0055314C">
        <w:rPr>
          <w:rFonts w:eastAsia="Calibri"/>
        </w:rPr>
        <w:t>we assume that the staff involved in the subgroup registration process will mainly be computer systems analysts or their equivalent, who have an average labor cost of $103.40/hr.</w:t>
      </w:r>
      <w:r w:rsidR="0055314C">
        <w:rPr>
          <w:rFonts w:eastAsia="Calibri"/>
        </w:rPr>
        <w:t xml:space="preserve"> In aggregate, </w:t>
      </w:r>
      <w:r w:rsidRPr="00190E46" w:rsidR="00190E46">
        <w:rPr>
          <w:rFonts w:eastAsia="Calibri"/>
        </w:rPr>
        <w:t xml:space="preserve">the total burden estimate for submitting data on the specified Promoting Interoperability objectives and measures is estimated to be </w:t>
      </w:r>
      <w:r w:rsidR="005E0591">
        <w:rPr>
          <w:rFonts w:eastAsia="Calibri"/>
        </w:rPr>
        <w:t>70,173</w:t>
      </w:r>
      <w:r w:rsidRPr="00190E46" w:rsidR="00190E46">
        <w:rPr>
          <w:rFonts w:eastAsia="Calibri"/>
        </w:rPr>
        <w:t xml:space="preserve"> hours (</w:t>
      </w:r>
      <w:r w:rsidR="00E80660">
        <w:rPr>
          <w:rFonts w:eastAsia="Calibri"/>
        </w:rPr>
        <w:t>25,990</w:t>
      </w:r>
      <w:r w:rsidRPr="00190E46" w:rsidR="00190E46">
        <w:rPr>
          <w:rFonts w:eastAsia="Calibri"/>
        </w:rPr>
        <w:t xml:space="preserve"> respondents x 2.</w:t>
      </w:r>
      <w:r w:rsidR="00B54E49">
        <w:rPr>
          <w:rFonts w:eastAsia="Calibri"/>
        </w:rPr>
        <w:t>7</w:t>
      </w:r>
      <w:r w:rsidR="00CA767B">
        <w:rPr>
          <w:rFonts w:eastAsia="Calibri"/>
        </w:rPr>
        <w:t>0</w:t>
      </w:r>
      <w:r w:rsidRPr="00190E46" w:rsidR="00190E46">
        <w:rPr>
          <w:rFonts w:eastAsia="Calibri"/>
        </w:rPr>
        <w:t xml:space="preserve"> </w:t>
      </w:r>
      <w:r w:rsidR="0055314C">
        <w:rPr>
          <w:rFonts w:eastAsia="Calibri"/>
        </w:rPr>
        <w:t>hours</w:t>
      </w:r>
      <w:r w:rsidRPr="00190E46" w:rsidR="00190E46">
        <w:rPr>
          <w:rFonts w:eastAsia="Calibri"/>
        </w:rPr>
        <w:t>) and $</w:t>
      </w:r>
      <w:r w:rsidR="005E0591">
        <w:rPr>
          <w:rFonts w:eastAsia="Calibri"/>
        </w:rPr>
        <w:t>7,255,888</w:t>
      </w:r>
      <w:r w:rsidRPr="00190E46" w:rsidR="00190E46">
        <w:rPr>
          <w:rFonts w:eastAsia="Calibri"/>
        </w:rPr>
        <w:t xml:space="preserve"> (</w:t>
      </w:r>
      <w:r w:rsidR="005E0591">
        <w:rPr>
          <w:rFonts w:eastAsia="Calibri"/>
        </w:rPr>
        <w:t>25,990</w:t>
      </w:r>
      <w:r w:rsidR="009261F0">
        <w:rPr>
          <w:rFonts w:eastAsia="Calibri"/>
        </w:rPr>
        <w:t xml:space="preserve"> respondents</w:t>
      </w:r>
      <w:r w:rsidRPr="00190E46" w:rsidR="00190E46">
        <w:rPr>
          <w:rFonts w:eastAsia="Calibri"/>
        </w:rPr>
        <w:t xml:space="preserve"> x $</w:t>
      </w:r>
      <w:r w:rsidR="009261F0">
        <w:rPr>
          <w:rFonts w:eastAsia="Calibri"/>
        </w:rPr>
        <w:t>279.18/respondent</w:t>
      </w:r>
      <w:r w:rsidRPr="00190E46" w:rsidR="00190E46">
        <w:rPr>
          <w:rFonts w:eastAsia="Calibri"/>
        </w:rPr>
        <w:t>)</w:t>
      </w:r>
      <w:r w:rsidRPr="00CF534E" w:rsidR="00CF534E">
        <w:rPr>
          <w:rFonts w:eastAsia="Calibri"/>
        </w:rPr>
        <w:t xml:space="preserve">.  </w:t>
      </w:r>
      <w:bookmarkEnd w:id="4"/>
    </w:p>
    <w:p w:rsidR="001403BF" w:rsidRPr="00C47150" w:rsidP="00EB7489" w14:paraId="23B65889" w14:textId="448E1ADE">
      <w:pPr>
        <w:ind w:left="60"/>
        <w:jc w:val="center"/>
        <w:rPr>
          <w:b/>
          <w:bCs/>
        </w:rPr>
      </w:pPr>
      <w:r w:rsidRPr="00C47150">
        <w:rPr>
          <w:b/>
          <w:bCs/>
        </w:rPr>
        <w:t xml:space="preserve">TABLE </w:t>
      </w:r>
      <w:r w:rsidR="008A2A08">
        <w:rPr>
          <w:b/>
          <w:bCs/>
        </w:rPr>
        <w:t>1</w:t>
      </w:r>
      <w:r w:rsidR="009C4AC0">
        <w:rPr>
          <w:b/>
          <w:bCs/>
        </w:rPr>
        <w:t>9</w:t>
      </w:r>
      <w:r w:rsidRPr="00C47150">
        <w:rPr>
          <w:b/>
          <w:bCs/>
        </w:rPr>
        <w:t xml:space="preserve">: </w:t>
      </w:r>
      <w:r>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Pr>
          <w:b/>
          <w:bCs/>
        </w:rPr>
        <w:br/>
      </w:r>
      <w:r w:rsidRPr="00C47150">
        <w:rPr>
          <w:b/>
          <w:bCs/>
        </w:rPr>
        <w:t>Data Submission</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4"/>
        <w:gridCol w:w="2016"/>
      </w:tblGrid>
      <w:tr w14:paraId="7681763B" w14:textId="77777777" w:rsidTr="006B7BA4">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8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7B4" w:rsidRPr="002E799B" w:rsidP="001D0A90" w14:paraId="1DF9A0DC" w14:textId="1D458A20">
            <w:pPr>
              <w:spacing w:after="0"/>
              <w:rPr>
                <w:b/>
                <w:bCs/>
                <w:sz w:val="20"/>
                <w:szCs w:val="20"/>
              </w:rPr>
            </w:pPr>
            <w:r w:rsidRPr="002E799B">
              <w:rPr>
                <w:b/>
                <w:bCs/>
                <w:sz w:val="20"/>
                <w:szCs w:val="20"/>
              </w:rPr>
              <w:t>Burden and Respondent Descriptions</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7B4" w:rsidRPr="002E799B" w:rsidP="009507B4" w14:paraId="0C9CCD6D" w14:textId="77777777">
            <w:pPr>
              <w:keepNext/>
              <w:keepLines/>
              <w:widowControl w:val="0"/>
              <w:spacing w:after="0"/>
              <w:jc w:val="center"/>
              <w:rPr>
                <w:b/>
                <w:bCs/>
                <w:sz w:val="20"/>
                <w:szCs w:val="20"/>
              </w:rPr>
            </w:pPr>
            <w:r w:rsidRPr="002E799B">
              <w:rPr>
                <w:b/>
                <w:bCs/>
                <w:sz w:val="20"/>
                <w:szCs w:val="20"/>
              </w:rPr>
              <w:t>Burden Estimate</w:t>
            </w:r>
          </w:p>
        </w:tc>
      </w:tr>
      <w:tr w14:paraId="64E31DEF" w14:textId="77777777" w:rsidTr="00E74B0E">
        <w:tblPrEx>
          <w:tblW w:w="10260" w:type="dxa"/>
          <w:jc w:val="center"/>
          <w:tblLook w:val="04A0"/>
        </w:tblPrEx>
        <w:trPr>
          <w:jc w:val="center"/>
        </w:trPr>
        <w:tc>
          <w:tcPr>
            <w:tcW w:w="8244" w:type="dxa"/>
            <w:tcBorders>
              <w:top w:val="single" w:sz="4" w:space="0" w:color="auto"/>
              <w:left w:val="single" w:sz="4" w:space="0" w:color="auto"/>
              <w:bottom w:val="single" w:sz="4" w:space="0" w:color="auto"/>
              <w:right w:val="single" w:sz="4" w:space="0" w:color="auto"/>
            </w:tcBorders>
            <w:hideMark/>
          </w:tcPr>
          <w:p w:rsidR="009507B4" w:rsidRPr="001D0A90" w:rsidP="001D0A90" w14:paraId="5FA1B902" w14:textId="77777777">
            <w:pPr>
              <w:spacing w:after="0"/>
              <w:rPr>
                <w:sz w:val="20"/>
                <w:szCs w:val="20"/>
              </w:rPr>
            </w:pPr>
            <w:r w:rsidRPr="001D0A90">
              <w:rPr>
                <w:sz w:val="20"/>
                <w:szCs w:val="20"/>
              </w:rPr>
              <w:t>Number of individual clinicians to submit Promoting Interoperability (a)</w:t>
            </w:r>
          </w:p>
        </w:tc>
        <w:tc>
          <w:tcPr>
            <w:tcW w:w="2016" w:type="dxa"/>
            <w:tcBorders>
              <w:top w:val="single" w:sz="4" w:space="0" w:color="auto"/>
              <w:left w:val="single" w:sz="4" w:space="0" w:color="auto"/>
              <w:bottom w:val="single" w:sz="4" w:space="0" w:color="auto"/>
              <w:right w:val="single" w:sz="4" w:space="0" w:color="auto"/>
            </w:tcBorders>
            <w:vAlign w:val="center"/>
            <w:hideMark/>
          </w:tcPr>
          <w:p w:rsidR="009507B4" w:rsidRPr="001D0A90" w:rsidP="001D0A90" w14:paraId="5A435A11" w14:textId="2F51CF32">
            <w:pPr>
              <w:spacing w:after="0"/>
              <w:jc w:val="center"/>
              <w:rPr>
                <w:sz w:val="20"/>
                <w:szCs w:val="20"/>
              </w:rPr>
            </w:pPr>
            <w:r>
              <w:rPr>
                <w:sz w:val="20"/>
                <w:szCs w:val="20"/>
              </w:rPr>
              <w:t xml:space="preserve">                       </w:t>
            </w:r>
            <w:r w:rsidR="00E80660">
              <w:rPr>
                <w:sz w:val="20"/>
                <w:szCs w:val="20"/>
              </w:rPr>
              <w:t>19,292</w:t>
            </w:r>
          </w:p>
        </w:tc>
      </w:tr>
      <w:tr w14:paraId="393893B3" w14:textId="77777777" w:rsidTr="00E74B0E">
        <w:tblPrEx>
          <w:tblW w:w="10260" w:type="dxa"/>
          <w:jc w:val="center"/>
          <w:tblLook w:val="04A0"/>
        </w:tblPrEx>
        <w:trPr>
          <w:jc w:val="center"/>
        </w:trPr>
        <w:tc>
          <w:tcPr>
            <w:tcW w:w="8244" w:type="dxa"/>
            <w:tcBorders>
              <w:top w:val="single" w:sz="4" w:space="0" w:color="auto"/>
              <w:left w:val="single" w:sz="4" w:space="0" w:color="auto"/>
              <w:bottom w:val="single" w:sz="4" w:space="0" w:color="auto"/>
              <w:right w:val="single" w:sz="4" w:space="0" w:color="auto"/>
            </w:tcBorders>
          </w:tcPr>
          <w:p w:rsidR="009507B4" w:rsidRPr="001D0A90" w:rsidP="001D0A90" w14:paraId="780038E8" w14:textId="77777777">
            <w:pPr>
              <w:spacing w:after="0"/>
              <w:rPr>
                <w:sz w:val="20"/>
                <w:szCs w:val="20"/>
              </w:rPr>
            </w:pPr>
            <w:r w:rsidRPr="001D0A90">
              <w:rPr>
                <w:sz w:val="20"/>
                <w:szCs w:val="20"/>
              </w:rPr>
              <w:t>Number of groups to submit Promoting Interoperability (b)</w:t>
            </w:r>
          </w:p>
        </w:tc>
        <w:tc>
          <w:tcPr>
            <w:tcW w:w="2016" w:type="dxa"/>
            <w:tcBorders>
              <w:top w:val="single" w:sz="4" w:space="0" w:color="auto"/>
              <w:left w:val="single" w:sz="4" w:space="0" w:color="auto"/>
              <w:bottom w:val="single" w:sz="4" w:space="0" w:color="auto"/>
              <w:right w:val="single" w:sz="4" w:space="0" w:color="auto"/>
            </w:tcBorders>
            <w:vAlign w:val="center"/>
          </w:tcPr>
          <w:p w:rsidR="009507B4" w:rsidRPr="001D0A90" w:rsidP="001D0A90" w14:paraId="3B940961" w14:textId="70868083">
            <w:pPr>
              <w:spacing w:after="0"/>
              <w:jc w:val="center"/>
              <w:rPr>
                <w:sz w:val="20"/>
                <w:szCs w:val="20"/>
              </w:rPr>
            </w:pPr>
            <w:r>
              <w:rPr>
                <w:sz w:val="20"/>
                <w:szCs w:val="20"/>
              </w:rPr>
              <w:t xml:space="preserve">                         </w:t>
            </w:r>
            <w:r w:rsidR="00E80660">
              <w:rPr>
                <w:sz w:val="20"/>
                <w:szCs w:val="20"/>
              </w:rPr>
              <w:t>6,678</w:t>
            </w:r>
          </w:p>
        </w:tc>
      </w:tr>
      <w:tr w14:paraId="2EFEECD7" w14:textId="77777777" w:rsidTr="00E74B0E">
        <w:tblPrEx>
          <w:tblW w:w="10260" w:type="dxa"/>
          <w:jc w:val="center"/>
          <w:tblLook w:val="04A0"/>
        </w:tblPrEx>
        <w:trPr>
          <w:jc w:val="center"/>
        </w:trPr>
        <w:tc>
          <w:tcPr>
            <w:tcW w:w="8244" w:type="dxa"/>
            <w:tcBorders>
              <w:top w:val="single" w:sz="4" w:space="0" w:color="auto"/>
              <w:left w:val="single" w:sz="4" w:space="0" w:color="auto"/>
              <w:bottom w:val="single" w:sz="4" w:space="0" w:color="auto"/>
              <w:right w:val="single" w:sz="4" w:space="0" w:color="auto"/>
            </w:tcBorders>
          </w:tcPr>
          <w:p w:rsidR="009507B4" w:rsidRPr="001D0A90" w:rsidP="001D0A90" w14:paraId="4A86FC1D" w14:textId="77777777">
            <w:pPr>
              <w:spacing w:after="0"/>
              <w:rPr>
                <w:sz w:val="20"/>
                <w:szCs w:val="20"/>
              </w:rPr>
            </w:pPr>
            <w:r w:rsidRPr="001D0A90">
              <w:rPr>
                <w:sz w:val="20"/>
                <w:szCs w:val="20"/>
              </w:rPr>
              <w:t>Number of subgroups to submit Promoting Interoperability (c)</w:t>
            </w:r>
          </w:p>
        </w:tc>
        <w:tc>
          <w:tcPr>
            <w:tcW w:w="2016" w:type="dxa"/>
            <w:tcBorders>
              <w:top w:val="single" w:sz="4" w:space="0" w:color="auto"/>
              <w:left w:val="single" w:sz="4" w:space="0" w:color="auto"/>
              <w:bottom w:val="single" w:sz="4" w:space="0" w:color="auto"/>
              <w:right w:val="single" w:sz="4" w:space="0" w:color="auto"/>
            </w:tcBorders>
            <w:vAlign w:val="center"/>
          </w:tcPr>
          <w:p w:rsidR="009507B4" w:rsidRPr="001D0A90" w:rsidP="001D0A90" w14:paraId="3782C651" w14:textId="0007A949">
            <w:pPr>
              <w:spacing w:after="0"/>
              <w:jc w:val="center"/>
              <w:rPr>
                <w:sz w:val="20"/>
                <w:szCs w:val="20"/>
              </w:rPr>
            </w:pPr>
            <w:r>
              <w:rPr>
                <w:sz w:val="20"/>
                <w:szCs w:val="20"/>
              </w:rPr>
              <w:t xml:space="preserve">                            </w:t>
            </w:r>
            <w:r w:rsidRPr="001D0A90">
              <w:rPr>
                <w:sz w:val="20"/>
                <w:szCs w:val="20"/>
              </w:rPr>
              <w:t>20</w:t>
            </w:r>
          </w:p>
        </w:tc>
      </w:tr>
      <w:tr w14:paraId="47438830" w14:textId="77777777" w:rsidTr="003D29BA">
        <w:tblPrEx>
          <w:tblW w:w="10260" w:type="dxa"/>
          <w:jc w:val="center"/>
          <w:tblLook w:val="04A0"/>
        </w:tblPrEx>
        <w:trPr>
          <w:jc w:val="center"/>
        </w:trPr>
        <w:tc>
          <w:tcPr>
            <w:tcW w:w="8244"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9507B4" w:rsidRPr="003D29BA" w:rsidP="001D0A90" w14:paraId="04D0BEAA" w14:textId="77777777">
            <w:pPr>
              <w:spacing w:after="0"/>
              <w:rPr>
                <w:b/>
                <w:bCs/>
                <w:sz w:val="20"/>
                <w:szCs w:val="20"/>
              </w:rPr>
            </w:pPr>
            <w:r w:rsidRPr="003D29BA">
              <w:rPr>
                <w:b/>
                <w:bCs/>
                <w:sz w:val="20"/>
                <w:szCs w:val="20"/>
              </w:rPr>
              <w:t> Total (d) = (a) + (b) + (c)</w:t>
            </w:r>
          </w:p>
        </w:tc>
        <w:tc>
          <w:tcPr>
            <w:tcW w:w="20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507B4" w:rsidRPr="003D29BA" w:rsidP="001D0A90" w14:paraId="572F28F8" w14:textId="72FD0923">
            <w:pPr>
              <w:spacing w:after="0"/>
              <w:jc w:val="center"/>
              <w:rPr>
                <w:b/>
                <w:bCs/>
                <w:sz w:val="20"/>
                <w:szCs w:val="20"/>
              </w:rPr>
            </w:pPr>
            <w:r>
              <w:rPr>
                <w:b/>
                <w:bCs/>
                <w:sz w:val="20"/>
                <w:szCs w:val="20"/>
              </w:rPr>
              <w:t xml:space="preserve">                      </w:t>
            </w:r>
            <w:r w:rsidR="00E80660">
              <w:rPr>
                <w:b/>
                <w:bCs/>
                <w:sz w:val="20"/>
                <w:szCs w:val="20"/>
              </w:rPr>
              <w:t>25,990</w:t>
            </w:r>
          </w:p>
        </w:tc>
      </w:tr>
      <w:tr w14:paraId="64E70521" w14:textId="77777777" w:rsidTr="00E74B0E">
        <w:tblPrEx>
          <w:tblW w:w="10260" w:type="dxa"/>
          <w:jc w:val="center"/>
          <w:tblLook w:val="04A0"/>
        </w:tblPrEx>
        <w:trPr>
          <w:jc w:val="center"/>
        </w:trPr>
        <w:tc>
          <w:tcPr>
            <w:tcW w:w="8244" w:type="dxa"/>
            <w:tcBorders>
              <w:top w:val="single" w:sz="4" w:space="0" w:color="auto"/>
              <w:left w:val="single" w:sz="4" w:space="0" w:color="auto"/>
              <w:bottom w:val="single" w:sz="4" w:space="0" w:color="auto"/>
              <w:right w:val="single" w:sz="4" w:space="0" w:color="auto"/>
            </w:tcBorders>
            <w:vAlign w:val="center"/>
            <w:hideMark/>
          </w:tcPr>
          <w:p w:rsidR="009507B4" w:rsidRPr="001D0A90" w:rsidP="001D0A90" w14:paraId="04CC67F7" w14:textId="1AA9930A">
            <w:pPr>
              <w:spacing w:after="0"/>
              <w:rPr>
                <w:sz w:val="20"/>
                <w:szCs w:val="20"/>
              </w:rPr>
            </w:pPr>
            <w:r w:rsidRPr="001D0A90">
              <w:rPr>
                <w:sz w:val="20"/>
                <w:szCs w:val="20"/>
              </w:rPr>
              <w:t>Annual Hours Per Respondent (e)</w:t>
            </w:r>
          </w:p>
        </w:tc>
        <w:tc>
          <w:tcPr>
            <w:tcW w:w="2016" w:type="dxa"/>
            <w:tcBorders>
              <w:top w:val="single" w:sz="4" w:space="0" w:color="auto"/>
              <w:left w:val="single" w:sz="4" w:space="0" w:color="auto"/>
              <w:bottom w:val="single" w:sz="4" w:space="0" w:color="auto"/>
              <w:right w:val="single" w:sz="4" w:space="0" w:color="auto"/>
            </w:tcBorders>
            <w:vAlign w:val="center"/>
            <w:hideMark/>
          </w:tcPr>
          <w:p w:rsidR="009507B4" w:rsidRPr="001D0A90" w:rsidP="001D0A90" w14:paraId="30BD2FFF" w14:textId="3A7F2B3A">
            <w:pPr>
              <w:spacing w:after="0"/>
              <w:jc w:val="center"/>
              <w:rPr>
                <w:sz w:val="20"/>
                <w:szCs w:val="20"/>
              </w:rPr>
            </w:pPr>
            <w:r>
              <w:rPr>
                <w:sz w:val="20"/>
                <w:szCs w:val="20"/>
              </w:rPr>
              <w:t xml:space="preserve">                        </w:t>
            </w:r>
            <w:r w:rsidRPr="001D0A90">
              <w:rPr>
                <w:sz w:val="20"/>
                <w:szCs w:val="20"/>
              </w:rPr>
              <w:t>2.</w:t>
            </w:r>
            <w:r w:rsidR="00882B50">
              <w:rPr>
                <w:sz w:val="20"/>
                <w:szCs w:val="20"/>
              </w:rPr>
              <w:t>7</w:t>
            </w:r>
            <w:r w:rsidR="00711D8E">
              <w:rPr>
                <w:sz w:val="20"/>
                <w:szCs w:val="20"/>
              </w:rPr>
              <w:t>0</w:t>
            </w:r>
          </w:p>
        </w:tc>
      </w:tr>
      <w:tr w14:paraId="203B5ADD" w14:textId="77777777" w:rsidTr="003D29BA">
        <w:tblPrEx>
          <w:tblW w:w="10260" w:type="dxa"/>
          <w:jc w:val="center"/>
          <w:tblLook w:val="04A0"/>
        </w:tblPrEx>
        <w:trPr>
          <w:trHeight w:val="422"/>
          <w:jc w:val="center"/>
        </w:trPr>
        <w:tc>
          <w:tcPr>
            <w:tcW w:w="82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507B4" w:rsidRPr="001E1DC1" w:rsidP="001D0A90" w14:paraId="0DBCA55F" w14:textId="73EDB086">
            <w:pPr>
              <w:spacing w:after="0"/>
              <w:rPr>
                <w:b/>
                <w:bCs/>
                <w:sz w:val="20"/>
                <w:szCs w:val="20"/>
              </w:rPr>
            </w:pPr>
            <w:r w:rsidRPr="001E1DC1">
              <w:rPr>
                <w:b/>
                <w:bCs/>
                <w:sz w:val="20"/>
                <w:szCs w:val="20"/>
              </w:rPr>
              <w:t xml:space="preserve">Total Annual Hours (f) = (d) </w:t>
            </w:r>
            <w:r w:rsidR="00EB3FFB">
              <w:rPr>
                <w:b/>
                <w:bCs/>
                <w:sz w:val="20"/>
                <w:szCs w:val="20"/>
              </w:rPr>
              <w:t>[</w:t>
            </w:r>
            <w:r w:rsidRPr="00507F8D" w:rsidR="00507F8D">
              <w:rPr>
                <w:b/>
                <w:bCs/>
                <w:sz w:val="20"/>
                <w:szCs w:val="20"/>
              </w:rPr>
              <w:t>x</w:t>
            </w:r>
            <w:r w:rsidR="00EB3FFB">
              <w:rPr>
                <w:b/>
                <w:bCs/>
                <w:sz w:val="20"/>
                <w:szCs w:val="20"/>
              </w:rPr>
              <w:t>]</w:t>
            </w:r>
            <w:r w:rsidRPr="00507F8D" w:rsidR="00507F8D">
              <w:rPr>
                <w:b/>
                <w:bCs/>
                <w:sz w:val="20"/>
                <w:szCs w:val="20"/>
              </w:rPr>
              <w:t xml:space="preserve"> </w:t>
            </w:r>
            <w:r w:rsidRPr="001E1DC1">
              <w:rPr>
                <w:b/>
                <w:bCs/>
                <w:sz w:val="20"/>
                <w:szCs w:val="20"/>
              </w:rPr>
              <w:t>(e)</w:t>
            </w:r>
          </w:p>
        </w:tc>
        <w:tc>
          <w:tcPr>
            <w:tcW w:w="20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507B4" w:rsidRPr="001E1DC1" w:rsidP="001D0A90" w14:paraId="1920F3F2" w14:textId="705484F7">
            <w:pPr>
              <w:spacing w:after="0"/>
              <w:jc w:val="center"/>
              <w:rPr>
                <w:b/>
                <w:bCs/>
                <w:sz w:val="20"/>
                <w:szCs w:val="20"/>
              </w:rPr>
            </w:pPr>
            <w:r>
              <w:rPr>
                <w:b/>
                <w:bCs/>
                <w:sz w:val="20"/>
                <w:szCs w:val="20"/>
              </w:rPr>
              <w:t xml:space="preserve">                    </w:t>
            </w:r>
            <w:r w:rsidR="00F525ED">
              <w:rPr>
                <w:b/>
                <w:bCs/>
                <w:sz w:val="20"/>
                <w:szCs w:val="20"/>
              </w:rPr>
              <w:t>70,173</w:t>
            </w:r>
          </w:p>
        </w:tc>
      </w:tr>
      <w:tr w14:paraId="41C6A09B" w14:textId="77777777" w:rsidTr="00E74B0E">
        <w:tblPrEx>
          <w:tblW w:w="10260" w:type="dxa"/>
          <w:jc w:val="center"/>
          <w:tblLook w:val="04A0"/>
        </w:tblPrEx>
        <w:trPr>
          <w:jc w:val="center"/>
        </w:trPr>
        <w:tc>
          <w:tcPr>
            <w:tcW w:w="8244" w:type="dxa"/>
            <w:tcBorders>
              <w:top w:val="single" w:sz="4" w:space="0" w:color="auto"/>
              <w:left w:val="single" w:sz="4" w:space="0" w:color="auto"/>
              <w:bottom w:val="single" w:sz="4" w:space="0" w:color="auto"/>
              <w:right w:val="single" w:sz="4" w:space="0" w:color="auto"/>
            </w:tcBorders>
            <w:vAlign w:val="center"/>
            <w:hideMark/>
          </w:tcPr>
          <w:p w:rsidR="009507B4" w:rsidRPr="001D0A90" w:rsidP="001D0A90" w14:paraId="2019A2DC" w14:textId="37885D03">
            <w:pPr>
              <w:spacing w:after="0"/>
              <w:rPr>
                <w:sz w:val="20"/>
                <w:szCs w:val="20"/>
              </w:rPr>
            </w:pPr>
            <w:r>
              <w:rPr>
                <w:sz w:val="20"/>
                <w:szCs w:val="20"/>
              </w:rPr>
              <w:t xml:space="preserve">Cost per respondent at </w:t>
            </w:r>
            <w:r w:rsidRPr="001D0A90">
              <w:rPr>
                <w:sz w:val="20"/>
                <w:szCs w:val="20"/>
              </w:rPr>
              <w:t>Labor rate for a computer systems analyst</w:t>
            </w:r>
            <w:r>
              <w:rPr>
                <w:sz w:val="20"/>
                <w:szCs w:val="20"/>
              </w:rPr>
              <w:t xml:space="preserve"> @$103.40/hr</w:t>
            </w:r>
            <w:r w:rsidRPr="001D0A90">
              <w:rPr>
                <w:sz w:val="20"/>
                <w:szCs w:val="20"/>
              </w:rPr>
              <w:t xml:space="preserve"> (g)</w:t>
            </w:r>
            <w:r>
              <w:rPr>
                <w:sz w:val="20"/>
                <w:szCs w:val="20"/>
              </w:rPr>
              <w:t xml:space="preserve"> = (</w:t>
            </w:r>
            <w:r w:rsidR="00021309">
              <w:rPr>
                <w:sz w:val="20"/>
                <w:szCs w:val="20"/>
              </w:rPr>
              <w:t>e</w:t>
            </w:r>
            <w:r>
              <w:rPr>
                <w:sz w:val="20"/>
                <w:szCs w:val="20"/>
              </w:rPr>
              <w:t>) [x</w:t>
            </w:r>
            <w:r w:rsidR="00BC28F9">
              <w:rPr>
                <w:sz w:val="20"/>
                <w:szCs w:val="20"/>
              </w:rPr>
              <w:t>]</w:t>
            </w:r>
            <w:r>
              <w:rPr>
                <w:sz w:val="20"/>
                <w:szCs w:val="20"/>
              </w:rPr>
              <w:t xml:space="preserve"> $103.40/hr</w:t>
            </w:r>
          </w:p>
        </w:tc>
        <w:tc>
          <w:tcPr>
            <w:tcW w:w="2016" w:type="dxa"/>
            <w:tcBorders>
              <w:top w:val="single" w:sz="4" w:space="0" w:color="auto"/>
              <w:left w:val="single" w:sz="4" w:space="0" w:color="auto"/>
              <w:bottom w:val="single" w:sz="4" w:space="0" w:color="auto"/>
              <w:right w:val="single" w:sz="4" w:space="0" w:color="auto"/>
            </w:tcBorders>
            <w:noWrap/>
            <w:vAlign w:val="center"/>
            <w:hideMark/>
          </w:tcPr>
          <w:p w:rsidR="009507B4" w:rsidRPr="001D0A90" w:rsidP="001D0A90" w14:paraId="12898BD8" w14:textId="27C9E312">
            <w:pPr>
              <w:spacing w:after="0"/>
              <w:jc w:val="center"/>
              <w:rPr>
                <w:sz w:val="20"/>
                <w:szCs w:val="20"/>
              </w:rPr>
            </w:pPr>
            <w:r>
              <w:rPr>
                <w:sz w:val="20"/>
                <w:szCs w:val="20"/>
              </w:rPr>
              <w:t xml:space="preserve">                 </w:t>
            </w:r>
            <w:r w:rsidRPr="001D0A90">
              <w:rPr>
                <w:sz w:val="20"/>
                <w:szCs w:val="20"/>
              </w:rPr>
              <w:t>$</w:t>
            </w:r>
            <w:r>
              <w:rPr>
                <w:sz w:val="20"/>
                <w:szCs w:val="20"/>
              </w:rPr>
              <w:t>279.18</w:t>
            </w:r>
          </w:p>
        </w:tc>
      </w:tr>
      <w:tr w14:paraId="410E9ADB" w14:textId="77777777" w:rsidTr="003D29BA">
        <w:tblPrEx>
          <w:tblW w:w="10260" w:type="dxa"/>
          <w:jc w:val="center"/>
          <w:tblLook w:val="04A0"/>
        </w:tblPrEx>
        <w:trPr>
          <w:trHeight w:val="467"/>
          <w:jc w:val="center"/>
        </w:trPr>
        <w:tc>
          <w:tcPr>
            <w:tcW w:w="82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507B4" w:rsidRPr="001E1DC1" w:rsidP="001D0A90" w14:paraId="7C0C2A8E" w14:textId="07190208">
            <w:pPr>
              <w:spacing w:after="0"/>
              <w:rPr>
                <w:b/>
                <w:bCs/>
                <w:sz w:val="20"/>
                <w:szCs w:val="20"/>
              </w:rPr>
            </w:pPr>
            <w:r w:rsidRPr="001E1DC1">
              <w:rPr>
                <w:b/>
                <w:bCs/>
                <w:sz w:val="20"/>
                <w:szCs w:val="20"/>
              </w:rPr>
              <w:t>Total Annual Cost (h) = (</w:t>
            </w:r>
            <w:r w:rsidR="00DE4973">
              <w:rPr>
                <w:b/>
                <w:bCs/>
                <w:sz w:val="20"/>
                <w:szCs w:val="20"/>
              </w:rPr>
              <w:t>d</w:t>
            </w:r>
            <w:r w:rsidRPr="001E1DC1">
              <w:rPr>
                <w:b/>
                <w:bCs/>
                <w:sz w:val="20"/>
                <w:szCs w:val="20"/>
              </w:rPr>
              <w:t xml:space="preserve">) </w:t>
            </w:r>
            <w:r w:rsidR="00377B23">
              <w:rPr>
                <w:b/>
                <w:bCs/>
                <w:sz w:val="20"/>
                <w:szCs w:val="20"/>
              </w:rPr>
              <w:t>[</w:t>
            </w:r>
            <w:r w:rsidRPr="00507F8D" w:rsidR="00507F8D">
              <w:rPr>
                <w:b/>
                <w:bCs/>
                <w:sz w:val="20"/>
                <w:szCs w:val="20"/>
              </w:rPr>
              <w:t>x</w:t>
            </w:r>
            <w:r w:rsidR="007B413E">
              <w:rPr>
                <w:b/>
                <w:bCs/>
                <w:sz w:val="20"/>
                <w:szCs w:val="20"/>
              </w:rPr>
              <w:t>]</w:t>
            </w:r>
            <w:r w:rsidRPr="00507F8D" w:rsidR="00507F8D">
              <w:rPr>
                <w:b/>
                <w:bCs/>
                <w:sz w:val="20"/>
                <w:szCs w:val="20"/>
              </w:rPr>
              <w:t xml:space="preserve"> </w:t>
            </w:r>
            <w:r w:rsidRPr="001E1DC1">
              <w:rPr>
                <w:b/>
                <w:bCs/>
                <w:sz w:val="20"/>
                <w:szCs w:val="20"/>
              </w:rPr>
              <w:t>(g)</w:t>
            </w:r>
          </w:p>
        </w:tc>
        <w:tc>
          <w:tcPr>
            <w:tcW w:w="20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507B4" w:rsidRPr="001E1DC1" w:rsidP="001D0A90" w14:paraId="79C97807" w14:textId="757DDE4E">
            <w:pPr>
              <w:spacing w:after="0"/>
              <w:jc w:val="center"/>
              <w:rPr>
                <w:b/>
                <w:bCs/>
                <w:sz w:val="20"/>
                <w:szCs w:val="20"/>
              </w:rPr>
            </w:pPr>
            <w:r>
              <w:rPr>
                <w:b/>
                <w:bCs/>
                <w:sz w:val="20"/>
                <w:szCs w:val="20"/>
              </w:rPr>
              <w:t xml:space="preserve">                 </w:t>
            </w:r>
            <w:r w:rsidRPr="001E1DC1">
              <w:rPr>
                <w:b/>
                <w:bCs/>
                <w:sz w:val="20"/>
                <w:szCs w:val="20"/>
              </w:rPr>
              <w:t>$</w:t>
            </w:r>
            <w:r w:rsidR="002A5249">
              <w:rPr>
                <w:b/>
                <w:bCs/>
                <w:sz w:val="20"/>
                <w:szCs w:val="20"/>
              </w:rPr>
              <w:t>7,255,888</w:t>
            </w:r>
          </w:p>
        </w:tc>
      </w:tr>
    </w:tbl>
    <w:p w:rsidR="001403BF" w:rsidP="001D0A90" w14:paraId="47E12788" w14:textId="77777777"/>
    <w:p w:rsidR="00BF3BFB" w:rsidRPr="004330C9" w:rsidP="0011028A" w14:paraId="24993FD8" w14:textId="2FDA5050">
      <w:pPr>
        <w:pStyle w:val="Heading3"/>
      </w:pPr>
      <w:r w:rsidRPr="004330C9">
        <w:t xml:space="preserve">Burden Estimate for the Nomination of Promoting </w:t>
      </w:r>
      <w:r w:rsidR="004330C9">
        <w:br/>
      </w:r>
      <w:r w:rsidRPr="004330C9">
        <w:t>Interoperability Measures</w:t>
      </w:r>
    </w:p>
    <w:p w:rsidR="009C4AC0" w:rsidRPr="009C4AC0" w:rsidP="009C4AC0" w14:paraId="374C5634" w14:textId="2FAF822D">
      <w:pPr>
        <w:rPr>
          <w:rFonts w:eastAsia="Calibri"/>
        </w:rPr>
      </w:pPr>
      <w:r w:rsidRPr="00EA4ED8">
        <w:rPr>
          <w:rFonts w:eastAsia="Calibri"/>
        </w:rPr>
        <w:t>Promoting Interoperability measures may be submitted via the Call for Promoting Interoperability Performance Category Measures Submission Form that includes the measure description, measure type (if applicable), reporting requirement, and CEHRT functionality used (if applicable).</w:t>
      </w:r>
      <w:r w:rsidR="00BB24A3">
        <w:rPr>
          <w:rFonts w:eastAsia="Calibri"/>
        </w:rPr>
        <w:t xml:space="preserve"> </w:t>
      </w:r>
      <w:r w:rsidRPr="009C4AC0">
        <w:rPr>
          <w:rFonts w:eastAsia="Calibri"/>
        </w:rPr>
        <w:t>Due to a consistent decline in the number of submissions received for the Promoting Interoperability performance category measures, we estimate to receive fewer tha</w:t>
      </w:r>
      <w:r>
        <w:rPr>
          <w:rFonts w:eastAsia="Calibri"/>
        </w:rPr>
        <w:t>n 10</w:t>
      </w:r>
      <w:r w:rsidRPr="009C4AC0">
        <w:rPr>
          <w:rFonts w:eastAsia="Calibri"/>
        </w:rPr>
        <w:t xml:space="preserve"> responses for this ICR.  Therefore, we are proposing to remove the ICR for nomination of Promoting Interoperability performance category measures. </w:t>
      </w:r>
    </w:p>
    <w:p w:rsidR="000160D9" w:rsidP="009C4AC0" w14:paraId="582577F0" w14:textId="6F132499">
      <w:pPr>
        <w:rPr>
          <w:rFonts w:eastAsia="Calibri"/>
        </w:rPr>
      </w:pPr>
      <w:r w:rsidRPr="009C4AC0">
        <w:rPr>
          <w:rFonts w:eastAsia="Calibri"/>
        </w:rPr>
        <w:t xml:space="preserve">As shown in Table </w:t>
      </w:r>
      <w:r>
        <w:rPr>
          <w:rFonts w:eastAsia="Calibri"/>
        </w:rPr>
        <w:t>20</w:t>
      </w:r>
      <w:r w:rsidRPr="009C4AC0">
        <w:rPr>
          <w:rFonts w:eastAsia="Calibri"/>
        </w:rPr>
        <w:t xml:space="preserve">, </w:t>
      </w:r>
      <w:r>
        <w:rPr>
          <w:rFonts w:eastAsia="Calibri"/>
        </w:rPr>
        <w:t>w</w:t>
      </w:r>
      <w:r w:rsidRPr="00CC2BFB" w:rsidR="00FB19FD">
        <w:rPr>
          <w:rFonts w:eastAsia="Calibri"/>
        </w:rPr>
        <w:t xml:space="preserve">e estimate </w:t>
      </w:r>
      <w:r>
        <w:rPr>
          <w:rFonts w:eastAsia="Calibri"/>
        </w:rPr>
        <w:t xml:space="preserve">that we will receive zero measures for the CY 2024 performance period/2026 MIPS payment year. We estimate that </w:t>
      </w:r>
      <w:r w:rsidRPr="00CC2BFB" w:rsidR="00FB19FD">
        <w:rPr>
          <w:rFonts w:eastAsia="Calibri"/>
        </w:rPr>
        <w:t>it will take 0.5 hours per organization to submit an activity to us, consisting of 0.3 hours at $1</w:t>
      </w:r>
      <w:r>
        <w:rPr>
          <w:rFonts w:eastAsia="Calibri"/>
        </w:rPr>
        <w:t>23.06</w:t>
      </w:r>
      <w:r w:rsidRPr="00CC2BFB" w:rsidR="00FB19FD">
        <w:rPr>
          <w:rFonts w:eastAsia="Calibri"/>
        </w:rPr>
        <w:t xml:space="preserve">/hr for a </w:t>
      </w:r>
      <w:r w:rsidR="008D7DB5">
        <w:rPr>
          <w:rFonts w:eastAsia="Calibri"/>
        </w:rPr>
        <w:t xml:space="preserve">medical and </w:t>
      </w:r>
      <w:r w:rsidR="008D7DB5">
        <w:rPr>
          <w:rFonts w:eastAsia="Calibri"/>
        </w:rPr>
        <w:t>health services manager</w:t>
      </w:r>
      <w:r w:rsidRPr="00CC2BFB" w:rsidR="00FB19FD">
        <w:rPr>
          <w:rFonts w:eastAsia="Calibri"/>
        </w:rPr>
        <w:t xml:space="preserve"> to make a strategic decision to nominate that </w:t>
      </w:r>
      <w:r w:rsidR="00B865BF">
        <w:rPr>
          <w:rFonts w:eastAsia="Calibri"/>
        </w:rPr>
        <w:t xml:space="preserve">measure </w:t>
      </w:r>
      <w:r w:rsidRPr="00CC2BFB" w:rsidR="00FB19FD">
        <w:rPr>
          <w:rFonts w:eastAsia="Calibri"/>
        </w:rPr>
        <w:t>and submit a</w:t>
      </w:r>
      <w:r w:rsidR="00B865BF">
        <w:rPr>
          <w:rFonts w:eastAsia="Calibri"/>
        </w:rPr>
        <w:t xml:space="preserve"> measure</w:t>
      </w:r>
      <w:r w:rsidRPr="00CC2BFB" w:rsidR="00FB19FD">
        <w:rPr>
          <w:rFonts w:eastAsia="Calibri"/>
        </w:rPr>
        <w:t xml:space="preserve"> to us via email and 0.2 hours at $2</w:t>
      </w:r>
      <w:r>
        <w:rPr>
          <w:rFonts w:eastAsia="Calibri"/>
        </w:rPr>
        <w:t>74.44</w:t>
      </w:r>
      <w:r w:rsidRPr="00CC2BFB" w:rsidR="00FB19FD">
        <w:rPr>
          <w:rFonts w:eastAsia="Calibri"/>
        </w:rPr>
        <w:t>/hr for a clinician to review the nomination.  As shown in Table</w:t>
      </w:r>
      <w:r w:rsidR="00FB19FD">
        <w:rPr>
          <w:rFonts w:eastAsia="Calibri"/>
        </w:rPr>
        <w:t xml:space="preserve"> </w:t>
      </w:r>
      <w:r>
        <w:rPr>
          <w:rFonts w:eastAsia="Calibri"/>
        </w:rPr>
        <w:t>20</w:t>
      </w:r>
      <w:r w:rsidRPr="00CC2BFB" w:rsidR="00FB19FD">
        <w:rPr>
          <w:rFonts w:eastAsia="Calibri"/>
        </w:rPr>
        <w:t xml:space="preserve">, we estimate an annual burden of </w:t>
      </w:r>
      <w:r>
        <w:rPr>
          <w:rFonts w:eastAsia="Calibri"/>
        </w:rPr>
        <w:t>0</w:t>
      </w:r>
      <w:r w:rsidRPr="00CC2BFB" w:rsidR="00FB19FD">
        <w:rPr>
          <w:rFonts w:eastAsia="Calibri"/>
        </w:rPr>
        <w:t xml:space="preserve"> hours (</w:t>
      </w:r>
      <w:r>
        <w:rPr>
          <w:rFonts w:eastAsia="Calibri"/>
        </w:rPr>
        <w:t xml:space="preserve">0 nominations </w:t>
      </w:r>
      <w:r w:rsidRPr="00CC2BFB" w:rsidR="00FB19FD">
        <w:rPr>
          <w:rFonts w:eastAsia="Calibri"/>
        </w:rPr>
        <w:t>x 0.5 hr/response) at a cost of $</w:t>
      </w:r>
      <w:r>
        <w:rPr>
          <w:rFonts w:eastAsia="Calibri"/>
        </w:rPr>
        <w:t>0</w:t>
      </w:r>
      <w:r w:rsidRPr="00CC2BFB" w:rsidR="00FB19FD">
        <w:rPr>
          <w:rFonts w:eastAsia="Calibri"/>
        </w:rPr>
        <w:t xml:space="preserve"> (</w:t>
      </w:r>
      <w:r w:rsidR="00FB19FD">
        <w:rPr>
          <w:rFonts w:eastAsia="Calibri"/>
        </w:rPr>
        <w:t>0</w:t>
      </w:r>
      <w:r w:rsidRPr="00CC2BFB" w:rsidR="00FB19FD">
        <w:rPr>
          <w:rFonts w:eastAsia="Calibri"/>
        </w:rPr>
        <w:t xml:space="preserve"> x [(0.3 h x $1</w:t>
      </w:r>
      <w:r>
        <w:rPr>
          <w:rFonts w:eastAsia="Calibri"/>
        </w:rPr>
        <w:t>23.06</w:t>
      </w:r>
      <w:r w:rsidRPr="00CC2BFB" w:rsidR="00FB19FD">
        <w:rPr>
          <w:rFonts w:eastAsia="Calibri"/>
        </w:rPr>
        <w:t>/hr) + (0.2 hr x $2</w:t>
      </w:r>
      <w:r>
        <w:rPr>
          <w:rFonts w:eastAsia="Calibri"/>
        </w:rPr>
        <w:t>74.44</w:t>
      </w:r>
      <w:r w:rsidRPr="00CC2BFB" w:rsidR="00FB19FD">
        <w:rPr>
          <w:rFonts w:eastAsia="Calibri"/>
        </w:rPr>
        <w:t>/hr</w:t>
      </w:r>
      <w:r w:rsidRPr="00D5008C" w:rsidR="00D5008C">
        <w:rPr>
          <w:rFonts w:eastAsia="Calibri"/>
        </w:rPr>
        <w:t>)].</w:t>
      </w:r>
    </w:p>
    <w:p w:rsidR="000160D9" w:rsidRPr="00C47150" w:rsidP="007F64F4" w14:paraId="3748969F" w14:textId="1D85F3B2">
      <w:pPr>
        <w:keepNext/>
        <w:keepLines/>
        <w:jc w:val="center"/>
        <w:rPr>
          <w:b/>
          <w:bCs/>
        </w:rPr>
      </w:pPr>
      <w:r w:rsidRPr="008760B2">
        <w:rPr>
          <w:b/>
          <w:bCs/>
        </w:rPr>
        <w:t xml:space="preserve">TABLE </w:t>
      </w:r>
      <w:r w:rsidR="009C4AC0">
        <w:rPr>
          <w:b/>
          <w:bCs/>
        </w:rPr>
        <w:t>20</w:t>
      </w:r>
      <w:r w:rsidRPr="008760B2">
        <w:rPr>
          <w:b/>
          <w:bCs/>
        </w:rPr>
        <w:t>:</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r w:rsidR="00AD3426">
        <w:rPr>
          <w:b/>
          <w:bCs/>
        </w:rPr>
        <w:t xml:space="preserve">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5"/>
        <w:gridCol w:w="1710"/>
      </w:tblGrid>
      <w:tr w14:paraId="4ED8C2F1" w14:textId="77777777" w:rsidTr="00EB5476">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2"/>
          <w:tblHeader/>
          <w:jc w:val="center"/>
        </w:trPr>
        <w:tc>
          <w:tcPr>
            <w:tcW w:w="7825" w:type="dxa"/>
            <w:shd w:val="clear" w:color="auto" w:fill="auto"/>
            <w:vAlign w:val="center"/>
            <w:hideMark/>
          </w:tcPr>
          <w:p w:rsidR="000160D9" w:rsidRPr="000160D9" w:rsidP="007F64F4" w14:paraId="76C728C0" w14:textId="70ECABBE">
            <w:pPr>
              <w:keepNext/>
              <w:keepLines/>
              <w:spacing w:after="0"/>
              <w:rPr>
                <w:b/>
                <w:sz w:val="20"/>
                <w:szCs w:val="20"/>
              </w:rPr>
            </w:pPr>
            <w:r w:rsidRPr="000160D9">
              <w:rPr>
                <w:b/>
                <w:sz w:val="20"/>
                <w:szCs w:val="20"/>
              </w:rPr>
              <w:t> Burden and Respondent Descriptions</w:t>
            </w:r>
          </w:p>
        </w:tc>
        <w:tc>
          <w:tcPr>
            <w:tcW w:w="1710" w:type="dxa"/>
            <w:shd w:val="clear" w:color="auto" w:fill="auto"/>
            <w:hideMark/>
          </w:tcPr>
          <w:p w:rsidR="000160D9" w:rsidRPr="00675D16" w:rsidP="007F64F4" w14:paraId="51734988" w14:textId="63FFFEE3">
            <w:pPr>
              <w:keepNext/>
              <w:keepLines/>
              <w:spacing w:after="0"/>
              <w:rPr>
                <w:b/>
                <w:bCs/>
                <w:sz w:val="20"/>
                <w:szCs w:val="20"/>
              </w:rPr>
            </w:pPr>
            <w:r w:rsidRPr="00675D16">
              <w:rPr>
                <w:b/>
                <w:bCs/>
                <w:sz w:val="20"/>
                <w:szCs w:val="20"/>
              </w:rPr>
              <w:t xml:space="preserve">Burden </w:t>
            </w:r>
            <w:r w:rsidR="00EB5476">
              <w:rPr>
                <w:b/>
                <w:bCs/>
                <w:sz w:val="20"/>
                <w:szCs w:val="20"/>
              </w:rPr>
              <w:t>E</w:t>
            </w:r>
            <w:r w:rsidRPr="00675D16">
              <w:rPr>
                <w:b/>
                <w:bCs/>
                <w:sz w:val="20"/>
                <w:szCs w:val="20"/>
              </w:rPr>
              <w:t>stimate</w:t>
            </w:r>
          </w:p>
        </w:tc>
      </w:tr>
      <w:tr w14:paraId="15427C35" w14:textId="77777777" w:rsidTr="00EB5476">
        <w:tblPrEx>
          <w:tblW w:w="9535" w:type="dxa"/>
          <w:jc w:val="center"/>
          <w:tblLook w:val="04A0"/>
        </w:tblPrEx>
        <w:trPr>
          <w:trHeight w:val="323"/>
          <w:jc w:val="center"/>
        </w:trPr>
        <w:tc>
          <w:tcPr>
            <w:tcW w:w="7825" w:type="dxa"/>
            <w:shd w:val="clear" w:color="auto" w:fill="auto"/>
            <w:hideMark/>
          </w:tcPr>
          <w:p w:rsidR="000160D9" w:rsidRPr="00675D16" w:rsidP="007F64F4" w14:paraId="6CBB7DE7" w14:textId="77777777">
            <w:pPr>
              <w:keepNext/>
              <w:keepLines/>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710" w:type="dxa"/>
            <w:shd w:val="clear" w:color="auto" w:fill="auto"/>
            <w:noWrap/>
            <w:hideMark/>
          </w:tcPr>
          <w:p w:rsidR="000160D9" w:rsidRPr="00675D16" w:rsidP="003D29BA" w14:paraId="6FD9E566" w14:textId="36E2AAE3">
            <w:pPr>
              <w:keepNext/>
              <w:keepLines/>
              <w:spacing w:after="0"/>
              <w:jc w:val="right"/>
              <w:rPr>
                <w:sz w:val="20"/>
                <w:szCs w:val="20"/>
              </w:rPr>
            </w:pPr>
            <w:r>
              <w:rPr>
                <w:sz w:val="20"/>
                <w:szCs w:val="20"/>
              </w:rPr>
              <w:t xml:space="preserve">                          </w:t>
            </w:r>
            <w:r w:rsidR="00922CF6">
              <w:rPr>
                <w:sz w:val="20"/>
                <w:szCs w:val="20"/>
              </w:rPr>
              <w:t>0</w:t>
            </w:r>
          </w:p>
        </w:tc>
      </w:tr>
      <w:tr w14:paraId="5069BE0D" w14:textId="77777777" w:rsidTr="00EB5476">
        <w:tblPrEx>
          <w:tblW w:w="9535" w:type="dxa"/>
          <w:jc w:val="center"/>
          <w:tblLook w:val="04A0"/>
        </w:tblPrEx>
        <w:trPr>
          <w:trHeight w:val="305"/>
          <w:jc w:val="center"/>
        </w:trPr>
        <w:tc>
          <w:tcPr>
            <w:tcW w:w="7825" w:type="dxa"/>
            <w:shd w:val="clear" w:color="auto" w:fill="auto"/>
            <w:hideMark/>
          </w:tcPr>
          <w:p w:rsidR="000160D9" w:rsidRPr="00675D16" w:rsidP="007F64F4" w14:paraId="32A3C45D" w14:textId="33523553">
            <w:pPr>
              <w:keepNext/>
              <w:keepLines/>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710" w:type="dxa"/>
            <w:shd w:val="clear" w:color="auto" w:fill="auto"/>
            <w:noWrap/>
            <w:hideMark/>
          </w:tcPr>
          <w:p w:rsidR="000160D9" w:rsidRPr="00675D16" w:rsidP="003D29BA" w14:paraId="4FB0E5B9" w14:textId="4E96106F">
            <w:pPr>
              <w:keepNext/>
              <w:keepLines/>
              <w:spacing w:after="0"/>
              <w:jc w:val="right"/>
              <w:rPr>
                <w:sz w:val="20"/>
                <w:szCs w:val="20"/>
              </w:rPr>
            </w:pPr>
            <w:r>
              <w:rPr>
                <w:sz w:val="20"/>
                <w:szCs w:val="20"/>
              </w:rPr>
              <w:t xml:space="preserve">                      </w:t>
            </w:r>
            <w:r w:rsidRPr="00732012">
              <w:rPr>
                <w:sz w:val="20"/>
                <w:szCs w:val="20"/>
              </w:rPr>
              <w:t>0.30</w:t>
            </w:r>
          </w:p>
        </w:tc>
      </w:tr>
      <w:tr w14:paraId="27725F9D" w14:textId="77777777" w:rsidTr="00EB5476">
        <w:tblPrEx>
          <w:tblW w:w="9535" w:type="dxa"/>
          <w:jc w:val="center"/>
          <w:tblLook w:val="04A0"/>
        </w:tblPrEx>
        <w:trPr>
          <w:trHeight w:val="260"/>
          <w:jc w:val="center"/>
        </w:trPr>
        <w:tc>
          <w:tcPr>
            <w:tcW w:w="7825" w:type="dxa"/>
            <w:shd w:val="clear" w:color="auto" w:fill="auto"/>
            <w:hideMark/>
          </w:tcPr>
          <w:p w:rsidR="000160D9" w:rsidRPr="00675D16" w:rsidP="007F64F4" w14:paraId="03ACDC62" w14:textId="77777777">
            <w:pPr>
              <w:keepNext/>
              <w:keepLines/>
              <w:spacing w:after="0"/>
              <w:rPr>
                <w:sz w:val="20"/>
                <w:szCs w:val="20"/>
              </w:rPr>
            </w:pPr>
            <w:r w:rsidRPr="00732012">
              <w:rPr>
                <w:sz w:val="20"/>
                <w:szCs w:val="20"/>
              </w:rPr>
              <w:t># of Hours Per Clinician to Identify Measure (c)</w:t>
            </w:r>
          </w:p>
        </w:tc>
        <w:tc>
          <w:tcPr>
            <w:tcW w:w="1710" w:type="dxa"/>
            <w:shd w:val="clear" w:color="auto" w:fill="auto"/>
            <w:hideMark/>
          </w:tcPr>
          <w:p w:rsidR="000160D9" w:rsidRPr="00675D16" w:rsidP="003D29BA" w14:paraId="198F3F0C" w14:textId="444692C0">
            <w:pPr>
              <w:keepNext/>
              <w:keepLines/>
              <w:spacing w:after="0"/>
              <w:jc w:val="right"/>
              <w:rPr>
                <w:sz w:val="20"/>
                <w:szCs w:val="20"/>
              </w:rPr>
            </w:pPr>
            <w:r>
              <w:rPr>
                <w:sz w:val="20"/>
                <w:szCs w:val="20"/>
              </w:rPr>
              <w:t xml:space="preserve">                      </w:t>
            </w:r>
            <w:r w:rsidRPr="00732012">
              <w:rPr>
                <w:sz w:val="20"/>
                <w:szCs w:val="20"/>
              </w:rPr>
              <w:t>0.20</w:t>
            </w:r>
          </w:p>
        </w:tc>
      </w:tr>
      <w:tr w14:paraId="6930E10F" w14:textId="77777777" w:rsidTr="003D29BA">
        <w:tblPrEx>
          <w:tblW w:w="9535" w:type="dxa"/>
          <w:jc w:val="center"/>
          <w:tblLook w:val="04A0"/>
        </w:tblPrEx>
        <w:trPr>
          <w:trHeight w:val="300"/>
          <w:jc w:val="center"/>
        </w:trPr>
        <w:tc>
          <w:tcPr>
            <w:tcW w:w="7825" w:type="dxa"/>
            <w:shd w:val="clear" w:color="auto" w:fill="auto"/>
            <w:hideMark/>
          </w:tcPr>
          <w:p w:rsidR="000160D9" w:rsidRPr="00675D16" w:rsidP="000160D9" w14:paraId="69CAE2F9" w14:textId="7DF7A327">
            <w:pPr>
              <w:spacing w:after="0"/>
              <w:rPr>
                <w:sz w:val="20"/>
                <w:szCs w:val="20"/>
              </w:rPr>
            </w:pPr>
            <w:r w:rsidRPr="00732012">
              <w:rPr>
                <w:sz w:val="20"/>
                <w:szCs w:val="20"/>
              </w:rPr>
              <w:t>Annual Hours Per Respondent (d)</w:t>
            </w:r>
            <w:r w:rsidR="00A87849">
              <w:rPr>
                <w:sz w:val="20"/>
                <w:szCs w:val="20"/>
              </w:rPr>
              <w:t xml:space="preserve"> </w:t>
            </w:r>
            <w:r w:rsidRPr="00732012">
              <w:rPr>
                <w:sz w:val="20"/>
                <w:szCs w:val="20"/>
              </w:rPr>
              <w:t>= (b) + (c)</w:t>
            </w:r>
          </w:p>
        </w:tc>
        <w:tc>
          <w:tcPr>
            <w:tcW w:w="1710" w:type="dxa"/>
            <w:shd w:val="clear" w:color="auto" w:fill="auto"/>
            <w:hideMark/>
          </w:tcPr>
          <w:p w:rsidR="000160D9" w:rsidRPr="00675D16" w:rsidP="003D29BA" w14:paraId="27725B9A" w14:textId="0E36A00F">
            <w:pPr>
              <w:spacing w:after="0"/>
              <w:jc w:val="right"/>
              <w:rPr>
                <w:sz w:val="20"/>
                <w:szCs w:val="20"/>
              </w:rPr>
            </w:pPr>
            <w:r>
              <w:rPr>
                <w:sz w:val="20"/>
                <w:szCs w:val="20"/>
              </w:rPr>
              <w:t xml:space="preserve">                      </w:t>
            </w:r>
            <w:r w:rsidRPr="00732012">
              <w:rPr>
                <w:sz w:val="20"/>
                <w:szCs w:val="20"/>
              </w:rPr>
              <w:t>0.50</w:t>
            </w:r>
          </w:p>
        </w:tc>
      </w:tr>
      <w:tr w14:paraId="2AFE4881" w14:textId="77777777" w:rsidTr="003D29BA">
        <w:tblPrEx>
          <w:tblW w:w="9535" w:type="dxa"/>
          <w:jc w:val="center"/>
          <w:tblLook w:val="04A0"/>
        </w:tblPrEx>
        <w:trPr>
          <w:trHeight w:val="300"/>
          <w:jc w:val="center"/>
        </w:trPr>
        <w:tc>
          <w:tcPr>
            <w:tcW w:w="7825" w:type="dxa"/>
            <w:shd w:val="clear" w:color="auto" w:fill="E7E6E6" w:themeFill="background2"/>
            <w:hideMark/>
          </w:tcPr>
          <w:p w:rsidR="000160D9" w:rsidRPr="002A6C48" w:rsidP="000160D9" w14:paraId="1336EC8C" w14:textId="40F8F2AE">
            <w:pPr>
              <w:spacing w:after="0"/>
              <w:rPr>
                <w:b/>
                <w:sz w:val="20"/>
                <w:szCs w:val="20"/>
              </w:rPr>
            </w:pPr>
            <w:r w:rsidRPr="002A6C48">
              <w:rPr>
                <w:b/>
                <w:sz w:val="20"/>
                <w:szCs w:val="20"/>
              </w:rPr>
              <w:t>Total Annual Hours (e)</w:t>
            </w:r>
            <w:r w:rsidR="00A87849">
              <w:rPr>
                <w:b/>
                <w:sz w:val="20"/>
                <w:szCs w:val="20"/>
              </w:rPr>
              <w:t xml:space="preserve"> </w:t>
            </w:r>
            <w:r w:rsidRPr="002A6C48">
              <w:rPr>
                <w:b/>
                <w:sz w:val="20"/>
                <w:szCs w:val="20"/>
              </w:rPr>
              <w:t>= (a)</w:t>
            </w:r>
            <w:r w:rsidR="00A87849">
              <w:rPr>
                <w:b/>
                <w:sz w:val="20"/>
                <w:szCs w:val="20"/>
              </w:rPr>
              <w:t xml:space="preserve"> </w:t>
            </w:r>
            <w:r w:rsidR="00A36DC4">
              <w:rPr>
                <w:b/>
                <w:sz w:val="20"/>
                <w:szCs w:val="20"/>
              </w:rPr>
              <w:t>[</w:t>
            </w:r>
            <w:r w:rsidRPr="00200C12" w:rsidR="00200C12">
              <w:rPr>
                <w:b/>
                <w:sz w:val="20"/>
                <w:szCs w:val="20"/>
              </w:rPr>
              <w:t>x</w:t>
            </w:r>
            <w:r w:rsidR="00EC34E4">
              <w:rPr>
                <w:b/>
                <w:sz w:val="20"/>
                <w:szCs w:val="20"/>
              </w:rPr>
              <w:t>]</w:t>
            </w:r>
            <w:r w:rsidRPr="00200C12" w:rsidR="00200C12">
              <w:rPr>
                <w:b/>
                <w:sz w:val="20"/>
                <w:szCs w:val="20"/>
              </w:rPr>
              <w:t xml:space="preserve"> </w:t>
            </w:r>
            <w:r w:rsidRPr="002A6C48">
              <w:rPr>
                <w:b/>
                <w:sz w:val="20"/>
                <w:szCs w:val="20"/>
              </w:rPr>
              <w:t>(d)</w:t>
            </w:r>
          </w:p>
        </w:tc>
        <w:tc>
          <w:tcPr>
            <w:tcW w:w="1710" w:type="dxa"/>
            <w:shd w:val="clear" w:color="auto" w:fill="E7E6E6" w:themeFill="background2"/>
            <w:hideMark/>
          </w:tcPr>
          <w:p w:rsidR="000160D9" w:rsidRPr="002A6C48" w:rsidP="003D29BA" w14:paraId="3D1D6025" w14:textId="30C29B49">
            <w:pPr>
              <w:spacing w:after="0"/>
              <w:jc w:val="right"/>
              <w:rPr>
                <w:b/>
                <w:sz w:val="20"/>
                <w:szCs w:val="20"/>
              </w:rPr>
            </w:pPr>
            <w:r>
              <w:rPr>
                <w:b/>
                <w:sz w:val="20"/>
                <w:szCs w:val="20"/>
              </w:rPr>
              <w:t xml:space="preserve">                          0</w:t>
            </w:r>
          </w:p>
        </w:tc>
      </w:tr>
      <w:tr w14:paraId="5B6E4EB9" w14:textId="77777777" w:rsidTr="00EB5476">
        <w:tblPrEx>
          <w:tblW w:w="9535" w:type="dxa"/>
          <w:jc w:val="center"/>
          <w:tblLook w:val="04A0"/>
        </w:tblPrEx>
        <w:trPr>
          <w:trHeight w:val="233"/>
          <w:jc w:val="center"/>
        </w:trPr>
        <w:tc>
          <w:tcPr>
            <w:tcW w:w="7825" w:type="dxa"/>
            <w:shd w:val="clear" w:color="auto" w:fill="auto"/>
            <w:hideMark/>
          </w:tcPr>
          <w:p w:rsidR="000160D9" w:rsidRPr="00675D16" w:rsidP="000160D9" w14:paraId="78304744" w14:textId="5A0B2759">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AD70DD">
              <w:rPr>
                <w:sz w:val="20"/>
                <w:szCs w:val="20"/>
              </w:rPr>
              <w:t>23.06</w:t>
            </w:r>
            <w:r w:rsidRPr="00732012">
              <w:rPr>
                <w:sz w:val="20"/>
                <w:szCs w:val="20"/>
              </w:rPr>
              <w:t>/hr.) (f)</w:t>
            </w:r>
            <w:r w:rsidR="009004AF">
              <w:rPr>
                <w:sz w:val="20"/>
                <w:szCs w:val="20"/>
              </w:rPr>
              <w:t xml:space="preserve"> = (b) [x] $123.06/hr</w:t>
            </w:r>
          </w:p>
        </w:tc>
        <w:tc>
          <w:tcPr>
            <w:tcW w:w="1710" w:type="dxa"/>
            <w:shd w:val="clear" w:color="auto" w:fill="auto"/>
            <w:hideMark/>
          </w:tcPr>
          <w:p w:rsidR="000160D9" w:rsidRPr="00675D16" w:rsidP="003D29BA" w14:paraId="6F2AE3B3" w14:textId="4B2BC584">
            <w:pPr>
              <w:spacing w:after="0"/>
              <w:jc w:val="right"/>
              <w:rPr>
                <w:sz w:val="20"/>
                <w:szCs w:val="20"/>
              </w:rPr>
            </w:pPr>
            <w:r>
              <w:rPr>
                <w:sz w:val="20"/>
                <w:szCs w:val="20"/>
              </w:rPr>
              <w:t xml:space="preserve">                  </w:t>
            </w:r>
            <w:r w:rsidRPr="00732012">
              <w:rPr>
                <w:sz w:val="20"/>
                <w:szCs w:val="20"/>
              </w:rPr>
              <w:t>$3</w:t>
            </w:r>
            <w:r>
              <w:rPr>
                <w:sz w:val="20"/>
                <w:szCs w:val="20"/>
              </w:rPr>
              <w:t>6.92</w:t>
            </w:r>
          </w:p>
        </w:tc>
      </w:tr>
      <w:tr w14:paraId="701CFCCE" w14:textId="77777777" w:rsidTr="00EB5476">
        <w:tblPrEx>
          <w:tblW w:w="9535" w:type="dxa"/>
          <w:jc w:val="center"/>
          <w:tblLook w:val="04A0"/>
        </w:tblPrEx>
        <w:trPr>
          <w:trHeight w:val="242"/>
          <w:jc w:val="center"/>
        </w:trPr>
        <w:tc>
          <w:tcPr>
            <w:tcW w:w="7825" w:type="dxa"/>
            <w:shd w:val="clear" w:color="auto" w:fill="auto"/>
            <w:hideMark/>
          </w:tcPr>
          <w:p w:rsidR="000160D9" w:rsidRPr="00675D16" w:rsidP="000160D9" w14:paraId="31CF036C" w14:textId="1650286A">
            <w:pPr>
              <w:spacing w:after="0"/>
              <w:rPr>
                <w:sz w:val="20"/>
                <w:szCs w:val="20"/>
              </w:rPr>
            </w:pPr>
            <w:r w:rsidRPr="00732012">
              <w:rPr>
                <w:sz w:val="20"/>
                <w:szCs w:val="20"/>
              </w:rPr>
              <w:t>Cost to Identify Measure (@ physician’s labor rate of $2</w:t>
            </w:r>
            <w:r w:rsidR="00AD70DD">
              <w:rPr>
                <w:sz w:val="20"/>
                <w:szCs w:val="20"/>
              </w:rPr>
              <w:t>74.44</w:t>
            </w:r>
            <w:r w:rsidRPr="00732012">
              <w:rPr>
                <w:sz w:val="20"/>
                <w:szCs w:val="20"/>
              </w:rPr>
              <w:t>/hr.) (g)</w:t>
            </w:r>
            <w:r w:rsidR="003C1CD0">
              <w:rPr>
                <w:sz w:val="20"/>
                <w:szCs w:val="20"/>
              </w:rPr>
              <w:t xml:space="preserve"> = </w:t>
            </w:r>
            <w:r w:rsidR="00CB52E9">
              <w:rPr>
                <w:sz w:val="20"/>
                <w:szCs w:val="20"/>
              </w:rPr>
              <w:t xml:space="preserve">(c) [x] </w:t>
            </w:r>
            <w:r w:rsidR="009004AF">
              <w:rPr>
                <w:sz w:val="20"/>
                <w:szCs w:val="20"/>
              </w:rPr>
              <w:t>$274.44/hr</w:t>
            </w:r>
          </w:p>
        </w:tc>
        <w:tc>
          <w:tcPr>
            <w:tcW w:w="1710" w:type="dxa"/>
            <w:shd w:val="clear" w:color="auto" w:fill="auto"/>
            <w:noWrap/>
            <w:hideMark/>
          </w:tcPr>
          <w:p w:rsidR="000160D9" w:rsidRPr="00675D16" w:rsidP="003D29BA" w14:paraId="6DC31582" w14:textId="3D04F7AB">
            <w:pPr>
              <w:spacing w:after="0"/>
              <w:jc w:val="right"/>
              <w:rPr>
                <w:sz w:val="20"/>
                <w:szCs w:val="20"/>
              </w:rPr>
            </w:pPr>
            <w:r>
              <w:rPr>
                <w:sz w:val="20"/>
                <w:szCs w:val="20"/>
              </w:rPr>
              <w:t xml:space="preserve">                  </w:t>
            </w:r>
            <w:r w:rsidRPr="00732012">
              <w:rPr>
                <w:sz w:val="20"/>
                <w:szCs w:val="20"/>
              </w:rPr>
              <w:t>$</w:t>
            </w:r>
            <w:r w:rsidR="002062FB">
              <w:rPr>
                <w:sz w:val="20"/>
                <w:szCs w:val="20"/>
              </w:rPr>
              <w:t>5</w:t>
            </w:r>
            <w:r>
              <w:rPr>
                <w:sz w:val="20"/>
                <w:szCs w:val="20"/>
              </w:rPr>
              <w:t>4.8</w:t>
            </w:r>
            <w:r w:rsidR="002062FB">
              <w:rPr>
                <w:sz w:val="20"/>
                <w:szCs w:val="20"/>
              </w:rPr>
              <w:t>9</w:t>
            </w:r>
          </w:p>
        </w:tc>
      </w:tr>
      <w:tr w14:paraId="5A1BCDF1" w14:textId="77777777" w:rsidTr="003D29BA">
        <w:tblPrEx>
          <w:tblW w:w="9535" w:type="dxa"/>
          <w:jc w:val="center"/>
          <w:tblLook w:val="04A0"/>
        </w:tblPrEx>
        <w:trPr>
          <w:trHeight w:val="300"/>
          <w:jc w:val="center"/>
        </w:trPr>
        <w:tc>
          <w:tcPr>
            <w:tcW w:w="7825" w:type="dxa"/>
            <w:shd w:val="clear" w:color="auto" w:fill="auto"/>
            <w:hideMark/>
          </w:tcPr>
          <w:p w:rsidR="000160D9" w:rsidRPr="00675D16" w:rsidP="000160D9" w14:paraId="231B7049" w14:textId="47796AE7">
            <w:pPr>
              <w:spacing w:after="0"/>
              <w:rPr>
                <w:sz w:val="20"/>
                <w:szCs w:val="20"/>
              </w:rPr>
            </w:pPr>
            <w:r w:rsidRPr="00732012">
              <w:rPr>
                <w:sz w:val="20"/>
                <w:szCs w:val="20"/>
              </w:rPr>
              <w:t>Total Annual Cost Per Respondent (h)</w:t>
            </w:r>
            <w:r w:rsidR="00A87849">
              <w:rPr>
                <w:sz w:val="20"/>
                <w:szCs w:val="20"/>
              </w:rPr>
              <w:t xml:space="preserve"> </w:t>
            </w:r>
            <w:r w:rsidRPr="00732012">
              <w:rPr>
                <w:sz w:val="20"/>
                <w:szCs w:val="20"/>
              </w:rPr>
              <w:t>=</w:t>
            </w:r>
            <w:r w:rsidR="00A87849">
              <w:rPr>
                <w:sz w:val="20"/>
                <w:szCs w:val="20"/>
              </w:rPr>
              <w:t xml:space="preserve"> </w:t>
            </w:r>
            <w:r w:rsidRPr="00732012">
              <w:rPr>
                <w:sz w:val="20"/>
                <w:szCs w:val="20"/>
              </w:rPr>
              <w:t>(f)</w:t>
            </w:r>
            <w:r w:rsidR="00A87849">
              <w:rPr>
                <w:sz w:val="20"/>
                <w:szCs w:val="20"/>
              </w:rPr>
              <w:t xml:space="preserve"> </w:t>
            </w:r>
            <w:r w:rsidRPr="00732012">
              <w:rPr>
                <w:sz w:val="20"/>
                <w:szCs w:val="20"/>
              </w:rPr>
              <w:t>+</w:t>
            </w:r>
            <w:r w:rsidR="00A87849">
              <w:rPr>
                <w:sz w:val="20"/>
                <w:szCs w:val="20"/>
              </w:rPr>
              <w:t xml:space="preserve"> </w:t>
            </w:r>
            <w:r w:rsidRPr="00732012">
              <w:rPr>
                <w:sz w:val="20"/>
                <w:szCs w:val="20"/>
              </w:rPr>
              <w:t>(g)</w:t>
            </w:r>
          </w:p>
        </w:tc>
        <w:tc>
          <w:tcPr>
            <w:tcW w:w="1710" w:type="dxa"/>
            <w:shd w:val="clear" w:color="auto" w:fill="auto"/>
            <w:noWrap/>
            <w:hideMark/>
          </w:tcPr>
          <w:p w:rsidR="000160D9" w:rsidRPr="00675D16" w:rsidP="003D29BA" w14:paraId="6EAF6753" w14:textId="3C26BEE9">
            <w:pPr>
              <w:spacing w:after="0"/>
              <w:jc w:val="right"/>
              <w:rPr>
                <w:sz w:val="20"/>
                <w:szCs w:val="20"/>
              </w:rPr>
            </w:pPr>
            <w:r>
              <w:rPr>
                <w:sz w:val="20"/>
                <w:szCs w:val="20"/>
              </w:rPr>
              <w:t xml:space="preserve">                  </w:t>
            </w:r>
            <w:r w:rsidRPr="00732012">
              <w:rPr>
                <w:sz w:val="20"/>
                <w:szCs w:val="20"/>
              </w:rPr>
              <w:t>$</w:t>
            </w:r>
            <w:r>
              <w:rPr>
                <w:sz w:val="20"/>
                <w:szCs w:val="20"/>
              </w:rPr>
              <w:t>91.81</w:t>
            </w:r>
          </w:p>
        </w:tc>
      </w:tr>
      <w:tr w14:paraId="1DBC883C" w14:textId="77777777" w:rsidTr="00EB5476">
        <w:tblPrEx>
          <w:tblW w:w="9535" w:type="dxa"/>
          <w:jc w:val="center"/>
          <w:tblLook w:val="04A0"/>
        </w:tblPrEx>
        <w:trPr>
          <w:trHeight w:val="300"/>
          <w:jc w:val="center"/>
        </w:trPr>
        <w:tc>
          <w:tcPr>
            <w:tcW w:w="7825" w:type="dxa"/>
            <w:shd w:val="clear" w:color="auto" w:fill="E7E6E6" w:themeFill="background2"/>
            <w:hideMark/>
          </w:tcPr>
          <w:p w:rsidR="000160D9" w:rsidRPr="002A6C48" w:rsidP="000160D9" w14:paraId="77B87AE0" w14:textId="3FC9E37E">
            <w:pPr>
              <w:spacing w:after="0"/>
              <w:rPr>
                <w:b/>
                <w:sz w:val="20"/>
                <w:szCs w:val="20"/>
              </w:rPr>
            </w:pPr>
            <w:r w:rsidRPr="002A6C48">
              <w:rPr>
                <w:b/>
                <w:sz w:val="20"/>
                <w:szCs w:val="20"/>
              </w:rPr>
              <w:t>Total Annual Cost (i)</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(a)</w:t>
            </w:r>
            <w:r w:rsidR="00A87849">
              <w:rPr>
                <w:b/>
                <w:sz w:val="20"/>
                <w:szCs w:val="20"/>
              </w:rPr>
              <w:t xml:space="preserve"> </w:t>
            </w:r>
            <w:r w:rsidR="00C07EE5">
              <w:rPr>
                <w:b/>
                <w:sz w:val="20"/>
                <w:szCs w:val="20"/>
              </w:rPr>
              <w:t>[x</w:t>
            </w:r>
            <w:r w:rsidR="00A36DC4">
              <w:rPr>
                <w:b/>
                <w:sz w:val="20"/>
                <w:szCs w:val="20"/>
              </w:rPr>
              <w:t>]</w:t>
            </w:r>
            <w:r w:rsidRPr="00200C12" w:rsidR="00200C12">
              <w:rPr>
                <w:b/>
                <w:sz w:val="20"/>
                <w:szCs w:val="20"/>
              </w:rPr>
              <w:t xml:space="preserve"> </w:t>
            </w:r>
            <w:r w:rsidRPr="002A6C48">
              <w:rPr>
                <w:b/>
                <w:sz w:val="20"/>
                <w:szCs w:val="20"/>
              </w:rPr>
              <w:t>(h)</w:t>
            </w:r>
          </w:p>
        </w:tc>
        <w:tc>
          <w:tcPr>
            <w:tcW w:w="1710" w:type="dxa"/>
            <w:shd w:val="clear" w:color="auto" w:fill="E7E6E6" w:themeFill="background2"/>
            <w:noWrap/>
            <w:hideMark/>
          </w:tcPr>
          <w:p w:rsidR="000160D9" w:rsidRPr="002A6C48" w:rsidP="003D29BA" w14:paraId="7B4EEBE4" w14:textId="3576B4AC">
            <w:pPr>
              <w:spacing w:after="0"/>
              <w:jc w:val="right"/>
              <w:rPr>
                <w:b/>
                <w:sz w:val="20"/>
                <w:szCs w:val="20"/>
              </w:rPr>
            </w:pPr>
            <w:r>
              <w:rPr>
                <w:b/>
                <w:sz w:val="20"/>
                <w:szCs w:val="20"/>
              </w:rPr>
              <w:t xml:space="preserve">                     </w:t>
            </w:r>
            <w:r w:rsidRPr="002A6C48">
              <w:rPr>
                <w:b/>
                <w:sz w:val="20"/>
                <w:szCs w:val="20"/>
              </w:rPr>
              <w:t>$</w:t>
            </w:r>
            <w:r>
              <w:rPr>
                <w:b/>
                <w:sz w:val="20"/>
                <w:szCs w:val="20"/>
              </w:rPr>
              <w:t>0</w:t>
            </w:r>
          </w:p>
        </w:tc>
      </w:tr>
    </w:tbl>
    <w:p w:rsidR="000160D9" w:rsidP="000160D9" w14:paraId="5D16A3C4" w14:textId="25DE7CD1">
      <w:pPr>
        <w:ind w:firstLine="720"/>
      </w:pPr>
    </w:p>
    <w:p w:rsidR="000160D9" w:rsidRPr="004330C9" w:rsidP="0011028A" w14:paraId="168292B3" w14:textId="01964BB1">
      <w:pPr>
        <w:pStyle w:val="Heading3"/>
      </w:pPr>
      <w:r w:rsidRPr="004330C9">
        <w:t>Burden Estimate for the Submission of Improvement Activities Data</w:t>
      </w:r>
    </w:p>
    <w:p w:rsidR="004F1A68" w:rsidRPr="004F1A68" w:rsidP="00E12B53" w14:paraId="4AE94B09" w14:textId="538E119B">
      <w:pPr>
        <w:rPr>
          <w:rFonts w:eastAsia="Calibri"/>
        </w:rPr>
      </w:pPr>
      <w:r w:rsidRPr="00CC2BFB">
        <w:rPr>
          <w:rFonts w:eastAsia="Calibri"/>
        </w:rPr>
        <w:t xml:space="preserve">In </w:t>
      </w:r>
      <w:r w:rsidR="002414E6">
        <w:rPr>
          <w:rFonts w:eastAsia="Calibri"/>
        </w:rPr>
        <w:t>order to</w:t>
      </w:r>
      <w:r w:rsidR="002414E6">
        <w:rPr>
          <w:rFonts w:eastAsia="Calibri"/>
        </w:rPr>
        <w:t xml:space="preserve"> </w:t>
      </w:r>
      <w:r w:rsidRPr="00CC2BFB">
        <w:rPr>
          <w:rFonts w:eastAsia="Calibri"/>
        </w:rPr>
        <w:t>determine MIPS APM scores</w:t>
      </w:r>
      <w:r w:rsidR="002414E6">
        <w:rPr>
          <w:rFonts w:eastAsia="Calibri"/>
        </w:rPr>
        <w:t xml:space="preserve">, </w:t>
      </w:r>
      <w:r w:rsidR="009672C1">
        <w:rPr>
          <w:rFonts w:eastAsia="Calibri"/>
        </w:rPr>
        <w:t xml:space="preserve">we </w:t>
      </w:r>
      <w:r w:rsidRPr="009672C1" w:rsidR="009672C1">
        <w:rPr>
          <w:rFonts w:eastAsia="Calibri"/>
        </w:rPr>
        <w:t xml:space="preserve">assign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 xml:space="preserve">ctivities scores to APM participants in the APP based on the requirements of participation in APMs. To develop the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ctivities</w:t>
      </w:r>
      <w:r w:rsidRPr="009672C1" w:rsidR="009672C1">
        <w:rPr>
          <w:rFonts w:eastAsia="Calibri"/>
        </w:rPr>
        <w:t xml:space="preserve"> score for MIPS APMs, we would compare requirements of the APM with the list of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ctivities measures for the applicable year</w:t>
      </w:r>
      <w:r w:rsidR="00E73765">
        <w:rPr>
          <w:rFonts w:eastAsia="Calibri"/>
        </w:rPr>
        <w:t xml:space="preserve"> </w:t>
      </w:r>
      <w:r w:rsidRPr="009672C1" w:rsidR="009672C1">
        <w:rPr>
          <w:rFonts w:eastAsia="Calibri"/>
        </w:rPr>
        <w:t xml:space="preserve">and score those measures as they would otherwise be scored according to § 414.1355. In the event a MIPS APM participant does not actually perform an activity for which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ctivities credit would otherwise be assigned under this </w:t>
      </w:r>
      <w:r w:rsidRPr="009672C1" w:rsidR="009672C1">
        <w:rPr>
          <w:rFonts w:eastAsia="Calibri"/>
        </w:rPr>
        <w:t>pro</w:t>
      </w:r>
      <w:r w:rsidR="00317A78">
        <w:rPr>
          <w:rFonts w:eastAsia="Calibri"/>
        </w:rPr>
        <w:t>vision</w:t>
      </w:r>
      <w:r w:rsidRPr="009672C1" w:rsidR="009672C1">
        <w:rPr>
          <w:rFonts w:eastAsia="Calibri"/>
        </w:rPr>
        <w:t xml:space="preserve">, the MIPS APM participant would not receive credit for the associated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ctivity.  </w:t>
      </w:r>
      <w:r w:rsidRPr="009672C1" w:rsidR="009672C1">
        <w:rPr>
          <w:rFonts w:eastAsia="Calibri"/>
        </w:rPr>
        <w:t>In the event that</w:t>
      </w:r>
      <w:r w:rsidRPr="009672C1" w:rsidR="009672C1">
        <w:rPr>
          <w:rFonts w:eastAsia="Calibri"/>
        </w:rPr>
        <w:t xml:space="preserve"> the assigned score does not represent the maximum improvement activities score, we </w:t>
      </w:r>
      <w:r w:rsidR="00317A78">
        <w:rPr>
          <w:rFonts w:eastAsia="Calibri"/>
        </w:rPr>
        <w:t>specify</w:t>
      </w:r>
      <w:r w:rsidRPr="009672C1" w:rsidR="009672C1">
        <w:rPr>
          <w:rFonts w:eastAsia="Calibri"/>
        </w:rPr>
        <w:t xml:space="preserve"> that MIPS eligible clinicians reporting through the APP would have the opportunity to report additional improvement activities that then would be applied towards their scores. Our burden estimates assume there will be no improvement activities burden for MIPS APM participants electing the APP.  We will assign the improvement activities performance category score at the APM Entity level</w:t>
      </w:r>
      <w:r w:rsidRPr="004F1A68">
        <w:rPr>
          <w:rFonts w:eastAsia="Calibri"/>
        </w:rPr>
        <w:t xml:space="preserve">. </w:t>
      </w:r>
    </w:p>
    <w:p w:rsidR="00A3122C" w:rsidP="00E12B53" w14:paraId="4CCA4356" w14:textId="2A60F349">
      <w:pPr>
        <w:rPr>
          <w:rFonts w:eastAsia="Calibri"/>
        </w:rPr>
      </w:pPr>
      <w:r w:rsidRPr="008D7DB5">
        <w:rPr>
          <w:rFonts w:eastAsia="Calibri"/>
        </w:rPr>
        <w:t xml:space="preserve">A variety of organizations and in some cases, individual clinicians, will submit improvement activity performance category data. As finalized in the CY 2017 Quality Payment Program final rule (81 FR 77264), APM Entities only need to report improvement activities data if the CMS-assigned improvement activities score is below the maximum improvement activities score.  </w:t>
      </w:r>
      <w:r w:rsidRPr="008D7DB5">
        <w:rPr>
          <w:rFonts w:eastAsia="Calibri"/>
        </w:rPr>
        <w:t>Similar to</w:t>
      </w:r>
      <w:r w:rsidRPr="008D7DB5">
        <w:rPr>
          <w:rFonts w:eastAsia="Calibri"/>
        </w:rPr>
        <w:t xml:space="preserve"> our assumption in the CY 2018 Quality Payment Program final rule, our burden estimates assume that </w:t>
      </w:r>
      <w:r w:rsidR="00BC3840">
        <w:rPr>
          <w:rFonts w:eastAsia="Calibri"/>
        </w:rPr>
        <w:t xml:space="preserve">all </w:t>
      </w:r>
      <w:r w:rsidRPr="008D7DB5" w:rsidR="00BC3840">
        <w:rPr>
          <w:rFonts w:eastAsia="Calibri"/>
        </w:rPr>
        <w:t>MIPS</w:t>
      </w:r>
      <w:r w:rsidRPr="008D7DB5">
        <w:rPr>
          <w:rFonts w:eastAsia="Calibri"/>
        </w:rPr>
        <w:t xml:space="preserve"> APM models for the </w:t>
      </w:r>
      <w:r w:rsidR="00723CE1">
        <w:rPr>
          <w:rFonts w:eastAsia="Calibri"/>
        </w:rPr>
        <w:t xml:space="preserve">CY </w:t>
      </w:r>
      <w:r w:rsidRPr="008D7DB5">
        <w:rPr>
          <w:rFonts w:eastAsia="Calibri"/>
        </w:rPr>
        <w:t>202</w:t>
      </w:r>
      <w:r w:rsidR="00CF6249">
        <w:rPr>
          <w:rFonts w:eastAsia="Calibri"/>
        </w:rPr>
        <w:t>4</w:t>
      </w:r>
      <w:r w:rsidRPr="008D7DB5">
        <w:rPr>
          <w:rFonts w:eastAsia="Calibri"/>
        </w:rPr>
        <w:t xml:space="preserve"> performance period</w:t>
      </w:r>
      <w:r w:rsidR="00723CE1">
        <w:rPr>
          <w:rFonts w:eastAsia="Calibri"/>
        </w:rPr>
        <w:t>/202</w:t>
      </w:r>
      <w:r w:rsidR="00CF6249">
        <w:rPr>
          <w:rFonts w:eastAsia="Calibri"/>
        </w:rPr>
        <w:t>6</w:t>
      </w:r>
      <w:r w:rsidR="00723CE1">
        <w:rPr>
          <w:rFonts w:eastAsia="Calibri"/>
        </w:rPr>
        <w:t xml:space="preserve"> MIPS payment year</w:t>
      </w:r>
      <w:r w:rsidRPr="008D7DB5">
        <w:rPr>
          <w:rFonts w:eastAsia="Calibri"/>
        </w:rPr>
        <w:t xml:space="preserve"> will qualify for the maximum improvement activities performance category score and, as such, APM Entities will not submit any additional improvement activities (82 FR 53921 through 53922)</w:t>
      </w:r>
      <w:r>
        <w:rPr>
          <w:rFonts w:eastAsia="Calibri"/>
        </w:rPr>
        <w:t>.</w:t>
      </w:r>
    </w:p>
    <w:p w:rsidR="00D92164" w:rsidRPr="003428D4" w:rsidP="00E12B53" w14:paraId="1695BA5B" w14:textId="181630BB">
      <w:pPr>
        <w:rPr>
          <w:rFonts w:eastAsia="Calibri"/>
        </w:rPr>
      </w:pPr>
      <w:r w:rsidRPr="004F1A68">
        <w:rPr>
          <w:rFonts w:eastAsia="Calibri"/>
        </w:rPr>
        <w:t xml:space="preserve">As represented in Table </w:t>
      </w:r>
      <w:r w:rsidR="00FC3B19">
        <w:rPr>
          <w:rFonts w:eastAsia="Calibri"/>
        </w:rPr>
        <w:t>21</w:t>
      </w:r>
      <w:r w:rsidRPr="004F1A68">
        <w:rPr>
          <w:rFonts w:eastAsia="Calibri"/>
        </w:rPr>
        <w:t xml:space="preserve">, </w:t>
      </w:r>
      <w:r w:rsidRPr="00455BE9" w:rsidR="00455BE9">
        <w:rPr>
          <w:rFonts w:eastAsia="Calibri"/>
        </w:rPr>
        <w:t xml:space="preserve">based on </w:t>
      </w:r>
      <w:r w:rsidR="00723CE1">
        <w:rPr>
          <w:rFonts w:eastAsia="Calibri"/>
        </w:rPr>
        <w:t xml:space="preserve">CY </w:t>
      </w:r>
      <w:r w:rsidRPr="00455BE9" w:rsidR="00455BE9">
        <w:rPr>
          <w:rFonts w:eastAsia="Calibri"/>
        </w:rPr>
        <w:t>20</w:t>
      </w:r>
      <w:r w:rsidR="00D46F60">
        <w:rPr>
          <w:rFonts w:eastAsia="Calibri"/>
        </w:rPr>
        <w:t>2</w:t>
      </w:r>
      <w:r w:rsidR="009E2F5E">
        <w:rPr>
          <w:rFonts w:eastAsia="Calibri"/>
        </w:rPr>
        <w:t>2</w:t>
      </w:r>
      <w:r w:rsidRPr="00455BE9" w:rsidR="00455BE9">
        <w:rPr>
          <w:rFonts w:eastAsia="Calibri"/>
        </w:rPr>
        <w:t xml:space="preserve"> performance period</w:t>
      </w:r>
      <w:r w:rsidR="00723CE1">
        <w:rPr>
          <w:rFonts w:eastAsia="Calibri"/>
        </w:rPr>
        <w:t>/202</w:t>
      </w:r>
      <w:r w:rsidR="009E2F5E">
        <w:rPr>
          <w:rFonts w:eastAsia="Calibri"/>
        </w:rPr>
        <w:t>4</w:t>
      </w:r>
      <w:r w:rsidR="00723CE1">
        <w:rPr>
          <w:rFonts w:eastAsia="Calibri"/>
        </w:rPr>
        <w:t xml:space="preserve"> MIPS payment year</w:t>
      </w:r>
      <w:r w:rsidR="00FC3B19">
        <w:rPr>
          <w:rFonts w:eastAsia="Calibri"/>
        </w:rPr>
        <w:t xml:space="preserve">, </w:t>
      </w:r>
      <w:r w:rsidRPr="00455BE9" w:rsidR="00455BE9">
        <w:rPr>
          <w:rFonts w:eastAsia="Calibri"/>
        </w:rPr>
        <w:t xml:space="preserve">we estimate that a total of </w:t>
      </w:r>
      <w:r w:rsidR="009E2F5E">
        <w:rPr>
          <w:rFonts w:eastAsia="Calibri"/>
        </w:rPr>
        <w:t>50,289</w:t>
      </w:r>
      <w:r w:rsidRPr="00455BE9" w:rsidR="00455BE9">
        <w:rPr>
          <w:rFonts w:eastAsia="Calibri"/>
        </w:rPr>
        <w:t xml:space="preserve"> respondents consisting of </w:t>
      </w:r>
      <w:r w:rsidR="00E47318">
        <w:rPr>
          <w:rFonts w:eastAsia="Calibri"/>
        </w:rPr>
        <w:t>3</w:t>
      </w:r>
      <w:r w:rsidR="009149C0">
        <w:rPr>
          <w:rFonts w:eastAsia="Calibri"/>
        </w:rPr>
        <w:t>7,939</w:t>
      </w:r>
      <w:r w:rsidRPr="00455BE9" w:rsidR="00455BE9">
        <w:rPr>
          <w:rFonts w:eastAsia="Calibri"/>
        </w:rPr>
        <w:t xml:space="preserve"> individual clinicians and 1</w:t>
      </w:r>
      <w:r w:rsidR="00E47318">
        <w:rPr>
          <w:rFonts w:eastAsia="Calibri"/>
        </w:rPr>
        <w:t>2,33</w:t>
      </w:r>
      <w:r w:rsidR="009149C0">
        <w:rPr>
          <w:rFonts w:eastAsia="Calibri"/>
        </w:rPr>
        <w:t>0</w:t>
      </w:r>
      <w:r w:rsidRPr="00455BE9" w:rsidR="00455BE9">
        <w:rPr>
          <w:rFonts w:eastAsia="Calibri"/>
        </w:rPr>
        <w:t xml:space="preserve"> </w:t>
      </w:r>
      <w:r w:rsidRPr="00455BE9" w:rsidR="00455BE9">
        <w:rPr>
          <w:rFonts w:eastAsia="Calibri"/>
        </w:rPr>
        <w:t>groups</w:t>
      </w:r>
      <w:r w:rsidR="00F06391">
        <w:rPr>
          <w:rFonts w:eastAsia="Calibri"/>
        </w:rPr>
        <w:t>, and 20 subgroups</w:t>
      </w:r>
      <w:r w:rsidRPr="00455BE9" w:rsidR="00455BE9">
        <w:rPr>
          <w:rFonts w:eastAsia="Calibri"/>
        </w:rPr>
        <w:t xml:space="preserve"> will submit improvement activities during the </w:t>
      </w:r>
      <w:r w:rsidR="00AB10A2">
        <w:rPr>
          <w:rFonts w:eastAsia="Calibri"/>
        </w:rPr>
        <w:t xml:space="preserve">CY </w:t>
      </w:r>
      <w:r w:rsidRPr="00455BE9" w:rsidR="00455BE9">
        <w:rPr>
          <w:rFonts w:eastAsia="Calibri"/>
        </w:rPr>
        <w:t>202</w:t>
      </w:r>
      <w:r w:rsidR="00FC3B19">
        <w:rPr>
          <w:rFonts w:eastAsia="Calibri"/>
        </w:rPr>
        <w:t>4</w:t>
      </w:r>
      <w:r w:rsidRPr="00455BE9" w:rsidR="00455BE9">
        <w:rPr>
          <w:rFonts w:eastAsia="Calibri"/>
        </w:rPr>
        <w:t xml:space="preserve"> performance period</w:t>
      </w:r>
      <w:r w:rsidR="00AB10A2">
        <w:rPr>
          <w:rFonts w:eastAsia="Calibri"/>
        </w:rPr>
        <w:t>/202</w:t>
      </w:r>
      <w:r w:rsidR="00FC3B19">
        <w:rPr>
          <w:rFonts w:eastAsia="Calibri"/>
        </w:rPr>
        <w:t>6</w:t>
      </w:r>
      <w:r w:rsidR="00AB10A2">
        <w:rPr>
          <w:rFonts w:eastAsia="Calibri"/>
        </w:rPr>
        <w:t xml:space="preserve"> MIPS payment year</w:t>
      </w:r>
      <w:r w:rsidRPr="00CC2BFB" w:rsidR="007324E3">
        <w:rPr>
          <w:rFonts w:eastAsia="Calibri"/>
        </w:rPr>
        <w:t xml:space="preserve">.  </w:t>
      </w:r>
    </w:p>
    <w:p w:rsidR="003C1394" w:rsidP="000343B7" w14:paraId="0AE66F94" w14:textId="573D4FF5">
      <w:pPr>
        <w:rPr>
          <w:rFonts w:eastAsia="Calibri"/>
        </w:rPr>
      </w:pPr>
      <w:r>
        <w:rPr>
          <w:rFonts w:eastAsia="Calibri"/>
          <w:snapToGrid w:val="0"/>
        </w:rPr>
        <w:t xml:space="preserve">We estimate that it would take </w:t>
      </w:r>
      <w:r w:rsidR="00761727">
        <w:rPr>
          <w:rFonts w:eastAsia="Calibri"/>
          <w:snapToGrid w:val="0"/>
        </w:rPr>
        <w:t>5 minutes (or 0.083 hours) for</w:t>
      </w:r>
      <w:r w:rsidRPr="00A646F5" w:rsidR="00107056">
        <w:rPr>
          <w:color w:val="000000" w:themeColor="text1"/>
        </w:rPr>
        <w:t xml:space="preserve"> a computer system analyst</w:t>
      </w:r>
      <w:r w:rsidRPr="00A646F5" w:rsidR="00107056">
        <w:rPr>
          <w:rFonts w:eastAsia="Calibri"/>
          <w:snapToGrid w:val="0"/>
          <w:color w:val="000000" w:themeColor="text1"/>
        </w:rPr>
        <w:t xml:space="preserve"> at a labor rate of $</w:t>
      </w:r>
      <w:r w:rsidR="00FC3B19">
        <w:rPr>
          <w:rFonts w:eastAsia="Calibri"/>
          <w:snapToGrid w:val="0"/>
          <w:color w:val="000000" w:themeColor="text1"/>
        </w:rPr>
        <w:t>103.40</w:t>
      </w:r>
      <w:r w:rsidRPr="00A646F5" w:rsidR="00107056">
        <w:rPr>
          <w:rFonts w:eastAsia="Calibri"/>
          <w:snapToGrid w:val="0"/>
          <w:color w:val="000000" w:themeColor="text1"/>
        </w:rPr>
        <w:t>/hr</w:t>
      </w:r>
      <w:r w:rsidRPr="00A646F5" w:rsidR="00107056">
        <w:rPr>
          <w:color w:val="000000" w:themeColor="text1"/>
        </w:rPr>
        <w:t xml:space="preserve"> to submit by logging in and manually attesting that certain activities were performed in the form and manner specified by CMS with a set of authenticated credentials</w:t>
      </w:r>
      <w:r w:rsidR="00107056">
        <w:rPr>
          <w:color w:val="000000" w:themeColor="text1"/>
        </w:rPr>
        <w:t>.</w:t>
      </w:r>
      <w:r>
        <w:rPr>
          <w:rFonts w:eastAsia="Calibri"/>
          <w:snapToGrid w:val="0"/>
        </w:rPr>
        <w:t xml:space="preserve"> </w:t>
      </w:r>
      <w:r w:rsidR="00DB52E3">
        <w:rPr>
          <w:rFonts w:eastAsia="Calibri"/>
          <w:snapToGrid w:val="0"/>
        </w:rPr>
        <w:t xml:space="preserve">As shown in Table </w:t>
      </w:r>
      <w:r w:rsidR="00FC3B19">
        <w:rPr>
          <w:rFonts w:eastAsia="Calibri"/>
          <w:snapToGrid w:val="0"/>
        </w:rPr>
        <w:t>21</w:t>
      </w:r>
      <w:r w:rsidR="00DB52E3">
        <w:rPr>
          <w:rFonts w:eastAsia="Calibri"/>
          <w:snapToGrid w:val="0"/>
        </w:rPr>
        <w:t xml:space="preserve">, </w:t>
      </w:r>
      <w:r w:rsidRPr="00977610" w:rsidR="00E4782F">
        <w:rPr>
          <w:rFonts w:eastAsia="Calibri"/>
        </w:rPr>
        <w:t xml:space="preserve">we estimate an annual burden of </w:t>
      </w:r>
      <w:r w:rsidR="009149C0">
        <w:rPr>
          <w:rFonts w:eastAsia="Calibri"/>
        </w:rPr>
        <w:t>4,174</w:t>
      </w:r>
      <w:r w:rsidRPr="00977610" w:rsidR="00E4782F">
        <w:rPr>
          <w:rFonts w:eastAsia="Calibri"/>
        </w:rPr>
        <w:t xml:space="preserve"> hours (</w:t>
      </w:r>
      <w:r w:rsidR="009149C0">
        <w:rPr>
          <w:rFonts w:eastAsia="Calibri"/>
        </w:rPr>
        <w:t>50,289</w:t>
      </w:r>
      <w:r w:rsidRPr="00977610" w:rsidR="00E4782F">
        <w:rPr>
          <w:rFonts w:eastAsia="Calibri"/>
        </w:rPr>
        <w:t xml:space="preserve"> responses x </w:t>
      </w:r>
      <w:r w:rsidR="001B5240">
        <w:rPr>
          <w:rFonts w:eastAsia="Calibri"/>
        </w:rPr>
        <w:t>0</w:t>
      </w:r>
      <w:r w:rsidR="00F97D07">
        <w:rPr>
          <w:rFonts w:eastAsia="Calibri"/>
        </w:rPr>
        <w:t>.083</w:t>
      </w:r>
      <w:r w:rsidR="001C36F4">
        <w:rPr>
          <w:rFonts w:eastAsia="Calibri"/>
        </w:rPr>
        <w:t xml:space="preserve"> hr</w:t>
      </w:r>
      <w:r w:rsidRPr="00977610" w:rsidR="00E4782F">
        <w:rPr>
          <w:rFonts w:eastAsia="Calibri"/>
        </w:rPr>
        <w:t>) a</w:t>
      </w:r>
      <w:r w:rsidR="005B7BB7">
        <w:rPr>
          <w:rFonts w:eastAsia="Calibri"/>
        </w:rPr>
        <w:t xml:space="preserve">t a cost of </w:t>
      </w:r>
      <w:r w:rsidRPr="00977610" w:rsidR="00E4782F">
        <w:rPr>
          <w:rFonts w:eastAsia="Calibri"/>
        </w:rPr>
        <w:t>$</w:t>
      </w:r>
      <w:r w:rsidR="00A0549B">
        <w:rPr>
          <w:rFonts w:eastAsia="Calibri"/>
        </w:rPr>
        <w:t>431,480</w:t>
      </w:r>
      <w:r w:rsidR="007F2067">
        <w:rPr>
          <w:rFonts w:eastAsia="Calibri"/>
        </w:rPr>
        <w:t xml:space="preserve"> </w:t>
      </w:r>
      <w:r w:rsidRPr="00977610" w:rsidR="00E4782F">
        <w:rPr>
          <w:rFonts w:eastAsia="Calibri"/>
        </w:rPr>
        <w:t>(</w:t>
      </w:r>
      <w:r w:rsidR="00A0549B">
        <w:rPr>
          <w:rFonts w:eastAsia="Calibri"/>
        </w:rPr>
        <w:t>50,289</w:t>
      </w:r>
      <w:r w:rsidR="007F2067">
        <w:rPr>
          <w:rFonts w:eastAsia="Calibri"/>
        </w:rPr>
        <w:t xml:space="preserve"> respondents</w:t>
      </w:r>
      <w:r w:rsidRPr="00977610" w:rsidR="00E4782F">
        <w:rPr>
          <w:rFonts w:eastAsia="Calibri"/>
        </w:rPr>
        <w:t xml:space="preserve"> x $</w:t>
      </w:r>
      <w:r w:rsidR="007F2067">
        <w:rPr>
          <w:rFonts w:eastAsia="Calibri"/>
        </w:rPr>
        <w:t>8.58</w:t>
      </w:r>
      <w:r w:rsidRPr="00977610" w:rsidR="00E4782F">
        <w:rPr>
          <w:rFonts w:eastAsia="Calibri"/>
        </w:rPr>
        <w:t>/</w:t>
      </w:r>
      <w:r w:rsidR="007F2067">
        <w:rPr>
          <w:rFonts w:eastAsia="Calibri"/>
        </w:rPr>
        <w:t>respondent</w:t>
      </w:r>
      <w:r w:rsidRPr="00977610" w:rsidR="00E4782F">
        <w:rPr>
          <w:rFonts w:eastAsia="Calibri"/>
        </w:rPr>
        <w:t>)</w:t>
      </w:r>
      <w:r w:rsidR="001313A3">
        <w:rPr>
          <w:rFonts w:eastAsia="Calibri"/>
        </w:rPr>
        <w:t xml:space="preserve"> </w:t>
      </w:r>
      <w:r w:rsidR="001313A3">
        <w:rPr>
          <w:rFonts w:eastAsia="Calibri"/>
          <w:snapToGrid w:val="0"/>
        </w:rPr>
        <w:t xml:space="preserve">for </w:t>
      </w:r>
      <w:r w:rsidR="001313A3">
        <w:rPr>
          <w:rFonts w:eastAsia="Calibri"/>
        </w:rPr>
        <w:t>the CY 202</w:t>
      </w:r>
      <w:r w:rsidR="007F2067">
        <w:rPr>
          <w:rFonts w:eastAsia="Calibri"/>
        </w:rPr>
        <w:t xml:space="preserve">4 </w:t>
      </w:r>
      <w:r w:rsidR="001313A3">
        <w:rPr>
          <w:rFonts w:eastAsia="Calibri"/>
        </w:rPr>
        <w:t>performance period/202</w:t>
      </w:r>
      <w:r w:rsidR="007F2067">
        <w:rPr>
          <w:rFonts w:eastAsia="Calibri"/>
        </w:rPr>
        <w:t xml:space="preserve">6 </w:t>
      </w:r>
      <w:r w:rsidR="001313A3">
        <w:rPr>
          <w:rFonts w:eastAsia="Calibri"/>
        </w:rPr>
        <w:t>MIPS payment year</w:t>
      </w:r>
      <w:r w:rsidR="008D5226">
        <w:rPr>
          <w:rFonts w:eastAsia="Calibri"/>
        </w:rPr>
        <w:t xml:space="preserve">. </w:t>
      </w:r>
    </w:p>
    <w:p w:rsidR="00901668" w:rsidRPr="00C47150" w:rsidP="00901668" w14:paraId="7192A531" w14:textId="03CA51EE">
      <w:pPr>
        <w:keepNext/>
        <w:keepLines/>
        <w:spacing w:after="0"/>
        <w:jc w:val="center"/>
        <w:rPr>
          <w:b/>
          <w:bCs/>
        </w:rPr>
      </w:pPr>
      <w:r w:rsidRPr="00C47150">
        <w:rPr>
          <w:b/>
          <w:bCs/>
        </w:rPr>
        <w:t xml:space="preserve">TABLE </w:t>
      </w:r>
      <w:r w:rsidR="00BD2F55">
        <w:rPr>
          <w:b/>
          <w:bCs/>
        </w:rPr>
        <w:t>21</w:t>
      </w:r>
      <w:r w:rsidRPr="00C47150">
        <w:rPr>
          <w:b/>
          <w:bCs/>
        </w:rPr>
        <w:t xml:space="preserve">: </w:t>
      </w:r>
      <w:r>
        <w:rPr>
          <w:b/>
          <w:bCs/>
        </w:rPr>
        <w:t xml:space="preserve">Estimated </w:t>
      </w:r>
      <w:r w:rsidRPr="00732012">
        <w:rPr>
          <w:b/>
          <w:bCs/>
        </w:rPr>
        <w:t xml:space="preserve">Burden </w:t>
      </w:r>
      <w:r w:rsidRPr="00C47150">
        <w:rPr>
          <w:b/>
          <w:bCs/>
        </w:rPr>
        <w:t>for Improvement Activities Submission</w:t>
      </w:r>
      <w:r w:rsidR="007E28F5">
        <w:rPr>
          <w:b/>
          <w:bCs/>
        </w:rPr>
        <w:t xml:space="preserve"> </w:t>
      </w:r>
    </w:p>
    <w:tbl>
      <w:tblPr>
        <w:tblW w:w="1011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0"/>
        <w:gridCol w:w="1745"/>
      </w:tblGrid>
      <w:tr w14:paraId="1F334858" w14:textId="77777777" w:rsidTr="00721EBD">
        <w:tblPrEx>
          <w:tblW w:w="1011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8370" w:type="dxa"/>
            <w:tcBorders>
              <w:bottom w:val="single" w:sz="4" w:space="0" w:color="auto"/>
            </w:tcBorders>
            <w:shd w:val="clear" w:color="auto" w:fill="auto"/>
            <w:hideMark/>
          </w:tcPr>
          <w:p w:rsidR="00901668" w:rsidRPr="00925658" w:rsidP="003D73AE" w14:paraId="21D845B5" w14:textId="77777777">
            <w:pPr>
              <w:keepNext/>
              <w:keepLines/>
              <w:spacing w:after="0"/>
              <w:rPr>
                <w:b/>
                <w:sz w:val="20"/>
                <w:szCs w:val="20"/>
              </w:rPr>
            </w:pPr>
            <w:r w:rsidRPr="00B05B18">
              <w:rPr>
                <w:b/>
                <w:sz w:val="20"/>
                <w:szCs w:val="20"/>
              </w:rPr>
              <w:t>Burden and Respondent Descriptions</w:t>
            </w:r>
          </w:p>
        </w:tc>
        <w:tc>
          <w:tcPr>
            <w:tcW w:w="1745" w:type="dxa"/>
            <w:tcBorders>
              <w:bottom w:val="single" w:sz="4" w:space="0" w:color="auto"/>
            </w:tcBorders>
            <w:shd w:val="clear" w:color="auto" w:fill="auto"/>
            <w:vAlign w:val="center"/>
            <w:hideMark/>
          </w:tcPr>
          <w:p w:rsidR="00901668" w:rsidRPr="00925658" w:rsidP="003D73AE" w14:paraId="00F702CE" w14:textId="77777777">
            <w:pPr>
              <w:keepNext/>
              <w:keepLines/>
              <w:spacing w:after="0"/>
              <w:rPr>
                <w:b/>
                <w:sz w:val="20"/>
                <w:szCs w:val="20"/>
              </w:rPr>
            </w:pPr>
            <w:r w:rsidRPr="00925658">
              <w:rPr>
                <w:b/>
                <w:sz w:val="20"/>
                <w:szCs w:val="20"/>
              </w:rPr>
              <w:t>Burden Estimate</w:t>
            </w:r>
          </w:p>
        </w:tc>
      </w:tr>
      <w:tr w14:paraId="7EA8DA90" w14:textId="77777777" w:rsidTr="00721EBD">
        <w:tblPrEx>
          <w:tblW w:w="10115" w:type="dxa"/>
          <w:tblInd w:w="-275" w:type="dxa"/>
          <w:tblLook w:val="04A0"/>
        </w:tblPrEx>
        <w:trPr>
          <w:trHeight w:val="422"/>
        </w:trPr>
        <w:tc>
          <w:tcPr>
            <w:tcW w:w="8370" w:type="dxa"/>
            <w:shd w:val="clear" w:color="auto" w:fill="auto"/>
            <w:hideMark/>
          </w:tcPr>
          <w:p w:rsidR="00901668" w:rsidRPr="00925658" w:rsidP="003D73AE" w14:paraId="0D6B1198" w14:textId="665C14A7">
            <w:pPr>
              <w:spacing w:after="0"/>
              <w:rPr>
                <w:sz w:val="20"/>
                <w:szCs w:val="20"/>
              </w:rPr>
            </w:pPr>
            <w:r w:rsidRPr="00925658">
              <w:rPr>
                <w:sz w:val="20"/>
                <w:szCs w:val="20"/>
              </w:rPr>
              <w:t xml:space="preserve">Total # of Respondents (Groups, </w:t>
            </w:r>
            <w:r w:rsidR="00D8242C">
              <w:rPr>
                <w:sz w:val="20"/>
                <w:szCs w:val="20"/>
              </w:rPr>
              <w:t xml:space="preserve">Subgroups, </w:t>
            </w:r>
            <w:r w:rsidRPr="00925658">
              <w:rPr>
                <w:sz w:val="20"/>
                <w:szCs w:val="20"/>
              </w:rPr>
              <w:t xml:space="preserve">Virtual Groups, and Individual Clinicians) to submit improvement activities data on behalf of clinicians during the </w:t>
            </w:r>
            <w:r>
              <w:rPr>
                <w:sz w:val="20"/>
                <w:szCs w:val="20"/>
              </w:rPr>
              <w:t xml:space="preserve">CY </w:t>
            </w:r>
            <w:r w:rsidRPr="00925658">
              <w:rPr>
                <w:sz w:val="20"/>
                <w:szCs w:val="20"/>
              </w:rPr>
              <w:t>20</w:t>
            </w:r>
            <w:r>
              <w:rPr>
                <w:sz w:val="20"/>
                <w:szCs w:val="20"/>
              </w:rPr>
              <w:t>2</w:t>
            </w:r>
            <w:r w:rsidR="00337EA3">
              <w:rPr>
                <w:sz w:val="20"/>
                <w:szCs w:val="20"/>
              </w:rPr>
              <w:t>3</w:t>
            </w:r>
            <w:r w:rsidRPr="00925658">
              <w:rPr>
                <w:sz w:val="20"/>
                <w:szCs w:val="20"/>
              </w:rPr>
              <w:t xml:space="preserve"> MIPS performance period</w:t>
            </w:r>
            <w:r w:rsidRPr="00925658">
              <w:rPr>
                <w:sz w:val="20"/>
                <w:szCs w:val="20"/>
              </w:rPr>
              <w:t xml:space="preserve"> </w:t>
            </w:r>
            <w:r w:rsidRPr="00925658">
              <w:rPr>
                <w:sz w:val="20"/>
                <w:szCs w:val="20"/>
              </w:rPr>
              <w:t>(a)</w:t>
            </w:r>
          </w:p>
        </w:tc>
        <w:tc>
          <w:tcPr>
            <w:tcW w:w="1745" w:type="dxa"/>
            <w:shd w:val="clear" w:color="auto" w:fill="auto"/>
            <w:vAlign w:val="center"/>
            <w:hideMark/>
          </w:tcPr>
          <w:p w:rsidR="00901668" w:rsidRPr="00925658" w:rsidP="003D73AE" w14:paraId="5F8EA6FB" w14:textId="66315EAA">
            <w:pPr>
              <w:spacing w:after="0"/>
              <w:rPr>
                <w:sz w:val="20"/>
                <w:szCs w:val="20"/>
              </w:rPr>
            </w:pPr>
            <w:r>
              <w:rPr>
                <w:rFonts w:eastAsia="Calibri"/>
                <w:sz w:val="20"/>
                <w:szCs w:val="20"/>
              </w:rPr>
              <w:t xml:space="preserve">                   </w:t>
            </w:r>
            <w:r w:rsidR="00440EF3">
              <w:rPr>
                <w:rFonts w:eastAsia="Calibri"/>
                <w:sz w:val="20"/>
                <w:szCs w:val="20"/>
              </w:rPr>
              <w:t>50,289</w:t>
            </w:r>
          </w:p>
        </w:tc>
      </w:tr>
      <w:tr w14:paraId="00AF0BF6" w14:textId="77777777" w:rsidTr="00721EBD">
        <w:tblPrEx>
          <w:tblW w:w="10115" w:type="dxa"/>
          <w:tblInd w:w="-275" w:type="dxa"/>
          <w:tblLook w:val="04A0"/>
        </w:tblPrEx>
        <w:trPr>
          <w:trHeight w:val="268"/>
        </w:trPr>
        <w:tc>
          <w:tcPr>
            <w:tcW w:w="8370" w:type="dxa"/>
            <w:shd w:val="clear" w:color="auto" w:fill="auto"/>
            <w:hideMark/>
          </w:tcPr>
          <w:p w:rsidR="00901668" w:rsidRPr="00925658" w:rsidP="003D73AE" w14:paraId="2ED5B3B6" w14:textId="77777777">
            <w:pPr>
              <w:spacing w:after="0"/>
              <w:rPr>
                <w:sz w:val="20"/>
                <w:szCs w:val="20"/>
              </w:rPr>
            </w:pPr>
            <w:r w:rsidRPr="00732012">
              <w:rPr>
                <w:sz w:val="20"/>
                <w:szCs w:val="20"/>
              </w:rPr>
              <w:t xml:space="preserve">Total Annual Hours Per Respondent (b) </w:t>
            </w:r>
          </w:p>
        </w:tc>
        <w:tc>
          <w:tcPr>
            <w:tcW w:w="1745" w:type="dxa"/>
            <w:shd w:val="clear" w:color="auto" w:fill="auto"/>
            <w:vAlign w:val="center"/>
            <w:hideMark/>
          </w:tcPr>
          <w:p w:rsidR="00901668" w:rsidRPr="00925658" w:rsidP="003D73AE" w14:paraId="575C0816" w14:textId="428B99AB">
            <w:pPr>
              <w:spacing w:after="0"/>
              <w:rPr>
                <w:sz w:val="20"/>
                <w:szCs w:val="20"/>
              </w:rPr>
            </w:pPr>
            <w:r>
              <w:rPr>
                <w:rFonts w:eastAsia="Calibri"/>
                <w:sz w:val="20"/>
                <w:szCs w:val="20"/>
              </w:rPr>
              <w:t xml:space="preserve">                     </w:t>
            </w:r>
            <w:r w:rsidR="001B5240">
              <w:rPr>
                <w:rFonts w:eastAsia="Calibri"/>
                <w:sz w:val="20"/>
                <w:szCs w:val="20"/>
              </w:rPr>
              <w:t>0</w:t>
            </w:r>
            <w:r w:rsidR="00F97D07">
              <w:rPr>
                <w:rFonts w:eastAsia="Calibri"/>
                <w:sz w:val="20"/>
                <w:szCs w:val="20"/>
              </w:rPr>
              <w:t>.083</w:t>
            </w:r>
          </w:p>
        </w:tc>
      </w:tr>
      <w:tr w14:paraId="2C821F28" w14:textId="77777777" w:rsidTr="003D29BA">
        <w:tblPrEx>
          <w:tblW w:w="10115" w:type="dxa"/>
          <w:tblInd w:w="-275" w:type="dxa"/>
          <w:tblLook w:val="04A0"/>
        </w:tblPrEx>
        <w:trPr>
          <w:trHeight w:val="215"/>
        </w:trPr>
        <w:tc>
          <w:tcPr>
            <w:tcW w:w="8370" w:type="dxa"/>
            <w:shd w:val="clear" w:color="auto" w:fill="E7E6E6" w:themeFill="background2"/>
            <w:hideMark/>
          </w:tcPr>
          <w:p w:rsidR="00901668" w:rsidRPr="0042686B" w:rsidP="003D73AE" w14:paraId="566A9948" w14:textId="77777777">
            <w:pPr>
              <w:spacing w:after="0"/>
              <w:rPr>
                <w:b/>
                <w:sz w:val="20"/>
                <w:szCs w:val="20"/>
              </w:rPr>
            </w:pPr>
            <w:r w:rsidRPr="0042686B">
              <w:rPr>
                <w:b/>
                <w:sz w:val="20"/>
                <w:szCs w:val="20"/>
              </w:rPr>
              <w:t xml:space="preserve">Total Annual Hours (c) </w:t>
            </w:r>
          </w:p>
        </w:tc>
        <w:tc>
          <w:tcPr>
            <w:tcW w:w="1745" w:type="dxa"/>
            <w:shd w:val="clear" w:color="auto" w:fill="E7E6E6" w:themeFill="background2"/>
            <w:vAlign w:val="center"/>
            <w:hideMark/>
          </w:tcPr>
          <w:p w:rsidR="00ED245B" w:rsidRPr="0042686B" w:rsidP="00737B92" w14:paraId="528752D9" w14:textId="7E395E52">
            <w:pPr>
              <w:spacing w:after="0"/>
              <w:rPr>
                <w:b/>
                <w:sz w:val="20"/>
                <w:szCs w:val="20"/>
              </w:rPr>
            </w:pPr>
            <w:r>
              <w:rPr>
                <w:b/>
                <w:sz w:val="20"/>
                <w:szCs w:val="20"/>
              </w:rPr>
              <w:t xml:space="preserve">                     </w:t>
            </w:r>
            <w:r w:rsidR="00440EF3">
              <w:rPr>
                <w:b/>
                <w:sz w:val="20"/>
                <w:szCs w:val="20"/>
              </w:rPr>
              <w:t>4,</w:t>
            </w:r>
            <w:r w:rsidR="00925830">
              <w:rPr>
                <w:b/>
                <w:sz w:val="20"/>
                <w:szCs w:val="20"/>
              </w:rPr>
              <w:t>1</w:t>
            </w:r>
            <w:r w:rsidR="00440EF3">
              <w:rPr>
                <w:b/>
                <w:sz w:val="20"/>
                <w:szCs w:val="20"/>
              </w:rPr>
              <w:t>74</w:t>
            </w:r>
          </w:p>
        </w:tc>
      </w:tr>
      <w:tr w14:paraId="57669D35" w14:textId="77777777" w:rsidTr="00721EBD">
        <w:tblPrEx>
          <w:tblW w:w="10115" w:type="dxa"/>
          <w:tblInd w:w="-275" w:type="dxa"/>
          <w:tblLook w:val="04A0"/>
        </w:tblPrEx>
        <w:trPr>
          <w:trHeight w:val="305"/>
        </w:trPr>
        <w:tc>
          <w:tcPr>
            <w:tcW w:w="8370" w:type="dxa"/>
            <w:shd w:val="clear" w:color="auto" w:fill="auto"/>
            <w:hideMark/>
          </w:tcPr>
          <w:p w:rsidR="00901668" w:rsidRPr="00925658" w:rsidP="003D73AE" w14:paraId="16F21095" w14:textId="03B5D13C">
            <w:pPr>
              <w:spacing w:after="0"/>
              <w:rPr>
                <w:sz w:val="20"/>
                <w:szCs w:val="20"/>
              </w:rPr>
            </w:pPr>
            <w:r>
              <w:rPr>
                <w:sz w:val="20"/>
                <w:szCs w:val="20"/>
              </w:rPr>
              <w:t xml:space="preserve">Cost per respondent at </w:t>
            </w:r>
            <w:r w:rsidRPr="00732012">
              <w:rPr>
                <w:sz w:val="20"/>
                <w:szCs w:val="20"/>
              </w:rPr>
              <w:t xml:space="preserve">Labor rate for a computer systems analyst </w:t>
            </w:r>
            <w:r>
              <w:rPr>
                <w:sz w:val="20"/>
                <w:szCs w:val="20"/>
              </w:rPr>
              <w:t xml:space="preserve">@$103.40/hr </w:t>
            </w:r>
            <w:r w:rsidRPr="00732012">
              <w:rPr>
                <w:sz w:val="20"/>
                <w:szCs w:val="20"/>
              </w:rPr>
              <w:t>(d)</w:t>
            </w:r>
            <w:r>
              <w:rPr>
                <w:sz w:val="20"/>
                <w:szCs w:val="20"/>
              </w:rPr>
              <w:t xml:space="preserve"> = (b) [x] $103.40/hr</w:t>
            </w:r>
          </w:p>
        </w:tc>
        <w:tc>
          <w:tcPr>
            <w:tcW w:w="1745" w:type="dxa"/>
            <w:shd w:val="clear" w:color="auto" w:fill="auto"/>
            <w:vAlign w:val="center"/>
            <w:hideMark/>
          </w:tcPr>
          <w:p w:rsidR="00901668" w:rsidRPr="00925658" w:rsidP="003D73AE" w14:paraId="5F72EFCE" w14:textId="5CA57339">
            <w:pPr>
              <w:spacing w:after="0"/>
              <w:rPr>
                <w:sz w:val="20"/>
                <w:szCs w:val="20"/>
              </w:rPr>
            </w:pPr>
            <w:r>
              <w:rPr>
                <w:rFonts w:eastAsia="Calibri"/>
                <w:sz w:val="20"/>
                <w:szCs w:val="20"/>
              </w:rPr>
              <w:t xml:space="preserve">                    </w:t>
            </w:r>
            <w:r w:rsidRPr="00317099">
              <w:rPr>
                <w:rFonts w:eastAsia="Calibri"/>
                <w:sz w:val="20"/>
                <w:szCs w:val="20"/>
              </w:rPr>
              <w:t>$</w:t>
            </w:r>
            <w:r>
              <w:rPr>
                <w:rFonts w:eastAsia="Calibri"/>
                <w:sz w:val="20"/>
                <w:szCs w:val="20"/>
              </w:rPr>
              <w:t>8.58</w:t>
            </w:r>
          </w:p>
        </w:tc>
      </w:tr>
      <w:tr w14:paraId="67A56D6D" w14:textId="77777777" w:rsidTr="003D29BA">
        <w:tblPrEx>
          <w:tblW w:w="10115" w:type="dxa"/>
          <w:tblInd w:w="-275" w:type="dxa"/>
          <w:tblLook w:val="04A0"/>
        </w:tblPrEx>
        <w:trPr>
          <w:trHeight w:val="300"/>
        </w:trPr>
        <w:tc>
          <w:tcPr>
            <w:tcW w:w="8370" w:type="dxa"/>
            <w:shd w:val="clear" w:color="auto" w:fill="E7E6E6" w:themeFill="background2"/>
            <w:hideMark/>
          </w:tcPr>
          <w:p w:rsidR="00901668" w:rsidRPr="0042686B" w:rsidP="003D73AE" w14:paraId="16A9DF43" w14:textId="524236DC">
            <w:pPr>
              <w:spacing w:after="0"/>
              <w:rPr>
                <w:b/>
                <w:sz w:val="20"/>
                <w:szCs w:val="20"/>
              </w:rPr>
            </w:pPr>
            <w:r w:rsidRPr="0042686B">
              <w:rPr>
                <w:b/>
                <w:sz w:val="20"/>
                <w:szCs w:val="20"/>
              </w:rPr>
              <w:t>Total Annual Cost (e) = (</w:t>
            </w:r>
            <w:r w:rsidR="00957039">
              <w:rPr>
                <w:b/>
                <w:sz w:val="20"/>
                <w:szCs w:val="20"/>
              </w:rPr>
              <w:t>a</w:t>
            </w:r>
            <w:r w:rsidRPr="0042686B">
              <w:rPr>
                <w:b/>
                <w:sz w:val="20"/>
                <w:szCs w:val="20"/>
              </w:rPr>
              <w:t>)</w:t>
            </w:r>
            <w:r w:rsidR="009D2B23">
              <w:rPr>
                <w:b/>
                <w:sz w:val="20"/>
                <w:szCs w:val="20"/>
              </w:rPr>
              <w:t xml:space="preserve"> </w:t>
            </w:r>
            <w:r w:rsidRPr="004C6B48" w:rsidR="004C6B48">
              <w:rPr>
                <w:b/>
                <w:sz w:val="20"/>
                <w:szCs w:val="20"/>
              </w:rPr>
              <w:t>x</w:t>
            </w:r>
            <w:r w:rsidRPr="004C6B48" w:rsidR="004C6B48">
              <w:rPr>
                <w:b/>
                <w:sz w:val="20"/>
                <w:szCs w:val="20"/>
              </w:rPr>
              <w:t xml:space="preserve"> </w:t>
            </w:r>
            <w:r w:rsidRPr="0042686B">
              <w:rPr>
                <w:b/>
                <w:sz w:val="20"/>
                <w:szCs w:val="20"/>
              </w:rPr>
              <w:t>(d)</w:t>
            </w:r>
          </w:p>
        </w:tc>
        <w:tc>
          <w:tcPr>
            <w:tcW w:w="1745" w:type="dxa"/>
            <w:shd w:val="clear" w:color="auto" w:fill="E7E6E6" w:themeFill="background2"/>
            <w:vAlign w:val="center"/>
            <w:hideMark/>
          </w:tcPr>
          <w:p w:rsidR="00901668" w:rsidRPr="0042686B" w:rsidP="003D73AE" w14:paraId="0DE6BB20" w14:textId="4CC5C824">
            <w:pPr>
              <w:spacing w:after="0"/>
              <w:rPr>
                <w:b/>
                <w:sz w:val="20"/>
                <w:szCs w:val="20"/>
              </w:rPr>
            </w:pPr>
            <w:r>
              <w:rPr>
                <w:rFonts w:eastAsia="Calibri"/>
                <w:b/>
                <w:sz w:val="20"/>
                <w:szCs w:val="20"/>
              </w:rPr>
              <w:t xml:space="preserve">               </w:t>
            </w:r>
            <w:r w:rsidRPr="0042686B">
              <w:rPr>
                <w:rFonts w:eastAsia="Calibri"/>
                <w:b/>
                <w:sz w:val="20"/>
                <w:szCs w:val="20"/>
              </w:rPr>
              <w:t>$</w:t>
            </w:r>
            <w:r w:rsidR="000E2358">
              <w:rPr>
                <w:rFonts w:eastAsia="Calibri"/>
                <w:b/>
                <w:sz w:val="20"/>
                <w:szCs w:val="20"/>
              </w:rPr>
              <w:t>431,480</w:t>
            </w:r>
          </w:p>
        </w:tc>
      </w:tr>
    </w:tbl>
    <w:p w:rsidR="00A87849" w:rsidRPr="007B475F" w:rsidP="003507A9" w14:paraId="64F530DE" w14:textId="77777777"/>
    <w:p w:rsidR="00A7478F" w:rsidRPr="004330C9" w:rsidP="0011028A" w14:paraId="3015E32F" w14:textId="2016AF3A">
      <w:pPr>
        <w:pStyle w:val="Heading3"/>
      </w:pPr>
      <w:bookmarkStart w:id="5" w:name="_Hlk532899259"/>
      <w:r w:rsidRPr="004330C9">
        <w:t>Burden Estimate for the Nomination of Improvement Activities</w:t>
      </w:r>
    </w:p>
    <w:p w:rsidR="008D7DB5" w:rsidP="00E12B53" w14:paraId="467D374D" w14:textId="7D0CF347">
      <w:pPr>
        <w:rPr>
          <w:rFonts w:eastAsia="Calibri"/>
        </w:rPr>
      </w:pPr>
      <w:bookmarkStart w:id="6" w:name="_Hlk497143230"/>
      <w:bookmarkEnd w:id="5"/>
      <w:r>
        <w:rPr>
          <w:rFonts w:eastAsia="Calibri"/>
        </w:rPr>
        <w:t xml:space="preserve">Interested parties </w:t>
      </w:r>
      <w:r w:rsidR="002414E6">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6"/>
      <w:r w:rsidR="00B7420B">
        <w:rPr>
          <w:rFonts w:eastAsia="Calibri"/>
        </w:rPr>
        <w:t>For the CY 202</w:t>
      </w:r>
      <w:r w:rsidR="00AF3254">
        <w:rPr>
          <w:rFonts w:eastAsia="Calibri"/>
        </w:rPr>
        <w:t>4</w:t>
      </w:r>
      <w:r w:rsidR="00B7420B">
        <w:rPr>
          <w:rFonts w:eastAsia="Calibri"/>
        </w:rPr>
        <w:t xml:space="preserve"> performance period/202</w:t>
      </w:r>
      <w:r w:rsidR="00AF3254">
        <w:rPr>
          <w:rFonts w:eastAsia="Calibri"/>
        </w:rPr>
        <w:t>6</w:t>
      </w:r>
      <w:r w:rsidR="00B7420B">
        <w:rPr>
          <w:rFonts w:eastAsia="Calibri"/>
        </w:rPr>
        <w:t xml:space="preserve"> MIPS payment year</w:t>
      </w:r>
      <w:r w:rsidRPr="00FC4695" w:rsidR="00FC4695">
        <w:rPr>
          <w:rFonts w:eastAsia="Calibri"/>
        </w:rPr>
        <w:t xml:space="preserve">, we </w:t>
      </w:r>
      <w:r w:rsidR="00AF3254">
        <w:rPr>
          <w:rFonts w:eastAsia="Calibri"/>
        </w:rPr>
        <w:t>estimate</w:t>
      </w:r>
      <w:r w:rsidRPr="00FC4695" w:rsidR="00FC4695">
        <w:rPr>
          <w:rFonts w:eastAsia="Calibri"/>
        </w:rPr>
        <w:t xml:space="preserve"> that we will receive </w:t>
      </w:r>
      <w:r w:rsidR="00AF3254">
        <w:rPr>
          <w:rFonts w:eastAsia="Calibri"/>
        </w:rPr>
        <w:t>15</w:t>
      </w:r>
      <w:r w:rsidRPr="00FC4695" w:rsidR="00FC4695">
        <w:rPr>
          <w:rFonts w:eastAsia="Calibri"/>
        </w:rPr>
        <w:t xml:space="preserve"> nominations of new or modified activities which will be evaluated for the Improvement Activities Under Consideration list for possible inclusion in the CY 202</w:t>
      </w:r>
      <w:r w:rsidR="00AF3254">
        <w:rPr>
          <w:rFonts w:eastAsia="Calibri"/>
        </w:rPr>
        <w:t>4</w:t>
      </w:r>
      <w:r w:rsidRPr="00FC4695" w:rsidR="00FC4695">
        <w:rPr>
          <w:rFonts w:eastAsia="Calibri"/>
        </w:rPr>
        <w:t xml:space="preserve"> Improvement Activities Inventory</w:t>
      </w:r>
      <w:r w:rsidR="00556828">
        <w:rPr>
          <w:rFonts w:eastAsia="Calibri"/>
        </w:rPr>
        <w:t>.</w:t>
      </w:r>
    </w:p>
    <w:p w:rsidR="00BD34DC" w:rsidP="003E4F59" w14:paraId="22DBDDC8" w14:textId="4091428D">
      <w:pPr>
        <w:rPr>
          <w:rFonts w:eastAsia="Calibri"/>
        </w:rPr>
      </w:pPr>
      <w:r>
        <w:rPr>
          <w:rFonts w:eastAsia="Calibri"/>
        </w:rPr>
        <w:t>As shown in Table 22, w</w:t>
      </w:r>
      <w:r w:rsidR="00556828">
        <w:rPr>
          <w:rFonts w:eastAsia="Calibri"/>
        </w:rPr>
        <w:t xml:space="preserve">e </w:t>
      </w:r>
      <w:r w:rsidRPr="00871E51" w:rsidR="00CD08C7">
        <w:rPr>
          <w:rFonts w:eastAsia="Calibri"/>
        </w:rPr>
        <w:t>estimate t</w:t>
      </w:r>
      <w:r w:rsidR="00556828">
        <w:rPr>
          <w:rFonts w:eastAsia="Calibri"/>
        </w:rPr>
        <w:t>hat it would take</w:t>
      </w:r>
      <w:r w:rsidRPr="00871E51" w:rsidR="00CD08C7">
        <w:rPr>
          <w:rFonts w:eastAsia="Calibri"/>
        </w:rPr>
        <w:t xml:space="preserve"> 2.8 hours at $1</w:t>
      </w:r>
      <w:r>
        <w:rPr>
          <w:rFonts w:eastAsia="Calibri"/>
        </w:rPr>
        <w:t>23.06</w:t>
      </w:r>
      <w:r w:rsidRPr="00871E51" w:rsidR="00CD08C7">
        <w:rPr>
          <w:rFonts w:eastAsia="Calibri"/>
        </w:rPr>
        <w:t>/hr for a medical and health services manager or equivalent and 1.6 hours at $2</w:t>
      </w:r>
      <w:r>
        <w:rPr>
          <w:rFonts w:eastAsia="Calibri"/>
        </w:rPr>
        <w:t>74.44</w:t>
      </w:r>
      <w:r w:rsidR="00CD08C7">
        <w:rPr>
          <w:rFonts w:eastAsia="Calibri"/>
        </w:rPr>
        <w:t xml:space="preserve"> </w:t>
      </w:r>
      <w:r w:rsidRPr="00871E51" w:rsidR="00CD08C7">
        <w:rPr>
          <w:rFonts w:eastAsia="Calibri"/>
        </w:rPr>
        <w:t xml:space="preserve">/hr for a physician to nominate an improvement activity. </w:t>
      </w:r>
      <w:r>
        <w:rPr>
          <w:rFonts w:eastAsia="Calibri"/>
        </w:rPr>
        <w:t>In aggregate,</w:t>
      </w:r>
      <w:r w:rsidR="00A23A66">
        <w:rPr>
          <w:rFonts w:eastAsia="Calibri"/>
        </w:rPr>
        <w:t xml:space="preserve"> w</w:t>
      </w:r>
      <w:r w:rsidRPr="00BD34DC">
        <w:rPr>
          <w:rFonts w:eastAsia="Calibri"/>
        </w:rPr>
        <w:t xml:space="preserve">e </w:t>
      </w:r>
      <w:r w:rsidRPr="008D7DB5" w:rsidR="008D7DB5">
        <w:rPr>
          <w:rFonts w:eastAsia="Calibri"/>
        </w:rPr>
        <w:t xml:space="preserve">estimate an annual information collection burden of </w:t>
      </w:r>
      <w:r>
        <w:rPr>
          <w:rFonts w:eastAsia="Calibri"/>
        </w:rPr>
        <w:t>6</w:t>
      </w:r>
      <w:r w:rsidR="00D42E74">
        <w:rPr>
          <w:rFonts w:eastAsia="Calibri"/>
        </w:rPr>
        <w:t>6</w:t>
      </w:r>
      <w:r w:rsidRPr="008D7DB5" w:rsidR="008D7DB5">
        <w:rPr>
          <w:rFonts w:eastAsia="Calibri"/>
        </w:rPr>
        <w:t xml:space="preserve"> hours (</w:t>
      </w:r>
      <w:r>
        <w:rPr>
          <w:rFonts w:eastAsia="Calibri"/>
        </w:rPr>
        <w:t>15</w:t>
      </w:r>
      <w:r w:rsidRPr="008D7DB5" w:rsidR="008D7DB5">
        <w:rPr>
          <w:rFonts w:eastAsia="Calibri"/>
        </w:rPr>
        <w:t xml:space="preserve"> nominations x </w:t>
      </w:r>
      <w:r w:rsidR="00D42E74">
        <w:rPr>
          <w:rFonts w:eastAsia="Calibri"/>
        </w:rPr>
        <w:t>4.4</w:t>
      </w:r>
      <w:r w:rsidRPr="008D7DB5" w:rsidR="008D7DB5">
        <w:rPr>
          <w:rFonts w:eastAsia="Calibri"/>
        </w:rPr>
        <w:t xml:space="preserve"> hr/nomination) at a cost of $</w:t>
      </w:r>
      <w:r>
        <w:rPr>
          <w:rFonts w:eastAsia="Calibri"/>
        </w:rPr>
        <w:t>11,755</w:t>
      </w:r>
      <w:r w:rsidR="009D6DA6">
        <w:rPr>
          <w:rFonts w:eastAsia="Calibri"/>
        </w:rPr>
        <w:t xml:space="preserve"> </w:t>
      </w:r>
      <w:r w:rsidRPr="008D7DB5" w:rsidR="008D7DB5">
        <w:rPr>
          <w:rFonts w:eastAsia="Calibri"/>
        </w:rPr>
        <w:t>(</w:t>
      </w:r>
      <w:r>
        <w:rPr>
          <w:rFonts w:eastAsia="Calibri"/>
        </w:rPr>
        <w:t>15</w:t>
      </w:r>
      <w:r w:rsidRPr="008D7DB5" w:rsidR="008D7DB5">
        <w:rPr>
          <w:rFonts w:eastAsia="Calibri"/>
        </w:rPr>
        <w:t xml:space="preserve"> x [(</w:t>
      </w:r>
      <w:r w:rsidR="009A55A8">
        <w:rPr>
          <w:rFonts w:eastAsia="Calibri"/>
        </w:rPr>
        <w:t>2</w:t>
      </w:r>
      <w:r w:rsidRPr="008D7DB5" w:rsidR="008D7DB5">
        <w:rPr>
          <w:rFonts w:eastAsia="Calibri"/>
        </w:rPr>
        <w:t>.8 hr x $1</w:t>
      </w:r>
      <w:r>
        <w:rPr>
          <w:rFonts w:eastAsia="Calibri"/>
        </w:rPr>
        <w:t>23.06</w:t>
      </w:r>
      <w:r w:rsidRPr="008D7DB5" w:rsidR="008D7DB5">
        <w:rPr>
          <w:rFonts w:eastAsia="Calibri"/>
        </w:rPr>
        <w:t>/hr) + (1.</w:t>
      </w:r>
      <w:r w:rsidR="009A55A8">
        <w:rPr>
          <w:rFonts w:eastAsia="Calibri"/>
        </w:rPr>
        <w:t>6</w:t>
      </w:r>
      <w:r w:rsidRPr="008D7DB5" w:rsidR="008D7DB5">
        <w:rPr>
          <w:rFonts w:eastAsia="Calibri"/>
        </w:rPr>
        <w:t xml:space="preserve"> hr x $2</w:t>
      </w:r>
      <w:r>
        <w:rPr>
          <w:rFonts w:eastAsia="Calibri"/>
        </w:rPr>
        <w:t>74.44</w:t>
      </w:r>
      <w:r w:rsidRPr="008D7DB5" w:rsidR="008D7DB5">
        <w:rPr>
          <w:rFonts w:eastAsia="Calibri"/>
        </w:rPr>
        <w:t>/hr)]</w:t>
      </w:r>
      <w:r w:rsidRPr="00BD34DC">
        <w:rPr>
          <w:rFonts w:eastAsia="Calibri"/>
        </w:rPr>
        <w:t>)</w:t>
      </w:r>
      <w:r w:rsidR="00705122">
        <w:rPr>
          <w:rFonts w:eastAsia="Calibri"/>
        </w:rPr>
        <w:t xml:space="preserve"> for the CY 2024 </w:t>
      </w:r>
      <w:r w:rsidRPr="00705122" w:rsidR="00705122">
        <w:rPr>
          <w:rFonts w:eastAsia="Calibri"/>
        </w:rPr>
        <w:t xml:space="preserve">performance period/2026 MIPS payment year. </w:t>
      </w:r>
      <w:r w:rsidRPr="00BD34DC">
        <w:rPr>
          <w:rFonts w:eastAsia="Calibri"/>
        </w:rPr>
        <w:t xml:space="preserve">  </w:t>
      </w:r>
    </w:p>
    <w:p w:rsidR="00FF7AB6" w:rsidRPr="00C47150" w:rsidP="004E13F7" w14:paraId="37EC7A7E" w14:textId="79140E0F">
      <w:pPr>
        <w:keepNext/>
        <w:keepLines/>
        <w:jc w:val="center"/>
        <w:rPr>
          <w:b/>
          <w:bCs/>
        </w:rPr>
      </w:pPr>
      <w:r w:rsidRPr="00C47150">
        <w:rPr>
          <w:b/>
          <w:bCs/>
        </w:rPr>
        <w:t xml:space="preserve">TABLE </w:t>
      </w:r>
      <w:r>
        <w:rPr>
          <w:b/>
          <w:bCs/>
        </w:rPr>
        <w:t>2</w:t>
      </w:r>
      <w:r w:rsidR="00AF3254">
        <w:rPr>
          <w:b/>
          <w:bCs/>
        </w:rPr>
        <w:t>2</w:t>
      </w:r>
      <w:r w:rsidRPr="00C47150">
        <w:rPr>
          <w:b/>
          <w:bCs/>
        </w:rPr>
        <w:t xml:space="preserve">: </w:t>
      </w:r>
      <w:r w:rsidRPr="00732012">
        <w:rPr>
          <w:b/>
          <w:bCs/>
        </w:rPr>
        <w:t>Burden Estimates</w:t>
      </w:r>
      <w:r w:rsidRPr="00C47150">
        <w:rPr>
          <w:b/>
          <w:bCs/>
        </w:rPr>
        <w:t xml:space="preserve"> for Nomination of Improvement Activities</w:t>
      </w:r>
      <w:r w:rsidR="00A7669E">
        <w:rPr>
          <w:b/>
          <w:bCs/>
        </w:rPr>
        <w:t xml:space="preserve"> </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9"/>
        <w:gridCol w:w="1516"/>
      </w:tblGrid>
      <w:tr w14:paraId="5BDFF9EC" w14:textId="77777777" w:rsidTr="003D29BA">
        <w:tblPrEx>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jc w:val="center"/>
        </w:trPr>
        <w:tc>
          <w:tcPr>
            <w:tcW w:w="8039" w:type="dxa"/>
            <w:shd w:val="clear" w:color="auto" w:fill="auto"/>
            <w:vAlign w:val="center"/>
            <w:hideMark/>
          </w:tcPr>
          <w:p w:rsidR="00FF7AB6" w:rsidRPr="00FF7AB6" w:rsidP="004E13F7" w14:paraId="06240DC4" w14:textId="5D69A603">
            <w:pPr>
              <w:keepNext/>
              <w:keepLines/>
              <w:spacing w:after="0"/>
              <w:rPr>
                <w:b/>
                <w:sz w:val="20"/>
                <w:szCs w:val="20"/>
              </w:rPr>
            </w:pPr>
            <w:r w:rsidRPr="00925658">
              <w:rPr>
                <w:sz w:val="20"/>
                <w:szCs w:val="20"/>
              </w:rPr>
              <w:t> </w:t>
            </w:r>
            <w:r w:rsidRPr="00FF7AB6">
              <w:rPr>
                <w:b/>
                <w:sz w:val="20"/>
                <w:szCs w:val="20"/>
              </w:rPr>
              <w:t>Burden and Respondent Descriptions</w:t>
            </w:r>
          </w:p>
        </w:tc>
        <w:tc>
          <w:tcPr>
            <w:tcW w:w="1516" w:type="dxa"/>
            <w:shd w:val="clear" w:color="auto" w:fill="auto"/>
            <w:vAlign w:val="center"/>
            <w:hideMark/>
          </w:tcPr>
          <w:p w:rsidR="00FF7AB6" w:rsidRPr="00925658" w:rsidP="004E13F7" w14:paraId="3030D173" w14:textId="22035B98">
            <w:pPr>
              <w:keepNext/>
              <w:keepLines/>
              <w:spacing w:after="0"/>
              <w:jc w:val="center"/>
              <w:rPr>
                <w:b/>
                <w:sz w:val="20"/>
                <w:szCs w:val="20"/>
              </w:rPr>
            </w:pPr>
            <w:r w:rsidRPr="00925658">
              <w:rPr>
                <w:b/>
                <w:sz w:val="20"/>
                <w:szCs w:val="20"/>
              </w:rPr>
              <w:t xml:space="preserve">Burden </w:t>
            </w:r>
            <w:r w:rsidR="00B404FD">
              <w:rPr>
                <w:b/>
                <w:sz w:val="20"/>
                <w:szCs w:val="20"/>
              </w:rPr>
              <w:t>E</w:t>
            </w:r>
            <w:r w:rsidRPr="00925658">
              <w:rPr>
                <w:b/>
                <w:sz w:val="20"/>
                <w:szCs w:val="20"/>
              </w:rPr>
              <w:t>stimate</w:t>
            </w:r>
          </w:p>
        </w:tc>
      </w:tr>
      <w:tr w14:paraId="258297C3" w14:textId="77777777" w:rsidTr="00AF3254">
        <w:tblPrEx>
          <w:tblW w:w="9555" w:type="dxa"/>
          <w:jc w:val="center"/>
          <w:tblLook w:val="04A0"/>
        </w:tblPrEx>
        <w:trPr>
          <w:trHeight w:val="305"/>
          <w:jc w:val="center"/>
        </w:trPr>
        <w:tc>
          <w:tcPr>
            <w:tcW w:w="8039" w:type="dxa"/>
            <w:shd w:val="clear" w:color="auto" w:fill="auto"/>
            <w:vAlign w:val="center"/>
            <w:hideMark/>
          </w:tcPr>
          <w:p w:rsidR="00AF3254" w:rsidRPr="00925658" w:rsidP="00AF3254" w14:paraId="35226CE3" w14:textId="7C14AC1E">
            <w:pPr>
              <w:spacing w:after="0"/>
              <w:rPr>
                <w:sz w:val="20"/>
                <w:szCs w:val="20"/>
              </w:rPr>
            </w:pPr>
            <w:r w:rsidRPr="00093F91">
              <w:rPr>
                <w:rFonts w:eastAsia="Calibri"/>
                <w:color w:val="000000" w:themeColor="text1"/>
                <w:sz w:val="20"/>
                <w:szCs w:val="20"/>
              </w:rPr>
              <w:t># of Nominations of New IAs (a)</w:t>
            </w:r>
          </w:p>
        </w:tc>
        <w:tc>
          <w:tcPr>
            <w:tcW w:w="1516" w:type="dxa"/>
            <w:shd w:val="clear" w:color="auto" w:fill="auto"/>
            <w:noWrap/>
            <w:vAlign w:val="center"/>
            <w:hideMark/>
          </w:tcPr>
          <w:p w:rsidR="00AF3254" w:rsidRPr="00925658" w:rsidP="00AF3254" w14:paraId="04B81823" w14:textId="7F7D0757">
            <w:pPr>
              <w:spacing w:after="0"/>
              <w:rPr>
                <w:sz w:val="20"/>
                <w:szCs w:val="20"/>
              </w:rPr>
            </w:pPr>
            <w:r>
              <w:rPr>
                <w:rFonts w:eastAsia="Calibri"/>
                <w:color w:val="000000" w:themeColor="text1"/>
                <w:sz w:val="20"/>
                <w:szCs w:val="20"/>
              </w:rPr>
              <w:t xml:space="preserve">                     </w:t>
            </w:r>
            <w:r w:rsidRPr="00093F91">
              <w:rPr>
                <w:rFonts w:eastAsia="Calibri"/>
                <w:color w:val="000000" w:themeColor="text1"/>
                <w:sz w:val="20"/>
                <w:szCs w:val="20"/>
              </w:rPr>
              <w:t>15</w:t>
            </w:r>
          </w:p>
        </w:tc>
      </w:tr>
      <w:tr w14:paraId="0DBEC4AE" w14:textId="77777777" w:rsidTr="00AF3254">
        <w:tblPrEx>
          <w:tblW w:w="9555" w:type="dxa"/>
          <w:jc w:val="center"/>
          <w:tblLook w:val="04A0"/>
        </w:tblPrEx>
        <w:trPr>
          <w:trHeight w:val="260"/>
          <w:jc w:val="center"/>
        </w:trPr>
        <w:tc>
          <w:tcPr>
            <w:tcW w:w="8039" w:type="dxa"/>
            <w:shd w:val="clear" w:color="auto" w:fill="auto"/>
            <w:vAlign w:val="center"/>
            <w:hideMark/>
          </w:tcPr>
          <w:p w:rsidR="00AF3254" w:rsidRPr="00925658" w:rsidP="00AF3254" w14:paraId="1E04CB4A" w14:textId="7A8F8BF7">
            <w:pPr>
              <w:spacing w:after="0"/>
              <w:rPr>
                <w:sz w:val="20"/>
                <w:szCs w:val="20"/>
              </w:rPr>
            </w:pPr>
            <w:r w:rsidRPr="00093F91">
              <w:rPr>
                <w:rFonts w:eastAsia="Calibri"/>
                <w:color w:val="000000" w:themeColor="text1"/>
                <w:sz w:val="20"/>
                <w:szCs w:val="20"/>
              </w:rPr>
              <w:t xml:space="preserve"># of Hours Per Medical and Health Services Manager (b) </w:t>
            </w:r>
          </w:p>
        </w:tc>
        <w:tc>
          <w:tcPr>
            <w:tcW w:w="1516" w:type="dxa"/>
            <w:shd w:val="clear" w:color="auto" w:fill="auto"/>
            <w:vAlign w:val="center"/>
            <w:hideMark/>
          </w:tcPr>
          <w:p w:rsidR="00AF3254" w:rsidRPr="00925658" w:rsidP="00AF3254" w14:paraId="38F7993E" w14:textId="6FF96A34">
            <w:pPr>
              <w:spacing w:after="0"/>
              <w:rPr>
                <w:sz w:val="20"/>
                <w:szCs w:val="20"/>
              </w:rPr>
            </w:pPr>
            <w:r>
              <w:rPr>
                <w:rFonts w:eastAsia="Calibri"/>
                <w:color w:val="000000" w:themeColor="text1"/>
                <w:sz w:val="20"/>
                <w:szCs w:val="20"/>
              </w:rPr>
              <w:t xml:space="preserve">                    </w:t>
            </w:r>
            <w:r w:rsidRPr="00093F91">
              <w:rPr>
                <w:rFonts w:eastAsia="Calibri"/>
                <w:color w:val="000000" w:themeColor="text1"/>
                <w:sz w:val="20"/>
                <w:szCs w:val="20"/>
              </w:rPr>
              <w:t>2.8</w:t>
            </w:r>
          </w:p>
        </w:tc>
      </w:tr>
      <w:tr w14:paraId="3161D109" w14:textId="77777777" w:rsidTr="003D29BA">
        <w:tblPrEx>
          <w:tblW w:w="9555" w:type="dxa"/>
          <w:jc w:val="center"/>
          <w:tblLook w:val="04A0"/>
        </w:tblPrEx>
        <w:trPr>
          <w:trHeight w:val="300"/>
          <w:jc w:val="center"/>
        </w:trPr>
        <w:tc>
          <w:tcPr>
            <w:tcW w:w="8039" w:type="dxa"/>
            <w:shd w:val="clear" w:color="auto" w:fill="auto"/>
            <w:vAlign w:val="center"/>
            <w:hideMark/>
          </w:tcPr>
          <w:p w:rsidR="00AF3254" w:rsidRPr="003D29BA" w:rsidP="00AF3254" w14:paraId="6A8C02ED" w14:textId="2AF62D8E">
            <w:pPr>
              <w:spacing w:after="0"/>
              <w:rPr>
                <w:rFonts w:eastAsia="Calibri"/>
                <w:color w:val="000000" w:themeColor="text1"/>
                <w:sz w:val="20"/>
                <w:szCs w:val="20"/>
              </w:rPr>
            </w:pPr>
            <w:r w:rsidRPr="00AF3254">
              <w:rPr>
                <w:rFonts w:eastAsia="Calibri"/>
                <w:color w:val="000000" w:themeColor="text1"/>
                <w:sz w:val="20"/>
                <w:szCs w:val="20"/>
              </w:rPr>
              <w:t># of Hours Per Physician (c)</w:t>
            </w:r>
          </w:p>
        </w:tc>
        <w:tc>
          <w:tcPr>
            <w:tcW w:w="1516" w:type="dxa"/>
            <w:shd w:val="clear" w:color="auto" w:fill="auto"/>
            <w:vAlign w:val="center"/>
            <w:hideMark/>
          </w:tcPr>
          <w:p w:rsidR="00AF3254" w:rsidRPr="003D29BA" w:rsidP="00AF3254" w14:paraId="18593563" w14:textId="413E691E">
            <w:pPr>
              <w:spacing w:after="0"/>
              <w:rPr>
                <w:rFonts w:eastAsia="Calibri"/>
                <w:color w:val="000000" w:themeColor="text1"/>
                <w:sz w:val="20"/>
                <w:szCs w:val="20"/>
              </w:rPr>
            </w:pPr>
            <w:r w:rsidRPr="00AF3254">
              <w:rPr>
                <w:rFonts w:eastAsia="Calibri"/>
                <w:color w:val="000000" w:themeColor="text1"/>
                <w:sz w:val="20"/>
                <w:szCs w:val="20"/>
              </w:rPr>
              <w:t xml:space="preserve">                    1.6</w:t>
            </w:r>
          </w:p>
        </w:tc>
      </w:tr>
      <w:tr w14:paraId="7C9D09A6" w14:textId="77777777" w:rsidTr="003D29BA">
        <w:tblPrEx>
          <w:tblW w:w="9555" w:type="dxa"/>
          <w:jc w:val="center"/>
          <w:tblLook w:val="04A0"/>
        </w:tblPrEx>
        <w:trPr>
          <w:trHeight w:val="300"/>
          <w:jc w:val="center"/>
        </w:trPr>
        <w:tc>
          <w:tcPr>
            <w:tcW w:w="8039" w:type="dxa"/>
            <w:shd w:val="clear" w:color="auto" w:fill="auto"/>
            <w:vAlign w:val="center"/>
            <w:hideMark/>
          </w:tcPr>
          <w:p w:rsidR="00AF3254" w:rsidRPr="003D29BA" w:rsidP="00AF3254" w14:paraId="109D1758" w14:textId="12537726">
            <w:pPr>
              <w:spacing w:after="0"/>
              <w:rPr>
                <w:rFonts w:eastAsia="Calibri"/>
                <w:color w:val="000000" w:themeColor="text1"/>
                <w:sz w:val="20"/>
                <w:szCs w:val="20"/>
              </w:rPr>
            </w:pPr>
            <w:r w:rsidRPr="00AF3254">
              <w:rPr>
                <w:rFonts w:eastAsia="Calibri"/>
                <w:color w:val="000000" w:themeColor="text1"/>
                <w:sz w:val="20"/>
                <w:szCs w:val="20"/>
              </w:rPr>
              <w:t>Annual Hours Per Respondent (d)= (b) + (c)</w:t>
            </w:r>
          </w:p>
        </w:tc>
        <w:tc>
          <w:tcPr>
            <w:tcW w:w="1516" w:type="dxa"/>
            <w:shd w:val="clear" w:color="auto" w:fill="auto"/>
            <w:vAlign w:val="center"/>
            <w:hideMark/>
          </w:tcPr>
          <w:p w:rsidR="00AF3254" w:rsidRPr="003D29BA" w:rsidP="00AF3254" w14:paraId="759552F9" w14:textId="270E98B7">
            <w:pPr>
              <w:spacing w:after="0"/>
              <w:rPr>
                <w:rFonts w:eastAsia="Calibri"/>
                <w:color w:val="000000" w:themeColor="text1"/>
                <w:sz w:val="20"/>
                <w:szCs w:val="20"/>
              </w:rPr>
            </w:pPr>
            <w:r w:rsidRPr="00AF3254">
              <w:rPr>
                <w:rFonts w:eastAsia="Calibri"/>
                <w:color w:val="000000" w:themeColor="text1"/>
                <w:sz w:val="20"/>
                <w:szCs w:val="20"/>
              </w:rPr>
              <w:t xml:space="preserve">                    4.4</w:t>
            </w:r>
          </w:p>
        </w:tc>
      </w:tr>
      <w:tr w14:paraId="7AB58ABE" w14:textId="77777777" w:rsidTr="003D29BA">
        <w:tblPrEx>
          <w:tblW w:w="9555" w:type="dxa"/>
          <w:jc w:val="center"/>
          <w:tblLook w:val="04A0"/>
        </w:tblPrEx>
        <w:trPr>
          <w:trHeight w:val="233"/>
          <w:jc w:val="center"/>
        </w:trPr>
        <w:tc>
          <w:tcPr>
            <w:tcW w:w="8039" w:type="dxa"/>
            <w:shd w:val="clear" w:color="auto" w:fill="E7E6E6" w:themeFill="background2"/>
            <w:vAlign w:val="center"/>
            <w:hideMark/>
          </w:tcPr>
          <w:p w:rsidR="00AF3254" w:rsidRPr="00925658" w:rsidP="00AF3254" w14:paraId="2F88146D" w14:textId="6C32D21C">
            <w:pPr>
              <w:spacing w:after="0"/>
              <w:rPr>
                <w:sz w:val="20"/>
                <w:szCs w:val="20"/>
              </w:rPr>
            </w:pPr>
            <w:r w:rsidRPr="00093F91">
              <w:rPr>
                <w:rFonts w:eastAsia="Calibri"/>
                <w:b/>
                <w:bCs/>
                <w:color w:val="000000" w:themeColor="text1"/>
                <w:sz w:val="20"/>
                <w:szCs w:val="20"/>
              </w:rPr>
              <w:t>Total Annual Hours (e) = (a) * (d)</w:t>
            </w:r>
          </w:p>
        </w:tc>
        <w:tc>
          <w:tcPr>
            <w:tcW w:w="1516" w:type="dxa"/>
            <w:shd w:val="clear" w:color="auto" w:fill="E7E6E6" w:themeFill="background2"/>
            <w:vAlign w:val="center"/>
            <w:hideMark/>
          </w:tcPr>
          <w:p w:rsidR="00AF3254" w:rsidRPr="00925658" w:rsidP="00AF3254" w14:paraId="12845B76" w14:textId="206A5215">
            <w:pPr>
              <w:spacing w:after="0"/>
              <w:rPr>
                <w:sz w:val="20"/>
                <w:szCs w:val="20"/>
              </w:rPr>
            </w:pPr>
            <w:r>
              <w:rPr>
                <w:rFonts w:eastAsia="Calibri"/>
                <w:b/>
                <w:bCs/>
                <w:color w:val="000000" w:themeColor="text1"/>
                <w:sz w:val="20"/>
                <w:szCs w:val="20"/>
              </w:rPr>
              <w:t xml:space="preserve">                     </w:t>
            </w:r>
            <w:r w:rsidRPr="00093F91">
              <w:rPr>
                <w:rFonts w:eastAsia="Calibri"/>
                <w:b/>
                <w:bCs/>
                <w:color w:val="000000" w:themeColor="text1"/>
                <w:sz w:val="20"/>
                <w:szCs w:val="20"/>
              </w:rPr>
              <w:t>66</w:t>
            </w:r>
          </w:p>
        </w:tc>
      </w:tr>
      <w:tr w14:paraId="65DE46ED" w14:textId="77777777" w:rsidTr="00AF3254">
        <w:tblPrEx>
          <w:tblW w:w="9555" w:type="dxa"/>
          <w:jc w:val="center"/>
          <w:tblLook w:val="04A0"/>
        </w:tblPrEx>
        <w:trPr>
          <w:trHeight w:val="242"/>
          <w:jc w:val="center"/>
        </w:trPr>
        <w:tc>
          <w:tcPr>
            <w:tcW w:w="8039" w:type="dxa"/>
            <w:shd w:val="clear" w:color="auto" w:fill="auto"/>
            <w:vAlign w:val="center"/>
            <w:hideMark/>
          </w:tcPr>
          <w:p w:rsidR="00AF3254" w:rsidRPr="00925658" w:rsidP="00AF3254" w14:paraId="219882CD" w14:textId="5D8BACA3">
            <w:pPr>
              <w:spacing w:after="0"/>
              <w:rPr>
                <w:sz w:val="20"/>
                <w:szCs w:val="20"/>
              </w:rPr>
            </w:pPr>
            <w:r w:rsidRPr="00093F91">
              <w:rPr>
                <w:rFonts w:eastAsia="Calibri"/>
                <w:color w:val="000000" w:themeColor="text1"/>
                <w:sz w:val="20"/>
                <w:szCs w:val="20"/>
              </w:rPr>
              <w:t>Cost to Nominate an IA (@ medical and health services manager's labor rate of $1</w:t>
            </w:r>
            <w:r>
              <w:rPr>
                <w:rFonts w:eastAsia="Calibri"/>
                <w:color w:val="000000" w:themeColor="text1"/>
                <w:sz w:val="20"/>
                <w:szCs w:val="20"/>
              </w:rPr>
              <w:t>23.06</w:t>
            </w:r>
            <w:r w:rsidRPr="00093F91">
              <w:rPr>
                <w:rFonts w:eastAsia="Calibri"/>
                <w:color w:val="000000" w:themeColor="text1"/>
                <w:sz w:val="20"/>
                <w:szCs w:val="20"/>
              </w:rPr>
              <w:t>/hr) (f) = (b) x $1</w:t>
            </w:r>
            <w:r>
              <w:rPr>
                <w:rFonts w:eastAsia="Calibri"/>
                <w:color w:val="000000" w:themeColor="text1"/>
                <w:sz w:val="20"/>
                <w:szCs w:val="20"/>
              </w:rPr>
              <w:t>23</w:t>
            </w:r>
            <w:r w:rsidRPr="00093F91">
              <w:rPr>
                <w:rFonts w:eastAsia="Calibri"/>
                <w:color w:val="000000" w:themeColor="text1"/>
                <w:sz w:val="20"/>
                <w:szCs w:val="20"/>
              </w:rPr>
              <w:t>.</w:t>
            </w:r>
            <w:r>
              <w:rPr>
                <w:rFonts w:eastAsia="Calibri"/>
                <w:color w:val="000000" w:themeColor="text1"/>
                <w:sz w:val="20"/>
                <w:szCs w:val="20"/>
              </w:rPr>
              <w:t>06</w:t>
            </w:r>
            <w:r w:rsidRPr="00093F91">
              <w:rPr>
                <w:rFonts w:eastAsia="Calibri"/>
                <w:color w:val="000000" w:themeColor="text1"/>
                <w:sz w:val="20"/>
                <w:szCs w:val="20"/>
              </w:rPr>
              <w:t>/hr</w:t>
            </w:r>
          </w:p>
        </w:tc>
        <w:tc>
          <w:tcPr>
            <w:tcW w:w="1516" w:type="dxa"/>
            <w:shd w:val="clear" w:color="auto" w:fill="auto"/>
            <w:noWrap/>
            <w:vAlign w:val="center"/>
            <w:hideMark/>
          </w:tcPr>
          <w:p w:rsidR="00AF3254" w:rsidRPr="00925658" w:rsidP="00AF3254" w14:paraId="72DEBBF9" w14:textId="66E069B3">
            <w:pPr>
              <w:spacing w:after="0"/>
              <w:rPr>
                <w:sz w:val="20"/>
                <w:szCs w:val="20"/>
              </w:rPr>
            </w:pPr>
            <w:r>
              <w:rPr>
                <w:rFonts w:eastAsia="Calibri"/>
                <w:color w:val="000000" w:themeColor="text1"/>
                <w:sz w:val="20"/>
                <w:szCs w:val="20"/>
              </w:rPr>
              <w:t xml:space="preserve">            </w:t>
            </w:r>
            <w:r w:rsidR="00A16204">
              <w:rPr>
                <w:rFonts w:eastAsia="Calibri"/>
                <w:color w:val="000000" w:themeColor="text1"/>
                <w:sz w:val="20"/>
                <w:szCs w:val="20"/>
              </w:rPr>
              <w:t xml:space="preserve"> </w:t>
            </w:r>
            <w:r w:rsidRPr="00093F91">
              <w:rPr>
                <w:rFonts w:eastAsia="Calibri"/>
                <w:color w:val="000000" w:themeColor="text1"/>
                <w:sz w:val="20"/>
                <w:szCs w:val="20"/>
              </w:rPr>
              <w:t>$3</w:t>
            </w:r>
            <w:r>
              <w:rPr>
                <w:rFonts w:eastAsia="Calibri"/>
                <w:color w:val="000000" w:themeColor="text1"/>
                <w:sz w:val="20"/>
                <w:szCs w:val="20"/>
              </w:rPr>
              <w:t>44</w:t>
            </w:r>
            <w:r w:rsidRPr="00093F91">
              <w:rPr>
                <w:rFonts w:eastAsia="Calibri"/>
                <w:color w:val="000000" w:themeColor="text1"/>
                <w:sz w:val="20"/>
                <w:szCs w:val="20"/>
              </w:rPr>
              <w:t>.</w:t>
            </w:r>
            <w:r>
              <w:rPr>
                <w:rFonts w:eastAsia="Calibri"/>
                <w:color w:val="000000" w:themeColor="text1"/>
                <w:sz w:val="20"/>
                <w:szCs w:val="20"/>
              </w:rPr>
              <w:t>57</w:t>
            </w:r>
          </w:p>
        </w:tc>
      </w:tr>
      <w:tr w14:paraId="1975E592" w14:textId="77777777" w:rsidTr="003D29BA">
        <w:tblPrEx>
          <w:tblW w:w="9555" w:type="dxa"/>
          <w:jc w:val="center"/>
          <w:tblLook w:val="04A0"/>
        </w:tblPrEx>
        <w:trPr>
          <w:trHeight w:val="300"/>
          <w:jc w:val="center"/>
        </w:trPr>
        <w:tc>
          <w:tcPr>
            <w:tcW w:w="8039" w:type="dxa"/>
            <w:shd w:val="clear" w:color="auto" w:fill="auto"/>
            <w:vAlign w:val="center"/>
            <w:hideMark/>
          </w:tcPr>
          <w:p w:rsidR="00AF3254" w:rsidRPr="00925658" w:rsidP="00AF3254" w14:paraId="1B53DB86" w14:textId="4F3240B8">
            <w:pPr>
              <w:spacing w:after="0"/>
              <w:rPr>
                <w:sz w:val="20"/>
                <w:szCs w:val="20"/>
              </w:rPr>
            </w:pPr>
            <w:r w:rsidRPr="00093F91">
              <w:rPr>
                <w:rFonts w:eastAsia="Calibri"/>
                <w:color w:val="000000" w:themeColor="text1"/>
                <w:sz w:val="20"/>
                <w:szCs w:val="20"/>
              </w:rPr>
              <w:t>Cost to Nominate an IA (@ physician’s labor rate of $</w:t>
            </w:r>
            <w:r>
              <w:rPr>
                <w:rFonts w:eastAsia="Calibri"/>
                <w:color w:val="000000" w:themeColor="text1"/>
                <w:sz w:val="20"/>
                <w:szCs w:val="20"/>
              </w:rPr>
              <w:t>274.44</w:t>
            </w:r>
            <w:r w:rsidRPr="00093F91">
              <w:rPr>
                <w:rFonts w:eastAsia="Calibri"/>
                <w:color w:val="000000" w:themeColor="text1"/>
                <w:sz w:val="20"/>
                <w:szCs w:val="20"/>
              </w:rPr>
              <w:t>/hr) (g) = (c) x $2</w:t>
            </w:r>
            <w:r>
              <w:rPr>
                <w:rFonts w:eastAsia="Calibri"/>
                <w:color w:val="000000" w:themeColor="text1"/>
                <w:sz w:val="20"/>
                <w:szCs w:val="20"/>
              </w:rPr>
              <w:t>74</w:t>
            </w:r>
            <w:r w:rsidRPr="00093F91">
              <w:rPr>
                <w:rFonts w:eastAsia="Calibri"/>
                <w:color w:val="000000" w:themeColor="text1"/>
                <w:sz w:val="20"/>
                <w:szCs w:val="20"/>
              </w:rPr>
              <w:t>.</w:t>
            </w:r>
            <w:r>
              <w:rPr>
                <w:rFonts w:eastAsia="Calibri"/>
                <w:color w:val="000000" w:themeColor="text1"/>
                <w:sz w:val="20"/>
                <w:szCs w:val="20"/>
              </w:rPr>
              <w:t>44</w:t>
            </w:r>
            <w:r w:rsidRPr="00093F91">
              <w:rPr>
                <w:rFonts w:eastAsia="Calibri"/>
                <w:color w:val="000000" w:themeColor="text1"/>
                <w:sz w:val="20"/>
                <w:szCs w:val="20"/>
              </w:rPr>
              <w:t>/hr</w:t>
            </w:r>
          </w:p>
        </w:tc>
        <w:tc>
          <w:tcPr>
            <w:tcW w:w="1516" w:type="dxa"/>
            <w:shd w:val="clear" w:color="auto" w:fill="auto"/>
            <w:noWrap/>
            <w:vAlign w:val="center"/>
            <w:hideMark/>
          </w:tcPr>
          <w:p w:rsidR="00AF3254" w:rsidRPr="00925658" w:rsidP="00AF3254" w14:paraId="7B196CF5" w14:textId="03F98010">
            <w:pPr>
              <w:spacing w:after="0"/>
              <w:rPr>
                <w:sz w:val="20"/>
                <w:szCs w:val="20"/>
              </w:rPr>
            </w:pPr>
            <w:r>
              <w:rPr>
                <w:rFonts w:eastAsia="Calibri"/>
                <w:color w:val="000000" w:themeColor="text1"/>
                <w:sz w:val="20"/>
                <w:szCs w:val="20"/>
              </w:rPr>
              <w:t xml:space="preserve">            </w:t>
            </w:r>
            <w:r w:rsidRPr="00093F91">
              <w:rPr>
                <w:rFonts w:eastAsia="Calibri"/>
                <w:color w:val="000000" w:themeColor="text1"/>
                <w:sz w:val="20"/>
                <w:szCs w:val="20"/>
              </w:rPr>
              <w:t>$4</w:t>
            </w:r>
            <w:r>
              <w:rPr>
                <w:rFonts w:eastAsia="Calibri"/>
                <w:color w:val="000000" w:themeColor="text1"/>
                <w:sz w:val="20"/>
                <w:szCs w:val="20"/>
              </w:rPr>
              <w:t>39</w:t>
            </w:r>
            <w:r w:rsidRPr="00093F91">
              <w:rPr>
                <w:rFonts w:eastAsia="Calibri"/>
                <w:color w:val="000000" w:themeColor="text1"/>
                <w:sz w:val="20"/>
                <w:szCs w:val="20"/>
              </w:rPr>
              <w:t>.</w:t>
            </w:r>
            <w:r>
              <w:rPr>
                <w:rFonts w:eastAsia="Calibri"/>
                <w:color w:val="000000" w:themeColor="text1"/>
                <w:sz w:val="20"/>
                <w:szCs w:val="20"/>
              </w:rPr>
              <w:t>10</w:t>
            </w:r>
          </w:p>
        </w:tc>
      </w:tr>
      <w:tr w14:paraId="0230C8A0" w14:textId="77777777" w:rsidTr="003D29BA">
        <w:tblPrEx>
          <w:tblW w:w="9555" w:type="dxa"/>
          <w:jc w:val="center"/>
          <w:tblLook w:val="04A0"/>
        </w:tblPrEx>
        <w:trPr>
          <w:trHeight w:val="300"/>
          <w:jc w:val="center"/>
        </w:trPr>
        <w:tc>
          <w:tcPr>
            <w:tcW w:w="8039" w:type="dxa"/>
            <w:shd w:val="clear" w:color="auto" w:fill="auto"/>
            <w:vAlign w:val="center"/>
            <w:hideMark/>
          </w:tcPr>
          <w:p w:rsidR="00AF3254" w:rsidRPr="00CE4A05" w:rsidP="00AF3254" w14:paraId="5AF4E189" w14:textId="6B7818AC">
            <w:pPr>
              <w:spacing w:after="0"/>
              <w:rPr>
                <w:b/>
                <w:sz w:val="20"/>
                <w:szCs w:val="20"/>
              </w:rPr>
            </w:pPr>
            <w:r w:rsidRPr="00093F91">
              <w:rPr>
                <w:rFonts w:eastAsia="Calibri"/>
                <w:color w:val="000000" w:themeColor="text1"/>
                <w:sz w:val="20"/>
                <w:szCs w:val="20"/>
              </w:rPr>
              <w:t>Total Annual Cost Per Respondent (h) = (f) + (g)</w:t>
            </w:r>
          </w:p>
        </w:tc>
        <w:tc>
          <w:tcPr>
            <w:tcW w:w="1516" w:type="dxa"/>
            <w:shd w:val="clear" w:color="auto" w:fill="auto"/>
            <w:noWrap/>
            <w:vAlign w:val="center"/>
            <w:hideMark/>
          </w:tcPr>
          <w:p w:rsidR="00AF3254" w:rsidRPr="00CE4A05" w:rsidP="00AF3254" w14:paraId="7F7D3A41" w14:textId="02364076">
            <w:pPr>
              <w:spacing w:after="0"/>
              <w:rPr>
                <w:b/>
                <w:sz w:val="20"/>
                <w:szCs w:val="20"/>
              </w:rPr>
            </w:pPr>
            <w:r>
              <w:rPr>
                <w:rFonts w:eastAsia="Calibri"/>
                <w:color w:val="000000" w:themeColor="text1"/>
                <w:sz w:val="20"/>
                <w:szCs w:val="20"/>
              </w:rPr>
              <w:t xml:space="preserve">             </w:t>
            </w:r>
            <w:r w:rsidRPr="00093F91">
              <w:rPr>
                <w:rFonts w:eastAsia="Calibri"/>
                <w:color w:val="000000" w:themeColor="text1"/>
                <w:sz w:val="20"/>
                <w:szCs w:val="20"/>
              </w:rPr>
              <w:t>$78</w:t>
            </w:r>
            <w:r>
              <w:rPr>
                <w:rFonts w:eastAsia="Calibri"/>
                <w:color w:val="000000" w:themeColor="text1"/>
                <w:sz w:val="20"/>
                <w:szCs w:val="20"/>
              </w:rPr>
              <w:t>3</w:t>
            </w:r>
            <w:r w:rsidRPr="00093F91">
              <w:rPr>
                <w:rFonts w:eastAsia="Calibri"/>
                <w:color w:val="000000" w:themeColor="text1"/>
                <w:sz w:val="20"/>
                <w:szCs w:val="20"/>
              </w:rPr>
              <w:t>.</w:t>
            </w:r>
            <w:r>
              <w:rPr>
                <w:rFonts w:eastAsia="Calibri"/>
                <w:color w:val="000000" w:themeColor="text1"/>
                <w:sz w:val="20"/>
                <w:szCs w:val="20"/>
              </w:rPr>
              <w:t>6</w:t>
            </w:r>
            <w:r w:rsidRPr="00093F91">
              <w:rPr>
                <w:rFonts w:eastAsia="Calibri"/>
                <w:color w:val="000000" w:themeColor="text1"/>
                <w:sz w:val="20"/>
                <w:szCs w:val="20"/>
              </w:rPr>
              <w:t>7</w:t>
            </w:r>
          </w:p>
        </w:tc>
      </w:tr>
      <w:tr w14:paraId="635B19F8" w14:textId="77777777" w:rsidTr="00AF3254">
        <w:tblPrEx>
          <w:tblW w:w="9555" w:type="dxa"/>
          <w:jc w:val="center"/>
          <w:tblLook w:val="04A0"/>
        </w:tblPrEx>
        <w:trPr>
          <w:trHeight w:val="300"/>
          <w:jc w:val="center"/>
        </w:trPr>
        <w:tc>
          <w:tcPr>
            <w:tcW w:w="8039" w:type="dxa"/>
            <w:shd w:val="clear" w:color="auto" w:fill="E7E6E6" w:themeFill="background2"/>
            <w:vAlign w:val="center"/>
          </w:tcPr>
          <w:p w:rsidR="00A16204" w:rsidRPr="003D29BA" w:rsidP="00AF3254" w14:paraId="777D43EA" w14:textId="0FCF4534">
            <w:pPr>
              <w:spacing w:after="0"/>
              <w:rPr>
                <w:rFonts w:eastAsia="Calibri"/>
                <w:b/>
                <w:bCs/>
                <w:color w:val="000000" w:themeColor="text1"/>
                <w:sz w:val="20"/>
                <w:szCs w:val="20"/>
              </w:rPr>
            </w:pPr>
            <w:r w:rsidRPr="003D29BA">
              <w:rPr>
                <w:rFonts w:eastAsia="Calibri"/>
                <w:b/>
                <w:bCs/>
                <w:color w:val="000000" w:themeColor="text1"/>
                <w:sz w:val="20"/>
                <w:szCs w:val="20"/>
              </w:rPr>
              <w:t>Total Annual Cost (i) = (a) [x] (h)</w:t>
            </w:r>
          </w:p>
        </w:tc>
        <w:tc>
          <w:tcPr>
            <w:tcW w:w="1516" w:type="dxa"/>
            <w:shd w:val="clear" w:color="auto" w:fill="E7E6E6" w:themeFill="background2"/>
            <w:noWrap/>
            <w:vAlign w:val="center"/>
          </w:tcPr>
          <w:p w:rsidR="00A16204" w:rsidRPr="003D29BA" w:rsidP="00AF3254" w14:paraId="1BA350AF" w14:textId="4DDFDB4A">
            <w:pPr>
              <w:spacing w:after="0"/>
              <w:rPr>
                <w:rFonts w:eastAsia="Calibri"/>
                <w:b/>
                <w:bCs/>
                <w:color w:val="000000" w:themeColor="text1"/>
                <w:sz w:val="20"/>
                <w:szCs w:val="20"/>
              </w:rPr>
            </w:pPr>
            <w:r w:rsidRPr="003D29BA">
              <w:rPr>
                <w:rFonts w:eastAsia="Calibri"/>
                <w:b/>
                <w:bCs/>
                <w:color w:val="000000" w:themeColor="text1"/>
                <w:sz w:val="20"/>
                <w:szCs w:val="20"/>
              </w:rPr>
              <w:t xml:space="preserve">             $11,755</w:t>
            </w:r>
          </w:p>
        </w:tc>
      </w:tr>
    </w:tbl>
    <w:p w:rsidR="00FF7AB6" w:rsidP="00FF7AB6" w14:paraId="2888B3C6" w14:textId="19A3BC62">
      <w:pPr>
        <w:ind w:firstLine="720"/>
      </w:pPr>
    </w:p>
    <w:p w:rsidR="008D7DB5" w:rsidRPr="004330C9" w:rsidP="0011028A" w14:paraId="68B91B0A" w14:textId="01E16287">
      <w:pPr>
        <w:pStyle w:val="Heading3"/>
      </w:pPr>
      <w:bookmarkStart w:id="7" w:name="_Hlk532899268"/>
      <w:r w:rsidRPr="004330C9">
        <w:t>Nomination of MVPs</w:t>
      </w:r>
    </w:p>
    <w:p w:rsidR="00F669DF" w:rsidP="008D7DB5" w14:paraId="7D1E7D60" w14:textId="69A91E9A">
      <w:r>
        <w:t>We</w:t>
      </w:r>
      <w:r w:rsidR="007F0AA4">
        <w:t xml:space="preserve"> have </w:t>
      </w:r>
      <w:r>
        <w:t xml:space="preserve">previously </w:t>
      </w:r>
      <w:r w:rsidR="007F0AA4">
        <w:t>established MVP development criteria for intereste</w:t>
      </w:r>
      <w:r w:rsidR="009C045E">
        <w:t>d parties</w:t>
      </w:r>
      <w:r w:rsidR="007F0AA4">
        <w:t xml:space="preserve"> submitting an MVP candidate for inclusion in the MVP Inventory</w:t>
      </w:r>
      <w:r>
        <w:t xml:space="preserve"> (</w:t>
      </w:r>
      <w:r w:rsidRPr="005D658A">
        <w:t>85 FR 84849 through 84856</w:t>
      </w:r>
      <w:r>
        <w:t xml:space="preserve"> and 87 FR 70035 through 70037). </w:t>
      </w:r>
      <w:r w:rsidR="007F0AA4">
        <w:t xml:space="preserve">As </w:t>
      </w:r>
      <w:r>
        <w:t xml:space="preserve">new </w:t>
      </w:r>
      <w:r w:rsidR="007F0AA4">
        <w:t xml:space="preserve">MVP candidates are received, they will be reviewed, vetted, and evaluated by CMS and our contractors to determine if the MVP is feasible and ready for inclusion in the upcoming performance period.  </w:t>
      </w:r>
    </w:p>
    <w:p w:rsidR="008D7DB5" w:rsidRPr="00A05EDE" w:rsidP="008D7DB5" w14:paraId="0307ADEB" w14:textId="0053102F">
      <w:r>
        <w:t xml:space="preserve">For the </w:t>
      </w:r>
      <w:r w:rsidR="008F6B7D">
        <w:t xml:space="preserve">CY </w:t>
      </w:r>
      <w:r>
        <w:t>202</w:t>
      </w:r>
      <w:r w:rsidR="00D17C46">
        <w:t>4</w:t>
      </w:r>
      <w:r>
        <w:t xml:space="preserve"> performance period</w:t>
      </w:r>
      <w:r w:rsidR="008F6B7D">
        <w:t>/202</w:t>
      </w:r>
      <w:r w:rsidR="00D17C46">
        <w:t>6</w:t>
      </w:r>
      <w:r w:rsidR="008F6B7D">
        <w:t xml:space="preserve"> MIPS payment year</w:t>
      </w:r>
      <w:r>
        <w:t xml:space="preserve">, we </w:t>
      </w:r>
      <w:r w:rsidR="007F0E56">
        <w:t xml:space="preserve">estimate </w:t>
      </w:r>
      <w:r w:rsidR="0018273C">
        <w:t>that</w:t>
      </w:r>
      <w:r>
        <w:t xml:space="preserve"> </w:t>
      </w:r>
      <w:r w:rsidR="00D17C46">
        <w:t xml:space="preserve">we will receive </w:t>
      </w:r>
      <w:r w:rsidR="007F0E56">
        <w:t>1</w:t>
      </w:r>
      <w:r w:rsidR="00BD41BA">
        <w:t>0</w:t>
      </w:r>
      <w:r>
        <w:t xml:space="preserve"> MVP nominations</w:t>
      </w:r>
      <w:r w:rsidR="00404623">
        <w:t>,</w:t>
      </w:r>
      <w:r>
        <w:t xml:space="preserve"> </w:t>
      </w:r>
      <w:r w:rsidR="007A0C1A">
        <w:t>and w</w:t>
      </w:r>
      <w:r w:rsidR="00404623">
        <w:t xml:space="preserve">e estimate </w:t>
      </w:r>
      <w:r w:rsidR="00D17C46">
        <w:t xml:space="preserve">that </w:t>
      </w:r>
      <w:r>
        <w:t>the time required to submit all required information is 12 hours per nomination.</w:t>
      </w:r>
      <w:r w:rsidR="00BD41BA">
        <w:t xml:space="preserve"> </w:t>
      </w:r>
      <w:r>
        <w:t>Similar to</w:t>
      </w:r>
      <w:r>
        <w:t xml:space="preserve"> the call for quality measures, nomination of Promoting Interoperability measures, and the nomination of improvement activities, we assume MVP nomination will be performed by both practice administration staff or their equivalents</w:t>
      </w:r>
      <w:r w:rsidR="003B107A">
        <w:t>,</w:t>
      </w:r>
      <w:r>
        <w:t xml:space="preserve"> and clinicians.  We estimate 7.2 hours at $1</w:t>
      </w:r>
      <w:r w:rsidR="00D17C46">
        <w:t>23.06</w:t>
      </w:r>
      <w:r>
        <w:t>/hr for a medical and health services manager or equivalent and 4.8 hours at $2</w:t>
      </w:r>
      <w:r w:rsidR="00D17C46">
        <w:t>74.44</w:t>
      </w:r>
      <w:r>
        <w:t xml:space="preserve">/hr for a physician to nominate an MVP.  As shown in Table </w:t>
      </w:r>
      <w:r w:rsidR="009F04A5">
        <w:t>2</w:t>
      </w:r>
      <w:r w:rsidR="00D17C46">
        <w:t>3</w:t>
      </w:r>
      <w:r>
        <w:t xml:space="preserve">, we estimate an annual burden of </w:t>
      </w:r>
      <w:r w:rsidR="002B4B60">
        <w:t>120</w:t>
      </w:r>
      <w:r>
        <w:t xml:space="preserve"> hours (</w:t>
      </w:r>
      <w:r w:rsidR="002B4B60">
        <w:t>1</w:t>
      </w:r>
      <w:r w:rsidR="00876CAE">
        <w:t>0</w:t>
      </w:r>
      <w:r>
        <w:t xml:space="preserve"> nominations x 12 hr/nomination) at a cost of </w:t>
      </w:r>
      <w:r w:rsidRPr="00A05EDE">
        <w:t>$</w:t>
      </w:r>
      <w:r w:rsidR="001D2451">
        <w:t>2</w:t>
      </w:r>
      <w:r w:rsidR="00BD2F55">
        <w:t>2,033</w:t>
      </w:r>
      <w:r w:rsidRPr="00A05EDE">
        <w:t xml:space="preserve"> (</w:t>
      </w:r>
      <w:r w:rsidR="001D2451">
        <w:t>1</w:t>
      </w:r>
      <w:r w:rsidR="00876CAE">
        <w:t>0</w:t>
      </w:r>
      <w:r w:rsidRPr="00A05EDE">
        <w:t xml:space="preserve"> x [(7.2 hr x $1</w:t>
      </w:r>
      <w:r w:rsidR="00D17C46">
        <w:t>23.06</w:t>
      </w:r>
      <w:r w:rsidRPr="00A05EDE">
        <w:t>/hr) + (4.8 hr x $2</w:t>
      </w:r>
      <w:r w:rsidR="00D17C46">
        <w:t>74.44</w:t>
      </w:r>
      <w:r w:rsidRPr="00A05EDE">
        <w:t xml:space="preserve">/hr)]).  </w:t>
      </w:r>
    </w:p>
    <w:p w:rsidR="009F04A5" w:rsidRPr="00A05EDE" w:rsidP="009F04A5" w14:paraId="1DC9715D" w14:textId="0DA099CB">
      <w:pPr>
        <w:keepNext/>
        <w:keepLines/>
        <w:spacing w:after="0"/>
        <w:jc w:val="center"/>
        <w:rPr>
          <w:rFonts w:eastAsia="Calibri"/>
          <w:b/>
          <w:bCs/>
        </w:rPr>
      </w:pPr>
      <w:r w:rsidRPr="00A05EDE">
        <w:rPr>
          <w:rFonts w:eastAsia="Calibri"/>
          <w:b/>
          <w:bCs/>
        </w:rPr>
        <w:t xml:space="preserve">TABLE </w:t>
      </w:r>
      <w:r w:rsidRPr="00A05EDE">
        <w:rPr>
          <w:rFonts w:eastAsia="Calibri"/>
          <w:b/>
        </w:rPr>
        <w:t>2</w:t>
      </w:r>
      <w:r w:rsidR="00D17C46">
        <w:rPr>
          <w:rFonts w:eastAsia="Calibri"/>
          <w:b/>
        </w:rPr>
        <w:t>3</w:t>
      </w:r>
      <w:r w:rsidRPr="00A05EDE">
        <w:rPr>
          <w:rFonts w:eastAsia="Calibri"/>
          <w:b/>
          <w:bCs/>
        </w:rPr>
        <w:t>:  Estimated Burden for Nomination of MVPs</w:t>
      </w:r>
      <w:r w:rsidR="00A7669E">
        <w:rPr>
          <w:rFonts w:eastAsia="Calibri"/>
          <w:b/>
          <w:bCs/>
        </w:rPr>
        <w:t xml:space="preserve"> </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1016"/>
      </w:tblGrid>
      <w:tr w14:paraId="7E5C4B5E" w14:textId="77777777" w:rsidTr="008034F5">
        <w:tblPrEx>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rsidR="009F04A5" w:rsidRPr="00A05EDE" w:rsidP="00493F4D" w14:paraId="540EB521" w14:textId="2F8D6743">
            <w:pPr>
              <w:keepNext/>
              <w:keepLines/>
              <w:spacing w:after="0"/>
              <w:rPr>
                <w:rFonts w:eastAsia="Calibri"/>
                <w:sz w:val="20"/>
                <w:szCs w:val="20"/>
              </w:rPr>
            </w:pPr>
            <w:r w:rsidRPr="00A05EDE">
              <w:rPr>
                <w:b/>
                <w:sz w:val="20"/>
                <w:szCs w:val="20"/>
              </w:rPr>
              <w:t>Burden and Respondent Descriptions</w:t>
            </w:r>
          </w:p>
        </w:tc>
        <w:tc>
          <w:tcPr>
            <w:tcW w:w="1015" w:type="dxa"/>
            <w:tcBorders>
              <w:top w:val="single" w:sz="4" w:space="0" w:color="auto"/>
              <w:left w:val="single" w:sz="4" w:space="0" w:color="auto"/>
              <w:bottom w:val="single" w:sz="4" w:space="0" w:color="auto"/>
              <w:right w:val="single" w:sz="4" w:space="0" w:color="auto"/>
            </w:tcBorders>
            <w:hideMark/>
          </w:tcPr>
          <w:p w:rsidR="009F04A5" w:rsidRPr="00A05EDE" w:rsidP="00B90263" w14:paraId="5347A39B" w14:textId="77777777">
            <w:pPr>
              <w:keepNext/>
              <w:keepLines/>
              <w:spacing w:after="0"/>
              <w:jc w:val="center"/>
              <w:rPr>
                <w:rFonts w:eastAsia="Calibri"/>
                <w:b/>
                <w:sz w:val="20"/>
                <w:szCs w:val="20"/>
              </w:rPr>
            </w:pPr>
            <w:r w:rsidRPr="00A05EDE">
              <w:rPr>
                <w:rFonts w:eastAsia="Calibri"/>
                <w:b/>
                <w:sz w:val="20"/>
                <w:szCs w:val="20"/>
              </w:rPr>
              <w:t>Burden Estimate</w:t>
            </w:r>
          </w:p>
        </w:tc>
      </w:tr>
      <w:tr w14:paraId="2AEA33D3" w14:textId="77777777" w:rsidTr="008034F5">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35C46217" w14:textId="24044832">
            <w:pPr>
              <w:keepNext/>
              <w:keepLines/>
              <w:spacing w:after="0"/>
              <w:rPr>
                <w:rFonts w:eastAsia="Calibri"/>
                <w:sz w:val="20"/>
                <w:szCs w:val="20"/>
              </w:rPr>
            </w:pPr>
            <w:r w:rsidRPr="00A05EDE">
              <w:rPr>
                <w:rFonts w:eastAsia="Calibri"/>
                <w:sz w:val="20"/>
                <w:szCs w:val="20"/>
              </w:rPr>
              <w:t xml:space="preserve"># of Nominations of New </w:t>
            </w:r>
            <w:r w:rsidR="00325FC4">
              <w:rPr>
                <w:rFonts w:eastAsia="Calibri"/>
                <w:sz w:val="20"/>
                <w:szCs w:val="20"/>
              </w:rPr>
              <w:t>MVPs</w:t>
            </w:r>
            <w:r w:rsidR="008560F0">
              <w:rPr>
                <w:rFonts w:eastAsia="Calibri"/>
                <w:sz w:val="20"/>
                <w:szCs w:val="20"/>
              </w:rPr>
              <w:t xml:space="preserve"> </w:t>
            </w:r>
            <w:r w:rsidRPr="00A05EDE">
              <w:rPr>
                <w:rFonts w:eastAsia="Calibri"/>
                <w:sz w:val="20"/>
                <w:szCs w:val="20"/>
              </w:rPr>
              <w:t>(a)</w:t>
            </w:r>
          </w:p>
        </w:tc>
        <w:tc>
          <w:tcPr>
            <w:tcW w:w="1015" w:type="dxa"/>
            <w:tcBorders>
              <w:top w:val="single" w:sz="4" w:space="0" w:color="auto"/>
              <w:left w:val="single" w:sz="4" w:space="0" w:color="auto"/>
              <w:bottom w:val="single" w:sz="4" w:space="0" w:color="auto"/>
              <w:right w:val="single" w:sz="4" w:space="0" w:color="auto"/>
            </w:tcBorders>
            <w:noWrap/>
            <w:vAlign w:val="center"/>
            <w:hideMark/>
          </w:tcPr>
          <w:p w:rsidR="009F04A5" w:rsidRPr="00A05EDE" w:rsidP="00B90263" w14:paraId="49F3D975" w14:textId="410DED23">
            <w:pPr>
              <w:keepNext/>
              <w:keepLines/>
              <w:spacing w:after="0"/>
              <w:jc w:val="right"/>
              <w:rPr>
                <w:rFonts w:eastAsia="Calibri"/>
                <w:sz w:val="20"/>
                <w:szCs w:val="20"/>
              </w:rPr>
            </w:pPr>
            <w:r>
              <w:rPr>
                <w:rFonts w:eastAsia="Calibri"/>
                <w:sz w:val="20"/>
                <w:szCs w:val="20"/>
              </w:rPr>
              <w:t>1</w:t>
            </w:r>
            <w:r w:rsidR="00037F10">
              <w:rPr>
                <w:rFonts w:eastAsia="Calibri"/>
                <w:sz w:val="20"/>
                <w:szCs w:val="20"/>
              </w:rPr>
              <w:t>0</w:t>
            </w:r>
          </w:p>
        </w:tc>
      </w:tr>
      <w:tr w14:paraId="4A8256F0" w14:textId="77777777" w:rsidTr="008034F5">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75D2E2B7" w14:textId="77777777">
            <w:pPr>
              <w:keepNext/>
              <w:keepLines/>
              <w:spacing w:after="0"/>
              <w:rPr>
                <w:rFonts w:eastAsia="Calibri"/>
                <w:sz w:val="20"/>
                <w:szCs w:val="20"/>
              </w:rPr>
            </w:pPr>
            <w:r w:rsidRPr="00A05EDE">
              <w:rPr>
                <w:rFonts w:eastAsia="Calibri"/>
                <w:sz w:val="20"/>
                <w:szCs w:val="20"/>
              </w:rPr>
              <w:t xml:space="preserve"># of Hours Per Medical and Health Services Manager (b)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rsidR="009F04A5" w:rsidRPr="00A05EDE" w:rsidP="00B90263" w14:paraId="3650881B" w14:textId="77777777">
            <w:pPr>
              <w:keepNext/>
              <w:keepLines/>
              <w:spacing w:after="0"/>
              <w:jc w:val="right"/>
              <w:rPr>
                <w:rFonts w:eastAsia="Calibri"/>
                <w:sz w:val="20"/>
                <w:szCs w:val="20"/>
              </w:rPr>
            </w:pPr>
            <w:r w:rsidRPr="00A05EDE">
              <w:rPr>
                <w:rFonts w:eastAsia="Calibri"/>
                <w:sz w:val="20"/>
                <w:szCs w:val="20"/>
              </w:rPr>
              <w:t>7.2</w:t>
            </w:r>
          </w:p>
        </w:tc>
      </w:tr>
      <w:tr w14:paraId="782B48FB" w14:textId="77777777" w:rsidTr="008034F5">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054E1AF2" w14:textId="77777777">
            <w:pPr>
              <w:keepNext/>
              <w:keepLines/>
              <w:spacing w:after="0"/>
              <w:rPr>
                <w:rFonts w:eastAsia="Calibri"/>
                <w:sz w:val="20"/>
                <w:szCs w:val="20"/>
              </w:rPr>
            </w:pPr>
            <w:r w:rsidRPr="00A05EDE">
              <w:rPr>
                <w:rFonts w:eastAsia="Calibri"/>
                <w:sz w:val="20"/>
                <w:szCs w:val="20"/>
              </w:rPr>
              <w:t># of Hours Per Physician (c)</w:t>
            </w:r>
          </w:p>
        </w:tc>
        <w:tc>
          <w:tcPr>
            <w:tcW w:w="101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206C5CA7" w14:textId="77777777">
            <w:pPr>
              <w:keepNext/>
              <w:keepLines/>
              <w:spacing w:after="0"/>
              <w:jc w:val="right"/>
              <w:rPr>
                <w:rFonts w:eastAsia="Calibri"/>
                <w:sz w:val="20"/>
                <w:szCs w:val="20"/>
              </w:rPr>
            </w:pPr>
            <w:r w:rsidRPr="00A05EDE">
              <w:rPr>
                <w:rFonts w:eastAsia="Calibri"/>
                <w:sz w:val="20"/>
                <w:szCs w:val="20"/>
              </w:rPr>
              <w:t>4.8</w:t>
            </w:r>
          </w:p>
        </w:tc>
      </w:tr>
      <w:tr w14:paraId="0EF1707C" w14:textId="77777777" w:rsidTr="003D29BA">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4A5" w:rsidRPr="00A05EDE" w:rsidP="00B90263" w14:paraId="2F9BCEFA" w14:textId="77777777">
            <w:pPr>
              <w:keepNext/>
              <w:keepLines/>
              <w:spacing w:after="0"/>
              <w:rPr>
                <w:rFonts w:eastAsia="Calibri"/>
                <w:sz w:val="20"/>
                <w:szCs w:val="20"/>
              </w:rPr>
            </w:pPr>
            <w:r w:rsidRPr="00A05EDE">
              <w:rPr>
                <w:rFonts w:eastAsia="Calibri"/>
                <w:sz w:val="20"/>
                <w:szCs w:val="20"/>
              </w:rPr>
              <w:t>Annual Hours Per Respondent (d)= (b) + (c)</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4A5" w:rsidRPr="00A05EDE" w:rsidP="00B90263" w14:paraId="07602829" w14:textId="77777777">
            <w:pPr>
              <w:keepNext/>
              <w:keepLines/>
              <w:spacing w:after="0"/>
              <w:jc w:val="right"/>
              <w:rPr>
                <w:rFonts w:eastAsia="Calibri"/>
                <w:sz w:val="20"/>
                <w:szCs w:val="20"/>
              </w:rPr>
            </w:pPr>
            <w:r w:rsidRPr="00A05EDE">
              <w:rPr>
                <w:rFonts w:eastAsia="Calibri"/>
                <w:sz w:val="20"/>
                <w:szCs w:val="20"/>
              </w:rPr>
              <w:t>12</w:t>
            </w:r>
          </w:p>
        </w:tc>
      </w:tr>
      <w:tr w14:paraId="5B92B10D" w14:textId="77777777" w:rsidTr="003D29BA">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F04A5" w:rsidRPr="00A05EDE" w:rsidP="00B90263" w14:paraId="5F74F260" w14:textId="0D35AFF9">
            <w:pPr>
              <w:keepNext/>
              <w:keepLines/>
              <w:spacing w:after="0"/>
              <w:rPr>
                <w:rFonts w:eastAsia="Calibri"/>
                <w:b/>
                <w:bCs/>
                <w:sz w:val="20"/>
                <w:szCs w:val="20"/>
              </w:rPr>
            </w:pPr>
            <w:r w:rsidRPr="00A05EDE">
              <w:rPr>
                <w:rFonts w:eastAsia="Calibri"/>
                <w:b/>
                <w:bCs/>
                <w:sz w:val="20"/>
                <w:szCs w:val="20"/>
              </w:rPr>
              <w:t>Total Annual Hours (e) = (a)</w:t>
            </w:r>
            <w:r w:rsidR="009D2B23">
              <w:rPr>
                <w:rFonts w:eastAsia="Calibri"/>
                <w:b/>
                <w:bCs/>
                <w:sz w:val="20"/>
                <w:szCs w:val="20"/>
              </w:rPr>
              <w:t xml:space="preserve"> </w:t>
            </w:r>
            <w:r w:rsidR="00FB55BB">
              <w:rPr>
                <w:rFonts w:eastAsia="Calibri"/>
                <w:b/>
                <w:bCs/>
                <w:sz w:val="20"/>
                <w:szCs w:val="20"/>
              </w:rPr>
              <w:t>[</w:t>
            </w:r>
            <w:r w:rsidRPr="004122F3" w:rsidR="004122F3">
              <w:rPr>
                <w:rFonts w:eastAsia="Calibri"/>
                <w:b/>
                <w:bCs/>
                <w:sz w:val="20"/>
                <w:szCs w:val="20"/>
              </w:rPr>
              <w:t>x</w:t>
            </w:r>
            <w:r w:rsidR="00FB55BB">
              <w:rPr>
                <w:rFonts w:eastAsia="Calibri"/>
                <w:b/>
                <w:bCs/>
                <w:sz w:val="20"/>
                <w:szCs w:val="20"/>
              </w:rPr>
              <w:t>]</w:t>
            </w:r>
            <w:r w:rsidRPr="004122F3" w:rsidR="004122F3">
              <w:rPr>
                <w:rFonts w:eastAsia="Calibri"/>
                <w:b/>
                <w:bCs/>
                <w:sz w:val="20"/>
                <w:szCs w:val="20"/>
              </w:rPr>
              <w:t xml:space="preserve"> </w:t>
            </w:r>
            <w:r w:rsidRPr="00A05EDE">
              <w:rPr>
                <w:rFonts w:eastAsia="Calibri"/>
                <w:b/>
                <w:bCs/>
                <w:sz w:val="20"/>
                <w:szCs w:val="20"/>
              </w:rPr>
              <w:t>(d)</w:t>
            </w:r>
          </w:p>
        </w:tc>
        <w:tc>
          <w:tcPr>
            <w:tcW w:w="1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F04A5" w:rsidRPr="00A05EDE" w:rsidP="00B90263" w14:paraId="248348F5" w14:textId="4E4F2916">
            <w:pPr>
              <w:keepNext/>
              <w:keepLines/>
              <w:spacing w:after="0"/>
              <w:jc w:val="right"/>
              <w:rPr>
                <w:rFonts w:eastAsia="Calibri"/>
                <w:b/>
                <w:bCs/>
                <w:sz w:val="20"/>
                <w:szCs w:val="20"/>
              </w:rPr>
            </w:pPr>
            <w:r>
              <w:rPr>
                <w:rFonts w:eastAsia="Calibri"/>
                <w:b/>
                <w:bCs/>
                <w:sz w:val="20"/>
                <w:szCs w:val="20"/>
              </w:rPr>
              <w:t>12</w:t>
            </w:r>
            <w:r w:rsidR="00037F10">
              <w:rPr>
                <w:rFonts w:eastAsia="Calibri"/>
                <w:b/>
                <w:bCs/>
                <w:sz w:val="20"/>
                <w:szCs w:val="20"/>
              </w:rPr>
              <w:t>0</w:t>
            </w:r>
          </w:p>
        </w:tc>
      </w:tr>
      <w:tr w14:paraId="637B02BB" w14:textId="77777777" w:rsidTr="008034F5">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259F1598" w14:textId="69F0B209">
            <w:pPr>
              <w:keepNext/>
              <w:keepLines/>
              <w:spacing w:after="0"/>
              <w:rPr>
                <w:rFonts w:eastAsia="Calibri"/>
                <w:sz w:val="20"/>
                <w:szCs w:val="20"/>
              </w:rPr>
            </w:pPr>
            <w:r w:rsidRPr="00A05EDE">
              <w:rPr>
                <w:rFonts w:eastAsia="Calibri"/>
                <w:sz w:val="20"/>
                <w:szCs w:val="20"/>
              </w:rPr>
              <w:t>Cost to Nominate an MVP (@ medical and health services manager's labor rate of $1</w:t>
            </w:r>
            <w:r w:rsidR="00D17C46">
              <w:rPr>
                <w:rFonts w:eastAsia="Calibri"/>
                <w:sz w:val="20"/>
                <w:szCs w:val="20"/>
              </w:rPr>
              <w:t>23.06</w:t>
            </w:r>
            <w:r w:rsidRPr="00A05EDE">
              <w:rPr>
                <w:rFonts w:eastAsia="Calibri"/>
                <w:sz w:val="20"/>
                <w:szCs w:val="20"/>
              </w:rPr>
              <w:t>/hr) (f)</w:t>
            </w:r>
            <w:r w:rsidR="00C7001D">
              <w:rPr>
                <w:rFonts w:eastAsia="Calibri"/>
                <w:sz w:val="20"/>
                <w:szCs w:val="20"/>
              </w:rPr>
              <w:t xml:space="preserve"> = (b) [x] $123.06/hr</w:t>
            </w:r>
          </w:p>
        </w:tc>
        <w:tc>
          <w:tcPr>
            <w:tcW w:w="101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630C21D6" w14:textId="63A3871E">
            <w:pPr>
              <w:keepNext/>
              <w:keepLines/>
              <w:spacing w:after="0"/>
              <w:jc w:val="right"/>
              <w:rPr>
                <w:rFonts w:eastAsia="Calibri"/>
                <w:sz w:val="20"/>
                <w:szCs w:val="20"/>
              </w:rPr>
            </w:pPr>
            <w:r w:rsidRPr="00A05EDE">
              <w:rPr>
                <w:rFonts w:eastAsia="Calibri"/>
                <w:sz w:val="20"/>
                <w:szCs w:val="20"/>
              </w:rPr>
              <w:t>$</w:t>
            </w:r>
            <w:r w:rsidR="002A1F75">
              <w:rPr>
                <w:rFonts w:eastAsia="Calibri"/>
                <w:sz w:val="20"/>
                <w:szCs w:val="20"/>
              </w:rPr>
              <w:t>8</w:t>
            </w:r>
            <w:r w:rsidR="00D17C46">
              <w:rPr>
                <w:rFonts w:eastAsia="Calibri"/>
                <w:sz w:val="20"/>
                <w:szCs w:val="20"/>
              </w:rPr>
              <w:t>86.03</w:t>
            </w:r>
          </w:p>
        </w:tc>
      </w:tr>
      <w:tr w14:paraId="7B208546" w14:textId="77777777" w:rsidTr="008034F5">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rsidR="009F04A5" w:rsidRPr="00A05EDE" w:rsidP="00B90263" w14:paraId="0124A0AC" w14:textId="1B52A6B9">
            <w:pPr>
              <w:keepNext/>
              <w:keepLines/>
              <w:spacing w:after="0"/>
              <w:rPr>
                <w:rFonts w:eastAsia="Calibri"/>
                <w:sz w:val="20"/>
                <w:szCs w:val="20"/>
              </w:rPr>
            </w:pPr>
            <w:r w:rsidRPr="00A05EDE">
              <w:rPr>
                <w:rFonts w:eastAsia="Calibri"/>
                <w:sz w:val="20"/>
                <w:szCs w:val="20"/>
              </w:rPr>
              <w:t>Cost to Nominate an MVP (@ physician’s labor rate of $2</w:t>
            </w:r>
            <w:r w:rsidR="00D17C46">
              <w:rPr>
                <w:rFonts w:eastAsia="Calibri"/>
                <w:sz w:val="20"/>
                <w:szCs w:val="20"/>
              </w:rPr>
              <w:t>74.44</w:t>
            </w:r>
            <w:r w:rsidRPr="00A05EDE">
              <w:rPr>
                <w:rFonts w:eastAsia="Calibri"/>
                <w:sz w:val="20"/>
                <w:szCs w:val="20"/>
              </w:rPr>
              <w:t>/hr) (g)</w:t>
            </w:r>
            <w:r w:rsidR="00C7001D">
              <w:rPr>
                <w:rFonts w:eastAsia="Calibri"/>
                <w:sz w:val="20"/>
                <w:szCs w:val="20"/>
              </w:rPr>
              <w:t xml:space="preserve"> = (c) [x] $274.44/hr</w:t>
            </w:r>
          </w:p>
        </w:tc>
        <w:tc>
          <w:tcPr>
            <w:tcW w:w="1015" w:type="dxa"/>
            <w:tcBorders>
              <w:top w:val="single" w:sz="4" w:space="0" w:color="auto"/>
              <w:left w:val="single" w:sz="4" w:space="0" w:color="auto"/>
              <w:bottom w:val="single" w:sz="4" w:space="0" w:color="auto"/>
              <w:right w:val="single" w:sz="4" w:space="0" w:color="auto"/>
            </w:tcBorders>
            <w:noWrap/>
            <w:vAlign w:val="center"/>
            <w:hideMark/>
          </w:tcPr>
          <w:p w:rsidR="009F04A5" w:rsidRPr="00A05EDE" w:rsidP="00B90263" w14:paraId="753486B3" w14:textId="6A3053AD">
            <w:pPr>
              <w:keepNext/>
              <w:keepLines/>
              <w:spacing w:after="0"/>
              <w:jc w:val="right"/>
              <w:rPr>
                <w:rFonts w:eastAsia="Calibri"/>
                <w:sz w:val="20"/>
                <w:szCs w:val="20"/>
              </w:rPr>
            </w:pPr>
            <w:r w:rsidRPr="00A05EDE">
              <w:rPr>
                <w:rFonts w:eastAsia="Calibri"/>
                <w:sz w:val="20"/>
                <w:szCs w:val="20"/>
              </w:rPr>
              <w:t>$1,</w:t>
            </w:r>
            <w:r w:rsidR="00CB15CD">
              <w:rPr>
                <w:rFonts w:eastAsia="Calibri"/>
                <w:sz w:val="20"/>
                <w:szCs w:val="20"/>
              </w:rPr>
              <w:t>317.31</w:t>
            </w:r>
          </w:p>
        </w:tc>
      </w:tr>
      <w:tr w14:paraId="6124C1A0" w14:textId="77777777" w:rsidTr="003D29BA">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4A5" w:rsidRPr="00A05EDE" w:rsidP="00B90263" w14:paraId="29A5CABD" w14:textId="21EA8CEE">
            <w:pPr>
              <w:keepNext/>
              <w:keepLines/>
              <w:spacing w:after="0"/>
              <w:rPr>
                <w:rFonts w:eastAsia="Calibri"/>
                <w:sz w:val="20"/>
                <w:szCs w:val="20"/>
              </w:rPr>
            </w:pPr>
            <w:r w:rsidRPr="00A05EDE">
              <w:rPr>
                <w:rFonts w:eastAsia="Calibri"/>
                <w:sz w:val="20"/>
                <w:szCs w:val="20"/>
              </w:rPr>
              <w:t>Total Annual Cost Per Respondent (h)</w:t>
            </w:r>
            <w:r w:rsidR="009D2B23">
              <w:rPr>
                <w:rFonts w:eastAsia="Calibri"/>
                <w:sz w:val="20"/>
                <w:szCs w:val="20"/>
              </w:rPr>
              <w:t xml:space="preserve"> </w:t>
            </w:r>
            <w:r w:rsidRPr="00A05EDE">
              <w:rPr>
                <w:rFonts w:eastAsia="Calibri"/>
                <w:sz w:val="20"/>
                <w:szCs w:val="20"/>
              </w:rPr>
              <w:t>=</w:t>
            </w:r>
            <w:r w:rsidR="009D2B23">
              <w:rPr>
                <w:rFonts w:eastAsia="Calibri"/>
                <w:sz w:val="20"/>
                <w:szCs w:val="20"/>
              </w:rPr>
              <w:t xml:space="preserve"> </w:t>
            </w:r>
            <w:r w:rsidRPr="00A05EDE">
              <w:rPr>
                <w:rFonts w:eastAsia="Calibri"/>
                <w:sz w:val="20"/>
                <w:szCs w:val="20"/>
              </w:rPr>
              <w:t>(f)</w:t>
            </w:r>
            <w:r w:rsidR="009D2B23">
              <w:rPr>
                <w:rFonts w:eastAsia="Calibri"/>
                <w:sz w:val="20"/>
                <w:szCs w:val="20"/>
              </w:rPr>
              <w:t xml:space="preserve"> </w:t>
            </w:r>
            <w:r w:rsidRPr="00A05EDE">
              <w:rPr>
                <w:rFonts w:eastAsia="Calibri"/>
                <w:sz w:val="20"/>
                <w:szCs w:val="20"/>
              </w:rPr>
              <w:t>+</w:t>
            </w:r>
            <w:r w:rsidR="009D2B23">
              <w:rPr>
                <w:rFonts w:eastAsia="Calibri"/>
                <w:sz w:val="20"/>
                <w:szCs w:val="20"/>
              </w:rPr>
              <w:t xml:space="preserve"> </w:t>
            </w:r>
            <w:r w:rsidRPr="00A05EDE">
              <w:rPr>
                <w:rFonts w:eastAsia="Calibri"/>
                <w:sz w:val="20"/>
                <w:szCs w:val="20"/>
              </w:rPr>
              <w:t>(g)</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4A5" w:rsidRPr="00A05EDE" w:rsidP="00B90263" w14:paraId="585F7552" w14:textId="47785D31">
            <w:pPr>
              <w:keepNext/>
              <w:keepLines/>
              <w:spacing w:after="0"/>
              <w:jc w:val="right"/>
              <w:rPr>
                <w:rFonts w:eastAsia="Calibri"/>
                <w:sz w:val="20"/>
                <w:szCs w:val="20"/>
              </w:rPr>
            </w:pPr>
            <w:r w:rsidRPr="00A05EDE">
              <w:rPr>
                <w:rFonts w:eastAsia="Calibri"/>
                <w:sz w:val="20"/>
                <w:szCs w:val="20"/>
              </w:rPr>
              <w:t>$</w:t>
            </w:r>
            <w:r w:rsidR="00CB15CD">
              <w:rPr>
                <w:rFonts w:eastAsia="Calibri"/>
                <w:sz w:val="20"/>
                <w:szCs w:val="20"/>
              </w:rPr>
              <w:t>2,203.34</w:t>
            </w:r>
          </w:p>
        </w:tc>
      </w:tr>
      <w:tr w14:paraId="15927938" w14:textId="77777777" w:rsidTr="008034F5">
        <w:tblPrEx>
          <w:tblW w:w="9110" w:type="dxa"/>
          <w:jc w:val="center"/>
          <w:tblLook w:val="04A0"/>
        </w:tblPrEx>
        <w:trPr>
          <w:jc w:val="center"/>
        </w:trPr>
        <w:tc>
          <w:tcPr>
            <w:tcW w:w="8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F04A5" w:rsidRPr="00A05EDE" w:rsidP="00B90263" w14:paraId="5A24F41C" w14:textId="42C1411C">
            <w:pPr>
              <w:keepNext/>
              <w:keepLines/>
              <w:spacing w:after="0"/>
              <w:rPr>
                <w:rFonts w:eastAsia="Calibri"/>
                <w:b/>
                <w:sz w:val="20"/>
                <w:szCs w:val="20"/>
              </w:rPr>
            </w:pPr>
            <w:r w:rsidRPr="00A05EDE">
              <w:rPr>
                <w:rFonts w:eastAsia="Calibri"/>
                <w:b/>
                <w:sz w:val="20"/>
                <w:szCs w:val="20"/>
              </w:rPr>
              <w:t>Total Annual Cost (i)</w:t>
            </w:r>
            <w:r w:rsidR="009D2B23">
              <w:rPr>
                <w:rFonts w:eastAsia="Calibri"/>
                <w:b/>
                <w:sz w:val="20"/>
                <w:szCs w:val="20"/>
              </w:rPr>
              <w:t xml:space="preserve"> </w:t>
            </w:r>
            <w:r w:rsidRPr="00A05EDE">
              <w:rPr>
                <w:rFonts w:eastAsia="Calibri"/>
                <w:b/>
                <w:sz w:val="20"/>
                <w:szCs w:val="20"/>
              </w:rPr>
              <w:t>=</w:t>
            </w:r>
            <w:r w:rsidR="009D2B23">
              <w:rPr>
                <w:rFonts w:eastAsia="Calibri"/>
                <w:b/>
                <w:sz w:val="20"/>
                <w:szCs w:val="20"/>
              </w:rPr>
              <w:t xml:space="preserve"> </w:t>
            </w:r>
            <w:r w:rsidRPr="00A05EDE">
              <w:rPr>
                <w:rFonts w:eastAsia="Calibri"/>
                <w:b/>
                <w:sz w:val="20"/>
                <w:szCs w:val="20"/>
              </w:rPr>
              <w:t>(a)</w:t>
            </w:r>
            <w:r w:rsidR="009D2B23">
              <w:rPr>
                <w:rFonts w:eastAsia="Calibri"/>
                <w:b/>
                <w:sz w:val="20"/>
                <w:szCs w:val="20"/>
              </w:rPr>
              <w:t xml:space="preserve"> </w:t>
            </w:r>
            <w:r w:rsidR="00FB55BB">
              <w:rPr>
                <w:rFonts w:eastAsia="Calibri"/>
                <w:b/>
                <w:sz w:val="20"/>
                <w:szCs w:val="20"/>
              </w:rPr>
              <w:t>[</w:t>
            </w:r>
            <w:r w:rsidRPr="004122F3" w:rsidR="004122F3">
              <w:rPr>
                <w:rFonts w:eastAsia="Calibri"/>
                <w:b/>
                <w:sz w:val="20"/>
                <w:szCs w:val="20"/>
              </w:rPr>
              <w:t>x</w:t>
            </w:r>
            <w:r w:rsidR="00FB55BB">
              <w:rPr>
                <w:rFonts w:eastAsia="Calibri"/>
                <w:b/>
                <w:sz w:val="20"/>
                <w:szCs w:val="20"/>
              </w:rPr>
              <w:t>]</w:t>
            </w:r>
            <w:r w:rsidRPr="004122F3" w:rsidR="004122F3">
              <w:rPr>
                <w:rFonts w:eastAsia="Calibri"/>
                <w:b/>
                <w:sz w:val="20"/>
                <w:szCs w:val="20"/>
              </w:rPr>
              <w:t xml:space="preserve"> </w:t>
            </w:r>
            <w:r w:rsidRPr="00A05EDE">
              <w:rPr>
                <w:rFonts w:eastAsia="Calibri"/>
                <w:b/>
                <w:sz w:val="20"/>
                <w:szCs w:val="20"/>
              </w:rPr>
              <w:t>(h)</w:t>
            </w:r>
          </w:p>
        </w:tc>
        <w:tc>
          <w:tcPr>
            <w:tcW w:w="101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F04A5" w:rsidRPr="00A05EDE" w:rsidP="00B90263" w14:paraId="56B5BFF8" w14:textId="6F9BFB9C">
            <w:pPr>
              <w:keepNext/>
              <w:keepLines/>
              <w:spacing w:after="0"/>
              <w:jc w:val="right"/>
              <w:rPr>
                <w:rFonts w:eastAsia="Calibri"/>
                <w:b/>
                <w:sz w:val="20"/>
                <w:szCs w:val="20"/>
              </w:rPr>
            </w:pPr>
            <w:r w:rsidRPr="00A05EDE">
              <w:rPr>
                <w:rFonts w:eastAsia="Calibri"/>
                <w:b/>
                <w:sz w:val="20"/>
                <w:szCs w:val="20"/>
              </w:rPr>
              <w:t>$</w:t>
            </w:r>
            <w:r w:rsidR="00022792">
              <w:rPr>
                <w:rFonts w:eastAsia="Calibri"/>
                <w:b/>
                <w:sz w:val="20"/>
                <w:szCs w:val="20"/>
              </w:rPr>
              <w:t>2</w:t>
            </w:r>
            <w:r w:rsidR="00CB15CD">
              <w:rPr>
                <w:rFonts w:eastAsia="Calibri"/>
                <w:b/>
                <w:sz w:val="20"/>
                <w:szCs w:val="20"/>
              </w:rPr>
              <w:t>2,033</w:t>
            </w:r>
          </w:p>
        </w:tc>
      </w:tr>
    </w:tbl>
    <w:p w:rsidR="009F04A5" w:rsidRPr="00A05EDE" w:rsidP="008D7DB5" w14:paraId="1EB195B8" w14:textId="77777777"/>
    <w:p w:rsidR="003065CD" w:rsidRPr="00A05EDE" w:rsidP="0011028A" w14:paraId="2AABC24D" w14:textId="311426F0">
      <w:pPr>
        <w:pStyle w:val="Heading3"/>
      </w:pPr>
      <w:r w:rsidRPr="00A05EDE">
        <w:t>Burden Estimate for the Cost Performance Category</w:t>
      </w:r>
      <w:bookmarkEnd w:id="7"/>
    </w:p>
    <w:p w:rsidR="00537CEB" w:rsidP="00E12B53" w14:paraId="7FE31198" w14:textId="70614602">
      <w:pPr>
        <w:rPr>
          <w:rFonts w:eastAsia="Calibri"/>
        </w:rPr>
      </w:pPr>
      <w:r w:rsidRPr="00CC2BFB">
        <w:rPr>
          <w:rFonts w:eastAsia="Calibri"/>
        </w:rPr>
        <w:t>The cost performance category relies on administrative claims data.  The Medicare claims submission process (OMB control number 0938-1197; CMS-1500 and CMS-1490S</w:t>
      </w:r>
      <w:r w:rsidR="002A6D39">
        <w:rPr>
          <w:rFonts w:eastAsia="Calibri"/>
        </w:rPr>
        <w:t xml:space="preserve"> and </w:t>
      </w:r>
      <w:r w:rsidRPr="00CC2BFB" w:rsidR="002A6D39">
        <w:rPr>
          <w:rFonts w:eastAsia="Calibri"/>
        </w:rPr>
        <w:t>OMB control number 0938-</w:t>
      </w:r>
      <w:r w:rsidR="002A6D39">
        <w:rPr>
          <w:rFonts w:eastAsia="Calibri"/>
        </w:rPr>
        <w:t>0992</w:t>
      </w:r>
      <w:r w:rsidRPr="00CC2BFB">
        <w:rPr>
          <w:rFonts w:eastAsia="Calibri"/>
        </w:rPr>
        <w:t xml:space="preserve">)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sidR="00B75D3C">
        <w:rPr>
          <w:rFonts w:eastAsia="Calibri"/>
        </w:rPr>
        <w:t>included</w:t>
      </w:r>
      <w:r w:rsidRPr="00CC2BFB">
        <w:rPr>
          <w:rFonts w:eastAsia="Calibri"/>
        </w:rPr>
        <w:t xml:space="preserve"> in the cost performance category as discussed in </w:t>
      </w:r>
      <w:r w:rsidR="006B4537">
        <w:rPr>
          <w:rFonts w:eastAsia="Calibri"/>
        </w:rPr>
        <w:t>the CY 2020 PFS final</w:t>
      </w:r>
      <w:r w:rsidRPr="00CC2BFB">
        <w:rPr>
          <w:rFonts w:eastAsia="Calibri"/>
        </w:rPr>
        <w:t xml:space="preserve"> rule</w:t>
      </w:r>
      <w:r w:rsidR="001B2AFD">
        <w:rPr>
          <w:rFonts w:eastAsia="Calibri"/>
        </w:rPr>
        <w:t xml:space="preserve"> (84 FR </w:t>
      </w:r>
      <w:r w:rsidR="001B2AFD">
        <w:t>62959)</w:t>
      </w:r>
      <w:r w:rsidRPr="00CC2BFB">
        <w:rPr>
          <w:rFonts w:eastAsia="Calibri"/>
        </w:rPr>
        <w:t>. Moreover, the p</w:t>
      </w:r>
      <w:r w:rsidR="00D228CB">
        <w:rPr>
          <w:rFonts w:eastAsia="Calibri"/>
        </w:rPr>
        <w:t>olicies</w:t>
      </w:r>
      <w:r w:rsidRPr="00CC2BFB">
        <w:rPr>
          <w:rFonts w:eastAsia="Calibri"/>
        </w:rPr>
        <w:t xml:space="preserve"> of th</w:t>
      </w:r>
      <w:r w:rsidR="00FF3A84">
        <w:rPr>
          <w:rFonts w:eastAsia="Calibri"/>
        </w:rPr>
        <w:t>e CY 202</w:t>
      </w:r>
      <w:r w:rsidR="00CB15CD">
        <w:rPr>
          <w:rFonts w:eastAsia="Calibri"/>
        </w:rPr>
        <w:t>4</w:t>
      </w:r>
      <w:r w:rsidRPr="00CC2BFB">
        <w:rPr>
          <w:rFonts w:eastAsia="Calibri"/>
        </w:rPr>
        <w:t xml:space="preserve"> </w:t>
      </w:r>
      <w:r w:rsidR="00BC66F0">
        <w:rPr>
          <w:rFonts w:eastAsia="Calibri"/>
        </w:rPr>
        <w:t xml:space="preserve">PFS </w:t>
      </w:r>
      <w:r w:rsidR="00E02F0D">
        <w:rPr>
          <w:rFonts w:eastAsia="Calibri"/>
        </w:rPr>
        <w:t>final</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sidR="00BC66F0">
        <w:rPr>
          <w:rFonts w:eastAsia="Calibri"/>
        </w:rPr>
        <w:t>implement</w:t>
      </w:r>
      <w:r w:rsidRPr="00CC2BFB">
        <w:rPr>
          <w:rFonts w:eastAsia="Calibri"/>
        </w:rPr>
        <w:t xml:space="preserve"> any new or revised collection of information requirements or burden for MIPS eligible clinicians resulting from the cost performance category</w:t>
      </w:r>
      <w:r w:rsidRPr="003428D4">
        <w:rPr>
          <w:rFonts w:eastAsia="Calibri"/>
        </w:rPr>
        <w:t>.</w:t>
      </w:r>
    </w:p>
    <w:p w:rsidR="003065CD" w:rsidRPr="004330C9" w:rsidP="0011028A" w14:paraId="5F3E5B0A" w14:textId="23D63440">
      <w:pPr>
        <w:pStyle w:val="Heading3"/>
      </w:pPr>
      <w:bookmarkStart w:id="8" w:name="_Hlk532899276"/>
      <w:r w:rsidRPr="004330C9">
        <w:t>Burden Estimate for Partial QP Elections</w:t>
      </w:r>
      <w:bookmarkEnd w:id="8"/>
    </w:p>
    <w:p w:rsidR="00C123DE" w:rsidRPr="00C123DE" w:rsidP="00E12B53" w14:paraId="5AE0EB5A" w14:textId="64BD7EB5">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w:t>
      </w:r>
      <w:r w:rsidR="00CD067C">
        <w:rPr>
          <w:rFonts w:eastAsia="Calibri"/>
        </w:rPr>
        <w:t xml:space="preserve">individual </w:t>
      </w:r>
      <w:r w:rsidRPr="00C123DE">
        <w:rPr>
          <w:rFonts w:eastAsia="Calibri"/>
        </w:rPr>
        <w:t xml:space="preserve">eligible clinician level, the burden of Partial QP election will be incurred by the </w:t>
      </w:r>
      <w:r w:rsidR="00312597">
        <w:rPr>
          <w:rFonts w:eastAsia="Calibri"/>
        </w:rPr>
        <w:t xml:space="preserve">individual </w:t>
      </w:r>
      <w:r w:rsidRPr="00C123DE">
        <w:rPr>
          <w:rFonts w:eastAsia="Calibri"/>
        </w:rPr>
        <w:t xml:space="preserve">eligible clinician. For the purposes of this burden estimate, we assume that all MIPS eligible clinicians determined to be Partial QPs will participate in MIPS.  </w:t>
      </w:r>
    </w:p>
    <w:p w:rsidR="007126F1" w:rsidP="00E12B53" w14:paraId="596877E3" w14:textId="3FF4DE47">
      <w:pPr>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sidR="00CB15CD">
        <w:rPr>
          <w:rFonts w:eastAsia="Calibri"/>
        </w:rPr>
        <w:t>4</w:t>
      </w:r>
      <w:r w:rsidRPr="00C123DE">
        <w:rPr>
          <w:rFonts w:eastAsia="Calibri"/>
        </w:rPr>
        <w:t xml:space="preserve">, </w:t>
      </w:r>
      <w:r w:rsidRPr="00367710" w:rsidR="00367710">
        <w:rPr>
          <w:rFonts w:eastAsia="Calibri"/>
        </w:rPr>
        <w:t xml:space="preserve">based on historical response rates in </w:t>
      </w:r>
      <w:r w:rsidR="0092405B">
        <w:rPr>
          <w:rFonts w:eastAsia="Calibri"/>
        </w:rPr>
        <w:t>the CY</w:t>
      </w:r>
      <w:r w:rsidRPr="00367710" w:rsidR="00367710">
        <w:rPr>
          <w:rFonts w:eastAsia="Calibri"/>
        </w:rPr>
        <w:t xml:space="preserve"> 20</w:t>
      </w:r>
      <w:r w:rsidR="00965172">
        <w:rPr>
          <w:rFonts w:eastAsia="Calibri"/>
        </w:rPr>
        <w:t>2</w:t>
      </w:r>
      <w:r w:rsidR="00AC544D">
        <w:rPr>
          <w:rFonts w:eastAsia="Calibri"/>
        </w:rPr>
        <w:t>1</w:t>
      </w:r>
      <w:r w:rsidR="00965172">
        <w:rPr>
          <w:rFonts w:eastAsia="Calibri"/>
        </w:rPr>
        <w:t xml:space="preserve"> performance period/202</w:t>
      </w:r>
      <w:r w:rsidR="00AC544D">
        <w:rPr>
          <w:rFonts w:eastAsia="Calibri"/>
        </w:rPr>
        <w:t>3</w:t>
      </w:r>
      <w:r w:rsidR="00965172">
        <w:rPr>
          <w:rFonts w:eastAsia="Calibri"/>
        </w:rPr>
        <w:t xml:space="preserve"> MIPS payment year</w:t>
      </w:r>
      <w:r w:rsidRPr="00367710" w:rsidR="00367710">
        <w:rPr>
          <w:rFonts w:eastAsia="Calibri"/>
        </w:rPr>
        <w:t xml:space="preserve">, we estimate that </w:t>
      </w:r>
      <w:r w:rsidR="00AD1772">
        <w:rPr>
          <w:rFonts w:eastAsia="Calibri"/>
        </w:rPr>
        <w:t>a total of 2</w:t>
      </w:r>
      <w:r w:rsidR="00282152">
        <w:rPr>
          <w:rFonts w:eastAsia="Calibri"/>
        </w:rPr>
        <w:t>87</w:t>
      </w:r>
      <w:r w:rsidR="00AD1772">
        <w:rPr>
          <w:rFonts w:eastAsia="Calibri"/>
        </w:rPr>
        <w:t xml:space="preserve"> </w:t>
      </w:r>
      <w:r w:rsidR="004A5883">
        <w:rPr>
          <w:rFonts w:eastAsia="Calibri"/>
        </w:rPr>
        <w:t xml:space="preserve">respondents, </w:t>
      </w:r>
      <w:r w:rsidRPr="00367710" w:rsidR="00367710">
        <w:rPr>
          <w:rFonts w:eastAsia="Calibri"/>
        </w:rPr>
        <w:t>1</w:t>
      </w:r>
      <w:r w:rsidR="009B4F28">
        <w:rPr>
          <w:rFonts w:eastAsia="Calibri"/>
        </w:rPr>
        <w:t>5</w:t>
      </w:r>
      <w:r w:rsidR="000E4298">
        <w:rPr>
          <w:rFonts w:eastAsia="Calibri"/>
        </w:rPr>
        <w:t>6</w:t>
      </w:r>
      <w:r w:rsidRPr="00367710" w:rsidR="00367710">
        <w:rPr>
          <w:rFonts w:eastAsia="Calibri"/>
        </w:rPr>
        <w:t xml:space="preserve"> APM Entities and </w:t>
      </w:r>
      <w:r w:rsidR="009B4F28">
        <w:rPr>
          <w:rFonts w:eastAsia="Calibri"/>
        </w:rPr>
        <w:t>1</w:t>
      </w:r>
      <w:r w:rsidR="000E4298">
        <w:rPr>
          <w:rFonts w:eastAsia="Calibri"/>
        </w:rPr>
        <w:t>31 individual</w:t>
      </w:r>
      <w:r w:rsidRPr="00367710" w:rsidR="00367710">
        <w:rPr>
          <w:rFonts w:eastAsia="Calibri"/>
        </w:rPr>
        <w:t xml:space="preserve"> eligible clinicians (representing approximately </w:t>
      </w:r>
      <w:r w:rsidR="000E4298">
        <w:rPr>
          <w:rFonts w:eastAsia="Calibri"/>
        </w:rPr>
        <w:t>7,182</w:t>
      </w:r>
      <w:r w:rsidRPr="00367710" w:rsidR="00367710">
        <w:rPr>
          <w:rFonts w:eastAsia="Calibri"/>
        </w:rPr>
        <w:t xml:space="preserve"> Partial QPs) will make the election to participate as a Partial QP in MIPS</w:t>
      </w:r>
      <w:r w:rsidR="004A5883">
        <w:rPr>
          <w:rFonts w:eastAsia="Calibri"/>
        </w:rPr>
        <w:t>.</w:t>
      </w:r>
      <w:r w:rsidRPr="00367710" w:rsidR="00367710">
        <w:rPr>
          <w:rFonts w:eastAsia="Calibri"/>
        </w:rPr>
        <w:t xml:space="preserve"> We estimate it will take the APM Entity representative or eligible clinician 15 minutes (0.25 hr) </w:t>
      </w:r>
      <w:r w:rsidR="003361BC">
        <w:rPr>
          <w:rFonts w:eastAsia="Calibri"/>
        </w:rPr>
        <w:t xml:space="preserve">at a rate of $103.40/hr, resulting in a cost of $25.85, </w:t>
      </w:r>
      <w:r w:rsidRPr="00367710" w:rsidR="00367710">
        <w:rPr>
          <w:rFonts w:eastAsia="Calibri"/>
        </w:rPr>
        <w:t xml:space="preserve">to make this election.  In aggregate, we estimate an annual burden of </w:t>
      </w:r>
      <w:r w:rsidR="00FF33FE">
        <w:rPr>
          <w:rFonts w:eastAsia="Calibri"/>
        </w:rPr>
        <w:t>72</w:t>
      </w:r>
      <w:r w:rsidRPr="00367710" w:rsidR="00367710">
        <w:rPr>
          <w:rFonts w:eastAsia="Calibri"/>
        </w:rPr>
        <w:t xml:space="preserve"> hours (</w:t>
      </w:r>
      <w:r w:rsidR="00D9069E">
        <w:rPr>
          <w:rFonts w:eastAsia="Calibri"/>
        </w:rPr>
        <w:t>2</w:t>
      </w:r>
      <w:r w:rsidR="00FF33FE">
        <w:rPr>
          <w:rFonts w:eastAsia="Calibri"/>
        </w:rPr>
        <w:t>87</w:t>
      </w:r>
      <w:r w:rsidRPr="00367710" w:rsidR="00367710">
        <w:rPr>
          <w:rFonts w:eastAsia="Calibri"/>
        </w:rPr>
        <w:t xml:space="preserve"> </w:t>
      </w:r>
      <w:r w:rsidR="003361BC">
        <w:rPr>
          <w:rFonts w:eastAsia="Calibri"/>
        </w:rPr>
        <w:t>partial QP elections</w:t>
      </w:r>
      <w:r w:rsidRPr="00367710" w:rsidR="00367710">
        <w:rPr>
          <w:rFonts w:eastAsia="Calibri"/>
        </w:rPr>
        <w:t xml:space="preserve"> x 0.25 hr/election) and $</w:t>
      </w:r>
      <w:r w:rsidR="00FF33FE">
        <w:rPr>
          <w:rFonts w:eastAsia="Calibri"/>
        </w:rPr>
        <w:t>7</w:t>
      </w:r>
      <w:r w:rsidR="00BD2F55">
        <w:rPr>
          <w:rFonts w:eastAsia="Calibri"/>
        </w:rPr>
        <w:t>,419</w:t>
      </w:r>
      <w:r w:rsidRPr="00367710" w:rsidR="00367710">
        <w:rPr>
          <w:rFonts w:eastAsia="Calibri"/>
        </w:rPr>
        <w:t xml:space="preserve"> (</w:t>
      </w:r>
      <w:r w:rsidR="00CB15CD">
        <w:rPr>
          <w:rFonts w:eastAsia="Calibri"/>
        </w:rPr>
        <w:t xml:space="preserve">287 </w:t>
      </w:r>
      <w:r w:rsidR="003361BC">
        <w:rPr>
          <w:rFonts w:eastAsia="Calibri"/>
        </w:rPr>
        <w:t>partial QP elections</w:t>
      </w:r>
      <w:r w:rsidRPr="00367710" w:rsidR="00367710">
        <w:rPr>
          <w:rFonts w:eastAsia="Calibri"/>
        </w:rPr>
        <w:t xml:space="preserve"> x $</w:t>
      </w:r>
      <w:r w:rsidR="00CB15CD">
        <w:rPr>
          <w:rFonts w:eastAsia="Calibri"/>
        </w:rPr>
        <w:t>25.85</w:t>
      </w:r>
      <w:r w:rsidRPr="00367710" w:rsidR="00367710">
        <w:rPr>
          <w:rFonts w:eastAsia="Calibri"/>
        </w:rPr>
        <w:t>/</w:t>
      </w:r>
      <w:r w:rsidR="003361BC">
        <w:rPr>
          <w:rFonts w:eastAsia="Calibri"/>
        </w:rPr>
        <w:t>election</w:t>
      </w:r>
      <w:r w:rsidRPr="00367710" w:rsidR="00367710">
        <w:rPr>
          <w:rFonts w:eastAsia="Calibri"/>
        </w:rPr>
        <w:t>)</w:t>
      </w:r>
      <w:r w:rsidRPr="003366A8" w:rsidR="003366A8">
        <w:rPr>
          <w:rFonts w:eastAsia="Calibri"/>
        </w:rPr>
        <w:t>.</w:t>
      </w:r>
    </w:p>
    <w:p w:rsidR="003065CD" w:rsidRPr="00C47150" w:rsidP="00334306" w14:paraId="2B396829" w14:textId="30002DE6">
      <w:pPr>
        <w:keepNext/>
        <w:keepLines/>
        <w:spacing w:after="0"/>
        <w:jc w:val="center"/>
        <w:rPr>
          <w:b/>
          <w:bCs/>
        </w:rPr>
      </w:pPr>
      <w:r w:rsidRPr="00C47150">
        <w:rPr>
          <w:b/>
          <w:bCs/>
        </w:rPr>
        <w:t xml:space="preserve">TABLE </w:t>
      </w:r>
      <w:r>
        <w:rPr>
          <w:b/>
          <w:bCs/>
        </w:rPr>
        <w:t>2</w:t>
      </w:r>
      <w:r w:rsidR="00CB15CD">
        <w:rPr>
          <w:b/>
          <w:bCs/>
        </w:rPr>
        <w:t>4</w:t>
      </w:r>
      <w:r w:rsidRPr="00C47150">
        <w:rPr>
          <w:b/>
          <w:bCs/>
        </w:rPr>
        <w:t xml:space="preserve">:  </w:t>
      </w:r>
      <w:r w:rsidR="00E117F8">
        <w:rPr>
          <w:b/>
          <w:bCs/>
        </w:rPr>
        <w:t>Estimated Burde</w:t>
      </w:r>
      <w:r w:rsidRPr="00C47150">
        <w:rPr>
          <w:b/>
          <w:bCs/>
        </w:rPr>
        <w:t>n for Partial QP Election</w:t>
      </w:r>
      <w:r w:rsidR="00A7669E">
        <w:rPr>
          <w:b/>
          <w:bCs/>
        </w:rPr>
        <w:t xml:space="preserve"> </w:t>
      </w:r>
    </w:p>
    <w:tbl>
      <w:tblPr>
        <w:tblW w:w="9000" w:type="dxa"/>
        <w:jc w:val="center"/>
        <w:tblLook w:val="04A0"/>
      </w:tblPr>
      <w:tblGrid>
        <w:gridCol w:w="7645"/>
        <w:gridCol w:w="1355"/>
      </w:tblGrid>
      <w:tr w14:paraId="2FD7E97B" w14:textId="77777777" w:rsidTr="00E14418">
        <w:tblPrEx>
          <w:tblW w:w="9000" w:type="dxa"/>
          <w:jc w:val="center"/>
          <w:tblLook w:val="04A0"/>
        </w:tblPrEx>
        <w:trPr>
          <w:cantSplit/>
          <w:trHeight w:val="300"/>
          <w:tblHeader/>
          <w:jc w:val="center"/>
        </w:trPr>
        <w:tc>
          <w:tcPr>
            <w:tcW w:w="7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065CD" w:rsidRPr="003065CD" w:rsidP="00334306" w14:paraId="545DC1F0" w14:textId="71CC6F8E">
            <w:pPr>
              <w:keepNext/>
              <w:keepLines/>
              <w:spacing w:after="0"/>
              <w:rPr>
                <w:b/>
                <w:sz w:val="20"/>
                <w:szCs w:val="20"/>
              </w:rPr>
            </w:pPr>
            <w:r w:rsidRPr="003065CD">
              <w:rPr>
                <w:b/>
                <w:sz w:val="20"/>
                <w:szCs w:val="20"/>
              </w:rPr>
              <w:t> Burden and Respondent Descriptions</w:t>
            </w:r>
          </w:p>
        </w:tc>
        <w:tc>
          <w:tcPr>
            <w:tcW w:w="135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3065CD" w:rsidRPr="00663B38" w:rsidP="00334306" w14:paraId="2BE5F43F" w14:textId="77777777">
            <w:pPr>
              <w:keepNext/>
              <w:keepLines/>
              <w:spacing w:after="0"/>
              <w:jc w:val="center"/>
              <w:rPr>
                <w:b/>
                <w:sz w:val="20"/>
                <w:szCs w:val="20"/>
              </w:rPr>
            </w:pPr>
            <w:r w:rsidRPr="00663B38">
              <w:rPr>
                <w:b/>
                <w:sz w:val="20"/>
                <w:szCs w:val="20"/>
              </w:rPr>
              <w:t>Burden Estimate</w:t>
            </w:r>
          </w:p>
        </w:tc>
      </w:tr>
      <w:tr w14:paraId="0C56470B" w14:textId="77777777" w:rsidTr="00E14418">
        <w:tblPrEx>
          <w:tblW w:w="9000" w:type="dxa"/>
          <w:jc w:val="center"/>
          <w:tblLook w:val="04A0"/>
        </w:tblPrEx>
        <w:trPr>
          <w:cantSplit/>
          <w:trHeight w:val="305"/>
          <w:jc w:val="center"/>
        </w:trPr>
        <w:tc>
          <w:tcPr>
            <w:tcW w:w="7645"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3065CD" w:rsidRPr="00663B38" w:rsidP="00334306" w14:paraId="0924F04C" w14:textId="2758FCC2">
            <w:pPr>
              <w:keepNext/>
              <w:keepLines/>
              <w:spacing w:after="0"/>
              <w:rPr>
                <w:sz w:val="20"/>
                <w:szCs w:val="20"/>
              </w:rPr>
            </w:pPr>
            <w:r>
              <w:rPr>
                <w:sz w:val="20"/>
                <w:szCs w:val="20"/>
              </w:rPr>
              <w:t># of respondents making Partial QP election (</w:t>
            </w:r>
            <w:r w:rsidR="00460137">
              <w:rPr>
                <w:sz w:val="20"/>
                <w:szCs w:val="20"/>
              </w:rPr>
              <w:t>1</w:t>
            </w:r>
            <w:r w:rsidR="00E84792">
              <w:rPr>
                <w:sz w:val="20"/>
                <w:szCs w:val="20"/>
              </w:rPr>
              <w:t>5</w:t>
            </w:r>
            <w:r w:rsidR="007F1C18">
              <w:rPr>
                <w:sz w:val="20"/>
                <w:szCs w:val="20"/>
              </w:rPr>
              <w:t>6</w:t>
            </w:r>
            <w:r>
              <w:rPr>
                <w:sz w:val="20"/>
                <w:szCs w:val="20"/>
              </w:rPr>
              <w:t xml:space="preserve"> APM Entities, </w:t>
            </w:r>
            <w:r w:rsidR="00460137">
              <w:rPr>
                <w:sz w:val="20"/>
                <w:szCs w:val="20"/>
              </w:rPr>
              <w:t>1</w:t>
            </w:r>
            <w:r w:rsidR="007F1C18">
              <w:rPr>
                <w:sz w:val="20"/>
                <w:szCs w:val="20"/>
              </w:rPr>
              <w:t>31</w:t>
            </w:r>
            <w:r>
              <w:rPr>
                <w:sz w:val="20"/>
                <w:szCs w:val="20"/>
              </w:rPr>
              <w:t xml:space="preserve"> eligible clinicians) (a)</w:t>
            </w:r>
          </w:p>
        </w:tc>
        <w:tc>
          <w:tcPr>
            <w:tcW w:w="1355" w:type="dxa"/>
            <w:tcBorders>
              <w:top w:val="nil"/>
              <w:left w:val="nil"/>
              <w:bottom w:val="single" w:sz="4" w:space="0" w:color="000000" w:themeColor="text1"/>
              <w:right w:val="single" w:sz="4" w:space="0" w:color="000000" w:themeColor="text1"/>
            </w:tcBorders>
            <w:shd w:val="clear" w:color="auto" w:fill="auto"/>
            <w:noWrap/>
            <w:vAlign w:val="bottom"/>
          </w:tcPr>
          <w:p w:rsidR="003065CD" w:rsidP="007D2B7C" w14:paraId="69235A90" w14:textId="2D52310D">
            <w:pPr>
              <w:keepNext/>
              <w:keepLines/>
              <w:spacing w:after="0"/>
              <w:jc w:val="right"/>
              <w:rPr>
                <w:sz w:val="20"/>
                <w:szCs w:val="20"/>
              </w:rPr>
            </w:pPr>
            <w:r>
              <w:rPr>
                <w:sz w:val="20"/>
                <w:szCs w:val="20"/>
              </w:rPr>
              <w:t xml:space="preserve">                 </w:t>
            </w:r>
            <w:r w:rsidR="00207E0A">
              <w:rPr>
                <w:sz w:val="20"/>
                <w:szCs w:val="20"/>
              </w:rPr>
              <w:t xml:space="preserve">   </w:t>
            </w:r>
            <w:r w:rsidR="00085F86">
              <w:rPr>
                <w:sz w:val="20"/>
                <w:szCs w:val="20"/>
              </w:rPr>
              <w:t xml:space="preserve">  </w:t>
            </w:r>
            <w:r w:rsidR="00A04864">
              <w:rPr>
                <w:sz w:val="20"/>
                <w:szCs w:val="20"/>
              </w:rPr>
              <w:t>2</w:t>
            </w:r>
            <w:r w:rsidR="007F1C18">
              <w:rPr>
                <w:sz w:val="20"/>
                <w:szCs w:val="20"/>
              </w:rPr>
              <w:t>87</w:t>
            </w:r>
          </w:p>
        </w:tc>
      </w:tr>
      <w:tr w14:paraId="60D5ED99" w14:textId="77777777" w:rsidTr="00E14418">
        <w:tblPrEx>
          <w:tblW w:w="9000" w:type="dxa"/>
          <w:jc w:val="center"/>
          <w:tblLook w:val="04A0"/>
        </w:tblPrEx>
        <w:trPr>
          <w:cantSplit/>
          <w:trHeight w:val="305"/>
          <w:jc w:val="center"/>
        </w:trPr>
        <w:tc>
          <w:tcPr>
            <w:tcW w:w="764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rsidR="003065CD" w:rsidRPr="00663B38" w:rsidP="00A639D4"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55" w:type="dxa"/>
            <w:tcBorders>
              <w:top w:val="nil"/>
              <w:left w:val="nil"/>
              <w:bottom w:val="single" w:sz="4" w:space="0" w:color="000000" w:themeColor="text1"/>
              <w:right w:val="single" w:sz="4" w:space="0" w:color="000000" w:themeColor="text1"/>
            </w:tcBorders>
            <w:shd w:val="clear" w:color="auto" w:fill="auto"/>
            <w:noWrap/>
            <w:vAlign w:val="bottom"/>
            <w:hideMark/>
          </w:tcPr>
          <w:p w:rsidR="003065CD" w:rsidRPr="00663B38" w:rsidP="007D2B7C" w14:paraId="6C0A43BF" w14:textId="331A2BA3">
            <w:pPr>
              <w:spacing w:after="0"/>
              <w:jc w:val="right"/>
              <w:rPr>
                <w:sz w:val="20"/>
                <w:szCs w:val="20"/>
              </w:rPr>
            </w:pPr>
            <w:r>
              <w:rPr>
                <w:sz w:val="20"/>
                <w:szCs w:val="20"/>
              </w:rPr>
              <w:t xml:space="preserve">                 </w:t>
            </w:r>
            <w:r>
              <w:rPr>
                <w:sz w:val="20"/>
                <w:szCs w:val="20"/>
              </w:rPr>
              <w:t>0.25</w:t>
            </w:r>
          </w:p>
        </w:tc>
      </w:tr>
      <w:tr w14:paraId="17F6D61C" w14:textId="77777777" w:rsidTr="003D29BA">
        <w:tblPrEx>
          <w:tblW w:w="9000" w:type="dxa"/>
          <w:jc w:val="center"/>
          <w:tblLook w:val="04A0"/>
        </w:tblPrEx>
        <w:trPr>
          <w:cantSplit/>
          <w:trHeight w:val="260"/>
          <w:jc w:val="center"/>
        </w:trPr>
        <w:tc>
          <w:tcPr>
            <w:tcW w:w="7645"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Pr>
          <w:p w:rsidR="003065CD" w:rsidRPr="00EB040E" w:rsidP="00A639D4" w14:paraId="0A08E020" w14:textId="2A51DC07">
            <w:pPr>
              <w:spacing w:after="0"/>
              <w:rPr>
                <w:b/>
                <w:sz w:val="20"/>
                <w:szCs w:val="20"/>
              </w:rPr>
            </w:pPr>
            <w:r w:rsidRPr="00EB040E">
              <w:rPr>
                <w:b/>
                <w:sz w:val="20"/>
                <w:szCs w:val="20"/>
              </w:rPr>
              <w:t>Total Annual Hours (c) = (a)</w:t>
            </w:r>
            <w:r w:rsidR="00D96441">
              <w:rPr>
                <w:b/>
                <w:sz w:val="20"/>
                <w:szCs w:val="20"/>
              </w:rPr>
              <w:t xml:space="preserve"> </w:t>
            </w:r>
            <w:r w:rsidR="00CE54E0">
              <w:rPr>
                <w:b/>
                <w:sz w:val="20"/>
                <w:szCs w:val="20"/>
              </w:rPr>
              <w:t>[</w:t>
            </w:r>
            <w:r w:rsidRPr="009E0DBE" w:rsidR="009E0DBE">
              <w:rPr>
                <w:b/>
                <w:sz w:val="20"/>
                <w:szCs w:val="20"/>
              </w:rPr>
              <w:t>x</w:t>
            </w:r>
            <w:r w:rsidR="00CE54E0">
              <w:rPr>
                <w:b/>
                <w:sz w:val="20"/>
                <w:szCs w:val="20"/>
              </w:rPr>
              <w:t>]</w:t>
            </w:r>
            <w:r w:rsidRPr="009E0DBE" w:rsidR="009E0DBE">
              <w:rPr>
                <w:b/>
                <w:sz w:val="20"/>
                <w:szCs w:val="20"/>
              </w:rPr>
              <w:t xml:space="preserve"> </w:t>
            </w:r>
            <w:r w:rsidRPr="00EB040E">
              <w:rPr>
                <w:b/>
                <w:sz w:val="20"/>
                <w:szCs w:val="20"/>
              </w:rPr>
              <w:t>(b)</w:t>
            </w:r>
          </w:p>
        </w:tc>
        <w:tc>
          <w:tcPr>
            <w:tcW w:w="1355" w:type="dxa"/>
            <w:tcBorders>
              <w:top w:val="nil"/>
              <w:left w:val="nil"/>
              <w:bottom w:val="single" w:sz="4" w:space="0" w:color="000000" w:themeColor="text1"/>
              <w:right w:val="single" w:sz="4" w:space="0" w:color="000000" w:themeColor="text1"/>
            </w:tcBorders>
            <w:shd w:val="clear" w:color="auto" w:fill="E7E6E6" w:themeFill="background2"/>
            <w:vAlign w:val="center"/>
          </w:tcPr>
          <w:p w:rsidR="003065CD" w:rsidRPr="00EB040E" w:rsidP="007D2B7C" w14:paraId="118AE16D" w14:textId="773305C4">
            <w:pPr>
              <w:spacing w:after="0"/>
              <w:jc w:val="right"/>
              <w:rPr>
                <w:b/>
                <w:sz w:val="20"/>
                <w:szCs w:val="20"/>
              </w:rPr>
            </w:pPr>
            <w:r>
              <w:rPr>
                <w:b/>
                <w:sz w:val="20"/>
                <w:szCs w:val="20"/>
              </w:rPr>
              <w:t xml:space="preserve">                   </w:t>
            </w:r>
            <w:r w:rsidR="007F1C18">
              <w:rPr>
                <w:b/>
                <w:sz w:val="20"/>
                <w:szCs w:val="20"/>
              </w:rPr>
              <w:t>72</w:t>
            </w:r>
          </w:p>
        </w:tc>
      </w:tr>
      <w:tr w14:paraId="0031FD71" w14:textId="77777777" w:rsidTr="00E14418">
        <w:tblPrEx>
          <w:tblW w:w="9000" w:type="dxa"/>
          <w:jc w:val="center"/>
          <w:tblLook w:val="04A0"/>
        </w:tblPrEx>
        <w:trPr>
          <w:cantSplit/>
          <w:trHeight w:val="260"/>
          <w:jc w:val="center"/>
        </w:trPr>
        <w:tc>
          <w:tcPr>
            <w:tcW w:w="764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rsidR="003065CD" w:rsidRPr="00663B38" w:rsidP="00A639D4" w14:paraId="7380BCE5" w14:textId="4C7005AE">
            <w:pPr>
              <w:spacing w:after="0"/>
              <w:rPr>
                <w:sz w:val="20"/>
                <w:szCs w:val="20"/>
              </w:rPr>
            </w:pPr>
            <w:r>
              <w:rPr>
                <w:sz w:val="20"/>
                <w:szCs w:val="20"/>
              </w:rPr>
              <w:t xml:space="preserve"> </w:t>
            </w:r>
            <w:r w:rsidR="0023115F">
              <w:rPr>
                <w:sz w:val="20"/>
                <w:szCs w:val="20"/>
              </w:rPr>
              <w:t>C</w:t>
            </w:r>
            <w:r w:rsidR="007458C1">
              <w:rPr>
                <w:sz w:val="20"/>
                <w:szCs w:val="20"/>
              </w:rPr>
              <w:t>o</w:t>
            </w:r>
            <w:r>
              <w:rPr>
                <w:sz w:val="20"/>
                <w:szCs w:val="20"/>
              </w:rPr>
              <w:t xml:space="preserve">st per Respondent at </w:t>
            </w:r>
            <w:r>
              <w:rPr>
                <w:sz w:val="20"/>
                <w:szCs w:val="20"/>
              </w:rPr>
              <w:t xml:space="preserve">Labor rate for computer systems analyst </w:t>
            </w:r>
            <w:r>
              <w:rPr>
                <w:sz w:val="20"/>
                <w:szCs w:val="20"/>
              </w:rPr>
              <w:t xml:space="preserve">@ $103.40/hr </w:t>
            </w:r>
            <w:r w:rsidRPr="00732012">
              <w:rPr>
                <w:sz w:val="20"/>
                <w:szCs w:val="20"/>
              </w:rPr>
              <w:t>(</w:t>
            </w:r>
            <w:r>
              <w:rPr>
                <w:sz w:val="20"/>
                <w:szCs w:val="20"/>
              </w:rPr>
              <w:t>d</w:t>
            </w:r>
            <w:r w:rsidRPr="00732012">
              <w:rPr>
                <w:sz w:val="20"/>
                <w:szCs w:val="20"/>
              </w:rPr>
              <w:t>)</w:t>
            </w:r>
            <w:r>
              <w:rPr>
                <w:sz w:val="20"/>
                <w:szCs w:val="20"/>
              </w:rPr>
              <w:t xml:space="preserve"> = (b) [x] $103.40/hr</w:t>
            </w:r>
          </w:p>
        </w:tc>
        <w:tc>
          <w:tcPr>
            <w:tcW w:w="1355" w:type="dxa"/>
            <w:tcBorders>
              <w:top w:val="nil"/>
              <w:left w:val="nil"/>
              <w:bottom w:val="single" w:sz="4" w:space="0" w:color="000000" w:themeColor="text1"/>
              <w:right w:val="single" w:sz="4" w:space="0" w:color="000000" w:themeColor="text1"/>
            </w:tcBorders>
            <w:shd w:val="clear" w:color="auto" w:fill="auto"/>
            <w:vAlign w:val="center"/>
            <w:hideMark/>
          </w:tcPr>
          <w:p w:rsidR="003065CD" w:rsidRPr="00663B38" w:rsidP="003D29BA" w14:paraId="2CDB9D65" w14:textId="473AE313">
            <w:pPr>
              <w:spacing w:after="0"/>
              <w:jc w:val="right"/>
              <w:rPr>
                <w:sz w:val="20"/>
                <w:szCs w:val="20"/>
              </w:rPr>
            </w:pPr>
            <w:r>
              <w:rPr>
                <w:sz w:val="20"/>
                <w:szCs w:val="20"/>
              </w:rPr>
              <w:t xml:space="preserve">           </w:t>
            </w:r>
            <w:r w:rsidR="00AE0DAE">
              <w:rPr>
                <w:sz w:val="20"/>
                <w:szCs w:val="20"/>
              </w:rPr>
              <w:t xml:space="preserve">       $25.85</w:t>
            </w:r>
            <w:r>
              <w:rPr>
                <w:sz w:val="20"/>
                <w:szCs w:val="20"/>
              </w:rPr>
              <w:t xml:space="preserve">           </w:t>
            </w:r>
            <w:r w:rsidR="004475EE">
              <w:rPr>
                <w:sz w:val="20"/>
                <w:szCs w:val="20"/>
              </w:rPr>
              <w:t xml:space="preserve">    </w:t>
            </w:r>
            <w:r w:rsidR="00AE0DAE">
              <w:rPr>
                <w:sz w:val="20"/>
                <w:szCs w:val="20"/>
              </w:rPr>
              <w:t xml:space="preserve">           </w:t>
            </w:r>
          </w:p>
        </w:tc>
      </w:tr>
      <w:tr w14:paraId="765FCFB9" w14:textId="77777777" w:rsidTr="003D29BA">
        <w:tblPrEx>
          <w:tblW w:w="9000" w:type="dxa"/>
          <w:jc w:val="center"/>
          <w:tblLook w:val="04A0"/>
        </w:tblPrEx>
        <w:trPr>
          <w:cantSplit/>
          <w:trHeight w:val="278"/>
          <w:jc w:val="center"/>
        </w:trPr>
        <w:tc>
          <w:tcPr>
            <w:tcW w:w="7645"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hideMark/>
          </w:tcPr>
          <w:p w:rsidR="003065CD" w:rsidRPr="00EB040E" w:rsidP="00A639D4" w14:paraId="18D4920C" w14:textId="3926241F">
            <w:pPr>
              <w:spacing w:after="0"/>
              <w:rPr>
                <w:b/>
                <w:sz w:val="20"/>
                <w:szCs w:val="20"/>
              </w:rPr>
            </w:pPr>
            <w:r w:rsidRPr="00EB040E">
              <w:rPr>
                <w:b/>
                <w:sz w:val="20"/>
                <w:szCs w:val="20"/>
              </w:rPr>
              <w:t>Total Annual Cost (</w:t>
            </w:r>
            <w:r w:rsidR="00CF2515">
              <w:rPr>
                <w:b/>
                <w:sz w:val="20"/>
                <w:szCs w:val="20"/>
              </w:rPr>
              <w:t>e</w:t>
            </w:r>
            <w:r w:rsidRPr="00EB040E">
              <w:rPr>
                <w:b/>
                <w:sz w:val="20"/>
                <w:szCs w:val="20"/>
              </w:rPr>
              <w:t>) = (</w:t>
            </w:r>
            <w:r w:rsidR="00CB15CD">
              <w:rPr>
                <w:b/>
                <w:sz w:val="20"/>
                <w:szCs w:val="20"/>
              </w:rPr>
              <w:t>a</w:t>
            </w:r>
            <w:r w:rsidRPr="00EB040E">
              <w:rPr>
                <w:b/>
                <w:sz w:val="20"/>
                <w:szCs w:val="20"/>
              </w:rPr>
              <w:t>)</w:t>
            </w:r>
            <w:r w:rsidR="00D96441">
              <w:rPr>
                <w:b/>
                <w:sz w:val="20"/>
                <w:szCs w:val="20"/>
              </w:rPr>
              <w:t xml:space="preserve"> </w:t>
            </w:r>
            <w:r w:rsidR="00CE54E0">
              <w:rPr>
                <w:b/>
                <w:sz w:val="20"/>
                <w:szCs w:val="20"/>
              </w:rPr>
              <w:t>[</w:t>
            </w:r>
            <w:r w:rsidRPr="009E0DBE" w:rsidR="009E0DBE">
              <w:rPr>
                <w:b/>
                <w:sz w:val="20"/>
                <w:szCs w:val="20"/>
              </w:rPr>
              <w:t>x</w:t>
            </w:r>
            <w:r w:rsidR="00CE54E0">
              <w:rPr>
                <w:b/>
                <w:sz w:val="20"/>
                <w:szCs w:val="20"/>
              </w:rPr>
              <w:t>]</w:t>
            </w:r>
            <w:r w:rsidRPr="009E0DBE" w:rsidR="009E0DBE">
              <w:rPr>
                <w:b/>
                <w:sz w:val="20"/>
                <w:szCs w:val="20"/>
              </w:rPr>
              <w:t xml:space="preserve"> </w:t>
            </w:r>
            <w:r w:rsidRPr="00EB040E">
              <w:rPr>
                <w:b/>
                <w:sz w:val="20"/>
                <w:szCs w:val="20"/>
              </w:rPr>
              <w:t>(d)</w:t>
            </w:r>
          </w:p>
        </w:tc>
        <w:tc>
          <w:tcPr>
            <w:tcW w:w="1355" w:type="dxa"/>
            <w:tcBorders>
              <w:top w:val="nil"/>
              <w:left w:val="nil"/>
              <w:bottom w:val="single" w:sz="4" w:space="0" w:color="000000" w:themeColor="text1"/>
              <w:right w:val="single" w:sz="4" w:space="0" w:color="000000" w:themeColor="text1"/>
            </w:tcBorders>
            <w:shd w:val="clear" w:color="auto" w:fill="E7E6E6" w:themeFill="background2"/>
            <w:vAlign w:val="center"/>
            <w:hideMark/>
          </w:tcPr>
          <w:p w:rsidR="003065CD" w:rsidRPr="00EB040E" w:rsidP="007D2B7C" w14:paraId="2DF3A077" w14:textId="07449966">
            <w:pPr>
              <w:spacing w:after="0"/>
              <w:jc w:val="right"/>
              <w:rPr>
                <w:b/>
                <w:sz w:val="20"/>
                <w:szCs w:val="20"/>
              </w:rPr>
            </w:pPr>
            <w:r>
              <w:rPr>
                <w:b/>
                <w:sz w:val="20"/>
                <w:szCs w:val="20"/>
              </w:rPr>
              <w:t xml:space="preserve">             </w:t>
            </w:r>
            <w:r w:rsidRPr="00EB040E">
              <w:rPr>
                <w:b/>
                <w:sz w:val="20"/>
                <w:szCs w:val="20"/>
              </w:rPr>
              <w:t>$</w:t>
            </w:r>
            <w:r w:rsidR="007F1C18">
              <w:rPr>
                <w:b/>
                <w:sz w:val="20"/>
                <w:szCs w:val="20"/>
              </w:rPr>
              <w:t>7,</w:t>
            </w:r>
            <w:r w:rsidR="00CB15CD">
              <w:rPr>
                <w:b/>
                <w:sz w:val="20"/>
                <w:szCs w:val="20"/>
              </w:rPr>
              <w:t>419</w:t>
            </w:r>
          </w:p>
        </w:tc>
      </w:tr>
    </w:tbl>
    <w:p w:rsidR="001D6295" w:rsidP="00CF538E" w14:paraId="49EC0E33" w14:textId="77777777">
      <w:bookmarkStart w:id="9" w:name="_Hlk532899285"/>
    </w:p>
    <w:p w:rsidR="0088351C" w:rsidRPr="004330C9" w:rsidP="0011028A" w14:paraId="52657B27" w14:textId="6E86F183">
      <w:pPr>
        <w:pStyle w:val="Heading3"/>
      </w:pPr>
      <w:r w:rsidRPr="004330C9">
        <w:t>Burden Estimate for Other-Payer Advanced APM Determinations</w:t>
      </w:r>
      <w:bookmarkEnd w:id="9"/>
    </w:p>
    <w:p w:rsidR="0088351C" w:rsidRPr="004330C9" w:rsidP="0011028A" w14:paraId="256D9611" w14:textId="641F08C8">
      <w:pPr>
        <w:pStyle w:val="Heading4"/>
        <w:numPr>
          <w:ilvl w:val="0"/>
          <w:numId w:val="20"/>
        </w:numPr>
      </w:pPr>
      <w:r>
        <w:t xml:space="preserve">   </w:t>
      </w:r>
      <w:r w:rsidRPr="004330C9">
        <w:t>Payer-Initiated Process</w:t>
      </w:r>
    </w:p>
    <w:p w:rsidR="005709D0" w:rsidP="005709D0" w14:paraId="0E6C8E61" w14:textId="54B2E189">
      <w:pPr>
        <w:rPr>
          <w:rFonts w:eastAsia="Calibri"/>
        </w:rPr>
      </w:pPr>
      <w:r>
        <w:rPr>
          <w:rFonts w:eastAsia="Calibri"/>
        </w:rPr>
        <w:t>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14:paraId="72E0FBBD" w14:textId="6D83214E">
      <w:pPr>
        <w:rPr>
          <w:rFonts w:eastAsia="Calibri"/>
        </w:rPr>
      </w:pPr>
      <w:r w:rsidRPr="00AA3126">
        <w:rPr>
          <w:rFonts w:eastAsia="Calibri"/>
        </w:rPr>
        <w:t xml:space="preserve">As shown in Table </w:t>
      </w:r>
      <w:r w:rsidR="00623040">
        <w:rPr>
          <w:rFonts w:eastAsia="Calibri"/>
        </w:rPr>
        <w:t>2</w:t>
      </w:r>
      <w:r w:rsidR="00997181">
        <w:rPr>
          <w:rFonts w:eastAsia="Calibri"/>
        </w:rPr>
        <w:t>5</w:t>
      </w:r>
      <w:r w:rsidRPr="00AA3126">
        <w:rPr>
          <w:rFonts w:eastAsia="Calibri"/>
        </w:rPr>
        <w:t xml:space="preserve">, </w:t>
      </w:r>
      <w:r w:rsidRPr="00367710" w:rsidR="00367710">
        <w:rPr>
          <w:rFonts w:eastAsia="Calibri"/>
        </w:rPr>
        <w:t>based on the actual number of requests received</w:t>
      </w:r>
      <w:r w:rsidR="00AD7059">
        <w:rPr>
          <w:rFonts w:eastAsia="Calibri"/>
        </w:rPr>
        <w:t xml:space="preserve"> for</w:t>
      </w:r>
      <w:r w:rsidRPr="00367710" w:rsidR="00367710">
        <w:rPr>
          <w:rFonts w:eastAsia="Calibri"/>
        </w:rPr>
        <w:t xml:space="preserve"> in the 20</w:t>
      </w:r>
      <w:r w:rsidR="0037695D">
        <w:rPr>
          <w:rFonts w:eastAsia="Calibri"/>
        </w:rPr>
        <w:t>2</w:t>
      </w:r>
      <w:r w:rsidR="0018273C">
        <w:rPr>
          <w:rFonts w:eastAsia="Calibri"/>
        </w:rPr>
        <w:t>1</w:t>
      </w:r>
      <w:r w:rsidRPr="00367710" w:rsidR="00367710">
        <w:rPr>
          <w:rFonts w:eastAsia="Calibri"/>
        </w:rPr>
        <w:t xml:space="preserve"> QP performance period, we estimate that </w:t>
      </w:r>
      <w:r w:rsidR="00B17F5E">
        <w:rPr>
          <w:rFonts w:eastAsia="Calibri"/>
        </w:rPr>
        <w:t>for the 202</w:t>
      </w:r>
      <w:r w:rsidR="00997181">
        <w:rPr>
          <w:rFonts w:eastAsia="Calibri"/>
        </w:rPr>
        <w:t>4</w:t>
      </w:r>
      <w:r w:rsidRPr="00367710" w:rsidR="00367710">
        <w:rPr>
          <w:rFonts w:eastAsia="Calibri"/>
        </w:rPr>
        <w:t xml:space="preserve"> QP performance period</w:t>
      </w:r>
      <w:r w:rsidR="00AF2F81">
        <w:rPr>
          <w:rFonts w:eastAsia="Calibri"/>
        </w:rPr>
        <w:t>,</w:t>
      </w:r>
      <w:r w:rsidRPr="00367710" w:rsidR="00367710">
        <w:rPr>
          <w:rFonts w:eastAsia="Calibri"/>
        </w:rPr>
        <w:t xml:space="preserve"> </w:t>
      </w:r>
      <w:r w:rsidR="00AF2F81">
        <w:rPr>
          <w:rFonts w:eastAsia="Calibri"/>
        </w:rPr>
        <w:t>15</w:t>
      </w:r>
      <w:r w:rsidRPr="00367710" w:rsidR="00367710">
        <w:rPr>
          <w:rFonts w:eastAsia="Calibri"/>
        </w:rPr>
        <w:t xml:space="preserve"> payer-initiated requests for Other Payer Advanced APM determinations will be submitted (</w:t>
      </w:r>
      <w:r w:rsidR="00500E9A">
        <w:rPr>
          <w:rFonts w:eastAsia="Calibri"/>
        </w:rPr>
        <w:t xml:space="preserve">6 </w:t>
      </w:r>
      <w:r w:rsidRPr="00367710" w:rsidR="00367710">
        <w:rPr>
          <w:rFonts w:eastAsia="Calibri"/>
        </w:rPr>
        <w:t xml:space="preserve">Medicaid payers, </w:t>
      </w:r>
      <w:r w:rsidR="00CC3608">
        <w:rPr>
          <w:rFonts w:eastAsia="Calibri"/>
        </w:rPr>
        <w:t>6</w:t>
      </w:r>
      <w:r w:rsidRPr="00367710" w:rsidR="00367710">
        <w:rPr>
          <w:rFonts w:eastAsia="Calibri"/>
        </w:rPr>
        <w:t xml:space="preserve"> Medicare Advantage Organizations, and </w:t>
      </w:r>
      <w:r w:rsidR="00CC3608">
        <w:rPr>
          <w:rFonts w:eastAsia="Calibri"/>
        </w:rPr>
        <w:t>3</w:t>
      </w:r>
      <w:r w:rsidRPr="00367710" w:rsidR="00367710">
        <w:rPr>
          <w:rFonts w:eastAsia="Calibri"/>
        </w:rPr>
        <w:t xml:space="preserve"> remaining other payers. </w:t>
      </w:r>
      <w:r w:rsidRPr="00F168AE" w:rsidR="00F168AE">
        <w:rPr>
          <w:rFonts w:eastAsia="Calibri"/>
        </w:rPr>
        <w:t>We estimate it would take 10 hours at $103.40/hr for a computer system analyst, resulting in a cost of $1,034 per submission.</w:t>
      </w:r>
      <w:r w:rsidRPr="00367710" w:rsidR="00367710">
        <w:rPr>
          <w:rFonts w:eastAsia="Calibri"/>
        </w:rPr>
        <w:t xml:space="preserve">  </w:t>
      </w:r>
      <w:r w:rsidR="005D2534">
        <w:rPr>
          <w:rFonts w:eastAsia="Calibri"/>
        </w:rPr>
        <w:t>In aggregate, w</w:t>
      </w:r>
      <w:r w:rsidRPr="00367710" w:rsidR="00367710">
        <w:rPr>
          <w:rFonts w:eastAsia="Calibri"/>
        </w:rPr>
        <w:t xml:space="preserve">e estimate an annual burden of </w:t>
      </w:r>
      <w:r w:rsidR="00702F4A">
        <w:rPr>
          <w:rFonts w:eastAsia="Calibri"/>
        </w:rPr>
        <w:t>150</w:t>
      </w:r>
      <w:r w:rsidRPr="00367710" w:rsidR="00367710">
        <w:rPr>
          <w:rFonts w:eastAsia="Calibri"/>
        </w:rPr>
        <w:t xml:space="preserve"> hours (</w:t>
      </w:r>
      <w:r w:rsidR="00485231">
        <w:rPr>
          <w:rFonts w:eastAsia="Calibri"/>
        </w:rPr>
        <w:t>15</w:t>
      </w:r>
      <w:r w:rsidRPr="00367710" w:rsidR="00367710">
        <w:rPr>
          <w:rFonts w:eastAsia="Calibri"/>
        </w:rPr>
        <w:t xml:space="preserve"> submissions x 10 hr/submission) and $</w:t>
      </w:r>
      <w:r w:rsidR="00860598">
        <w:rPr>
          <w:rFonts w:eastAsia="Calibri"/>
        </w:rPr>
        <w:t>1</w:t>
      </w:r>
      <w:r w:rsidR="00F15CE7">
        <w:rPr>
          <w:rFonts w:eastAsia="Calibri"/>
        </w:rPr>
        <w:t>5,510</w:t>
      </w:r>
      <w:r w:rsidRPr="00367710" w:rsidR="00367710">
        <w:rPr>
          <w:rFonts w:eastAsia="Calibri"/>
        </w:rPr>
        <w:t xml:space="preserve"> (</w:t>
      </w:r>
      <w:r w:rsidR="000B400C">
        <w:rPr>
          <w:rFonts w:eastAsia="Calibri"/>
        </w:rPr>
        <w:t>15</w:t>
      </w:r>
      <w:r w:rsidR="00F15CE7">
        <w:rPr>
          <w:rFonts w:eastAsia="Calibri"/>
        </w:rPr>
        <w:t xml:space="preserve"> submissions</w:t>
      </w:r>
      <w:r w:rsidRPr="00367710" w:rsidR="00367710">
        <w:rPr>
          <w:rFonts w:eastAsia="Calibri"/>
        </w:rPr>
        <w:t xml:space="preserve"> x $</w:t>
      </w:r>
      <w:r w:rsidR="00F15CE7">
        <w:rPr>
          <w:rFonts w:eastAsia="Calibri"/>
        </w:rPr>
        <w:t>1,034</w:t>
      </w:r>
      <w:r w:rsidRPr="00367710" w:rsidR="00367710">
        <w:rPr>
          <w:rFonts w:eastAsia="Calibri"/>
        </w:rPr>
        <w:t>/</w:t>
      </w:r>
      <w:r w:rsidR="00F15CE7">
        <w:rPr>
          <w:rFonts w:eastAsia="Calibri"/>
        </w:rPr>
        <w:t>submission</w:t>
      </w:r>
      <w:r w:rsidRPr="00367710" w:rsidR="00367710">
        <w:rPr>
          <w:rFonts w:eastAsia="Calibri"/>
        </w:rPr>
        <w:t>)</w:t>
      </w:r>
      <w:r w:rsidR="005D2534">
        <w:rPr>
          <w:rFonts w:eastAsia="Calibri"/>
        </w:rPr>
        <w:t xml:space="preserve"> for the CY 202</w:t>
      </w:r>
      <w:r w:rsidR="00F15CE7">
        <w:rPr>
          <w:rFonts w:eastAsia="Calibri"/>
        </w:rPr>
        <w:t>4</w:t>
      </w:r>
      <w:r w:rsidR="005D2534">
        <w:rPr>
          <w:rFonts w:eastAsia="Calibri"/>
        </w:rPr>
        <w:t xml:space="preserve"> performance period/202</w:t>
      </w:r>
      <w:r w:rsidR="00F15CE7">
        <w:rPr>
          <w:rFonts w:eastAsia="Calibri"/>
        </w:rPr>
        <w:t xml:space="preserve">6 </w:t>
      </w:r>
      <w:r w:rsidR="005D2534">
        <w:rPr>
          <w:rFonts w:eastAsia="Calibri"/>
        </w:rPr>
        <w:t>MIPS payment year</w:t>
      </w:r>
      <w:r w:rsidRPr="00092667" w:rsidR="00092667">
        <w:rPr>
          <w:rFonts w:eastAsia="Calibri"/>
        </w:rPr>
        <w:t>.</w:t>
      </w:r>
    </w:p>
    <w:p w:rsidR="0088351C" w:rsidRPr="00FA44B2" w:rsidP="00130C05" w14:paraId="3F33F031" w14:textId="15927D9F">
      <w:pPr>
        <w:keepNext/>
        <w:keepLines/>
        <w:spacing w:after="0"/>
        <w:jc w:val="center"/>
        <w:rPr>
          <w:b/>
          <w:bCs/>
        </w:rPr>
      </w:pPr>
      <w:bookmarkStart w:id="10" w:name="_Hlk495401649"/>
      <w:r w:rsidRPr="00FA44B2">
        <w:rPr>
          <w:b/>
          <w:bCs/>
        </w:rPr>
        <w:t xml:space="preserve">TABLE </w:t>
      </w:r>
      <w:r w:rsidRPr="00FA44B2" w:rsidR="00D04CE7">
        <w:rPr>
          <w:b/>
          <w:bCs/>
        </w:rPr>
        <w:t>2</w:t>
      </w:r>
      <w:r w:rsidR="00997181">
        <w:rPr>
          <w:b/>
          <w:bCs/>
        </w:rPr>
        <w:t>5</w:t>
      </w:r>
      <w:r w:rsidRPr="00FA44B2">
        <w:rPr>
          <w:b/>
          <w:bCs/>
        </w:rPr>
        <w:t xml:space="preserve">: </w:t>
      </w:r>
      <w:r w:rsidRPr="00FA44B2" w:rsidR="00E117F8">
        <w:rPr>
          <w:b/>
          <w:bCs/>
        </w:rPr>
        <w:t xml:space="preserve">Estimated </w:t>
      </w:r>
      <w:r w:rsidRPr="00FA44B2">
        <w:rPr>
          <w:b/>
          <w:bCs/>
        </w:rPr>
        <w:t>Burden for Other Payer Advanced APM Identification Determinations: Payer-Initiated Process</w:t>
      </w:r>
      <w:bookmarkEnd w:id="10"/>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4"/>
        <w:gridCol w:w="2216"/>
      </w:tblGrid>
      <w:tr w14:paraId="3E8FE68D" w14:textId="77777777" w:rsidTr="00A639D4">
        <w:tblPrEx>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2"/>
        </w:trPr>
        <w:tc>
          <w:tcPr>
            <w:tcW w:w="7314" w:type="dxa"/>
            <w:shd w:val="clear" w:color="auto" w:fill="auto"/>
            <w:vAlign w:val="center"/>
            <w:hideMark/>
          </w:tcPr>
          <w:p w:rsidR="0088351C" w:rsidRPr="0088351C" w:rsidP="00A639D4"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0088351C" w:rsidRPr="00663B38" w:rsidP="00A639D4" w14:paraId="798D58AD" w14:textId="77777777">
            <w:pPr>
              <w:keepNext/>
              <w:spacing w:after="0"/>
              <w:rPr>
                <w:b/>
                <w:sz w:val="20"/>
                <w:szCs w:val="20"/>
              </w:rPr>
            </w:pPr>
            <w:r w:rsidRPr="00663B38">
              <w:rPr>
                <w:b/>
                <w:sz w:val="20"/>
                <w:szCs w:val="20"/>
              </w:rPr>
              <w:t>Burden Estimate</w:t>
            </w:r>
          </w:p>
        </w:tc>
      </w:tr>
      <w:tr w14:paraId="0FE28ACE" w14:textId="77777777" w:rsidTr="0053664A">
        <w:tblPrEx>
          <w:tblW w:w="9530" w:type="dxa"/>
          <w:tblLook w:val="04A0"/>
        </w:tblPrEx>
        <w:trPr>
          <w:trHeight w:val="467"/>
        </w:trPr>
        <w:tc>
          <w:tcPr>
            <w:tcW w:w="7314" w:type="dxa"/>
            <w:shd w:val="clear" w:color="auto" w:fill="auto"/>
            <w:hideMark/>
          </w:tcPr>
          <w:p w:rsidR="007126F1" w:rsidRPr="00663B38" w:rsidP="007126F1" w14:paraId="318C72E2" w14:textId="4FA37E46">
            <w:pPr>
              <w:keepNext/>
              <w:spacing w:after="0"/>
              <w:rPr>
                <w:sz w:val="20"/>
                <w:szCs w:val="20"/>
              </w:rPr>
            </w:pPr>
            <w:r w:rsidRPr="00732012">
              <w:rPr>
                <w:sz w:val="20"/>
                <w:szCs w:val="20"/>
              </w:rPr>
              <w:t># of other payer payment arrangements (</w:t>
            </w:r>
            <w:r w:rsidR="00EC4741">
              <w:rPr>
                <w:sz w:val="20"/>
                <w:szCs w:val="20"/>
              </w:rPr>
              <w:t>6</w:t>
            </w:r>
            <w:r w:rsidRPr="00732012">
              <w:rPr>
                <w:sz w:val="20"/>
                <w:szCs w:val="20"/>
              </w:rPr>
              <w:t xml:space="preserve"> Medicaid, </w:t>
            </w:r>
            <w:r w:rsidR="00EC4741">
              <w:rPr>
                <w:sz w:val="20"/>
                <w:szCs w:val="20"/>
              </w:rPr>
              <w:t>6</w:t>
            </w:r>
            <w:r w:rsidRPr="00732012">
              <w:rPr>
                <w:sz w:val="20"/>
                <w:szCs w:val="20"/>
              </w:rPr>
              <w:t xml:space="preserve"> Medicare Advantage Organization</w:t>
            </w:r>
            <w:r>
              <w:rPr>
                <w:sz w:val="20"/>
                <w:szCs w:val="20"/>
              </w:rPr>
              <w:t xml:space="preserve">s, </w:t>
            </w:r>
            <w:r w:rsidR="00EC4741">
              <w:rPr>
                <w:sz w:val="20"/>
                <w:szCs w:val="20"/>
              </w:rPr>
              <w:t>3</w:t>
            </w:r>
            <w:r w:rsidRPr="00732012">
              <w:rPr>
                <w:sz w:val="20"/>
                <w:szCs w:val="20"/>
              </w:rPr>
              <w:t xml:space="preserve"> </w:t>
            </w:r>
            <w:r>
              <w:rPr>
                <w:sz w:val="20"/>
                <w:szCs w:val="20"/>
              </w:rPr>
              <w:t xml:space="preserve">remaining other </w:t>
            </w:r>
            <w:r w:rsidRPr="00732012">
              <w:rPr>
                <w:sz w:val="20"/>
                <w:szCs w:val="20"/>
              </w:rPr>
              <w:t>payers) (a)</w:t>
            </w:r>
          </w:p>
        </w:tc>
        <w:tc>
          <w:tcPr>
            <w:tcW w:w="2216" w:type="dxa"/>
            <w:shd w:val="clear" w:color="auto" w:fill="auto"/>
            <w:vAlign w:val="center"/>
            <w:hideMark/>
          </w:tcPr>
          <w:p w:rsidR="007126F1" w:rsidRPr="00663B38" w:rsidP="007126F1" w14:paraId="742022C3" w14:textId="36662347">
            <w:pPr>
              <w:keepNext/>
              <w:spacing w:after="0"/>
              <w:rPr>
                <w:sz w:val="20"/>
                <w:szCs w:val="20"/>
              </w:rPr>
            </w:pPr>
            <w:r>
              <w:rPr>
                <w:sz w:val="20"/>
                <w:szCs w:val="20"/>
              </w:rPr>
              <w:t xml:space="preserve">                                 </w:t>
            </w:r>
            <w:r w:rsidR="00FF466F">
              <w:rPr>
                <w:sz w:val="20"/>
                <w:szCs w:val="20"/>
              </w:rPr>
              <w:t>15</w:t>
            </w:r>
          </w:p>
        </w:tc>
      </w:tr>
      <w:tr w14:paraId="6207A667" w14:textId="77777777" w:rsidTr="00390730">
        <w:tblPrEx>
          <w:tblW w:w="9530" w:type="dxa"/>
          <w:tblLook w:val="04A0"/>
        </w:tblPrEx>
        <w:trPr>
          <w:trHeight w:val="324"/>
        </w:trPr>
        <w:tc>
          <w:tcPr>
            <w:tcW w:w="7314" w:type="dxa"/>
            <w:shd w:val="clear" w:color="auto" w:fill="auto"/>
            <w:hideMark/>
          </w:tcPr>
          <w:p w:rsidR="007126F1" w:rsidRPr="00663B38" w:rsidP="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007126F1" w:rsidRPr="00663B38" w:rsidP="007126F1" w14:paraId="1F3F7F69" w14:textId="4381D108">
            <w:pPr>
              <w:keepNext/>
              <w:spacing w:after="0"/>
              <w:rPr>
                <w:sz w:val="20"/>
                <w:szCs w:val="20"/>
              </w:rPr>
            </w:pPr>
            <w:r>
              <w:rPr>
                <w:rFonts w:eastAsia="Calibri"/>
                <w:sz w:val="20"/>
                <w:szCs w:val="20"/>
              </w:rPr>
              <w:t xml:space="preserve">                                 </w:t>
            </w:r>
            <w:r w:rsidRPr="003428D4">
              <w:rPr>
                <w:rFonts w:eastAsia="Calibri"/>
                <w:sz w:val="20"/>
                <w:szCs w:val="20"/>
              </w:rPr>
              <w:t>10</w:t>
            </w:r>
          </w:p>
        </w:tc>
      </w:tr>
      <w:tr w14:paraId="7DD61484" w14:textId="77777777" w:rsidTr="003D29BA">
        <w:tblPrEx>
          <w:tblW w:w="9530" w:type="dxa"/>
          <w:tblLook w:val="04A0"/>
        </w:tblPrEx>
        <w:trPr>
          <w:trHeight w:val="278"/>
        </w:trPr>
        <w:tc>
          <w:tcPr>
            <w:tcW w:w="7314" w:type="dxa"/>
            <w:shd w:val="clear" w:color="auto" w:fill="E7E6E6" w:themeFill="background2"/>
            <w:hideMark/>
          </w:tcPr>
          <w:p w:rsidR="007126F1" w:rsidRPr="00AA3126" w:rsidP="007126F1" w14:paraId="5A8798CB" w14:textId="45BAF453">
            <w:pPr>
              <w:keepNext/>
              <w:spacing w:after="0"/>
              <w:rPr>
                <w:b/>
                <w:sz w:val="20"/>
                <w:szCs w:val="20"/>
              </w:rPr>
            </w:pPr>
            <w:r w:rsidRPr="00AA3126">
              <w:rPr>
                <w:b/>
                <w:sz w:val="20"/>
                <w:szCs w:val="20"/>
              </w:rPr>
              <w:t>Total Annual Hours (c) = (a)</w:t>
            </w:r>
            <w:r w:rsidR="00D96441">
              <w:rPr>
                <w:b/>
                <w:sz w:val="20"/>
                <w:szCs w:val="20"/>
              </w:rPr>
              <w:t xml:space="preserve"> </w:t>
            </w:r>
            <w:r w:rsidR="00DA7E46">
              <w:rPr>
                <w:b/>
                <w:sz w:val="20"/>
                <w:szCs w:val="20"/>
              </w:rPr>
              <w:t>[</w:t>
            </w:r>
            <w:r w:rsidRPr="00533688" w:rsidR="00533688">
              <w:rPr>
                <w:b/>
                <w:sz w:val="20"/>
                <w:szCs w:val="20"/>
              </w:rPr>
              <w:t>x</w:t>
            </w:r>
            <w:r w:rsidR="00DA7E46">
              <w:rPr>
                <w:b/>
                <w:sz w:val="20"/>
                <w:szCs w:val="20"/>
              </w:rPr>
              <w:t>]</w:t>
            </w:r>
            <w:r w:rsidRPr="00533688" w:rsidR="00533688">
              <w:rPr>
                <w:b/>
                <w:sz w:val="20"/>
                <w:szCs w:val="20"/>
              </w:rPr>
              <w:t xml:space="preserve"> </w:t>
            </w:r>
            <w:r w:rsidRPr="00AA3126">
              <w:rPr>
                <w:b/>
                <w:sz w:val="20"/>
                <w:szCs w:val="20"/>
              </w:rPr>
              <w:t>(b)</w:t>
            </w:r>
          </w:p>
        </w:tc>
        <w:tc>
          <w:tcPr>
            <w:tcW w:w="2216" w:type="dxa"/>
            <w:shd w:val="clear" w:color="auto" w:fill="E7E6E6" w:themeFill="background2"/>
            <w:vAlign w:val="center"/>
            <w:hideMark/>
          </w:tcPr>
          <w:p w:rsidR="007126F1" w:rsidRPr="00AA3126" w:rsidP="007126F1" w14:paraId="1EFD7DF6" w14:textId="58DFD4E4">
            <w:pPr>
              <w:keepNext/>
              <w:spacing w:after="0"/>
              <w:rPr>
                <w:b/>
                <w:sz w:val="20"/>
                <w:szCs w:val="20"/>
              </w:rPr>
            </w:pPr>
            <w:r>
              <w:rPr>
                <w:b/>
                <w:sz w:val="20"/>
                <w:szCs w:val="20"/>
              </w:rPr>
              <w:t xml:space="preserve">                               </w:t>
            </w:r>
            <w:r w:rsidR="00B01E91">
              <w:rPr>
                <w:b/>
                <w:sz w:val="20"/>
                <w:szCs w:val="20"/>
              </w:rPr>
              <w:t>150</w:t>
            </w:r>
          </w:p>
        </w:tc>
      </w:tr>
      <w:tr w14:paraId="19B924BF" w14:textId="77777777" w:rsidTr="00390730">
        <w:tblPrEx>
          <w:tblW w:w="9530" w:type="dxa"/>
          <w:tblLook w:val="04A0"/>
        </w:tblPrEx>
        <w:trPr>
          <w:trHeight w:val="260"/>
        </w:trPr>
        <w:tc>
          <w:tcPr>
            <w:tcW w:w="7314" w:type="dxa"/>
            <w:shd w:val="clear" w:color="auto" w:fill="auto"/>
            <w:hideMark/>
          </w:tcPr>
          <w:p w:rsidR="00997181" w:rsidRPr="00663B38" w:rsidP="00997181" w14:paraId="18DDF71A" w14:textId="306E5AFA">
            <w:pPr>
              <w:keepNext/>
              <w:spacing w:after="0"/>
              <w:rPr>
                <w:sz w:val="20"/>
                <w:szCs w:val="20"/>
              </w:rPr>
            </w:pPr>
            <w:r>
              <w:rPr>
                <w:sz w:val="20"/>
                <w:szCs w:val="20"/>
              </w:rPr>
              <w:t xml:space="preserve">Ost per Respondent at Labor rate for computer systems analyst @ $103.40/hr </w:t>
            </w:r>
            <w:r w:rsidRPr="00732012">
              <w:rPr>
                <w:sz w:val="20"/>
                <w:szCs w:val="20"/>
              </w:rPr>
              <w:t>(</w:t>
            </w:r>
            <w:r>
              <w:rPr>
                <w:sz w:val="20"/>
                <w:szCs w:val="20"/>
              </w:rPr>
              <w:t>d</w:t>
            </w:r>
            <w:r w:rsidRPr="00732012">
              <w:rPr>
                <w:sz w:val="20"/>
                <w:szCs w:val="20"/>
              </w:rPr>
              <w:t>)</w:t>
            </w:r>
            <w:r>
              <w:rPr>
                <w:sz w:val="20"/>
                <w:szCs w:val="20"/>
              </w:rPr>
              <w:t xml:space="preserve"> = (b) [x] $103.40/hr</w:t>
            </w:r>
          </w:p>
        </w:tc>
        <w:tc>
          <w:tcPr>
            <w:tcW w:w="2216" w:type="dxa"/>
            <w:shd w:val="clear" w:color="auto" w:fill="auto"/>
            <w:vAlign w:val="center"/>
            <w:hideMark/>
          </w:tcPr>
          <w:p w:rsidR="00997181" w:rsidRPr="00663B38" w:rsidP="00997181" w14:paraId="165D70B2" w14:textId="6C70DCF0">
            <w:pPr>
              <w:keepNext/>
              <w:spacing w:after="0"/>
              <w:rPr>
                <w:sz w:val="20"/>
                <w:szCs w:val="20"/>
              </w:rPr>
            </w:pPr>
            <w:r>
              <w:rPr>
                <w:sz w:val="20"/>
                <w:szCs w:val="20"/>
              </w:rPr>
              <w:t xml:space="preserve">                           </w:t>
            </w:r>
            <w:r w:rsidRPr="00732012">
              <w:rPr>
                <w:sz w:val="20"/>
                <w:szCs w:val="20"/>
              </w:rPr>
              <w:t>$</w:t>
            </w:r>
            <w:r w:rsidR="000C2819">
              <w:rPr>
                <w:sz w:val="20"/>
                <w:szCs w:val="20"/>
              </w:rPr>
              <w:t>1,034</w:t>
            </w:r>
          </w:p>
        </w:tc>
      </w:tr>
      <w:tr w14:paraId="740CD410" w14:textId="77777777" w:rsidTr="003D29BA">
        <w:tblPrEx>
          <w:tblW w:w="9530" w:type="dxa"/>
          <w:tblLook w:val="04A0"/>
        </w:tblPrEx>
        <w:trPr>
          <w:trHeight w:val="260"/>
        </w:trPr>
        <w:tc>
          <w:tcPr>
            <w:tcW w:w="7314" w:type="dxa"/>
            <w:shd w:val="clear" w:color="auto" w:fill="E7E6E6" w:themeFill="background2"/>
            <w:hideMark/>
          </w:tcPr>
          <w:p w:rsidR="007126F1" w:rsidRPr="00AA3126" w:rsidP="007126F1" w14:paraId="6EC3832F" w14:textId="40D8C8CA">
            <w:pPr>
              <w:keepNext/>
              <w:spacing w:after="0"/>
              <w:rPr>
                <w:b/>
                <w:sz w:val="20"/>
                <w:szCs w:val="20"/>
              </w:rPr>
            </w:pPr>
            <w:r w:rsidRPr="00AA3126">
              <w:rPr>
                <w:b/>
                <w:sz w:val="20"/>
                <w:szCs w:val="20"/>
              </w:rPr>
              <w:t>Total Annual Cost (e) = (</w:t>
            </w:r>
            <w:r w:rsidR="00997181">
              <w:rPr>
                <w:b/>
                <w:sz w:val="20"/>
                <w:szCs w:val="20"/>
              </w:rPr>
              <w:t>a</w:t>
            </w:r>
            <w:r w:rsidRPr="00AA3126">
              <w:rPr>
                <w:b/>
                <w:sz w:val="20"/>
                <w:szCs w:val="20"/>
              </w:rPr>
              <w:t>)</w:t>
            </w:r>
            <w:r w:rsidRPr="00533688" w:rsidR="00533688">
              <w:rPr>
                <w:b/>
                <w:sz w:val="20"/>
                <w:szCs w:val="20"/>
              </w:rPr>
              <w:t xml:space="preserve"> </w:t>
            </w:r>
            <w:r w:rsidR="00DA7E46">
              <w:rPr>
                <w:b/>
                <w:sz w:val="20"/>
                <w:szCs w:val="20"/>
              </w:rPr>
              <w:t>[</w:t>
            </w:r>
            <w:r w:rsidRPr="00533688" w:rsidR="00533688">
              <w:rPr>
                <w:b/>
                <w:sz w:val="20"/>
                <w:szCs w:val="20"/>
              </w:rPr>
              <w:t>x</w:t>
            </w:r>
            <w:r w:rsidR="00DA7E46">
              <w:rPr>
                <w:b/>
                <w:sz w:val="20"/>
                <w:szCs w:val="20"/>
              </w:rPr>
              <w:t>]</w:t>
            </w:r>
            <w:r w:rsidRPr="00AA3126" w:rsidR="00533688">
              <w:rPr>
                <w:b/>
                <w:sz w:val="20"/>
                <w:szCs w:val="20"/>
              </w:rPr>
              <w:t xml:space="preserve"> </w:t>
            </w:r>
            <w:r w:rsidRPr="00AA3126">
              <w:rPr>
                <w:b/>
                <w:sz w:val="20"/>
                <w:szCs w:val="20"/>
              </w:rPr>
              <w:t>(d)</w:t>
            </w:r>
          </w:p>
        </w:tc>
        <w:tc>
          <w:tcPr>
            <w:tcW w:w="2216" w:type="dxa"/>
            <w:shd w:val="clear" w:color="auto" w:fill="E7E6E6" w:themeFill="background2"/>
            <w:vAlign w:val="center"/>
            <w:hideMark/>
          </w:tcPr>
          <w:p w:rsidR="007126F1" w:rsidRPr="00AA3126" w:rsidP="007126F1" w14:paraId="5D8C8D12" w14:textId="0FF71335">
            <w:pPr>
              <w:keepNext/>
              <w:spacing w:after="0"/>
              <w:rPr>
                <w:b/>
                <w:sz w:val="20"/>
                <w:szCs w:val="20"/>
              </w:rPr>
            </w:pPr>
            <w:r>
              <w:rPr>
                <w:rFonts w:eastAsia="Calibri"/>
                <w:b/>
                <w:sz w:val="20"/>
                <w:szCs w:val="20"/>
              </w:rPr>
              <w:t xml:space="preserve">                          </w:t>
            </w:r>
            <w:r w:rsidRPr="00AA3126">
              <w:rPr>
                <w:rFonts w:eastAsia="Calibri"/>
                <w:b/>
                <w:sz w:val="20"/>
                <w:szCs w:val="20"/>
              </w:rPr>
              <w:t>$</w:t>
            </w:r>
            <w:r w:rsidR="00CA78B7">
              <w:rPr>
                <w:rFonts w:eastAsia="Calibri"/>
                <w:b/>
                <w:sz w:val="20"/>
                <w:szCs w:val="20"/>
              </w:rPr>
              <w:t>1</w:t>
            </w:r>
            <w:r w:rsidR="000C2819">
              <w:rPr>
                <w:rFonts w:eastAsia="Calibri"/>
                <w:b/>
                <w:sz w:val="20"/>
                <w:szCs w:val="20"/>
              </w:rPr>
              <w:t>5,510</w:t>
            </w:r>
          </w:p>
        </w:tc>
      </w:tr>
    </w:tbl>
    <w:p w:rsidR="0088351C" w:rsidP="0088351C" w14:paraId="2F044285" w14:textId="3AF9FB1F"/>
    <w:p w:rsidR="0088351C" w:rsidRPr="004330C9" w:rsidP="0011028A" w14:paraId="2A368AB5" w14:textId="07576E2A">
      <w:pPr>
        <w:pStyle w:val="Heading4"/>
        <w:numPr>
          <w:ilvl w:val="0"/>
          <w:numId w:val="0"/>
        </w:numPr>
        <w:ind w:left="2880"/>
      </w:pPr>
      <w:r>
        <w:t xml:space="preserve">ii.   </w:t>
      </w:r>
      <w:r w:rsidRPr="00041A6A">
        <w:t>Eligible Clinician</w:t>
      </w:r>
      <w:r w:rsidRPr="00B41D6E" w:rsidR="00AA242F">
        <w:t xml:space="preserve"> </w:t>
      </w:r>
      <w:r w:rsidRPr="00B41D6E">
        <w:t>Initiated Process</w:t>
      </w:r>
    </w:p>
    <w:p w:rsidR="007126F1" w:rsidP="00721EBD" w14:paraId="1EA7BE52" w14:textId="1E3C59A1">
      <w:pPr>
        <w:keepNext/>
        <w:keepLines/>
        <w:rPr>
          <w:rFonts w:eastAsia="Calibri"/>
        </w:rPr>
      </w:pPr>
      <w:r>
        <w:rPr>
          <w:rFonts w:eastAsia="Calibri"/>
        </w:rPr>
        <w:t>U</w:t>
      </w:r>
      <w:r w:rsidRPr="003428D4">
        <w:rPr>
          <w:rFonts w:eastAsia="Calibri"/>
        </w:rPr>
        <w:t>nder the Eligible Clinician Initiated Process, APM Entities and eligible clinicians participating in other payer arrangement</w:t>
      </w:r>
      <w:r w:rsidRPr="00F1123B">
        <w:rPr>
          <w:rFonts w:eastAsia="Calibri"/>
        </w:rPr>
        <w:t>s have</w:t>
      </w:r>
      <w:r w:rsidRPr="003428D4">
        <w:rPr>
          <w:rFonts w:eastAsia="Calibri"/>
        </w:rPr>
        <w:t xml:space="preserve"> an opportunity to request that we determine for the year whether those other payer arrangements are Other Payer Advanced APMs.  Eligible clinicians or APM Entities seeking </w:t>
      </w:r>
      <w:r>
        <w:rPr>
          <w:rFonts w:eastAsia="Calibri"/>
        </w:rPr>
        <w:t xml:space="preserve">to </w:t>
      </w:r>
      <w:r w:rsidRPr="003428D4">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Pr>
          <w:rFonts w:eastAsia="Calibri"/>
        </w:rPr>
        <w:t>.</w:t>
      </w:r>
      <w:r w:rsidRPr="003428D4">
        <w:rPr>
          <w:rFonts w:eastAsia="Calibri"/>
        </w:rPr>
        <w:t xml:space="preserve">  </w:t>
      </w:r>
    </w:p>
    <w:p w:rsidR="00A40E72" w:rsidRPr="0088351C" w:rsidP="00E12B53" w14:paraId="40489B06" w14:textId="5AA193B0">
      <w:r>
        <w:t xml:space="preserve">As shown in Table </w:t>
      </w:r>
      <w:r w:rsidR="00DF22D4">
        <w:t>2</w:t>
      </w:r>
      <w:r w:rsidR="00D20B9D">
        <w:t>6</w:t>
      </w:r>
      <w:r w:rsidR="0088351C">
        <w:t>, we estimate 15 other payer arrangements will be submitted by APM Entities and eligible Other Payer Advanced APM determinations</w:t>
      </w:r>
      <w:r w:rsidR="00F03714">
        <w:t xml:space="preserve"> in the CY 202</w:t>
      </w:r>
      <w:r w:rsidR="00D20B9D">
        <w:t>4</w:t>
      </w:r>
      <w:r w:rsidR="00F03714">
        <w:t xml:space="preserve"> performance period/202</w:t>
      </w:r>
      <w:r w:rsidR="00D20B9D">
        <w:t>6</w:t>
      </w:r>
      <w:r w:rsidR="003A0575">
        <w:t xml:space="preserve"> MIPS</w:t>
      </w:r>
      <w:r w:rsidR="00F03714">
        <w:t xml:space="preserve"> payment year</w:t>
      </w:r>
      <w:r w:rsidR="0088351C">
        <w:t>. We estimate it would take 10 hours at $</w:t>
      </w:r>
      <w:r w:rsidR="00D20B9D">
        <w:t>103.40</w:t>
      </w:r>
      <w:r w:rsidR="0088351C">
        <w:t>/hr for a computer system analyst</w:t>
      </w:r>
      <w:r w:rsidR="00D20B9D">
        <w:t>, resulting in a cost of $1,034</w:t>
      </w:r>
      <w:r w:rsidR="0088351C">
        <w:t xml:space="preserve"> p</w:t>
      </w:r>
      <w:r w:rsidR="00D20B9D">
        <w:t xml:space="preserve">er </w:t>
      </w:r>
      <w:r w:rsidR="0088351C">
        <w:t>submission. In aggregate</w:t>
      </w:r>
      <w:r w:rsidR="003F7953">
        <w:t>,</w:t>
      </w:r>
      <w:r w:rsidR="0088351C">
        <w:t xml:space="preserve"> we estimate an annual burden of 1</w:t>
      </w:r>
      <w:r w:rsidR="00E95FC1">
        <w:t>50</w:t>
      </w:r>
      <w:r w:rsidR="0088351C">
        <w:t xml:space="preserve"> hours (15</w:t>
      </w:r>
      <w:r w:rsidR="00E95FC1">
        <w:t xml:space="preserve"> </w:t>
      </w:r>
      <w:r w:rsidR="0088351C">
        <w:t xml:space="preserve">submissions x 10 hr/submission) at a cost of </w:t>
      </w:r>
      <w:r w:rsidRPr="00A40E72">
        <w:t>$15,510 (15 submissions x $1,034/submission) for the CY 2024 performance period/2026 MIPS payment year.</w:t>
      </w:r>
    </w:p>
    <w:p w:rsidR="0088351C" w:rsidRPr="00C47150" w:rsidP="003D29BA" w14:paraId="00719259" w14:textId="299507C1">
      <w:pPr>
        <w:keepNext/>
        <w:keepLines/>
        <w:spacing w:after="0"/>
        <w:jc w:val="center"/>
        <w:rPr>
          <w:b/>
          <w:bCs/>
        </w:rPr>
      </w:pPr>
      <w:bookmarkStart w:id="11" w:name="_Hlk495401670"/>
      <w:r w:rsidRPr="00C47150">
        <w:rPr>
          <w:b/>
          <w:bCs/>
        </w:rPr>
        <w:t>TABLE</w:t>
      </w:r>
      <w:r w:rsidR="00255DE8">
        <w:rPr>
          <w:b/>
          <w:bCs/>
        </w:rPr>
        <w:t xml:space="preserve"> </w:t>
      </w:r>
      <w:r w:rsidR="00D04CE7">
        <w:rPr>
          <w:b/>
          <w:bCs/>
        </w:rPr>
        <w:t>2</w:t>
      </w:r>
      <w:r w:rsidR="00255DE8">
        <w:rPr>
          <w:b/>
          <w:bCs/>
        </w:rPr>
        <w:t>6</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r w:rsidR="00A7669E">
        <w:rPr>
          <w:b/>
          <w:bCs/>
        </w:rPr>
        <w:t xml:space="preserve"> </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5"/>
        <w:gridCol w:w="1525"/>
      </w:tblGrid>
      <w:tr w14:paraId="7476D4D3" w14:textId="77777777" w:rsidTr="00573EB4">
        <w:tblPrEx>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2"/>
        </w:trPr>
        <w:tc>
          <w:tcPr>
            <w:tcW w:w="8005" w:type="dxa"/>
            <w:shd w:val="clear" w:color="auto" w:fill="auto"/>
            <w:vAlign w:val="center"/>
            <w:hideMark/>
          </w:tcPr>
          <w:bookmarkEnd w:id="11"/>
          <w:p w:rsidR="0088351C" w:rsidRPr="0047482B" w:rsidP="00A639D4" w14:paraId="2008153C" w14:textId="38145DC0">
            <w:pPr>
              <w:spacing w:after="0"/>
              <w:rPr>
                <w:sz w:val="20"/>
                <w:szCs w:val="20"/>
              </w:rPr>
            </w:pPr>
            <w:r w:rsidRPr="00B05B18">
              <w:rPr>
                <w:b/>
                <w:sz w:val="20"/>
                <w:szCs w:val="20"/>
              </w:rPr>
              <w:t>Burden and Respondent Descriptions</w:t>
            </w:r>
          </w:p>
        </w:tc>
        <w:tc>
          <w:tcPr>
            <w:tcW w:w="1525" w:type="dxa"/>
            <w:shd w:val="clear" w:color="auto" w:fill="auto"/>
            <w:vAlign w:val="center"/>
            <w:hideMark/>
          </w:tcPr>
          <w:p w:rsidR="0088351C" w:rsidRPr="0047482B" w:rsidP="00A639D4" w14:paraId="71235B6A" w14:textId="77777777">
            <w:pPr>
              <w:spacing w:after="0"/>
              <w:rPr>
                <w:b/>
                <w:sz w:val="20"/>
                <w:szCs w:val="20"/>
              </w:rPr>
            </w:pPr>
            <w:r w:rsidRPr="0047482B">
              <w:rPr>
                <w:b/>
                <w:sz w:val="20"/>
                <w:szCs w:val="20"/>
              </w:rPr>
              <w:t>Burden Estimate</w:t>
            </w:r>
          </w:p>
        </w:tc>
      </w:tr>
      <w:tr w14:paraId="4A1372CE" w14:textId="77777777" w:rsidTr="00573EB4">
        <w:tblPrEx>
          <w:tblW w:w="9530" w:type="dxa"/>
          <w:tblLook w:val="04A0"/>
        </w:tblPrEx>
        <w:trPr>
          <w:trHeight w:val="323"/>
        </w:trPr>
        <w:tc>
          <w:tcPr>
            <w:tcW w:w="8005" w:type="dxa"/>
            <w:shd w:val="clear" w:color="auto" w:fill="auto"/>
            <w:hideMark/>
          </w:tcPr>
          <w:p w:rsidR="0088351C" w:rsidRPr="0047482B" w:rsidP="00A639D4"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0088351C" w:rsidRPr="0047482B" w:rsidP="00A639D4" w14:paraId="6D6EADEE" w14:textId="24ACB26D">
            <w:pPr>
              <w:spacing w:after="0"/>
              <w:rPr>
                <w:sz w:val="20"/>
                <w:szCs w:val="20"/>
              </w:rPr>
            </w:pPr>
            <w:r>
              <w:rPr>
                <w:sz w:val="20"/>
                <w:szCs w:val="20"/>
              </w:rPr>
              <w:t xml:space="preserve">                    </w:t>
            </w:r>
            <w:r w:rsidRPr="00D950B2">
              <w:rPr>
                <w:sz w:val="20"/>
                <w:szCs w:val="20"/>
              </w:rPr>
              <w:t>15</w:t>
            </w:r>
          </w:p>
        </w:tc>
      </w:tr>
      <w:tr w14:paraId="7B03F413" w14:textId="77777777" w:rsidTr="00573EB4">
        <w:tblPrEx>
          <w:tblW w:w="9530" w:type="dxa"/>
          <w:tblLook w:val="04A0"/>
        </w:tblPrEx>
        <w:trPr>
          <w:trHeight w:val="324"/>
        </w:trPr>
        <w:tc>
          <w:tcPr>
            <w:tcW w:w="8005" w:type="dxa"/>
            <w:shd w:val="clear" w:color="auto" w:fill="auto"/>
            <w:hideMark/>
          </w:tcPr>
          <w:p w:rsidR="0088351C" w:rsidRPr="0047482B" w:rsidP="00A639D4"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0088351C" w:rsidRPr="0047482B" w:rsidP="00A639D4" w14:paraId="09541DB2" w14:textId="3771D55E">
            <w:pPr>
              <w:spacing w:after="0"/>
              <w:rPr>
                <w:sz w:val="20"/>
                <w:szCs w:val="20"/>
              </w:rPr>
            </w:pPr>
            <w:r>
              <w:rPr>
                <w:sz w:val="20"/>
                <w:szCs w:val="20"/>
              </w:rPr>
              <w:t xml:space="preserve">                    </w:t>
            </w:r>
            <w:r w:rsidRPr="00732012">
              <w:rPr>
                <w:sz w:val="20"/>
                <w:szCs w:val="20"/>
              </w:rPr>
              <w:t>10</w:t>
            </w:r>
          </w:p>
        </w:tc>
      </w:tr>
      <w:tr w14:paraId="0596A6E9" w14:textId="77777777" w:rsidTr="003D29BA">
        <w:tblPrEx>
          <w:tblW w:w="9530" w:type="dxa"/>
          <w:tblLook w:val="04A0"/>
        </w:tblPrEx>
        <w:trPr>
          <w:trHeight w:val="278"/>
        </w:trPr>
        <w:tc>
          <w:tcPr>
            <w:tcW w:w="8005" w:type="dxa"/>
            <w:shd w:val="clear" w:color="auto" w:fill="E7E6E6" w:themeFill="background2"/>
            <w:hideMark/>
          </w:tcPr>
          <w:p w:rsidR="0088351C" w:rsidRPr="00573EB4" w:rsidP="00A639D4" w14:paraId="61B788DE" w14:textId="3C4624E2">
            <w:pPr>
              <w:spacing w:after="0"/>
              <w:rPr>
                <w:b/>
                <w:sz w:val="20"/>
                <w:szCs w:val="20"/>
              </w:rPr>
            </w:pPr>
            <w:r w:rsidRPr="00573EB4">
              <w:rPr>
                <w:b/>
                <w:sz w:val="20"/>
                <w:szCs w:val="20"/>
              </w:rPr>
              <w:t>Total Annual Hours (c) = (a)</w:t>
            </w:r>
            <w:r w:rsidR="00D96441">
              <w:rPr>
                <w:b/>
                <w:sz w:val="20"/>
                <w:szCs w:val="20"/>
              </w:rPr>
              <w:t xml:space="preserve"> </w:t>
            </w:r>
            <w:r w:rsidR="00396C71">
              <w:rPr>
                <w:b/>
                <w:sz w:val="20"/>
                <w:szCs w:val="20"/>
              </w:rPr>
              <w:t>[</w:t>
            </w:r>
            <w:r w:rsidRPr="00533688" w:rsidR="00533688">
              <w:rPr>
                <w:b/>
                <w:sz w:val="20"/>
                <w:szCs w:val="20"/>
              </w:rPr>
              <w:t>x</w:t>
            </w:r>
            <w:r w:rsidR="00396C71">
              <w:rPr>
                <w:b/>
                <w:sz w:val="20"/>
                <w:szCs w:val="20"/>
              </w:rPr>
              <w:t>]</w:t>
            </w:r>
            <w:r w:rsidRPr="00573EB4" w:rsidR="00533688">
              <w:rPr>
                <w:b/>
                <w:sz w:val="20"/>
                <w:szCs w:val="20"/>
              </w:rPr>
              <w:t xml:space="preserve"> </w:t>
            </w:r>
            <w:r w:rsidRPr="00573EB4">
              <w:rPr>
                <w:b/>
                <w:sz w:val="20"/>
                <w:szCs w:val="20"/>
              </w:rPr>
              <w:t>(b)</w:t>
            </w:r>
          </w:p>
        </w:tc>
        <w:tc>
          <w:tcPr>
            <w:tcW w:w="1525" w:type="dxa"/>
            <w:shd w:val="clear" w:color="auto" w:fill="E7E6E6" w:themeFill="background2"/>
            <w:vAlign w:val="center"/>
            <w:hideMark/>
          </w:tcPr>
          <w:p w:rsidR="0088351C" w:rsidRPr="00573EB4" w:rsidP="00A639D4" w14:paraId="590A922D" w14:textId="66AADE05">
            <w:pPr>
              <w:spacing w:after="0"/>
              <w:rPr>
                <w:b/>
                <w:sz w:val="20"/>
                <w:szCs w:val="20"/>
              </w:rPr>
            </w:pPr>
            <w:r>
              <w:rPr>
                <w:b/>
                <w:sz w:val="20"/>
                <w:szCs w:val="20"/>
              </w:rPr>
              <w:t xml:space="preserve">                   </w:t>
            </w:r>
            <w:r w:rsidRPr="00573EB4">
              <w:rPr>
                <w:b/>
                <w:sz w:val="20"/>
                <w:szCs w:val="20"/>
              </w:rPr>
              <w:t>150</w:t>
            </w:r>
          </w:p>
        </w:tc>
      </w:tr>
      <w:tr w14:paraId="5E2BA34F" w14:textId="77777777" w:rsidTr="003D29BA">
        <w:tblPrEx>
          <w:tblW w:w="9530" w:type="dxa"/>
          <w:tblLook w:val="04A0"/>
        </w:tblPrEx>
        <w:trPr>
          <w:trHeight w:val="260"/>
        </w:trPr>
        <w:tc>
          <w:tcPr>
            <w:tcW w:w="8005" w:type="dxa"/>
            <w:shd w:val="clear" w:color="auto" w:fill="auto"/>
            <w:hideMark/>
          </w:tcPr>
          <w:p w:rsidR="00942E08" w:rsidRPr="0047482B" w:rsidP="00942E08" w14:paraId="7F8DF4F5" w14:textId="2A307C33">
            <w:pPr>
              <w:spacing w:after="0"/>
              <w:rPr>
                <w:sz w:val="20"/>
                <w:szCs w:val="20"/>
              </w:rPr>
            </w:pPr>
            <w:r>
              <w:rPr>
                <w:sz w:val="20"/>
                <w:szCs w:val="20"/>
              </w:rPr>
              <w:t xml:space="preserve">Ost per Respondent at Labor rate for computer systems analyst @ $103.40/hr </w:t>
            </w:r>
            <w:r w:rsidRPr="00732012">
              <w:rPr>
                <w:sz w:val="20"/>
                <w:szCs w:val="20"/>
              </w:rPr>
              <w:t>(</w:t>
            </w:r>
            <w:r>
              <w:rPr>
                <w:sz w:val="20"/>
                <w:szCs w:val="20"/>
              </w:rPr>
              <w:t>d</w:t>
            </w:r>
            <w:r w:rsidRPr="00732012">
              <w:rPr>
                <w:sz w:val="20"/>
                <w:szCs w:val="20"/>
              </w:rPr>
              <w:t>)</w:t>
            </w:r>
            <w:r>
              <w:rPr>
                <w:sz w:val="20"/>
                <w:szCs w:val="20"/>
              </w:rPr>
              <w:t xml:space="preserve"> = (b) [x] $103.40/hr</w:t>
            </w:r>
          </w:p>
        </w:tc>
        <w:tc>
          <w:tcPr>
            <w:tcW w:w="1525" w:type="dxa"/>
            <w:shd w:val="clear" w:color="auto" w:fill="auto"/>
            <w:vAlign w:val="center"/>
            <w:hideMark/>
          </w:tcPr>
          <w:p w:rsidR="00942E08" w:rsidRPr="00D950B2" w:rsidP="00942E08" w14:paraId="03FB63AD" w14:textId="36A9225C">
            <w:pPr>
              <w:spacing w:after="0"/>
              <w:rPr>
                <w:sz w:val="20"/>
                <w:szCs w:val="20"/>
              </w:rPr>
            </w:pPr>
            <w:r>
              <w:rPr>
                <w:sz w:val="20"/>
                <w:szCs w:val="20"/>
              </w:rPr>
              <w:t xml:space="preserve">               </w:t>
            </w:r>
            <w:r w:rsidRPr="00732012">
              <w:rPr>
                <w:sz w:val="20"/>
                <w:szCs w:val="20"/>
              </w:rPr>
              <w:t>$</w:t>
            </w:r>
            <w:r>
              <w:rPr>
                <w:sz w:val="20"/>
                <w:szCs w:val="20"/>
              </w:rPr>
              <w:t>1,034</w:t>
            </w:r>
          </w:p>
        </w:tc>
      </w:tr>
      <w:tr w14:paraId="685B28A9" w14:textId="77777777" w:rsidTr="003D29BA">
        <w:tblPrEx>
          <w:tblW w:w="9530" w:type="dxa"/>
          <w:tblLook w:val="04A0"/>
        </w:tblPrEx>
        <w:trPr>
          <w:trHeight w:val="260"/>
        </w:trPr>
        <w:tc>
          <w:tcPr>
            <w:tcW w:w="8005" w:type="dxa"/>
            <w:shd w:val="clear" w:color="auto" w:fill="E7E6E6" w:themeFill="background2"/>
            <w:hideMark/>
          </w:tcPr>
          <w:p w:rsidR="0088351C" w:rsidRPr="00573EB4" w:rsidP="00A639D4" w14:paraId="4B250822" w14:textId="1197FAF1">
            <w:pPr>
              <w:spacing w:after="0"/>
              <w:rPr>
                <w:b/>
                <w:sz w:val="20"/>
                <w:szCs w:val="20"/>
              </w:rPr>
            </w:pPr>
            <w:r w:rsidRPr="00573EB4">
              <w:rPr>
                <w:b/>
                <w:sz w:val="20"/>
                <w:szCs w:val="20"/>
              </w:rPr>
              <w:t>Estimated Total Annual</w:t>
            </w:r>
            <w:r w:rsidRPr="00573EB4">
              <w:rPr>
                <w:b/>
                <w:sz w:val="20"/>
                <w:szCs w:val="20"/>
              </w:rPr>
              <w:t xml:space="preserve"> Cost (e) = (</w:t>
            </w:r>
            <w:r w:rsidR="0009360A">
              <w:rPr>
                <w:b/>
                <w:sz w:val="20"/>
                <w:szCs w:val="20"/>
              </w:rPr>
              <w:t>a</w:t>
            </w:r>
            <w:r w:rsidRPr="00573EB4">
              <w:rPr>
                <w:b/>
                <w:sz w:val="20"/>
                <w:szCs w:val="20"/>
              </w:rPr>
              <w:t>)</w:t>
            </w:r>
            <w:r w:rsidR="00D96441">
              <w:rPr>
                <w:b/>
                <w:sz w:val="20"/>
                <w:szCs w:val="20"/>
              </w:rPr>
              <w:t xml:space="preserve"> </w:t>
            </w:r>
            <w:r w:rsidR="00396C71">
              <w:rPr>
                <w:b/>
                <w:sz w:val="20"/>
                <w:szCs w:val="20"/>
              </w:rPr>
              <w:t>[</w:t>
            </w:r>
            <w:r w:rsidRPr="00533688" w:rsidR="00533688">
              <w:rPr>
                <w:b/>
                <w:sz w:val="20"/>
                <w:szCs w:val="20"/>
              </w:rPr>
              <w:t>x</w:t>
            </w:r>
            <w:r w:rsidR="00396C71">
              <w:rPr>
                <w:b/>
                <w:sz w:val="20"/>
                <w:szCs w:val="20"/>
              </w:rPr>
              <w:t>]</w:t>
            </w:r>
            <w:r w:rsidRPr="00573EB4" w:rsidR="00533688">
              <w:rPr>
                <w:b/>
                <w:sz w:val="20"/>
                <w:szCs w:val="20"/>
              </w:rPr>
              <w:t xml:space="preserve"> </w:t>
            </w:r>
            <w:r w:rsidRPr="00573EB4">
              <w:rPr>
                <w:b/>
                <w:sz w:val="20"/>
                <w:szCs w:val="20"/>
              </w:rPr>
              <w:t>(d)</w:t>
            </w:r>
          </w:p>
        </w:tc>
        <w:tc>
          <w:tcPr>
            <w:tcW w:w="1525" w:type="dxa"/>
            <w:shd w:val="clear" w:color="auto" w:fill="E7E6E6" w:themeFill="background2"/>
            <w:hideMark/>
          </w:tcPr>
          <w:p w:rsidR="0088351C" w:rsidRPr="00573EB4" w:rsidP="00A639D4" w14:paraId="66B5D28C" w14:textId="459B0ADE">
            <w:pPr>
              <w:spacing w:after="0"/>
              <w:rPr>
                <w:b/>
                <w:sz w:val="20"/>
                <w:szCs w:val="20"/>
              </w:rPr>
            </w:pPr>
            <w:r>
              <w:rPr>
                <w:b/>
                <w:sz w:val="20"/>
                <w:szCs w:val="20"/>
              </w:rPr>
              <w:t xml:space="preserve">             </w:t>
            </w:r>
            <w:r w:rsidRPr="00573EB4">
              <w:rPr>
                <w:b/>
                <w:sz w:val="20"/>
                <w:szCs w:val="20"/>
              </w:rPr>
              <w:t>$1</w:t>
            </w:r>
            <w:r w:rsidR="0009360A">
              <w:rPr>
                <w:b/>
                <w:sz w:val="20"/>
                <w:szCs w:val="20"/>
              </w:rPr>
              <w:t>5,510</w:t>
            </w:r>
          </w:p>
        </w:tc>
      </w:tr>
    </w:tbl>
    <w:p w:rsidR="008D6BEE" w:rsidP="0011028A" w14:paraId="084D529C" w14:textId="77777777">
      <w:pPr>
        <w:pStyle w:val="Heading4"/>
        <w:numPr>
          <w:ilvl w:val="0"/>
          <w:numId w:val="0"/>
        </w:numPr>
      </w:pPr>
      <w:bookmarkStart w:id="12" w:name="_Hlk532899314"/>
    </w:p>
    <w:p w:rsidR="0088351C" w:rsidRPr="004330C9" w:rsidP="0011028A" w14:paraId="0876ACA8" w14:textId="497BDC24">
      <w:pPr>
        <w:pStyle w:val="Heading4"/>
        <w:numPr>
          <w:ilvl w:val="0"/>
          <w:numId w:val="0"/>
        </w:numPr>
        <w:ind w:left="2880"/>
      </w:pPr>
      <w:r w:rsidRPr="008D6BEE">
        <w:t>i</w:t>
      </w:r>
      <w:r>
        <w:t xml:space="preserve">ii. </w:t>
      </w:r>
      <w:r w:rsidRPr="00041A6A">
        <w:t>Submission of Data for QP Determinations under the All-Payer Combination Option</w:t>
      </w:r>
      <w:bookmarkEnd w:id="12"/>
    </w:p>
    <w:p w:rsidR="00050972" w:rsidRPr="00050972" w:rsidP="00E12B53" w14:paraId="6E15BFDC" w14:textId="03ABA56D">
      <w:pPr>
        <w:rPr>
          <w:rFonts w:eastAsia="Calibri"/>
        </w:rPr>
      </w:pPr>
      <w:r w:rsidRPr="00CC2BFB">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CC2BFB" w:rsidR="00B23552">
        <w:rPr>
          <w:rFonts w:eastAsia="Calibri"/>
        </w:rPr>
        <w:t>APM Entities or eligible clinicians must submit all the required information about the Other Payer Advanced APMs in which they participate, including those for which there is a pending request for an</w:t>
      </w:r>
      <w:r w:rsidR="00A67649">
        <w:rPr>
          <w:rFonts w:eastAsia="Calibri"/>
        </w:rPr>
        <w:t xml:space="preserve"> </w:t>
      </w:r>
      <w:r w:rsidRPr="00CC2BFB" w:rsidR="00B23552">
        <w:rPr>
          <w:rFonts w:eastAsia="Calibri"/>
        </w:rPr>
        <w:t>Other Payer Advanced APM determination</w:t>
      </w:r>
      <w:r w:rsidR="00E72DBE">
        <w:rPr>
          <w:rFonts w:eastAsia="Calibri"/>
        </w:rPr>
        <w:t>.</w:t>
      </w:r>
    </w:p>
    <w:p w:rsidR="0088351C" w:rsidP="00E12B53" w14:paraId="5572A5FF" w14:textId="6AF5FBF2">
      <w:pPr>
        <w:rPr>
          <w:rFonts w:eastAsia="Calibri"/>
        </w:rPr>
      </w:pPr>
      <w:r w:rsidRPr="00225C8A">
        <w:rPr>
          <w:rFonts w:eastAsia="Calibri"/>
        </w:rPr>
        <w:t xml:space="preserve">As shown in Table </w:t>
      </w:r>
      <w:r w:rsidR="008550F1">
        <w:rPr>
          <w:rFonts w:eastAsia="Calibri"/>
        </w:rPr>
        <w:t>2</w:t>
      </w:r>
      <w:r w:rsidR="00255DE8">
        <w:rPr>
          <w:rFonts w:eastAsia="Calibri"/>
        </w:rPr>
        <w:t>7</w:t>
      </w:r>
      <w:r w:rsidRPr="00225C8A">
        <w:rPr>
          <w:rFonts w:eastAsia="Calibri"/>
        </w:rPr>
        <w:t xml:space="preserve">, </w:t>
      </w:r>
      <w:r w:rsidRPr="00CC2BFB" w:rsidR="00EC1FFC">
        <w:rPr>
          <w:rFonts w:eastAsia="Calibri"/>
        </w:rPr>
        <w:t xml:space="preserve">we assume that 20 APM Entities, 448 TINs, and 83 eligible clinicians will submit data for QP determinations under the All-Payer Combination Option in </w:t>
      </w:r>
      <w:r w:rsidR="0080204F">
        <w:rPr>
          <w:rFonts w:eastAsia="Calibri"/>
        </w:rPr>
        <w:t xml:space="preserve">CY </w:t>
      </w:r>
      <w:r w:rsidRPr="00CC2BFB" w:rsidR="00EC1FFC">
        <w:rPr>
          <w:rFonts w:eastAsia="Calibri"/>
        </w:rPr>
        <w:t>20</w:t>
      </w:r>
      <w:r w:rsidR="00367710">
        <w:rPr>
          <w:rFonts w:eastAsia="Calibri"/>
        </w:rPr>
        <w:t>2</w:t>
      </w:r>
      <w:r w:rsidR="00255DE8">
        <w:rPr>
          <w:rFonts w:eastAsia="Calibri"/>
        </w:rPr>
        <w:t>4</w:t>
      </w:r>
      <w:r w:rsidR="004C1E26">
        <w:rPr>
          <w:rFonts w:eastAsia="Calibri"/>
        </w:rPr>
        <w:t xml:space="preserve"> performance period/202</w:t>
      </w:r>
      <w:r w:rsidR="00255DE8">
        <w:rPr>
          <w:rFonts w:eastAsia="Calibri"/>
        </w:rPr>
        <w:t>6</w:t>
      </w:r>
      <w:r w:rsidR="004C1E26">
        <w:rPr>
          <w:rFonts w:eastAsia="Calibri"/>
        </w:rPr>
        <w:t xml:space="preserve"> MIPS payment year</w:t>
      </w:r>
      <w:r w:rsidRPr="00CC2BFB" w:rsidR="00EC1FFC">
        <w:rPr>
          <w:rFonts w:eastAsia="Calibri"/>
        </w:rPr>
        <w:t>. We</w:t>
      </w:r>
      <w:r w:rsidR="004C1E26">
        <w:rPr>
          <w:rFonts w:eastAsia="Calibri"/>
        </w:rPr>
        <w:t xml:space="preserve"> </w:t>
      </w:r>
      <w:r w:rsidRPr="00CC2BFB" w:rsidR="00EC1FFC">
        <w:rPr>
          <w:rFonts w:eastAsia="Calibri"/>
        </w:rPr>
        <w:t>estimate it will take the APM Entity representative, TIN representative, or eligible clinician 5 hours at $1</w:t>
      </w:r>
      <w:r w:rsidR="00255DE8">
        <w:rPr>
          <w:rFonts w:eastAsia="Calibri"/>
        </w:rPr>
        <w:t>23.06</w:t>
      </w:r>
      <w:r w:rsidRPr="00CC2BFB" w:rsidR="00EC1FFC">
        <w:rPr>
          <w:rFonts w:eastAsia="Calibri"/>
        </w:rPr>
        <w:t xml:space="preserve">/hr for a </w:t>
      </w:r>
      <w:r w:rsidR="008D7DB5">
        <w:rPr>
          <w:rFonts w:eastAsia="Calibri"/>
        </w:rPr>
        <w:t>medical and health services manager</w:t>
      </w:r>
      <w:r w:rsidRPr="00CC2BFB" w:rsidR="00EC1FFC">
        <w:rPr>
          <w:rFonts w:eastAsia="Calibri"/>
        </w:rPr>
        <w:t xml:space="preserve"> to complete this submission</w:t>
      </w:r>
      <w:r w:rsidR="00255DE8">
        <w:rPr>
          <w:rFonts w:eastAsia="Calibri"/>
        </w:rPr>
        <w:t xml:space="preserve">, resulting in a cost of </w:t>
      </w:r>
      <w:r w:rsidR="002C5B3E">
        <w:rPr>
          <w:rFonts w:eastAsia="Calibri"/>
        </w:rPr>
        <w:t>$615.30 per submission</w:t>
      </w:r>
      <w:r w:rsidRPr="00CC2BFB" w:rsidR="00EC1FFC">
        <w:rPr>
          <w:rFonts w:eastAsia="Calibri"/>
        </w:rPr>
        <w:t xml:space="preserve">. In aggregate, we estimate an annual burden of 2,755 hours (551 </w:t>
      </w:r>
      <w:r w:rsidR="000A4E97">
        <w:rPr>
          <w:rFonts w:eastAsia="Calibri"/>
        </w:rPr>
        <w:t>submissions</w:t>
      </w:r>
      <w:r w:rsidRPr="00CC2BFB" w:rsidR="00EC1FFC">
        <w:rPr>
          <w:rFonts w:eastAsia="Calibri"/>
        </w:rPr>
        <w:t xml:space="preserve"> x 5 hr) at a cost of $3</w:t>
      </w:r>
      <w:r w:rsidR="00700361">
        <w:rPr>
          <w:rFonts w:eastAsia="Calibri"/>
        </w:rPr>
        <w:t>39,03</w:t>
      </w:r>
      <w:r w:rsidR="00BD2F55">
        <w:rPr>
          <w:rFonts w:eastAsia="Calibri"/>
        </w:rPr>
        <w:t>0</w:t>
      </w:r>
      <w:r w:rsidRPr="00CC2BFB" w:rsidR="00EC1FFC">
        <w:rPr>
          <w:rFonts w:eastAsia="Calibri"/>
        </w:rPr>
        <w:t xml:space="preserve"> (</w:t>
      </w:r>
      <w:r w:rsidR="00700361">
        <w:rPr>
          <w:rFonts w:eastAsia="Calibri"/>
        </w:rPr>
        <w:t xml:space="preserve">551 </w:t>
      </w:r>
      <w:r w:rsidR="000A4E97">
        <w:rPr>
          <w:rFonts w:eastAsia="Calibri"/>
        </w:rPr>
        <w:t>submissions</w:t>
      </w:r>
      <w:r w:rsidRPr="00CC2BFB" w:rsidR="00EC1FFC">
        <w:rPr>
          <w:rFonts w:eastAsia="Calibri"/>
        </w:rPr>
        <w:t xml:space="preserve"> x $</w:t>
      </w:r>
      <w:r w:rsidR="00700361">
        <w:rPr>
          <w:rFonts w:eastAsia="Calibri"/>
        </w:rPr>
        <w:t>615.30</w:t>
      </w:r>
      <w:r w:rsidRPr="00CC2BFB" w:rsidR="00EC1FFC">
        <w:rPr>
          <w:rFonts w:eastAsia="Calibri"/>
        </w:rPr>
        <w:t>/</w:t>
      </w:r>
      <w:r w:rsidR="000A4E97">
        <w:rPr>
          <w:rFonts w:eastAsia="Calibri"/>
        </w:rPr>
        <w:t>submission</w:t>
      </w:r>
      <w:r w:rsidRPr="009B2388" w:rsidR="009B2388">
        <w:rPr>
          <w:rFonts w:eastAsia="Calibri"/>
        </w:rPr>
        <w:t>)</w:t>
      </w:r>
      <w:r w:rsidR="009B2388">
        <w:rPr>
          <w:rFonts w:eastAsia="Calibri"/>
        </w:rPr>
        <w:t>.</w:t>
      </w:r>
      <w:r w:rsidRPr="00225C8A">
        <w:rPr>
          <w:rFonts w:eastAsia="Calibri"/>
        </w:rPr>
        <w:t xml:space="preserve">  </w:t>
      </w:r>
    </w:p>
    <w:p w:rsidR="0088351C" w:rsidRPr="00C47150" w:rsidP="00EA6D44" w14:paraId="797CEA56" w14:textId="48A77B37">
      <w:pPr>
        <w:keepNext/>
        <w:keepLines/>
        <w:spacing w:after="0"/>
        <w:jc w:val="center"/>
        <w:rPr>
          <w:b/>
          <w:bCs/>
        </w:rPr>
      </w:pPr>
      <w:r w:rsidRPr="00C47150">
        <w:rPr>
          <w:b/>
          <w:bCs/>
        </w:rPr>
        <w:t xml:space="preserve">TABLE </w:t>
      </w:r>
      <w:r w:rsidR="008550F1">
        <w:rPr>
          <w:b/>
          <w:bCs/>
        </w:rPr>
        <w:t>2</w:t>
      </w:r>
      <w:r w:rsidR="00255DE8">
        <w:rPr>
          <w:b/>
          <w:bCs/>
        </w:rPr>
        <w:t>7</w:t>
      </w:r>
      <w:r w:rsidRPr="00C47150">
        <w:rPr>
          <w:b/>
          <w:bCs/>
        </w:rPr>
        <w:t xml:space="preserve">:  </w:t>
      </w:r>
      <w:r w:rsidR="0078522E">
        <w:rPr>
          <w:b/>
          <w:bCs/>
        </w:rPr>
        <w:t>Estimated Burden</w:t>
      </w:r>
      <w:r w:rsidRPr="00732012">
        <w:rPr>
          <w:b/>
          <w:bCs/>
        </w:rPr>
        <w:t xml:space="preserve"> for the </w:t>
      </w:r>
      <w:r w:rsidRPr="00C47150">
        <w:rPr>
          <w:b/>
          <w:bCs/>
        </w:rPr>
        <w:t xml:space="preserve">Submission of Data for </w:t>
      </w:r>
      <w:r w:rsidR="00EA6D44">
        <w:rPr>
          <w:b/>
          <w:bCs/>
        </w:rPr>
        <w:br/>
      </w:r>
      <w:r w:rsidRPr="00C47150">
        <w:rPr>
          <w:b/>
          <w:bCs/>
        </w:rPr>
        <w:t>All-Payer QP Determinations</w:t>
      </w:r>
      <w:r w:rsidR="00A7669E">
        <w:rPr>
          <w:b/>
          <w:bCs/>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4"/>
        <w:gridCol w:w="2136"/>
      </w:tblGrid>
      <w:tr w14:paraId="4985175A" w14:textId="77777777" w:rsidTr="0060225C">
        <w:tblPrEx>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5"/>
          <w:tblHeader/>
          <w:jc w:val="center"/>
        </w:trPr>
        <w:tc>
          <w:tcPr>
            <w:tcW w:w="6864" w:type="dxa"/>
            <w:vAlign w:val="center"/>
            <w:hideMark/>
          </w:tcPr>
          <w:p w:rsidR="0088351C" w:rsidRPr="0088351C" w:rsidP="00EA6D44" w14:paraId="4836D795" w14:textId="736E7128">
            <w:pPr>
              <w:keepNext/>
              <w:keepLines/>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0088351C" w:rsidRPr="0047482B" w:rsidP="00EA6D44" w14:paraId="7AF95028" w14:textId="77777777">
            <w:pPr>
              <w:keepNext/>
              <w:keepLines/>
              <w:spacing w:after="0"/>
              <w:rPr>
                <w:sz w:val="20"/>
                <w:szCs w:val="20"/>
              </w:rPr>
            </w:pPr>
            <w:r w:rsidRPr="00732012">
              <w:rPr>
                <w:b/>
                <w:bCs/>
                <w:sz w:val="20"/>
                <w:szCs w:val="20"/>
              </w:rPr>
              <w:t>Burden Estimate</w:t>
            </w:r>
          </w:p>
        </w:tc>
      </w:tr>
      <w:tr w14:paraId="06124060" w14:textId="77777777" w:rsidTr="00A639D4">
        <w:tblPrEx>
          <w:tblW w:w="9000" w:type="dxa"/>
          <w:jc w:val="center"/>
          <w:tblLook w:val="04A0"/>
        </w:tblPrEx>
        <w:trPr>
          <w:trHeight w:val="305"/>
          <w:jc w:val="center"/>
        </w:trPr>
        <w:tc>
          <w:tcPr>
            <w:tcW w:w="6864" w:type="dxa"/>
            <w:hideMark/>
          </w:tcPr>
          <w:p w:rsidR="0088351C" w:rsidRPr="0047482B" w:rsidP="00EA6D44" w14:paraId="11DDA540" w14:textId="77777777">
            <w:pPr>
              <w:keepNext/>
              <w:keepLines/>
              <w:spacing w:after="0"/>
              <w:rPr>
                <w:sz w:val="20"/>
                <w:szCs w:val="20"/>
              </w:rPr>
            </w:pPr>
            <w:r w:rsidRPr="00732012">
              <w:rPr>
                <w:sz w:val="20"/>
                <w:szCs w:val="20"/>
              </w:rPr>
              <w:t># of APM Entities submitting data for All-Payer QP Determinations (a)</w:t>
            </w:r>
          </w:p>
        </w:tc>
        <w:tc>
          <w:tcPr>
            <w:tcW w:w="2136" w:type="dxa"/>
            <w:noWrap/>
            <w:vAlign w:val="bottom"/>
          </w:tcPr>
          <w:p w:rsidR="0088351C" w:rsidRPr="0047482B" w:rsidP="003D29BA" w14:paraId="7F193BA6" w14:textId="2A70A8E6">
            <w:pPr>
              <w:keepNext/>
              <w:keepLines/>
              <w:spacing w:after="0"/>
              <w:jc w:val="right"/>
              <w:rPr>
                <w:sz w:val="20"/>
                <w:szCs w:val="20"/>
              </w:rPr>
            </w:pPr>
            <w:r>
              <w:rPr>
                <w:sz w:val="20"/>
                <w:szCs w:val="20"/>
              </w:rPr>
              <w:t>20</w:t>
            </w:r>
          </w:p>
        </w:tc>
      </w:tr>
      <w:tr w14:paraId="36DB7A12" w14:textId="77777777" w:rsidTr="00A639D4">
        <w:tblPrEx>
          <w:tblW w:w="9000" w:type="dxa"/>
          <w:jc w:val="center"/>
          <w:tblLook w:val="04A0"/>
        </w:tblPrEx>
        <w:trPr>
          <w:trHeight w:val="305"/>
          <w:jc w:val="center"/>
        </w:trPr>
        <w:tc>
          <w:tcPr>
            <w:tcW w:w="6864" w:type="dxa"/>
            <w:hideMark/>
          </w:tcPr>
          <w:p w:rsidR="0088351C" w:rsidRPr="0047482B" w:rsidP="00EA6D44" w14:paraId="053C5A1A" w14:textId="77777777">
            <w:pPr>
              <w:keepNext/>
              <w:keepLines/>
              <w:spacing w:after="0"/>
              <w:rPr>
                <w:sz w:val="20"/>
                <w:szCs w:val="20"/>
              </w:rPr>
            </w:pPr>
            <w:r w:rsidRPr="00732012">
              <w:rPr>
                <w:sz w:val="20"/>
                <w:szCs w:val="20"/>
              </w:rPr>
              <w:t xml:space="preserve"># of TINs submitting data for All-Payer QP Determinations (b) </w:t>
            </w:r>
          </w:p>
        </w:tc>
        <w:tc>
          <w:tcPr>
            <w:tcW w:w="2136" w:type="dxa"/>
            <w:noWrap/>
            <w:vAlign w:val="bottom"/>
          </w:tcPr>
          <w:p w:rsidR="0088351C" w:rsidRPr="0047482B" w:rsidP="003D29BA" w14:paraId="775945E6" w14:textId="72CD0CDB">
            <w:pPr>
              <w:keepNext/>
              <w:keepLines/>
              <w:spacing w:after="0"/>
              <w:jc w:val="right"/>
              <w:rPr>
                <w:sz w:val="20"/>
                <w:szCs w:val="20"/>
              </w:rPr>
            </w:pPr>
            <w:r>
              <w:rPr>
                <w:sz w:val="20"/>
                <w:szCs w:val="20"/>
              </w:rPr>
              <w:t>448</w:t>
            </w:r>
          </w:p>
        </w:tc>
      </w:tr>
      <w:tr w14:paraId="230D798A" w14:textId="77777777" w:rsidTr="00A639D4">
        <w:tblPrEx>
          <w:tblW w:w="9000" w:type="dxa"/>
          <w:jc w:val="center"/>
          <w:tblLook w:val="04A0"/>
        </w:tblPrEx>
        <w:trPr>
          <w:trHeight w:val="260"/>
          <w:jc w:val="center"/>
        </w:trPr>
        <w:tc>
          <w:tcPr>
            <w:tcW w:w="6864" w:type="dxa"/>
            <w:hideMark/>
          </w:tcPr>
          <w:p w:rsidR="0088351C" w:rsidRPr="0047482B" w:rsidP="00EA6D44" w14:paraId="1CE6E593" w14:textId="26F981A1">
            <w:pPr>
              <w:keepNext/>
              <w:keepLines/>
              <w:spacing w:after="0"/>
              <w:rPr>
                <w:sz w:val="20"/>
                <w:szCs w:val="20"/>
              </w:rPr>
            </w:pPr>
            <w:r w:rsidRPr="00732012">
              <w:rPr>
                <w:sz w:val="20"/>
                <w:szCs w:val="20"/>
              </w:rPr>
              <w:t xml:space="preserve"># of eligible </w:t>
            </w:r>
            <w:r w:rsidR="002D74D0">
              <w:rPr>
                <w:sz w:val="20"/>
                <w:szCs w:val="20"/>
              </w:rPr>
              <w:t xml:space="preserve">clinicians </w:t>
            </w:r>
            <w:r w:rsidRPr="00732012">
              <w:rPr>
                <w:sz w:val="20"/>
                <w:szCs w:val="20"/>
              </w:rPr>
              <w:t>submitting data for All-Payer QP Determinations (c)</w:t>
            </w:r>
          </w:p>
        </w:tc>
        <w:tc>
          <w:tcPr>
            <w:tcW w:w="2136" w:type="dxa"/>
            <w:vAlign w:val="bottom"/>
          </w:tcPr>
          <w:p w:rsidR="0088351C" w:rsidRPr="0047482B" w:rsidP="003D29BA" w14:paraId="6101F47E" w14:textId="3CB2F16C">
            <w:pPr>
              <w:keepNext/>
              <w:keepLines/>
              <w:spacing w:after="0"/>
              <w:jc w:val="right"/>
              <w:rPr>
                <w:sz w:val="20"/>
                <w:szCs w:val="20"/>
              </w:rPr>
            </w:pPr>
            <w:r>
              <w:rPr>
                <w:sz w:val="20"/>
                <w:szCs w:val="20"/>
              </w:rPr>
              <w:t>8</w:t>
            </w:r>
            <w:r w:rsidR="00225C8A">
              <w:rPr>
                <w:sz w:val="20"/>
                <w:szCs w:val="20"/>
              </w:rPr>
              <w:t>3</w:t>
            </w:r>
          </w:p>
        </w:tc>
      </w:tr>
      <w:tr w14:paraId="7FD4BE6E" w14:textId="77777777" w:rsidTr="003D29BA">
        <w:tblPrEx>
          <w:tblW w:w="9000" w:type="dxa"/>
          <w:jc w:val="center"/>
          <w:tblLook w:val="04A0"/>
        </w:tblPrEx>
        <w:trPr>
          <w:trHeight w:val="260"/>
          <w:jc w:val="center"/>
        </w:trPr>
        <w:tc>
          <w:tcPr>
            <w:tcW w:w="6864" w:type="dxa"/>
            <w:shd w:val="clear" w:color="auto" w:fill="E7E6E6" w:themeFill="background2"/>
          </w:tcPr>
          <w:p w:rsidR="00685AE4" w:rsidRPr="00732012" w:rsidP="00685AE4" w14:paraId="52B06E3F" w14:textId="0A49A508">
            <w:pPr>
              <w:keepNext/>
              <w:keepLines/>
              <w:spacing w:after="0"/>
              <w:rPr>
                <w:sz w:val="20"/>
                <w:szCs w:val="20"/>
              </w:rPr>
            </w:pPr>
            <w:r w:rsidRPr="00225C8A">
              <w:rPr>
                <w:b/>
                <w:sz w:val="20"/>
                <w:szCs w:val="20"/>
              </w:rPr>
              <w:t xml:space="preserve">Total </w:t>
            </w:r>
            <w:r w:rsidR="000B10C9">
              <w:rPr>
                <w:b/>
                <w:sz w:val="20"/>
                <w:szCs w:val="20"/>
              </w:rPr>
              <w:t># of Respondents</w:t>
            </w:r>
            <w:r w:rsidRPr="00225C8A">
              <w:rPr>
                <w:b/>
                <w:sz w:val="20"/>
                <w:szCs w:val="20"/>
              </w:rPr>
              <w:t xml:space="preserve"> (</w:t>
            </w:r>
            <w:r w:rsidR="000B10C9">
              <w:rPr>
                <w:b/>
                <w:sz w:val="20"/>
                <w:szCs w:val="20"/>
              </w:rPr>
              <w:t>d</w:t>
            </w:r>
            <w:r w:rsidRPr="00225C8A">
              <w:rPr>
                <w:b/>
                <w:sz w:val="20"/>
                <w:szCs w:val="20"/>
              </w:rPr>
              <w:t xml:space="preserve">) = </w:t>
            </w:r>
            <w:r w:rsidR="00D061B9">
              <w:rPr>
                <w:b/>
                <w:sz w:val="20"/>
                <w:szCs w:val="20"/>
              </w:rPr>
              <w:t>(a) + (b) + (c)</w:t>
            </w:r>
          </w:p>
        </w:tc>
        <w:tc>
          <w:tcPr>
            <w:tcW w:w="2136" w:type="dxa"/>
            <w:shd w:val="clear" w:color="auto" w:fill="E7E6E6" w:themeFill="background2"/>
            <w:vAlign w:val="center"/>
          </w:tcPr>
          <w:p w:rsidR="00685AE4" w:rsidP="003D29BA" w14:paraId="55823915" w14:textId="464CCE8A">
            <w:pPr>
              <w:keepNext/>
              <w:keepLines/>
              <w:spacing w:after="0"/>
              <w:jc w:val="right"/>
              <w:rPr>
                <w:sz w:val="20"/>
                <w:szCs w:val="20"/>
              </w:rPr>
            </w:pPr>
            <w:r>
              <w:rPr>
                <w:b/>
                <w:sz w:val="20"/>
                <w:szCs w:val="20"/>
              </w:rPr>
              <w:t>551</w:t>
            </w:r>
          </w:p>
        </w:tc>
      </w:tr>
      <w:tr w14:paraId="17AE27D4" w14:textId="77777777" w:rsidTr="00A639D4">
        <w:tblPrEx>
          <w:tblW w:w="9000" w:type="dxa"/>
          <w:jc w:val="center"/>
          <w:tblLook w:val="04A0"/>
        </w:tblPrEx>
        <w:trPr>
          <w:trHeight w:val="260"/>
          <w:jc w:val="center"/>
        </w:trPr>
        <w:tc>
          <w:tcPr>
            <w:tcW w:w="6864" w:type="dxa"/>
            <w:hideMark/>
          </w:tcPr>
          <w:p w:rsidR="00685AE4" w:rsidRPr="0047482B" w:rsidP="00685AE4" w14:paraId="56FC6EF6" w14:textId="0B9C6B8A">
            <w:pPr>
              <w:keepNext/>
              <w:keepLines/>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w:t>
            </w:r>
            <w:r w:rsidR="00D061B9">
              <w:rPr>
                <w:sz w:val="20"/>
                <w:szCs w:val="20"/>
              </w:rPr>
              <w:t>e</w:t>
            </w:r>
            <w:r w:rsidRPr="00732012">
              <w:rPr>
                <w:sz w:val="20"/>
                <w:szCs w:val="20"/>
              </w:rPr>
              <w:t>)</w:t>
            </w:r>
          </w:p>
        </w:tc>
        <w:tc>
          <w:tcPr>
            <w:tcW w:w="2136" w:type="dxa"/>
            <w:vAlign w:val="center"/>
          </w:tcPr>
          <w:p w:rsidR="00685AE4" w:rsidRPr="0047482B" w:rsidP="003D29BA" w14:paraId="2D39A650" w14:textId="77777777">
            <w:pPr>
              <w:keepNext/>
              <w:keepLines/>
              <w:spacing w:after="0"/>
              <w:jc w:val="right"/>
              <w:rPr>
                <w:sz w:val="20"/>
                <w:szCs w:val="20"/>
              </w:rPr>
            </w:pPr>
            <w:r>
              <w:rPr>
                <w:sz w:val="20"/>
                <w:szCs w:val="20"/>
              </w:rPr>
              <w:t>5</w:t>
            </w:r>
          </w:p>
        </w:tc>
      </w:tr>
      <w:tr w14:paraId="186DA406" w14:textId="77777777" w:rsidTr="003D29BA">
        <w:tblPrEx>
          <w:tblW w:w="9000" w:type="dxa"/>
          <w:jc w:val="center"/>
          <w:tblLook w:val="04A0"/>
        </w:tblPrEx>
        <w:trPr>
          <w:trHeight w:val="287"/>
          <w:jc w:val="center"/>
        </w:trPr>
        <w:tc>
          <w:tcPr>
            <w:tcW w:w="6864" w:type="dxa"/>
            <w:shd w:val="clear" w:color="auto" w:fill="E7E6E6" w:themeFill="background2"/>
            <w:hideMark/>
          </w:tcPr>
          <w:p w:rsidR="00685AE4" w:rsidRPr="00225C8A" w:rsidP="00685AE4" w14:paraId="0F3A9E8D" w14:textId="04D80704">
            <w:pPr>
              <w:spacing w:after="0"/>
              <w:rPr>
                <w:b/>
                <w:sz w:val="20"/>
                <w:szCs w:val="20"/>
              </w:rPr>
            </w:pPr>
            <w:r w:rsidRPr="00225C8A">
              <w:rPr>
                <w:b/>
                <w:sz w:val="20"/>
                <w:szCs w:val="20"/>
              </w:rPr>
              <w:t>Total Hours (</w:t>
            </w:r>
            <w:r w:rsidR="00D061B9">
              <w:rPr>
                <w:b/>
                <w:sz w:val="20"/>
                <w:szCs w:val="20"/>
              </w:rPr>
              <w:t>f</w:t>
            </w:r>
            <w:r w:rsidRPr="00225C8A">
              <w:rPr>
                <w:b/>
                <w:sz w:val="20"/>
                <w:szCs w:val="20"/>
              </w:rPr>
              <w:t xml:space="preserve">) = </w:t>
            </w:r>
            <w:r w:rsidR="00AC75D8">
              <w:rPr>
                <w:b/>
                <w:sz w:val="20"/>
                <w:szCs w:val="20"/>
              </w:rPr>
              <w:t>(d)</w:t>
            </w:r>
            <w:r w:rsidR="00D96441">
              <w:rPr>
                <w:b/>
                <w:sz w:val="20"/>
                <w:szCs w:val="20"/>
              </w:rPr>
              <w:t xml:space="preserve"> </w:t>
            </w:r>
            <w:r w:rsidR="004E02BD">
              <w:rPr>
                <w:b/>
                <w:sz w:val="20"/>
                <w:szCs w:val="20"/>
              </w:rPr>
              <w:t>[</w:t>
            </w:r>
            <w:r w:rsidRPr="00533688" w:rsidR="00533688">
              <w:rPr>
                <w:b/>
                <w:sz w:val="20"/>
                <w:szCs w:val="20"/>
              </w:rPr>
              <w:t>x</w:t>
            </w:r>
            <w:r w:rsidR="004E02BD">
              <w:rPr>
                <w:b/>
                <w:sz w:val="20"/>
                <w:szCs w:val="20"/>
              </w:rPr>
              <w:t>]</w:t>
            </w:r>
            <w:r w:rsidRPr="00533688" w:rsidR="00533688">
              <w:rPr>
                <w:b/>
                <w:sz w:val="20"/>
                <w:szCs w:val="20"/>
              </w:rPr>
              <w:t xml:space="preserve"> </w:t>
            </w:r>
            <w:r w:rsidR="00AC75D8">
              <w:rPr>
                <w:b/>
                <w:sz w:val="20"/>
                <w:szCs w:val="20"/>
              </w:rPr>
              <w:t>(e)</w:t>
            </w:r>
          </w:p>
        </w:tc>
        <w:tc>
          <w:tcPr>
            <w:tcW w:w="2136" w:type="dxa"/>
            <w:shd w:val="clear" w:color="auto" w:fill="E7E6E6" w:themeFill="background2"/>
            <w:vAlign w:val="center"/>
          </w:tcPr>
          <w:p w:rsidR="00685AE4" w:rsidRPr="00225C8A" w:rsidP="003D29BA" w14:paraId="56E132FB" w14:textId="0FFE1938">
            <w:pPr>
              <w:spacing w:after="0"/>
              <w:jc w:val="right"/>
              <w:rPr>
                <w:b/>
                <w:sz w:val="20"/>
                <w:szCs w:val="20"/>
              </w:rPr>
            </w:pPr>
            <w:r>
              <w:rPr>
                <w:b/>
                <w:sz w:val="20"/>
                <w:szCs w:val="20"/>
              </w:rPr>
              <w:t>2,755</w:t>
            </w:r>
          </w:p>
        </w:tc>
      </w:tr>
      <w:tr w14:paraId="79FC98D3" w14:textId="77777777" w:rsidTr="00A639D4">
        <w:tblPrEx>
          <w:tblW w:w="9000" w:type="dxa"/>
          <w:jc w:val="center"/>
          <w:tblLook w:val="04A0"/>
        </w:tblPrEx>
        <w:trPr>
          <w:trHeight w:val="332"/>
          <w:jc w:val="center"/>
        </w:trPr>
        <w:tc>
          <w:tcPr>
            <w:tcW w:w="6864" w:type="dxa"/>
            <w:shd w:val="clear" w:color="auto" w:fill="auto"/>
            <w:hideMark/>
          </w:tcPr>
          <w:p w:rsidR="00685AE4" w:rsidRPr="0047482B" w:rsidP="00685AE4" w14:paraId="413A2FAE" w14:textId="1EA17763">
            <w:pPr>
              <w:spacing w:after="0"/>
              <w:rPr>
                <w:sz w:val="20"/>
                <w:szCs w:val="20"/>
              </w:rPr>
            </w:pPr>
            <w:r>
              <w:rPr>
                <w:sz w:val="20"/>
                <w:szCs w:val="20"/>
              </w:rPr>
              <w:t>Co</w:t>
            </w:r>
            <w:r w:rsidRPr="002C5B3E" w:rsidR="002C5B3E">
              <w:rPr>
                <w:sz w:val="20"/>
                <w:szCs w:val="20"/>
              </w:rPr>
              <w:t xml:space="preserve">st per Respondent at </w:t>
            </w:r>
            <w:r w:rsidRPr="00732012">
              <w:rPr>
                <w:sz w:val="20"/>
                <w:szCs w:val="20"/>
              </w:rPr>
              <w:t xml:space="preserve">Labor rate for a </w:t>
            </w:r>
            <w:r>
              <w:rPr>
                <w:sz w:val="20"/>
                <w:szCs w:val="20"/>
              </w:rPr>
              <w:t>Medical and health services manager ($1</w:t>
            </w:r>
            <w:r w:rsidR="002C5B3E">
              <w:rPr>
                <w:sz w:val="20"/>
                <w:szCs w:val="20"/>
              </w:rPr>
              <w:t>23.06</w:t>
            </w:r>
            <w:r>
              <w:rPr>
                <w:sz w:val="20"/>
                <w:szCs w:val="20"/>
              </w:rPr>
              <w:t>/hr)</w:t>
            </w:r>
            <w:r w:rsidRPr="00732012">
              <w:rPr>
                <w:sz w:val="20"/>
                <w:szCs w:val="20"/>
              </w:rPr>
              <w:t xml:space="preserve"> (</w:t>
            </w:r>
            <w:r w:rsidR="00E765D0">
              <w:rPr>
                <w:sz w:val="20"/>
                <w:szCs w:val="20"/>
              </w:rPr>
              <w:t>g</w:t>
            </w:r>
            <w:r w:rsidRPr="00732012">
              <w:rPr>
                <w:sz w:val="20"/>
                <w:szCs w:val="20"/>
              </w:rPr>
              <w:t>)</w:t>
            </w:r>
            <w:r w:rsidR="000E123C">
              <w:rPr>
                <w:sz w:val="20"/>
                <w:szCs w:val="20"/>
              </w:rPr>
              <w:t xml:space="preserve"> = </w:t>
            </w:r>
            <w:r w:rsidR="00CC636B">
              <w:rPr>
                <w:sz w:val="20"/>
                <w:szCs w:val="20"/>
              </w:rPr>
              <w:t>(e) [x] $123.06/hr</w:t>
            </w:r>
          </w:p>
        </w:tc>
        <w:tc>
          <w:tcPr>
            <w:tcW w:w="2136" w:type="dxa"/>
            <w:shd w:val="clear" w:color="auto" w:fill="auto"/>
            <w:vAlign w:val="center"/>
          </w:tcPr>
          <w:p w:rsidR="00685AE4" w:rsidRPr="0047482B" w:rsidP="003D29BA" w14:paraId="7043F435" w14:textId="47302633">
            <w:pPr>
              <w:spacing w:after="0"/>
              <w:jc w:val="right"/>
              <w:rPr>
                <w:sz w:val="20"/>
                <w:szCs w:val="20"/>
              </w:rPr>
            </w:pPr>
            <w:r w:rsidRPr="00732012">
              <w:rPr>
                <w:sz w:val="20"/>
                <w:szCs w:val="20"/>
              </w:rPr>
              <w:t>$</w:t>
            </w:r>
            <w:r w:rsidR="007A284B">
              <w:rPr>
                <w:sz w:val="20"/>
                <w:szCs w:val="20"/>
              </w:rPr>
              <w:t>615.30</w:t>
            </w:r>
          </w:p>
        </w:tc>
      </w:tr>
      <w:tr w14:paraId="4CBB87E1" w14:textId="77777777" w:rsidTr="003D29BA">
        <w:tblPrEx>
          <w:tblW w:w="9000" w:type="dxa"/>
          <w:jc w:val="center"/>
          <w:tblLook w:val="04A0"/>
        </w:tblPrEx>
        <w:trPr>
          <w:trHeight w:val="332"/>
          <w:jc w:val="center"/>
        </w:trPr>
        <w:tc>
          <w:tcPr>
            <w:tcW w:w="6864" w:type="dxa"/>
            <w:shd w:val="clear" w:color="auto" w:fill="E7E6E6" w:themeFill="background2"/>
          </w:tcPr>
          <w:p w:rsidR="00685AE4" w:rsidRPr="00225C8A" w:rsidP="00685AE4" w14:paraId="6A7FD55B" w14:textId="45F75103">
            <w:pPr>
              <w:spacing w:after="0"/>
              <w:rPr>
                <w:b/>
                <w:sz w:val="20"/>
                <w:szCs w:val="20"/>
              </w:rPr>
            </w:pPr>
            <w:r w:rsidRPr="00225C8A">
              <w:rPr>
                <w:b/>
                <w:sz w:val="20"/>
                <w:szCs w:val="20"/>
              </w:rPr>
              <w:t>Total Annual Cost (</w:t>
            </w:r>
            <w:r w:rsidR="00E765D0">
              <w:rPr>
                <w:b/>
                <w:sz w:val="20"/>
                <w:szCs w:val="20"/>
              </w:rPr>
              <w:t>h</w:t>
            </w:r>
            <w:r w:rsidRPr="00225C8A">
              <w:rPr>
                <w:b/>
                <w:sz w:val="20"/>
                <w:szCs w:val="20"/>
              </w:rPr>
              <w:t>) = (</w:t>
            </w:r>
            <w:r w:rsidR="004475EE">
              <w:rPr>
                <w:b/>
                <w:sz w:val="20"/>
                <w:szCs w:val="20"/>
              </w:rPr>
              <w:t>d)</w:t>
            </w:r>
            <w:r w:rsidR="00D96441">
              <w:rPr>
                <w:b/>
                <w:sz w:val="20"/>
                <w:szCs w:val="20"/>
              </w:rPr>
              <w:t xml:space="preserve"> </w:t>
            </w:r>
            <w:r w:rsidR="004C1CBC">
              <w:rPr>
                <w:b/>
                <w:sz w:val="20"/>
                <w:szCs w:val="20"/>
              </w:rPr>
              <w:t>[</w:t>
            </w:r>
            <w:r w:rsidRPr="00533688" w:rsidR="00533688">
              <w:rPr>
                <w:b/>
                <w:sz w:val="20"/>
                <w:szCs w:val="20"/>
              </w:rPr>
              <w:t>x</w:t>
            </w:r>
            <w:r w:rsidR="004C1CBC">
              <w:rPr>
                <w:b/>
                <w:sz w:val="20"/>
                <w:szCs w:val="20"/>
              </w:rPr>
              <w:t>]</w:t>
            </w:r>
            <w:r w:rsidRPr="00533688" w:rsidR="00533688">
              <w:rPr>
                <w:b/>
                <w:sz w:val="20"/>
                <w:szCs w:val="20"/>
              </w:rPr>
              <w:t xml:space="preserve"> </w:t>
            </w:r>
            <w:r w:rsidRPr="00225C8A">
              <w:rPr>
                <w:b/>
                <w:sz w:val="20"/>
                <w:szCs w:val="20"/>
              </w:rPr>
              <w:t>(</w:t>
            </w:r>
            <w:r w:rsidR="00BF1B23">
              <w:rPr>
                <w:b/>
                <w:sz w:val="20"/>
                <w:szCs w:val="20"/>
              </w:rPr>
              <w:t>g</w:t>
            </w:r>
            <w:r w:rsidRPr="00225C8A">
              <w:rPr>
                <w:b/>
                <w:sz w:val="20"/>
                <w:szCs w:val="20"/>
              </w:rPr>
              <w:t>)</w:t>
            </w:r>
          </w:p>
        </w:tc>
        <w:tc>
          <w:tcPr>
            <w:tcW w:w="2136" w:type="dxa"/>
            <w:shd w:val="clear" w:color="auto" w:fill="E7E6E6" w:themeFill="background2"/>
            <w:vAlign w:val="center"/>
          </w:tcPr>
          <w:p w:rsidR="00685AE4" w:rsidRPr="00225C8A" w:rsidP="003D29BA" w14:paraId="4528E3E4" w14:textId="2EBE4DAC">
            <w:pPr>
              <w:spacing w:after="0"/>
              <w:jc w:val="right"/>
              <w:rPr>
                <w:b/>
                <w:sz w:val="20"/>
                <w:szCs w:val="20"/>
              </w:rPr>
            </w:pPr>
            <w:r w:rsidRPr="00225C8A">
              <w:rPr>
                <w:b/>
                <w:sz w:val="20"/>
                <w:szCs w:val="20"/>
              </w:rPr>
              <w:t>$</w:t>
            </w:r>
            <w:r>
              <w:rPr>
                <w:b/>
                <w:sz w:val="20"/>
                <w:szCs w:val="20"/>
              </w:rPr>
              <w:t>3</w:t>
            </w:r>
            <w:r w:rsidR="00A560D0">
              <w:rPr>
                <w:b/>
                <w:sz w:val="20"/>
                <w:szCs w:val="20"/>
              </w:rPr>
              <w:t>39,030</w:t>
            </w:r>
          </w:p>
        </w:tc>
      </w:tr>
    </w:tbl>
    <w:p w:rsidR="0088351C" w:rsidP="0088351C" w14:paraId="15403F0B" w14:textId="6065CD15"/>
    <w:p w:rsidR="0088351C" w:rsidRPr="00136D86" w:rsidP="0011028A" w14:paraId="5A7DC3D2" w14:textId="3066F572">
      <w:pPr>
        <w:pStyle w:val="Heading3"/>
      </w:pPr>
      <w:bookmarkStart w:id="13" w:name="_Hlk532899326"/>
      <w:r w:rsidRPr="00136D86">
        <w:t>Burden Estimate for Voluntary Participants to Elect Opt-Out of Performance Data Display on Compare</w:t>
      </w:r>
      <w:r w:rsidR="00FA1E37">
        <w:t xml:space="preserve"> Tools</w:t>
      </w:r>
    </w:p>
    <w:bookmarkEnd w:id="13"/>
    <w:p w:rsidR="000A4E97" w:rsidRPr="003A6FE0" w:rsidP="000A4E97" w14:paraId="4934CA09" w14:textId="79CF5956">
      <w:pPr>
        <w:rPr>
          <w:rFonts w:ascii="Calibri" w:eastAsia="Calibri" w:hAnsi="Calibri" w:cs="Calibri"/>
          <w:color w:val="000000"/>
          <w:sz w:val="22"/>
          <w:szCs w:val="22"/>
        </w:rPr>
      </w:pPr>
      <w:r w:rsidRPr="00367710">
        <w:rPr>
          <w:rFonts w:eastAsia="Calibri"/>
        </w:rPr>
        <w:t xml:space="preserve">Voluntary MIPS participants are clinicians that are not QPs and are expected to be excluded from MIPS after applying the eligibility requirements set out in the CY 2019 PFS final rule but have elected to submit data to MIPS. </w:t>
      </w:r>
      <w:r>
        <w:rPr>
          <w:rFonts w:eastAsia="Calibri"/>
        </w:rPr>
        <w:t>W</w:t>
      </w:r>
      <w:r w:rsidRPr="00367710">
        <w:rPr>
          <w:rFonts w:eastAsia="Calibri"/>
        </w:rPr>
        <w:t xml:space="preserve">e estimate </w:t>
      </w:r>
      <w:r>
        <w:rPr>
          <w:rFonts w:eastAsia="Calibri"/>
        </w:rPr>
        <w:t>clinicians who</w:t>
      </w:r>
      <w:r w:rsidRPr="00367710">
        <w:rPr>
          <w:rFonts w:eastAsia="Calibri"/>
        </w:rPr>
        <w:t xml:space="preserve"> exceed one (1) of the low-volume criteria, but not all three (3), elect</w:t>
      </w:r>
      <w:r>
        <w:rPr>
          <w:rFonts w:eastAsia="Calibri"/>
        </w:rPr>
        <w:t>ed</w:t>
      </w:r>
      <w:r w:rsidRPr="00367710">
        <w:rPr>
          <w:rFonts w:eastAsia="Calibri"/>
        </w:rPr>
        <w:t xml:space="preserve"> to opt-in to MIPS</w:t>
      </w:r>
      <w:r>
        <w:rPr>
          <w:rFonts w:eastAsia="Calibri"/>
        </w:rPr>
        <w:t xml:space="preserve"> and submitted data in the CY 2019 performance period/2021 MIPS payment year will continue to do so in the CY 202</w:t>
      </w:r>
      <w:r w:rsidR="004C2BB3">
        <w:rPr>
          <w:rFonts w:eastAsia="Calibri"/>
        </w:rPr>
        <w:t>4</w:t>
      </w:r>
      <w:r>
        <w:rPr>
          <w:rFonts w:eastAsia="Calibri"/>
        </w:rPr>
        <w:t xml:space="preserve"> performance period/202</w:t>
      </w:r>
      <w:r w:rsidR="004C2BB3">
        <w:rPr>
          <w:rFonts w:eastAsia="Calibri"/>
        </w:rPr>
        <w:t>6</w:t>
      </w:r>
      <w:r>
        <w:rPr>
          <w:rFonts w:eastAsia="Calibri"/>
        </w:rPr>
        <w:t xml:space="preserve"> MIPS payment year</w:t>
      </w:r>
      <w:r w:rsidRPr="006729C8">
        <w:rPr>
          <w:rFonts w:eastAsia="Calibri"/>
        </w:rPr>
        <w:t>.</w:t>
      </w:r>
    </w:p>
    <w:p w:rsidR="006729C8" w:rsidRPr="003A6FE0" w:rsidP="00E12B53" w14:paraId="36351A6A" w14:textId="22A34423">
      <w:pPr>
        <w:rPr>
          <w:rFonts w:ascii="Calibri" w:eastAsia="Calibri" w:hAnsi="Calibri" w:cs="Calibri"/>
          <w:color w:val="000000"/>
          <w:sz w:val="22"/>
          <w:szCs w:val="22"/>
        </w:rPr>
      </w:pPr>
      <w:r>
        <w:rPr>
          <w:rFonts w:eastAsia="Calibri"/>
        </w:rPr>
        <w:t>For the CY 202</w:t>
      </w:r>
      <w:r w:rsidR="000A4E97">
        <w:rPr>
          <w:rFonts w:eastAsia="Calibri"/>
        </w:rPr>
        <w:t>4</w:t>
      </w:r>
      <w:r>
        <w:rPr>
          <w:rFonts w:eastAsia="Calibri"/>
        </w:rPr>
        <w:t xml:space="preserve"> performance period/202</w:t>
      </w:r>
      <w:r w:rsidR="000A4E97">
        <w:rPr>
          <w:rFonts w:eastAsia="Calibri"/>
        </w:rPr>
        <w:t>6</w:t>
      </w:r>
      <w:r>
        <w:rPr>
          <w:rFonts w:eastAsia="Calibri"/>
        </w:rPr>
        <w:t xml:space="preserve"> MIPS payment year, w</w:t>
      </w:r>
      <w:r w:rsidRPr="00CC2BFB" w:rsidR="00D27CC7">
        <w:rPr>
          <w:rFonts w:eastAsia="Calibri"/>
        </w:rPr>
        <w:t xml:space="preserve">e estimate </w:t>
      </w:r>
      <w:r>
        <w:rPr>
          <w:rFonts w:eastAsia="Calibri"/>
        </w:rPr>
        <w:t xml:space="preserve">that </w:t>
      </w:r>
      <w:r w:rsidR="001237C2">
        <w:rPr>
          <w:rFonts w:eastAsia="Calibri"/>
        </w:rPr>
        <w:t>0.1</w:t>
      </w:r>
      <w:r w:rsidRPr="00CC2BFB" w:rsidR="00D27CC7">
        <w:rPr>
          <w:rFonts w:eastAsia="Calibri"/>
        </w:rPr>
        <w:t xml:space="preserve"> percent of the total clinicians and groups who will voluntarily participate in MIPS will also elect not to participate in public reporting. </w:t>
      </w:r>
      <w:r w:rsidRPr="00367710" w:rsidR="00367710">
        <w:rPr>
          <w:rFonts w:eastAsia="Calibri"/>
        </w:rPr>
        <w:t xml:space="preserve">This results in a total of </w:t>
      </w:r>
      <w:r w:rsidR="0063585D">
        <w:rPr>
          <w:rFonts w:eastAsia="Calibri"/>
        </w:rPr>
        <w:t>3</w:t>
      </w:r>
      <w:r w:rsidR="00B35F12">
        <w:rPr>
          <w:rFonts w:eastAsia="Calibri"/>
        </w:rPr>
        <w:t>8</w:t>
      </w:r>
      <w:r w:rsidRPr="00367710" w:rsidR="00367710">
        <w:rPr>
          <w:rFonts w:eastAsia="Calibri"/>
        </w:rPr>
        <w:t xml:space="preserve"> (0.</w:t>
      </w:r>
      <w:r w:rsidR="007C12F1">
        <w:rPr>
          <w:rFonts w:eastAsia="Calibri"/>
        </w:rPr>
        <w:t>001</w:t>
      </w:r>
      <w:r w:rsidRPr="00367710" w:rsidR="00367710">
        <w:rPr>
          <w:rFonts w:eastAsia="Calibri"/>
        </w:rPr>
        <w:t xml:space="preserve"> x </w:t>
      </w:r>
      <w:r w:rsidR="0063585D">
        <w:rPr>
          <w:rFonts w:eastAsia="Calibri"/>
        </w:rPr>
        <w:t>3</w:t>
      </w:r>
      <w:r w:rsidR="00C0190D">
        <w:rPr>
          <w:rFonts w:eastAsia="Calibri"/>
        </w:rPr>
        <w:t>7,934</w:t>
      </w:r>
      <w:r w:rsidRPr="00367710" w:rsidR="00367710">
        <w:rPr>
          <w:rFonts w:eastAsia="Calibri"/>
        </w:rPr>
        <w:t xml:space="preserve"> voluntary MIPS participants) clinicians and groups</w:t>
      </w:r>
      <w:r w:rsidR="00DF3437">
        <w:rPr>
          <w:rFonts w:eastAsia="Calibri"/>
        </w:rPr>
        <w:t xml:space="preserve"> that </w:t>
      </w:r>
      <w:r w:rsidR="00F71F17">
        <w:rPr>
          <w:rFonts w:eastAsia="Calibri"/>
        </w:rPr>
        <w:t>will voluntarily o</w:t>
      </w:r>
      <w:r w:rsidR="00E26CBD">
        <w:rPr>
          <w:rFonts w:eastAsia="Calibri"/>
        </w:rPr>
        <w:t xml:space="preserve">pt-out </w:t>
      </w:r>
      <w:r w:rsidR="0045663C">
        <w:rPr>
          <w:rFonts w:eastAsia="Calibri"/>
        </w:rPr>
        <w:t>of public reporting</w:t>
      </w:r>
      <w:r w:rsidR="00075E52">
        <w:rPr>
          <w:rFonts w:eastAsia="Calibri"/>
        </w:rPr>
        <w:t xml:space="preserve"> on Compare </w:t>
      </w:r>
      <w:r w:rsidR="009B2DFD">
        <w:rPr>
          <w:rFonts w:eastAsia="Calibri"/>
        </w:rPr>
        <w:t>T</w:t>
      </w:r>
      <w:r w:rsidR="00075E52">
        <w:rPr>
          <w:rFonts w:eastAsia="Calibri"/>
        </w:rPr>
        <w:t>ools</w:t>
      </w:r>
      <w:r w:rsidR="0045663C">
        <w:rPr>
          <w:rFonts w:eastAsia="Calibri"/>
        </w:rPr>
        <w:t>.</w:t>
      </w:r>
      <w:r w:rsidRPr="00367710" w:rsidR="00367710">
        <w:rPr>
          <w:rFonts w:eastAsia="Calibri"/>
        </w:rPr>
        <w:t xml:space="preserve">  </w:t>
      </w:r>
    </w:p>
    <w:p w:rsidR="00F7398F" w:rsidP="00E12B53" w14:paraId="12432B04" w14:textId="6C79AAFC">
      <w:pPr>
        <w:rPr>
          <w:rFonts w:eastAsia="Calibri"/>
        </w:rPr>
      </w:pPr>
      <w:r w:rsidRPr="55A5CB33">
        <w:rPr>
          <w:rFonts w:eastAsia="Calibri"/>
        </w:rPr>
        <w:t xml:space="preserve">As shown in </w:t>
      </w:r>
      <w:r w:rsidRPr="55A5CB33" w:rsidR="00D74A09">
        <w:rPr>
          <w:rFonts w:eastAsia="Calibri"/>
        </w:rPr>
        <w:t xml:space="preserve">Table </w:t>
      </w:r>
      <w:r w:rsidRPr="55A5CB33">
        <w:rPr>
          <w:rFonts w:eastAsia="Calibri"/>
        </w:rPr>
        <w:t>2</w:t>
      </w:r>
      <w:r w:rsidRPr="55A5CB33" w:rsidR="004C2BB3">
        <w:rPr>
          <w:rFonts w:eastAsia="Calibri"/>
        </w:rPr>
        <w:t>8</w:t>
      </w:r>
      <w:r w:rsidRPr="55A5CB33" w:rsidR="00D74A09">
        <w:rPr>
          <w:rFonts w:eastAsia="Calibri"/>
        </w:rPr>
        <w:t xml:space="preserve">, we estimate </w:t>
      </w:r>
      <w:r w:rsidRPr="55A5CB33">
        <w:rPr>
          <w:rFonts w:eastAsia="Calibri"/>
        </w:rPr>
        <w:t xml:space="preserve">that </w:t>
      </w:r>
      <w:r w:rsidRPr="55A5CB33" w:rsidR="00D74A09">
        <w:rPr>
          <w:rFonts w:eastAsia="Calibri"/>
        </w:rPr>
        <w:t>it w</w:t>
      </w:r>
      <w:r w:rsidRPr="55A5CB33" w:rsidR="00B5001B">
        <w:rPr>
          <w:rFonts w:eastAsia="Calibri"/>
        </w:rPr>
        <w:t>ould</w:t>
      </w:r>
      <w:r w:rsidRPr="55A5CB33" w:rsidR="00D74A09">
        <w:rPr>
          <w:rFonts w:eastAsia="Calibri"/>
        </w:rPr>
        <w:t xml:space="preserve"> take 0.25 hours at $</w:t>
      </w:r>
      <w:r w:rsidRPr="55A5CB33" w:rsidR="004C2BB3">
        <w:rPr>
          <w:rFonts w:eastAsia="Calibri"/>
        </w:rPr>
        <w:t>103.40</w:t>
      </w:r>
      <w:r w:rsidRPr="55A5CB33" w:rsidR="00D74A09">
        <w:rPr>
          <w:rFonts w:eastAsia="Calibri"/>
        </w:rPr>
        <w:t xml:space="preserve">/hr for a computer system analyst to submit a request to opt-out. </w:t>
      </w:r>
      <w:r w:rsidRPr="55A5CB33" w:rsidR="00107DFD">
        <w:rPr>
          <w:rFonts w:eastAsia="Calibri"/>
        </w:rPr>
        <w:t xml:space="preserve">In aggregate, we estimate an annual burden of </w:t>
      </w:r>
      <w:r w:rsidRPr="55A5CB33" w:rsidR="00EB600B">
        <w:rPr>
          <w:rFonts w:eastAsia="Calibri"/>
        </w:rPr>
        <w:t>10</w:t>
      </w:r>
      <w:r w:rsidRPr="55A5CB33" w:rsidR="00107DFD">
        <w:rPr>
          <w:rFonts w:eastAsia="Calibri"/>
        </w:rPr>
        <w:t xml:space="preserve"> hours (</w:t>
      </w:r>
      <w:r w:rsidRPr="55A5CB33" w:rsidR="00321C69">
        <w:rPr>
          <w:rFonts w:eastAsia="Calibri"/>
        </w:rPr>
        <w:t>38</w:t>
      </w:r>
      <w:r w:rsidRPr="55A5CB33" w:rsidR="00107DFD">
        <w:rPr>
          <w:rFonts w:eastAsia="Calibri"/>
        </w:rPr>
        <w:t xml:space="preserve"> requests x 0.25 hr/request) a</w:t>
      </w:r>
      <w:r w:rsidRPr="55A5CB33" w:rsidR="00520CC6">
        <w:rPr>
          <w:rFonts w:eastAsia="Calibri"/>
        </w:rPr>
        <w:t xml:space="preserve">t a cost </w:t>
      </w:r>
      <w:r w:rsidRPr="55A5CB33" w:rsidR="00BC3840">
        <w:rPr>
          <w:rFonts w:eastAsia="Calibri"/>
        </w:rPr>
        <w:t>of $</w:t>
      </w:r>
      <w:r w:rsidRPr="55A5CB33" w:rsidR="00DE3351">
        <w:rPr>
          <w:rFonts w:eastAsia="Calibri"/>
        </w:rPr>
        <w:t>9</w:t>
      </w:r>
      <w:r w:rsidRPr="55A5CB33" w:rsidR="00AD5777">
        <w:rPr>
          <w:rFonts w:eastAsia="Calibri"/>
        </w:rPr>
        <w:t>8</w:t>
      </w:r>
      <w:r w:rsidRPr="55A5CB33" w:rsidR="007220DC">
        <w:rPr>
          <w:rFonts w:eastAsia="Calibri"/>
        </w:rPr>
        <w:t>2</w:t>
      </w:r>
      <w:r w:rsidRPr="55A5CB33" w:rsidR="00107DFD">
        <w:rPr>
          <w:rFonts w:eastAsia="Calibri"/>
        </w:rPr>
        <w:t xml:space="preserve"> (</w:t>
      </w:r>
      <w:r w:rsidRPr="55A5CB33" w:rsidR="00BD6CCD">
        <w:rPr>
          <w:rFonts w:eastAsia="Calibri"/>
        </w:rPr>
        <w:t>38 requests</w:t>
      </w:r>
      <w:r w:rsidRPr="55A5CB33" w:rsidR="00107DFD">
        <w:rPr>
          <w:rFonts w:eastAsia="Calibri"/>
        </w:rPr>
        <w:t xml:space="preserve"> x $</w:t>
      </w:r>
      <w:r w:rsidRPr="55A5CB33" w:rsidR="007220DC">
        <w:rPr>
          <w:rFonts w:eastAsia="Calibri"/>
        </w:rPr>
        <w:t>25.85/request</w:t>
      </w:r>
      <w:r w:rsidRPr="55A5CB33" w:rsidR="00107DFD">
        <w:rPr>
          <w:rFonts w:eastAsia="Calibri"/>
        </w:rPr>
        <w:t>)</w:t>
      </w:r>
      <w:r w:rsidRPr="55A5CB33" w:rsidR="008D5F2A">
        <w:rPr>
          <w:rFonts w:eastAsia="Calibri"/>
        </w:rPr>
        <w:t>.</w:t>
      </w:r>
    </w:p>
    <w:p w:rsidR="0088351C" w:rsidRPr="00C47150" w:rsidP="008356B6" w14:paraId="1A8574DD" w14:textId="2E309406">
      <w:pPr>
        <w:spacing w:before="200" w:after="0"/>
        <w:ind w:firstLine="720"/>
        <w:jc w:val="center"/>
        <w:rPr>
          <w:b/>
          <w:bCs/>
        </w:rPr>
      </w:pPr>
      <w:r w:rsidRPr="001376EC">
        <w:rPr>
          <w:b/>
          <w:bCs/>
        </w:rPr>
        <w:t xml:space="preserve">TABLE </w:t>
      </w:r>
      <w:r w:rsidR="007B664F">
        <w:rPr>
          <w:b/>
          <w:bCs/>
        </w:rPr>
        <w:t>2</w:t>
      </w:r>
      <w:r w:rsidR="004C2BB3">
        <w:rPr>
          <w:b/>
          <w:bCs/>
        </w:rPr>
        <w:t>8</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id="14" w:name="_Hlk493192926"/>
      <w:r w:rsidRPr="00C47150">
        <w:rPr>
          <w:b/>
          <w:bCs/>
        </w:rPr>
        <w:t>Voluntary Participants to Elect Opt Out of Performance Data Display on Compare</w:t>
      </w:r>
      <w:bookmarkEnd w:id="14"/>
      <w:r w:rsidR="00A4500E">
        <w:rPr>
          <w:b/>
          <w:bCs/>
        </w:rPr>
        <w:t xml:space="preserve"> Tools</w:t>
      </w:r>
      <w:r w:rsidR="00A7669E">
        <w:rPr>
          <w:b/>
          <w:bCs/>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4"/>
        <w:gridCol w:w="1366"/>
      </w:tblGrid>
      <w:tr w14:paraId="627E38CB" w14:textId="77777777" w:rsidTr="009B49E1">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8354" w:type="dxa"/>
            <w:shd w:val="clear" w:color="auto" w:fill="auto"/>
            <w:vAlign w:val="center"/>
            <w:hideMark/>
          </w:tcPr>
          <w:p w:rsidR="0088351C" w:rsidRPr="0088351C" w:rsidP="00885DCA" w14:paraId="0CE0FC0F" w14:textId="39CBAE8F">
            <w:pPr>
              <w:spacing w:after="0"/>
              <w:rPr>
                <w:b/>
                <w:sz w:val="20"/>
                <w:szCs w:val="20"/>
              </w:rPr>
            </w:pPr>
            <w:r w:rsidRPr="0047482B">
              <w:rPr>
                <w:sz w:val="20"/>
                <w:szCs w:val="20"/>
              </w:rPr>
              <w:t> </w:t>
            </w:r>
            <w:r w:rsidRPr="0088351C">
              <w:rPr>
                <w:b/>
                <w:sz w:val="20"/>
                <w:szCs w:val="20"/>
              </w:rPr>
              <w:t>Burden and Respondent Descriptions</w:t>
            </w:r>
          </w:p>
        </w:tc>
        <w:tc>
          <w:tcPr>
            <w:tcW w:w="1366" w:type="dxa"/>
            <w:shd w:val="clear" w:color="auto" w:fill="auto"/>
            <w:vAlign w:val="center"/>
            <w:hideMark/>
          </w:tcPr>
          <w:p w:rsidR="0088351C" w:rsidRPr="0047482B" w:rsidP="00885DCA" w14:paraId="2E3280A6" w14:textId="77777777">
            <w:pPr>
              <w:spacing w:after="0"/>
              <w:jc w:val="center"/>
              <w:rPr>
                <w:b/>
                <w:sz w:val="20"/>
                <w:szCs w:val="20"/>
              </w:rPr>
            </w:pPr>
            <w:r w:rsidRPr="0047482B">
              <w:rPr>
                <w:b/>
                <w:sz w:val="20"/>
                <w:szCs w:val="20"/>
              </w:rPr>
              <w:t>Burden Estimate</w:t>
            </w:r>
          </w:p>
        </w:tc>
      </w:tr>
      <w:tr w14:paraId="4D32A2AC" w14:textId="77777777" w:rsidTr="009B49E1">
        <w:tblPrEx>
          <w:tblW w:w="9720" w:type="dxa"/>
          <w:tblLook w:val="04A0"/>
        </w:tblPrEx>
        <w:trPr>
          <w:trHeight w:val="188"/>
        </w:trPr>
        <w:tc>
          <w:tcPr>
            <w:tcW w:w="8354" w:type="dxa"/>
            <w:shd w:val="clear" w:color="auto" w:fill="auto"/>
            <w:hideMark/>
          </w:tcPr>
          <w:p w:rsidR="007126F1" w:rsidRPr="0047482B" w:rsidP="00885DCA" w14:paraId="1F55B172" w14:textId="77777777">
            <w:pPr>
              <w:spacing w:after="0"/>
              <w:rPr>
                <w:sz w:val="20"/>
                <w:szCs w:val="20"/>
              </w:rPr>
            </w:pPr>
            <w:r w:rsidRPr="00732012">
              <w:rPr>
                <w:sz w:val="20"/>
                <w:szCs w:val="20"/>
              </w:rPr>
              <w:t># of Voluntary Participants Opting Out of Physician Compare (a)</w:t>
            </w:r>
          </w:p>
        </w:tc>
        <w:tc>
          <w:tcPr>
            <w:tcW w:w="1366" w:type="dxa"/>
            <w:shd w:val="clear" w:color="auto" w:fill="auto"/>
            <w:vAlign w:val="center"/>
            <w:hideMark/>
          </w:tcPr>
          <w:p w:rsidR="007126F1" w:rsidRPr="0047482B" w:rsidP="003D29BA" w14:paraId="358512E5" w14:textId="3DB95E61">
            <w:pPr>
              <w:spacing w:after="0"/>
              <w:jc w:val="right"/>
              <w:rPr>
                <w:sz w:val="20"/>
                <w:szCs w:val="20"/>
              </w:rPr>
            </w:pPr>
            <w:r>
              <w:rPr>
                <w:sz w:val="20"/>
                <w:szCs w:val="20"/>
              </w:rPr>
              <w:t>3</w:t>
            </w:r>
            <w:r w:rsidR="00855E41">
              <w:rPr>
                <w:sz w:val="20"/>
                <w:szCs w:val="20"/>
              </w:rPr>
              <w:t>8</w:t>
            </w:r>
          </w:p>
        </w:tc>
      </w:tr>
      <w:tr w14:paraId="63284314" w14:textId="77777777" w:rsidTr="009B49E1">
        <w:tblPrEx>
          <w:tblW w:w="9720" w:type="dxa"/>
          <w:tblLook w:val="04A0"/>
        </w:tblPrEx>
        <w:trPr>
          <w:trHeight w:val="215"/>
        </w:trPr>
        <w:tc>
          <w:tcPr>
            <w:tcW w:w="8354" w:type="dxa"/>
            <w:shd w:val="clear" w:color="auto" w:fill="auto"/>
            <w:hideMark/>
          </w:tcPr>
          <w:p w:rsidR="007126F1" w:rsidRPr="0047482B" w:rsidP="00885DCA" w14:paraId="2A978544" w14:textId="77777777">
            <w:pPr>
              <w:spacing w:after="0"/>
              <w:rPr>
                <w:sz w:val="20"/>
                <w:szCs w:val="20"/>
              </w:rPr>
            </w:pPr>
            <w:r w:rsidRPr="00732012">
              <w:rPr>
                <w:sz w:val="20"/>
                <w:szCs w:val="20"/>
              </w:rPr>
              <w:t>Total Annual Hours Per Opt-out Requester (b)</w:t>
            </w:r>
          </w:p>
        </w:tc>
        <w:tc>
          <w:tcPr>
            <w:tcW w:w="1366" w:type="dxa"/>
            <w:shd w:val="clear" w:color="auto" w:fill="auto"/>
            <w:vAlign w:val="center"/>
            <w:hideMark/>
          </w:tcPr>
          <w:p w:rsidR="007126F1" w:rsidRPr="0047482B" w:rsidP="003D29BA" w14:paraId="11E040F2" w14:textId="69C22518">
            <w:pPr>
              <w:spacing w:after="0"/>
              <w:jc w:val="right"/>
              <w:rPr>
                <w:sz w:val="20"/>
                <w:szCs w:val="20"/>
              </w:rPr>
            </w:pPr>
            <w:r w:rsidRPr="00906435">
              <w:rPr>
                <w:rFonts w:eastAsia="Calibri"/>
                <w:sz w:val="20"/>
                <w:szCs w:val="20"/>
              </w:rPr>
              <w:t>0.25</w:t>
            </w:r>
          </w:p>
        </w:tc>
      </w:tr>
      <w:tr w14:paraId="0B295030" w14:textId="77777777" w:rsidTr="003D29BA">
        <w:tblPrEx>
          <w:tblW w:w="9720" w:type="dxa"/>
          <w:tblLook w:val="04A0"/>
        </w:tblPrEx>
        <w:trPr>
          <w:trHeight w:val="260"/>
        </w:trPr>
        <w:tc>
          <w:tcPr>
            <w:tcW w:w="8354" w:type="dxa"/>
            <w:shd w:val="clear" w:color="auto" w:fill="E7E6E6" w:themeFill="background2"/>
            <w:hideMark/>
          </w:tcPr>
          <w:p w:rsidR="007126F1" w:rsidRPr="00485667" w:rsidP="00885DCA" w14:paraId="1AA234D4" w14:textId="667DB4F3">
            <w:pPr>
              <w:spacing w:after="0"/>
              <w:rPr>
                <w:b/>
                <w:sz w:val="20"/>
                <w:szCs w:val="20"/>
              </w:rPr>
            </w:pPr>
            <w:r w:rsidRPr="00485667">
              <w:rPr>
                <w:b/>
                <w:sz w:val="20"/>
                <w:szCs w:val="20"/>
              </w:rPr>
              <w:t>Total Annual Hours (c) = (a)</w:t>
            </w:r>
            <w:r w:rsidR="00D96441">
              <w:rPr>
                <w:b/>
                <w:sz w:val="20"/>
                <w:szCs w:val="20"/>
              </w:rPr>
              <w:t xml:space="preserve"> </w:t>
            </w:r>
            <w:r w:rsidR="006C6311">
              <w:rPr>
                <w:b/>
                <w:sz w:val="20"/>
                <w:szCs w:val="20"/>
              </w:rPr>
              <w:t>[</w:t>
            </w:r>
            <w:r w:rsidRPr="00533688" w:rsidR="00533688">
              <w:rPr>
                <w:b/>
                <w:sz w:val="20"/>
                <w:szCs w:val="20"/>
              </w:rPr>
              <w:t>x</w:t>
            </w:r>
            <w:r w:rsidR="006C6311">
              <w:rPr>
                <w:b/>
                <w:sz w:val="20"/>
                <w:szCs w:val="20"/>
              </w:rPr>
              <w:t>]</w:t>
            </w:r>
            <w:r w:rsidRPr="00533688" w:rsidR="00533688">
              <w:rPr>
                <w:b/>
                <w:sz w:val="20"/>
                <w:szCs w:val="20"/>
              </w:rPr>
              <w:t xml:space="preserve"> </w:t>
            </w:r>
            <w:r w:rsidRPr="00485667">
              <w:rPr>
                <w:b/>
                <w:sz w:val="20"/>
                <w:szCs w:val="20"/>
              </w:rPr>
              <w:t>(b)</w:t>
            </w:r>
          </w:p>
        </w:tc>
        <w:tc>
          <w:tcPr>
            <w:tcW w:w="1366" w:type="dxa"/>
            <w:shd w:val="clear" w:color="auto" w:fill="E7E6E6" w:themeFill="background2"/>
            <w:vAlign w:val="center"/>
            <w:hideMark/>
          </w:tcPr>
          <w:p w:rsidR="007126F1" w:rsidRPr="00485667" w:rsidP="003D29BA" w14:paraId="5BD16555" w14:textId="2F1B2963">
            <w:pPr>
              <w:spacing w:after="0"/>
              <w:jc w:val="right"/>
              <w:rPr>
                <w:b/>
                <w:sz w:val="20"/>
                <w:szCs w:val="20"/>
              </w:rPr>
            </w:pPr>
            <w:r>
              <w:rPr>
                <w:b/>
                <w:sz w:val="20"/>
                <w:szCs w:val="20"/>
              </w:rPr>
              <w:t>10</w:t>
            </w:r>
          </w:p>
        </w:tc>
      </w:tr>
      <w:tr w14:paraId="7F5AC91A" w14:textId="77777777" w:rsidTr="009B49E1">
        <w:tblPrEx>
          <w:tblW w:w="9720" w:type="dxa"/>
          <w:tblLook w:val="04A0"/>
        </w:tblPrEx>
        <w:trPr>
          <w:trHeight w:val="269"/>
        </w:trPr>
        <w:tc>
          <w:tcPr>
            <w:tcW w:w="8354" w:type="dxa"/>
            <w:shd w:val="clear" w:color="auto" w:fill="auto"/>
            <w:hideMark/>
          </w:tcPr>
          <w:p w:rsidR="007126F1" w:rsidRPr="0047482B" w:rsidP="00885DCA" w14:paraId="4AF600E7" w14:textId="18AB6D2B">
            <w:pPr>
              <w:spacing w:after="0"/>
              <w:rPr>
                <w:sz w:val="20"/>
                <w:szCs w:val="20"/>
              </w:rPr>
            </w:pPr>
            <w:r>
              <w:rPr>
                <w:sz w:val="20"/>
                <w:szCs w:val="20"/>
              </w:rPr>
              <w:t>Cost per re</w:t>
            </w:r>
            <w:r w:rsidR="007220DC">
              <w:rPr>
                <w:sz w:val="20"/>
                <w:szCs w:val="20"/>
              </w:rPr>
              <w:t>quest</w:t>
            </w:r>
            <w:r>
              <w:rPr>
                <w:sz w:val="20"/>
                <w:szCs w:val="20"/>
              </w:rPr>
              <w:t xml:space="preserve"> at </w:t>
            </w:r>
            <w:r w:rsidRPr="00732012">
              <w:rPr>
                <w:sz w:val="20"/>
                <w:szCs w:val="20"/>
              </w:rPr>
              <w:t>Labor rate for a computer systems analyst (d)</w:t>
            </w:r>
            <w:r>
              <w:rPr>
                <w:sz w:val="20"/>
                <w:szCs w:val="20"/>
              </w:rPr>
              <w:t xml:space="preserve"> = (b) [x] $103.40/hr</w:t>
            </w:r>
          </w:p>
        </w:tc>
        <w:tc>
          <w:tcPr>
            <w:tcW w:w="1366" w:type="dxa"/>
            <w:shd w:val="clear" w:color="auto" w:fill="auto"/>
            <w:vAlign w:val="center"/>
            <w:hideMark/>
          </w:tcPr>
          <w:p w:rsidR="007126F1" w:rsidRPr="0047482B" w:rsidP="003D29BA" w14:paraId="5A8D71FC" w14:textId="2F928745">
            <w:pPr>
              <w:spacing w:after="0"/>
              <w:jc w:val="right"/>
              <w:rPr>
                <w:sz w:val="20"/>
                <w:szCs w:val="20"/>
              </w:rPr>
            </w:pPr>
            <w:r>
              <w:rPr>
                <w:rFonts w:eastAsia="Calibri"/>
                <w:sz w:val="20"/>
                <w:szCs w:val="20"/>
              </w:rPr>
              <w:t>$25.8</w:t>
            </w:r>
            <w:r w:rsidR="00D933FB">
              <w:rPr>
                <w:rFonts w:eastAsia="Calibri"/>
                <w:sz w:val="20"/>
                <w:szCs w:val="20"/>
              </w:rPr>
              <w:t>5</w:t>
            </w:r>
          </w:p>
        </w:tc>
      </w:tr>
      <w:tr w14:paraId="03E15AAC" w14:textId="77777777" w:rsidTr="003D29BA">
        <w:tblPrEx>
          <w:tblW w:w="9720" w:type="dxa"/>
          <w:tblLook w:val="04A0"/>
        </w:tblPrEx>
        <w:trPr>
          <w:trHeight w:val="242"/>
        </w:trPr>
        <w:tc>
          <w:tcPr>
            <w:tcW w:w="8354" w:type="dxa"/>
            <w:shd w:val="clear" w:color="auto" w:fill="E7E6E6" w:themeFill="background2"/>
            <w:hideMark/>
          </w:tcPr>
          <w:p w:rsidR="007126F1" w:rsidRPr="00485667" w:rsidP="00885DCA" w14:paraId="58E1F49D" w14:textId="235C3B3C">
            <w:pPr>
              <w:spacing w:after="0"/>
              <w:rPr>
                <w:b/>
                <w:sz w:val="20"/>
                <w:szCs w:val="20"/>
              </w:rPr>
            </w:pPr>
            <w:r w:rsidRPr="00485667">
              <w:rPr>
                <w:b/>
                <w:sz w:val="20"/>
                <w:szCs w:val="20"/>
              </w:rPr>
              <w:t>Total Annual Cost (e) = (</w:t>
            </w:r>
            <w:r w:rsidR="007220DC">
              <w:rPr>
                <w:b/>
                <w:sz w:val="20"/>
                <w:szCs w:val="20"/>
              </w:rPr>
              <w:t>a</w:t>
            </w:r>
            <w:r w:rsidRPr="00485667">
              <w:rPr>
                <w:b/>
                <w:sz w:val="20"/>
                <w:szCs w:val="20"/>
              </w:rPr>
              <w:t>)</w:t>
            </w:r>
            <w:r w:rsidR="00D96441">
              <w:rPr>
                <w:b/>
                <w:sz w:val="20"/>
                <w:szCs w:val="20"/>
              </w:rPr>
              <w:t xml:space="preserve"> </w:t>
            </w:r>
            <w:r w:rsidR="006C6311">
              <w:rPr>
                <w:b/>
                <w:sz w:val="20"/>
                <w:szCs w:val="20"/>
              </w:rPr>
              <w:t>[</w:t>
            </w:r>
            <w:r w:rsidRPr="00533688" w:rsidR="00533688">
              <w:rPr>
                <w:b/>
                <w:sz w:val="20"/>
                <w:szCs w:val="20"/>
              </w:rPr>
              <w:t>x</w:t>
            </w:r>
            <w:r w:rsidR="006C6311">
              <w:rPr>
                <w:b/>
                <w:sz w:val="20"/>
                <w:szCs w:val="20"/>
              </w:rPr>
              <w:t>]</w:t>
            </w:r>
            <w:r w:rsidRPr="00533688" w:rsidR="00533688">
              <w:rPr>
                <w:b/>
                <w:sz w:val="20"/>
                <w:szCs w:val="20"/>
              </w:rPr>
              <w:t xml:space="preserve"> </w:t>
            </w:r>
            <w:r w:rsidRPr="00485667">
              <w:rPr>
                <w:b/>
                <w:sz w:val="20"/>
                <w:szCs w:val="20"/>
              </w:rPr>
              <w:t>(d)</w:t>
            </w:r>
          </w:p>
        </w:tc>
        <w:tc>
          <w:tcPr>
            <w:tcW w:w="1366" w:type="dxa"/>
            <w:shd w:val="clear" w:color="auto" w:fill="E7E6E6" w:themeFill="background2"/>
            <w:vAlign w:val="center"/>
            <w:hideMark/>
          </w:tcPr>
          <w:p w:rsidR="007126F1" w:rsidRPr="00485667" w:rsidP="003D29BA" w14:paraId="6F7202C6" w14:textId="2459261E">
            <w:pPr>
              <w:spacing w:after="0"/>
              <w:jc w:val="right"/>
              <w:rPr>
                <w:b/>
                <w:sz w:val="20"/>
                <w:szCs w:val="20"/>
              </w:rPr>
            </w:pPr>
            <w:r w:rsidRPr="00485667">
              <w:rPr>
                <w:rFonts w:eastAsia="Calibri"/>
                <w:b/>
                <w:sz w:val="20"/>
                <w:szCs w:val="20"/>
              </w:rPr>
              <w:t>$</w:t>
            </w:r>
            <w:r w:rsidR="00C841B5">
              <w:rPr>
                <w:rFonts w:eastAsia="Calibri"/>
                <w:b/>
                <w:sz w:val="20"/>
                <w:szCs w:val="20"/>
              </w:rPr>
              <w:t>9</w:t>
            </w:r>
            <w:r w:rsidR="00AD5777">
              <w:rPr>
                <w:rFonts w:eastAsia="Calibri"/>
                <w:b/>
                <w:sz w:val="20"/>
                <w:szCs w:val="20"/>
              </w:rPr>
              <w:t>8</w:t>
            </w:r>
            <w:r w:rsidR="007220DC">
              <w:rPr>
                <w:rFonts w:eastAsia="Calibri"/>
                <w:b/>
                <w:sz w:val="20"/>
                <w:szCs w:val="20"/>
              </w:rPr>
              <w:t>2</w:t>
            </w:r>
          </w:p>
        </w:tc>
      </w:tr>
    </w:tbl>
    <w:p w:rsidR="00B8172C" w:rsidP="0011028A" w14:paraId="438EB71E" w14:textId="77777777">
      <w:pPr>
        <w:pStyle w:val="Heading3"/>
        <w:numPr>
          <w:ilvl w:val="0"/>
          <w:numId w:val="0"/>
        </w:numPr>
        <w:ind w:left="2160"/>
      </w:pPr>
    </w:p>
    <w:p w:rsidR="00BC111B" w:rsidRPr="002A24B4" w:rsidP="0011028A" w14:paraId="65DF856E" w14:textId="77777777">
      <w:pPr>
        <w:pStyle w:val="Heading3"/>
      </w:pPr>
      <w:r>
        <w:t>Burden Estimate Summary</w:t>
      </w:r>
    </w:p>
    <w:p w:rsidR="00BC111B" w:rsidRPr="00D74F5F" w:rsidP="00BC111B" w14:paraId="4B0EACDE" w14:textId="74029D69">
      <w:pPr>
        <w:keepNext/>
        <w:keepLines/>
        <w:jc w:val="both"/>
        <w:rPr>
          <w:rFonts w:eastAsiaTheme="majorEastAsia" w:cstheme="majorBidi"/>
          <w:snapToGrid w:val="0"/>
          <w:szCs w:val="26"/>
        </w:rPr>
      </w:pPr>
      <w:r w:rsidRPr="00D74F5F">
        <w:rPr>
          <w:rFonts w:eastAsiaTheme="majorEastAsia" w:cstheme="majorBidi"/>
          <w:snapToGrid w:val="0"/>
          <w:szCs w:val="26"/>
        </w:rPr>
        <w:t>Tab</w:t>
      </w:r>
      <w:r>
        <w:rPr>
          <w:rFonts w:eastAsiaTheme="majorEastAsia" w:cstheme="majorBidi"/>
          <w:snapToGrid w:val="0"/>
          <w:szCs w:val="26"/>
        </w:rPr>
        <w:t>l</w:t>
      </w:r>
      <w:r w:rsidRPr="00D74F5F">
        <w:rPr>
          <w:rFonts w:eastAsiaTheme="majorEastAsia" w:cstheme="majorBidi"/>
          <w:snapToGrid w:val="0"/>
          <w:szCs w:val="26"/>
        </w:rPr>
        <w:t xml:space="preserve">e </w:t>
      </w:r>
      <w:r>
        <w:rPr>
          <w:rFonts w:eastAsiaTheme="majorEastAsia" w:cstheme="majorBidi"/>
          <w:snapToGrid w:val="0"/>
          <w:szCs w:val="26"/>
        </w:rPr>
        <w:t xml:space="preserve">29 </w:t>
      </w:r>
      <w:r w:rsidRPr="00D74F5F">
        <w:rPr>
          <w:rFonts w:eastAsiaTheme="majorEastAsia" w:cstheme="majorBidi"/>
          <w:snapToGrid w:val="0"/>
          <w:szCs w:val="26"/>
        </w:rPr>
        <w:t xml:space="preserve">below provide summaries of all burden estimates for each of the information collections included in this PRA for the </w:t>
      </w:r>
      <w:r>
        <w:rPr>
          <w:rFonts w:eastAsiaTheme="majorEastAsia" w:cstheme="majorBidi"/>
          <w:snapToGrid w:val="0"/>
          <w:szCs w:val="26"/>
        </w:rPr>
        <w:t xml:space="preserve">CY </w:t>
      </w:r>
      <w:r w:rsidRPr="00D74F5F">
        <w:rPr>
          <w:rFonts w:eastAsiaTheme="majorEastAsia" w:cstheme="majorBidi"/>
          <w:snapToGrid w:val="0"/>
          <w:szCs w:val="26"/>
        </w:rPr>
        <w:t>202</w:t>
      </w:r>
      <w:r>
        <w:rPr>
          <w:rFonts w:eastAsiaTheme="majorEastAsia" w:cstheme="majorBidi"/>
          <w:snapToGrid w:val="0"/>
          <w:szCs w:val="26"/>
        </w:rPr>
        <w:t>4</w:t>
      </w:r>
      <w:r w:rsidRPr="00D74F5F">
        <w:rPr>
          <w:rFonts w:eastAsiaTheme="majorEastAsia" w:cstheme="majorBidi"/>
          <w:snapToGrid w:val="0"/>
          <w:szCs w:val="26"/>
        </w:rPr>
        <w:t xml:space="preserve"> performance period</w:t>
      </w:r>
      <w:r>
        <w:rPr>
          <w:rFonts w:eastAsiaTheme="majorEastAsia" w:cstheme="majorBidi"/>
          <w:snapToGrid w:val="0"/>
          <w:szCs w:val="26"/>
        </w:rPr>
        <w:t>/2026 MIPS payment year</w:t>
      </w:r>
      <w:r w:rsidRPr="00D74F5F">
        <w:rPr>
          <w:rFonts w:eastAsiaTheme="majorEastAsia" w:cstheme="majorBidi"/>
          <w:snapToGrid w:val="0"/>
          <w:szCs w:val="26"/>
        </w:rPr>
        <w:t>.</w:t>
      </w:r>
      <w:r>
        <w:rPr>
          <w:rFonts w:eastAsiaTheme="majorEastAsia" w:cstheme="majorBidi"/>
          <w:snapToGrid w:val="0"/>
          <w:szCs w:val="26"/>
        </w:rPr>
        <w:t xml:space="preserve"> </w:t>
      </w:r>
      <w:r w:rsidRPr="00570A19">
        <w:rPr>
          <w:rFonts w:eastAsiaTheme="majorEastAsia" w:cstheme="majorBidi"/>
          <w:snapToGrid w:val="0"/>
          <w:szCs w:val="26"/>
        </w:rPr>
        <w:t>With respect to the PRA, the CY 202</w:t>
      </w:r>
      <w:r>
        <w:rPr>
          <w:rFonts w:eastAsiaTheme="majorEastAsia" w:cstheme="majorBidi"/>
          <w:snapToGrid w:val="0"/>
          <w:szCs w:val="26"/>
        </w:rPr>
        <w:t>4</w:t>
      </w:r>
      <w:r w:rsidRPr="00570A19">
        <w:rPr>
          <w:rFonts w:eastAsiaTheme="majorEastAsia" w:cstheme="majorBidi"/>
          <w:snapToGrid w:val="0"/>
          <w:szCs w:val="26"/>
        </w:rPr>
        <w:t xml:space="preserve"> PFS </w:t>
      </w:r>
      <w:r w:rsidR="00B703C6">
        <w:rPr>
          <w:rFonts w:eastAsiaTheme="majorEastAsia" w:cstheme="majorBidi"/>
          <w:snapToGrid w:val="0"/>
          <w:szCs w:val="26"/>
        </w:rPr>
        <w:t>final</w:t>
      </w:r>
      <w:r>
        <w:rPr>
          <w:rFonts w:eastAsiaTheme="majorEastAsia" w:cstheme="majorBidi"/>
          <w:snapToGrid w:val="0"/>
          <w:szCs w:val="26"/>
        </w:rPr>
        <w:t xml:space="preserve"> </w:t>
      </w:r>
      <w:r w:rsidRPr="00570A19">
        <w:rPr>
          <w:rFonts w:eastAsiaTheme="majorEastAsia" w:cstheme="majorBidi"/>
          <w:snapToGrid w:val="0"/>
          <w:szCs w:val="26"/>
        </w:rPr>
        <w:t xml:space="preserve">rule does not impose any non-labor costs. </w:t>
      </w:r>
    </w:p>
    <w:p w:rsidR="00BC111B" w:rsidRPr="00D74F5F" w:rsidP="00BC111B" w14:paraId="0D0AADAC" w14:textId="77777777">
      <w:pPr>
        <w:keepNext/>
        <w:keepLines/>
        <w:spacing w:after="0"/>
        <w:jc w:val="center"/>
        <w:rPr>
          <w:b/>
          <w:bCs/>
        </w:rPr>
      </w:pPr>
      <w:r w:rsidRPr="00D74F5F">
        <w:rPr>
          <w:b/>
          <w:bCs/>
        </w:rPr>
        <w:t xml:space="preserve">TABLE </w:t>
      </w:r>
      <w:r>
        <w:rPr>
          <w:b/>
          <w:bCs/>
        </w:rPr>
        <w:t>29</w:t>
      </w:r>
      <w:r w:rsidRPr="00D74F5F">
        <w:rPr>
          <w:b/>
          <w:bCs/>
        </w:rPr>
        <w:t xml:space="preserve">: </w:t>
      </w:r>
      <w:r>
        <w:rPr>
          <w:b/>
          <w:bCs/>
        </w:rPr>
        <w:t xml:space="preserve">CY </w:t>
      </w:r>
      <w:r w:rsidRPr="00D74F5F">
        <w:rPr>
          <w:b/>
          <w:bCs/>
        </w:rPr>
        <w:t>202</w:t>
      </w:r>
      <w:r>
        <w:rPr>
          <w:b/>
          <w:bCs/>
        </w:rPr>
        <w:t>4</w:t>
      </w:r>
      <w:r w:rsidRPr="00D74F5F">
        <w:rPr>
          <w:b/>
          <w:bCs/>
        </w:rPr>
        <w:t xml:space="preserve"> Performance Period</w:t>
      </w:r>
      <w:r>
        <w:rPr>
          <w:b/>
          <w:bCs/>
        </w:rPr>
        <w:t>/2026 MIPS Payment Year</w:t>
      </w:r>
      <w:r w:rsidRPr="00D74F5F">
        <w:rPr>
          <w:b/>
          <w:bCs/>
        </w:rPr>
        <w:t xml:space="preserve"> Burden Summary</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5"/>
        <w:gridCol w:w="1080"/>
        <w:gridCol w:w="1530"/>
        <w:gridCol w:w="1170"/>
        <w:gridCol w:w="1170"/>
        <w:gridCol w:w="1350"/>
        <w:gridCol w:w="1080"/>
        <w:gridCol w:w="1264"/>
      </w:tblGrid>
      <w:tr w14:paraId="60E2D4F8" w14:textId="77777777" w:rsidTr="00F24D56">
        <w:tblPrEx>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blHeader/>
          <w:jc w:val="center"/>
        </w:trPr>
        <w:tc>
          <w:tcPr>
            <w:tcW w:w="1885" w:type="dxa"/>
          </w:tcPr>
          <w:p w:rsidR="00BC111B" w:rsidRPr="00924421" w:rsidP="00F24D56" w14:paraId="6DB55DF9"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Regulation Section(s) Under Title 42 of the CFR</w:t>
            </w:r>
          </w:p>
        </w:tc>
        <w:tc>
          <w:tcPr>
            <w:tcW w:w="1080" w:type="dxa"/>
          </w:tcPr>
          <w:p w:rsidR="00BC111B" w:rsidRPr="00924421" w:rsidP="00F24D56" w14:paraId="61E3060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Table No.</w:t>
            </w:r>
          </w:p>
        </w:tc>
        <w:tc>
          <w:tcPr>
            <w:tcW w:w="1530" w:type="dxa"/>
          </w:tcPr>
          <w:p w:rsidR="00BC111B" w:rsidRPr="00924421" w:rsidP="00F24D56" w14:paraId="5D6B1C0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No. Respondents</w:t>
            </w:r>
          </w:p>
        </w:tc>
        <w:tc>
          <w:tcPr>
            <w:tcW w:w="1170" w:type="dxa"/>
          </w:tcPr>
          <w:p w:rsidR="00BC111B" w:rsidP="00F24D56" w14:paraId="711EF81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Total</w:t>
            </w:r>
          </w:p>
          <w:p w:rsidR="00BC111B" w:rsidRPr="00924421" w:rsidP="00F24D56" w14:paraId="4C2018A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Responses</w:t>
            </w:r>
          </w:p>
        </w:tc>
        <w:tc>
          <w:tcPr>
            <w:tcW w:w="1170" w:type="dxa"/>
          </w:tcPr>
          <w:p w:rsidR="00BC111B" w:rsidRPr="00924421" w:rsidP="00F24D56" w14:paraId="065F264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Time per Response (hours)</w:t>
            </w:r>
          </w:p>
        </w:tc>
        <w:tc>
          <w:tcPr>
            <w:tcW w:w="1350" w:type="dxa"/>
          </w:tcPr>
          <w:p w:rsidR="00BC111B" w:rsidRPr="00924421" w:rsidP="00F24D56" w14:paraId="0B4C1038"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Total Time (hours)</w:t>
            </w:r>
          </w:p>
        </w:tc>
        <w:tc>
          <w:tcPr>
            <w:tcW w:w="1080" w:type="dxa"/>
          </w:tcPr>
          <w:p w:rsidR="00BC111B" w:rsidRPr="00924421" w:rsidP="00F24D56" w14:paraId="0016DE15" w14:textId="77777777">
            <w:pPr>
              <w:keepNext/>
              <w:keepLines/>
              <w:spacing w:after="0"/>
              <w:jc w:val="center"/>
              <w:rPr>
                <w:b/>
                <w:sz w:val="20"/>
                <w:szCs w:val="20"/>
              </w:rPr>
            </w:pPr>
            <w:r w:rsidRPr="00924421">
              <w:rPr>
                <w:b/>
                <w:bCs/>
                <w:color w:val="000000"/>
                <w:sz w:val="20"/>
                <w:szCs w:val="20"/>
              </w:rPr>
              <w:t>Labor</w:t>
            </w:r>
            <w:r>
              <w:rPr>
                <w:b/>
                <w:bCs/>
                <w:color w:val="000000"/>
                <w:sz w:val="20"/>
                <w:szCs w:val="20"/>
              </w:rPr>
              <w:t xml:space="preserve"> </w:t>
            </w:r>
            <w:r w:rsidRPr="00924421">
              <w:rPr>
                <w:b/>
                <w:bCs/>
                <w:color w:val="000000"/>
                <w:sz w:val="20"/>
                <w:szCs w:val="20"/>
              </w:rPr>
              <w:t>Cost</w:t>
            </w:r>
            <w:r>
              <w:rPr>
                <w:b/>
                <w:bCs/>
                <w:color w:val="000000"/>
                <w:sz w:val="20"/>
                <w:szCs w:val="20"/>
              </w:rPr>
              <w:t xml:space="preserve"> </w:t>
            </w:r>
            <w:r w:rsidRPr="00924421">
              <w:rPr>
                <w:b/>
                <w:bCs/>
                <w:color w:val="000000"/>
                <w:sz w:val="20"/>
                <w:szCs w:val="20"/>
              </w:rPr>
              <w:t>($/hr)</w:t>
            </w:r>
          </w:p>
        </w:tc>
        <w:tc>
          <w:tcPr>
            <w:tcW w:w="1264" w:type="dxa"/>
          </w:tcPr>
          <w:p w:rsidR="00BC111B" w:rsidRPr="00924421" w:rsidP="00F24D56" w14:paraId="085285C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Total Cost</w:t>
            </w:r>
            <w:r>
              <w:rPr>
                <w:b/>
                <w:sz w:val="20"/>
                <w:szCs w:val="20"/>
              </w:rPr>
              <w:t xml:space="preserve"> </w:t>
            </w:r>
            <w:r w:rsidRPr="00924421">
              <w:rPr>
                <w:b/>
                <w:sz w:val="20"/>
                <w:szCs w:val="20"/>
              </w:rPr>
              <w:t>($)</w:t>
            </w:r>
          </w:p>
        </w:tc>
      </w:tr>
      <w:tr w14:paraId="23AD0ABE" w14:textId="77777777" w:rsidTr="00F24D56">
        <w:tblPrEx>
          <w:tblW w:w="10529" w:type="dxa"/>
          <w:jc w:val="center"/>
          <w:tblLayout w:type="fixed"/>
          <w:tblLook w:val="00A0"/>
        </w:tblPrEx>
        <w:trPr>
          <w:cantSplit/>
          <w:jc w:val="center"/>
        </w:trPr>
        <w:tc>
          <w:tcPr>
            <w:tcW w:w="1885" w:type="dxa"/>
          </w:tcPr>
          <w:p w:rsidR="00BC111B" w:rsidRPr="00924421" w:rsidP="00F24D56" w14:paraId="791125FF" w14:textId="6AF18052">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w:t>
            </w:r>
            <w:r w:rsidR="008A6415">
              <w:rPr>
                <w:sz w:val="20"/>
                <w:szCs w:val="20"/>
              </w:rPr>
              <w:t xml:space="preserve">Simplified </w:t>
            </w:r>
            <w:r w:rsidRPr="00924421">
              <w:rPr>
                <w:sz w:val="20"/>
                <w:szCs w:val="20"/>
              </w:rPr>
              <w:t>Registry</w:t>
            </w:r>
            <w:r>
              <w:rPr>
                <w:sz w:val="20"/>
                <w:szCs w:val="20"/>
              </w:rPr>
              <w:t xml:space="preserve"> </w:t>
            </w:r>
            <w:r w:rsidRPr="00924421">
              <w:rPr>
                <w:sz w:val="20"/>
                <w:szCs w:val="20"/>
              </w:rPr>
              <w:t>self- nomination)</w:t>
            </w:r>
          </w:p>
        </w:tc>
        <w:tc>
          <w:tcPr>
            <w:tcW w:w="1080" w:type="dxa"/>
          </w:tcPr>
          <w:p w:rsidR="00BC111B" w:rsidRPr="00924421" w:rsidP="00F24D56" w14:paraId="21EB919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p>
        </w:tc>
        <w:tc>
          <w:tcPr>
            <w:tcW w:w="1530" w:type="dxa"/>
            <w:vAlign w:val="center"/>
          </w:tcPr>
          <w:p w:rsidR="00BC111B" w:rsidRPr="00924421" w:rsidP="00F24D56" w14:paraId="653CFB2F" w14:textId="12A16F3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C2485A">
              <w:rPr>
                <w:sz w:val="20"/>
                <w:szCs w:val="20"/>
              </w:rPr>
              <w:t>8</w:t>
            </w:r>
            <w:r w:rsidR="003F3125">
              <w:rPr>
                <w:sz w:val="20"/>
                <w:szCs w:val="20"/>
              </w:rPr>
              <w:t>4</w:t>
            </w:r>
          </w:p>
        </w:tc>
        <w:tc>
          <w:tcPr>
            <w:tcW w:w="1170" w:type="dxa"/>
            <w:vAlign w:val="center"/>
          </w:tcPr>
          <w:p w:rsidR="00BC111B" w:rsidRPr="00924421" w:rsidP="00F24D56" w14:paraId="6F7D3627" w14:textId="5633AF5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8</w:t>
            </w:r>
            <w:r w:rsidR="003F3125">
              <w:rPr>
                <w:color w:val="000000"/>
                <w:sz w:val="20"/>
                <w:szCs w:val="20"/>
              </w:rPr>
              <w:t>4</w:t>
            </w:r>
          </w:p>
        </w:tc>
        <w:tc>
          <w:tcPr>
            <w:tcW w:w="1170" w:type="dxa"/>
            <w:vAlign w:val="center"/>
          </w:tcPr>
          <w:p w:rsidR="00BC111B" w:rsidRPr="00924421" w:rsidP="00F24D56" w14:paraId="31936E9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0.5</w:t>
            </w:r>
          </w:p>
        </w:tc>
        <w:tc>
          <w:tcPr>
            <w:tcW w:w="1350" w:type="dxa"/>
            <w:vAlign w:val="center"/>
          </w:tcPr>
          <w:p w:rsidR="00BC111B" w:rsidRPr="00924421" w:rsidP="00F24D56" w14:paraId="0005F9B6" w14:textId="17DACF89">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color w:val="000000"/>
                <w:sz w:val="20"/>
                <w:szCs w:val="20"/>
              </w:rPr>
              <w:t>4</w:t>
            </w:r>
            <w:r w:rsidR="003F3125">
              <w:rPr>
                <w:color w:val="000000"/>
                <w:sz w:val="20"/>
                <w:szCs w:val="20"/>
              </w:rPr>
              <w:t>2</w:t>
            </w:r>
          </w:p>
        </w:tc>
        <w:tc>
          <w:tcPr>
            <w:tcW w:w="1080" w:type="dxa"/>
            <w:vAlign w:val="center"/>
          </w:tcPr>
          <w:p w:rsidR="00BC111B" w:rsidRPr="00924421" w:rsidP="00F24D56" w14:paraId="00497BB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103.40</w:t>
            </w:r>
          </w:p>
        </w:tc>
        <w:tc>
          <w:tcPr>
            <w:tcW w:w="1264" w:type="dxa"/>
            <w:vAlign w:val="center"/>
          </w:tcPr>
          <w:p w:rsidR="00BC111B" w:rsidRPr="00924421" w:rsidP="00F24D56" w14:paraId="1E1B9843" w14:textId="40588B51">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4,</w:t>
            </w:r>
            <w:r w:rsidR="003F3125">
              <w:rPr>
                <w:color w:val="000000"/>
                <w:sz w:val="20"/>
                <w:szCs w:val="20"/>
              </w:rPr>
              <w:t>343</w:t>
            </w:r>
          </w:p>
        </w:tc>
      </w:tr>
      <w:tr w14:paraId="5AE2E9B7" w14:textId="77777777" w:rsidTr="00F24D56">
        <w:tblPrEx>
          <w:tblW w:w="10529" w:type="dxa"/>
          <w:jc w:val="center"/>
          <w:tblLayout w:type="fixed"/>
          <w:tblLook w:val="00A0"/>
        </w:tblPrEx>
        <w:trPr>
          <w:cantSplit/>
          <w:jc w:val="center"/>
        </w:trPr>
        <w:tc>
          <w:tcPr>
            <w:tcW w:w="1885" w:type="dxa"/>
          </w:tcPr>
          <w:p w:rsidR="00BC111B" w:rsidRPr="00924421" w:rsidP="00F24D56" w14:paraId="4081D59E" w14:textId="4EF77E9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w:t>
            </w:r>
            <w:r w:rsidRPr="00924421">
              <w:rPr>
                <w:sz w:val="20"/>
                <w:szCs w:val="20"/>
              </w:rPr>
              <w:t>414.1400 (</w:t>
            </w:r>
            <w:r w:rsidR="008A6415">
              <w:rPr>
                <w:sz w:val="20"/>
                <w:szCs w:val="20"/>
              </w:rPr>
              <w:t xml:space="preserve">Full </w:t>
            </w:r>
            <w:r w:rsidRPr="00924421">
              <w:rPr>
                <w:sz w:val="20"/>
                <w:szCs w:val="20"/>
              </w:rPr>
              <w:t>Registry</w:t>
            </w:r>
            <w:r>
              <w:rPr>
                <w:sz w:val="20"/>
                <w:szCs w:val="20"/>
              </w:rPr>
              <w:t xml:space="preserve"> </w:t>
            </w:r>
            <w:r w:rsidRPr="00924421">
              <w:rPr>
                <w:sz w:val="20"/>
                <w:szCs w:val="20"/>
              </w:rPr>
              <w:t>self- nomination)</w:t>
            </w:r>
          </w:p>
        </w:tc>
        <w:tc>
          <w:tcPr>
            <w:tcW w:w="1080" w:type="dxa"/>
          </w:tcPr>
          <w:p w:rsidR="00BC111B" w:rsidRPr="00924421" w:rsidP="00F24D56" w14:paraId="4FECE9E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w:t>
            </w:r>
          </w:p>
        </w:tc>
        <w:tc>
          <w:tcPr>
            <w:tcW w:w="1530" w:type="dxa"/>
          </w:tcPr>
          <w:p w:rsidR="00BC111B" w:rsidP="00F24D56" w14:paraId="4ED57AFC" w14:textId="1FE5866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w:t>
            </w:r>
          </w:p>
        </w:tc>
        <w:tc>
          <w:tcPr>
            <w:tcW w:w="1170" w:type="dxa"/>
          </w:tcPr>
          <w:p w:rsidR="00BC111B" w:rsidP="00F24D56" w14:paraId="6EDC075C" w14:textId="43611CE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w:t>
            </w:r>
          </w:p>
        </w:tc>
        <w:tc>
          <w:tcPr>
            <w:tcW w:w="1170" w:type="dxa"/>
          </w:tcPr>
          <w:p w:rsidR="00BC111B" w:rsidRPr="00924421" w:rsidP="00F24D56" w14:paraId="0A13514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p>
        </w:tc>
        <w:tc>
          <w:tcPr>
            <w:tcW w:w="1350" w:type="dxa"/>
          </w:tcPr>
          <w:p w:rsidR="00BC111B" w:rsidP="00F24D56" w14:paraId="2220F59E" w14:textId="7F9F2980">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54</w:t>
            </w:r>
          </w:p>
        </w:tc>
        <w:tc>
          <w:tcPr>
            <w:tcW w:w="1080" w:type="dxa"/>
          </w:tcPr>
          <w:p w:rsidR="00BC111B" w:rsidRPr="00924421" w:rsidP="00F24D56" w14:paraId="657B816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P="00F24D56" w14:paraId="4E20C99A" w14:textId="1808144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5,584</w:t>
            </w:r>
          </w:p>
        </w:tc>
      </w:tr>
      <w:tr w14:paraId="244ECF7C" w14:textId="77777777" w:rsidTr="00F24D56">
        <w:tblPrEx>
          <w:tblW w:w="10529" w:type="dxa"/>
          <w:jc w:val="center"/>
          <w:tblLayout w:type="fixed"/>
          <w:tblLook w:val="00A0"/>
        </w:tblPrEx>
        <w:trPr>
          <w:cantSplit/>
          <w:jc w:val="center"/>
        </w:trPr>
        <w:tc>
          <w:tcPr>
            <w:tcW w:w="1885" w:type="dxa"/>
          </w:tcPr>
          <w:p w:rsidR="00BC111B" w:rsidRPr="00924421" w:rsidP="00F24D56" w14:paraId="4E2D0A57" w14:textId="48D1A780">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w:t>
            </w:r>
            <w:r w:rsidR="008A6415">
              <w:rPr>
                <w:sz w:val="20"/>
                <w:szCs w:val="20"/>
              </w:rPr>
              <w:t xml:space="preserve">Simplified </w:t>
            </w:r>
            <w:r w:rsidRPr="00924421">
              <w:rPr>
                <w:sz w:val="20"/>
                <w:szCs w:val="20"/>
              </w:rPr>
              <w:t>QCDR self-nomination)</w:t>
            </w:r>
          </w:p>
        </w:tc>
        <w:tc>
          <w:tcPr>
            <w:tcW w:w="1080" w:type="dxa"/>
          </w:tcPr>
          <w:p w:rsidR="00BC111B" w:rsidRPr="00924421" w:rsidP="00F24D56" w14:paraId="30F284E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w:t>
            </w:r>
          </w:p>
        </w:tc>
        <w:tc>
          <w:tcPr>
            <w:tcW w:w="1530" w:type="dxa"/>
          </w:tcPr>
          <w:p w:rsidR="00BC111B" w:rsidRPr="00924421" w:rsidP="00F24D56" w14:paraId="62E218FD" w14:textId="08FFB11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w:t>
            </w:r>
            <w:r w:rsidR="00932FAA">
              <w:rPr>
                <w:sz w:val="20"/>
                <w:szCs w:val="20"/>
              </w:rPr>
              <w:t>4</w:t>
            </w:r>
          </w:p>
        </w:tc>
        <w:tc>
          <w:tcPr>
            <w:tcW w:w="1170" w:type="dxa"/>
          </w:tcPr>
          <w:p w:rsidR="00BC111B" w:rsidRPr="00924421" w:rsidP="00F24D56" w14:paraId="16E59826" w14:textId="543A183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w:t>
            </w:r>
            <w:r w:rsidR="00932FAA">
              <w:rPr>
                <w:sz w:val="20"/>
                <w:szCs w:val="20"/>
              </w:rPr>
              <w:t>4</w:t>
            </w:r>
          </w:p>
        </w:tc>
        <w:tc>
          <w:tcPr>
            <w:tcW w:w="1170" w:type="dxa"/>
          </w:tcPr>
          <w:p w:rsidR="00BC111B" w:rsidRPr="00924421" w:rsidP="00F24D56" w14:paraId="010AB569" w14:textId="53BF29A1">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9.5</w:t>
            </w:r>
          </w:p>
        </w:tc>
        <w:tc>
          <w:tcPr>
            <w:tcW w:w="1350" w:type="dxa"/>
          </w:tcPr>
          <w:p w:rsidR="00BC111B" w:rsidRPr="00924421" w:rsidP="00F24D56" w14:paraId="12DE3B30" w14:textId="67ACDBCE">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418</w:t>
            </w:r>
          </w:p>
        </w:tc>
        <w:tc>
          <w:tcPr>
            <w:tcW w:w="1080" w:type="dxa"/>
          </w:tcPr>
          <w:p w:rsidR="00BC111B" w:rsidRPr="00924421" w:rsidP="00F24D56" w14:paraId="7291633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4E977ACC" w14:textId="6D79514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43,221</w:t>
            </w:r>
          </w:p>
        </w:tc>
      </w:tr>
      <w:tr w14:paraId="64790029" w14:textId="77777777" w:rsidTr="00F24D56">
        <w:tblPrEx>
          <w:tblW w:w="10529" w:type="dxa"/>
          <w:jc w:val="center"/>
          <w:tblLayout w:type="fixed"/>
          <w:tblLook w:val="00A0"/>
        </w:tblPrEx>
        <w:trPr>
          <w:cantSplit/>
          <w:jc w:val="center"/>
        </w:trPr>
        <w:tc>
          <w:tcPr>
            <w:tcW w:w="1885" w:type="dxa"/>
          </w:tcPr>
          <w:p w:rsidR="00BC111B" w:rsidRPr="00924421" w:rsidP="00F24D56" w14:paraId="7E7A86AF" w14:textId="06F6383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w:t>
            </w:r>
            <w:r w:rsidR="008A6415">
              <w:rPr>
                <w:sz w:val="20"/>
                <w:szCs w:val="20"/>
              </w:rPr>
              <w:t xml:space="preserve">Full </w:t>
            </w:r>
            <w:r w:rsidRPr="00924421">
              <w:rPr>
                <w:sz w:val="20"/>
                <w:szCs w:val="20"/>
              </w:rPr>
              <w:t>QCDR self-nomination)</w:t>
            </w:r>
          </w:p>
        </w:tc>
        <w:tc>
          <w:tcPr>
            <w:tcW w:w="1080" w:type="dxa"/>
          </w:tcPr>
          <w:p w:rsidR="00BC111B" w:rsidP="00F24D56" w14:paraId="3D8DE21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w:t>
            </w:r>
          </w:p>
        </w:tc>
        <w:tc>
          <w:tcPr>
            <w:tcW w:w="1530" w:type="dxa"/>
          </w:tcPr>
          <w:p w:rsidR="00BC111B" w:rsidP="00F24D56" w14:paraId="072718DF" w14:textId="622F78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A11568">
              <w:rPr>
                <w:sz w:val="20"/>
                <w:szCs w:val="20"/>
              </w:rPr>
              <w:t>2</w:t>
            </w:r>
          </w:p>
        </w:tc>
        <w:tc>
          <w:tcPr>
            <w:tcW w:w="1170" w:type="dxa"/>
          </w:tcPr>
          <w:p w:rsidR="00BC111B" w:rsidP="00F24D56" w14:paraId="01F1E34E" w14:textId="52407EB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A11568">
              <w:rPr>
                <w:sz w:val="20"/>
                <w:szCs w:val="20"/>
              </w:rPr>
              <w:t>2</w:t>
            </w:r>
          </w:p>
        </w:tc>
        <w:tc>
          <w:tcPr>
            <w:tcW w:w="1170" w:type="dxa"/>
          </w:tcPr>
          <w:p w:rsidR="00BC111B" w:rsidP="00F24D56" w14:paraId="37A9D4F8" w14:textId="0F49E3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865CD8">
              <w:rPr>
                <w:sz w:val="20"/>
                <w:szCs w:val="20"/>
              </w:rPr>
              <w:t>1.5</w:t>
            </w:r>
          </w:p>
        </w:tc>
        <w:tc>
          <w:tcPr>
            <w:tcW w:w="1350" w:type="dxa"/>
          </w:tcPr>
          <w:p w:rsidR="00BC111B" w:rsidP="00F24D56" w14:paraId="095BF954" w14:textId="20BA1D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w:t>
            </w:r>
            <w:r w:rsidR="00865CD8">
              <w:rPr>
                <w:sz w:val="20"/>
                <w:szCs w:val="20"/>
              </w:rPr>
              <w:t>38</w:t>
            </w:r>
          </w:p>
        </w:tc>
        <w:tc>
          <w:tcPr>
            <w:tcW w:w="1080" w:type="dxa"/>
          </w:tcPr>
          <w:p w:rsidR="00BC111B" w:rsidP="00F24D56" w14:paraId="2878BDB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P="00F24D56" w14:paraId="3B130A25" w14:textId="1EFDD0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865CD8">
              <w:rPr>
                <w:sz w:val="20"/>
                <w:szCs w:val="20"/>
              </w:rPr>
              <w:t>4,269</w:t>
            </w:r>
          </w:p>
        </w:tc>
      </w:tr>
      <w:tr w14:paraId="1BBA8BA3" w14:textId="77777777" w:rsidTr="00F24D56">
        <w:tblPrEx>
          <w:tblW w:w="10529" w:type="dxa"/>
          <w:jc w:val="center"/>
          <w:tblLayout w:type="fixed"/>
          <w:tblLook w:val="00A0"/>
        </w:tblPrEx>
        <w:trPr>
          <w:cantSplit/>
          <w:jc w:val="center"/>
        </w:trPr>
        <w:tc>
          <w:tcPr>
            <w:tcW w:w="1885" w:type="dxa"/>
          </w:tcPr>
          <w:p w:rsidR="00BC111B" w:rsidRPr="00924421" w:rsidP="00F24D56" w14:paraId="1108131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w:t>
            </w:r>
            <w:r>
              <w:rPr>
                <w:sz w:val="20"/>
                <w:szCs w:val="20"/>
              </w:rPr>
              <w:t>Third Party Intermediary Plan Audits</w:t>
            </w:r>
            <w:r w:rsidRPr="00924421">
              <w:rPr>
                <w:sz w:val="20"/>
                <w:szCs w:val="20"/>
              </w:rPr>
              <w:t>)</w:t>
            </w:r>
          </w:p>
        </w:tc>
        <w:tc>
          <w:tcPr>
            <w:tcW w:w="1080" w:type="dxa"/>
          </w:tcPr>
          <w:p w:rsidR="00BC111B" w:rsidRPr="00924421" w:rsidP="00F24D56" w14:paraId="7DD220C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w:t>
            </w:r>
          </w:p>
        </w:tc>
        <w:tc>
          <w:tcPr>
            <w:tcW w:w="1530" w:type="dxa"/>
          </w:tcPr>
          <w:p w:rsidR="00BC111B" w:rsidRPr="00924421" w:rsidP="00F24D56" w14:paraId="0140DCBF" w14:textId="0A28ABE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4C2782">
              <w:rPr>
                <w:sz w:val="20"/>
                <w:szCs w:val="20"/>
              </w:rPr>
              <w:t>26</w:t>
            </w:r>
          </w:p>
        </w:tc>
        <w:tc>
          <w:tcPr>
            <w:tcW w:w="1170" w:type="dxa"/>
          </w:tcPr>
          <w:p w:rsidR="00BC111B" w:rsidRPr="00924421" w:rsidP="00F24D56" w14:paraId="30614C80" w14:textId="5557E7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4C2782">
              <w:rPr>
                <w:sz w:val="20"/>
                <w:szCs w:val="20"/>
              </w:rPr>
              <w:t>26</w:t>
            </w:r>
          </w:p>
        </w:tc>
        <w:tc>
          <w:tcPr>
            <w:tcW w:w="1170" w:type="dxa"/>
          </w:tcPr>
          <w:p w:rsidR="00BC111B" w:rsidRPr="00924421" w:rsidP="00F24D56" w14:paraId="1FC09E6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8)</w:t>
            </w:r>
          </w:p>
        </w:tc>
        <w:tc>
          <w:tcPr>
            <w:tcW w:w="1350" w:type="dxa"/>
          </w:tcPr>
          <w:p w:rsidR="00BC111B" w:rsidRPr="00924421" w:rsidP="00F24D56" w14:paraId="3B8A64FF" w14:textId="2862B65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499</w:t>
            </w:r>
          </w:p>
        </w:tc>
        <w:tc>
          <w:tcPr>
            <w:tcW w:w="1080" w:type="dxa"/>
          </w:tcPr>
          <w:p w:rsidR="00BC111B" w:rsidRPr="00924421" w:rsidP="00F24D56" w14:paraId="47515EF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17B5278A" w14:textId="6DFA490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51,597</w:t>
            </w:r>
          </w:p>
        </w:tc>
      </w:tr>
      <w:tr w14:paraId="68888ADE" w14:textId="77777777" w:rsidTr="00F24D56">
        <w:tblPrEx>
          <w:tblW w:w="10529" w:type="dxa"/>
          <w:jc w:val="center"/>
          <w:tblLayout w:type="fixed"/>
          <w:tblLook w:val="00A0"/>
        </w:tblPrEx>
        <w:trPr>
          <w:cantSplit/>
          <w:jc w:val="center"/>
        </w:trPr>
        <w:tc>
          <w:tcPr>
            <w:tcW w:w="1885" w:type="dxa"/>
          </w:tcPr>
          <w:p w:rsidR="00BC111B" w:rsidRPr="00924421" w:rsidP="00F24D56" w14:paraId="5E8BB00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Open Authorization Credentialing and Token Request Process</w:t>
            </w:r>
          </w:p>
        </w:tc>
        <w:tc>
          <w:tcPr>
            <w:tcW w:w="1080" w:type="dxa"/>
          </w:tcPr>
          <w:p w:rsidR="00BC111B" w:rsidRPr="00924421" w:rsidP="00F24D56" w14:paraId="2FECBEC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p>
        </w:tc>
        <w:tc>
          <w:tcPr>
            <w:tcW w:w="1530" w:type="dxa"/>
          </w:tcPr>
          <w:p w:rsidR="00BC111B" w:rsidRPr="00924421" w:rsidP="00F24D56" w14:paraId="285FC80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00BC111B" w:rsidRPr="00924421" w:rsidP="00F24D56" w14:paraId="7D88EE4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00BC111B" w:rsidRPr="00924421" w:rsidP="00F24D56" w14:paraId="09294BA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p>
        </w:tc>
        <w:tc>
          <w:tcPr>
            <w:tcW w:w="1350" w:type="dxa"/>
          </w:tcPr>
          <w:p w:rsidR="00BC111B" w:rsidRPr="00924421" w:rsidP="00F24D56" w14:paraId="1047C18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30</w:t>
            </w:r>
          </w:p>
        </w:tc>
        <w:tc>
          <w:tcPr>
            <w:tcW w:w="1080" w:type="dxa"/>
          </w:tcPr>
          <w:p w:rsidR="00BC111B" w:rsidRPr="00924421" w:rsidP="00F24D56" w14:paraId="2BD8F21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3CCB91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3,102</w:t>
            </w:r>
          </w:p>
        </w:tc>
      </w:tr>
      <w:tr w14:paraId="1174B1D0" w14:textId="77777777" w:rsidTr="00F24D56">
        <w:tblPrEx>
          <w:tblW w:w="10529" w:type="dxa"/>
          <w:jc w:val="center"/>
          <w:tblLayout w:type="fixed"/>
          <w:tblLook w:val="00A0"/>
        </w:tblPrEx>
        <w:trPr>
          <w:cantSplit/>
          <w:jc w:val="center"/>
        </w:trPr>
        <w:tc>
          <w:tcPr>
            <w:tcW w:w="1885" w:type="dxa"/>
          </w:tcPr>
          <w:p w:rsidR="00BC111B" w:rsidRPr="00924421" w:rsidP="00F24D56" w14:paraId="59445D1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(QPP Identity Management Application Process)</w:t>
            </w:r>
          </w:p>
        </w:tc>
        <w:tc>
          <w:tcPr>
            <w:tcW w:w="1080" w:type="dxa"/>
          </w:tcPr>
          <w:p w:rsidR="00BC111B" w:rsidRPr="00924421" w:rsidP="00F24D56" w14:paraId="2EB4DBA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530" w:type="dxa"/>
          </w:tcPr>
          <w:p w:rsidR="00BC111B" w:rsidRPr="00924421" w:rsidP="00F24D56" w14:paraId="6B5C7A4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6,500</w:t>
            </w:r>
          </w:p>
        </w:tc>
        <w:tc>
          <w:tcPr>
            <w:tcW w:w="1170" w:type="dxa"/>
          </w:tcPr>
          <w:p w:rsidR="00BC111B" w:rsidRPr="00924421" w:rsidP="00F24D56" w14:paraId="55CAD3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6,500</w:t>
            </w:r>
          </w:p>
        </w:tc>
        <w:tc>
          <w:tcPr>
            <w:tcW w:w="1170" w:type="dxa"/>
          </w:tcPr>
          <w:p w:rsidR="00BC111B" w:rsidRPr="00924421" w:rsidP="00F24D56" w14:paraId="61209EB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350" w:type="dxa"/>
          </w:tcPr>
          <w:p w:rsidR="00BC111B" w:rsidRPr="00924421" w:rsidP="00F24D56" w14:paraId="3B754AF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6,500</w:t>
            </w:r>
          </w:p>
        </w:tc>
        <w:tc>
          <w:tcPr>
            <w:tcW w:w="1080" w:type="dxa"/>
          </w:tcPr>
          <w:p w:rsidR="00BC111B" w:rsidRPr="00924421" w:rsidP="00F24D56" w14:paraId="1DCA9F7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0154134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6</w:t>
            </w:r>
            <w:r>
              <w:rPr>
                <w:sz w:val="20"/>
                <w:szCs w:val="20"/>
              </w:rPr>
              <w:t>72,100</w:t>
            </w:r>
          </w:p>
        </w:tc>
      </w:tr>
      <w:tr w14:paraId="7A93C097" w14:textId="77777777" w:rsidTr="00F24D56">
        <w:tblPrEx>
          <w:tblW w:w="10529" w:type="dxa"/>
          <w:jc w:val="center"/>
          <w:tblLayout w:type="fixed"/>
          <w:tblLook w:val="00A0"/>
        </w:tblPrEx>
        <w:trPr>
          <w:cantSplit/>
          <w:jc w:val="center"/>
        </w:trPr>
        <w:tc>
          <w:tcPr>
            <w:tcW w:w="1885" w:type="dxa"/>
          </w:tcPr>
          <w:p w:rsidR="00BC111B" w:rsidRPr="00924421" w:rsidP="00F24D56" w14:paraId="44D6275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Claims Collection Type]</w:t>
            </w:r>
          </w:p>
        </w:tc>
        <w:tc>
          <w:tcPr>
            <w:tcW w:w="1080" w:type="dxa"/>
          </w:tcPr>
          <w:p w:rsidR="00BC111B" w:rsidRPr="00924421" w:rsidP="00F24D56" w14:paraId="66AF40F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w:t>
            </w:r>
          </w:p>
        </w:tc>
        <w:tc>
          <w:tcPr>
            <w:tcW w:w="1530" w:type="dxa"/>
          </w:tcPr>
          <w:p w:rsidR="00BC111B" w:rsidRPr="00924421" w:rsidP="00F24D56" w14:paraId="6C5BAFCC" w14:textId="35CF689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F908E3">
              <w:rPr>
                <w:sz w:val="20"/>
                <w:szCs w:val="20"/>
              </w:rPr>
              <w:t>3,413</w:t>
            </w:r>
          </w:p>
        </w:tc>
        <w:tc>
          <w:tcPr>
            <w:tcW w:w="1170" w:type="dxa"/>
          </w:tcPr>
          <w:p w:rsidR="00BC111B" w:rsidRPr="00924421" w:rsidP="00F24D56" w14:paraId="1474192D" w14:textId="70EBDF0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F908E3">
              <w:rPr>
                <w:sz w:val="20"/>
                <w:szCs w:val="20"/>
              </w:rPr>
              <w:t>3,413</w:t>
            </w:r>
          </w:p>
        </w:tc>
        <w:tc>
          <w:tcPr>
            <w:tcW w:w="1170" w:type="dxa"/>
          </w:tcPr>
          <w:p w:rsidR="00BC111B" w:rsidRPr="00924421" w:rsidP="00F24D56" w14:paraId="44F694C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w:t>
            </w:r>
          </w:p>
        </w:tc>
        <w:tc>
          <w:tcPr>
            <w:tcW w:w="1350" w:type="dxa"/>
          </w:tcPr>
          <w:p w:rsidR="00BC111B" w:rsidRPr="00924421" w:rsidP="00F24D56" w14:paraId="42B5C645" w14:textId="23D864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190,465</w:t>
            </w:r>
          </w:p>
        </w:tc>
        <w:tc>
          <w:tcPr>
            <w:tcW w:w="1080" w:type="dxa"/>
          </w:tcPr>
          <w:p w:rsidR="00BC111B" w:rsidRPr="00924421" w:rsidP="00F24D56" w14:paraId="52841F3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Pr>
                <w:sz w:val="20"/>
                <w:szCs w:val="20"/>
              </w:rPr>
              <w:t>11</w:t>
            </w:r>
            <w:r w:rsidRPr="00924421">
              <w:rPr>
                <w:sz w:val="20"/>
                <w:szCs w:val="20"/>
              </w:rPr>
              <w:t>)</w:t>
            </w:r>
          </w:p>
        </w:tc>
        <w:tc>
          <w:tcPr>
            <w:tcW w:w="1264" w:type="dxa"/>
          </w:tcPr>
          <w:p w:rsidR="00BC111B" w:rsidRPr="00924421" w:rsidP="00F24D56" w14:paraId="31ADFB70" w14:textId="3F8E32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C1749B">
              <w:rPr>
                <w:sz w:val="20"/>
                <w:szCs w:val="20"/>
              </w:rPr>
              <w:t>1,303,868</w:t>
            </w:r>
          </w:p>
        </w:tc>
      </w:tr>
      <w:tr w14:paraId="59B64826" w14:textId="77777777" w:rsidTr="00F24D56">
        <w:tblPrEx>
          <w:tblW w:w="10529" w:type="dxa"/>
          <w:jc w:val="center"/>
          <w:tblLayout w:type="fixed"/>
          <w:tblLook w:val="00A0"/>
        </w:tblPrEx>
        <w:trPr>
          <w:cantSplit/>
          <w:jc w:val="center"/>
        </w:trPr>
        <w:tc>
          <w:tcPr>
            <w:tcW w:w="1885" w:type="dxa"/>
          </w:tcPr>
          <w:p w:rsidR="00BC111B" w:rsidRPr="00924421" w:rsidP="00F24D56" w14:paraId="115056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QCDR/MIPS CQM Collection Type]</w:t>
            </w:r>
          </w:p>
        </w:tc>
        <w:tc>
          <w:tcPr>
            <w:tcW w:w="1080" w:type="dxa"/>
          </w:tcPr>
          <w:p w:rsidR="00BC111B" w:rsidRPr="00924421" w:rsidP="00F24D56" w14:paraId="52243F9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w:t>
            </w:r>
          </w:p>
        </w:tc>
        <w:tc>
          <w:tcPr>
            <w:tcW w:w="1530" w:type="dxa"/>
          </w:tcPr>
          <w:p w:rsidR="00BC111B" w:rsidRPr="00924421" w:rsidP="00F24D56" w14:paraId="53A7FD69" w14:textId="4D22EB6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FC1869">
              <w:rPr>
                <w:sz w:val="20"/>
                <w:szCs w:val="20"/>
              </w:rPr>
              <w:t>6,632</w:t>
            </w:r>
          </w:p>
        </w:tc>
        <w:tc>
          <w:tcPr>
            <w:tcW w:w="1170" w:type="dxa"/>
          </w:tcPr>
          <w:p w:rsidR="00BC111B" w:rsidRPr="00924421" w:rsidP="00F24D56" w14:paraId="6EB18D84" w14:textId="4FAD77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FC1869">
              <w:rPr>
                <w:sz w:val="20"/>
                <w:szCs w:val="20"/>
              </w:rPr>
              <w:t>6,632</w:t>
            </w:r>
          </w:p>
        </w:tc>
        <w:tc>
          <w:tcPr>
            <w:tcW w:w="1170" w:type="dxa"/>
          </w:tcPr>
          <w:p w:rsidR="00BC111B" w:rsidRPr="00924421" w:rsidP="00F24D56" w14:paraId="2C8F02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9.083</w:t>
            </w:r>
          </w:p>
        </w:tc>
        <w:tc>
          <w:tcPr>
            <w:tcW w:w="1350" w:type="dxa"/>
          </w:tcPr>
          <w:p w:rsidR="00BC111B" w:rsidRPr="00924421" w:rsidP="00F24D56" w14:paraId="05518B87" w14:textId="4CC4D23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w:t>
            </w:r>
            <w:r w:rsidR="00A16F78">
              <w:rPr>
                <w:sz w:val="20"/>
                <w:szCs w:val="20"/>
              </w:rPr>
              <w:t>1,068</w:t>
            </w:r>
          </w:p>
        </w:tc>
        <w:tc>
          <w:tcPr>
            <w:tcW w:w="1080" w:type="dxa"/>
          </w:tcPr>
          <w:p w:rsidR="00BC111B" w:rsidRPr="00924421" w:rsidP="00F24D56" w14:paraId="24625DD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Pr>
                <w:sz w:val="20"/>
                <w:szCs w:val="20"/>
              </w:rPr>
              <w:t>12</w:t>
            </w:r>
            <w:r w:rsidRPr="00924421">
              <w:rPr>
                <w:sz w:val="20"/>
                <w:szCs w:val="20"/>
              </w:rPr>
              <w:t>)</w:t>
            </w:r>
          </w:p>
        </w:tc>
        <w:tc>
          <w:tcPr>
            <w:tcW w:w="1264" w:type="dxa"/>
          </w:tcPr>
          <w:p w:rsidR="00BC111B" w:rsidRPr="00924421" w:rsidP="00F24D56" w14:paraId="6CB79404" w14:textId="35C1DE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E214F6">
              <w:rPr>
                <w:sz w:val="20"/>
                <w:szCs w:val="20"/>
              </w:rPr>
              <w:t>7,289,629</w:t>
            </w:r>
          </w:p>
        </w:tc>
      </w:tr>
      <w:tr w14:paraId="0B9AAD8B" w14:textId="77777777" w:rsidTr="00F24D56">
        <w:tblPrEx>
          <w:tblW w:w="10529" w:type="dxa"/>
          <w:jc w:val="center"/>
          <w:tblLayout w:type="fixed"/>
          <w:tblLook w:val="00A0"/>
        </w:tblPrEx>
        <w:trPr>
          <w:cantSplit/>
          <w:jc w:val="center"/>
        </w:trPr>
        <w:tc>
          <w:tcPr>
            <w:tcW w:w="1885" w:type="dxa"/>
          </w:tcPr>
          <w:p w:rsidR="00BC111B" w:rsidRPr="00924421" w:rsidP="00F24D56" w14:paraId="40FACCD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eCQM Collection Type]</w:t>
            </w:r>
          </w:p>
        </w:tc>
        <w:tc>
          <w:tcPr>
            <w:tcW w:w="1080" w:type="dxa"/>
          </w:tcPr>
          <w:p w:rsidR="00BC111B" w:rsidRPr="00924421" w:rsidP="00F24D56" w14:paraId="7090672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w:t>
            </w:r>
          </w:p>
        </w:tc>
        <w:tc>
          <w:tcPr>
            <w:tcW w:w="1530" w:type="dxa"/>
          </w:tcPr>
          <w:p w:rsidR="00BC111B" w:rsidRPr="00924421" w:rsidP="00F24D56" w14:paraId="6ED265AF" w14:textId="697630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3A28D9">
              <w:rPr>
                <w:sz w:val="20"/>
                <w:szCs w:val="20"/>
              </w:rPr>
              <w:t>8,714</w:t>
            </w:r>
          </w:p>
        </w:tc>
        <w:tc>
          <w:tcPr>
            <w:tcW w:w="1170" w:type="dxa"/>
          </w:tcPr>
          <w:p w:rsidR="00BC111B" w:rsidRPr="00924421" w:rsidP="00F24D56" w14:paraId="1893EA08" w14:textId="524E454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E62562">
              <w:rPr>
                <w:sz w:val="20"/>
                <w:szCs w:val="20"/>
              </w:rPr>
              <w:t>8,714</w:t>
            </w:r>
          </w:p>
        </w:tc>
        <w:tc>
          <w:tcPr>
            <w:tcW w:w="1170" w:type="dxa"/>
          </w:tcPr>
          <w:p w:rsidR="00BC111B" w:rsidRPr="00924421" w:rsidP="00F24D56" w14:paraId="7D85E75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8.0</w:t>
            </w:r>
          </w:p>
        </w:tc>
        <w:tc>
          <w:tcPr>
            <w:tcW w:w="1350" w:type="dxa"/>
          </w:tcPr>
          <w:p w:rsidR="00BC111B" w:rsidRPr="00924421" w:rsidP="00F24D56" w14:paraId="15088B16" w14:textId="1FC531A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229,712</w:t>
            </w:r>
          </w:p>
        </w:tc>
        <w:tc>
          <w:tcPr>
            <w:tcW w:w="1080" w:type="dxa"/>
          </w:tcPr>
          <w:p w:rsidR="00BC111B" w:rsidRPr="00924421" w:rsidP="00F24D56" w14:paraId="03CC915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Pr>
                <w:sz w:val="20"/>
                <w:szCs w:val="20"/>
              </w:rPr>
              <w:t>13</w:t>
            </w:r>
            <w:r w:rsidRPr="00924421">
              <w:rPr>
                <w:sz w:val="20"/>
                <w:szCs w:val="20"/>
              </w:rPr>
              <w:t>)</w:t>
            </w:r>
          </w:p>
        </w:tc>
        <w:tc>
          <w:tcPr>
            <w:tcW w:w="1264" w:type="dxa"/>
          </w:tcPr>
          <w:p w:rsidR="00BC111B" w:rsidRPr="00924421" w:rsidP="00F24D56" w14:paraId="59F0F2AD" w14:textId="6B0F951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A65945">
              <w:rPr>
                <w:sz w:val="20"/>
                <w:szCs w:val="20"/>
              </w:rPr>
              <w:t>6,633,958</w:t>
            </w:r>
          </w:p>
        </w:tc>
      </w:tr>
      <w:tr w14:paraId="1B0F8EA6" w14:textId="77777777" w:rsidTr="00F24D56">
        <w:tblPrEx>
          <w:tblW w:w="10529" w:type="dxa"/>
          <w:jc w:val="center"/>
          <w:tblLayout w:type="fixed"/>
          <w:tblLook w:val="00A0"/>
        </w:tblPrEx>
        <w:trPr>
          <w:cantSplit/>
          <w:jc w:val="center"/>
        </w:trPr>
        <w:tc>
          <w:tcPr>
            <w:tcW w:w="1885" w:type="dxa"/>
            <w:vAlign w:val="bottom"/>
          </w:tcPr>
          <w:p w:rsidR="00BC111B" w:rsidRPr="00924421" w:rsidP="00F24D56" w14:paraId="4800670A" w14:textId="77777777">
            <w:pPr>
              <w:spacing w:after="0"/>
              <w:rPr>
                <w:sz w:val="20"/>
                <w:szCs w:val="20"/>
              </w:rPr>
            </w:pPr>
            <w:r w:rsidRPr="00924421">
              <w:rPr>
                <w:color w:val="000000"/>
                <w:sz w:val="20"/>
                <w:szCs w:val="20"/>
              </w:rPr>
              <w:t>§ 414.1365 MVP Registration</w:t>
            </w:r>
          </w:p>
        </w:tc>
        <w:tc>
          <w:tcPr>
            <w:tcW w:w="1080" w:type="dxa"/>
          </w:tcPr>
          <w:p w:rsidR="00BC111B" w:rsidRPr="00924421" w:rsidP="00F24D56" w14:paraId="527DD7A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4</w:t>
            </w:r>
          </w:p>
        </w:tc>
        <w:tc>
          <w:tcPr>
            <w:tcW w:w="1530" w:type="dxa"/>
          </w:tcPr>
          <w:p w:rsidR="00BC111B" w:rsidRPr="00924421" w:rsidP="00F24D56" w14:paraId="40C70686" w14:textId="4FD8362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317C07">
              <w:rPr>
                <w:sz w:val="20"/>
                <w:szCs w:val="20"/>
              </w:rPr>
              <w:t>58</w:t>
            </w:r>
            <w:r>
              <w:rPr>
                <w:sz w:val="20"/>
                <w:szCs w:val="20"/>
              </w:rPr>
              <w:t>5</w:t>
            </w:r>
          </w:p>
        </w:tc>
        <w:tc>
          <w:tcPr>
            <w:tcW w:w="1170" w:type="dxa"/>
          </w:tcPr>
          <w:p w:rsidR="00BC111B" w:rsidRPr="00924421" w:rsidP="00F24D56" w14:paraId="2E5208E4" w14:textId="34A24E0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317C07">
              <w:rPr>
                <w:sz w:val="20"/>
                <w:szCs w:val="20"/>
              </w:rPr>
              <w:t>58</w:t>
            </w:r>
            <w:r>
              <w:rPr>
                <w:sz w:val="20"/>
                <w:szCs w:val="20"/>
              </w:rPr>
              <w:t>5</w:t>
            </w:r>
          </w:p>
        </w:tc>
        <w:tc>
          <w:tcPr>
            <w:tcW w:w="1170" w:type="dxa"/>
          </w:tcPr>
          <w:p w:rsidR="00BC111B" w:rsidRPr="00924421" w:rsidP="00F24D56" w14:paraId="1C2BCDE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00BC111B" w:rsidRPr="00924421" w:rsidP="00F24D56" w14:paraId="5785C2F2" w14:textId="519971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w:t>
            </w:r>
            <w:r w:rsidR="00317C07">
              <w:rPr>
                <w:sz w:val="20"/>
                <w:szCs w:val="20"/>
              </w:rPr>
              <w:t>396</w:t>
            </w:r>
          </w:p>
        </w:tc>
        <w:tc>
          <w:tcPr>
            <w:tcW w:w="1080" w:type="dxa"/>
          </w:tcPr>
          <w:p w:rsidR="00BC111B" w:rsidRPr="00924421" w:rsidP="00F24D56" w14:paraId="41949D1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7D5AAF99" w14:textId="06AE17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764BFB">
              <w:rPr>
                <w:sz w:val="20"/>
                <w:szCs w:val="20"/>
              </w:rPr>
              <w:t>47,772</w:t>
            </w:r>
          </w:p>
        </w:tc>
      </w:tr>
      <w:tr w14:paraId="636432A4" w14:textId="77777777" w:rsidTr="00F24D56">
        <w:tblPrEx>
          <w:tblW w:w="10529" w:type="dxa"/>
          <w:jc w:val="center"/>
          <w:tblLayout w:type="fixed"/>
          <w:tblLook w:val="00A0"/>
        </w:tblPrEx>
        <w:trPr>
          <w:cantSplit/>
          <w:jc w:val="center"/>
        </w:trPr>
        <w:tc>
          <w:tcPr>
            <w:tcW w:w="1885" w:type="dxa"/>
            <w:vAlign w:val="bottom"/>
          </w:tcPr>
          <w:p w:rsidR="00BC111B" w:rsidRPr="00924421" w:rsidP="00F24D56" w14:paraId="3EE038C4" w14:textId="77777777">
            <w:pPr>
              <w:spacing w:after="0"/>
              <w:rPr>
                <w:sz w:val="20"/>
                <w:szCs w:val="20"/>
              </w:rPr>
            </w:pPr>
            <w:r w:rsidRPr="00924421">
              <w:rPr>
                <w:color w:val="000000"/>
                <w:sz w:val="20"/>
                <w:szCs w:val="20"/>
              </w:rPr>
              <w:t>§ 414.1365 Subgroup Registration</w:t>
            </w:r>
          </w:p>
        </w:tc>
        <w:tc>
          <w:tcPr>
            <w:tcW w:w="1080" w:type="dxa"/>
          </w:tcPr>
          <w:p w:rsidR="00BC111B" w:rsidRPr="00924421" w:rsidP="00F24D56" w14:paraId="3AEE957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5</w:t>
            </w:r>
          </w:p>
        </w:tc>
        <w:tc>
          <w:tcPr>
            <w:tcW w:w="1530" w:type="dxa"/>
          </w:tcPr>
          <w:p w:rsidR="00BC111B" w:rsidRPr="00924421" w:rsidP="00F24D56" w14:paraId="6DE8BD0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00BC111B" w:rsidRPr="00924421" w:rsidP="00F24D56" w14:paraId="14A8F51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00BC111B" w:rsidRPr="00924421" w:rsidP="00F24D56" w14:paraId="30CE24C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00BC111B" w:rsidRPr="00924421" w:rsidP="00F24D56" w14:paraId="6F65C87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w:t>
            </w:r>
          </w:p>
        </w:tc>
        <w:tc>
          <w:tcPr>
            <w:tcW w:w="1080" w:type="dxa"/>
          </w:tcPr>
          <w:p w:rsidR="00BC111B" w:rsidRPr="00924421" w:rsidP="00F24D56" w14:paraId="2EC7BBA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3F776B8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w:t>
            </w:r>
          </w:p>
        </w:tc>
      </w:tr>
      <w:tr w14:paraId="1E20ABF2" w14:textId="77777777" w:rsidTr="00F24D56">
        <w:tblPrEx>
          <w:tblW w:w="10529" w:type="dxa"/>
          <w:jc w:val="center"/>
          <w:tblLayout w:type="fixed"/>
          <w:tblLook w:val="00A0"/>
        </w:tblPrEx>
        <w:trPr>
          <w:cantSplit/>
          <w:jc w:val="center"/>
        </w:trPr>
        <w:tc>
          <w:tcPr>
            <w:tcW w:w="1885" w:type="dxa"/>
            <w:vAlign w:val="bottom"/>
          </w:tcPr>
          <w:p w:rsidR="00BC111B" w:rsidRPr="00924421" w:rsidP="00F24D56" w14:paraId="15F7A44F" w14:textId="77777777">
            <w:pPr>
              <w:spacing w:after="0"/>
              <w:rPr>
                <w:sz w:val="20"/>
                <w:szCs w:val="20"/>
              </w:rPr>
            </w:pPr>
            <w:r w:rsidRPr="00924421">
              <w:rPr>
                <w:color w:val="000000"/>
                <w:sz w:val="20"/>
                <w:szCs w:val="20"/>
              </w:rPr>
              <w:t>§ 414.1365 MVP Quality Submission</w:t>
            </w:r>
          </w:p>
        </w:tc>
        <w:tc>
          <w:tcPr>
            <w:tcW w:w="1080" w:type="dxa"/>
          </w:tcPr>
          <w:p w:rsidR="00BC111B" w:rsidRPr="00924421" w:rsidP="00F24D56" w14:paraId="58671F4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6</w:t>
            </w:r>
          </w:p>
        </w:tc>
        <w:tc>
          <w:tcPr>
            <w:tcW w:w="1530" w:type="dxa"/>
          </w:tcPr>
          <w:p w:rsidR="00BC111B" w:rsidRPr="00924421" w:rsidP="00F24D56" w14:paraId="07289415" w14:textId="5FC0365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D505DD">
              <w:rPr>
                <w:sz w:val="20"/>
                <w:szCs w:val="20"/>
              </w:rPr>
              <w:t>58</w:t>
            </w:r>
            <w:r>
              <w:rPr>
                <w:sz w:val="20"/>
                <w:szCs w:val="20"/>
              </w:rPr>
              <w:t>5</w:t>
            </w:r>
          </w:p>
        </w:tc>
        <w:tc>
          <w:tcPr>
            <w:tcW w:w="1170" w:type="dxa"/>
          </w:tcPr>
          <w:p w:rsidR="00BC111B" w:rsidRPr="00924421" w:rsidP="00F24D56" w14:paraId="3AC5AB91" w14:textId="6BF28EB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132571">
              <w:rPr>
                <w:sz w:val="20"/>
                <w:szCs w:val="20"/>
              </w:rPr>
              <w:t>58</w:t>
            </w:r>
            <w:r>
              <w:rPr>
                <w:sz w:val="20"/>
                <w:szCs w:val="20"/>
              </w:rPr>
              <w:t>5</w:t>
            </w:r>
          </w:p>
        </w:tc>
        <w:tc>
          <w:tcPr>
            <w:tcW w:w="1170" w:type="dxa"/>
          </w:tcPr>
          <w:p w:rsidR="00BC111B" w:rsidRPr="00924421" w:rsidP="00F24D56" w14:paraId="4C53AD8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p>
        </w:tc>
        <w:tc>
          <w:tcPr>
            <w:tcW w:w="1350" w:type="dxa"/>
          </w:tcPr>
          <w:p w:rsidR="00BC111B" w:rsidRPr="00924421" w:rsidP="00F24D56" w14:paraId="4134AAF9" w14:textId="535AB34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61,662</w:t>
            </w:r>
          </w:p>
        </w:tc>
        <w:tc>
          <w:tcPr>
            <w:tcW w:w="1080" w:type="dxa"/>
          </w:tcPr>
          <w:p w:rsidR="00BC111B" w:rsidRPr="00924421" w:rsidP="00F24D56" w14:paraId="1C8FDC4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w:t>
            </w:r>
            <w:r>
              <w:rPr>
                <w:sz w:val="20"/>
                <w:szCs w:val="20"/>
              </w:rPr>
              <w:t>6</w:t>
            </w:r>
            <w:r w:rsidRPr="00924421">
              <w:rPr>
                <w:sz w:val="20"/>
                <w:szCs w:val="20"/>
              </w:rPr>
              <w:t>)</w:t>
            </w:r>
          </w:p>
        </w:tc>
        <w:tc>
          <w:tcPr>
            <w:tcW w:w="1264" w:type="dxa"/>
          </w:tcPr>
          <w:p w:rsidR="00BC111B" w:rsidRPr="00924421" w:rsidP="00F24D56" w14:paraId="5601CCF5" w14:textId="599CF46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7,041,427</w:t>
            </w:r>
          </w:p>
        </w:tc>
      </w:tr>
      <w:tr w14:paraId="43AD6471" w14:textId="77777777" w:rsidTr="00F24D56">
        <w:tblPrEx>
          <w:tblW w:w="10529" w:type="dxa"/>
          <w:jc w:val="center"/>
          <w:tblLayout w:type="fixed"/>
          <w:tblLook w:val="00A0"/>
        </w:tblPrEx>
        <w:trPr>
          <w:cantSplit/>
          <w:jc w:val="center"/>
        </w:trPr>
        <w:tc>
          <w:tcPr>
            <w:tcW w:w="1885" w:type="dxa"/>
            <w:vAlign w:val="bottom"/>
          </w:tcPr>
          <w:p w:rsidR="00BC111B" w:rsidRPr="00924421" w:rsidP="00F24D56" w14:paraId="66712DB1" w14:textId="77777777">
            <w:pPr>
              <w:spacing w:after="0"/>
              <w:rPr>
                <w:sz w:val="20"/>
                <w:szCs w:val="20"/>
              </w:rPr>
            </w:pPr>
            <w:r w:rsidRPr="00924421">
              <w:rPr>
                <w:sz w:val="20"/>
                <w:szCs w:val="20"/>
              </w:rPr>
              <w:t>[(Quality Performance Category) Call for Quality Measures]</w:t>
            </w:r>
          </w:p>
        </w:tc>
        <w:tc>
          <w:tcPr>
            <w:tcW w:w="1080" w:type="dxa"/>
          </w:tcPr>
          <w:p w:rsidR="00BC111B" w:rsidRPr="00924421" w:rsidP="00F24D56" w14:paraId="1EF2C3C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7</w:t>
            </w:r>
          </w:p>
        </w:tc>
        <w:tc>
          <w:tcPr>
            <w:tcW w:w="1530" w:type="dxa"/>
          </w:tcPr>
          <w:p w:rsidR="00BC111B" w:rsidRPr="00924421" w:rsidP="00F24D56" w14:paraId="624D996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w:t>
            </w:r>
          </w:p>
        </w:tc>
        <w:tc>
          <w:tcPr>
            <w:tcW w:w="1170" w:type="dxa"/>
          </w:tcPr>
          <w:p w:rsidR="00BC111B" w:rsidRPr="00924421" w:rsidP="00F24D56" w14:paraId="56023A9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w:t>
            </w:r>
          </w:p>
        </w:tc>
        <w:tc>
          <w:tcPr>
            <w:tcW w:w="1170" w:type="dxa"/>
          </w:tcPr>
          <w:p w:rsidR="00BC111B" w:rsidRPr="00924421" w:rsidP="00F24D56" w14:paraId="2E8F761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w:t>
            </w:r>
          </w:p>
        </w:tc>
        <w:tc>
          <w:tcPr>
            <w:tcW w:w="1350" w:type="dxa"/>
          </w:tcPr>
          <w:p w:rsidR="00BC111B" w:rsidRPr="00924421" w:rsidP="00F24D56" w14:paraId="50B2677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w:t>
            </w:r>
            <w:r>
              <w:rPr>
                <w:sz w:val="20"/>
                <w:szCs w:val="20"/>
              </w:rPr>
              <w:t>71</w:t>
            </w:r>
          </w:p>
        </w:tc>
        <w:tc>
          <w:tcPr>
            <w:tcW w:w="1080" w:type="dxa"/>
          </w:tcPr>
          <w:p w:rsidR="00BC111B" w:rsidRPr="00924421" w:rsidP="00F24D56" w14:paraId="6738E8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w:t>
            </w:r>
            <w:r>
              <w:rPr>
                <w:sz w:val="20"/>
                <w:szCs w:val="20"/>
              </w:rPr>
              <w:t>7</w:t>
            </w:r>
            <w:r w:rsidRPr="00924421">
              <w:rPr>
                <w:sz w:val="20"/>
                <w:szCs w:val="20"/>
              </w:rPr>
              <w:t>)</w:t>
            </w:r>
          </w:p>
        </w:tc>
        <w:tc>
          <w:tcPr>
            <w:tcW w:w="1264" w:type="dxa"/>
          </w:tcPr>
          <w:p w:rsidR="00BC111B" w:rsidRPr="00924421" w:rsidP="00F24D56" w14:paraId="0D2AF2B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 xml:space="preserve">  35,529</w:t>
            </w:r>
          </w:p>
        </w:tc>
      </w:tr>
      <w:tr w14:paraId="16AA4320" w14:textId="77777777" w:rsidTr="00F24D56">
        <w:tblPrEx>
          <w:tblW w:w="10529" w:type="dxa"/>
          <w:jc w:val="center"/>
          <w:tblLayout w:type="fixed"/>
          <w:tblLook w:val="00A0"/>
        </w:tblPrEx>
        <w:trPr>
          <w:cantSplit/>
          <w:jc w:val="center"/>
        </w:trPr>
        <w:tc>
          <w:tcPr>
            <w:tcW w:w="1885" w:type="dxa"/>
            <w:vAlign w:val="bottom"/>
          </w:tcPr>
          <w:p w:rsidR="00BC111B" w:rsidRPr="00924421" w:rsidP="00F24D56" w14:paraId="6DF30B5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 xml:space="preserve">§414.1375 and 414.1380[(PI Performance Category) Reweighting Applications for Promoting Interoperability and Other Performance Categories </w:t>
            </w:r>
          </w:p>
        </w:tc>
        <w:tc>
          <w:tcPr>
            <w:tcW w:w="1080" w:type="dxa"/>
          </w:tcPr>
          <w:p w:rsidR="00BC111B" w:rsidRPr="00924421" w:rsidP="00F24D56" w14:paraId="200786C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8</w:t>
            </w:r>
          </w:p>
        </w:tc>
        <w:tc>
          <w:tcPr>
            <w:tcW w:w="1530" w:type="dxa"/>
          </w:tcPr>
          <w:p w:rsidR="00BC111B" w:rsidRPr="00924421" w:rsidP="00F24D56" w14:paraId="5BC9C57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29,227</w:t>
            </w:r>
          </w:p>
        </w:tc>
        <w:tc>
          <w:tcPr>
            <w:tcW w:w="1170" w:type="dxa"/>
          </w:tcPr>
          <w:p w:rsidR="00BC111B" w:rsidRPr="00924421" w:rsidP="00F24D56" w14:paraId="66A99C9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29,227</w:t>
            </w:r>
          </w:p>
        </w:tc>
        <w:tc>
          <w:tcPr>
            <w:tcW w:w="1170" w:type="dxa"/>
          </w:tcPr>
          <w:p w:rsidR="00BC111B" w:rsidRPr="00924421" w:rsidP="00F24D56" w14:paraId="13E9C4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00BC111B" w:rsidRPr="00924421" w:rsidP="00F24D56" w14:paraId="0A23FBF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7,307</w:t>
            </w:r>
          </w:p>
        </w:tc>
        <w:tc>
          <w:tcPr>
            <w:tcW w:w="1080" w:type="dxa"/>
          </w:tcPr>
          <w:p w:rsidR="00BC111B" w:rsidRPr="00924421" w:rsidP="00F24D56" w14:paraId="2186765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3E77D81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sz w:val="20"/>
                <w:szCs w:val="20"/>
              </w:rPr>
            </w:pPr>
            <w:r>
              <w:rPr>
                <w:sz w:val="20"/>
                <w:szCs w:val="20"/>
              </w:rPr>
              <w:t xml:space="preserve">      755,518</w:t>
            </w:r>
          </w:p>
        </w:tc>
      </w:tr>
      <w:tr w14:paraId="0999DE70" w14:textId="77777777" w:rsidTr="00F24D56">
        <w:tblPrEx>
          <w:tblW w:w="10529" w:type="dxa"/>
          <w:jc w:val="center"/>
          <w:tblLayout w:type="fixed"/>
          <w:tblLook w:val="00A0"/>
        </w:tblPrEx>
        <w:trPr>
          <w:cantSplit/>
          <w:jc w:val="center"/>
        </w:trPr>
        <w:tc>
          <w:tcPr>
            <w:tcW w:w="1885" w:type="dxa"/>
          </w:tcPr>
          <w:p w:rsidR="00BC111B" w:rsidRPr="00924421" w:rsidP="00F24D56" w14:paraId="1CDDE8C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§414.1375 [(PI Performance Category) Data Submission]</w:t>
            </w:r>
          </w:p>
        </w:tc>
        <w:tc>
          <w:tcPr>
            <w:tcW w:w="1080" w:type="dxa"/>
          </w:tcPr>
          <w:p w:rsidR="00BC111B" w:rsidRPr="00924421" w:rsidP="00F24D56" w14:paraId="083734E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w:t>
            </w:r>
          </w:p>
        </w:tc>
        <w:tc>
          <w:tcPr>
            <w:tcW w:w="1530" w:type="dxa"/>
          </w:tcPr>
          <w:p w:rsidR="00BC111B" w:rsidRPr="00924421" w:rsidP="00F24D56" w14:paraId="48F5D810" w14:textId="7559CB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25,990</w:t>
            </w:r>
          </w:p>
        </w:tc>
        <w:tc>
          <w:tcPr>
            <w:tcW w:w="1170" w:type="dxa"/>
          </w:tcPr>
          <w:p w:rsidR="00BC111B" w:rsidRPr="00924421" w:rsidP="00F24D56" w14:paraId="1A6EBC99" w14:textId="10E36E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25,990</w:t>
            </w:r>
          </w:p>
        </w:tc>
        <w:tc>
          <w:tcPr>
            <w:tcW w:w="1170" w:type="dxa"/>
          </w:tcPr>
          <w:p w:rsidR="00BC111B" w:rsidRPr="00924421" w:rsidP="00F24D56" w14:paraId="25460A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70</w:t>
            </w:r>
          </w:p>
        </w:tc>
        <w:tc>
          <w:tcPr>
            <w:tcW w:w="1350" w:type="dxa"/>
          </w:tcPr>
          <w:p w:rsidR="00BC111B" w:rsidRPr="00924421" w:rsidP="007D2B7C" w14:paraId="0B1956C8" w14:textId="7923D75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Pr>
                <w:sz w:val="20"/>
                <w:szCs w:val="20"/>
              </w:rPr>
              <w:t xml:space="preserve">       70,173</w:t>
            </w:r>
          </w:p>
        </w:tc>
        <w:tc>
          <w:tcPr>
            <w:tcW w:w="1080" w:type="dxa"/>
          </w:tcPr>
          <w:p w:rsidR="00BC111B" w:rsidRPr="00924421" w:rsidP="00F24D56" w14:paraId="6622F73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6673F564" w14:textId="6F0A114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7,255,888</w:t>
            </w:r>
          </w:p>
        </w:tc>
      </w:tr>
      <w:tr w14:paraId="7E5F66C9" w14:textId="77777777" w:rsidTr="00F24D56">
        <w:tblPrEx>
          <w:tblW w:w="10529" w:type="dxa"/>
          <w:jc w:val="center"/>
          <w:tblLayout w:type="fixed"/>
          <w:tblLook w:val="00A0"/>
        </w:tblPrEx>
        <w:trPr>
          <w:cantSplit/>
          <w:jc w:val="center"/>
        </w:trPr>
        <w:tc>
          <w:tcPr>
            <w:tcW w:w="1885" w:type="dxa"/>
          </w:tcPr>
          <w:p w:rsidR="00BC111B" w:rsidRPr="00924421" w:rsidP="00F24D56" w14:paraId="6EF731B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[(PI Performance Category) Call for Promoting Interoperability Measures]</w:t>
            </w:r>
          </w:p>
        </w:tc>
        <w:tc>
          <w:tcPr>
            <w:tcW w:w="1080" w:type="dxa"/>
          </w:tcPr>
          <w:p w:rsidR="00BC111B" w:rsidRPr="00924421" w:rsidP="00F24D56" w14:paraId="1C3C5C0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20</w:t>
            </w:r>
          </w:p>
        </w:tc>
        <w:tc>
          <w:tcPr>
            <w:tcW w:w="1530" w:type="dxa"/>
          </w:tcPr>
          <w:p w:rsidR="00BC111B" w:rsidRPr="00924421" w:rsidP="00F24D56" w14:paraId="52A36B1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170" w:type="dxa"/>
          </w:tcPr>
          <w:p w:rsidR="00BC111B" w:rsidRPr="00924421" w:rsidP="00F24D56" w14:paraId="6250E09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170" w:type="dxa"/>
          </w:tcPr>
          <w:p w:rsidR="00BC111B" w:rsidRPr="00924421" w:rsidP="00F24D56" w14:paraId="53C515B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00BC111B" w:rsidRPr="00924421" w:rsidP="00F24D56" w14:paraId="4ADFCA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0</w:t>
            </w:r>
          </w:p>
        </w:tc>
        <w:tc>
          <w:tcPr>
            <w:tcW w:w="1080" w:type="dxa"/>
          </w:tcPr>
          <w:p w:rsidR="00BC111B" w:rsidRPr="00924421" w:rsidP="00F24D56" w14:paraId="06659E7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Pr>
                <w:sz w:val="20"/>
                <w:szCs w:val="20"/>
              </w:rPr>
              <w:t>20</w:t>
            </w:r>
            <w:r w:rsidRPr="00924421">
              <w:rPr>
                <w:sz w:val="20"/>
                <w:szCs w:val="20"/>
              </w:rPr>
              <w:t>)</w:t>
            </w:r>
          </w:p>
        </w:tc>
        <w:tc>
          <w:tcPr>
            <w:tcW w:w="1264" w:type="dxa"/>
          </w:tcPr>
          <w:p w:rsidR="00BC111B" w:rsidRPr="00924421" w:rsidP="00F24D56" w14:paraId="037D70D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r>
      <w:tr w14:paraId="7B55EDBD" w14:textId="77777777" w:rsidTr="00F24D56">
        <w:tblPrEx>
          <w:tblW w:w="10529" w:type="dxa"/>
          <w:jc w:val="center"/>
          <w:tblLayout w:type="fixed"/>
          <w:tblLook w:val="00A0"/>
        </w:tblPrEx>
        <w:trPr>
          <w:cantSplit/>
          <w:jc w:val="center"/>
        </w:trPr>
        <w:tc>
          <w:tcPr>
            <w:tcW w:w="1885" w:type="dxa"/>
          </w:tcPr>
          <w:p w:rsidR="00BC111B" w:rsidRPr="00924421" w:rsidP="00F24D56" w14:paraId="2CF716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Data Submission]</w:t>
            </w:r>
          </w:p>
        </w:tc>
        <w:tc>
          <w:tcPr>
            <w:tcW w:w="1080" w:type="dxa"/>
          </w:tcPr>
          <w:p w:rsidR="00BC111B" w:rsidRPr="00924421" w:rsidP="00F24D56" w14:paraId="1E167D5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21</w:t>
            </w:r>
          </w:p>
        </w:tc>
        <w:tc>
          <w:tcPr>
            <w:tcW w:w="1530" w:type="dxa"/>
          </w:tcPr>
          <w:p w:rsidR="00BC111B" w:rsidRPr="00924421" w:rsidP="00F24D56" w14:paraId="5FD35369" w14:textId="7045E10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50,289</w:t>
            </w:r>
          </w:p>
        </w:tc>
        <w:tc>
          <w:tcPr>
            <w:tcW w:w="1170" w:type="dxa"/>
          </w:tcPr>
          <w:p w:rsidR="00BC111B" w:rsidRPr="00924421" w:rsidP="00F24D56" w14:paraId="4933D70F" w14:textId="43D6BCB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50,289</w:t>
            </w:r>
          </w:p>
        </w:tc>
        <w:tc>
          <w:tcPr>
            <w:tcW w:w="1170" w:type="dxa"/>
          </w:tcPr>
          <w:p w:rsidR="00BC111B" w:rsidRPr="00924421" w:rsidP="00F24D56" w14:paraId="64CE34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0.083</w:t>
            </w:r>
          </w:p>
        </w:tc>
        <w:tc>
          <w:tcPr>
            <w:tcW w:w="1350" w:type="dxa"/>
          </w:tcPr>
          <w:p w:rsidR="00BC111B" w:rsidRPr="00924421" w:rsidP="00F24D56" w14:paraId="55B5ECAF" w14:textId="20124CA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4,174</w:t>
            </w:r>
          </w:p>
        </w:tc>
        <w:tc>
          <w:tcPr>
            <w:tcW w:w="1080" w:type="dxa"/>
          </w:tcPr>
          <w:p w:rsidR="00BC111B" w:rsidRPr="00924421" w:rsidP="00F24D56" w14:paraId="3F45D3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74BFC0D7" w14:textId="7912DDB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431,480</w:t>
            </w:r>
          </w:p>
        </w:tc>
      </w:tr>
      <w:tr w14:paraId="01CD6083" w14:textId="77777777" w:rsidTr="00F24D56">
        <w:tblPrEx>
          <w:tblW w:w="10529" w:type="dxa"/>
          <w:jc w:val="center"/>
          <w:tblLayout w:type="fixed"/>
          <w:tblLook w:val="00A0"/>
        </w:tblPrEx>
        <w:trPr>
          <w:cantSplit/>
          <w:jc w:val="center"/>
        </w:trPr>
        <w:tc>
          <w:tcPr>
            <w:tcW w:w="1885" w:type="dxa"/>
          </w:tcPr>
          <w:p w:rsidR="00BC111B" w:rsidRPr="00924421" w:rsidP="00F24D56" w14:paraId="2A8E729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Nomination of Improvement Activities]</w:t>
            </w:r>
          </w:p>
        </w:tc>
        <w:tc>
          <w:tcPr>
            <w:tcW w:w="1080" w:type="dxa"/>
          </w:tcPr>
          <w:p w:rsidR="00BC111B" w:rsidRPr="00924421" w:rsidP="00F24D56" w14:paraId="35CF836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2</w:t>
            </w:r>
          </w:p>
        </w:tc>
        <w:tc>
          <w:tcPr>
            <w:tcW w:w="1530" w:type="dxa"/>
          </w:tcPr>
          <w:p w:rsidR="00BC111B" w:rsidRPr="00924421" w:rsidP="00F24D56" w14:paraId="74F0806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w:t>
            </w:r>
          </w:p>
        </w:tc>
        <w:tc>
          <w:tcPr>
            <w:tcW w:w="1170" w:type="dxa"/>
          </w:tcPr>
          <w:p w:rsidR="00BC111B" w:rsidRPr="00924421" w:rsidP="00F24D56" w14:paraId="497B9B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w:t>
            </w:r>
          </w:p>
        </w:tc>
        <w:tc>
          <w:tcPr>
            <w:tcW w:w="1170" w:type="dxa"/>
          </w:tcPr>
          <w:p w:rsidR="00BC111B" w:rsidRPr="00924421" w:rsidP="00F24D56" w14:paraId="25F8509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4.4</w:t>
            </w:r>
          </w:p>
        </w:tc>
        <w:tc>
          <w:tcPr>
            <w:tcW w:w="1350" w:type="dxa"/>
          </w:tcPr>
          <w:p w:rsidR="00BC111B" w:rsidRPr="00924421" w:rsidP="00F24D56" w14:paraId="423959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w:t>
            </w:r>
            <w:r w:rsidRPr="00924421">
              <w:rPr>
                <w:sz w:val="20"/>
                <w:szCs w:val="20"/>
              </w:rPr>
              <w:t>6</w:t>
            </w:r>
          </w:p>
        </w:tc>
        <w:tc>
          <w:tcPr>
            <w:tcW w:w="1080" w:type="dxa"/>
          </w:tcPr>
          <w:p w:rsidR="00BC111B" w:rsidRPr="00924421" w:rsidP="00F24D56" w14:paraId="2D285B8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Pr>
                <w:sz w:val="20"/>
                <w:szCs w:val="20"/>
              </w:rPr>
              <w:t>22</w:t>
            </w:r>
            <w:r w:rsidRPr="00924421">
              <w:rPr>
                <w:sz w:val="20"/>
                <w:szCs w:val="20"/>
              </w:rPr>
              <w:t>)</w:t>
            </w:r>
          </w:p>
        </w:tc>
        <w:tc>
          <w:tcPr>
            <w:tcW w:w="1264" w:type="dxa"/>
          </w:tcPr>
          <w:p w:rsidR="00BC111B" w:rsidRPr="00924421" w:rsidP="00F24D56" w14:paraId="004C14F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11,755</w:t>
            </w:r>
          </w:p>
        </w:tc>
      </w:tr>
      <w:tr w14:paraId="3E8FF6BB" w14:textId="77777777" w:rsidTr="00F24D56">
        <w:tblPrEx>
          <w:tblW w:w="10529" w:type="dxa"/>
          <w:jc w:val="center"/>
          <w:tblLayout w:type="fixed"/>
          <w:tblLook w:val="00A0"/>
        </w:tblPrEx>
        <w:trPr>
          <w:cantSplit/>
          <w:jc w:val="center"/>
        </w:trPr>
        <w:tc>
          <w:tcPr>
            <w:tcW w:w="1885" w:type="dxa"/>
          </w:tcPr>
          <w:p w:rsidR="00BC111B" w:rsidRPr="00924421" w:rsidP="00F24D56" w14:paraId="3EFC43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Nomination of MVPs</w:t>
            </w:r>
          </w:p>
        </w:tc>
        <w:tc>
          <w:tcPr>
            <w:tcW w:w="1080" w:type="dxa"/>
          </w:tcPr>
          <w:p w:rsidR="00BC111B" w:rsidRPr="00924421" w:rsidP="00F24D56" w14:paraId="6EA6350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3</w:t>
            </w:r>
          </w:p>
        </w:tc>
        <w:tc>
          <w:tcPr>
            <w:tcW w:w="1530" w:type="dxa"/>
          </w:tcPr>
          <w:p w:rsidR="00BC111B" w:rsidRPr="00924421" w:rsidP="00F24D56" w14:paraId="794D91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170" w:type="dxa"/>
          </w:tcPr>
          <w:p w:rsidR="00BC111B" w:rsidRPr="00924421" w:rsidP="00F24D56" w14:paraId="2FE4347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170" w:type="dxa"/>
          </w:tcPr>
          <w:p w:rsidR="00BC111B" w:rsidRPr="00924421" w:rsidP="00F24D56" w14:paraId="60BCE34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w:t>
            </w:r>
          </w:p>
        </w:tc>
        <w:tc>
          <w:tcPr>
            <w:tcW w:w="1350" w:type="dxa"/>
          </w:tcPr>
          <w:p w:rsidR="00BC111B" w:rsidRPr="00924421" w:rsidP="00F24D56" w14:paraId="49685A9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12</w:t>
            </w:r>
            <w:r w:rsidRPr="00924421">
              <w:rPr>
                <w:sz w:val="20"/>
                <w:szCs w:val="20"/>
              </w:rPr>
              <w:t>0</w:t>
            </w:r>
          </w:p>
        </w:tc>
        <w:tc>
          <w:tcPr>
            <w:tcW w:w="1080" w:type="dxa"/>
          </w:tcPr>
          <w:p w:rsidR="00BC111B" w:rsidRPr="00924421" w:rsidP="00F24D56" w14:paraId="4368EC8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2</w:t>
            </w:r>
            <w:r>
              <w:rPr>
                <w:sz w:val="20"/>
                <w:szCs w:val="20"/>
              </w:rPr>
              <w:t>3</w:t>
            </w:r>
            <w:r w:rsidRPr="00924421">
              <w:rPr>
                <w:sz w:val="20"/>
                <w:szCs w:val="20"/>
              </w:rPr>
              <w:t>)</w:t>
            </w:r>
          </w:p>
        </w:tc>
        <w:tc>
          <w:tcPr>
            <w:tcW w:w="1264" w:type="dxa"/>
          </w:tcPr>
          <w:p w:rsidR="00BC111B" w:rsidRPr="00924421" w:rsidP="00F24D56" w14:paraId="2B462F4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22,033</w:t>
            </w:r>
          </w:p>
        </w:tc>
      </w:tr>
      <w:tr w14:paraId="0BC9D50D" w14:textId="77777777" w:rsidTr="00F24D56">
        <w:tblPrEx>
          <w:tblW w:w="10529" w:type="dxa"/>
          <w:jc w:val="center"/>
          <w:tblLayout w:type="fixed"/>
          <w:tblLook w:val="00A0"/>
        </w:tblPrEx>
        <w:trPr>
          <w:cantSplit/>
          <w:jc w:val="center"/>
        </w:trPr>
        <w:tc>
          <w:tcPr>
            <w:tcW w:w="1885" w:type="dxa"/>
          </w:tcPr>
          <w:p w:rsidR="00BC111B" w:rsidRPr="00924421" w:rsidP="00F24D56" w14:paraId="33F932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§414.1430 [Partial Qualifying APM Participant (QP) Election]</w:t>
            </w:r>
          </w:p>
        </w:tc>
        <w:tc>
          <w:tcPr>
            <w:tcW w:w="1080" w:type="dxa"/>
          </w:tcPr>
          <w:p w:rsidR="00BC111B" w:rsidRPr="00924421" w:rsidP="00F24D56" w14:paraId="7A061AA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4</w:t>
            </w:r>
          </w:p>
        </w:tc>
        <w:tc>
          <w:tcPr>
            <w:tcW w:w="1530" w:type="dxa"/>
          </w:tcPr>
          <w:p w:rsidR="00BC111B" w:rsidRPr="00924421" w:rsidP="00F24D56" w14:paraId="57391E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87</w:t>
            </w:r>
          </w:p>
        </w:tc>
        <w:tc>
          <w:tcPr>
            <w:tcW w:w="1170" w:type="dxa"/>
          </w:tcPr>
          <w:p w:rsidR="00BC111B" w:rsidRPr="00924421" w:rsidP="00F24D56" w14:paraId="454B910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87</w:t>
            </w:r>
          </w:p>
        </w:tc>
        <w:tc>
          <w:tcPr>
            <w:tcW w:w="1170" w:type="dxa"/>
          </w:tcPr>
          <w:p w:rsidR="00BC111B" w:rsidRPr="00924421" w:rsidP="00F24D56" w14:paraId="7F08012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00BC111B" w:rsidRPr="00924421" w:rsidP="00F24D56" w14:paraId="71210A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72</w:t>
            </w:r>
          </w:p>
        </w:tc>
        <w:tc>
          <w:tcPr>
            <w:tcW w:w="1080" w:type="dxa"/>
          </w:tcPr>
          <w:p w:rsidR="00BC111B" w:rsidRPr="00924421" w:rsidP="00F24D56" w14:paraId="1BA898B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2DF785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7,419</w:t>
            </w:r>
          </w:p>
        </w:tc>
      </w:tr>
      <w:tr w14:paraId="2AD19BF0" w14:textId="77777777" w:rsidTr="00F24D56">
        <w:tblPrEx>
          <w:tblW w:w="10529" w:type="dxa"/>
          <w:jc w:val="center"/>
          <w:tblLayout w:type="fixed"/>
          <w:tblLook w:val="00A0"/>
        </w:tblPrEx>
        <w:trPr>
          <w:cantSplit/>
          <w:jc w:val="center"/>
        </w:trPr>
        <w:tc>
          <w:tcPr>
            <w:tcW w:w="1885" w:type="dxa"/>
          </w:tcPr>
          <w:p w:rsidR="00BC111B" w:rsidRPr="00924421" w:rsidP="00F24D56" w14:paraId="58FEFAC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§414.1440 [Other Payer Advanced APM Identification: Payer Initiated Process]</w:t>
            </w:r>
          </w:p>
        </w:tc>
        <w:tc>
          <w:tcPr>
            <w:tcW w:w="1080" w:type="dxa"/>
          </w:tcPr>
          <w:p w:rsidR="00BC111B" w:rsidRPr="00924421" w:rsidP="00F24D56" w14:paraId="48E6D6A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w:t>
            </w:r>
          </w:p>
        </w:tc>
        <w:tc>
          <w:tcPr>
            <w:tcW w:w="1530" w:type="dxa"/>
          </w:tcPr>
          <w:p w:rsidR="00BC111B" w:rsidRPr="00924421" w:rsidP="00F24D56" w14:paraId="5AC6311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00BC111B" w:rsidRPr="00924421" w:rsidP="00F24D56" w14:paraId="005535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00BC111B" w:rsidRPr="00924421" w:rsidP="00F24D56" w14:paraId="60030D1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00BC111B" w:rsidRPr="00924421" w:rsidP="00F24D56" w14:paraId="7019B0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00BC111B" w:rsidRPr="00924421" w:rsidP="00F24D56" w14:paraId="249EA0F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7492479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5,510</w:t>
            </w:r>
          </w:p>
        </w:tc>
      </w:tr>
      <w:tr w14:paraId="771163C9" w14:textId="77777777" w:rsidTr="00F24D56">
        <w:tblPrEx>
          <w:tblW w:w="10529" w:type="dxa"/>
          <w:jc w:val="center"/>
          <w:tblLayout w:type="fixed"/>
          <w:tblLook w:val="00A0"/>
        </w:tblPrEx>
        <w:trPr>
          <w:cantSplit/>
          <w:jc w:val="center"/>
        </w:trPr>
        <w:tc>
          <w:tcPr>
            <w:tcW w:w="1885" w:type="dxa"/>
          </w:tcPr>
          <w:p w:rsidR="00BC111B" w:rsidRPr="00924421" w:rsidP="00F24D56" w14:paraId="46581A7B" w14:textId="77777777">
            <w:pPr>
              <w:spacing w:after="0"/>
              <w:rPr>
                <w:sz w:val="20"/>
                <w:szCs w:val="20"/>
              </w:rPr>
            </w:pPr>
            <w:r w:rsidRPr="00924421">
              <w:rPr>
                <w:sz w:val="20"/>
                <w:szCs w:val="20"/>
              </w:rPr>
              <w:t>§414.1445 [Other Payer Advanced APM Identification: Clinician Initiated Process]</w:t>
            </w:r>
          </w:p>
        </w:tc>
        <w:tc>
          <w:tcPr>
            <w:tcW w:w="1080" w:type="dxa"/>
          </w:tcPr>
          <w:p w:rsidR="00BC111B" w:rsidRPr="00924421" w:rsidP="00F24D56" w14:paraId="3CFCC7C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w:t>
            </w:r>
          </w:p>
        </w:tc>
        <w:tc>
          <w:tcPr>
            <w:tcW w:w="1530" w:type="dxa"/>
          </w:tcPr>
          <w:p w:rsidR="00BC111B" w:rsidRPr="00924421" w:rsidP="00F24D56" w14:paraId="4889417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00BC111B" w:rsidRPr="00924421" w:rsidP="00F24D56" w14:paraId="54A124B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00BC111B" w:rsidRPr="00924421" w:rsidP="00F24D56" w14:paraId="450B041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00BC111B" w:rsidRPr="00924421" w:rsidP="00F24D56" w14:paraId="52A968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00BC111B" w:rsidRPr="00924421" w:rsidP="00F24D56" w14:paraId="48174D8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924421" w:rsidP="00F24D56" w14:paraId="4104FAA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5,510</w:t>
            </w:r>
          </w:p>
        </w:tc>
      </w:tr>
      <w:tr w14:paraId="1ED93B21" w14:textId="77777777" w:rsidTr="00F24D56">
        <w:tblPrEx>
          <w:tblW w:w="10529" w:type="dxa"/>
          <w:jc w:val="center"/>
          <w:tblLayout w:type="fixed"/>
          <w:tblLook w:val="00A0"/>
        </w:tblPrEx>
        <w:trPr>
          <w:cantSplit/>
          <w:jc w:val="center"/>
        </w:trPr>
        <w:tc>
          <w:tcPr>
            <w:tcW w:w="1885" w:type="dxa"/>
            <w:shd w:val="clear" w:color="auto" w:fill="auto"/>
          </w:tcPr>
          <w:p w:rsidR="00BC111B" w:rsidRPr="00924421" w:rsidP="00F24D56" w14:paraId="712E04E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§414.1440 [Submission of Data for All-Payer QP Determinations under the All-Payer Combination Option]</w:t>
            </w:r>
          </w:p>
        </w:tc>
        <w:tc>
          <w:tcPr>
            <w:tcW w:w="1080" w:type="dxa"/>
            <w:shd w:val="clear" w:color="auto" w:fill="auto"/>
          </w:tcPr>
          <w:p w:rsidR="00BC111B" w:rsidRPr="00924421" w:rsidP="00F24D56" w14:paraId="0D7F584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w:t>
            </w:r>
          </w:p>
        </w:tc>
        <w:tc>
          <w:tcPr>
            <w:tcW w:w="1530" w:type="dxa"/>
            <w:shd w:val="clear" w:color="auto" w:fill="auto"/>
          </w:tcPr>
          <w:p w:rsidR="00BC111B" w:rsidRPr="00924421" w:rsidP="00F24D56" w14:paraId="696987F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00BC111B" w:rsidRPr="00924421" w:rsidP="00F24D56" w14:paraId="1091B3C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00BC111B" w:rsidRPr="00924421" w:rsidP="00F24D56" w14:paraId="40A975E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350" w:type="dxa"/>
            <w:shd w:val="clear" w:color="auto" w:fill="auto"/>
          </w:tcPr>
          <w:p w:rsidR="00BC111B" w:rsidRPr="00924421" w:rsidP="00F24D56" w14:paraId="401C54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2,755</w:t>
            </w:r>
          </w:p>
        </w:tc>
        <w:tc>
          <w:tcPr>
            <w:tcW w:w="1080" w:type="dxa"/>
            <w:shd w:val="clear" w:color="auto" w:fill="auto"/>
          </w:tcPr>
          <w:p w:rsidR="00BC111B" w:rsidRPr="00924421" w:rsidP="00F24D56" w14:paraId="19E5F78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23.06</w:t>
            </w:r>
          </w:p>
        </w:tc>
        <w:tc>
          <w:tcPr>
            <w:tcW w:w="1264" w:type="dxa"/>
            <w:shd w:val="clear" w:color="auto" w:fill="auto"/>
          </w:tcPr>
          <w:p w:rsidR="00BC111B" w:rsidRPr="00924421" w:rsidP="00F24D56" w14:paraId="2654D0C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r>
              <w:rPr>
                <w:sz w:val="20"/>
                <w:szCs w:val="20"/>
              </w:rPr>
              <w:t>39,030</w:t>
            </w:r>
          </w:p>
        </w:tc>
      </w:tr>
      <w:tr w14:paraId="20623A9F" w14:textId="77777777" w:rsidTr="00F24D56">
        <w:tblPrEx>
          <w:tblW w:w="10529" w:type="dxa"/>
          <w:jc w:val="center"/>
          <w:tblLayout w:type="fixed"/>
          <w:tblLook w:val="00A0"/>
        </w:tblPrEx>
        <w:trPr>
          <w:cantSplit/>
          <w:jc w:val="center"/>
        </w:trPr>
        <w:tc>
          <w:tcPr>
            <w:tcW w:w="1885" w:type="dxa"/>
          </w:tcPr>
          <w:p w:rsidR="00BC111B" w:rsidRPr="00753C6D" w:rsidP="00F24D56" w14:paraId="0EBE319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§414.1395 [(Physician Compare) Opt Out for Voluntary Participants]</w:t>
            </w:r>
          </w:p>
        </w:tc>
        <w:tc>
          <w:tcPr>
            <w:tcW w:w="1080" w:type="dxa"/>
          </w:tcPr>
          <w:p w:rsidR="00BC111B" w:rsidRPr="00753C6D" w:rsidP="00F24D56" w14:paraId="3182189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28</w:t>
            </w:r>
          </w:p>
        </w:tc>
        <w:tc>
          <w:tcPr>
            <w:tcW w:w="1530" w:type="dxa"/>
          </w:tcPr>
          <w:p w:rsidR="00BC111B" w:rsidRPr="00753C6D" w:rsidP="00F24D56" w14:paraId="66F660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38</w:t>
            </w:r>
          </w:p>
        </w:tc>
        <w:tc>
          <w:tcPr>
            <w:tcW w:w="1170" w:type="dxa"/>
          </w:tcPr>
          <w:p w:rsidR="00BC111B" w:rsidRPr="00753C6D" w:rsidP="00F24D56" w14:paraId="14EB78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38</w:t>
            </w:r>
          </w:p>
        </w:tc>
        <w:tc>
          <w:tcPr>
            <w:tcW w:w="1170" w:type="dxa"/>
          </w:tcPr>
          <w:p w:rsidR="00BC111B" w:rsidRPr="00753C6D" w:rsidP="00F24D56" w14:paraId="2886276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50" w:type="dxa"/>
          </w:tcPr>
          <w:p w:rsidR="00BC111B" w:rsidRPr="00753C6D" w:rsidP="00F24D56" w14:paraId="3DA1F5C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10</w:t>
            </w:r>
          </w:p>
        </w:tc>
        <w:tc>
          <w:tcPr>
            <w:tcW w:w="1080" w:type="dxa"/>
          </w:tcPr>
          <w:p w:rsidR="00BC111B" w:rsidRPr="00753C6D" w:rsidP="00F24D56" w14:paraId="095EB3F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103.40</w:t>
            </w:r>
          </w:p>
        </w:tc>
        <w:tc>
          <w:tcPr>
            <w:tcW w:w="1264" w:type="dxa"/>
          </w:tcPr>
          <w:p w:rsidR="00BC111B" w:rsidRPr="00753C6D" w:rsidP="00F24D56" w14:paraId="112A574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Pr>
                <w:sz w:val="20"/>
                <w:szCs w:val="20"/>
              </w:rPr>
              <w:t>82</w:t>
            </w:r>
          </w:p>
        </w:tc>
      </w:tr>
      <w:tr w14:paraId="6697E722" w14:textId="77777777" w:rsidTr="00EA2D0A">
        <w:tblPrEx>
          <w:tblW w:w="10529" w:type="dxa"/>
          <w:jc w:val="center"/>
          <w:tblLayout w:type="fixed"/>
          <w:tblLook w:val="00A0"/>
        </w:tblPrEx>
        <w:trPr>
          <w:cantSplit/>
          <w:jc w:val="center"/>
        </w:trPr>
        <w:tc>
          <w:tcPr>
            <w:tcW w:w="1885" w:type="dxa"/>
            <w:shd w:val="clear" w:color="auto" w:fill="E7E6E6" w:themeFill="background2"/>
          </w:tcPr>
          <w:p w:rsidR="00BC111B" w:rsidRPr="00753C6D" w:rsidP="00F24D56" w14:paraId="736FAFB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TOTAL</w:t>
            </w:r>
          </w:p>
        </w:tc>
        <w:tc>
          <w:tcPr>
            <w:tcW w:w="1080" w:type="dxa"/>
            <w:shd w:val="clear" w:color="auto" w:fill="E7E6E6" w:themeFill="background2"/>
          </w:tcPr>
          <w:p w:rsidR="00BC111B" w:rsidRPr="00753C6D" w:rsidP="00F24D56" w14:paraId="1EB4E40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n/a</w:t>
            </w:r>
          </w:p>
        </w:tc>
        <w:tc>
          <w:tcPr>
            <w:tcW w:w="1530" w:type="dxa"/>
            <w:shd w:val="clear" w:color="auto" w:fill="E7E6E6" w:themeFill="background2"/>
          </w:tcPr>
          <w:p w:rsidR="00BC111B" w:rsidRPr="00753C6D" w:rsidP="00F24D56" w14:paraId="1C9CFDF8" w14:textId="63D14A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1</w:t>
            </w:r>
            <w:r w:rsidR="00F15713">
              <w:rPr>
                <w:b/>
                <w:sz w:val="20"/>
                <w:szCs w:val="20"/>
              </w:rPr>
              <w:t>91,225</w:t>
            </w:r>
          </w:p>
        </w:tc>
        <w:tc>
          <w:tcPr>
            <w:tcW w:w="1170" w:type="dxa"/>
            <w:shd w:val="clear" w:color="auto" w:fill="E7E6E6" w:themeFill="background2"/>
            <w:vAlign w:val="center"/>
          </w:tcPr>
          <w:p w:rsidR="00BC111B" w:rsidRPr="00753C6D" w:rsidP="00F24D56" w14:paraId="4DC7DE9F" w14:textId="6F34CA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sz w:val="20"/>
                <w:szCs w:val="20"/>
              </w:rPr>
              <w:t>1</w:t>
            </w:r>
            <w:r w:rsidR="00305F11">
              <w:rPr>
                <w:b/>
                <w:bCs/>
                <w:sz w:val="20"/>
                <w:szCs w:val="20"/>
              </w:rPr>
              <w:t>91,225</w:t>
            </w:r>
          </w:p>
        </w:tc>
        <w:tc>
          <w:tcPr>
            <w:tcW w:w="1170" w:type="dxa"/>
            <w:shd w:val="clear" w:color="auto" w:fill="E7E6E6" w:themeFill="background2"/>
            <w:vAlign w:val="center"/>
          </w:tcPr>
          <w:p w:rsidR="00BC111B" w:rsidRPr="00753C6D" w:rsidP="00F24D56" w14:paraId="07B4573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350" w:type="dxa"/>
            <w:shd w:val="clear" w:color="auto" w:fill="E7E6E6" w:themeFill="background2"/>
            <w:vAlign w:val="center"/>
          </w:tcPr>
          <w:p w:rsidR="00BC111B" w:rsidRPr="00753C6D" w:rsidP="00F24D56" w14:paraId="2C820669" w14:textId="57513C5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Pr>
                <w:b/>
                <w:bCs/>
                <w:sz w:val="20"/>
                <w:szCs w:val="20"/>
              </w:rPr>
              <w:t>7</w:t>
            </w:r>
            <w:r w:rsidR="00305F11">
              <w:rPr>
                <w:b/>
                <w:bCs/>
                <w:sz w:val="20"/>
                <w:szCs w:val="20"/>
              </w:rPr>
              <w:t>28,142</w:t>
            </w:r>
          </w:p>
        </w:tc>
        <w:tc>
          <w:tcPr>
            <w:tcW w:w="1080" w:type="dxa"/>
            <w:shd w:val="clear" w:color="auto" w:fill="E7E6E6" w:themeFill="background2"/>
            <w:vAlign w:val="center"/>
          </w:tcPr>
          <w:p w:rsidR="00BC111B" w:rsidRPr="00753C6D" w:rsidP="00F24D56" w14:paraId="133CBD8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264" w:type="dxa"/>
            <w:shd w:val="clear" w:color="auto" w:fill="E7E6E6" w:themeFill="background2"/>
            <w:vAlign w:val="center"/>
          </w:tcPr>
          <w:p w:rsidR="00BC111B" w:rsidRPr="00753C6D" w:rsidP="00F24D56" w14:paraId="1C403758" w14:textId="6284FDD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sz w:val="20"/>
                <w:szCs w:val="20"/>
              </w:rPr>
              <w:t>8</w:t>
            </w:r>
            <w:r w:rsidR="00305F11">
              <w:rPr>
                <w:b/>
                <w:bCs/>
                <w:sz w:val="20"/>
                <w:szCs w:val="20"/>
              </w:rPr>
              <w:t>2,202,558</w:t>
            </w:r>
          </w:p>
        </w:tc>
      </w:tr>
    </w:tbl>
    <w:p w:rsidR="00BC111B" w:rsidP="00BA2FFA" w14:paraId="492A23FA" w14:textId="77777777">
      <w:pPr>
        <w:rPr>
          <w:i/>
        </w:rPr>
      </w:pPr>
    </w:p>
    <w:p w:rsidR="00334306" w:rsidP="00BA2FFA" w14:paraId="6259403B" w14:textId="7423081E">
      <w:pPr>
        <w:rPr>
          <w:i/>
        </w:rPr>
      </w:pPr>
      <w:r w:rsidRPr="00B8430E">
        <w:rPr>
          <w:i/>
        </w:rPr>
        <w:t>Information Collection Instruments/Instructions</w:t>
      </w:r>
    </w:p>
    <w:p w:rsidR="001662A5" w:rsidP="00340E5E" w14:paraId="6C0CD3FD" w14:textId="0DB1FE9B">
      <w:pPr>
        <w:spacing w:after="200"/>
      </w:pPr>
      <w:r>
        <w:t xml:space="preserve">We have included a list of the </w:t>
      </w:r>
      <w:r w:rsidR="007922A5">
        <w:t>Appendices that we submitted in the CY 202</w:t>
      </w:r>
      <w:r w:rsidR="00BC111B">
        <w:t>4</w:t>
      </w:r>
      <w:r w:rsidR="007922A5">
        <w:t xml:space="preserve"> </w:t>
      </w:r>
      <w:r w:rsidR="00192C20">
        <w:t>final</w:t>
      </w:r>
      <w:r w:rsidR="00E1229A">
        <w:t xml:space="preserve"> rule </w:t>
      </w:r>
      <w:r w:rsidR="007922A5">
        <w:t xml:space="preserve">MIPS PRA </w:t>
      </w:r>
      <w:r w:rsidR="00E1229A">
        <w:t xml:space="preserve">package. </w:t>
      </w:r>
      <w:r w:rsidR="004E5063">
        <w:t>We have revised Appendices</w:t>
      </w:r>
      <w:r w:rsidR="00D66F08">
        <w:t xml:space="preserve">, </w:t>
      </w:r>
      <w:r w:rsidR="00850EA5">
        <w:t>A1 through</w:t>
      </w:r>
      <w:r w:rsidR="004E5063">
        <w:t xml:space="preserve"> </w:t>
      </w:r>
      <w:r w:rsidR="00784320">
        <w:t>D</w:t>
      </w:r>
      <w:r w:rsidR="00274DB5">
        <w:t>1</w:t>
      </w:r>
      <w:r w:rsidR="00D66F08">
        <w:t>,</w:t>
      </w:r>
      <w:r w:rsidR="00F434B9">
        <w:t xml:space="preserve"> </w:t>
      </w:r>
      <w:r w:rsidR="004E5063">
        <w:t xml:space="preserve">and </w:t>
      </w:r>
      <w:r w:rsidR="00784BEF">
        <w:t xml:space="preserve">listed the </w:t>
      </w:r>
      <w:r w:rsidR="00365395">
        <w:t xml:space="preserve">relevant </w:t>
      </w:r>
      <w:r w:rsidR="00784BEF">
        <w:t xml:space="preserve">changes in the </w:t>
      </w:r>
      <w:r w:rsidR="00D66F08">
        <w:t>Appendices,</w:t>
      </w:r>
      <w:r w:rsidR="00AF364B">
        <w:t xml:space="preserve"> </w:t>
      </w:r>
      <w:r w:rsidR="00F434B9">
        <w:t>A2 through</w:t>
      </w:r>
      <w:r w:rsidR="00AF364B">
        <w:t xml:space="preserve"> </w:t>
      </w:r>
      <w:r w:rsidR="00784320">
        <w:t>D</w:t>
      </w:r>
      <w:r w:rsidR="00AF364B">
        <w:t>2</w:t>
      </w:r>
      <w:r w:rsidR="00784320">
        <w:t xml:space="preserve">. </w:t>
      </w:r>
      <w:r w:rsidR="00A00BEF">
        <w:t xml:space="preserve">We </w:t>
      </w:r>
      <w:r w:rsidR="00973E17">
        <w:t>also revised</w:t>
      </w:r>
      <w:r w:rsidR="00A00BEF">
        <w:t xml:space="preserve"> </w:t>
      </w:r>
      <w:r w:rsidR="00D077E3">
        <w:t xml:space="preserve">Appendices </w:t>
      </w:r>
      <w:r w:rsidR="003B37A7">
        <w:t>G</w:t>
      </w:r>
      <w:r w:rsidR="00973E17">
        <w:t>1</w:t>
      </w:r>
      <w:r w:rsidR="003B37A7">
        <w:t xml:space="preserve"> through </w:t>
      </w:r>
      <w:r w:rsidR="003B37A7">
        <w:t>K</w:t>
      </w:r>
      <w:r w:rsidR="00973E17">
        <w:t>1, and</w:t>
      </w:r>
      <w:r w:rsidR="00973E17">
        <w:t xml:space="preserve"> </w:t>
      </w:r>
      <w:r w:rsidR="00365395">
        <w:t>listed the relevant changes in Appendices G2 through K2</w:t>
      </w:r>
      <w:r w:rsidR="00AA5E55">
        <w:t>. We note that we did not make any changes to the content in Appendices E, F, and L.</w:t>
      </w:r>
    </w:p>
    <w:p w:rsidR="00BA2FFA" w:rsidP="0032016A" w14:paraId="6534995B" w14:textId="0081313E">
      <w:pPr>
        <w:spacing w:after="200"/>
      </w:pPr>
      <w:r w:rsidRPr="00B8430E">
        <w:t xml:space="preserve">Appendix </w:t>
      </w:r>
      <w:r w:rsidRPr="00B8430E" w:rsidR="00686195">
        <w:t>A</w:t>
      </w:r>
      <w:r w:rsidR="00B5139B">
        <w:t>1</w:t>
      </w:r>
      <w:r w:rsidRPr="00B8430E" w:rsidR="00BD5393">
        <w:t xml:space="preserve"> (See Table</w:t>
      </w:r>
      <w:r w:rsidR="00536B25">
        <w:t>s</w:t>
      </w:r>
      <w:r w:rsidRPr="00B8430E" w:rsidR="00BD5393">
        <w:t xml:space="preserve"> </w:t>
      </w:r>
      <w:r w:rsidRPr="00B8430E" w:rsidR="008E6B13">
        <w:t>3</w:t>
      </w:r>
      <w:r w:rsidR="00536B25">
        <w:t>, 4,</w:t>
      </w:r>
      <w:r w:rsidR="00534EA9">
        <w:t xml:space="preserve"> 5, 6</w:t>
      </w:r>
      <w:r w:rsidR="00BC111B">
        <w:t>, 7, and 8</w:t>
      </w:r>
      <w:r w:rsidRPr="00B8430E" w:rsidR="008E6B13">
        <w:t>)</w:t>
      </w:r>
      <w:r w:rsidRPr="00B8430E">
        <w:t xml:space="preserve">: </w:t>
      </w:r>
      <w:r w:rsidRPr="00B8430E" w:rsidR="00686195">
        <w:t>20</w:t>
      </w:r>
      <w:r w:rsidRPr="00B8430E" w:rsidR="0090246D">
        <w:t>2</w:t>
      </w:r>
      <w:r w:rsidR="005D11FB">
        <w:t>4</w:t>
      </w:r>
      <w:r w:rsidRPr="00B8430E" w:rsidR="00686195">
        <w:t xml:space="preserve"> </w:t>
      </w:r>
      <w:r w:rsidR="005D11FB">
        <w:t xml:space="preserve">MIPS </w:t>
      </w:r>
      <w:r w:rsidR="004C4CBD">
        <w:t>QCDR and Registry Self-nomination User Guide</w:t>
      </w:r>
      <w:r w:rsidR="002025F9">
        <w:t xml:space="preserve"> </w:t>
      </w:r>
      <w:r w:rsidR="00B5139B">
        <w:t>(Revised)</w:t>
      </w:r>
    </w:p>
    <w:p w:rsidR="0013319E" w:rsidRPr="00B8430E" w:rsidP="0032016A" w14:paraId="5F9DD5F1" w14:textId="06758521">
      <w:pPr>
        <w:spacing w:after="200"/>
      </w:pPr>
      <w:r w:rsidRPr="0013319E">
        <w:t xml:space="preserve">Appendix </w:t>
      </w:r>
      <w:r w:rsidR="008C3341">
        <w:t>A2</w:t>
      </w:r>
      <w:r>
        <w:t xml:space="preserve"> </w:t>
      </w:r>
      <w:r w:rsidRPr="0013319E">
        <w:t>(See Tables 3, 4, 5, 6, 7, and 8): 2024 MIPS QCDR and Registry Self-nomination User Guide</w:t>
      </w:r>
      <w:r>
        <w:t xml:space="preserve"> Crossw</w:t>
      </w:r>
      <w:r w:rsidR="000510ED">
        <w:t>alk</w:t>
      </w:r>
    </w:p>
    <w:p w:rsidR="003141D8" w:rsidP="0032016A" w14:paraId="14C93F2B" w14:textId="774ABC16">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sidR="00BC111B">
        <w:rPr>
          <w:rStyle w:val="normaltextrun"/>
          <w:color w:val="000000" w:themeColor="text1"/>
        </w:rPr>
        <w:t>B</w:t>
      </w:r>
      <w:r w:rsidR="007D5882">
        <w:rPr>
          <w:rStyle w:val="normaltextrun"/>
          <w:color w:val="000000" w:themeColor="text1"/>
        </w:rPr>
        <w:t>1</w:t>
      </w:r>
      <w:r w:rsidRPr="000C4086">
        <w:rPr>
          <w:rStyle w:val="normaltextrun"/>
          <w:color w:val="000000" w:themeColor="text1"/>
        </w:rPr>
        <w:t xml:space="preserve"> (See Table 2</w:t>
      </w:r>
      <w:r w:rsidR="00BC111B">
        <w:rPr>
          <w:rStyle w:val="normaltextrun"/>
          <w:color w:val="000000" w:themeColor="text1"/>
        </w:rPr>
        <w:t>5</w:t>
      </w:r>
      <w:r w:rsidRPr="000C4086">
        <w:rPr>
          <w:rStyle w:val="normaltextrun"/>
          <w:color w:val="000000" w:themeColor="text1"/>
        </w:rPr>
        <w:t>): 202</w:t>
      </w:r>
      <w:r w:rsidR="00C56BC2">
        <w:rPr>
          <w:rStyle w:val="normaltextrun"/>
          <w:color w:val="000000" w:themeColor="text1"/>
        </w:rPr>
        <w:t>4</w:t>
      </w:r>
      <w:r w:rsidRPr="000C4086">
        <w:rPr>
          <w:rStyle w:val="normaltextrun"/>
          <w:color w:val="000000" w:themeColor="text1"/>
        </w:rPr>
        <w:t xml:space="preserve"> Submission Form for Other Payer Requests for Other Payer Advanced Alternative Payment Model Determinations (Payer Initiated Submission Form)</w:t>
      </w:r>
      <w:r w:rsidR="002355A9">
        <w:rPr>
          <w:rStyle w:val="normaltextrun"/>
          <w:color w:val="000000" w:themeColor="text1"/>
        </w:rPr>
        <w:t xml:space="preserve"> </w:t>
      </w:r>
      <w:r w:rsidR="00916E4E">
        <w:rPr>
          <w:rStyle w:val="normaltextrun"/>
          <w:color w:val="000000" w:themeColor="text1"/>
        </w:rPr>
        <w:t>(Revised)</w:t>
      </w:r>
    </w:p>
    <w:p w:rsidR="00106546" w:rsidP="0032016A" w14:paraId="1E52DC56" w14:textId="5000E40F">
      <w:pPr>
        <w:pStyle w:val="paragraph"/>
        <w:spacing w:after="200"/>
        <w:textAlignment w:val="baseline"/>
        <w:rPr>
          <w:rStyle w:val="eop"/>
          <w:color w:val="000000" w:themeColor="text1"/>
        </w:rPr>
      </w:pPr>
      <w:r w:rsidRPr="00106546">
        <w:rPr>
          <w:rStyle w:val="eop"/>
          <w:color w:val="000000" w:themeColor="text1"/>
        </w:rPr>
        <w:t>Appendix B</w:t>
      </w:r>
      <w:r>
        <w:rPr>
          <w:rStyle w:val="eop"/>
          <w:color w:val="000000" w:themeColor="text1"/>
        </w:rPr>
        <w:t>2</w:t>
      </w:r>
      <w:r w:rsidRPr="00106546">
        <w:rPr>
          <w:rStyle w:val="eop"/>
          <w:color w:val="000000" w:themeColor="text1"/>
        </w:rPr>
        <w:t xml:space="preserve"> (See Table 25): 2024 Submission Form for Other Payer Requests for Other Payer Advanced Alternative Payment Model Determinations (Payer Initiated Submission Form)</w:t>
      </w:r>
    </w:p>
    <w:p w:rsidR="003141D8" w:rsidP="0032016A" w14:paraId="078910A4" w14:textId="091E8A6A">
      <w:pPr>
        <w:pStyle w:val="paragraph"/>
        <w:spacing w:after="200"/>
        <w:textAlignment w:val="baseline"/>
        <w:rPr>
          <w:rStyle w:val="normaltextrun"/>
          <w:color w:val="000000" w:themeColor="text1"/>
        </w:rPr>
      </w:pPr>
      <w:r w:rsidRPr="000C4086">
        <w:rPr>
          <w:rStyle w:val="normaltextrun"/>
          <w:color w:val="000000" w:themeColor="text1"/>
        </w:rPr>
        <w:t>Appendix C</w:t>
      </w:r>
      <w:r w:rsidR="004964ED">
        <w:rPr>
          <w:rStyle w:val="normaltextrun"/>
          <w:color w:val="000000" w:themeColor="text1"/>
        </w:rPr>
        <w:t>1</w:t>
      </w:r>
      <w:r w:rsidRPr="000C4086">
        <w:rPr>
          <w:rStyle w:val="normaltextrun"/>
          <w:color w:val="000000" w:themeColor="text1"/>
        </w:rPr>
        <w:t xml:space="preserve"> (See Table 2</w:t>
      </w:r>
      <w:r w:rsidR="00BC111B">
        <w:rPr>
          <w:rStyle w:val="normaltextrun"/>
          <w:color w:val="000000" w:themeColor="text1"/>
        </w:rPr>
        <w:t>6</w:t>
      </w:r>
      <w:r w:rsidRPr="000C4086">
        <w:rPr>
          <w:rStyle w:val="normaltextrun"/>
          <w:color w:val="000000" w:themeColor="text1"/>
        </w:rPr>
        <w:t>): 202</w:t>
      </w:r>
      <w:r w:rsidR="004964ED">
        <w:rPr>
          <w:rStyle w:val="normaltextrun"/>
          <w:color w:val="000000" w:themeColor="text1"/>
        </w:rPr>
        <w:t>4</w:t>
      </w:r>
      <w:r w:rsidRPr="000C4086">
        <w:rPr>
          <w:rStyle w:val="normaltextrun"/>
          <w:color w:val="000000" w:themeColor="text1"/>
        </w:rPr>
        <w:t xml:space="preserve"> Submission Form for Eligible Clinician and APM Entity Requests for Other Payer Advanced Alternative Payment Model Determinations (Eligible Clinician Initiated Submission Form) </w:t>
      </w:r>
      <w:r w:rsidR="004964ED">
        <w:rPr>
          <w:rStyle w:val="normaltextrun"/>
          <w:color w:val="000000" w:themeColor="text1"/>
        </w:rPr>
        <w:t>(Revised)</w:t>
      </w:r>
    </w:p>
    <w:p w:rsidR="004964ED" w:rsidP="0032016A" w14:paraId="644A5CF0" w14:textId="04E35D9E">
      <w:pPr>
        <w:pStyle w:val="paragraph"/>
        <w:spacing w:after="200"/>
        <w:textAlignment w:val="baseline"/>
        <w:rPr>
          <w:rStyle w:val="eop"/>
          <w:color w:val="000000" w:themeColor="text1"/>
        </w:rPr>
      </w:pPr>
      <w:r w:rsidRPr="004964ED">
        <w:rPr>
          <w:rStyle w:val="eop"/>
          <w:color w:val="000000" w:themeColor="text1"/>
        </w:rPr>
        <w:t>Appendix C</w:t>
      </w:r>
      <w:r>
        <w:rPr>
          <w:rStyle w:val="eop"/>
          <w:color w:val="000000" w:themeColor="text1"/>
        </w:rPr>
        <w:t>2</w:t>
      </w:r>
      <w:r w:rsidRPr="004964ED">
        <w:rPr>
          <w:rStyle w:val="eop"/>
          <w:color w:val="000000" w:themeColor="text1"/>
        </w:rPr>
        <w:t xml:space="preserve"> (See Table 26): 2024 Submission Form for Eligible Clinician and APM Entity Requests for Other Payer Advanced Alternative Payment Model Determinations (Eligible Clinician Initiated Submission Form) </w:t>
      </w:r>
      <w:r w:rsidR="00FC17D8">
        <w:rPr>
          <w:rStyle w:val="eop"/>
          <w:color w:val="000000" w:themeColor="text1"/>
        </w:rPr>
        <w:t>Crosswalk</w:t>
      </w:r>
    </w:p>
    <w:p w:rsidR="003141D8" w:rsidP="0032016A" w14:paraId="30502A03" w14:textId="73B0AB18">
      <w:pPr>
        <w:pStyle w:val="paragraph"/>
        <w:spacing w:after="200"/>
        <w:textAlignment w:val="baseline"/>
        <w:rPr>
          <w:rStyle w:val="normaltextrun"/>
          <w:color w:val="000000" w:themeColor="text1"/>
        </w:rPr>
      </w:pPr>
      <w:r w:rsidRPr="000C4086">
        <w:rPr>
          <w:rStyle w:val="normaltextrun"/>
          <w:color w:val="000000" w:themeColor="text1"/>
        </w:rPr>
        <w:t>Appendix D</w:t>
      </w:r>
      <w:r w:rsidR="001E753F">
        <w:rPr>
          <w:rStyle w:val="normaltextrun"/>
          <w:color w:val="000000" w:themeColor="text1"/>
        </w:rPr>
        <w:t>1</w:t>
      </w:r>
      <w:r w:rsidRPr="000C4086">
        <w:rPr>
          <w:rStyle w:val="normaltextrun"/>
          <w:color w:val="000000" w:themeColor="text1"/>
        </w:rPr>
        <w:t xml:space="preserve"> (See Table 2</w:t>
      </w:r>
      <w:r w:rsidR="00BC111B">
        <w:rPr>
          <w:rStyle w:val="normaltextrun"/>
          <w:color w:val="000000" w:themeColor="text1"/>
        </w:rPr>
        <w:t>7</w:t>
      </w:r>
      <w:r w:rsidRPr="000C4086">
        <w:rPr>
          <w:rStyle w:val="normaltextrun"/>
          <w:color w:val="000000" w:themeColor="text1"/>
        </w:rPr>
        <w:t>): 202</w:t>
      </w:r>
      <w:r w:rsidR="005347F9">
        <w:rPr>
          <w:rStyle w:val="normaltextrun"/>
          <w:color w:val="000000" w:themeColor="text1"/>
        </w:rPr>
        <w:t>4</w:t>
      </w:r>
      <w:r w:rsidRPr="000C4086">
        <w:rPr>
          <w:rStyle w:val="normaltextrun"/>
          <w:color w:val="000000" w:themeColor="text1"/>
        </w:rPr>
        <w:t xml:space="preserve"> Submission Form for Requests for Qualifying Alternative Payment Model Participant (QP) Determinations under the All-Payer Combination Option </w:t>
      </w:r>
      <w:r w:rsidR="001E753F">
        <w:rPr>
          <w:rStyle w:val="normaltextrun"/>
          <w:color w:val="000000" w:themeColor="text1"/>
        </w:rPr>
        <w:t>(Revised)</w:t>
      </w:r>
    </w:p>
    <w:p w:rsidR="001E753F" w:rsidP="0032016A" w14:paraId="533A8888" w14:textId="20E86FF5">
      <w:pPr>
        <w:pStyle w:val="paragraph"/>
        <w:spacing w:after="200"/>
        <w:textAlignment w:val="baseline"/>
        <w:rPr>
          <w:rStyle w:val="eop"/>
          <w:color w:val="000000" w:themeColor="text1"/>
        </w:rPr>
      </w:pPr>
      <w:r w:rsidRPr="001E753F">
        <w:rPr>
          <w:rStyle w:val="eop"/>
          <w:color w:val="000000" w:themeColor="text1"/>
        </w:rPr>
        <w:t>Appendix D</w:t>
      </w:r>
      <w:r>
        <w:rPr>
          <w:rStyle w:val="eop"/>
          <w:color w:val="000000" w:themeColor="text1"/>
        </w:rPr>
        <w:t>2</w:t>
      </w:r>
      <w:r w:rsidRPr="001E753F">
        <w:rPr>
          <w:rStyle w:val="eop"/>
          <w:color w:val="000000" w:themeColor="text1"/>
        </w:rPr>
        <w:t xml:space="preserve"> (See Table 27): 202</w:t>
      </w:r>
      <w:r w:rsidR="005347F9">
        <w:rPr>
          <w:rStyle w:val="eop"/>
          <w:color w:val="000000" w:themeColor="text1"/>
        </w:rPr>
        <w:t>4</w:t>
      </w:r>
      <w:r w:rsidRPr="001E753F">
        <w:rPr>
          <w:rStyle w:val="eop"/>
          <w:color w:val="000000" w:themeColor="text1"/>
        </w:rPr>
        <w:t xml:space="preserve"> Submission Form for Requests for Qualifying Alternative Payment Model Participant (QP) Determinations under the All-Payer Combination Option</w:t>
      </w:r>
      <w:r w:rsidR="00F06204">
        <w:rPr>
          <w:rStyle w:val="eop"/>
          <w:color w:val="000000" w:themeColor="text1"/>
        </w:rPr>
        <w:t xml:space="preserve"> Crosswalk</w:t>
      </w:r>
    </w:p>
    <w:p w:rsidR="003141D8" w:rsidP="293D5721" w14:paraId="0E68850B" w14:textId="3D1EE88A">
      <w:pPr>
        <w:pStyle w:val="paragraph"/>
        <w:spacing w:after="200"/>
        <w:textAlignment w:val="baseline"/>
        <w:rPr>
          <w:rStyle w:val="normaltextrun"/>
          <w:color w:val="000000" w:themeColor="text1"/>
        </w:rPr>
      </w:pPr>
      <w:r w:rsidRPr="5623DC36">
        <w:rPr>
          <w:rStyle w:val="normaltextrun"/>
          <w:color w:val="000000" w:themeColor="text1"/>
        </w:rPr>
        <w:t>Appendix E</w:t>
      </w:r>
      <w:r w:rsidRPr="5623DC36" w:rsidR="005D41B6">
        <w:rPr>
          <w:rStyle w:val="normaltextrun"/>
          <w:color w:val="000000" w:themeColor="text1"/>
        </w:rPr>
        <w:t xml:space="preserve"> </w:t>
      </w:r>
      <w:r w:rsidRPr="5623DC36">
        <w:rPr>
          <w:rStyle w:val="normaltextrun"/>
          <w:color w:val="000000" w:themeColor="text1"/>
        </w:rPr>
        <w:t>(See Table 1</w:t>
      </w:r>
      <w:r w:rsidRPr="5623DC36" w:rsidR="00BC111B">
        <w:rPr>
          <w:rStyle w:val="normaltextrun"/>
          <w:color w:val="000000" w:themeColor="text1"/>
        </w:rPr>
        <w:t>7</w:t>
      </w:r>
      <w:r w:rsidRPr="5623DC36">
        <w:rPr>
          <w:rStyle w:val="normaltextrun"/>
          <w:color w:val="000000" w:themeColor="text1"/>
        </w:rPr>
        <w:t>): Measures under Consideration 202</w:t>
      </w:r>
      <w:r w:rsidRPr="5623DC36" w:rsidR="05353EC4">
        <w:rPr>
          <w:rStyle w:val="normaltextrun"/>
          <w:color w:val="000000" w:themeColor="text1"/>
        </w:rPr>
        <w:t>3</w:t>
      </w:r>
      <w:r w:rsidRPr="5623DC36">
        <w:rPr>
          <w:rStyle w:val="normaltextrun"/>
          <w:color w:val="000000" w:themeColor="text1"/>
        </w:rPr>
        <w:t xml:space="preserve"> Data Template for Candidate Measures </w:t>
      </w:r>
    </w:p>
    <w:p w:rsidR="00502002" w:rsidP="0032016A" w14:paraId="3F730086" w14:textId="19E32824">
      <w:pPr>
        <w:pStyle w:val="paragraph"/>
        <w:spacing w:after="200"/>
        <w:textAlignment w:val="baseline"/>
        <w:rPr>
          <w:rStyle w:val="normaltextrun"/>
          <w:color w:val="000000" w:themeColor="text1"/>
        </w:rPr>
      </w:pPr>
      <w:r w:rsidRPr="5623DC36">
        <w:rPr>
          <w:rStyle w:val="normaltextrun"/>
          <w:color w:val="000000" w:themeColor="text1"/>
        </w:rPr>
        <w:t>Appendix F (See Table 1</w:t>
      </w:r>
      <w:r w:rsidRPr="5623DC36" w:rsidR="009C045E">
        <w:rPr>
          <w:rStyle w:val="normaltextrun"/>
          <w:color w:val="000000" w:themeColor="text1"/>
        </w:rPr>
        <w:t>7</w:t>
      </w:r>
      <w:r w:rsidRPr="5623DC36">
        <w:rPr>
          <w:rStyle w:val="normaltextrun"/>
          <w:color w:val="000000" w:themeColor="text1"/>
        </w:rPr>
        <w:t>):  202</w:t>
      </w:r>
      <w:r w:rsidRPr="5623DC36" w:rsidR="0DE22244">
        <w:rPr>
          <w:rStyle w:val="normaltextrun"/>
          <w:color w:val="000000" w:themeColor="text1"/>
        </w:rPr>
        <w:t>3</w:t>
      </w:r>
      <w:r w:rsidRPr="5623DC36">
        <w:rPr>
          <w:rStyle w:val="normaltextrun"/>
          <w:color w:val="000000" w:themeColor="text1"/>
        </w:rPr>
        <w:t xml:space="preserve"> Peer Reviewed Journal Article Requirement Template </w:t>
      </w:r>
    </w:p>
    <w:p w:rsidR="003141D8" w:rsidP="0032016A" w14:paraId="10B29B7D" w14:textId="6CBCE5A0">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sidR="0053082B">
        <w:rPr>
          <w:rStyle w:val="normaltextrun"/>
          <w:color w:val="000000" w:themeColor="text1"/>
        </w:rPr>
        <w:t>G</w:t>
      </w:r>
      <w:r w:rsidR="00A7337E">
        <w:rPr>
          <w:rStyle w:val="normaltextrun"/>
          <w:color w:val="000000" w:themeColor="text1"/>
        </w:rPr>
        <w:t>1</w:t>
      </w:r>
      <w:r w:rsidR="0053082B">
        <w:rPr>
          <w:rStyle w:val="normaltextrun"/>
          <w:color w:val="000000" w:themeColor="text1"/>
        </w:rPr>
        <w:t xml:space="preserve"> </w:t>
      </w:r>
      <w:r w:rsidRPr="000C4086">
        <w:rPr>
          <w:rStyle w:val="normaltextrun"/>
          <w:color w:val="000000" w:themeColor="text1"/>
        </w:rPr>
        <w:t>(See Table 2</w:t>
      </w:r>
      <w:r w:rsidR="0053082B">
        <w:rPr>
          <w:rStyle w:val="normaltextrun"/>
          <w:color w:val="000000" w:themeColor="text1"/>
        </w:rPr>
        <w:t>2</w:t>
      </w:r>
      <w:r w:rsidRPr="000C4086">
        <w:rPr>
          <w:rStyle w:val="normaltextrun"/>
          <w:color w:val="000000" w:themeColor="text1"/>
        </w:rPr>
        <w:t>):  Improvement Activities Performance Category, 202</w:t>
      </w:r>
      <w:r w:rsidR="003E43E9">
        <w:rPr>
          <w:rStyle w:val="normaltextrun"/>
          <w:color w:val="000000" w:themeColor="text1"/>
        </w:rPr>
        <w:t>4</w:t>
      </w:r>
      <w:r w:rsidRPr="000C4086">
        <w:rPr>
          <w:rStyle w:val="normaltextrun"/>
          <w:color w:val="000000" w:themeColor="text1"/>
        </w:rPr>
        <w:t xml:space="preserve"> Call for Activities Submission Form </w:t>
      </w:r>
      <w:r w:rsidR="004A10CB">
        <w:rPr>
          <w:rStyle w:val="normaltextrun"/>
          <w:color w:val="000000" w:themeColor="text1"/>
        </w:rPr>
        <w:t xml:space="preserve">(Revised) </w:t>
      </w:r>
      <w:r w:rsidR="00E944D7">
        <w:rPr>
          <w:rStyle w:val="normaltextrun"/>
          <w:color w:val="000000" w:themeColor="text1"/>
        </w:rPr>
        <w:t>(previously Appendix H)</w:t>
      </w:r>
    </w:p>
    <w:p w:rsidR="003E43E9" w:rsidP="0032016A" w14:paraId="14C7FE57" w14:textId="321A2A6C">
      <w:pPr>
        <w:pStyle w:val="paragraph"/>
        <w:spacing w:after="200"/>
        <w:textAlignment w:val="baseline"/>
        <w:rPr>
          <w:rStyle w:val="eop"/>
          <w:color w:val="000000" w:themeColor="text1"/>
        </w:rPr>
      </w:pPr>
      <w:r w:rsidRPr="000C4086">
        <w:rPr>
          <w:rStyle w:val="normaltextrun"/>
          <w:color w:val="000000" w:themeColor="text1"/>
        </w:rPr>
        <w:t xml:space="preserve">Appendix </w:t>
      </w:r>
      <w:r>
        <w:rPr>
          <w:rStyle w:val="normaltextrun"/>
          <w:color w:val="000000" w:themeColor="text1"/>
        </w:rPr>
        <w:t xml:space="preserve">G2 </w:t>
      </w:r>
      <w:r w:rsidRPr="000C4086">
        <w:rPr>
          <w:rStyle w:val="normaltextrun"/>
          <w:color w:val="000000" w:themeColor="text1"/>
        </w:rPr>
        <w:t>(See Table 2</w:t>
      </w:r>
      <w:r>
        <w:rPr>
          <w:rStyle w:val="normaltextrun"/>
          <w:color w:val="000000" w:themeColor="text1"/>
        </w:rPr>
        <w:t>2</w:t>
      </w:r>
      <w:r w:rsidRPr="000C4086">
        <w:rPr>
          <w:rStyle w:val="normaltextrun"/>
          <w:color w:val="000000" w:themeColor="text1"/>
        </w:rPr>
        <w:t>):  Improvement Activities Performance Category, 202</w:t>
      </w:r>
      <w:r>
        <w:rPr>
          <w:rStyle w:val="normaltextrun"/>
          <w:color w:val="000000" w:themeColor="text1"/>
        </w:rPr>
        <w:t>4</w:t>
      </w:r>
      <w:r w:rsidRPr="000C4086">
        <w:rPr>
          <w:rStyle w:val="normaltextrun"/>
          <w:color w:val="000000" w:themeColor="text1"/>
        </w:rPr>
        <w:t xml:space="preserve"> Call for Activities Submission Form</w:t>
      </w:r>
      <w:r>
        <w:rPr>
          <w:rStyle w:val="normaltextrun"/>
          <w:color w:val="000000" w:themeColor="text1"/>
        </w:rPr>
        <w:t xml:space="preserve"> Crosswalk</w:t>
      </w:r>
    </w:p>
    <w:p w:rsidR="00502002" w:rsidP="0032016A" w14:paraId="16C597CA" w14:textId="405D44FD">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sidR="0053082B">
        <w:rPr>
          <w:rStyle w:val="normaltextrun"/>
          <w:color w:val="000000" w:themeColor="text1"/>
        </w:rPr>
        <w:t>H</w:t>
      </w:r>
      <w:r w:rsidR="009854A0">
        <w:rPr>
          <w:rStyle w:val="normaltextrun"/>
          <w:color w:val="000000" w:themeColor="text1"/>
        </w:rPr>
        <w:t>1</w:t>
      </w:r>
      <w:r w:rsidRPr="000C4086">
        <w:rPr>
          <w:rStyle w:val="normaltextrun"/>
          <w:color w:val="000000" w:themeColor="text1"/>
        </w:rPr>
        <w:t xml:space="preserve"> (See Table 1</w:t>
      </w:r>
      <w:r w:rsidR="0053082B">
        <w:rPr>
          <w:rStyle w:val="normaltextrun"/>
          <w:color w:val="000000" w:themeColor="text1"/>
        </w:rPr>
        <w:t>8</w:t>
      </w:r>
      <w:r w:rsidRPr="000C4086">
        <w:rPr>
          <w:rStyle w:val="normaltextrun"/>
          <w:color w:val="000000" w:themeColor="text1"/>
        </w:rPr>
        <w:t>): 202</w:t>
      </w:r>
      <w:r w:rsidR="000C4AF5">
        <w:rPr>
          <w:rStyle w:val="normaltextrun"/>
          <w:color w:val="000000" w:themeColor="text1"/>
        </w:rPr>
        <w:t>3</w:t>
      </w:r>
      <w:r w:rsidR="00306D1F">
        <w:rPr>
          <w:rStyle w:val="normaltextrun"/>
          <w:color w:val="000000" w:themeColor="text1"/>
        </w:rPr>
        <w:t xml:space="preserve"> MIPS Promoting Interoperability</w:t>
      </w:r>
      <w:r w:rsidRPr="000C4086">
        <w:rPr>
          <w:rStyle w:val="normaltextrun"/>
          <w:color w:val="000000" w:themeColor="text1"/>
        </w:rPr>
        <w:t xml:space="preserve"> Hardship Exception Application </w:t>
      </w:r>
      <w:r w:rsidR="00306D1F">
        <w:rPr>
          <w:rStyle w:val="normaltextrun"/>
          <w:color w:val="000000" w:themeColor="text1"/>
        </w:rPr>
        <w:t>Guide</w:t>
      </w:r>
      <w:r w:rsidRPr="000C4086">
        <w:rPr>
          <w:rStyle w:val="normaltextrun"/>
          <w:color w:val="000000" w:themeColor="text1"/>
        </w:rPr>
        <w:t xml:space="preserve"> </w:t>
      </w:r>
      <w:r w:rsidR="00E944D7">
        <w:rPr>
          <w:rStyle w:val="normaltextrun"/>
          <w:color w:val="000000" w:themeColor="text1"/>
        </w:rPr>
        <w:t>(previously Appendix I)</w:t>
      </w:r>
      <w:r w:rsidR="009854A0">
        <w:rPr>
          <w:rStyle w:val="normaltextrun"/>
          <w:color w:val="000000" w:themeColor="text1"/>
        </w:rPr>
        <w:t xml:space="preserve"> (Revised)</w:t>
      </w:r>
    </w:p>
    <w:p w:rsidR="009854A0" w:rsidP="0032016A" w14:paraId="543B852D" w14:textId="57652ACA">
      <w:pPr>
        <w:pStyle w:val="paragraph"/>
        <w:spacing w:after="200"/>
        <w:textAlignment w:val="baseline"/>
        <w:rPr>
          <w:rStyle w:val="eop"/>
          <w:color w:val="000000" w:themeColor="text1"/>
        </w:rPr>
      </w:pPr>
      <w:r w:rsidRPr="000C4086">
        <w:rPr>
          <w:rStyle w:val="normaltextrun"/>
          <w:color w:val="000000" w:themeColor="text1"/>
        </w:rPr>
        <w:t xml:space="preserve">Appendix </w:t>
      </w:r>
      <w:r>
        <w:rPr>
          <w:rStyle w:val="normaltextrun"/>
          <w:color w:val="000000" w:themeColor="text1"/>
        </w:rPr>
        <w:t>H2</w:t>
      </w:r>
      <w:r w:rsidRPr="000C4086">
        <w:rPr>
          <w:rStyle w:val="normaltextrun"/>
          <w:color w:val="000000" w:themeColor="text1"/>
        </w:rPr>
        <w:t xml:space="preserve"> (See Table 1</w:t>
      </w:r>
      <w:r>
        <w:rPr>
          <w:rStyle w:val="normaltextrun"/>
          <w:color w:val="000000" w:themeColor="text1"/>
        </w:rPr>
        <w:t>8</w:t>
      </w:r>
      <w:r w:rsidRPr="000C4086">
        <w:rPr>
          <w:rStyle w:val="normaltextrun"/>
          <w:color w:val="000000" w:themeColor="text1"/>
        </w:rPr>
        <w:t>): 202</w:t>
      </w:r>
      <w:r>
        <w:rPr>
          <w:rStyle w:val="normaltextrun"/>
          <w:color w:val="000000" w:themeColor="text1"/>
        </w:rPr>
        <w:t>3 MIPS Promoting Interoperability</w:t>
      </w:r>
      <w:r w:rsidRPr="000C4086">
        <w:rPr>
          <w:rStyle w:val="normaltextrun"/>
          <w:color w:val="000000" w:themeColor="text1"/>
        </w:rPr>
        <w:t xml:space="preserve"> Hardship Exception Application </w:t>
      </w:r>
      <w:r>
        <w:rPr>
          <w:rStyle w:val="normaltextrun"/>
          <w:color w:val="000000" w:themeColor="text1"/>
        </w:rPr>
        <w:t>Guide Crosswalk</w:t>
      </w:r>
    </w:p>
    <w:p w:rsidR="00502002" w:rsidP="0032016A" w14:paraId="52B1337D" w14:textId="15447C02">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sidR="0053082B">
        <w:rPr>
          <w:rStyle w:val="normaltextrun"/>
          <w:color w:val="000000" w:themeColor="text1"/>
        </w:rPr>
        <w:t>I</w:t>
      </w:r>
      <w:r w:rsidR="009854A0">
        <w:rPr>
          <w:rStyle w:val="normaltextrun"/>
          <w:color w:val="000000" w:themeColor="text1"/>
        </w:rPr>
        <w:t>1</w:t>
      </w:r>
      <w:r w:rsidRPr="000C4086">
        <w:rPr>
          <w:rStyle w:val="normaltextrun"/>
          <w:color w:val="000000" w:themeColor="text1"/>
        </w:rPr>
        <w:t xml:space="preserve"> (See Table 16): 202</w:t>
      </w:r>
      <w:r w:rsidR="009854A0">
        <w:rPr>
          <w:rStyle w:val="normaltextrun"/>
          <w:color w:val="000000" w:themeColor="text1"/>
        </w:rPr>
        <w:t>3</w:t>
      </w:r>
      <w:r w:rsidRPr="000C4086">
        <w:rPr>
          <w:rStyle w:val="normaltextrun"/>
          <w:color w:val="000000" w:themeColor="text1"/>
        </w:rPr>
        <w:t xml:space="preserve"> </w:t>
      </w:r>
      <w:r w:rsidR="00B944B9">
        <w:rPr>
          <w:rStyle w:val="normaltextrun"/>
          <w:color w:val="000000" w:themeColor="text1"/>
        </w:rPr>
        <w:t xml:space="preserve">MIPS </w:t>
      </w:r>
      <w:r w:rsidRPr="000C4086">
        <w:rPr>
          <w:rStyle w:val="normaltextrun"/>
          <w:color w:val="000000" w:themeColor="text1"/>
        </w:rPr>
        <w:t xml:space="preserve">Extreme and Uncontrollable Circumstances </w:t>
      </w:r>
      <w:r w:rsidR="00B944B9">
        <w:rPr>
          <w:rStyle w:val="normaltextrun"/>
          <w:color w:val="000000" w:themeColor="text1"/>
        </w:rPr>
        <w:t>Except</w:t>
      </w:r>
      <w:r w:rsidR="0030238F">
        <w:rPr>
          <w:rStyle w:val="normaltextrun"/>
          <w:color w:val="000000" w:themeColor="text1"/>
        </w:rPr>
        <w:t xml:space="preserve">ion </w:t>
      </w:r>
      <w:r w:rsidRPr="000C4086">
        <w:rPr>
          <w:rStyle w:val="normaltextrun"/>
          <w:color w:val="000000" w:themeColor="text1"/>
        </w:rPr>
        <w:t xml:space="preserve">Application </w:t>
      </w:r>
      <w:r w:rsidR="0030238F">
        <w:rPr>
          <w:rStyle w:val="normaltextrun"/>
          <w:color w:val="000000" w:themeColor="text1"/>
        </w:rPr>
        <w:t>Guide</w:t>
      </w:r>
      <w:r w:rsidRPr="000C4086">
        <w:rPr>
          <w:rStyle w:val="normaltextrun"/>
          <w:color w:val="000000" w:themeColor="text1"/>
        </w:rPr>
        <w:t xml:space="preserve"> </w:t>
      </w:r>
      <w:r w:rsidR="00E944D7">
        <w:rPr>
          <w:rStyle w:val="normaltextrun"/>
          <w:color w:val="000000" w:themeColor="text1"/>
        </w:rPr>
        <w:t xml:space="preserve"> (previously Appendix J)</w:t>
      </w:r>
      <w:r w:rsidR="009854A0">
        <w:rPr>
          <w:rStyle w:val="normaltextrun"/>
          <w:color w:val="000000" w:themeColor="text1"/>
        </w:rPr>
        <w:t xml:space="preserve"> (Revised)</w:t>
      </w:r>
    </w:p>
    <w:p w:rsidR="009854A0" w:rsidP="0032016A" w14:paraId="2C38A6B1" w14:textId="7F560827">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Pr>
          <w:rStyle w:val="normaltextrun"/>
          <w:color w:val="000000" w:themeColor="text1"/>
        </w:rPr>
        <w:t>I2</w:t>
      </w:r>
      <w:r w:rsidRPr="000C4086">
        <w:rPr>
          <w:rStyle w:val="normaltextrun"/>
          <w:color w:val="000000" w:themeColor="text1"/>
        </w:rPr>
        <w:t xml:space="preserve"> (See Table 16): 202</w:t>
      </w:r>
      <w:r>
        <w:rPr>
          <w:rStyle w:val="normaltextrun"/>
          <w:color w:val="000000" w:themeColor="text1"/>
        </w:rPr>
        <w:t>3</w:t>
      </w:r>
      <w:r w:rsidRPr="000C4086">
        <w:rPr>
          <w:rStyle w:val="normaltextrun"/>
          <w:color w:val="000000" w:themeColor="text1"/>
        </w:rPr>
        <w:t xml:space="preserve"> </w:t>
      </w:r>
      <w:r>
        <w:rPr>
          <w:rStyle w:val="normaltextrun"/>
          <w:color w:val="000000" w:themeColor="text1"/>
        </w:rPr>
        <w:t xml:space="preserve">MIPS </w:t>
      </w:r>
      <w:r w:rsidRPr="000C4086">
        <w:rPr>
          <w:rStyle w:val="normaltextrun"/>
          <w:color w:val="000000" w:themeColor="text1"/>
        </w:rPr>
        <w:t xml:space="preserve">Extreme and Uncontrollable Circumstances </w:t>
      </w:r>
      <w:r>
        <w:rPr>
          <w:rStyle w:val="normaltextrun"/>
          <w:color w:val="000000" w:themeColor="text1"/>
        </w:rPr>
        <w:t xml:space="preserve">Exception </w:t>
      </w:r>
      <w:r w:rsidRPr="000C4086">
        <w:rPr>
          <w:rStyle w:val="normaltextrun"/>
          <w:color w:val="000000" w:themeColor="text1"/>
        </w:rPr>
        <w:t xml:space="preserve">Application </w:t>
      </w:r>
      <w:r>
        <w:rPr>
          <w:rStyle w:val="normaltextrun"/>
          <w:color w:val="000000" w:themeColor="text1"/>
        </w:rPr>
        <w:t>Guide</w:t>
      </w:r>
      <w:r w:rsidRPr="000C4086">
        <w:rPr>
          <w:rStyle w:val="normaltextrun"/>
          <w:color w:val="000000" w:themeColor="text1"/>
        </w:rPr>
        <w:t xml:space="preserve"> </w:t>
      </w:r>
      <w:r w:rsidR="004A2F48">
        <w:rPr>
          <w:rStyle w:val="normaltextrun"/>
          <w:color w:val="000000" w:themeColor="text1"/>
        </w:rPr>
        <w:t>Crosswalk</w:t>
      </w:r>
    </w:p>
    <w:p w:rsidR="00502002" w:rsidP="0032016A" w14:paraId="62C02BBB" w14:textId="2283BF8C">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sidR="0053082B">
        <w:rPr>
          <w:rStyle w:val="normaltextrun"/>
          <w:color w:val="000000" w:themeColor="text1"/>
        </w:rPr>
        <w:t>J</w:t>
      </w:r>
      <w:r w:rsidR="00B14FA5">
        <w:rPr>
          <w:rStyle w:val="normaltextrun"/>
          <w:color w:val="000000" w:themeColor="text1"/>
        </w:rPr>
        <w:t>1</w:t>
      </w:r>
      <w:r w:rsidR="0053082B">
        <w:rPr>
          <w:rStyle w:val="normaltextrun"/>
          <w:color w:val="000000" w:themeColor="text1"/>
        </w:rPr>
        <w:t xml:space="preserve"> </w:t>
      </w:r>
      <w:r w:rsidRPr="000C4086">
        <w:rPr>
          <w:rStyle w:val="normaltextrun"/>
          <w:color w:val="000000" w:themeColor="text1"/>
        </w:rPr>
        <w:t>(See Table 2</w:t>
      </w:r>
      <w:r w:rsidR="0053082B">
        <w:rPr>
          <w:rStyle w:val="normaltextrun"/>
          <w:color w:val="000000" w:themeColor="text1"/>
        </w:rPr>
        <w:t>3</w:t>
      </w:r>
      <w:r w:rsidRPr="000C4086">
        <w:rPr>
          <w:rStyle w:val="normaltextrun"/>
          <w:color w:val="000000" w:themeColor="text1"/>
        </w:rPr>
        <w:t>): 202</w:t>
      </w:r>
      <w:r w:rsidR="00F7280B">
        <w:rPr>
          <w:rStyle w:val="normaltextrun"/>
          <w:color w:val="000000" w:themeColor="text1"/>
        </w:rPr>
        <w:t>4</w:t>
      </w:r>
      <w:r w:rsidRPr="000C4086">
        <w:rPr>
          <w:rStyle w:val="normaltextrun"/>
          <w:color w:val="000000" w:themeColor="text1"/>
        </w:rPr>
        <w:t xml:space="preserve"> MVP Candidates: Instructions and Template </w:t>
      </w:r>
      <w:r w:rsidRPr="00E944D7" w:rsidR="00E944D7">
        <w:rPr>
          <w:rStyle w:val="normaltextrun"/>
          <w:color w:val="000000" w:themeColor="text1"/>
        </w:rPr>
        <w:t xml:space="preserve">(previously Appendix </w:t>
      </w:r>
      <w:r w:rsidR="00E944D7">
        <w:rPr>
          <w:rStyle w:val="normaltextrun"/>
          <w:color w:val="000000" w:themeColor="text1"/>
        </w:rPr>
        <w:t>K</w:t>
      </w:r>
      <w:r w:rsidRPr="00E944D7" w:rsidR="00E944D7">
        <w:rPr>
          <w:rStyle w:val="normaltextrun"/>
          <w:color w:val="000000" w:themeColor="text1"/>
        </w:rPr>
        <w:t>)</w:t>
      </w:r>
      <w:r w:rsidRPr="00E944D7" w:rsidR="00E944D7">
        <w:rPr>
          <w:rStyle w:val="normaltextrun"/>
          <w:color w:val="000000" w:themeColor="text1"/>
        </w:rPr>
        <w:t xml:space="preserve"> </w:t>
      </w:r>
      <w:r w:rsidR="00F7280B">
        <w:rPr>
          <w:rStyle w:val="normaltextrun"/>
          <w:color w:val="000000" w:themeColor="text1"/>
        </w:rPr>
        <w:t>(Revised)</w:t>
      </w:r>
    </w:p>
    <w:p w:rsidR="00F7280B" w:rsidP="0032016A" w14:paraId="3144D58A" w14:textId="5469F2DD">
      <w:pPr>
        <w:pStyle w:val="paragraph"/>
        <w:spacing w:after="200"/>
        <w:textAlignment w:val="baseline"/>
        <w:rPr>
          <w:rStyle w:val="normaltextrun"/>
          <w:color w:val="000000" w:themeColor="text1"/>
        </w:rPr>
      </w:pPr>
      <w:r w:rsidRPr="00F7280B">
        <w:rPr>
          <w:rStyle w:val="normaltextrun"/>
          <w:color w:val="000000" w:themeColor="text1"/>
        </w:rPr>
        <w:t>Appendix J</w:t>
      </w:r>
      <w:r>
        <w:rPr>
          <w:rStyle w:val="normaltextrun"/>
          <w:color w:val="000000" w:themeColor="text1"/>
        </w:rPr>
        <w:t>2</w:t>
      </w:r>
      <w:r w:rsidRPr="00F7280B">
        <w:rPr>
          <w:rStyle w:val="normaltextrun"/>
          <w:color w:val="000000" w:themeColor="text1"/>
        </w:rPr>
        <w:t xml:space="preserve"> (See Table 23): 2024 MVP Candidates: Instructions and Template </w:t>
      </w:r>
      <w:r>
        <w:rPr>
          <w:rStyle w:val="normaltextrun"/>
          <w:color w:val="000000" w:themeColor="text1"/>
        </w:rPr>
        <w:t>Crosswalk</w:t>
      </w:r>
    </w:p>
    <w:p w:rsidR="003141D8" w:rsidP="0032016A" w14:paraId="2D8A2F15" w14:textId="59272DAA">
      <w:pPr>
        <w:pStyle w:val="paragraph"/>
        <w:spacing w:after="200"/>
        <w:textAlignment w:val="baseline"/>
        <w:rPr>
          <w:rStyle w:val="normaltextrun"/>
          <w:color w:val="000000" w:themeColor="text1"/>
        </w:rPr>
      </w:pPr>
      <w:r w:rsidRPr="000C4086">
        <w:rPr>
          <w:rStyle w:val="normaltextrun"/>
          <w:color w:val="000000" w:themeColor="text1"/>
        </w:rPr>
        <w:t xml:space="preserve">Appendix </w:t>
      </w:r>
      <w:r w:rsidR="0053082B">
        <w:rPr>
          <w:rStyle w:val="normaltextrun"/>
          <w:color w:val="000000" w:themeColor="text1"/>
        </w:rPr>
        <w:t>K</w:t>
      </w:r>
      <w:r w:rsidR="00CF3ADF">
        <w:rPr>
          <w:rStyle w:val="normaltextrun"/>
          <w:color w:val="000000" w:themeColor="text1"/>
        </w:rPr>
        <w:t>1</w:t>
      </w:r>
      <w:r w:rsidRPr="000C4086">
        <w:rPr>
          <w:rStyle w:val="normaltextrun"/>
          <w:color w:val="000000" w:themeColor="text1"/>
        </w:rPr>
        <w:t xml:space="preserve"> (See Table 2</w:t>
      </w:r>
      <w:r w:rsidR="0053082B">
        <w:rPr>
          <w:rStyle w:val="normaltextrun"/>
          <w:color w:val="000000" w:themeColor="text1"/>
        </w:rPr>
        <w:t>4</w:t>
      </w:r>
      <w:r w:rsidRPr="000C4086">
        <w:rPr>
          <w:rStyle w:val="normaltextrun"/>
          <w:color w:val="000000" w:themeColor="text1"/>
        </w:rPr>
        <w:t>): 202</w:t>
      </w:r>
      <w:r w:rsidR="00CF3ADF">
        <w:rPr>
          <w:rStyle w:val="normaltextrun"/>
          <w:color w:val="000000" w:themeColor="text1"/>
        </w:rPr>
        <w:t>3</w:t>
      </w:r>
      <w:r w:rsidRPr="000C4086">
        <w:rPr>
          <w:rStyle w:val="normaltextrun"/>
          <w:color w:val="000000" w:themeColor="text1"/>
        </w:rPr>
        <w:t xml:space="preserve"> Partial QP Election Form (for </w:t>
      </w:r>
      <w:r w:rsidR="008C1583">
        <w:rPr>
          <w:rStyle w:val="normaltextrun"/>
          <w:color w:val="000000" w:themeColor="text1"/>
        </w:rPr>
        <w:t>submission in CY 202</w:t>
      </w:r>
      <w:r w:rsidR="00CF3ADF">
        <w:rPr>
          <w:rStyle w:val="normaltextrun"/>
          <w:color w:val="000000" w:themeColor="text1"/>
        </w:rPr>
        <w:t>4</w:t>
      </w:r>
      <w:r w:rsidRPr="000C4086">
        <w:rPr>
          <w:rStyle w:val="normaltextrun"/>
          <w:color w:val="000000" w:themeColor="text1"/>
        </w:rPr>
        <w:t>)</w:t>
      </w:r>
      <w:r w:rsidRPr="00A61130">
        <w:rPr>
          <w:rStyle w:val="eop"/>
          <w:color w:val="000000" w:themeColor="text1"/>
        </w:rPr>
        <w:t> </w:t>
      </w:r>
      <w:r w:rsidR="00E944D7">
        <w:rPr>
          <w:rStyle w:val="normaltextrun"/>
          <w:color w:val="000000" w:themeColor="text1"/>
        </w:rPr>
        <w:t>(previously Appendix L)</w:t>
      </w:r>
      <w:r w:rsidR="00C36310">
        <w:rPr>
          <w:rStyle w:val="normaltextrun"/>
          <w:color w:val="000000" w:themeColor="text1"/>
        </w:rPr>
        <w:t xml:space="preserve"> (Revised)</w:t>
      </w:r>
    </w:p>
    <w:p w:rsidR="00C36310" w:rsidP="0032016A" w14:paraId="5287093C" w14:textId="2AC15433">
      <w:pPr>
        <w:pStyle w:val="paragraph"/>
        <w:spacing w:after="200"/>
        <w:textAlignment w:val="baseline"/>
        <w:rPr>
          <w:rStyle w:val="eop"/>
          <w:color w:val="000000" w:themeColor="text1"/>
        </w:rPr>
      </w:pPr>
      <w:r w:rsidRPr="000C4086">
        <w:rPr>
          <w:rStyle w:val="normaltextrun"/>
          <w:color w:val="000000" w:themeColor="text1"/>
        </w:rPr>
        <w:t xml:space="preserve">Appendix </w:t>
      </w:r>
      <w:r>
        <w:rPr>
          <w:rStyle w:val="normaltextrun"/>
          <w:color w:val="000000" w:themeColor="text1"/>
        </w:rPr>
        <w:t>K2</w:t>
      </w:r>
      <w:r w:rsidRPr="000C4086">
        <w:rPr>
          <w:rStyle w:val="normaltextrun"/>
          <w:color w:val="000000" w:themeColor="text1"/>
        </w:rPr>
        <w:t xml:space="preserve"> (See Table 2</w:t>
      </w:r>
      <w:r>
        <w:rPr>
          <w:rStyle w:val="normaltextrun"/>
          <w:color w:val="000000" w:themeColor="text1"/>
        </w:rPr>
        <w:t>4</w:t>
      </w:r>
      <w:r w:rsidRPr="000C4086">
        <w:rPr>
          <w:rStyle w:val="normaltextrun"/>
          <w:color w:val="000000" w:themeColor="text1"/>
        </w:rPr>
        <w:t>): 202</w:t>
      </w:r>
      <w:r>
        <w:rPr>
          <w:rStyle w:val="normaltextrun"/>
          <w:color w:val="000000" w:themeColor="text1"/>
        </w:rPr>
        <w:t>3</w:t>
      </w:r>
      <w:r w:rsidRPr="000C4086">
        <w:rPr>
          <w:rStyle w:val="normaltextrun"/>
          <w:color w:val="000000" w:themeColor="text1"/>
        </w:rPr>
        <w:t xml:space="preserve"> Partial QP Election Form (for </w:t>
      </w:r>
      <w:r>
        <w:rPr>
          <w:rStyle w:val="normaltextrun"/>
          <w:color w:val="000000" w:themeColor="text1"/>
        </w:rPr>
        <w:t>submission in CY</w:t>
      </w:r>
      <w:r w:rsidR="00930D8E">
        <w:rPr>
          <w:rStyle w:val="normaltextrun"/>
          <w:color w:val="000000" w:themeColor="text1"/>
        </w:rPr>
        <w:t xml:space="preserve"> </w:t>
      </w:r>
      <w:r>
        <w:rPr>
          <w:rStyle w:val="normaltextrun"/>
          <w:color w:val="000000" w:themeColor="text1"/>
        </w:rPr>
        <w:t>2024</w:t>
      </w:r>
      <w:r w:rsidRPr="000C4086">
        <w:rPr>
          <w:rStyle w:val="normaltextrun"/>
          <w:color w:val="000000" w:themeColor="text1"/>
        </w:rPr>
        <w:t>)</w:t>
      </w:r>
      <w:r w:rsidRPr="00A61130">
        <w:rPr>
          <w:rStyle w:val="eop"/>
          <w:color w:val="000000" w:themeColor="text1"/>
        </w:rPr>
        <w:t> </w:t>
      </w:r>
      <w:r>
        <w:rPr>
          <w:rStyle w:val="normaltextrun"/>
          <w:color w:val="000000" w:themeColor="text1"/>
        </w:rPr>
        <w:t>Crosswalk</w:t>
      </w:r>
    </w:p>
    <w:p w:rsidR="00502002" w:rsidRPr="00A61130" w:rsidP="0032016A" w14:paraId="1F81D2CA" w14:textId="55C7F0FB">
      <w:pPr>
        <w:pStyle w:val="paragraph"/>
        <w:spacing w:after="200"/>
        <w:textAlignment w:val="baseline"/>
        <w:rPr>
          <w:rFonts w:ascii="Segoe UI" w:hAnsi="Segoe UI" w:cs="Segoe UI"/>
          <w:color w:val="000000" w:themeColor="text1"/>
          <w:sz w:val="18"/>
          <w:szCs w:val="18"/>
        </w:rPr>
      </w:pPr>
      <w:r w:rsidRPr="103F2DD0">
        <w:rPr>
          <w:rStyle w:val="normaltextrun"/>
          <w:color w:val="000000" w:themeColor="text1"/>
        </w:rPr>
        <w:t xml:space="preserve">Appendix L </w:t>
      </w:r>
      <w:r w:rsidRPr="103F2DD0" w:rsidR="00404A1D">
        <w:rPr>
          <w:rStyle w:val="normaltextrun"/>
          <w:color w:val="000000" w:themeColor="text1"/>
        </w:rPr>
        <w:t xml:space="preserve">(See Tables 14 and 15): </w:t>
      </w:r>
      <w:r w:rsidRPr="103F2DD0" w:rsidR="06DD1EFD">
        <w:rPr>
          <w:rStyle w:val="normaltextrun"/>
          <w:color w:val="000000" w:themeColor="text1"/>
        </w:rPr>
        <w:t xml:space="preserve">2023 </w:t>
      </w:r>
      <w:r w:rsidRPr="103F2DD0" w:rsidR="00404A1D">
        <w:rPr>
          <w:rStyle w:val="normaltextrun"/>
          <w:color w:val="000000" w:themeColor="text1"/>
        </w:rPr>
        <w:t>MVP Registration Form</w:t>
      </w:r>
    </w:p>
    <w:p w:rsidR="002E06AF" w:rsidP="0011028A" w14:paraId="34127EDE" w14:textId="60B5B42E">
      <w:pPr>
        <w:pStyle w:val="Heading2"/>
      </w:pPr>
      <w:r w:rsidRPr="00BC25AD">
        <w:t>Capital Costs</w:t>
      </w:r>
    </w:p>
    <w:p w:rsidR="003B37A7" w:rsidRPr="003B37A7" w:rsidP="003B37A7" w14:paraId="05A7D702" w14:textId="28ECC3BE">
      <w:r>
        <w:t>This section is not applicable to the information collection discussed in this document.</w:t>
      </w:r>
    </w:p>
    <w:p w:rsidR="002E06AF" w:rsidRPr="00136D86" w:rsidP="0011028A" w14:paraId="35D2B3D9" w14:textId="1692C248">
      <w:pPr>
        <w:pStyle w:val="Heading2"/>
      </w:pPr>
      <w:r w:rsidRPr="00136D86">
        <w:t>Cost to Federal Government</w:t>
      </w:r>
    </w:p>
    <w:p w:rsidR="003C4605" w:rsidP="00536031" w14:paraId="0755C832" w14:textId="3AAAF6B0">
      <w:pPr>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000273E3" w:rsidP="00536031" w14:paraId="4BC68438" w14:textId="15834D9D">
      <w:pPr>
        <w:rPr>
          <w:szCs w:val="20"/>
        </w:rPr>
      </w:pPr>
      <w:r w:rsidRPr="000273E3">
        <w:rPr>
          <w:szCs w:val="20"/>
        </w:rPr>
        <w:t>In the CY 2021 PFS final rule</w:t>
      </w:r>
      <w:r w:rsidR="00530100">
        <w:rPr>
          <w:szCs w:val="20"/>
        </w:rPr>
        <w:t xml:space="preserve"> (85 FR 84884 through 84885)</w:t>
      </w:r>
      <w:r w:rsidRPr="000273E3">
        <w:rPr>
          <w:szCs w:val="20"/>
        </w:rPr>
        <w:t>, we stated</w:t>
      </w:r>
      <w:r w:rsidR="0040031D">
        <w:rPr>
          <w:szCs w:val="20"/>
        </w:rPr>
        <w:t xml:space="preserve"> </w:t>
      </w:r>
      <w:r w:rsidRPr="0040031D" w:rsidR="0040031D">
        <w:rPr>
          <w:szCs w:val="20"/>
        </w:rPr>
        <w:t>to consider agency-nominated improvement activities</w:t>
      </w:r>
      <w:r w:rsidRPr="000273E3">
        <w:rPr>
          <w:szCs w:val="20"/>
        </w:rPr>
        <w:t xml:space="preserve"> beginning with the CY 2021</w:t>
      </w:r>
      <w:r w:rsidR="002B2834">
        <w:rPr>
          <w:szCs w:val="20"/>
        </w:rPr>
        <w:t xml:space="preserve"> </w:t>
      </w:r>
      <w:r w:rsidRPr="000273E3">
        <w:rPr>
          <w:szCs w:val="20"/>
        </w:rPr>
        <w:t>performance period</w:t>
      </w:r>
      <w:r w:rsidR="002B2834">
        <w:rPr>
          <w:szCs w:val="20"/>
        </w:rPr>
        <w:t>/2023 MIPS payment year</w:t>
      </w:r>
      <w:r w:rsidRPr="000273E3">
        <w:rPr>
          <w:szCs w:val="20"/>
        </w:rPr>
        <w:t xml:space="preserve"> and future years. </w:t>
      </w:r>
      <w:r w:rsidR="008D0596">
        <w:rPr>
          <w:szCs w:val="20"/>
        </w:rPr>
        <w:t>As dis</w:t>
      </w:r>
      <w:r w:rsidR="007C1278">
        <w:rPr>
          <w:szCs w:val="20"/>
        </w:rPr>
        <w:t>cussed in the CY 2021 PFS final rule</w:t>
      </w:r>
      <w:r w:rsidR="006D0DBB">
        <w:rPr>
          <w:szCs w:val="20"/>
        </w:rPr>
        <w:t xml:space="preserve"> (85 FR </w:t>
      </w:r>
      <w:r w:rsidR="005A3D5C">
        <w:rPr>
          <w:szCs w:val="20"/>
        </w:rPr>
        <w:t>85021</w:t>
      </w:r>
      <w:r w:rsidR="006D0DBB">
        <w:rPr>
          <w:szCs w:val="20"/>
        </w:rPr>
        <w:t>)</w:t>
      </w:r>
      <w:r w:rsidR="007C1278">
        <w:rPr>
          <w:szCs w:val="20"/>
        </w:rPr>
        <w:t>, w</w:t>
      </w:r>
      <w:r w:rsidRPr="000273E3">
        <w:rPr>
          <w:szCs w:val="20"/>
        </w:rPr>
        <w:t>e are unable to estimate the number of improvement activity nominations we will receive</w:t>
      </w:r>
      <w:r w:rsidR="007C1278">
        <w:rPr>
          <w:szCs w:val="20"/>
        </w:rPr>
        <w:t>. Therefore,</w:t>
      </w:r>
      <w:r w:rsidRPr="000273E3">
        <w:rPr>
          <w:szCs w:val="20"/>
        </w:rPr>
        <w:t xml:space="preserve"> we</w:t>
      </w:r>
      <w:r w:rsidR="008D0596">
        <w:rPr>
          <w:szCs w:val="20"/>
        </w:rPr>
        <w:t xml:space="preserve"> continue to</w:t>
      </w:r>
      <w:r w:rsidRPr="000273E3">
        <w:rPr>
          <w:szCs w:val="20"/>
        </w:rPr>
        <w:t xml:space="preserve"> assume it will require 3 hours </w:t>
      </w:r>
      <w:r w:rsidRPr="00855C8F">
        <w:rPr>
          <w:szCs w:val="20"/>
        </w:rPr>
        <w:t xml:space="preserve">at </w:t>
      </w:r>
      <w:r w:rsidRPr="00855C8F" w:rsidR="00251B2D">
        <w:rPr>
          <w:szCs w:val="20"/>
        </w:rPr>
        <w:t>$60.</w:t>
      </w:r>
      <w:r w:rsidR="00337ECE">
        <w:rPr>
          <w:szCs w:val="20"/>
        </w:rPr>
        <w:t>8</w:t>
      </w:r>
      <w:r w:rsidRPr="00855C8F" w:rsidR="00251B2D">
        <w:rPr>
          <w:szCs w:val="20"/>
        </w:rPr>
        <w:t>3</w:t>
      </w:r>
      <w:r w:rsidRPr="00855C8F">
        <w:rPr>
          <w:szCs w:val="20"/>
        </w:rPr>
        <w:t>/hr for a GS-13 Step 5 to nominate an improvement activity for a total cost of $1</w:t>
      </w:r>
      <w:r w:rsidRPr="00855C8F" w:rsidR="00251B2D">
        <w:rPr>
          <w:szCs w:val="20"/>
        </w:rPr>
        <w:t>8</w:t>
      </w:r>
      <w:r w:rsidR="00F03F34">
        <w:rPr>
          <w:szCs w:val="20"/>
        </w:rPr>
        <w:t>2</w:t>
      </w:r>
      <w:r w:rsidRPr="00855C8F" w:rsidR="00251B2D">
        <w:rPr>
          <w:szCs w:val="20"/>
        </w:rPr>
        <w:t>.</w:t>
      </w:r>
      <w:r w:rsidR="00F03F34">
        <w:rPr>
          <w:szCs w:val="20"/>
        </w:rPr>
        <w:t>4</w:t>
      </w:r>
      <w:r w:rsidRPr="00855C8F" w:rsidR="00251B2D">
        <w:rPr>
          <w:szCs w:val="20"/>
        </w:rPr>
        <w:t>9</w:t>
      </w:r>
      <w:r w:rsidRPr="00855C8F">
        <w:rPr>
          <w:szCs w:val="20"/>
        </w:rPr>
        <w:t xml:space="preserve"> (3 </w:t>
      </w:r>
      <w:r w:rsidRPr="00855C8F">
        <w:rPr>
          <w:szCs w:val="20"/>
        </w:rPr>
        <w:t>hrs</w:t>
      </w:r>
      <w:r w:rsidRPr="00855C8F">
        <w:rPr>
          <w:szCs w:val="20"/>
        </w:rPr>
        <w:t xml:space="preserve"> x $</w:t>
      </w:r>
      <w:r w:rsidRPr="00855C8F" w:rsidR="00251B2D">
        <w:rPr>
          <w:szCs w:val="20"/>
        </w:rPr>
        <w:t>60.</w:t>
      </w:r>
      <w:r w:rsidR="00F03F34">
        <w:rPr>
          <w:szCs w:val="20"/>
        </w:rPr>
        <w:t>8</w:t>
      </w:r>
      <w:r w:rsidRPr="00855C8F" w:rsidR="00251B2D">
        <w:rPr>
          <w:szCs w:val="20"/>
        </w:rPr>
        <w:t>3</w:t>
      </w:r>
      <w:r w:rsidRPr="00855C8F">
        <w:rPr>
          <w:szCs w:val="20"/>
        </w:rPr>
        <w:t>/</w:t>
      </w:r>
      <w:r w:rsidRPr="00855C8F">
        <w:rPr>
          <w:szCs w:val="20"/>
        </w:rPr>
        <w:t>hr</w:t>
      </w:r>
      <w:r w:rsidRPr="00855C8F">
        <w:rPr>
          <w:szCs w:val="20"/>
        </w:rPr>
        <w:t>) per activity.</w:t>
      </w:r>
    </w:p>
    <w:p w:rsidR="00CC4CA8" w:rsidRPr="00666F56" w:rsidP="0011028A" w14:paraId="12E9A98A" w14:textId="5AC101C1">
      <w:pPr>
        <w:pStyle w:val="Heading2"/>
      </w:pPr>
      <w:r w:rsidRPr="00666F56">
        <w:t xml:space="preserve">Program </w:t>
      </w:r>
      <w:r w:rsidRPr="00666F56" w:rsidR="005A0F91">
        <w:t>and</w:t>
      </w:r>
      <w:r w:rsidRPr="00666F56">
        <w:t xml:space="preserve"> Burden Changes</w:t>
      </w:r>
    </w:p>
    <w:p w:rsidR="00F913C3" w:rsidRPr="00666F56" w:rsidP="00F913C3" w14:paraId="0790F845" w14:textId="6B351BA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hd w:val="clear" w:color="auto" w:fill="FFFFFF"/>
        </w:rPr>
      </w:pPr>
      <w:r w:rsidRPr="00666F56">
        <w:t xml:space="preserve">The following changes are associated with our CY 2024 PFS </w:t>
      </w:r>
      <w:r w:rsidRPr="00666F56" w:rsidR="008D685C">
        <w:t>final</w:t>
      </w:r>
      <w:r w:rsidRPr="00666F56">
        <w:t xml:space="preserve"> rule (CMS-1784-</w:t>
      </w:r>
      <w:r w:rsidRPr="00666F56" w:rsidR="008D685C">
        <w:t>F</w:t>
      </w:r>
      <w:r w:rsidRPr="00666F56">
        <w:t xml:space="preserve">; RIN 0938-AV07) which published </w:t>
      </w:r>
      <w:r w:rsidRPr="00666F56">
        <w:t xml:space="preserve">in the Federal Register </w:t>
      </w:r>
      <w:r w:rsidRPr="00666F56">
        <w:t xml:space="preserve">on </w:t>
      </w:r>
      <w:r w:rsidRPr="00666F56">
        <w:t>November 16, 2023 (88 FR 78818)</w:t>
      </w:r>
      <w:r w:rsidRPr="00666F56">
        <w:t>.</w:t>
      </w:r>
    </w:p>
    <w:p w:rsidR="00A45373" w:rsidP="00861516" w14:paraId="4EE457C4" w14:textId="74C0F59F">
      <w:pPr>
        <w:spacing w:after="0"/>
        <w:rPr>
          <w:b/>
          <w:bCs/>
        </w:rPr>
      </w:pPr>
      <w:r w:rsidRPr="00666F56">
        <w:rPr>
          <w:color w:val="000000"/>
          <w:shd w:val="clear" w:color="auto" w:fill="FFFFFF"/>
        </w:rPr>
        <w:t xml:space="preserve">In table </w:t>
      </w:r>
      <w:r w:rsidRPr="00666F56" w:rsidR="009E52B2">
        <w:rPr>
          <w:color w:val="000000"/>
          <w:shd w:val="clear" w:color="auto" w:fill="FFFFFF"/>
        </w:rPr>
        <w:t>30</w:t>
      </w:r>
      <w:r w:rsidRPr="00666F56">
        <w:rPr>
          <w:color w:val="000000"/>
          <w:shd w:val="clear" w:color="auto" w:fill="FFFFFF"/>
        </w:rPr>
        <w:t xml:space="preserve"> below</w:t>
      </w:r>
      <w:r w:rsidRPr="00666F56" w:rsidR="00EC354F">
        <w:rPr>
          <w:color w:val="000000"/>
          <w:shd w:val="clear" w:color="auto" w:fill="FFFFFF"/>
        </w:rPr>
        <w:t xml:space="preserve">, we </w:t>
      </w:r>
      <w:r w:rsidRPr="00666F56" w:rsidR="009E52B2">
        <w:rPr>
          <w:color w:val="000000"/>
          <w:shd w:val="clear" w:color="auto" w:fill="FFFFFF"/>
        </w:rPr>
        <w:t>illustrate</w:t>
      </w:r>
      <w:r w:rsidRPr="00666F56" w:rsidR="00EC354F">
        <w:rPr>
          <w:color w:val="000000"/>
          <w:shd w:val="clear" w:color="auto" w:fill="FFFFFF"/>
        </w:rPr>
        <w:t xml:space="preserve"> </w:t>
      </w:r>
      <w:r w:rsidRPr="00666F56" w:rsidR="006E4A20">
        <w:rPr>
          <w:color w:val="000000"/>
          <w:shd w:val="clear" w:color="auto" w:fill="FFFFFF"/>
        </w:rPr>
        <w:t>the change in burden to</w:t>
      </w:r>
      <w:r w:rsidRPr="00666F56" w:rsidR="00EC354F">
        <w:rPr>
          <w:color w:val="000000"/>
          <w:shd w:val="clear" w:color="auto" w:fill="FFFFFF"/>
        </w:rPr>
        <w:t xml:space="preserve"> our currently</w:t>
      </w:r>
      <w:r w:rsidR="00EC354F">
        <w:rPr>
          <w:color w:val="000000"/>
          <w:shd w:val="clear" w:color="auto" w:fill="FFFFFF"/>
        </w:rPr>
        <w:t xml:space="preserve"> approved estimates</w:t>
      </w:r>
      <w:r w:rsidR="006E4A20">
        <w:rPr>
          <w:color w:val="000000"/>
          <w:shd w:val="clear" w:color="auto" w:fill="FFFFFF"/>
        </w:rPr>
        <w:t>. The</w:t>
      </w:r>
      <w:r w:rsidR="009E52B2">
        <w:rPr>
          <w:color w:val="000000"/>
          <w:shd w:val="clear" w:color="auto" w:fill="FFFFFF"/>
        </w:rPr>
        <w:t xml:space="preserve"> estimated</w:t>
      </w:r>
      <w:r w:rsidR="006E4A20">
        <w:rPr>
          <w:color w:val="000000"/>
          <w:shd w:val="clear" w:color="auto" w:fill="FFFFFF"/>
        </w:rPr>
        <w:t xml:space="preserve"> changes are due to </w:t>
      </w:r>
      <w:r w:rsidR="00EC354F">
        <w:rPr>
          <w:color w:val="000000"/>
          <w:shd w:val="clear" w:color="auto" w:fill="FFFFFF"/>
        </w:rPr>
        <w:t xml:space="preserve">new </w:t>
      </w:r>
      <w:r w:rsidR="006E4A20">
        <w:rPr>
          <w:color w:val="000000"/>
          <w:shd w:val="clear" w:color="auto" w:fill="FFFFFF"/>
        </w:rPr>
        <w:t>policy proposals</w:t>
      </w:r>
      <w:r w:rsidR="00CC3A01">
        <w:rPr>
          <w:color w:val="000000"/>
          <w:shd w:val="clear" w:color="auto" w:fill="FFFFFF"/>
        </w:rPr>
        <w:t xml:space="preserve"> </w:t>
      </w:r>
      <w:r w:rsidR="00101640">
        <w:rPr>
          <w:color w:val="000000"/>
          <w:shd w:val="clear" w:color="auto" w:fill="FFFFFF"/>
        </w:rPr>
        <w:t xml:space="preserve">set forth </w:t>
      </w:r>
      <w:r w:rsidR="00CC3A01">
        <w:rPr>
          <w:color w:val="000000"/>
          <w:shd w:val="clear" w:color="auto" w:fill="FFFFFF"/>
        </w:rPr>
        <w:t>in the CY 202</w:t>
      </w:r>
      <w:r w:rsidR="006E4A20">
        <w:rPr>
          <w:color w:val="000000"/>
          <w:shd w:val="clear" w:color="auto" w:fill="FFFFFF"/>
        </w:rPr>
        <w:t>4</w:t>
      </w:r>
      <w:r w:rsidR="00CC3A01">
        <w:rPr>
          <w:color w:val="000000"/>
          <w:shd w:val="clear" w:color="auto" w:fill="FFFFFF"/>
        </w:rPr>
        <w:t xml:space="preserve"> PFS </w:t>
      </w:r>
      <w:r w:rsidR="006C1169">
        <w:rPr>
          <w:color w:val="000000"/>
          <w:shd w:val="clear" w:color="auto" w:fill="FFFFFF"/>
        </w:rPr>
        <w:t>final</w:t>
      </w:r>
      <w:r w:rsidR="00CC3A01">
        <w:rPr>
          <w:color w:val="000000"/>
          <w:shd w:val="clear" w:color="auto" w:fill="FFFFFF"/>
        </w:rPr>
        <w:t xml:space="preserve"> rule</w:t>
      </w:r>
      <w:r w:rsidR="006E4A20">
        <w:rPr>
          <w:color w:val="000000"/>
          <w:shd w:val="clear" w:color="auto" w:fill="FFFFFF"/>
        </w:rPr>
        <w:t xml:space="preserve"> and adjustments to the currently approved burden </w:t>
      </w:r>
      <w:r w:rsidR="006E4A20">
        <w:rPr>
          <w:color w:val="000000"/>
          <w:shd w:val="clear" w:color="auto" w:fill="FFFFFF"/>
        </w:rPr>
        <w:t>as a result of</w:t>
      </w:r>
      <w:r w:rsidR="006E4A20">
        <w:rPr>
          <w:color w:val="000000"/>
          <w:shd w:val="clear" w:color="auto" w:fill="FFFFFF"/>
        </w:rPr>
        <w:t xml:space="preserve"> updated data sources and assumptions</w:t>
      </w:r>
      <w:r w:rsidR="00CC3A01">
        <w:rPr>
          <w:color w:val="000000"/>
          <w:shd w:val="clear" w:color="auto" w:fill="FFFFFF"/>
        </w:rPr>
        <w:t>.</w:t>
      </w:r>
    </w:p>
    <w:p w:rsidR="009E52B2" w:rsidP="004227D4" w14:paraId="60C583C3" w14:textId="77777777">
      <w:pPr>
        <w:keepNext/>
        <w:keepLines/>
        <w:jc w:val="center"/>
        <w:rPr>
          <w:b/>
          <w:bCs/>
        </w:rPr>
      </w:pPr>
      <w:bookmarkStart w:id="15" w:name="_Hlk78872000"/>
    </w:p>
    <w:p w:rsidR="00B90263" w:rsidRPr="00B90263" w:rsidP="004227D4" w14:paraId="2DBD4EC5" w14:textId="597F8253">
      <w:pPr>
        <w:keepNext/>
        <w:keepLines/>
        <w:jc w:val="center"/>
        <w:rPr>
          <w:b/>
          <w:bCs/>
        </w:rPr>
      </w:pPr>
      <w:r w:rsidRPr="00B90263">
        <w:rPr>
          <w:b/>
          <w:bCs/>
        </w:rPr>
        <w:t>T</w:t>
      </w:r>
      <w:r>
        <w:rPr>
          <w:b/>
          <w:bCs/>
        </w:rPr>
        <w:t>ABLE</w:t>
      </w:r>
      <w:r w:rsidRPr="00B90263">
        <w:rPr>
          <w:b/>
          <w:bCs/>
        </w:rPr>
        <w:t xml:space="preserve"> </w:t>
      </w:r>
      <w:r w:rsidR="006E4A20">
        <w:rPr>
          <w:b/>
          <w:bCs/>
        </w:rPr>
        <w:t>30</w:t>
      </w:r>
      <w:r w:rsidR="00681FC9">
        <w:rPr>
          <w:b/>
          <w:bCs/>
        </w:rPr>
        <w:t>:</w:t>
      </w:r>
      <w:r>
        <w:rPr>
          <w:b/>
          <w:bCs/>
        </w:rPr>
        <w:t xml:space="preserve"> Change in Burden</w:t>
      </w:r>
      <w:r w:rsidR="00C1361E">
        <w:rPr>
          <w:b/>
          <w:bCs/>
        </w:rPr>
        <w:t xml:space="preserve"> for </w:t>
      </w:r>
      <w:r w:rsidR="009B074F">
        <w:rPr>
          <w:b/>
          <w:bCs/>
        </w:rPr>
        <w:t xml:space="preserve">CY </w:t>
      </w:r>
      <w:r w:rsidR="00C1361E">
        <w:rPr>
          <w:b/>
          <w:bCs/>
        </w:rPr>
        <w:t>202</w:t>
      </w:r>
      <w:r w:rsidR="004A6841">
        <w:rPr>
          <w:b/>
          <w:bCs/>
        </w:rPr>
        <w:t>4</w:t>
      </w:r>
      <w:r w:rsidR="00C1361E">
        <w:rPr>
          <w:b/>
          <w:bCs/>
        </w:rPr>
        <w:t xml:space="preserve"> Performance Period</w:t>
      </w:r>
      <w:r w:rsidR="009B074F">
        <w:rPr>
          <w:b/>
          <w:bCs/>
        </w:rPr>
        <w:t>/202</w:t>
      </w:r>
      <w:r w:rsidR="004A6841">
        <w:rPr>
          <w:b/>
          <w:bCs/>
        </w:rPr>
        <w:t>6</w:t>
      </w:r>
      <w:r w:rsidR="009B074F">
        <w:rPr>
          <w:b/>
          <w:bCs/>
        </w:rPr>
        <w:t xml:space="preserve"> MIPS Payment Year</w:t>
      </w:r>
    </w:p>
    <w:tbl>
      <w:tblPr>
        <w:tblStyle w:val="TableGrid"/>
        <w:tblW w:w="9985" w:type="dxa"/>
        <w:tblLayout w:type="fixed"/>
        <w:tblLook w:val="04A0"/>
      </w:tblPr>
      <w:tblGrid>
        <w:gridCol w:w="2238"/>
        <w:gridCol w:w="1627"/>
        <w:gridCol w:w="1440"/>
        <w:gridCol w:w="1530"/>
        <w:gridCol w:w="1620"/>
        <w:gridCol w:w="1530"/>
      </w:tblGrid>
      <w:tr w14:paraId="7A33F22A" w14:textId="77777777" w:rsidTr="4BF14CA9">
        <w:tblPrEx>
          <w:tblW w:w="9985" w:type="dxa"/>
          <w:tblLayout w:type="fixed"/>
          <w:tblLook w:val="04A0"/>
        </w:tblPrEx>
        <w:tc>
          <w:tcPr>
            <w:tcW w:w="2238" w:type="dxa"/>
          </w:tcPr>
          <w:p w:rsidR="00B90263" w:rsidRPr="00852A6B" w:rsidP="004227D4" w14:paraId="77BEA862" w14:textId="41B8594F">
            <w:pPr>
              <w:keepNext/>
              <w:keepLines/>
              <w:rPr>
                <w:b/>
                <w:bCs/>
                <w:sz w:val="20"/>
                <w:szCs w:val="20"/>
              </w:rPr>
            </w:pPr>
            <w:r w:rsidRPr="00852A6B">
              <w:rPr>
                <w:b/>
                <w:bCs/>
                <w:sz w:val="20"/>
                <w:szCs w:val="20"/>
              </w:rPr>
              <w:t>Burden Type</w:t>
            </w:r>
          </w:p>
        </w:tc>
        <w:tc>
          <w:tcPr>
            <w:tcW w:w="1627" w:type="dxa"/>
          </w:tcPr>
          <w:p w:rsidR="00B90263" w:rsidRPr="00852A6B" w:rsidP="004227D4" w14:paraId="684EBFBE" w14:textId="4D45FB63">
            <w:pPr>
              <w:keepNext/>
              <w:keepLines/>
              <w:rPr>
                <w:b/>
                <w:bCs/>
                <w:sz w:val="20"/>
                <w:szCs w:val="20"/>
              </w:rPr>
            </w:pPr>
            <w:r w:rsidRPr="00852A6B">
              <w:rPr>
                <w:b/>
                <w:bCs/>
                <w:sz w:val="20"/>
                <w:szCs w:val="20"/>
              </w:rPr>
              <w:t>Total Requested (A)</w:t>
            </w:r>
          </w:p>
        </w:tc>
        <w:tc>
          <w:tcPr>
            <w:tcW w:w="1440" w:type="dxa"/>
          </w:tcPr>
          <w:p w:rsidR="00B90263" w:rsidRPr="00852A6B" w:rsidP="004227D4" w14:paraId="301EDDE0" w14:textId="6EB55F63">
            <w:pPr>
              <w:keepNext/>
              <w:keepLines/>
              <w:rPr>
                <w:b/>
                <w:bCs/>
                <w:sz w:val="20"/>
                <w:szCs w:val="20"/>
              </w:rPr>
            </w:pPr>
            <w:r w:rsidRPr="00852A6B">
              <w:rPr>
                <w:b/>
                <w:bCs/>
                <w:sz w:val="20"/>
                <w:szCs w:val="20"/>
              </w:rPr>
              <w:t>Change Due to New Statute (B)</w:t>
            </w:r>
          </w:p>
        </w:tc>
        <w:tc>
          <w:tcPr>
            <w:tcW w:w="1530" w:type="dxa"/>
          </w:tcPr>
          <w:p w:rsidR="00B90263" w:rsidRPr="00852A6B" w:rsidP="004227D4" w14:paraId="2B32ABE6" w14:textId="0138327D">
            <w:pPr>
              <w:keepNext/>
              <w:keepLines/>
              <w:rPr>
                <w:b/>
                <w:bCs/>
                <w:sz w:val="20"/>
                <w:szCs w:val="20"/>
              </w:rPr>
            </w:pPr>
            <w:r w:rsidRPr="00852A6B">
              <w:rPr>
                <w:b/>
                <w:bCs/>
                <w:sz w:val="20"/>
                <w:szCs w:val="20"/>
              </w:rPr>
              <w:t xml:space="preserve">Change </w:t>
            </w:r>
            <w:r w:rsidRPr="00852A6B" w:rsidR="00A76AE1">
              <w:rPr>
                <w:b/>
                <w:bCs/>
                <w:sz w:val="20"/>
                <w:szCs w:val="20"/>
              </w:rPr>
              <w:t>Due</w:t>
            </w:r>
            <w:r w:rsidRPr="00852A6B">
              <w:rPr>
                <w:b/>
                <w:bCs/>
                <w:sz w:val="20"/>
                <w:szCs w:val="20"/>
              </w:rPr>
              <w:t xml:space="preserve"> to Program Discretion (C)</w:t>
            </w:r>
          </w:p>
        </w:tc>
        <w:tc>
          <w:tcPr>
            <w:tcW w:w="1620" w:type="dxa"/>
          </w:tcPr>
          <w:p w:rsidR="00B90263" w:rsidRPr="00852A6B" w:rsidP="004227D4" w14:paraId="51F96202" w14:textId="192D6ABE">
            <w:pPr>
              <w:keepNext/>
              <w:keepLines/>
              <w:rPr>
                <w:b/>
                <w:bCs/>
                <w:sz w:val="20"/>
                <w:szCs w:val="20"/>
              </w:rPr>
            </w:pPr>
            <w:r w:rsidRPr="00852A6B">
              <w:rPr>
                <w:b/>
                <w:bCs/>
                <w:sz w:val="20"/>
                <w:szCs w:val="20"/>
              </w:rPr>
              <w:t>Change Due to Program Adjustment (D)</w:t>
            </w:r>
          </w:p>
        </w:tc>
        <w:tc>
          <w:tcPr>
            <w:tcW w:w="1530" w:type="dxa"/>
          </w:tcPr>
          <w:p w:rsidR="00286250" w:rsidRPr="00852A6B" w:rsidP="0013664B" w14:paraId="6731BD31" w14:textId="2FA57D45">
            <w:pPr>
              <w:keepNext/>
              <w:keepLines/>
              <w:spacing w:after="200"/>
              <w:rPr>
                <w:b/>
                <w:bCs/>
                <w:sz w:val="20"/>
                <w:szCs w:val="20"/>
              </w:rPr>
            </w:pPr>
            <w:r w:rsidRPr="00852A6B">
              <w:rPr>
                <w:b/>
                <w:bCs/>
                <w:sz w:val="20"/>
                <w:szCs w:val="20"/>
              </w:rPr>
              <w:t>Total Currently Approved (E)</w:t>
            </w:r>
          </w:p>
        </w:tc>
      </w:tr>
      <w:tr w14:paraId="07E3D2B8" w14:textId="77777777" w:rsidTr="4BF14CA9">
        <w:tblPrEx>
          <w:tblW w:w="9985" w:type="dxa"/>
          <w:tblLayout w:type="fixed"/>
          <w:tblLook w:val="04A0"/>
        </w:tblPrEx>
        <w:tc>
          <w:tcPr>
            <w:tcW w:w="2238" w:type="dxa"/>
          </w:tcPr>
          <w:p w:rsidR="00B90263" w:rsidRPr="00852A6B" w:rsidP="004227D4" w14:paraId="35DE2EA5" w14:textId="63C9A2A0">
            <w:pPr>
              <w:keepNext/>
              <w:keepLines/>
              <w:rPr>
                <w:sz w:val="20"/>
                <w:szCs w:val="20"/>
              </w:rPr>
            </w:pPr>
            <w:bookmarkStart w:id="16" w:name="_Hlk89430411"/>
            <w:r w:rsidRPr="00852A6B">
              <w:rPr>
                <w:sz w:val="20"/>
                <w:szCs w:val="20"/>
              </w:rPr>
              <w:t>Total Responses</w:t>
            </w:r>
          </w:p>
        </w:tc>
        <w:tc>
          <w:tcPr>
            <w:tcW w:w="1627" w:type="dxa"/>
          </w:tcPr>
          <w:p w:rsidR="00B90263" w:rsidRPr="00852A6B" w:rsidP="002D0233" w14:paraId="27B02D4F" w14:textId="0BB7935B">
            <w:pPr>
              <w:keepNext/>
              <w:keepLines/>
              <w:rPr>
                <w:sz w:val="20"/>
                <w:szCs w:val="20"/>
              </w:rPr>
            </w:pPr>
            <w:r>
              <w:rPr>
                <w:sz w:val="20"/>
                <w:szCs w:val="20"/>
              </w:rPr>
              <w:t>1</w:t>
            </w:r>
            <w:r w:rsidR="007366B3">
              <w:rPr>
                <w:sz w:val="20"/>
                <w:szCs w:val="20"/>
              </w:rPr>
              <w:t>91,225</w:t>
            </w:r>
          </w:p>
        </w:tc>
        <w:tc>
          <w:tcPr>
            <w:tcW w:w="1440" w:type="dxa"/>
          </w:tcPr>
          <w:p w:rsidR="00B90263" w:rsidRPr="00852A6B" w:rsidP="004227D4" w14:paraId="2CC70079" w14:textId="46577921">
            <w:pPr>
              <w:keepNext/>
              <w:keepLines/>
              <w:rPr>
                <w:sz w:val="20"/>
                <w:szCs w:val="20"/>
              </w:rPr>
            </w:pPr>
            <w:r w:rsidRPr="00852A6B">
              <w:rPr>
                <w:sz w:val="20"/>
                <w:szCs w:val="20"/>
              </w:rPr>
              <w:t>+</w:t>
            </w:r>
            <w:r w:rsidR="00D627E7">
              <w:rPr>
                <w:sz w:val="20"/>
                <w:szCs w:val="20"/>
              </w:rPr>
              <w:t>1,365</w:t>
            </w:r>
          </w:p>
        </w:tc>
        <w:tc>
          <w:tcPr>
            <w:tcW w:w="1530" w:type="dxa"/>
          </w:tcPr>
          <w:p w:rsidR="00B90263" w:rsidRPr="00852A6B" w:rsidP="00526912" w14:paraId="6969F473" w14:textId="5658EFDF">
            <w:pPr>
              <w:keepNext/>
              <w:keepLines/>
              <w:jc w:val="right"/>
              <w:rPr>
                <w:sz w:val="20"/>
                <w:szCs w:val="20"/>
              </w:rPr>
            </w:pPr>
            <w:r w:rsidRPr="00852A6B">
              <w:rPr>
                <w:sz w:val="20"/>
                <w:szCs w:val="20"/>
              </w:rPr>
              <w:t>0</w:t>
            </w:r>
          </w:p>
        </w:tc>
        <w:tc>
          <w:tcPr>
            <w:tcW w:w="1620" w:type="dxa"/>
          </w:tcPr>
          <w:p w:rsidR="00B90263" w:rsidRPr="00852A6B" w:rsidP="004227D4" w14:paraId="20D3DF75" w14:textId="29B742FA">
            <w:pPr>
              <w:keepNext/>
              <w:keepLines/>
              <w:rPr>
                <w:sz w:val="20"/>
                <w:szCs w:val="20"/>
              </w:rPr>
            </w:pPr>
            <w:r>
              <w:rPr>
                <w:sz w:val="20"/>
                <w:szCs w:val="20"/>
              </w:rPr>
              <w:t>+</w:t>
            </w:r>
            <w:r w:rsidR="00F5214E">
              <w:rPr>
                <w:sz w:val="20"/>
                <w:szCs w:val="20"/>
              </w:rPr>
              <w:t>30,</w:t>
            </w:r>
            <w:r w:rsidR="00E22A8F">
              <w:rPr>
                <w:sz w:val="20"/>
                <w:szCs w:val="20"/>
              </w:rPr>
              <w:t>332</w:t>
            </w:r>
          </w:p>
        </w:tc>
        <w:tc>
          <w:tcPr>
            <w:tcW w:w="1530" w:type="dxa"/>
          </w:tcPr>
          <w:p w:rsidR="00B90263" w:rsidRPr="00852A6B" w:rsidP="004227D4" w14:paraId="7B3052C2" w14:textId="35CA2B7C">
            <w:pPr>
              <w:keepNext/>
              <w:keepLines/>
              <w:rPr>
                <w:sz w:val="20"/>
                <w:szCs w:val="20"/>
              </w:rPr>
            </w:pPr>
            <w:bookmarkStart w:id="17" w:name="_Hlk89430606"/>
            <w:r>
              <w:rPr>
                <w:sz w:val="20"/>
                <w:szCs w:val="20"/>
              </w:rPr>
              <w:t>159,528</w:t>
            </w:r>
            <w:bookmarkEnd w:id="17"/>
          </w:p>
        </w:tc>
      </w:tr>
      <w:tr w14:paraId="3B309FA6" w14:textId="77777777" w:rsidTr="4BF14CA9">
        <w:tblPrEx>
          <w:tblW w:w="9985" w:type="dxa"/>
          <w:tblLayout w:type="fixed"/>
          <w:tblLook w:val="04A0"/>
        </w:tblPrEx>
        <w:tc>
          <w:tcPr>
            <w:tcW w:w="2238" w:type="dxa"/>
          </w:tcPr>
          <w:p w:rsidR="00B90263" w:rsidRPr="00852A6B" w:rsidP="004227D4" w14:paraId="4A17823C" w14:textId="13D96C48">
            <w:pPr>
              <w:keepNext/>
              <w:keepLines/>
              <w:rPr>
                <w:sz w:val="20"/>
                <w:szCs w:val="20"/>
              </w:rPr>
            </w:pPr>
            <w:bookmarkStart w:id="18" w:name="_Hlk89430488"/>
            <w:bookmarkEnd w:id="16"/>
            <w:r w:rsidRPr="00852A6B">
              <w:rPr>
                <w:sz w:val="20"/>
                <w:szCs w:val="20"/>
              </w:rPr>
              <w:t>Total Time (hr)</w:t>
            </w:r>
          </w:p>
        </w:tc>
        <w:tc>
          <w:tcPr>
            <w:tcW w:w="1627" w:type="dxa"/>
          </w:tcPr>
          <w:p w:rsidR="00B90263" w:rsidRPr="00852A6B" w:rsidP="002D0233" w14:paraId="02EC03C7" w14:textId="3A46DC7B">
            <w:pPr>
              <w:keepNext/>
              <w:keepLines/>
              <w:rPr>
                <w:sz w:val="20"/>
                <w:szCs w:val="20"/>
              </w:rPr>
            </w:pPr>
            <w:r>
              <w:rPr>
                <w:sz w:val="20"/>
                <w:szCs w:val="20"/>
              </w:rPr>
              <w:t>7</w:t>
            </w:r>
            <w:r w:rsidR="00420D0D">
              <w:rPr>
                <w:sz w:val="20"/>
                <w:szCs w:val="20"/>
              </w:rPr>
              <w:t>28,142</w:t>
            </w:r>
          </w:p>
        </w:tc>
        <w:tc>
          <w:tcPr>
            <w:tcW w:w="1440" w:type="dxa"/>
          </w:tcPr>
          <w:p w:rsidR="00B90263" w:rsidRPr="00852A6B" w:rsidP="004227D4" w14:paraId="3359A3D0" w14:textId="2067382B">
            <w:pPr>
              <w:keepNext/>
              <w:keepLines/>
              <w:rPr>
                <w:sz w:val="20"/>
                <w:szCs w:val="20"/>
              </w:rPr>
            </w:pPr>
            <w:r>
              <w:rPr>
                <w:sz w:val="20"/>
                <w:szCs w:val="20"/>
              </w:rPr>
              <w:t>-</w:t>
            </w:r>
            <w:r w:rsidR="00705A32">
              <w:rPr>
                <w:sz w:val="20"/>
                <w:szCs w:val="20"/>
              </w:rPr>
              <w:t>4,147</w:t>
            </w:r>
          </w:p>
        </w:tc>
        <w:tc>
          <w:tcPr>
            <w:tcW w:w="1530" w:type="dxa"/>
          </w:tcPr>
          <w:p w:rsidR="00B90263" w:rsidRPr="00852A6B" w:rsidP="00526912" w14:paraId="10EE3716" w14:textId="37868C8E">
            <w:pPr>
              <w:keepNext/>
              <w:keepLines/>
              <w:jc w:val="right"/>
              <w:rPr>
                <w:sz w:val="20"/>
                <w:szCs w:val="20"/>
              </w:rPr>
            </w:pPr>
            <w:r w:rsidRPr="00852A6B">
              <w:rPr>
                <w:sz w:val="20"/>
                <w:szCs w:val="20"/>
              </w:rPr>
              <w:t>0</w:t>
            </w:r>
          </w:p>
        </w:tc>
        <w:tc>
          <w:tcPr>
            <w:tcW w:w="1620" w:type="dxa"/>
          </w:tcPr>
          <w:p w:rsidR="00B90263" w:rsidRPr="00852A6B" w:rsidP="004227D4" w14:paraId="1DC40D47" w14:textId="38A07A54">
            <w:pPr>
              <w:keepNext/>
              <w:keepLines/>
              <w:rPr>
                <w:sz w:val="20"/>
                <w:szCs w:val="20"/>
              </w:rPr>
            </w:pPr>
            <w:r>
              <w:rPr>
                <w:sz w:val="20"/>
                <w:szCs w:val="20"/>
              </w:rPr>
              <w:t>+</w:t>
            </w:r>
            <w:r w:rsidR="00194979">
              <w:rPr>
                <w:sz w:val="20"/>
                <w:szCs w:val="20"/>
              </w:rPr>
              <w:t>18,429</w:t>
            </w:r>
          </w:p>
        </w:tc>
        <w:tc>
          <w:tcPr>
            <w:tcW w:w="1530" w:type="dxa"/>
          </w:tcPr>
          <w:p w:rsidR="00B90263" w:rsidRPr="00852A6B" w:rsidP="00C02594" w14:paraId="053E1ECF" w14:textId="70863560">
            <w:pPr>
              <w:keepNext/>
              <w:keepLines/>
              <w:rPr>
                <w:sz w:val="20"/>
                <w:szCs w:val="20"/>
              </w:rPr>
            </w:pPr>
            <w:bookmarkStart w:id="19" w:name="_Hlk89430659"/>
            <w:r>
              <w:rPr>
                <w:sz w:val="20"/>
                <w:szCs w:val="20"/>
              </w:rPr>
              <w:t>713,860</w:t>
            </w:r>
            <w:bookmarkEnd w:id="19"/>
          </w:p>
        </w:tc>
      </w:tr>
      <w:bookmarkEnd w:id="18"/>
      <w:tr w14:paraId="11305C9A" w14:textId="77777777" w:rsidTr="00BC2C47">
        <w:tblPrEx>
          <w:tblW w:w="9985" w:type="dxa"/>
          <w:tblLayout w:type="fixed"/>
          <w:tblLook w:val="04A0"/>
        </w:tblPrEx>
        <w:trPr>
          <w:trHeight w:val="260"/>
        </w:trPr>
        <w:tc>
          <w:tcPr>
            <w:tcW w:w="2238" w:type="dxa"/>
          </w:tcPr>
          <w:p w:rsidR="00B90263" w:rsidRPr="00852A6B" w:rsidP="004227D4" w14:paraId="536982D6" w14:textId="64BE9D02">
            <w:pPr>
              <w:keepNext/>
              <w:keepLines/>
              <w:rPr>
                <w:sz w:val="20"/>
                <w:szCs w:val="20"/>
              </w:rPr>
            </w:pPr>
            <w:r w:rsidRPr="00852A6B">
              <w:rPr>
                <w:sz w:val="20"/>
                <w:szCs w:val="20"/>
              </w:rPr>
              <w:t>Total Cost ($)</w:t>
            </w:r>
          </w:p>
        </w:tc>
        <w:tc>
          <w:tcPr>
            <w:tcW w:w="1627" w:type="dxa"/>
          </w:tcPr>
          <w:p w:rsidR="00B90263" w:rsidRPr="00852A6B" w:rsidP="002D0233" w14:paraId="11CD3C4A" w14:textId="7F81BDEE">
            <w:pPr>
              <w:keepNext/>
              <w:keepLines/>
              <w:rPr>
                <w:sz w:val="20"/>
                <w:szCs w:val="20"/>
              </w:rPr>
            </w:pPr>
            <w:r>
              <w:rPr>
                <w:sz w:val="20"/>
                <w:szCs w:val="20"/>
              </w:rPr>
              <w:t>8</w:t>
            </w:r>
            <w:r w:rsidR="00420D0D">
              <w:rPr>
                <w:sz w:val="20"/>
                <w:szCs w:val="20"/>
              </w:rPr>
              <w:t>2,202,558</w:t>
            </w:r>
          </w:p>
        </w:tc>
        <w:tc>
          <w:tcPr>
            <w:tcW w:w="1440" w:type="dxa"/>
          </w:tcPr>
          <w:p w:rsidR="00B90263" w:rsidRPr="00852A6B" w:rsidP="004227D4" w14:paraId="098E8F9E" w14:textId="65FA8348">
            <w:pPr>
              <w:keepNext/>
              <w:keepLines/>
              <w:rPr>
                <w:sz w:val="20"/>
                <w:szCs w:val="20"/>
              </w:rPr>
            </w:pPr>
            <w:r>
              <w:rPr>
                <w:sz w:val="20"/>
                <w:szCs w:val="20"/>
              </w:rPr>
              <w:t>-</w:t>
            </w:r>
            <w:r w:rsidR="002A301A">
              <w:rPr>
                <w:sz w:val="20"/>
                <w:szCs w:val="20"/>
              </w:rPr>
              <w:t>477,101</w:t>
            </w:r>
          </w:p>
        </w:tc>
        <w:tc>
          <w:tcPr>
            <w:tcW w:w="1530" w:type="dxa"/>
          </w:tcPr>
          <w:p w:rsidR="00B90263" w:rsidRPr="00852A6B" w:rsidP="00526912" w14:paraId="3D2864BC" w14:textId="60D51ABF">
            <w:pPr>
              <w:keepNext/>
              <w:keepLines/>
              <w:jc w:val="right"/>
              <w:rPr>
                <w:sz w:val="20"/>
                <w:szCs w:val="20"/>
              </w:rPr>
            </w:pPr>
            <w:r w:rsidRPr="00852A6B">
              <w:rPr>
                <w:sz w:val="20"/>
                <w:szCs w:val="20"/>
              </w:rPr>
              <w:t>0</w:t>
            </w:r>
          </w:p>
        </w:tc>
        <w:tc>
          <w:tcPr>
            <w:tcW w:w="1620" w:type="dxa"/>
          </w:tcPr>
          <w:p w:rsidR="00B90263" w:rsidRPr="00852A6B" w:rsidP="004227D4" w14:paraId="51AD4CF3" w14:textId="33073942">
            <w:pPr>
              <w:keepNext/>
              <w:keepLines/>
              <w:rPr>
                <w:sz w:val="20"/>
                <w:szCs w:val="20"/>
              </w:rPr>
            </w:pPr>
            <w:r w:rsidRPr="00852A6B">
              <w:rPr>
                <w:sz w:val="20"/>
                <w:szCs w:val="20"/>
              </w:rPr>
              <w:t xml:space="preserve"> </w:t>
            </w:r>
            <w:r w:rsidR="00452368">
              <w:rPr>
                <w:sz w:val="20"/>
                <w:szCs w:val="20"/>
              </w:rPr>
              <w:t>+</w:t>
            </w:r>
            <w:r w:rsidR="00C02095">
              <w:rPr>
                <w:sz w:val="20"/>
                <w:szCs w:val="20"/>
              </w:rPr>
              <w:t>2,</w:t>
            </w:r>
            <w:r w:rsidR="00D469B3">
              <w:rPr>
                <w:sz w:val="20"/>
                <w:szCs w:val="20"/>
              </w:rPr>
              <w:t>2</w:t>
            </w:r>
            <w:r w:rsidR="002A301A">
              <w:rPr>
                <w:sz w:val="20"/>
                <w:szCs w:val="20"/>
              </w:rPr>
              <w:t>71,245</w:t>
            </w:r>
          </w:p>
        </w:tc>
        <w:tc>
          <w:tcPr>
            <w:tcW w:w="1530" w:type="dxa"/>
          </w:tcPr>
          <w:p w:rsidR="00B90263" w:rsidRPr="00D66128" w:rsidP="004227D4" w14:paraId="006DD927" w14:textId="5D7BE69D">
            <w:pPr>
              <w:keepNext/>
              <w:keepLines/>
              <w:rPr>
                <w:sz w:val="20"/>
                <w:szCs w:val="20"/>
              </w:rPr>
            </w:pPr>
            <w:r>
              <w:rPr>
                <w:sz w:val="20"/>
                <w:szCs w:val="20"/>
              </w:rPr>
              <w:t>80,408,</w:t>
            </w:r>
            <w:r w:rsidRPr="5E9E1BCD" w:rsidR="585A541C">
              <w:rPr>
                <w:sz w:val="20"/>
                <w:szCs w:val="20"/>
              </w:rPr>
              <w:t>414</w:t>
            </w:r>
          </w:p>
        </w:tc>
      </w:tr>
      <w:bookmarkEnd w:id="15"/>
    </w:tbl>
    <w:p w:rsidR="00593E11" w:rsidP="00E53E05" w14:paraId="5790B31D" w14:textId="77777777">
      <w:pPr>
        <w:spacing w:after="0"/>
        <w:rPr>
          <w:rFonts w:eastAsia="Calibri"/>
        </w:rPr>
      </w:pPr>
    </w:p>
    <w:p w:rsidR="00FD5B7C" w:rsidP="00AF3F09" w14:paraId="1CF5DAAB" w14:textId="545FF804">
      <w:pPr>
        <w:keepLines/>
        <w:spacing w:after="0"/>
        <w:rPr>
          <w:rFonts w:eastAsia="Calibri"/>
        </w:rPr>
      </w:pPr>
      <w:r>
        <w:rPr>
          <w:rFonts w:eastAsia="Calibri"/>
        </w:rPr>
        <w:t xml:space="preserve">As shown above in table </w:t>
      </w:r>
      <w:r w:rsidR="006E4A20">
        <w:rPr>
          <w:rFonts w:eastAsia="Calibri"/>
        </w:rPr>
        <w:t>30</w:t>
      </w:r>
      <w:r>
        <w:rPr>
          <w:rFonts w:eastAsia="Calibri"/>
        </w:rPr>
        <w:t>, t</w:t>
      </w:r>
      <w:r w:rsidRPr="008101FB" w:rsidR="000E4C1F">
        <w:rPr>
          <w:rFonts w:eastAsia="Calibri"/>
        </w:rPr>
        <w:t xml:space="preserve">he </w:t>
      </w:r>
      <w:r w:rsidR="001F59AE">
        <w:rPr>
          <w:rFonts w:eastAsia="Calibri"/>
        </w:rPr>
        <w:t>in</w:t>
      </w:r>
      <w:r w:rsidR="009526B0">
        <w:rPr>
          <w:rFonts w:eastAsia="Calibri"/>
        </w:rPr>
        <w:t>crease</w:t>
      </w:r>
      <w:r w:rsidR="00E06A9A">
        <w:rPr>
          <w:rFonts w:eastAsia="Calibri"/>
        </w:rPr>
        <w:t xml:space="preserve"> </w:t>
      </w:r>
      <w:r w:rsidR="009526B0">
        <w:rPr>
          <w:rFonts w:eastAsia="Calibri"/>
        </w:rPr>
        <w:t>in</w:t>
      </w:r>
      <w:r w:rsidR="00E06A9A">
        <w:rPr>
          <w:rFonts w:eastAsia="Calibri"/>
        </w:rPr>
        <w:t xml:space="preserve"> </w:t>
      </w:r>
      <w:r w:rsidR="006C1169">
        <w:rPr>
          <w:rFonts w:eastAsia="Calibri"/>
        </w:rPr>
        <w:t>1,365</w:t>
      </w:r>
      <w:r w:rsidR="009E52B2">
        <w:rPr>
          <w:rFonts w:eastAsia="Calibri"/>
        </w:rPr>
        <w:t xml:space="preserve"> </w:t>
      </w:r>
      <w:r w:rsidRPr="008101FB" w:rsidR="000E4C1F">
        <w:rPr>
          <w:rFonts w:eastAsia="Calibri"/>
        </w:rPr>
        <w:t>responses with a total</w:t>
      </w:r>
      <w:r w:rsidR="00217F26">
        <w:rPr>
          <w:rFonts w:eastAsia="Calibri"/>
        </w:rPr>
        <w:t xml:space="preserve"> decrease in</w:t>
      </w:r>
      <w:r w:rsidRPr="008101FB" w:rsidR="000E4C1F">
        <w:rPr>
          <w:rFonts w:eastAsia="Calibri"/>
        </w:rPr>
        <w:t xml:space="preserve"> burden of </w:t>
      </w:r>
      <w:r w:rsidR="006C1169">
        <w:rPr>
          <w:rFonts w:eastAsia="Calibri"/>
        </w:rPr>
        <w:t>4,147</w:t>
      </w:r>
      <w:r w:rsidRPr="008101FB" w:rsidR="000C3495">
        <w:rPr>
          <w:rFonts w:eastAsia="Calibri"/>
        </w:rPr>
        <w:t xml:space="preserve"> hours</w:t>
      </w:r>
      <w:r w:rsidRPr="008101FB" w:rsidR="000E4C1F">
        <w:rPr>
          <w:rFonts w:eastAsia="Calibri"/>
        </w:rPr>
        <w:t xml:space="preserve"> a</w:t>
      </w:r>
      <w:r w:rsidR="00506F9C">
        <w:rPr>
          <w:rFonts w:eastAsia="Calibri"/>
        </w:rPr>
        <w:t xml:space="preserve">nd a decrease in </w:t>
      </w:r>
      <w:r w:rsidRPr="008101FB" w:rsidR="000E4C1F">
        <w:rPr>
          <w:rFonts w:eastAsia="Calibri"/>
        </w:rPr>
        <w:t>cost of $</w:t>
      </w:r>
      <w:r w:rsidR="006C1169">
        <w:rPr>
          <w:rFonts w:eastAsia="Calibri"/>
        </w:rPr>
        <w:t>477,101</w:t>
      </w:r>
      <w:r w:rsidR="005859B6">
        <w:rPr>
          <w:rFonts w:eastAsia="Calibri"/>
        </w:rPr>
        <w:t xml:space="preserve"> </w:t>
      </w:r>
      <w:r w:rsidRPr="008101FB" w:rsidR="000E4C1F">
        <w:rPr>
          <w:rFonts w:eastAsia="Calibri"/>
        </w:rPr>
        <w:t>due to new statute</w:t>
      </w:r>
      <w:r w:rsidRPr="008101FB" w:rsidR="000C3495">
        <w:rPr>
          <w:rFonts w:eastAsia="Calibri"/>
        </w:rPr>
        <w:t>s</w:t>
      </w:r>
      <w:r w:rsidRPr="008101FB" w:rsidR="000E4C1F">
        <w:rPr>
          <w:rFonts w:eastAsia="Calibri"/>
        </w:rPr>
        <w:t xml:space="preserve"> (Column B) is due to </w:t>
      </w:r>
      <w:r w:rsidRPr="00F374BB" w:rsidR="00F374BB">
        <w:rPr>
          <w:rFonts w:eastAsia="Calibri"/>
        </w:rPr>
        <w:t xml:space="preserve">the  </w:t>
      </w:r>
      <w:r w:rsidR="00CC4811">
        <w:rPr>
          <w:rFonts w:eastAsia="Calibri"/>
        </w:rPr>
        <w:t>addition of 5 new MVPs to the existing MVP Inventory</w:t>
      </w:r>
      <w:r w:rsidR="004D302F">
        <w:rPr>
          <w:rFonts w:eastAsia="Calibri"/>
        </w:rPr>
        <w:t xml:space="preserve"> resulting in an </w:t>
      </w:r>
      <w:r w:rsidR="001629A1">
        <w:rPr>
          <w:rFonts w:eastAsia="Calibri"/>
        </w:rPr>
        <w:t>increase in the number of respondents registering for MVP reporting</w:t>
      </w:r>
      <w:r w:rsidR="0071031C">
        <w:rPr>
          <w:rFonts w:eastAsia="Calibri"/>
        </w:rPr>
        <w:t xml:space="preserve"> (+1</w:t>
      </w:r>
      <w:r w:rsidR="008E3CB5">
        <w:rPr>
          <w:rFonts w:eastAsia="Calibri"/>
        </w:rPr>
        <w:t>,</w:t>
      </w:r>
      <w:r w:rsidR="00AB371D">
        <w:rPr>
          <w:rFonts w:eastAsia="Calibri"/>
        </w:rPr>
        <w:t>365</w:t>
      </w:r>
      <w:r w:rsidR="008E3CB5">
        <w:rPr>
          <w:rFonts w:eastAsia="Calibri"/>
        </w:rPr>
        <w:t xml:space="preserve"> responses</w:t>
      </w:r>
      <w:r w:rsidR="00422E3C">
        <w:rPr>
          <w:rFonts w:eastAsia="Calibri"/>
        </w:rPr>
        <w:t xml:space="preserve"> and </w:t>
      </w:r>
      <w:r w:rsidR="00F6635C">
        <w:rPr>
          <w:rFonts w:eastAsia="Calibri"/>
        </w:rPr>
        <w:t>+3</w:t>
      </w:r>
      <w:r w:rsidR="009400BA">
        <w:rPr>
          <w:rFonts w:eastAsia="Calibri"/>
        </w:rPr>
        <w:t>4</w:t>
      </w:r>
      <w:r w:rsidR="00F6635C">
        <w:rPr>
          <w:rFonts w:eastAsia="Calibri"/>
        </w:rPr>
        <w:t>1 hours</w:t>
      </w:r>
      <w:r w:rsidR="0071031C">
        <w:rPr>
          <w:rFonts w:eastAsia="Calibri"/>
        </w:rPr>
        <w:t>)</w:t>
      </w:r>
      <w:r w:rsidR="001629A1">
        <w:rPr>
          <w:rFonts w:eastAsia="Calibri"/>
        </w:rPr>
        <w:t xml:space="preserve"> and </w:t>
      </w:r>
      <w:r w:rsidR="00CC4811">
        <w:rPr>
          <w:rFonts w:eastAsia="Calibri"/>
        </w:rPr>
        <w:t>an increase</w:t>
      </w:r>
      <w:r w:rsidR="004D302F">
        <w:rPr>
          <w:rFonts w:eastAsia="Calibri"/>
        </w:rPr>
        <w:t xml:space="preserve"> in the number of respondents submitting for the quality performance category of MVPs</w:t>
      </w:r>
      <w:r w:rsidR="00CA290A">
        <w:rPr>
          <w:rFonts w:eastAsia="Calibri"/>
        </w:rPr>
        <w:t xml:space="preserve"> (+1,</w:t>
      </w:r>
      <w:r w:rsidR="009400BA">
        <w:rPr>
          <w:rFonts w:eastAsia="Calibri"/>
        </w:rPr>
        <w:t>365</w:t>
      </w:r>
      <w:r w:rsidR="00CA290A">
        <w:rPr>
          <w:rFonts w:eastAsia="Calibri"/>
        </w:rPr>
        <w:t xml:space="preserve"> re</w:t>
      </w:r>
      <w:r w:rsidR="00422E3C">
        <w:rPr>
          <w:rFonts w:eastAsia="Calibri"/>
        </w:rPr>
        <w:t>s</w:t>
      </w:r>
      <w:r w:rsidR="00CA290A">
        <w:rPr>
          <w:rFonts w:eastAsia="Calibri"/>
        </w:rPr>
        <w:t>ponses</w:t>
      </w:r>
      <w:r w:rsidR="00422E3C">
        <w:rPr>
          <w:rFonts w:eastAsia="Calibri"/>
        </w:rPr>
        <w:t xml:space="preserve"> and +8,</w:t>
      </w:r>
      <w:r w:rsidR="00D36C61">
        <w:rPr>
          <w:rFonts w:eastAsia="Calibri"/>
        </w:rPr>
        <w:t>784</w:t>
      </w:r>
      <w:r w:rsidR="00422E3C">
        <w:rPr>
          <w:rFonts w:eastAsia="Calibri"/>
        </w:rPr>
        <w:t xml:space="preserve"> hours</w:t>
      </w:r>
      <w:r w:rsidR="00CA290A">
        <w:rPr>
          <w:rFonts w:eastAsia="Calibri"/>
        </w:rPr>
        <w:t>)</w:t>
      </w:r>
      <w:r w:rsidR="004D302F">
        <w:rPr>
          <w:rFonts w:eastAsia="Calibri"/>
        </w:rPr>
        <w:t xml:space="preserve">, </w:t>
      </w:r>
      <w:r w:rsidR="00910409">
        <w:rPr>
          <w:rFonts w:eastAsia="Calibri"/>
        </w:rPr>
        <w:t>and a decrease in the number of respondents submitting for the Medicare Part B Claims</w:t>
      </w:r>
      <w:r w:rsidR="00F6635C">
        <w:rPr>
          <w:rFonts w:eastAsia="Calibri"/>
        </w:rPr>
        <w:t xml:space="preserve"> (-3</w:t>
      </w:r>
      <w:r w:rsidR="008D7B98">
        <w:rPr>
          <w:rFonts w:eastAsia="Calibri"/>
        </w:rPr>
        <w:t>12</w:t>
      </w:r>
      <w:r w:rsidR="00F6635C">
        <w:rPr>
          <w:rFonts w:eastAsia="Calibri"/>
        </w:rPr>
        <w:t xml:space="preserve"> responses </w:t>
      </w:r>
      <w:r w:rsidR="00C3619E">
        <w:rPr>
          <w:rFonts w:eastAsia="Calibri"/>
        </w:rPr>
        <w:t>and -4,</w:t>
      </w:r>
      <w:r w:rsidR="008D7B98">
        <w:rPr>
          <w:rFonts w:eastAsia="Calibri"/>
        </w:rPr>
        <w:t>430</w:t>
      </w:r>
      <w:r w:rsidR="00C3619E">
        <w:rPr>
          <w:rFonts w:eastAsia="Calibri"/>
        </w:rPr>
        <w:t xml:space="preserve"> hours</w:t>
      </w:r>
      <w:r w:rsidR="00F6635C">
        <w:rPr>
          <w:rFonts w:eastAsia="Calibri"/>
        </w:rPr>
        <w:t>)</w:t>
      </w:r>
      <w:r w:rsidR="00910409">
        <w:rPr>
          <w:rFonts w:eastAsia="Calibri"/>
        </w:rPr>
        <w:t>, MIPS CQM and QCDR</w:t>
      </w:r>
      <w:r w:rsidR="00C3619E">
        <w:rPr>
          <w:rFonts w:eastAsia="Calibri"/>
        </w:rPr>
        <w:t xml:space="preserve"> (-</w:t>
      </w:r>
      <w:r w:rsidR="00C837F9">
        <w:rPr>
          <w:rFonts w:eastAsia="Calibri"/>
        </w:rPr>
        <w:t>386</w:t>
      </w:r>
      <w:r w:rsidR="00C3619E">
        <w:rPr>
          <w:rFonts w:eastAsia="Calibri"/>
        </w:rPr>
        <w:t xml:space="preserve"> responses and -</w:t>
      </w:r>
      <w:r w:rsidR="003F4358">
        <w:rPr>
          <w:rFonts w:eastAsia="Calibri"/>
        </w:rPr>
        <w:t>3,506</w:t>
      </w:r>
      <w:r w:rsidR="00DA25CB">
        <w:rPr>
          <w:rFonts w:eastAsia="Calibri"/>
        </w:rPr>
        <w:t xml:space="preserve"> hours</w:t>
      </w:r>
      <w:r w:rsidR="00C3619E">
        <w:rPr>
          <w:rFonts w:eastAsia="Calibri"/>
        </w:rPr>
        <w:t>)</w:t>
      </w:r>
      <w:r w:rsidR="00910409">
        <w:rPr>
          <w:rFonts w:eastAsia="Calibri"/>
        </w:rPr>
        <w:t xml:space="preserve">, and eCQM </w:t>
      </w:r>
      <w:r w:rsidR="00DA25CB">
        <w:rPr>
          <w:rFonts w:eastAsia="Calibri"/>
        </w:rPr>
        <w:t>(-</w:t>
      </w:r>
      <w:r w:rsidR="00B8009C">
        <w:rPr>
          <w:rFonts w:eastAsia="Calibri"/>
        </w:rPr>
        <w:t>667</w:t>
      </w:r>
      <w:r w:rsidR="00DA25CB">
        <w:rPr>
          <w:rFonts w:eastAsia="Calibri"/>
        </w:rPr>
        <w:t xml:space="preserve"> responses and </w:t>
      </w:r>
      <w:r w:rsidR="009F3D0E">
        <w:rPr>
          <w:rFonts w:eastAsia="Calibri"/>
        </w:rPr>
        <w:t>-</w:t>
      </w:r>
      <w:r w:rsidR="00B8009C">
        <w:rPr>
          <w:rFonts w:eastAsia="Calibri"/>
        </w:rPr>
        <w:t>5,336</w:t>
      </w:r>
      <w:r w:rsidR="009F3D0E">
        <w:rPr>
          <w:rFonts w:eastAsia="Calibri"/>
        </w:rPr>
        <w:t xml:space="preserve"> hours</w:t>
      </w:r>
      <w:r w:rsidR="00DA25CB">
        <w:rPr>
          <w:rFonts w:eastAsia="Calibri"/>
        </w:rPr>
        <w:t xml:space="preserve">) </w:t>
      </w:r>
      <w:r w:rsidR="00910409">
        <w:rPr>
          <w:rFonts w:eastAsia="Calibri"/>
        </w:rPr>
        <w:t>collection types</w:t>
      </w:r>
      <w:r w:rsidRPr="00F374BB" w:rsidR="00F374BB">
        <w:rPr>
          <w:rFonts w:eastAsia="Calibri"/>
        </w:rPr>
        <w:t>.</w:t>
      </w:r>
      <w:r w:rsidR="00910409">
        <w:rPr>
          <w:rFonts w:eastAsia="Calibri"/>
        </w:rPr>
        <w:t xml:space="preserve"> </w:t>
      </w:r>
      <w:r w:rsidRPr="008101FB" w:rsidR="000E4C1F">
        <w:rPr>
          <w:rFonts w:eastAsia="Calibri"/>
        </w:rPr>
        <w:t>The remaining changes due to program adjustment (Column D) are entirely due to availability of updated data</w:t>
      </w:r>
      <w:r w:rsidR="00910409">
        <w:rPr>
          <w:rFonts w:eastAsia="Calibri"/>
        </w:rPr>
        <w:t xml:space="preserve"> and assumptions</w:t>
      </w:r>
      <w:r w:rsidRPr="008101FB" w:rsidR="000E4C1F">
        <w:rPr>
          <w:rFonts w:eastAsia="Calibri"/>
        </w:rPr>
        <w:t xml:space="preserve">. </w:t>
      </w:r>
      <w:bookmarkStart w:id="20" w:name="_Hlk76638718"/>
      <w:r w:rsidRPr="008101FB" w:rsidR="000E4C1F">
        <w:rPr>
          <w:rFonts w:eastAsia="Calibri"/>
        </w:rPr>
        <w:t>Table</w:t>
      </w:r>
      <w:r w:rsidRPr="008101FB" w:rsidR="00B30713">
        <w:rPr>
          <w:rFonts w:eastAsia="Calibri"/>
        </w:rPr>
        <w:t xml:space="preserve"> series </w:t>
      </w:r>
      <w:r w:rsidRPr="008101FB" w:rsidR="00533003">
        <w:rPr>
          <w:rFonts w:eastAsia="Calibri"/>
        </w:rPr>
        <w:t>3</w:t>
      </w:r>
      <w:r w:rsidR="009E52B2">
        <w:rPr>
          <w:rFonts w:eastAsia="Calibri"/>
        </w:rPr>
        <w:t>1</w:t>
      </w:r>
      <w:r w:rsidRPr="008101FB" w:rsidR="000E4C1F">
        <w:rPr>
          <w:rFonts w:eastAsia="Calibri"/>
        </w:rPr>
        <w:t xml:space="preserve"> below provides additional detail as to the changes in burden for each information collection.</w:t>
      </w:r>
      <w:bookmarkEnd w:id="20"/>
    </w:p>
    <w:p w:rsidR="009E52B2" w:rsidP="00136D86" w14:paraId="33D3E2CE" w14:textId="77777777">
      <w:pPr>
        <w:keepNext/>
        <w:keepLines/>
        <w:jc w:val="center"/>
        <w:rPr>
          <w:rFonts w:eastAsia="Calibri"/>
          <w:b/>
          <w:bCs/>
        </w:rPr>
      </w:pPr>
    </w:p>
    <w:p w:rsidR="00423D13" w:rsidP="00AF3F09" w14:paraId="78987D35" w14:textId="1FCF188B">
      <w:pPr>
        <w:keepLines/>
        <w:jc w:val="center"/>
        <w:rPr>
          <w:b/>
          <w:bCs/>
        </w:rPr>
      </w:pPr>
      <w:r w:rsidRPr="00B30713">
        <w:rPr>
          <w:rFonts w:eastAsia="Calibri"/>
          <w:b/>
          <w:bCs/>
        </w:rPr>
        <w:t xml:space="preserve">TABLE </w:t>
      </w:r>
      <w:r w:rsidR="00C1361E">
        <w:rPr>
          <w:rFonts w:eastAsia="Calibri"/>
          <w:b/>
          <w:bCs/>
        </w:rPr>
        <w:t>3</w:t>
      </w:r>
      <w:r w:rsidR="00B10518">
        <w:rPr>
          <w:rFonts w:eastAsia="Calibri"/>
          <w:b/>
          <w:bCs/>
        </w:rPr>
        <w:t>1</w:t>
      </w:r>
      <w:r w:rsidRPr="00B30713">
        <w:rPr>
          <w:rFonts w:eastAsia="Calibri"/>
          <w:b/>
          <w:bCs/>
        </w:rPr>
        <w:t xml:space="preserve">A: Burden Reconciliation for </w:t>
      </w:r>
      <w:r w:rsidR="000178CD">
        <w:rPr>
          <w:rFonts w:eastAsia="Calibri"/>
          <w:b/>
          <w:bCs/>
        </w:rPr>
        <w:t xml:space="preserve">Simplified </w:t>
      </w:r>
      <w:r w:rsidRPr="00B30713">
        <w:rPr>
          <w:rFonts w:eastAsia="Calibri"/>
          <w:b/>
          <w:bCs/>
        </w:rPr>
        <w:t xml:space="preserve">Qualified Registry Self-Nomination </w:t>
      </w:r>
    </w:p>
    <w:tbl>
      <w:tblPr>
        <w:tblStyle w:val="TableGrid"/>
        <w:tblW w:w="9355" w:type="dxa"/>
        <w:tblLayout w:type="fixed"/>
        <w:tblLook w:val="04A0"/>
      </w:tblPr>
      <w:tblGrid>
        <w:gridCol w:w="1180"/>
        <w:gridCol w:w="1306"/>
        <w:gridCol w:w="1139"/>
        <w:gridCol w:w="1094"/>
        <w:gridCol w:w="1034"/>
        <w:gridCol w:w="914"/>
        <w:gridCol w:w="1068"/>
        <w:gridCol w:w="1620"/>
      </w:tblGrid>
      <w:tr w14:paraId="08112641" w14:textId="77777777" w:rsidTr="003D29BA">
        <w:tblPrEx>
          <w:tblW w:w="9355" w:type="dxa"/>
          <w:tblLayout w:type="fixed"/>
          <w:tblLook w:val="04A0"/>
        </w:tblPrEx>
        <w:trPr>
          <w:tblHeader/>
        </w:trPr>
        <w:tc>
          <w:tcPr>
            <w:tcW w:w="1180" w:type="dxa"/>
          </w:tcPr>
          <w:p w:rsidR="00BB7053" w:rsidRPr="00C748DF" w:rsidP="00AF3F09" w14:paraId="573CF526" w14:textId="21432F27">
            <w:pPr>
              <w:keepLines/>
              <w:tabs>
                <w:tab w:val="left" w:pos="6030"/>
              </w:tabs>
              <w:spacing w:line="276" w:lineRule="auto"/>
              <w:jc w:val="both"/>
              <w:rPr>
                <w:b/>
                <w:bCs/>
                <w:sz w:val="20"/>
                <w:szCs w:val="20"/>
              </w:rPr>
            </w:pPr>
            <w:r w:rsidRPr="00C748DF">
              <w:rPr>
                <w:b/>
                <w:bCs/>
                <w:sz w:val="20"/>
                <w:szCs w:val="20"/>
              </w:rPr>
              <w:t>Burden Category</w:t>
            </w:r>
          </w:p>
        </w:tc>
        <w:tc>
          <w:tcPr>
            <w:tcW w:w="1306" w:type="dxa"/>
          </w:tcPr>
          <w:p w:rsidR="00BB7053" w:rsidRPr="00C748DF" w:rsidP="00AF3F09" w14:paraId="58958B5E" w14:textId="62A9ACF6">
            <w:pPr>
              <w:keepLines/>
              <w:tabs>
                <w:tab w:val="left" w:pos="6030"/>
              </w:tabs>
              <w:spacing w:line="276" w:lineRule="auto"/>
              <w:jc w:val="both"/>
              <w:rPr>
                <w:b/>
                <w:bCs/>
                <w:sz w:val="20"/>
                <w:szCs w:val="20"/>
              </w:rPr>
            </w:pPr>
            <w:r w:rsidRPr="00C748DF">
              <w:rPr>
                <w:b/>
                <w:bCs/>
                <w:sz w:val="20"/>
                <w:szCs w:val="20"/>
              </w:rPr>
              <w:t>Total Annual Respondents</w:t>
            </w:r>
          </w:p>
        </w:tc>
        <w:tc>
          <w:tcPr>
            <w:tcW w:w="1139" w:type="dxa"/>
          </w:tcPr>
          <w:p w:rsidR="00BB7053" w:rsidRPr="00C748DF" w:rsidP="00AF3F09" w14:paraId="7C1089CF" w14:textId="5707D023">
            <w:pPr>
              <w:keepLines/>
              <w:tabs>
                <w:tab w:val="left" w:pos="6030"/>
              </w:tabs>
              <w:spacing w:line="276" w:lineRule="auto"/>
              <w:jc w:val="both"/>
              <w:rPr>
                <w:b/>
                <w:bCs/>
                <w:sz w:val="20"/>
                <w:szCs w:val="20"/>
              </w:rPr>
            </w:pPr>
            <w:r w:rsidRPr="00C748DF">
              <w:rPr>
                <w:b/>
                <w:bCs/>
                <w:sz w:val="20"/>
                <w:szCs w:val="20"/>
              </w:rPr>
              <w:t>Response Frequency (per year)</w:t>
            </w:r>
          </w:p>
        </w:tc>
        <w:tc>
          <w:tcPr>
            <w:tcW w:w="1094" w:type="dxa"/>
          </w:tcPr>
          <w:p w:rsidR="00BB7053" w:rsidRPr="00C748DF" w:rsidP="00AF3F09" w14:paraId="2183C349" w14:textId="737A2C8E">
            <w:pPr>
              <w:keepLines/>
              <w:tabs>
                <w:tab w:val="left" w:pos="6030"/>
              </w:tabs>
              <w:spacing w:line="276" w:lineRule="auto"/>
              <w:jc w:val="both"/>
              <w:rPr>
                <w:b/>
                <w:bCs/>
                <w:sz w:val="20"/>
                <w:szCs w:val="20"/>
              </w:rPr>
            </w:pPr>
            <w:r w:rsidRPr="00C748DF">
              <w:rPr>
                <w:b/>
                <w:bCs/>
                <w:sz w:val="20"/>
                <w:szCs w:val="20"/>
              </w:rPr>
              <w:t>Total Annual Responses</w:t>
            </w:r>
          </w:p>
        </w:tc>
        <w:tc>
          <w:tcPr>
            <w:tcW w:w="1034" w:type="dxa"/>
          </w:tcPr>
          <w:p w:rsidR="00BB7053" w:rsidRPr="00C748DF" w:rsidP="00AF3F09" w14:paraId="56E78F60" w14:textId="54661BE5">
            <w:pPr>
              <w:keepLines/>
              <w:tabs>
                <w:tab w:val="left" w:pos="6030"/>
              </w:tabs>
              <w:spacing w:line="276" w:lineRule="auto"/>
              <w:rPr>
                <w:b/>
                <w:bCs/>
                <w:sz w:val="20"/>
                <w:szCs w:val="20"/>
              </w:rPr>
            </w:pPr>
            <w:r w:rsidRPr="00C748DF">
              <w:rPr>
                <w:b/>
                <w:bCs/>
                <w:sz w:val="20"/>
                <w:szCs w:val="20"/>
              </w:rPr>
              <w:t>Time Per Response (hr)</w:t>
            </w:r>
          </w:p>
        </w:tc>
        <w:tc>
          <w:tcPr>
            <w:tcW w:w="914" w:type="dxa"/>
          </w:tcPr>
          <w:p w:rsidR="00BB7053" w:rsidRPr="00C748DF" w:rsidP="00AF3F09" w14:paraId="0C743723" w14:textId="538D8F13">
            <w:pPr>
              <w:keepLines/>
              <w:tabs>
                <w:tab w:val="left" w:pos="6030"/>
              </w:tabs>
              <w:spacing w:line="276" w:lineRule="auto"/>
              <w:jc w:val="both"/>
              <w:rPr>
                <w:b/>
                <w:bCs/>
                <w:sz w:val="20"/>
                <w:szCs w:val="20"/>
              </w:rPr>
            </w:pPr>
            <w:r w:rsidRPr="00C748DF">
              <w:rPr>
                <w:b/>
                <w:bCs/>
                <w:sz w:val="20"/>
                <w:szCs w:val="20"/>
              </w:rPr>
              <w:t>Total Annual Time (hr)</w:t>
            </w:r>
          </w:p>
        </w:tc>
        <w:tc>
          <w:tcPr>
            <w:tcW w:w="1068" w:type="dxa"/>
          </w:tcPr>
          <w:p w:rsidR="00BB7053" w:rsidRPr="00C748DF" w:rsidP="00AF3F09" w14:paraId="6173E459" w14:textId="46C4B5B7">
            <w:pPr>
              <w:keepLines/>
              <w:tabs>
                <w:tab w:val="left" w:pos="6030"/>
              </w:tabs>
              <w:spacing w:line="276" w:lineRule="auto"/>
              <w:jc w:val="both"/>
              <w:rPr>
                <w:b/>
                <w:bCs/>
                <w:sz w:val="20"/>
                <w:szCs w:val="20"/>
              </w:rPr>
            </w:pPr>
            <w:r w:rsidRPr="00C748DF">
              <w:rPr>
                <w:b/>
                <w:bCs/>
                <w:sz w:val="20"/>
                <w:szCs w:val="20"/>
              </w:rPr>
              <w:t>Labor Cost ($/hr)</w:t>
            </w:r>
          </w:p>
        </w:tc>
        <w:tc>
          <w:tcPr>
            <w:tcW w:w="1620" w:type="dxa"/>
          </w:tcPr>
          <w:p w:rsidR="00BB7053" w:rsidRPr="00C748DF" w:rsidP="00AF3F09" w14:paraId="360C11BC" w14:textId="23120ABB">
            <w:pPr>
              <w:keepLines/>
              <w:tabs>
                <w:tab w:val="left" w:pos="6030"/>
              </w:tabs>
              <w:spacing w:line="276" w:lineRule="auto"/>
              <w:rPr>
                <w:b/>
                <w:bCs/>
                <w:sz w:val="20"/>
                <w:szCs w:val="20"/>
              </w:rPr>
            </w:pPr>
            <w:r w:rsidRPr="00C748DF">
              <w:rPr>
                <w:b/>
                <w:bCs/>
                <w:sz w:val="20"/>
                <w:szCs w:val="20"/>
              </w:rPr>
              <w:t>Total</w:t>
            </w:r>
            <w:r w:rsidRPr="00C748DF" w:rsidR="005664AD">
              <w:rPr>
                <w:b/>
                <w:bCs/>
                <w:sz w:val="20"/>
                <w:szCs w:val="20"/>
              </w:rPr>
              <w:t xml:space="preserve"> </w:t>
            </w:r>
            <w:r w:rsidRPr="00C748DF">
              <w:rPr>
                <w:b/>
                <w:bCs/>
                <w:sz w:val="20"/>
                <w:szCs w:val="20"/>
              </w:rPr>
              <w:t>Annual Cost ($)</w:t>
            </w:r>
          </w:p>
        </w:tc>
      </w:tr>
      <w:tr w14:paraId="1AB7D727" w14:textId="77777777" w:rsidTr="003D29BA">
        <w:tblPrEx>
          <w:tblW w:w="9355" w:type="dxa"/>
          <w:tblLayout w:type="fixed"/>
          <w:tblLook w:val="04A0"/>
        </w:tblPrEx>
        <w:tc>
          <w:tcPr>
            <w:tcW w:w="1180" w:type="dxa"/>
          </w:tcPr>
          <w:p w:rsidR="00BB7053" w:rsidRPr="00BB7053" w:rsidP="00AF3F09" w14:paraId="0A918F2B" w14:textId="592338DE">
            <w:pPr>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00BB7053" w:rsidRPr="00BB7053" w:rsidP="00AF3F09" w14:paraId="0D2E2331" w14:textId="577D98F0">
            <w:pPr>
              <w:keepLines/>
              <w:tabs>
                <w:tab w:val="left" w:pos="6030"/>
              </w:tabs>
              <w:spacing w:line="276" w:lineRule="auto"/>
              <w:jc w:val="right"/>
              <w:rPr>
                <w:sz w:val="20"/>
                <w:szCs w:val="20"/>
              </w:rPr>
            </w:pPr>
            <w:r>
              <w:rPr>
                <w:sz w:val="20"/>
                <w:szCs w:val="20"/>
              </w:rPr>
              <w:t>n/a</w:t>
            </w:r>
            <w:r>
              <w:rPr>
                <w:sz w:val="20"/>
                <w:szCs w:val="20"/>
              </w:rPr>
              <w:t xml:space="preserve"> </w:t>
            </w:r>
          </w:p>
        </w:tc>
        <w:tc>
          <w:tcPr>
            <w:tcW w:w="1139" w:type="dxa"/>
          </w:tcPr>
          <w:p w:rsidR="00BB7053" w:rsidRPr="00BB7053" w:rsidP="00AF3F09" w14:paraId="3E08B59D" w14:textId="0861091B">
            <w:pPr>
              <w:keepLines/>
              <w:tabs>
                <w:tab w:val="left" w:pos="6030"/>
              </w:tabs>
              <w:spacing w:line="276" w:lineRule="auto"/>
              <w:jc w:val="right"/>
              <w:rPr>
                <w:sz w:val="20"/>
                <w:szCs w:val="20"/>
              </w:rPr>
            </w:pPr>
            <w:r>
              <w:rPr>
                <w:sz w:val="20"/>
                <w:szCs w:val="20"/>
              </w:rPr>
              <w:t>n/a</w:t>
            </w:r>
            <w:r>
              <w:rPr>
                <w:sz w:val="20"/>
                <w:szCs w:val="20"/>
              </w:rPr>
              <w:t xml:space="preserve"> </w:t>
            </w:r>
          </w:p>
        </w:tc>
        <w:tc>
          <w:tcPr>
            <w:tcW w:w="1094" w:type="dxa"/>
          </w:tcPr>
          <w:p w:rsidR="00BB7053" w:rsidRPr="00BB7053" w:rsidP="00AF3F09" w14:paraId="6F2C2551" w14:textId="5B2E3842">
            <w:pPr>
              <w:keepLines/>
              <w:tabs>
                <w:tab w:val="left" w:pos="6030"/>
              </w:tabs>
              <w:spacing w:line="276" w:lineRule="auto"/>
              <w:jc w:val="right"/>
              <w:rPr>
                <w:sz w:val="20"/>
                <w:szCs w:val="20"/>
              </w:rPr>
            </w:pPr>
            <w:r>
              <w:rPr>
                <w:sz w:val="20"/>
                <w:szCs w:val="20"/>
              </w:rPr>
              <w:t>n/a</w:t>
            </w:r>
          </w:p>
        </w:tc>
        <w:tc>
          <w:tcPr>
            <w:tcW w:w="1034" w:type="dxa"/>
          </w:tcPr>
          <w:p w:rsidR="00BB7053" w:rsidRPr="00BB7053" w:rsidP="00AF3F09" w14:paraId="0BA09A1A" w14:textId="173130F1">
            <w:pPr>
              <w:keepLines/>
              <w:tabs>
                <w:tab w:val="left" w:pos="6030"/>
              </w:tabs>
              <w:spacing w:line="276" w:lineRule="auto"/>
              <w:jc w:val="right"/>
              <w:rPr>
                <w:sz w:val="20"/>
                <w:szCs w:val="20"/>
              </w:rPr>
            </w:pPr>
            <w:r>
              <w:rPr>
                <w:sz w:val="20"/>
                <w:szCs w:val="20"/>
              </w:rPr>
              <w:t>n/a</w:t>
            </w:r>
          </w:p>
        </w:tc>
        <w:tc>
          <w:tcPr>
            <w:tcW w:w="914" w:type="dxa"/>
          </w:tcPr>
          <w:p w:rsidR="00BB7053" w:rsidRPr="00BB7053" w:rsidP="00AF3F09" w14:paraId="2B448CB9" w14:textId="552F55C8">
            <w:pPr>
              <w:keepLines/>
              <w:tabs>
                <w:tab w:val="left" w:pos="6030"/>
              </w:tabs>
              <w:spacing w:line="276" w:lineRule="auto"/>
              <w:jc w:val="right"/>
              <w:rPr>
                <w:sz w:val="20"/>
                <w:szCs w:val="20"/>
              </w:rPr>
            </w:pPr>
            <w:r>
              <w:rPr>
                <w:sz w:val="20"/>
                <w:szCs w:val="20"/>
              </w:rPr>
              <w:t>n/a</w:t>
            </w:r>
          </w:p>
        </w:tc>
        <w:tc>
          <w:tcPr>
            <w:tcW w:w="1068" w:type="dxa"/>
          </w:tcPr>
          <w:p w:rsidR="00BB7053" w:rsidRPr="00BB7053" w:rsidP="00AF3F09" w14:paraId="7FD74E4C" w14:textId="277B3FA0">
            <w:pPr>
              <w:keepLines/>
              <w:tabs>
                <w:tab w:val="left" w:pos="6030"/>
              </w:tabs>
              <w:spacing w:line="276" w:lineRule="auto"/>
              <w:jc w:val="right"/>
              <w:rPr>
                <w:sz w:val="20"/>
                <w:szCs w:val="20"/>
              </w:rPr>
            </w:pPr>
            <w:r>
              <w:rPr>
                <w:sz w:val="20"/>
                <w:szCs w:val="20"/>
              </w:rPr>
              <w:t>n/a</w:t>
            </w:r>
          </w:p>
        </w:tc>
        <w:tc>
          <w:tcPr>
            <w:tcW w:w="1620" w:type="dxa"/>
          </w:tcPr>
          <w:p w:rsidR="00BB7053" w:rsidRPr="00BB7053" w:rsidP="00AF3F09" w14:paraId="01E3C98D" w14:textId="3E44B192">
            <w:pPr>
              <w:keepLines/>
              <w:tabs>
                <w:tab w:val="left" w:pos="6030"/>
              </w:tabs>
              <w:spacing w:line="276" w:lineRule="auto"/>
              <w:ind w:left="720"/>
              <w:rPr>
                <w:sz w:val="20"/>
                <w:szCs w:val="20"/>
              </w:rPr>
            </w:pPr>
            <w:r>
              <w:rPr>
                <w:sz w:val="20"/>
                <w:szCs w:val="20"/>
              </w:rPr>
              <w:t xml:space="preserve">       n/a</w:t>
            </w:r>
          </w:p>
        </w:tc>
      </w:tr>
      <w:tr w14:paraId="1FB22BD0" w14:textId="77777777" w:rsidTr="003D29BA">
        <w:tblPrEx>
          <w:tblW w:w="9355" w:type="dxa"/>
          <w:tblLayout w:type="fixed"/>
          <w:tblLook w:val="04A0"/>
        </w:tblPrEx>
        <w:tc>
          <w:tcPr>
            <w:tcW w:w="1180" w:type="dxa"/>
          </w:tcPr>
          <w:p w:rsidR="00BB7053" w:rsidRPr="00BB7053" w:rsidP="00AF3F09" w14:paraId="19C5BE1A" w14:textId="4D426E21">
            <w:pPr>
              <w:keepLines/>
              <w:tabs>
                <w:tab w:val="left" w:pos="6030"/>
              </w:tabs>
              <w:spacing w:line="276" w:lineRule="auto"/>
              <w:rPr>
                <w:sz w:val="20"/>
                <w:szCs w:val="20"/>
              </w:rPr>
            </w:pPr>
            <w:r>
              <w:rPr>
                <w:sz w:val="20"/>
                <w:szCs w:val="20"/>
              </w:rPr>
              <w:t>Finaliz</w:t>
            </w:r>
            <w:r w:rsidR="00371D4F">
              <w:rPr>
                <w:sz w:val="20"/>
                <w:szCs w:val="20"/>
              </w:rPr>
              <w:t>ed</w:t>
            </w:r>
            <w:r w:rsidR="005058E1">
              <w:rPr>
                <w:sz w:val="20"/>
                <w:szCs w:val="20"/>
              </w:rPr>
              <w:t xml:space="preserve"> </w:t>
            </w:r>
            <w:r w:rsidRPr="00A67FD9" w:rsidR="00A67FD9">
              <w:rPr>
                <w:sz w:val="20"/>
                <w:szCs w:val="20"/>
              </w:rPr>
              <w:t>(See Table 3)</w:t>
            </w:r>
          </w:p>
        </w:tc>
        <w:tc>
          <w:tcPr>
            <w:tcW w:w="1306" w:type="dxa"/>
          </w:tcPr>
          <w:p w:rsidR="00BB7053" w:rsidRPr="00BB7053" w:rsidP="00AF3F09" w14:paraId="521AA823" w14:textId="0887D6F6">
            <w:pPr>
              <w:keepLines/>
              <w:tabs>
                <w:tab w:val="left" w:pos="6030"/>
              </w:tabs>
              <w:spacing w:line="276" w:lineRule="auto"/>
              <w:jc w:val="right"/>
              <w:rPr>
                <w:sz w:val="20"/>
                <w:szCs w:val="20"/>
              </w:rPr>
            </w:pPr>
            <w:r>
              <w:rPr>
                <w:sz w:val="20"/>
                <w:szCs w:val="20"/>
              </w:rPr>
              <w:t>8</w:t>
            </w:r>
            <w:r w:rsidR="00E2554C">
              <w:rPr>
                <w:sz w:val="20"/>
                <w:szCs w:val="20"/>
              </w:rPr>
              <w:t>4</w:t>
            </w:r>
          </w:p>
        </w:tc>
        <w:tc>
          <w:tcPr>
            <w:tcW w:w="1139" w:type="dxa"/>
          </w:tcPr>
          <w:p w:rsidR="00BB7053" w:rsidRPr="00BB7053" w:rsidP="00AF3F09" w14:paraId="63B1257F" w14:textId="7B5A1243">
            <w:pPr>
              <w:keepLines/>
              <w:tabs>
                <w:tab w:val="left" w:pos="6030"/>
              </w:tabs>
              <w:spacing w:line="276" w:lineRule="auto"/>
              <w:jc w:val="right"/>
              <w:rPr>
                <w:sz w:val="20"/>
                <w:szCs w:val="20"/>
              </w:rPr>
            </w:pPr>
            <w:r>
              <w:rPr>
                <w:sz w:val="20"/>
                <w:szCs w:val="20"/>
              </w:rPr>
              <w:t>1</w:t>
            </w:r>
          </w:p>
        </w:tc>
        <w:tc>
          <w:tcPr>
            <w:tcW w:w="1094" w:type="dxa"/>
          </w:tcPr>
          <w:p w:rsidR="00BB7053" w:rsidRPr="00BB7053" w:rsidP="00AF3F09" w14:paraId="1DF870BA" w14:textId="5E4E4F37">
            <w:pPr>
              <w:keepLines/>
              <w:tabs>
                <w:tab w:val="left" w:pos="6030"/>
              </w:tabs>
              <w:spacing w:line="276" w:lineRule="auto"/>
              <w:jc w:val="right"/>
              <w:rPr>
                <w:sz w:val="20"/>
                <w:szCs w:val="20"/>
              </w:rPr>
            </w:pPr>
            <w:r>
              <w:rPr>
                <w:sz w:val="20"/>
                <w:szCs w:val="20"/>
              </w:rPr>
              <w:t>8</w:t>
            </w:r>
            <w:r w:rsidR="006B4399">
              <w:rPr>
                <w:sz w:val="20"/>
                <w:szCs w:val="20"/>
              </w:rPr>
              <w:t>4</w:t>
            </w:r>
          </w:p>
        </w:tc>
        <w:tc>
          <w:tcPr>
            <w:tcW w:w="1034" w:type="dxa"/>
          </w:tcPr>
          <w:p w:rsidR="00BB7053" w:rsidRPr="00BB7053" w:rsidP="00AF3F09" w14:paraId="5F093F26" w14:textId="1DBC544D">
            <w:pPr>
              <w:keepLines/>
              <w:tabs>
                <w:tab w:val="left" w:pos="6030"/>
              </w:tabs>
              <w:spacing w:line="276" w:lineRule="auto"/>
              <w:jc w:val="right"/>
              <w:rPr>
                <w:sz w:val="20"/>
                <w:szCs w:val="20"/>
              </w:rPr>
            </w:pPr>
            <w:r>
              <w:rPr>
                <w:sz w:val="20"/>
                <w:szCs w:val="20"/>
              </w:rPr>
              <w:t>0.5</w:t>
            </w:r>
          </w:p>
        </w:tc>
        <w:tc>
          <w:tcPr>
            <w:tcW w:w="914" w:type="dxa"/>
          </w:tcPr>
          <w:p w:rsidR="00BB7053" w:rsidRPr="00BB7053" w:rsidP="00AF3F09" w14:paraId="00C87BC3" w14:textId="7D41E57E">
            <w:pPr>
              <w:keepLines/>
              <w:tabs>
                <w:tab w:val="left" w:pos="6030"/>
              </w:tabs>
              <w:spacing w:line="276" w:lineRule="auto"/>
              <w:jc w:val="right"/>
              <w:rPr>
                <w:sz w:val="20"/>
                <w:szCs w:val="20"/>
              </w:rPr>
            </w:pPr>
            <w:r>
              <w:rPr>
                <w:sz w:val="20"/>
                <w:szCs w:val="20"/>
              </w:rPr>
              <w:t>4</w:t>
            </w:r>
            <w:r w:rsidR="006B4399">
              <w:rPr>
                <w:sz w:val="20"/>
                <w:szCs w:val="20"/>
              </w:rPr>
              <w:t>2</w:t>
            </w:r>
          </w:p>
        </w:tc>
        <w:tc>
          <w:tcPr>
            <w:tcW w:w="1068" w:type="dxa"/>
          </w:tcPr>
          <w:p w:rsidR="00BB7053" w:rsidRPr="00BB7053" w:rsidP="00AF3F09" w14:paraId="26408AFC" w14:textId="18C56FA1">
            <w:pPr>
              <w:keepLines/>
              <w:tabs>
                <w:tab w:val="left" w:pos="6030"/>
              </w:tabs>
              <w:spacing w:line="276" w:lineRule="auto"/>
              <w:jc w:val="right"/>
              <w:rPr>
                <w:sz w:val="20"/>
                <w:szCs w:val="20"/>
              </w:rPr>
            </w:pPr>
            <w:r>
              <w:rPr>
                <w:sz w:val="20"/>
                <w:szCs w:val="20"/>
              </w:rPr>
              <w:t>103.40</w:t>
            </w:r>
          </w:p>
        </w:tc>
        <w:tc>
          <w:tcPr>
            <w:tcW w:w="1620" w:type="dxa"/>
          </w:tcPr>
          <w:p w:rsidR="00BB7053" w:rsidRPr="00BB7053" w:rsidP="00AF3F09" w14:paraId="1520A04B" w14:textId="640DFDEB">
            <w:pPr>
              <w:keepLines/>
              <w:tabs>
                <w:tab w:val="left" w:pos="6030"/>
              </w:tabs>
              <w:spacing w:line="276" w:lineRule="auto"/>
              <w:jc w:val="right"/>
              <w:rPr>
                <w:sz w:val="20"/>
                <w:szCs w:val="20"/>
              </w:rPr>
            </w:pPr>
            <w:r>
              <w:rPr>
                <w:sz w:val="20"/>
                <w:szCs w:val="20"/>
              </w:rPr>
              <w:t>4,</w:t>
            </w:r>
            <w:r w:rsidR="00661790">
              <w:rPr>
                <w:sz w:val="20"/>
                <w:szCs w:val="20"/>
              </w:rPr>
              <w:t>343</w:t>
            </w:r>
          </w:p>
        </w:tc>
      </w:tr>
      <w:tr w14:paraId="63668DB0" w14:textId="77777777" w:rsidTr="003D29BA">
        <w:tblPrEx>
          <w:tblW w:w="9355" w:type="dxa"/>
          <w:tblLayout w:type="fixed"/>
          <w:tblLook w:val="04A0"/>
        </w:tblPrEx>
        <w:tc>
          <w:tcPr>
            <w:tcW w:w="1180" w:type="dxa"/>
            <w:shd w:val="clear" w:color="auto" w:fill="D9D9D9" w:themeFill="background1" w:themeFillShade="D9"/>
          </w:tcPr>
          <w:p w:rsidR="00BB7053" w:rsidRPr="00BB7053" w:rsidP="00AF3F09" w14:paraId="11477C21" w14:textId="30EF3211">
            <w:pPr>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BB7053" w:rsidRPr="00BB7053" w:rsidP="00AF3F09" w14:paraId="7E71CA99" w14:textId="07D316D6">
            <w:pPr>
              <w:keepLines/>
              <w:tabs>
                <w:tab w:val="left" w:pos="6030"/>
              </w:tabs>
              <w:spacing w:line="276" w:lineRule="auto"/>
              <w:jc w:val="right"/>
              <w:rPr>
                <w:sz w:val="20"/>
                <w:szCs w:val="20"/>
              </w:rPr>
            </w:pPr>
            <w:r>
              <w:rPr>
                <w:sz w:val="20"/>
                <w:szCs w:val="20"/>
              </w:rPr>
              <w:t>+8</w:t>
            </w:r>
            <w:r w:rsidR="00E2554C">
              <w:rPr>
                <w:sz w:val="20"/>
                <w:szCs w:val="20"/>
              </w:rPr>
              <w:t>4</w:t>
            </w:r>
          </w:p>
        </w:tc>
        <w:tc>
          <w:tcPr>
            <w:tcW w:w="1139" w:type="dxa"/>
            <w:shd w:val="clear" w:color="auto" w:fill="D9D9D9" w:themeFill="background1" w:themeFillShade="D9"/>
          </w:tcPr>
          <w:p w:rsidR="00BB7053" w:rsidRPr="00BB7053" w:rsidP="00AF3F09" w14:paraId="6E765883" w14:textId="138D1AAB">
            <w:pPr>
              <w:keepLines/>
              <w:tabs>
                <w:tab w:val="left" w:pos="6030"/>
              </w:tabs>
              <w:spacing w:line="276" w:lineRule="auto"/>
              <w:jc w:val="center"/>
              <w:rPr>
                <w:sz w:val="20"/>
                <w:szCs w:val="20"/>
              </w:rPr>
            </w:pPr>
            <w:r>
              <w:rPr>
                <w:sz w:val="20"/>
                <w:szCs w:val="20"/>
              </w:rPr>
              <w:t xml:space="preserve">    </w:t>
            </w:r>
            <w:r w:rsidR="00DF7717">
              <w:rPr>
                <w:sz w:val="20"/>
                <w:szCs w:val="20"/>
              </w:rPr>
              <w:t xml:space="preserve">        n/a</w:t>
            </w:r>
            <w:r>
              <w:rPr>
                <w:sz w:val="20"/>
                <w:szCs w:val="20"/>
              </w:rPr>
              <w:t xml:space="preserve">          </w:t>
            </w:r>
          </w:p>
        </w:tc>
        <w:tc>
          <w:tcPr>
            <w:tcW w:w="1094" w:type="dxa"/>
            <w:shd w:val="clear" w:color="auto" w:fill="D9D9D9" w:themeFill="background1" w:themeFillShade="D9"/>
          </w:tcPr>
          <w:p w:rsidR="00BB7053" w:rsidRPr="00BB7053" w:rsidP="00AF3F09" w14:paraId="4D2E84A9" w14:textId="481FC9E3">
            <w:pPr>
              <w:keepLines/>
              <w:tabs>
                <w:tab w:val="left" w:pos="6030"/>
              </w:tabs>
              <w:spacing w:line="276" w:lineRule="auto"/>
              <w:jc w:val="right"/>
              <w:rPr>
                <w:sz w:val="20"/>
                <w:szCs w:val="20"/>
              </w:rPr>
            </w:pPr>
            <w:r>
              <w:rPr>
                <w:sz w:val="20"/>
                <w:szCs w:val="20"/>
              </w:rPr>
              <w:t>+8</w:t>
            </w:r>
            <w:r w:rsidR="006B4399">
              <w:rPr>
                <w:sz w:val="20"/>
                <w:szCs w:val="20"/>
              </w:rPr>
              <w:t>4</w:t>
            </w:r>
          </w:p>
        </w:tc>
        <w:tc>
          <w:tcPr>
            <w:tcW w:w="1034" w:type="dxa"/>
            <w:shd w:val="clear" w:color="auto" w:fill="D9D9D9" w:themeFill="background1" w:themeFillShade="D9"/>
          </w:tcPr>
          <w:p w:rsidR="00BB7053" w:rsidRPr="00BB7053" w:rsidP="00AF3F09" w14:paraId="0CA436F7" w14:textId="17936B45">
            <w:pPr>
              <w:keepLines/>
              <w:tabs>
                <w:tab w:val="left" w:pos="6030"/>
              </w:tabs>
              <w:spacing w:line="276" w:lineRule="auto"/>
              <w:jc w:val="right"/>
              <w:rPr>
                <w:sz w:val="20"/>
                <w:szCs w:val="20"/>
              </w:rPr>
            </w:pPr>
            <w:r>
              <w:rPr>
                <w:sz w:val="20"/>
                <w:szCs w:val="20"/>
              </w:rPr>
              <w:t>0.5</w:t>
            </w:r>
          </w:p>
        </w:tc>
        <w:tc>
          <w:tcPr>
            <w:tcW w:w="914" w:type="dxa"/>
            <w:shd w:val="clear" w:color="auto" w:fill="D9D9D9" w:themeFill="background1" w:themeFillShade="D9"/>
          </w:tcPr>
          <w:p w:rsidR="00BB7053" w:rsidRPr="00BB7053" w:rsidP="00AF3F09" w14:paraId="12DD66F8" w14:textId="0690E182">
            <w:pPr>
              <w:keepLines/>
              <w:tabs>
                <w:tab w:val="left" w:pos="6030"/>
              </w:tabs>
              <w:spacing w:line="276" w:lineRule="auto"/>
              <w:jc w:val="right"/>
              <w:rPr>
                <w:sz w:val="20"/>
                <w:szCs w:val="20"/>
              </w:rPr>
            </w:pPr>
            <w:r>
              <w:rPr>
                <w:sz w:val="20"/>
                <w:szCs w:val="20"/>
              </w:rPr>
              <w:t>+4</w:t>
            </w:r>
            <w:r w:rsidR="006B4399">
              <w:rPr>
                <w:sz w:val="20"/>
                <w:szCs w:val="20"/>
              </w:rPr>
              <w:t>2</w:t>
            </w:r>
          </w:p>
        </w:tc>
        <w:tc>
          <w:tcPr>
            <w:tcW w:w="1068" w:type="dxa"/>
            <w:shd w:val="clear" w:color="auto" w:fill="D9D9D9" w:themeFill="background1" w:themeFillShade="D9"/>
          </w:tcPr>
          <w:p w:rsidR="00BB7053" w:rsidRPr="00BB7053" w:rsidP="00AF3F09" w14:paraId="52C3E546" w14:textId="77C2505C">
            <w:pPr>
              <w:keepLines/>
              <w:tabs>
                <w:tab w:val="left" w:pos="6030"/>
              </w:tabs>
              <w:spacing w:line="276" w:lineRule="auto"/>
              <w:jc w:val="center"/>
              <w:rPr>
                <w:sz w:val="20"/>
                <w:szCs w:val="20"/>
              </w:rPr>
            </w:pPr>
            <w:r>
              <w:rPr>
                <w:sz w:val="20"/>
                <w:szCs w:val="20"/>
              </w:rPr>
              <w:t xml:space="preserve">         n/a</w:t>
            </w:r>
          </w:p>
        </w:tc>
        <w:tc>
          <w:tcPr>
            <w:tcW w:w="1620" w:type="dxa"/>
            <w:shd w:val="clear" w:color="auto" w:fill="D9D9D9" w:themeFill="background1" w:themeFillShade="D9"/>
          </w:tcPr>
          <w:p w:rsidR="00BB7053" w:rsidRPr="00BB7053" w:rsidP="00AF3F09" w14:paraId="403F9C93" w14:textId="7F27FC1C">
            <w:pPr>
              <w:keepLines/>
              <w:tabs>
                <w:tab w:val="left" w:pos="6030"/>
              </w:tabs>
              <w:spacing w:line="276" w:lineRule="auto"/>
              <w:jc w:val="right"/>
              <w:rPr>
                <w:sz w:val="20"/>
                <w:szCs w:val="20"/>
              </w:rPr>
            </w:pPr>
            <w:r>
              <w:rPr>
                <w:sz w:val="20"/>
                <w:szCs w:val="20"/>
              </w:rPr>
              <w:t>4,</w:t>
            </w:r>
            <w:r w:rsidR="00661790">
              <w:rPr>
                <w:sz w:val="20"/>
                <w:szCs w:val="20"/>
              </w:rPr>
              <w:t>343</w:t>
            </w:r>
          </w:p>
        </w:tc>
      </w:tr>
    </w:tbl>
    <w:p w:rsidR="00806117" w:rsidP="00AF3F09" w14:paraId="2BE89E7F" w14:textId="77777777">
      <w:pPr>
        <w:keepLines/>
        <w:spacing w:before="200"/>
        <w:jc w:val="center"/>
        <w:rPr>
          <w:rFonts w:eastAsia="Calibri"/>
          <w:b/>
          <w:bCs/>
        </w:rPr>
      </w:pPr>
      <w:bookmarkStart w:id="21" w:name="_Hlk107401733"/>
    </w:p>
    <w:p w:rsidR="00806117" w:rsidP="00AF3F09" w14:paraId="305C9A02" w14:textId="4C05C353">
      <w:pPr>
        <w:keepLines/>
        <w:jc w:val="center"/>
        <w:rPr>
          <w:rFonts w:eastAsia="Calibri"/>
          <w:b/>
          <w:bCs/>
        </w:rPr>
      </w:pPr>
      <w:r w:rsidRPr="00B30713">
        <w:rPr>
          <w:rFonts w:eastAsia="Calibri"/>
          <w:b/>
          <w:bCs/>
        </w:rPr>
        <w:t xml:space="preserve">TABLE </w:t>
      </w:r>
      <w:r w:rsidR="00C1361E">
        <w:rPr>
          <w:rFonts w:eastAsia="Calibri"/>
          <w:b/>
          <w:bCs/>
        </w:rPr>
        <w:t>3</w:t>
      </w:r>
      <w:r w:rsidR="00B10518">
        <w:rPr>
          <w:rFonts w:eastAsia="Calibri"/>
          <w:b/>
          <w:bCs/>
        </w:rPr>
        <w:t>1</w:t>
      </w:r>
      <w:r w:rsidR="00885183">
        <w:rPr>
          <w:rFonts w:eastAsia="Calibri"/>
          <w:b/>
          <w:bCs/>
        </w:rPr>
        <w:t>B</w:t>
      </w:r>
      <w:r w:rsidRPr="00B30713">
        <w:rPr>
          <w:rFonts w:eastAsia="Calibri"/>
          <w:b/>
          <w:bCs/>
        </w:rPr>
        <w:t xml:space="preserve">: </w:t>
      </w:r>
      <w:r w:rsidRPr="00B30713">
        <w:rPr>
          <w:rFonts w:eastAsia="Calibri"/>
          <w:b/>
          <w:bCs/>
        </w:rPr>
        <w:t xml:space="preserve">Burden Reconciliation for </w:t>
      </w:r>
      <w:r w:rsidR="000178CD">
        <w:rPr>
          <w:rFonts w:eastAsia="Calibri"/>
          <w:b/>
          <w:bCs/>
        </w:rPr>
        <w:t xml:space="preserve">Full </w:t>
      </w:r>
      <w:r w:rsidRPr="00B30713">
        <w:rPr>
          <w:rFonts w:eastAsia="Calibri"/>
          <w:b/>
          <w:bCs/>
        </w:rPr>
        <w:t>Qualified Registry Self-Nomination</w:t>
      </w:r>
    </w:p>
    <w:tbl>
      <w:tblPr>
        <w:tblStyle w:val="TableGrid"/>
        <w:tblW w:w="9355" w:type="dxa"/>
        <w:tblLayout w:type="fixed"/>
        <w:tblLook w:val="04A0"/>
      </w:tblPr>
      <w:tblGrid>
        <w:gridCol w:w="1180"/>
        <w:gridCol w:w="1306"/>
        <w:gridCol w:w="1199"/>
        <w:gridCol w:w="1170"/>
        <w:gridCol w:w="1080"/>
        <w:gridCol w:w="900"/>
        <w:gridCol w:w="1080"/>
        <w:gridCol w:w="1440"/>
      </w:tblGrid>
      <w:tr w14:paraId="0428B4BC" w14:textId="77777777" w:rsidTr="003D29BA">
        <w:tblPrEx>
          <w:tblW w:w="9355" w:type="dxa"/>
          <w:tblLayout w:type="fixed"/>
          <w:tblLook w:val="04A0"/>
        </w:tblPrEx>
        <w:trPr>
          <w:tblHeader/>
        </w:trPr>
        <w:tc>
          <w:tcPr>
            <w:tcW w:w="1180" w:type="dxa"/>
          </w:tcPr>
          <w:p w:rsidR="00806117" w:rsidRPr="00C748DF" w:rsidP="00AF3F09" w14:paraId="6218DBA4" w14:textId="77777777">
            <w:pPr>
              <w:keepLines/>
              <w:tabs>
                <w:tab w:val="left" w:pos="6030"/>
              </w:tabs>
              <w:spacing w:line="276" w:lineRule="auto"/>
              <w:jc w:val="both"/>
              <w:rPr>
                <w:b/>
                <w:bCs/>
                <w:sz w:val="20"/>
                <w:szCs w:val="20"/>
              </w:rPr>
            </w:pPr>
            <w:r w:rsidRPr="00C748DF">
              <w:rPr>
                <w:b/>
                <w:bCs/>
                <w:sz w:val="20"/>
                <w:szCs w:val="20"/>
              </w:rPr>
              <w:t>Burden Category</w:t>
            </w:r>
          </w:p>
        </w:tc>
        <w:tc>
          <w:tcPr>
            <w:tcW w:w="1306" w:type="dxa"/>
          </w:tcPr>
          <w:p w:rsidR="00806117" w:rsidRPr="00C748DF" w:rsidP="00AF3F09" w14:paraId="6EAF143E" w14:textId="77777777">
            <w:pPr>
              <w:keepLines/>
              <w:tabs>
                <w:tab w:val="left" w:pos="6030"/>
              </w:tabs>
              <w:spacing w:line="276" w:lineRule="auto"/>
              <w:jc w:val="both"/>
              <w:rPr>
                <w:b/>
                <w:bCs/>
                <w:sz w:val="20"/>
                <w:szCs w:val="20"/>
              </w:rPr>
            </w:pPr>
            <w:r w:rsidRPr="00C748DF">
              <w:rPr>
                <w:b/>
                <w:bCs/>
                <w:sz w:val="20"/>
                <w:szCs w:val="20"/>
              </w:rPr>
              <w:t>Total Annual Respondents</w:t>
            </w:r>
          </w:p>
        </w:tc>
        <w:tc>
          <w:tcPr>
            <w:tcW w:w="1199" w:type="dxa"/>
          </w:tcPr>
          <w:p w:rsidR="00806117" w:rsidRPr="00C748DF" w:rsidP="00AF3F09" w14:paraId="4DA87D6B" w14:textId="77777777">
            <w:pPr>
              <w:keepLines/>
              <w:tabs>
                <w:tab w:val="left" w:pos="6030"/>
              </w:tabs>
              <w:spacing w:line="276" w:lineRule="auto"/>
              <w:jc w:val="both"/>
              <w:rPr>
                <w:b/>
                <w:bCs/>
                <w:sz w:val="20"/>
                <w:szCs w:val="20"/>
              </w:rPr>
            </w:pPr>
            <w:r w:rsidRPr="00C748DF">
              <w:rPr>
                <w:b/>
                <w:bCs/>
                <w:sz w:val="20"/>
                <w:szCs w:val="20"/>
              </w:rPr>
              <w:t>Response Frequency (per year)</w:t>
            </w:r>
          </w:p>
        </w:tc>
        <w:tc>
          <w:tcPr>
            <w:tcW w:w="1170" w:type="dxa"/>
          </w:tcPr>
          <w:p w:rsidR="00806117" w:rsidRPr="00C748DF" w:rsidP="00AF3F09" w14:paraId="53E0451E" w14:textId="77777777">
            <w:pPr>
              <w:keepLines/>
              <w:tabs>
                <w:tab w:val="left" w:pos="6030"/>
              </w:tabs>
              <w:spacing w:line="276" w:lineRule="auto"/>
              <w:jc w:val="both"/>
              <w:rPr>
                <w:b/>
                <w:bCs/>
                <w:sz w:val="20"/>
                <w:szCs w:val="20"/>
              </w:rPr>
            </w:pPr>
            <w:r w:rsidRPr="00C748DF">
              <w:rPr>
                <w:b/>
                <w:bCs/>
                <w:sz w:val="20"/>
                <w:szCs w:val="20"/>
              </w:rPr>
              <w:t>Total Annual Responses</w:t>
            </w:r>
          </w:p>
        </w:tc>
        <w:tc>
          <w:tcPr>
            <w:tcW w:w="1080" w:type="dxa"/>
          </w:tcPr>
          <w:p w:rsidR="00806117" w:rsidRPr="00C748DF" w:rsidP="00AF3F09" w14:paraId="5DC8622B" w14:textId="77777777">
            <w:pPr>
              <w:keepLines/>
              <w:tabs>
                <w:tab w:val="left" w:pos="6030"/>
              </w:tabs>
              <w:spacing w:line="276" w:lineRule="auto"/>
              <w:rPr>
                <w:b/>
                <w:bCs/>
                <w:sz w:val="20"/>
                <w:szCs w:val="20"/>
              </w:rPr>
            </w:pPr>
            <w:r w:rsidRPr="00C748DF">
              <w:rPr>
                <w:b/>
                <w:bCs/>
                <w:sz w:val="20"/>
                <w:szCs w:val="20"/>
              </w:rPr>
              <w:t>Time Per Response (hr)</w:t>
            </w:r>
          </w:p>
        </w:tc>
        <w:tc>
          <w:tcPr>
            <w:tcW w:w="900" w:type="dxa"/>
          </w:tcPr>
          <w:p w:rsidR="00806117" w:rsidRPr="00C748DF" w:rsidP="00AF3F09" w14:paraId="6B6AF664" w14:textId="77777777">
            <w:pPr>
              <w:keepLines/>
              <w:tabs>
                <w:tab w:val="left" w:pos="6030"/>
              </w:tabs>
              <w:spacing w:line="276" w:lineRule="auto"/>
              <w:jc w:val="both"/>
              <w:rPr>
                <w:b/>
                <w:bCs/>
                <w:sz w:val="20"/>
                <w:szCs w:val="20"/>
              </w:rPr>
            </w:pPr>
            <w:r w:rsidRPr="00C748DF">
              <w:rPr>
                <w:b/>
                <w:bCs/>
                <w:sz w:val="20"/>
                <w:szCs w:val="20"/>
              </w:rPr>
              <w:t>Total Annual Time (hr)</w:t>
            </w:r>
          </w:p>
        </w:tc>
        <w:tc>
          <w:tcPr>
            <w:tcW w:w="1080" w:type="dxa"/>
          </w:tcPr>
          <w:p w:rsidR="00806117" w:rsidRPr="00C748DF" w:rsidP="00AF3F09" w14:paraId="017B5451" w14:textId="77777777">
            <w:pPr>
              <w:keepLines/>
              <w:tabs>
                <w:tab w:val="left" w:pos="6030"/>
              </w:tabs>
              <w:spacing w:line="276" w:lineRule="auto"/>
              <w:jc w:val="both"/>
              <w:rPr>
                <w:b/>
                <w:bCs/>
                <w:sz w:val="20"/>
                <w:szCs w:val="20"/>
              </w:rPr>
            </w:pPr>
            <w:r w:rsidRPr="00C748DF">
              <w:rPr>
                <w:b/>
                <w:bCs/>
                <w:sz w:val="20"/>
                <w:szCs w:val="20"/>
              </w:rPr>
              <w:t>Labor Cost ($/hr)</w:t>
            </w:r>
          </w:p>
        </w:tc>
        <w:tc>
          <w:tcPr>
            <w:tcW w:w="1440" w:type="dxa"/>
          </w:tcPr>
          <w:p w:rsidR="00806117" w:rsidRPr="00C748DF" w:rsidP="00AF3F09" w14:paraId="735E4FCF" w14:textId="77777777">
            <w:pPr>
              <w:keepLines/>
              <w:tabs>
                <w:tab w:val="left" w:pos="6030"/>
              </w:tabs>
              <w:spacing w:line="276" w:lineRule="auto"/>
              <w:rPr>
                <w:b/>
                <w:bCs/>
                <w:sz w:val="20"/>
                <w:szCs w:val="20"/>
              </w:rPr>
            </w:pPr>
            <w:r w:rsidRPr="00C748DF">
              <w:rPr>
                <w:b/>
                <w:bCs/>
                <w:sz w:val="20"/>
                <w:szCs w:val="20"/>
              </w:rPr>
              <w:t>Total Annual Cost ($)</w:t>
            </w:r>
          </w:p>
        </w:tc>
      </w:tr>
      <w:tr w14:paraId="56FAA08A" w14:textId="77777777" w:rsidTr="003D29BA">
        <w:tblPrEx>
          <w:tblW w:w="9355" w:type="dxa"/>
          <w:tblLayout w:type="fixed"/>
          <w:tblLook w:val="04A0"/>
        </w:tblPrEx>
        <w:tc>
          <w:tcPr>
            <w:tcW w:w="1180" w:type="dxa"/>
          </w:tcPr>
          <w:p w:rsidR="00806117" w:rsidRPr="00BB7053" w:rsidP="00AF3F09" w14:paraId="28AA4AF8" w14:textId="77777777">
            <w:pPr>
              <w:keepLines/>
              <w:tabs>
                <w:tab w:val="left" w:pos="6030"/>
              </w:tabs>
              <w:spacing w:line="276" w:lineRule="auto"/>
              <w:jc w:val="both"/>
              <w:rPr>
                <w:sz w:val="20"/>
                <w:szCs w:val="20"/>
              </w:rPr>
            </w:pPr>
            <w:r>
              <w:rPr>
                <w:sz w:val="20"/>
                <w:szCs w:val="20"/>
              </w:rPr>
              <w:t xml:space="preserve">Currently Approved </w:t>
            </w:r>
          </w:p>
        </w:tc>
        <w:tc>
          <w:tcPr>
            <w:tcW w:w="1306" w:type="dxa"/>
          </w:tcPr>
          <w:p w:rsidR="00806117" w:rsidRPr="00BB7053" w:rsidP="00AF3F09" w14:paraId="280AC830" w14:textId="673DA76F">
            <w:pPr>
              <w:keepLines/>
              <w:tabs>
                <w:tab w:val="left" w:pos="6030"/>
              </w:tabs>
              <w:spacing w:line="276" w:lineRule="auto"/>
              <w:jc w:val="right"/>
              <w:rPr>
                <w:sz w:val="20"/>
                <w:szCs w:val="20"/>
              </w:rPr>
            </w:pPr>
            <w:r>
              <w:rPr>
                <w:sz w:val="20"/>
                <w:szCs w:val="20"/>
              </w:rPr>
              <w:t>132</w:t>
            </w:r>
            <w:r>
              <w:rPr>
                <w:sz w:val="20"/>
                <w:szCs w:val="20"/>
              </w:rPr>
              <w:t xml:space="preserve"> </w:t>
            </w:r>
          </w:p>
        </w:tc>
        <w:tc>
          <w:tcPr>
            <w:tcW w:w="1199" w:type="dxa"/>
          </w:tcPr>
          <w:p w:rsidR="00806117" w:rsidRPr="00BB7053" w:rsidP="00AF3F09" w14:paraId="40AEA6D7" w14:textId="2E242EC7">
            <w:pPr>
              <w:keepLines/>
              <w:tabs>
                <w:tab w:val="left" w:pos="6030"/>
              </w:tabs>
              <w:spacing w:line="276" w:lineRule="auto"/>
              <w:jc w:val="right"/>
              <w:rPr>
                <w:sz w:val="20"/>
                <w:szCs w:val="20"/>
              </w:rPr>
            </w:pPr>
            <w:r>
              <w:rPr>
                <w:sz w:val="20"/>
                <w:szCs w:val="20"/>
              </w:rPr>
              <w:t>1</w:t>
            </w:r>
            <w:r>
              <w:rPr>
                <w:sz w:val="20"/>
                <w:szCs w:val="20"/>
              </w:rPr>
              <w:t xml:space="preserve"> </w:t>
            </w:r>
          </w:p>
        </w:tc>
        <w:tc>
          <w:tcPr>
            <w:tcW w:w="1170" w:type="dxa"/>
          </w:tcPr>
          <w:p w:rsidR="00806117" w:rsidRPr="00BB7053" w:rsidP="00AF3F09" w14:paraId="074351F0" w14:textId="2A18A3BC">
            <w:pPr>
              <w:keepLines/>
              <w:tabs>
                <w:tab w:val="left" w:pos="6030"/>
              </w:tabs>
              <w:spacing w:line="276" w:lineRule="auto"/>
              <w:jc w:val="right"/>
              <w:rPr>
                <w:sz w:val="20"/>
                <w:szCs w:val="20"/>
              </w:rPr>
            </w:pPr>
            <w:r>
              <w:rPr>
                <w:sz w:val="20"/>
                <w:szCs w:val="20"/>
              </w:rPr>
              <w:t>132</w:t>
            </w:r>
          </w:p>
        </w:tc>
        <w:tc>
          <w:tcPr>
            <w:tcW w:w="1080" w:type="dxa"/>
          </w:tcPr>
          <w:p w:rsidR="00806117" w:rsidRPr="00BB7053" w:rsidP="00AF3F09" w14:paraId="3CAB10C5" w14:textId="154EA903">
            <w:pPr>
              <w:keepLines/>
              <w:tabs>
                <w:tab w:val="left" w:pos="6030"/>
              </w:tabs>
              <w:spacing w:line="276" w:lineRule="auto"/>
              <w:jc w:val="right"/>
              <w:rPr>
                <w:sz w:val="20"/>
                <w:szCs w:val="20"/>
              </w:rPr>
            </w:pPr>
            <w:r>
              <w:rPr>
                <w:sz w:val="20"/>
                <w:szCs w:val="20"/>
              </w:rPr>
              <w:t>2</w:t>
            </w:r>
          </w:p>
        </w:tc>
        <w:tc>
          <w:tcPr>
            <w:tcW w:w="900" w:type="dxa"/>
          </w:tcPr>
          <w:p w:rsidR="00806117" w:rsidRPr="00BB7053" w:rsidP="00AF3F09" w14:paraId="09AF3255" w14:textId="7F3764C2">
            <w:pPr>
              <w:keepLines/>
              <w:tabs>
                <w:tab w:val="left" w:pos="6030"/>
              </w:tabs>
              <w:spacing w:line="276" w:lineRule="auto"/>
              <w:jc w:val="right"/>
              <w:rPr>
                <w:sz w:val="20"/>
                <w:szCs w:val="20"/>
              </w:rPr>
            </w:pPr>
            <w:r>
              <w:rPr>
                <w:sz w:val="20"/>
                <w:szCs w:val="20"/>
              </w:rPr>
              <w:t>264</w:t>
            </w:r>
          </w:p>
        </w:tc>
        <w:tc>
          <w:tcPr>
            <w:tcW w:w="1080" w:type="dxa"/>
          </w:tcPr>
          <w:p w:rsidR="00806117" w:rsidRPr="00BB7053" w:rsidP="00AF3F09" w14:paraId="212A9569" w14:textId="235E48A8">
            <w:pPr>
              <w:keepLines/>
              <w:tabs>
                <w:tab w:val="left" w:pos="6030"/>
              </w:tabs>
              <w:spacing w:line="276" w:lineRule="auto"/>
              <w:jc w:val="right"/>
              <w:rPr>
                <w:sz w:val="20"/>
                <w:szCs w:val="20"/>
              </w:rPr>
            </w:pPr>
            <w:r>
              <w:rPr>
                <w:sz w:val="20"/>
                <w:szCs w:val="20"/>
              </w:rPr>
              <w:t>103.40</w:t>
            </w:r>
          </w:p>
        </w:tc>
        <w:tc>
          <w:tcPr>
            <w:tcW w:w="1440" w:type="dxa"/>
          </w:tcPr>
          <w:p w:rsidR="00806117" w:rsidRPr="00BB7053" w:rsidP="00AF3F09" w14:paraId="79B2AF43" w14:textId="56C3AA59">
            <w:pPr>
              <w:keepLines/>
              <w:tabs>
                <w:tab w:val="left" w:pos="6030"/>
              </w:tabs>
              <w:spacing w:line="276" w:lineRule="auto"/>
              <w:rPr>
                <w:sz w:val="20"/>
                <w:szCs w:val="20"/>
              </w:rPr>
            </w:pPr>
            <w:r>
              <w:rPr>
                <w:sz w:val="20"/>
                <w:szCs w:val="20"/>
              </w:rPr>
              <w:t xml:space="preserve">             27,298</w:t>
            </w:r>
          </w:p>
        </w:tc>
      </w:tr>
      <w:tr w14:paraId="06F8823C" w14:textId="77777777" w:rsidTr="003D29BA">
        <w:tblPrEx>
          <w:tblW w:w="9355" w:type="dxa"/>
          <w:tblLayout w:type="fixed"/>
          <w:tblLook w:val="04A0"/>
        </w:tblPrEx>
        <w:tc>
          <w:tcPr>
            <w:tcW w:w="1180" w:type="dxa"/>
          </w:tcPr>
          <w:p w:rsidR="00806117" w:rsidRPr="00BB7053" w:rsidP="00AF3F09" w14:paraId="67EDAA11" w14:textId="3BFFADBE">
            <w:pPr>
              <w:keepLines/>
              <w:tabs>
                <w:tab w:val="left" w:pos="6030"/>
              </w:tabs>
              <w:spacing w:line="276" w:lineRule="auto"/>
              <w:rPr>
                <w:sz w:val="20"/>
                <w:szCs w:val="20"/>
              </w:rPr>
            </w:pPr>
            <w:r>
              <w:rPr>
                <w:sz w:val="20"/>
                <w:szCs w:val="20"/>
              </w:rPr>
              <w:t>Finaliz</w:t>
            </w:r>
            <w:r>
              <w:rPr>
                <w:sz w:val="20"/>
                <w:szCs w:val="20"/>
              </w:rPr>
              <w:t xml:space="preserve">ed </w:t>
            </w:r>
            <w:r w:rsidRPr="00A67FD9">
              <w:rPr>
                <w:sz w:val="20"/>
                <w:szCs w:val="20"/>
              </w:rPr>
              <w:t xml:space="preserve">(See Table </w:t>
            </w:r>
            <w:r>
              <w:rPr>
                <w:sz w:val="20"/>
                <w:szCs w:val="20"/>
              </w:rPr>
              <w:t>4</w:t>
            </w:r>
            <w:r w:rsidRPr="00A67FD9">
              <w:rPr>
                <w:sz w:val="20"/>
                <w:szCs w:val="20"/>
              </w:rPr>
              <w:t>)</w:t>
            </w:r>
          </w:p>
        </w:tc>
        <w:tc>
          <w:tcPr>
            <w:tcW w:w="1306" w:type="dxa"/>
          </w:tcPr>
          <w:p w:rsidR="00806117" w:rsidRPr="00BB7053" w:rsidP="00AF3F09" w14:paraId="23A24983" w14:textId="5AB91755">
            <w:pPr>
              <w:keepLines/>
              <w:tabs>
                <w:tab w:val="left" w:pos="6030"/>
              </w:tabs>
              <w:spacing w:line="276" w:lineRule="auto"/>
              <w:jc w:val="right"/>
              <w:rPr>
                <w:sz w:val="20"/>
                <w:szCs w:val="20"/>
              </w:rPr>
            </w:pPr>
            <w:r>
              <w:rPr>
                <w:sz w:val="20"/>
                <w:szCs w:val="20"/>
              </w:rPr>
              <w:t>27</w:t>
            </w:r>
          </w:p>
        </w:tc>
        <w:tc>
          <w:tcPr>
            <w:tcW w:w="1199" w:type="dxa"/>
          </w:tcPr>
          <w:p w:rsidR="00806117" w:rsidRPr="00BB7053" w:rsidP="00AF3F09" w14:paraId="23EAD951" w14:textId="77777777">
            <w:pPr>
              <w:keepLines/>
              <w:tabs>
                <w:tab w:val="left" w:pos="6030"/>
              </w:tabs>
              <w:spacing w:line="276" w:lineRule="auto"/>
              <w:jc w:val="right"/>
              <w:rPr>
                <w:sz w:val="20"/>
                <w:szCs w:val="20"/>
              </w:rPr>
            </w:pPr>
            <w:r>
              <w:rPr>
                <w:sz w:val="20"/>
                <w:szCs w:val="20"/>
              </w:rPr>
              <w:t>1</w:t>
            </w:r>
          </w:p>
        </w:tc>
        <w:tc>
          <w:tcPr>
            <w:tcW w:w="1170" w:type="dxa"/>
          </w:tcPr>
          <w:p w:rsidR="00806117" w:rsidRPr="00BB7053" w:rsidP="00AF3F09" w14:paraId="039FD125" w14:textId="09C0F265">
            <w:pPr>
              <w:keepLines/>
              <w:tabs>
                <w:tab w:val="left" w:pos="6030"/>
              </w:tabs>
              <w:spacing w:line="276" w:lineRule="auto"/>
              <w:jc w:val="right"/>
              <w:rPr>
                <w:sz w:val="20"/>
                <w:szCs w:val="20"/>
              </w:rPr>
            </w:pPr>
            <w:r>
              <w:rPr>
                <w:sz w:val="20"/>
                <w:szCs w:val="20"/>
              </w:rPr>
              <w:t>27</w:t>
            </w:r>
          </w:p>
        </w:tc>
        <w:tc>
          <w:tcPr>
            <w:tcW w:w="1080" w:type="dxa"/>
          </w:tcPr>
          <w:p w:rsidR="00806117" w:rsidRPr="00BB7053" w:rsidP="00AF3F09" w14:paraId="25272E51" w14:textId="02722925">
            <w:pPr>
              <w:keepLines/>
              <w:tabs>
                <w:tab w:val="left" w:pos="6030"/>
              </w:tabs>
              <w:spacing w:line="276" w:lineRule="auto"/>
              <w:jc w:val="right"/>
              <w:rPr>
                <w:sz w:val="20"/>
                <w:szCs w:val="20"/>
              </w:rPr>
            </w:pPr>
            <w:r>
              <w:rPr>
                <w:sz w:val="20"/>
                <w:szCs w:val="20"/>
              </w:rPr>
              <w:t>2</w:t>
            </w:r>
          </w:p>
        </w:tc>
        <w:tc>
          <w:tcPr>
            <w:tcW w:w="900" w:type="dxa"/>
          </w:tcPr>
          <w:p w:rsidR="00806117" w:rsidRPr="00BB7053" w:rsidP="00AF3F09" w14:paraId="6B28A3E7" w14:textId="4A1FD05A">
            <w:pPr>
              <w:keepLines/>
              <w:tabs>
                <w:tab w:val="left" w:pos="6030"/>
              </w:tabs>
              <w:spacing w:line="276" w:lineRule="auto"/>
              <w:jc w:val="right"/>
              <w:rPr>
                <w:sz w:val="20"/>
                <w:szCs w:val="20"/>
              </w:rPr>
            </w:pPr>
            <w:r>
              <w:rPr>
                <w:sz w:val="20"/>
                <w:szCs w:val="20"/>
              </w:rPr>
              <w:t>54</w:t>
            </w:r>
          </w:p>
        </w:tc>
        <w:tc>
          <w:tcPr>
            <w:tcW w:w="1080" w:type="dxa"/>
          </w:tcPr>
          <w:p w:rsidR="00806117" w:rsidRPr="00BB7053" w:rsidP="00AF3F09" w14:paraId="1124C3E4" w14:textId="77777777">
            <w:pPr>
              <w:keepLines/>
              <w:tabs>
                <w:tab w:val="left" w:pos="6030"/>
              </w:tabs>
              <w:spacing w:line="276" w:lineRule="auto"/>
              <w:jc w:val="right"/>
              <w:rPr>
                <w:sz w:val="20"/>
                <w:szCs w:val="20"/>
              </w:rPr>
            </w:pPr>
            <w:r>
              <w:rPr>
                <w:sz w:val="20"/>
                <w:szCs w:val="20"/>
              </w:rPr>
              <w:t>103.40</w:t>
            </w:r>
          </w:p>
        </w:tc>
        <w:tc>
          <w:tcPr>
            <w:tcW w:w="1440" w:type="dxa"/>
          </w:tcPr>
          <w:p w:rsidR="00806117" w:rsidRPr="00BB7053" w:rsidP="00AF3F09" w14:paraId="4A7BB5C1" w14:textId="4188E75C">
            <w:pPr>
              <w:keepLines/>
              <w:tabs>
                <w:tab w:val="left" w:pos="6030"/>
              </w:tabs>
              <w:spacing w:line="276" w:lineRule="auto"/>
              <w:jc w:val="right"/>
              <w:rPr>
                <w:sz w:val="20"/>
                <w:szCs w:val="20"/>
              </w:rPr>
            </w:pPr>
            <w:r>
              <w:rPr>
                <w:sz w:val="20"/>
                <w:szCs w:val="20"/>
              </w:rPr>
              <w:t>5,584</w:t>
            </w:r>
          </w:p>
        </w:tc>
      </w:tr>
      <w:tr w14:paraId="29FDC7DE" w14:textId="77777777" w:rsidTr="003D29BA">
        <w:tblPrEx>
          <w:tblW w:w="9355" w:type="dxa"/>
          <w:tblLayout w:type="fixed"/>
          <w:tblLook w:val="04A0"/>
        </w:tblPrEx>
        <w:tc>
          <w:tcPr>
            <w:tcW w:w="1180" w:type="dxa"/>
            <w:shd w:val="clear" w:color="auto" w:fill="D9D9D9" w:themeFill="background1" w:themeFillShade="D9"/>
          </w:tcPr>
          <w:p w:rsidR="00806117" w:rsidRPr="00BB7053" w:rsidP="00AF3F09" w14:paraId="06A8F877" w14:textId="77777777">
            <w:pPr>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806117" w:rsidRPr="00BB7053" w:rsidP="00AF3F09" w14:paraId="1B509758" w14:textId="3C208605">
            <w:pPr>
              <w:keepLines/>
              <w:tabs>
                <w:tab w:val="left" w:pos="6030"/>
              </w:tabs>
              <w:spacing w:line="276" w:lineRule="auto"/>
              <w:jc w:val="center"/>
              <w:rPr>
                <w:sz w:val="20"/>
                <w:szCs w:val="20"/>
              </w:rPr>
            </w:pPr>
            <w:r>
              <w:rPr>
                <w:sz w:val="20"/>
                <w:szCs w:val="20"/>
              </w:rPr>
              <w:t xml:space="preserve">              -</w:t>
            </w:r>
            <w:r w:rsidR="00AD2530">
              <w:rPr>
                <w:sz w:val="20"/>
                <w:szCs w:val="20"/>
              </w:rPr>
              <w:t>105</w:t>
            </w:r>
          </w:p>
        </w:tc>
        <w:tc>
          <w:tcPr>
            <w:tcW w:w="1199" w:type="dxa"/>
            <w:shd w:val="clear" w:color="auto" w:fill="D9D9D9" w:themeFill="background1" w:themeFillShade="D9"/>
          </w:tcPr>
          <w:p w:rsidR="00806117" w:rsidRPr="00BB7053" w:rsidP="00AF3F09" w14:paraId="7DCAC197" w14:textId="2B6B0C2D">
            <w:pPr>
              <w:keepLines/>
              <w:tabs>
                <w:tab w:val="left" w:pos="6030"/>
              </w:tabs>
              <w:spacing w:line="276" w:lineRule="auto"/>
              <w:rPr>
                <w:sz w:val="20"/>
                <w:szCs w:val="20"/>
              </w:rPr>
            </w:pPr>
            <w:r>
              <w:rPr>
                <w:sz w:val="20"/>
                <w:szCs w:val="20"/>
              </w:rPr>
              <w:t xml:space="preserve">No </w:t>
            </w:r>
            <w:r w:rsidR="00341C9F">
              <w:rPr>
                <w:sz w:val="20"/>
                <w:szCs w:val="20"/>
              </w:rPr>
              <w:t>change</w:t>
            </w:r>
            <w:r>
              <w:rPr>
                <w:sz w:val="20"/>
                <w:szCs w:val="20"/>
              </w:rPr>
              <w:t xml:space="preserve">              </w:t>
            </w:r>
          </w:p>
        </w:tc>
        <w:tc>
          <w:tcPr>
            <w:tcW w:w="1170" w:type="dxa"/>
            <w:shd w:val="clear" w:color="auto" w:fill="D9D9D9" w:themeFill="background1" w:themeFillShade="D9"/>
          </w:tcPr>
          <w:p w:rsidR="00806117" w:rsidRPr="00BB7053" w:rsidP="00AF3F09" w14:paraId="6671A7A7" w14:textId="46C2403D">
            <w:pPr>
              <w:keepLines/>
              <w:tabs>
                <w:tab w:val="left" w:pos="6030"/>
              </w:tabs>
              <w:spacing w:line="276" w:lineRule="auto"/>
              <w:jc w:val="right"/>
              <w:rPr>
                <w:sz w:val="20"/>
                <w:szCs w:val="20"/>
              </w:rPr>
            </w:pPr>
            <w:r>
              <w:rPr>
                <w:sz w:val="20"/>
                <w:szCs w:val="20"/>
              </w:rPr>
              <w:t>-</w:t>
            </w:r>
            <w:r w:rsidR="008851CC">
              <w:rPr>
                <w:sz w:val="20"/>
                <w:szCs w:val="20"/>
              </w:rPr>
              <w:t>105</w:t>
            </w:r>
          </w:p>
        </w:tc>
        <w:tc>
          <w:tcPr>
            <w:tcW w:w="1080" w:type="dxa"/>
            <w:shd w:val="clear" w:color="auto" w:fill="D9D9D9" w:themeFill="background1" w:themeFillShade="D9"/>
          </w:tcPr>
          <w:p w:rsidR="00806117" w:rsidRPr="00BB7053" w:rsidP="00AF3F09" w14:paraId="31399DCA" w14:textId="694F2DC7">
            <w:pPr>
              <w:keepLines/>
              <w:tabs>
                <w:tab w:val="left" w:pos="6030"/>
              </w:tabs>
              <w:spacing w:line="276" w:lineRule="auto"/>
              <w:jc w:val="right"/>
              <w:rPr>
                <w:sz w:val="20"/>
                <w:szCs w:val="20"/>
              </w:rPr>
            </w:pPr>
            <w:r>
              <w:rPr>
                <w:sz w:val="20"/>
                <w:szCs w:val="20"/>
              </w:rPr>
              <w:t>No change</w:t>
            </w:r>
          </w:p>
        </w:tc>
        <w:tc>
          <w:tcPr>
            <w:tcW w:w="900" w:type="dxa"/>
            <w:shd w:val="clear" w:color="auto" w:fill="D9D9D9" w:themeFill="background1" w:themeFillShade="D9"/>
          </w:tcPr>
          <w:p w:rsidR="00806117" w:rsidRPr="00BB7053" w:rsidP="00AF3F09" w14:paraId="0A672C59" w14:textId="25273682">
            <w:pPr>
              <w:keepLines/>
              <w:tabs>
                <w:tab w:val="left" w:pos="6030"/>
              </w:tabs>
              <w:spacing w:line="276" w:lineRule="auto"/>
              <w:jc w:val="right"/>
              <w:rPr>
                <w:sz w:val="20"/>
                <w:szCs w:val="20"/>
              </w:rPr>
            </w:pPr>
            <w:r>
              <w:rPr>
                <w:sz w:val="20"/>
                <w:szCs w:val="20"/>
              </w:rPr>
              <w:t>-</w:t>
            </w:r>
            <w:r w:rsidR="009E316C">
              <w:rPr>
                <w:sz w:val="20"/>
                <w:szCs w:val="20"/>
              </w:rPr>
              <w:t>210</w:t>
            </w:r>
          </w:p>
        </w:tc>
        <w:tc>
          <w:tcPr>
            <w:tcW w:w="1080" w:type="dxa"/>
            <w:shd w:val="clear" w:color="auto" w:fill="D9D9D9" w:themeFill="background1" w:themeFillShade="D9"/>
          </w:tcPr>
          <w:p w:rsidR="00806117" w:rsidRPr="00BB7053" w:rsidP="00AF3F09" w14:paraId="331CFD44" w14:textId="061BD3EA">
            <w:pPr>
              <w:keepLines/>
              <w:tabs>
                <w:tab w:val="left" w:pos="6030"/>
              </w:tabs>
              <w:spacing w:line="276" w:lineRule="auto"/>
              <w:jc w:val="right"/>
              <w:rPr>
                <w:sz w:val="20"/>
                <w:szCs w:val="20"/>
              </w:rPr>
            </w:pPr>
            <w:r>
              <w:rPr>
                <w:sz w:val="20"/>
                <w:szCs w:val="20"/>
              </w:rPr>
              <w:t>No change</w:t>
            </w:r>
          </w:p>
        </w:tc>
        <w:tc>
          <w:tcPr>
            <w:tcW w:w="1440" w:type="dxa"/>
            <w:shd w:val="clear" w:color="auto" w:fill="D9D9D9" w:themeFill="background1" w:themeFillShade="D9"/>
          </w:tcPr>
          <w:p w:rsidR="00806117" w:rsidRPr="00BB7053" w:rsidP="00AF3F09" w14:paraId="7A2CF69C" w14:textId="6C62E49A">
            <w:pPr>
              <w:keepLines/>
              <w:tabs>
                <w:tab w:val="left" w:pos="6030"/>
              </w:tabs>
              <w:spacing w:line="276" w:lineRule="auto"/>
              <w:jc w:val="right"/>
              <w:rPr>
                <w:sz w:val="20"/>
                <w:szCs w:val="20"/>
              </w:rPr>
            </w:pPr>
            <w:r>
              <w:rPr>
                <w:sz w:val="20"/>
                <w:szCs w:val="20"/>
              </w:rPr>
              <w:t>-</w:t>
            </w:r>
            <w:r w:rsidR="007D6B81">
              <w:rPr>
                <w:sz w:val="20"/>
                <w:szCs w:val="20"/>
              </w:rPr>
              <w:t>21,</w:t>
            </w:r>
            <w:r w:rsidR="00F80036">
              <w:rPr>
                <w:sz w:val="20"/>
                <w:szCs w:val="20"/>
              </w:rPr>
              <w:t>714</w:t>
            </w:r>
          </w:p>
        </w:tc>
      </w:tr>
    </w:tbl>
    <w:p w:rsidR="00806117" w:rsidP="00AF3F09" w14:paraId="432500F6" w14:textId="77777777">
      <w:pPr>
        <w:keepLines/>
        <w:spacing w:before="200"/>
        <w:jc w:val="center"/>
        <w:rPr>
          <w:rFonts w:eastAsia="Calibri"/>
          <w:b/>
          <w:bCs/>
        </w:rPr>
      </w:pPr>
    </w:p>
    <w:p w:rsidR="003C6D38" w:rsidP="00AF3F09" w14:paraId="116DD3EC" w14:textId="09EAC642">
      <w:pPr>
        <w:keepNext/>
        <w:keepLines/>
        <w:spacing w:before="200"/>
        <w:jc w:val="center"/>
        <w:rPr>
          <w:b/>
          <w:bCs/>
        </w:rPr>
      </w:pPr>
      <w:r>
        <w:rPr>
          <w:rFonts w:eastAsia="Calibri"/>
          <w:b/>
          <w:bCs/>
        </w:rPr>
        <w:t>Table 3</w:t>
      </w:r>
      <w:r w:rsidR="00B10518">
        <w:rPr>
          <w:rFonts w:eastAsia="Calibri"/>
          <w:b/>
          <w:bCs/>
        </w:rPr>
        <w:t>1</w:t>
      </w:r>
      <w:r>
        <w:rPr>
          <w:rFonts w:eastAsia="Calibri"/>
          <w:b/>
          <w:bCs/>
        </w:rPr>
        <w:t xml:space="preserve">C: </w:t>
      </w:r>
      <w:r w:rsidRPr="00B30713">
        <w:rPr>
          <w:rFonts w:eastAsia="Calibri"/>
          <w:b/>
          <w:bCs/>
        </w:rPr>
        <w:t xml:space="preserve">Burden Reconciliation for </w:t>
      </w:r>
      <w:r w:rsidR="000178CD">
        <w:rPr>
          <w:rFonts w:eastAsia="Calibri"/>
          <w:b/>
          <w:bCs/>
        </w:rPr>
        <w:t xml:space="preserve">Simplified </w:t>
      </w:r>
      <w:r w:rsidRPr="00AD1106" w:rsidR="00AD1106">
        <w:rPr>
          <w:rFonts w:eastAsia="Calibri"/>
          <w:b/>
          <w:bCs/>
        </w:rPr>
        <w:t xml:space="preserve">QCDR Self-Nomination and </w:t>
      </w:r>
      <w:r w:rsidR="00EA614E">
        <w:rPr>
          <w:rFonts w:eastAsia="Calibri"/>
          <w:b/>
          <w:bCs/>
        </w:rPr>
        <w:t xml:space="preserve">QCDR </w:t>
      </w:r>
      <w:r w:rsidR="00D90A3F">
        <w:rPr>
          <w:rFonts w:eastAsia="Calibri"/>
          <w:b/>
          <w:bCs/>
        </w:rPr>
        <w:br/>
      </w:r>
      <w:r w:rsidR="00EA614E">
        <w:rPr>
          <w:rFonts w:eastAsia="Calibri"/>
          <w:b/>
          <w:bCs/>
        </w:rPr>
        <w:t>Measure Submission</w:t>
      </w:r>
    </w:p>
    <w:tbl>
      <w:tblPr>
        <w:tblStyle w:val="TableGrid"/>
        <w:tblW w:w="9445" w:type="dxa"/>
        <w:tblLook w:val="04A0"/>
      </w:tblPr>
      <w:tblGrid>
        <w:gridCol w:w="1251"/>
        <w:gridCol w:w="1306"/>
        <w:gridCol w:w="1168"/>
        <w:gridCol w:w="1094"/>
        <w:gridCol w:w="1077"/>
        <w:gridCol w:w="1071"/>
        <w:gridCol w:w="1068"/>
        <w:gridCol w:w="1410"/>
      </w:tblGrid>
      <w:tr w14:paraId="2DE1A8E0" w14:textId="77777777" w:rsidTr="00D26368">
        <w:tblPrEx>
          <w:tblW w:w="9445" w:type="dxa"/>
          <w:tblLook w:val="04A0"/>
        </w:tblPrEx>
        <w:trPr>
          <w:tblHeader/>
        </w:trPr>
        <w:tc>
          <w:tcPr>
            <w:tcW w:w="1251" w:type="dxa"/>
          </w:tcPr>
          <w:p w:rsidR="003C6D38" w:rsidRPr="00DF4016" w:rsidP="00AF3F09" w14:paraId="3D67C613"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003C6D38" w:rsidRPr="00DF4016" w:rsidP="00AF3F09" w14:paraId="5126895D"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003C6D38" w:rsidRPr="00DF4016" w:rsidP="00AF3F09" w14:paraId="4E70930B"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003C6D38" w:rsidRPr="00DF4016" w:rsidP="00AF3F09" w14:paraId="4FC5FA2A"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003C6D38" w:rsidRPr="00DF4016" w:rsidP="00AF3F09" w14:paraId="791B100B" w14:textId="77777777">
            <w:pPr>
              <w:keepNext/>
              <w:keepLines/>
              <w:tabs>
                <w:tab w:val="left" w:pos="6030"/>
              </w:tabs>
              <w:spacing w:line="276" w:lineRule="auto"/>
              <w:rPr>
                <w:b/>
                <w:bCs/>
                <w:sz w:val="20"/>
                <w:szCs w:val="20"/>
              </w:rPr>
            </w:pPr>
            <w:r w:rsidRPr="00DF4016">
              <w:rPr>
                <w:b/>
                <w:bCs/>
                <w:sz w:val="20"/>
                <w:szCs w:val="20"/>
              </w:rPr>
              <w:t>Time Per Response (hr)</w:t>
            </w:r>
          </w:p>
        </w:tc>
        <w:tc>
          <w:tcPr>
            <w:tcW w:w="1071" w:type="dxa"/>
          </w:tcPr>
          <w:p w:rsidR="003C6D38" w:rsidRPr="00DF4016" w:rsidP="00AF3F09" w14:paraId="1E4380B1"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003C6D38" w:rsidRPr="00DF4016" w:rsidP="00AF3F09" w14:paraId="1EACC22C"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410" w:type="dxa"/>
          </w:tcPr>
          <w:p w:rsidR="003C6D38" w:rsidRPr="00DF4016" w:rsidP="00AF3F09" w14:paraId="64A1CA7A" w14:textId="77777777">
            <w:pPr>
              <w:keepNext/>
              <w:keepLines/>
              <w:tabs>
                <w:tab w:val="left" w:pos="6030"/>
              </w:tabs>
              <w:spacing w:line="276" w:lineRule="auto"/>
              <w:rPr>
                <w:b/>
                <w:bCs/>
                <w:sz w:val="20"/>
                <w:szCs w:val="20"/>
              </w:rPr>
            </w:pPr>
            <w:r w:rsidRPr="00DF4016">
              <w:rPr>
                <w:b/>
                <w:bCs/>
                <w:sz w:val="20"/>
                <w:szCs w:val="20"/>
              </w:rPr>
              <w:t>Total Annual Cost ($)</w:t>
            </w:r>
          </w:p>
        </w:tc>
      </w:tr>
      <w:tr w14:paraId="0BEC95A6" w14:textId="77777777" w:rsidTr="00D26368">
        <w:tblPrEx>
          <w:tblW w:w="9445" w:type="dxa"/>
          <w:tblLook w:val="04A0"/>
        </w:tblPrEx>
        <w:tc>
          <w:tcPr>
            <w:tcW w:w="1251" w:type="dxa"/>
          </w:tcPr>
          <w:p w:rsidR="00DD286B" w:rsidRPr="00BB7053" w:rsidP="00AF3F09" w14:paraId="45186B32" w14:textId="1A38A79E">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00DD286B" w:rsidRPr="00BB7053" w:rsidP="00AF3F09" w14:paraId="54D5447D" w14:textId="649372D3">
            <w:pPr>
              <w:keepNext/>
              <w:keepLines/>
              <w:tabs>
                <w:tab w:val="left" w:pos="6030"/>
              </w:tabs>
              <w:spacing w:line="276" w:lineRule="auto"/>
              <w:jc w:val="right"/>
              <w:rPr>
                <w:sz w:val="20"/>
                <w:szCs w:val="20"/>
              </w:rPr>
            </w:pPr>
            <w:r>
              <w:rPr>
                <w:sz w:val="20"/>
                <w:szCs w:val="20"/>
              </w:rPr>
              <w:t>n/a</w:t>
            </w:r>
          </w:p>
        </w:tc>
        <w:tc>
          <w:tcPr>
            <w:tcW w:w="1168" w:type="dxa"/>
          </w:tcPr>
          <w:p w:rsidR="00DD286B" w:rsidRPr="00BB7053" w:rsidP="00AF3F09" w14:paraId="14B15BC2" w14:textId="07A8ED36">
            <w:pPr>
              <w:keepNext/>
              <w:keepLines/>
              <w:tabs>
                <w:tab w:val="left" w:pos="6030"/>
              </w:tabs>
              <w:spacing w:line="276" w:lineRule="auto"/>
              <w:jc w:val="right"/>
              <w:rPr>
                <w:sz w:val="20"/>
                <w:szCs w:val="20"/>
              </w:rPr>
            </w:pPr>
            <w:r>
              <w:rPr>
                <w:sz w:val="20"/>
                <w:szCs w:val="20"/>
              </w:rPr>
              <w:t>n/a</w:t>
            </w:r>
          </w:p>
        </w:tc>
        <w:tc>
          <w:tcPr>
            <w:tcW w:w="1094" w:type="dxa"/>
          </w:tcPr>
          <w:p w:rsidR="00DD286B" w:rsidRPr="00BB7053" w:rsidP="00AF3F09" w14:paraId="7319EDFA" w14:textId="13FC8E2C">
            <w:pPr>
              <w:keepNext/>
              <w:keepLines/>
              <w:tabs>
                <w:tab w:val="left" w:pos="6030"/>
              </w:tabs>
              <w:spacing w:line="276" w:lineRule="auto"/>
              <w:jc w:val="right"/>
              <w:rPr>
                <w:sz w:val="20"/>
                <w:szCs w:val="20"/>
              </w:rPr>
            </w:pPr>
            <w:r>
              <w:rPr>
                <w:sz w:val="20"/>
                <w:szCs w:val="20"/>
              </w:rPr>
              <w:t>n/a</w:t>
            </w:r>
          </w:p>
        </w:tc>
        <w:tc>
          <w:tcPr>
            <w:tcW w:w="1077" w:type="dxa"/>
          </w:tcPr>
          <w:p w:rsidR="00DD286B" w:rsidRPr="00BB7053" w:rsidP="00AF3F09" w14:paraId="44CB7B1E" w14:textId="5AE6E50E">
            <w:pPr>
              <w:keepNext/>
              <w:keepLines/>
              <w:tabs>
                <w:tab w:val="left" w:pos="6030"/>
              </w:tabs>
              <w:spacing w:line="276" w:lineRule="auto"/>
              <w:jc w:val="right"/>
              <w:rPr>
                <w:sz w:val="20"/>
                <w:szCs w:val="20"/>
              </w:rPr>
            </w:pPr>
            <w:r>
              <w:rPr>
                <w:sz w:val="20"/>
                <w:szCs w:val="20"/>
              </w:rPr>
              <w:t>n/a</w:t>
            </w:r>
          </w:p>
        </w:tc>
        <w:tc>
          <w:tcPr>
            <w:tcW w:w="1071" w:type="dxa"/>
          </w:tcPr>
          <w:p w:rsidR="00DD286B" w:rsidRPr="00BB7053" w:rsidP="00AF3F09" w14:paraId="4D3F0BEF" w14:textId="66EE3754">
            <w:pPr>
              <w:keepNext/>
              <w:keepLines/>
              <w:tabs>
                <w:tab w:val="left" w:pos="6030"/>
              </w:tabs>
              <w:spacing w:line="276" w:lineRule="auto"/>
              <w:jc w:val="right"/>
              <w:rPr>
                <w:sz w:val="20"/>
                <w:szCs w:val="20"/>
              </w:rPr>
            </w:pPr>
            <w:r>
              <w:rPr>
                <w:sz w:val="20"/>
                <w:szCs w:val="20"/>
              </w:rPr>
              <w:t>n/a</w:t>
            </w:r>
          </w:p>
        </w:tc>
        <w:tc>
          <w:tcPr>
            <w:tcW w:w="1068" w:type="dxa"/>
          </w:tcPr>
          <w:p w:rsidR="00DD286B" w:rsidRPr="00BB7053" w:rsidP="00AF3F09" w14:paraId="06B9A818" w14:textId="5A0DE2D4">
            <w:pPr>
              <w:keepNext/>
              <w:keepLines/>
              <w:tabs>
                <w:tab w:val="left" w:pos="6030"/>
              </w:tabs>
              <w:spacing w:line="276" w:lineRule="auto"/>
              <w:jc w:val="right"/>
              <w:rPr>
                <w:sz w:val="20"/>
                <w:szCs w:val="20"/>
              </w:rPr>
            </w:pPr>
            <w:r>
              <w:rPr>
                <w:sz w:val="20"/>
                <w:szCs w:val="20"/>
              </w:rPr>
              <w:t>n/a</w:t>
            </w:r>
          </w:p>
        </w:tc>
        <w:tc>
          <w:tcPr>
            <w:tcW w:w="1410" w:type="dxa"/>
          </w:tcPr>
          <w:p w:rsidR="00DD286B" w:rsidRPr="00BB7053" w:rsidP="00AF3F09" w14:paraId="1B725326" w14:textId="61C3D420">
            <w:pPr>
              <w:keepNext/>
              <w:keepLines/>
              <w:tabs>
                <w:tab w:val="left" w:pos="6030"/>
              </w:tabs>
              <w:spacing w:line="276" w:lineRule="auto"/>
              <w:jc w:val="right"/>
              <w:rPr>
                <w:sz w:val="20"/>
                <w:szCs w:val="20"/>
              </w:rPr>
            </w:pPr>
            <w:r>
              <w:rPr>
                <w:sz w:val="20"/>
                <w:szCs w:val="20"/>
              </w:rPr>
              <w:t>n/a</w:t>
            </w:r>
          </w:p>
        </w:tc>
      </w:tr>
      <w:tr w14:paraId="3B546B42" w14:textId="77777777" w:rsidTr="00D26368">
        <w:tblPrEx>
          <w:tblW w:w="9445" w:type="dxa"/>
          <w:tblLook w:val="04A0"/>
        </w:tblPrEx>
        <w:tc>
          <w:tcPr>
            <w:tcW w:w="1251" w:type="dxa"/>
          </w:tcPr>
          <w:p w:rsidR="00DD286B" w:rsidRPr="00BB7053" w:rsidP="00AF3F09" w14:paraId="0E35C7AA" w14:textId="28E8DDCF">
            <w:pPr>
              <w:keepNext/>
              <w:keepLines/>
              <w:tabs>
                <w:tab w:val="left" w:pos="6030"/>
              </w:tabs>
              <w:spacing w:line="276" w:lineRule="auto"/>
              <w:rPr>
                <w:sz w:val="20"/>
                <w:szCs w:val="20"/>
              </w:rPr>
            </w:pPr>
            <w:r>
              <w:rPr>
                <w:sz w:val="20"/>
                <w:szCs w:val="20"/>
              </w:rPr>
              <w:t>Finaliz</w:t>
            </w:r>
            <w:r w:rsidR="00371D4F">
              <w:rPr>
                <w:sz w:val="20"/>
                <w:szCs w:val="20"/>
              </w:rPr>
              <w:t>ed</w:t>
            </w:r>
            <w:r w:rsidR="008B6075">
              <w:rPr>
                <w:sz w:val="20"/>
                <w:szCs w:val="20"/>
              </w:rPr>
              <w:t xml:space="preserve"> </w:t>
            </w:r>
            <w:r w:rsidRPr="00A67FD9" w:rsidR="00A67FD9">
              <w:rPr>
                <w:sz w:val="20"/>
                <w:szCs w:val="20"/>
              </w:rPr>
              <w:t xml:space="preserve">(See Table </w:t>
            </w:r>
            <w:r w:rsidR="00567278">
              <w:rPr>
                <w:sz w:val="20"/>
                <w:szCs w:val="20"/>
              </w:rPr>
              <w:t>5</w:t>
            </w:r>
            <w:r w:rsidRPr="00A67FD9" w:rsidR="00A67FD9">
              <w:rPr>
                <w:sz w:val="20"/>
                <w:szCs w:val="20"/>
              </w:rPr>
              <w:t>)</w:t>
            </w:r>
          </w:p>
        </w:tc>
        <w:tc>
          <w:tcPr>
            <w:tcW w:w="1306" w:type="dxa"/>
          </w:tcPr>
          <w:p w:rsidR="00DD286B" w:rsidRPr="00BB7053" w:rsidP="00AF3F09" w14:paraId="40398DBD" w14:textId="08921D67">
            <w:pPr>
              <w:keepNext/>
              <w:keepLines/>
              <w:tabs>
                <w:tab w:val="left" w:pos="6030"/>
              </w:tabs>
              <w:spacing w:line="276" w:lineRule="auto"/>
              <w:jc w:val="center"/>
              <w:rPr>
                <w:sz w:val="20"/>
                <w:szCs w:val="20"/>
              </w:rPr>
            </w:pPr>
            <w:r>
              <w:rPr>
                <w:sz w:val="20"/>
                <w:szCs w:val="20"/>
              </w:rPr>
              <w:t xml:space="preserve">                 4</w:t>
            </w:r>
            <w:r w:rsidR="000B2D36">
              <w:rPr>
                <w:sz w:val="20"/>
                <w:szCs w:val="20"/>
              </w:rPr>
              <w:t>4</w:t>
            </w:r>
          </w:p>
        </w:tc>
        <w:tc>
          <w:tcPr>
            <w:tcW w:w="1168" w:type="dxa"/>
          </w:tcPr>
          <w:p w:rsidR="00DD286B" w:rsidRPr="00BB7053" w:rsidP="00AF3F09" w14:paraId="7AFF6259" w14:textId="2CB01981">
            <w:pPr>
              <w:keepNext/>
              <w:keepLines/>
              <w:tabs>
                <w:tab w:val="left" w:pos="6030"/>
              </w:tabs>
              <w:spacing w:line="276" w:lineRule="auto"/>
              <w:jc w:val="right"/>
              <w:rPr>
                <w:sz w:val="20"/>
                <w:szCs w:val="20"/>
              </w:rPr>
            </w:pPr>
            <w:r>
              <w:rPr>
                <w:sz w:val="20"/>
                <w:szCs w:val="20"/>
              </w:rPr>
              <w:t>1</w:t>
            </w:r>
          </w:p>
        </w:tc>
        <w:tc>
          <w:tcPr>
            <w:tcW w:w="1094" w:type="dxa"/>
          </w:tcPr>
          <w:p w:rsidR="00DD286B" w:rsidRPr="00BB7053" w:rsidP="00AF3F09" w14:paraId="326CF69B" w14:textId="687EABAB">
            <w:pPr>
              <w:keepNext/>
              <w:keepLines/>
              <w:tabs>
                <w:tab w:val="left" w:pos="6030"/>
              </w:tabs>
              <w:spacing w:line="276" w:lineRule="auto"/>
              <w:jc w:val="right"/>
              <w:rPr>
                <w:sz w:val="20"/>
                <w:szCs w:val="20"/>
              </w:rPr>
            </w:pPr>
            <w:r>
              <w:rPr>
                <w:sz w:val="20"/>
                <w:szCs w:val="20"/>
              </w:rPr>
              <w:t>4</w:t>
            </w:r>
            <w:r w:rsidR="000B2D36">
              <w:rPr>
                <w:sz w:val="20"/>
                <w:szCs w:val="20"/>
              </w:rPr>
              <w:t>4</w:t>
            </w:r>
          </w:p>
        </w:tc>
        <w:tc>
          <w:tcPr>
            <w:tcW w:w="1077" w:type="dxa"/>
          </w:tcPr>
          <w:p w:rsidR="00DD286B" w:rsidRPr="00BB7053" w:rsidP="00AF3F09" w14:paraId="193D5EF8" w14:textId="54395700">
            <w:pPr>
              <w:keepNext/>
              <w:keepLines/>
              <w:tabs>
                <w:tab w:val="left" w:pos="6030"/>
              </w:tabs>
              <w:spacing w:line="276" w:lineRule="auto"/>
              <w:jc w:val="right"/>
              <w:rPr>
                <w:sz w:val="20"/>
                <w:szCs w:val="20"/>
              </w:rPr>
            </w:pPr>
            <w:r>
              <w:rPr>
                <w:sz w:val="20"/>
                <w:szCs w:val="20"/>
              </w:rPr>
              <w:t>9.5</w:t>
            </w:r>
          </w:p>
        </w:tc>
        <w:tc>
          <w:tcPr>
            <w:tcW w:w="1071" w:type="dxa"/>
          </w:tcPr>
          <w:p w:rsidR="00DD286B" w:rsidRPr="00BB7053" w:rsidP="00AF3F09" w14:paraId="62710E95" w14:textId="36CB8E77">
            <w:pPr>
              <w:keepNext/>
              <w:keepLines/>
              <w:tabs>
                <w:tab w:val="left" w:pos="6030"/>
              </w:tabs>
              <w:spacing w:line="276" w:lineRule="auto"/>
              <w:jc w:val="right"/>
              <w:rPr>
                <w:sz w:val="20"/>
                <w:szCs w:val="20"/>
              </w:rPr>
            </w:pPr>
            <w:r>
              <w:rPr>
                <w:sz w:val="20"/>
                <w:szCs w:val="20"/>
              </w:rPr>
              <w:t>418</w:t>
            </w:r>
          </w:p>
        </w:tc>
        <w:tc>
          <w:tcPr>
            <w:tcW w:w="1068" w:type="dxa"/>
          </w:tcPr>
          <w:p w:rsidR="00DD286B" w:rsidRPr="00BB7053" w:rsidP="00AF3F09" w14:paraId="264956B4" w14:textId="3C575B97">
            <w:pPr>
              <w:keepNext/>
              <w:keepLines/>
              <w:tabs>
                <w:tab w:val="left" w:pos="6030"/>
              </w:tabs>
              <w:spacing w:line="276" w:lineRule="auto"/>
              <w:jc w:val="right"/>
              <w:rPr>
                <w:sz w:val="20"/>
                <w:szCs w:val="20"/>
              </w:rPr>
            </w:pPr>
            <w:r>
              <w:rPr>
                <w:sz w:val="20"/>
                <w:szCs w:val="20"/>
              </w:rPr>
              <w:t>103.40</w:t>
            </w:r>
          </w:p>
        </w:tc>
        <w:tc>
          <w:tcPr>
            <w:tcW w:w="1410" w:type="dxa"/>
          </w:tcPr>
          <w:p w:rsidR="00DD286B" w:rsidRPr="00BB7053" w:rsidP="00AF3F09" w14:paraId="668FF26F" w14:textId="3A25418C">
            <w:pPr>
              <w:keepNext/>
              <w:keepLines/>
              <w:tabs>
                <w:tab w:val="left" w:pos="6030"/>
              </w:tabs>
              <w:spacing w:line="276" w:lineRule="auto"/>
              <w:jc w:val="right"/>
              <w:rPr>
                <w:sz w:val="20"/>
                <w:szCs w:val="20"/>
              </w:rPr>
            </w:pPr>
            <w:r>
              <w:rPr>
                <w:sz w:val="20"/>
                <w:szCs w:val="20"/>
              </w:rPr>
              <w:t>43,221</w:t>
            </w:r>
          </w:p>
        </w:tc>
      </w:tr>
      <w:tr w14:paraId="2D4E4EE2" w14:textId="77777777" w:rsidTr="00D26368">
        <w:tblPrEx>
          <w:tblW w:w="9445" w:type="dxa"/>
          <w:tblLook w:val="04A0"/>
        </w:tblPrEx>
        <w:tc>
          <w:tcPr>
            <w:tcW w:w="1251" w:type="dxa"/>
            <w:shd w:val="clear" w:color="auto" w:fill="D9D9D9" w:themeFill="background1" w:themeFillShade="D9"/>
          </w:tcPr>
          <w:p w:rsidR="00DD286B" w:rsidRPr="00BB7053" w:rsidP="00AF3F09" w14:paraId="30A3A223" w14:textId="77777777">
            <w:pPr>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DD286B" w:rsidRPr="00BB7053" w:rsidP="00AF3F09" w14:paraId="108FE66B" w14:textId="42507B4A">
            <w:pPr>
              <w:keepLines/>
              <w:tabs>
                <w:tab w:val="left" w:pos="6030"/>
              </w:tabs>
              <w:spacing w:line="276" w:lineRule="auto"/>
              <w:jc w:val="right"/>
              <w:rPr>
                <w:sz w:val="20"/>
                <w:szCs w:val="20"/>
              </w:rPr>
            </w:pPr>
            <w:r>
              <w:rPr>
                <w:sz w:val="20"/>
                <w:szCs w:val="20"/>
              </w:rPr>
              <w:t>+4</w:t>
            </w:r>
            <w:r w:rsidR="000B2D36">
              <w:rPr>
                <w:sz w:val="20"/>
                <w:szCs w:val="20"/>
              </w:rPr>
              <w:t>4</w:t>
            </w:r>
          </w:p>
        </w:tc>
        <w:tc>
          <w:tcPr>
            <w:tcW w:w="1168" w:type="dxa"/>
            <w:shd w:val="clear" w:color="auto" w:fill="D9D9D9" w:themeFill="background1" w:themeFillShade="D9"/>
          </w:tcPr>
          <w:p w:rsidR="00DD286B" w:rsidRPr="00BB7053" w:rsidP="00AF3F09" w14:paraId="7B875835" w14:textId="59030714">
            <w:pPr>
              <w:keepLines/>
              <w:tabs>
                <w:tab w:val="left" w:pos="6030"/>
              </w:tabs>
              <w:spacing w:line="276" w:lineRule="auto"/>
              <w:jc w:val="right"/>
              <w:rPr>
                <w:sz w:val="20"/>
                <w:szCs w:val="20"/>
              </w:rPr>
            </w:pPr>
            <w:r>
              <w:rPr>
                <w:sz w:val="20"/>
                <w:szCs w:val="20"/>
              </w:rPr>
              <w:t>n/a</w:t>
            </w:r>
          </w:p>
        </w:tc>
        <w:tc>
          <w:tcPr>
            <w:tcW w:w="1094" w:type="dxa"/>
            <w:shd w:val="clear" w:color="auto" w:fill="D9D9D9" w:themeFill="background1" w:themeFillShade="D9"/>
          </w:tcPr>
          <w:p w:rsidR="00DD286B" w:rsidRPr="00BB7053" w:rsidP="00AF3F09" w14:paraId="124FD215" w14:textId="2496A126">
            <w:pPr>
              <w:keepLines/>
              <w:tabs>
                <w:tab w:val="left" w:pos="6030"/>
              </w:tabs>
              <w:spacing w:line="276" w:lineRule="auto"/>
              <w:jc w:val="right"/>
              <w:rPr>
                <w:sz w:val="20"/>
                <w:szCs w:val="20"/>
              </w:rPr>
            </w:pPr>
            <w:r>
              <w:rPr>
                <w:sz w:val="20"/>
                <w:szCs w:val="20"/>
              </w:rPr>
              <w:t>+4</w:t>
            </w:r>
            <w:r w:rsidR="000B2D36">
              <w:rPr>
                <w:sz w:val="20"/>
                <w:szCs w:val="20"/>
              </w:rPr>
              <w:t>4</w:t>
            </w:r>
          </w:p>
        </w:tc>
        <w:tc>
          <w:tcPr>
            <w:tcW w:w="1077" w:type="dxa"/>
            <w:shd w:val="clear" w:color="auto" w:fill="D9D9D9" w:themeFill="background1" w:themeFillShade="D9"/>
          </w:tcPr>
          <w:p w:rsidR="00DD286B" w:rsidRPr="00BB7053" w:rsidP="00AF3F09" w14:paraId="1B3B279A" w14:textId="41B0EB6C">
            <w:pPr>
              <w:keepLines/>
              <w:tabs>
                <w:tab w:val="left" w:pos="6030"/>
              </w:tabs>
              <w:spacing w:line="276" w:lineRule="auto"/>
              <w:jc w:val="right"/>
              <w:rPr>
                <w:sz w:val="20"/>
                <w:szCs w:val="20"/>
              </w:rPr>
            </w:pPr>
            <w:r>
              <w:rPr>
                <w:sz w:val="20"/>
                <w:szCs w:val="20"/>
              </w:rPr>
              <w:t>9.5</w:t>
            </w:r>
          </w:p>
        </w:tc>
        <w:tc>
          <w:tcPr>
            <w:tcW w:w="1071" w:type="dxa"/>
            <w:shd w:val="clear" w:color="auto" w:fill="D9D9D9" w:themeFill="background1" w:themeFillShade="D9"/>
          </w:tcPr>
          <w:p w:rsidR="00DD286B" w:rsidRPr="00BB7053" w:rsidP="00AF3F09" w14:paraId="476B0CB9" w14:textId="3B44660D">
            <w:pPr>
              <w:keepLines/>
              <w:tabs>
                <w:tab w:val="left" w:pos="6030"/>
              </w:tabs>
              <w:spacing w:line="276" w:lineRule="auto"/>
              <w:jc w:val="right"/>
              <w:rPr>
                <w:sz w:val="20"/>
                <w:szCs w:val="20"/>
              </w:rPr>
            </w:pPr>
            <w:r>
              <w:rPr>
                <w:sz w:val="20"/>
                <w:szCs w:val="20"/>
              </w:rPr>
              <w:t>+</w:t>
            </w:r>
            <w:r w:rsidR="00E92150">
              <w:rPr>
                <w:sz w:val="20"/>
                <w:szCs w:val="20"/>
              </w:rPr>
              <w:t>418</w:t>
            </w:r>
          </w:p>
        </w:tc>
        <w:tc>
          <w:tcPr>
            <w:tcW w:w="1068" w:type="dxa"/>
            <w:shd w:val="clear" w:color="auto" w:fill="D9D9D9" w:themeFill="background1" w:themeFillShade="D9"/>
          </w:tcPr>
          <w:p w:rsidR="00DD286B" w:rsidRPr="00BB7053" w:rsidP="00AF3F09" w14:paraId="70D3DD83" w14:textId="2827587D">
            <w:pPr>
              <w:keepLines/>
              <w:tabs>
                <w:tab w:val="left" w:pos="6030"/>
              </w:tabs>
              <w:spacing w:line="276" w:lineRule="auto"/>
              <w:jc w:val="right"/>
              <w:rPr>
                <w:sz w:val="20"/>
                <w:szCs w:val="20"/>
              </w:rPr>
            </w:pPr>
            <w:r>
              <w:rPr>
                <w:sz w:val="20"/>
                <w:szCs w:val="20"/>
              </w:rPr>
              <w:t>n/a</w:t>
            </w:r>
          </w:p>
        </w:tc>
        <w:tc>
          <w:tcPr>
            <w:tcW w:w="1410" w:type="dxa"/>
            <w:shd w:val="clear" w:color="auto" w:fill="D9D9D9" w:themeFill="background1" w:themeFillShade="D9"/>
          </w:tcPr>
          <w:p w:rsidR="00DD286B" w:rsidRPr="00BB7053" w:rsidP="00AF3F09" w14:paraId="0AE5CF4C" w14:textId="4A0BD611">
            <w:pPr>
              <w:keepLines/>
              <w:tabs>
                <w:tab w:val="left" w:pos="6030"/>
              </w:tabs>
              <w:spacing w:line="276" w:lineRule="auto"/>
              <w:jc w:val="right"/>
              <w:rPr>
                <w:sz w:val="20"/>
                <w:szCs w:val="20"/>
              </w:rPr>
            </w:pPr>
            <w:r>
              <w:rPr>
                <w:sz w:val="20"/>
                <w:szCs w:val="20"/>
              </w:rPr>
              <w:t>+</w:t>
            </w:r>
            <w:r w:rsidR="00E14BFD">
              <w:rPr>
                <w:sz w:val="20"/>
                <w:szCs w:val="20"/>
              </w:rPr>
              <w:t>43,221</w:t>
            </w:r>
          </w:p>
        </w:tc>
      </w:tr>
    </w:tbl>
    <w:bookmarkEnd w:id="21"/>
    <w:p w:rsidR="00567278" w:rsidP="00AF3F09" w14:paraId="2128EFE9" w14:textId="6F7BC46C">
      <w:pPr>
        <w:keepLines/>
        <w:spacing w:before="200"/>
        <w:jc w:val="center"/>
        <w:rPr>
          <w:rFonts w:eastAsia="Calibri"/>
          <w:b/>
          <w:bCs/>
        </w:rPr>
      </w:pPr>
      <w:r w:rsidRPr="00B30713">
        <w:rPr>
          <w:rFonts w:eastAsia="Calibri"/>
          <w:b/>
          <w:bCs/>
        </w:rPr>
        <w:t xml:space="preserve">TABLE </w:t>
      </w:r>
      <w:r>
        <w:rPr>
          <w:rFonts w:eastAsia="Calibri"/>
          <w:b/>
          <w:bCs/>
        </w:rPr>
        <w:t>3</w:t>
      </w:r>
      <w:r w:rsidR="00B10518">
        <w:rPr>
          <w:rFonts w:eastAsia="Calibri"/>
          <w:b/>
          <w:bCs/>
        </w:rPr>
        <w:t>1</w:t>
      </w:r>
      <w:r>
        <w:rPr>
          <w:rFonts w:eastAsia="Calibri"/>
          <w:b/>
          <w:bCs/>
        </w:rPr>
        <w:t>D</w:t>
      </w:r>
      <w:r w:rsidRPr="00B30713">
        <w:rPr>
          <w:rFonts w:eastAsia="Calibri"/>
          <w:b/>
          <w:bCs/>
        </w:rPr>
        <w:t xml:space="preserve">: </w:t>
      </w:r>
      <w:r w:rsidRPr="00B30713">
        <w:rPr>
          <w:rFonts w:eastAsia="Calibri"/>
          <w:b/>
          <w:bCs/>
        </w:rPr>
        <w:t xml:space="preserve">Burden Reconciliation for </w:t>
      </w:r>
      <w:r w:rsidR="000178CD">
        <w:rPr>
          <w:rFonts w:eastAsia="Calibri"/>
          <w:b/>
          <w:bCs/>
        </w:rPr>
        <w:t xml:space="preserve">Full </w:t>
      </w:r>
      <w:r w:rsidRPr="00AD1106">
        <w:rPr>
          <w:rFonts w:eastAsia="Calibri"/>
          <w:b/>
          <w:bCs/>
        </w:rPr>
        <w:t>QCDR</w:t>
      </w:r>
      <w:r w:rsidR="000178CD">
        <w:rPr>
          <w:rFonts w:eastAsia="Calibri"/>
          <w:b/>
          <w:bCs/>
        </w:rPr>
        <w:t xml:space="preserve"> </w:t>
      </w:r>
      <w:r w:rsidRPr="00AD1106">
        <w:rPr>
          <w:rFonts w:eastAsia="Calibri"/>
          <w:b/>
          <w:bCs/>
        </w:rPr>
        <w:t xml:space="preserve">Self-Nomination and </w:t>
      </w:r>
      <w:r>
        <w:rPr>
          <w:rFonts w:eastAsia="Calibri"/>
          <w:b/>
          <w:bCs/>
        </w:rPr>
        <w:t xml:space="preserve">QCDR </w:t>
      </w:r>
      <w:r>
        <w:rPr>
          <w:rFonts w:eastAsia="Calibri"/>
          <w:b/>
          <w:bCs/>
        </w:rPr>
        <w:br/>
        <w:t>Measure Submission</w:t>
      </w:r>
    </w:p>
    <w:tbl>
      <w:tblPr>
        <w:tblStyle w:val="TableGrid"/>
        <w:tblW w:w="9445" w:type="dxa"/>
        <w:tblLook w:val="04A0"/>
      </w:tblPr>
      <w:tblGrid>
        <w:gridCol w:w="1251"/>
        <w:gridCol w:w="1306"/>
        <w:gridCol w:w="1168"/>
        <w:gridCol w:w="1094"/>
        <w:gridCol w:w="1077"/>
        <w:gridCol w:w="1071"/>
        <w:gridCol w:w="1128"/>
        <w:gridCol w:w="1350"/>
      </w:tblGrid>
      <w:tr w14:paraId="483A2507" w14:textId="77777777" w:rsidTr="003D29BA">
        <w:tblPrEx>
          <w:tblW w:w="9445" w:type="dxa"/>
          <w:tblLook w:val="04A0"/>
        </w:tblPrEx>
        <w:trPr>
          <w:tblHeader/>
        </w:trPr>
        <w:tc>
          <w:tcPr>
            <w:tcW w:w="1251" w:type="dxa"/>
          </w:tcPr>
          <w:p w:rsidR="00567278" w:rsidRPr="00DF4016" w:rsidP="00AF3F09" w14:paraId="44BE0E40" w14:textId="77777777">
            <w:pPr>
              <w:keepLines/>
              <w:tabs>
                <w:tab w:val="left" w:pos="6030"/>
              </w:tabs>
              <w:spacing w:line="276" w:lineRule="auto"/>
              <w:jc w:val="both"/>
              <w:rPr>
                <w:b/>
                <w:bCs/>
                <w:sz w:val="20"/>
                <w:szCs w:val="20"/>
              </w:rPr>
            </w:pPr>
            <w:r w:rsidRPr="00DF4016">
              <w:rPr>
                <w:b/>
                <w:bCs/>
                <w:sz w:val="20"/>
                <w:szCs w:val="20"/>
              </w:rPr>
              <w:t>Burden Category</w:t>
            </w:r>
          </w:p>
        </w:tc>
        <w:tc>
          <w:tcPr>
            <w:tcW w:w="1306" w:type="dxa"/>
          </w:tcPr>
          <w:p w:rsidR="00567278" w:rsidRPr="00DF4016" w:rsidP="00AF3F09" w14:paraId="4A358A29" w14:textId="77777777">
            <w:pPr>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00567278" w:rsidRPr="00DF4016" w:rsidP="00AF3F09" w14:paraId="030229BB" w14:textId="77777777">
            <w:pPr>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00567278" w:rsidRPr="00DF4016" w:rsidP="00AF3F09" w14:paraId="05078E74" w14:textId="77777777">
            <w:pPr>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00567278" w:rsidRPr="00DF4016" w:rsidP="00AF3F09" w14:paraId="0DF0AF5E" w14:textId="77777777">
            <w:pPr>
              <w:keepLines/>
              <w:tabs>
                <w:tab w:val="left" w:pos="6030"/>
              </w:tabs>
              <w:spacing w:line="276" w:lineRule="auto"/>
              <w:rPr>
                <w:b/>
                <w:bCs/>
                <w:sz w:val="20"/>
                <w:szCs w:val="20"/>
              </w:rPr>
            </w:pPr>
            <w:r w:rsidRPr="00DF4016">
              <w:rPr>
                <w:b/>
                <w:bCs/>
                <w:sz w:val="20"/>
                <w:szCs w:val="20"/>
              </w:rPr>
              <w:t>Time Per Response (hr)</w:t>
            </w:r>
          </w:p>
        </w:tc>
        <w:tc>
          <w:tcPr>
            <w:tcW w:w="1071" w:type="dxa"/>
          </w:tcPr>
          <w:p w:rsidR="00567278" w:rsidRPr="00DF4016" w:rsidP="00AF3F09" w14:paraId="65846E9A" w14:textId="77777777">
            <w:pPr>
              <w:keepLines/>
              <w:tabs>
                <w:tab w:val="left" w:pos="6030"/>
              </w:tabs>
              <w:spacing w:line="276" w:lineRule="auto"/>
              <w:jc w:val="both"/>
              <w:rPr>
                <w:b/>
                <w:bCs/>
                <w:sz w:val="20"/>
                <w:szCs w:val="20"/>
              </w:rPr>
            </w:pPr>
            <w:r w:rsidRPr="00DF4016">
              <w:rPr>
                <w:b/>
                <w:bCs/>
                <w:sz w:val="20"/>
                <w:szCs w:val="20"/>
              </w:rPr>
              <w:t>Total Annual Time (hr)</w:t>
            </w:r>
          </w:p>
        </w:tc>
        <w:tc>
          <w:tcPr>
            <w:tcW w:w="1128" w:type="dxa"/>
          </w:tcPr>
          <w:p w:rsidR="00567278" w:rsidRPr="00DF4016" w:rsidP="00AF3F09" w14:paraId="2493EAC6" w14:textId="77777777">
            <w:pPr>
              <w:keepLines/>
              <w:tabs>
                <w:tab w:val="left" w:pos="6030"/>
              </w:tabs>
              <w:spacing w:line="276" w:lineRule="auto"/>
              <w:jc w:val="both"/>
              <w:rPr>
                <w:b/>
                <w:bCs/>
                <w:sz w:val="20"/>
                <w:szCs w:val="20"/>
              </w:rPr>
            </w:pPr>
            <w:r w:rsidRPr="00DF4016">
              <w:rPr>
                <w:b/>
                <w:bCs/>
                <w:sz w:val="20"/>
                <w:szCs w:val="20"/>
              </w:rPr>
              <w:t>Labor Cost ($/hr)</w:t>
            </w:r>
          </w:p>
        </w:tc>
        <w:tc>
          <w:tcPr>
            <w:tcW w:w="1350" w:type="dxa"/>
          </w:tcPr>
          <w:p w:rsidR="00567278" w:rsidRPr="00DF4016" w:rsidP="00AF3F09" w14:paraId="59A2739D" w14:textId="77777777">
            <w:pPr>
              <w:keepLines/>
              <w:tabs>
                <w:tab w:val="left" w:pos="6030"/>
              </w:tabs>
              <w:spacing w:line="276" w:lineRule="auto"/>
              <w:rPr>
                <w:b/>
                <w:bCs/>
                <w:sz w:val="20"/>
                <w:szCs w:val="20"/>
              </w:rPr>
            </w:pPr>
            <w:r w:rsidRPr="00DF4016">
              <w:rPr>
                <w:b/>
                <w:bCs/>
                <w:sz w:val="20"/>
                <w:szCs w:val="20"/>
              </w:rPr>
              <w:t>Total Annual Cost ($)</w:t>
            </w:r>
          </w:p>
        </w:tc>
      </w:tr>
      <w:tr w14:paraId="2491836B" w14:textId="77777777" w:rsidTr="003D29BA">
        <w:tblPrEx>
          <w:tblW w:w="9445" w:type="dxa"/>
          <w:tblLook w:val="04A0"/>
        </w:tblPrEx>
        <w:tc>
          <w:tcPr>
            <w:tcW w:w="1251" w:type="dxa"/>
          </w:tcPr>
          <w:p w:rsidR="00567278" w:rsidRPr="00BB7053" w:rsidP="00AF3F09" w14:paraId="79AB52F5" w14:textId="77777777">
            <w:pPr>
              <w:keepLines/>
              <w:tabs>
                <w:tab w:val="left" w:pos="6030"/>
              </w:tabs>
              <w:spacing w:line="276" w:lineRule="auto"/>
              <w:jc w:val="both"/>
              <w:rPr>
                <w:sz w:val="20"/>
                <w:szCs w:val="20"/>
              </w:rPr>
            </w:pPr>
            <w:r>
              <w:rPr>
                <w:sz w:val="20"/>
                <w:szCs w:val="20"/>
              </w:rPr>
              <w:t xml:space="preserve">Currently Approved </w:t>
            </w:r>
          </w:p>
        </w:tc>
        <w:tc>
          <w:tcPr>
            <w:tcW w:w="1306" w:type="dxa"/>
          </w:tcPr>
          <w:p w:rsidR="00567278" w:rsidRPr="00BB7053" w:rsidP="00AF3F09" w14:paraId="3C9A83E7" w14:textId="423491EF">
            <w:pPr>
              <w:keepLines/>
              <w:tabs>
                <w:tab w:val="left" w:pos="6030"/>
              </w:tabs>
              <w:spacing w:line="276" w:lineRule="auto"/>
              <w:jc w:val="right"/>
              <w:rPr>
                <w:sz w:val="20"/>
                <w:szCs w:val="20"/>
              </w:rPr>
            </w:pPr>
            <w:r>
              <w:rPr>
                <w:sz w:val="20"/>
                <w:szCs w:val="20"/>
              </w:rPr>
              <w:t>63</w:t>
            </w:r>
          </w:p>
        </w:tc>
        <w:tc>
          <w:tcPr>
            <w:tcW w:w="1168" w:type="dxa"/>
          </w:tcPr>
          <w:p w:rsidR="00567278" w:rsidRPr="00BB7053" w:rsidP="00AF3F09" w14:paraId="0EC31B59" w14:textId="77777777">
            <w:pPr>
              <w:keepLines/>
              <w:tabs>
                <w:tab w:val="left" w:pos="6030"/>
              </w:tabs>
              <w:spacing w:line="276" w:lineRule="auto"/>
              <w:jc w:val="right"/>
              <w:rPr>
                <w:sz w:val="20"/>
                <w:szCs w:val="20"/>
              </w:rPr>
            </w:pPr>
            <w:r>
              <w:rPr>
                <w:sz w:val="20"/>
                <w:szCs w:val="20"/>
              </w:rPr>
              <w:t>1</w:t>
            </w:r>
          </w:p>
        </w:tc>
        <w:tc>
          <w:tcPr>
            <w:tcW w:w="1094" w:type="dxa"/>
          </w:tcPr>
          <w:p w:rsidR="00567278" w:rsidRPr="00BB7053" w:rsidP="00AF3F09" w14:paraId="6DFCE46B" w14:textId="2A87BEBC">
            <w:pPr>
              <w:keepLines/>
              <w:tabs>
                <w:tab w:val="left" w:pos="6030"/>
              </w:tabs>
              <w:spacing w:line="276" w:lineRule="auto"/>
              <w:jc w:val="right"/>
              <w:rPr>
                <w:sz w:val="20"/>
                <w:szCs w:val="20"/>
              </w:rPr>
            </w:pPr>
            <w:r>
              <w:rPr>
                <w:sz w:val="20"/>
                <w:szCs w:val="20"/>
              </w:rPr>
              <w:t>63</w:t>
            </w:r>
          </w:p>
        </w:tc>
        <w:tc>
          <w:tcPr>
            <w:tcW w:w="1077" w:type="dxa"/>
          </w:tcPr>
          <w:p w:rsidR="00567278" w:rsidRPr="00BB7053" w:rsidP="00AF3F09" w14:paraId="19D3DAD4" w14:textId="6D97A8BF">
            <w:pPr>
              <w:keepLines/>
              <w:tabs>
                <w:tab w:val="left" w:pos="6030"/>
              </w:tabs>
              <w:spacing w:line="276" w:lineRule="auto"/>
              <w:jc w:val="right"/>
              <w:rPr>
                <w:sz w:val="20"/>
                <w:szCs w:val="20"/>
              </w:rPr>
            </w:pPr>
            <w:r>
              <w:rPr>
                <w:sz w:val="20"/>
                <w:szCs w:val="20"/>
              </w:rPr>
              <w:t>10.1</w:t>
            </w:r>
          </w:p>
        </w:tc>
        <w:tc>
          <w:tcPr>
            <w:tcW w:w="1071" w:type="dxa"/>
          </w:tcPr>
          <w:p w:rsidR="00567278" w:rsidRPr="00BB7053" w:rsidP="00AF3F09" w14:paraId="6F7EB787" w14:textId="4A882037">
            <w:pPr>
              <w:keepLines/>
              <w:tabs>
                <w:tab w:val="left" w:pos="6030"/>
              </w:tabs>
              <w:spacing w:line="276" w:lineRule="auto"/>
              <w:jc w:val="right"/>
              <w:rPr>
                <w:sz w:val="20"/>
                <w:szCs w:val="20"/>
              </w:rPr>
            </w:pPr>
            <w:r>
              <w:rPr>
                <w:sz w:val="20"/>
                <w:szCs w:val="20"/>
              </w:rPr>
              <w:t>636</w:t>
            </w:r>
          </w:p>
        </w:tc>
        <w:tc>
          <w:tcPr>
            <w:tcW w:w="1128" w:type="dxa"/>
          </w:tcPr>
          <w:p w:rsidR="00567278" w:rsidRPr="00BB7053" w:rsidP="00AF3F09" w14:paraId="6B539EF1" w14:textId="271AE297">
            <w:pPr>
              <w:keepLines/>
              <w:tabs>
                <w:tab w:val="left" w:pos="6030"/>
              </w:tabs>
              <w:spacing w:line="276" w:lineRule="auto"/>
              <w:jc w:val="right"/>
              <w:rPr>
                <w:sz w:val="20"/>
                <w:szCs w:val="20"/>
              </w:rPr>
            </w:pPr>
            <w:r>
              <w:rPr>
                <w:sz w:val="20"/>
                <w:szCs w:val="20"/>
              </w:rPr>
              <w:t>103.40</w:t>
            </w:r>
          </w:p>
        </w:tc>
        <w:tc>
          <w:tcPr>
            <w:tcW w:w="1350" w:type="dxa"/>
          </w:tcPr>
          <w:p w:rsidR="00567278" w:rsidRPr="00BB7053" w:rsidP="00AF3F09" w14:paraId="020568C8" w14:textId="0CE26170">
            <w:pPr>
              <w:keepLines/>
              <w:tabs>
                <w:tab w:val="left" w:pos="6030"/>
              </w:tabs>
              <w:spacing w:line="276" w:lineRule="auto"/>
              <w:jc w:val="right"/>
              <w:rPr>
                <w:sz w:val="20"/>
                <w:szCs w:val="20"/>
              </w:rPr>
            </w:pPr>
            <w:r>
              <w:rPr>
                <w:sz w:val="20"/>
                <w:szCs w:val="20"/>
              </w:rPr>
              <w:t>65,793</w:t>
            </w:r>
          </w:p>
        </w:tc>
      </w:tr>
      <w:tr w14:paraId="260189A8" w14:textId="77777777" w:rsidTr="003D29BA">
        <w:tblPrEx>
          <w:tblW w:w="9445" w:type="dxa"/>
          <w:tblLook w:val="04A0"/>
        </w:tblPrEx>
        <w:tc>
          <w:tcPr>
            <w:tcW w:w="1251" w:type="dxa"/>
          </w:tcPr>
          <w:p w:rsidR="00567278" w:rsidRPr="00BB7053" w:rsidP="00AF3F09" w14:paraId="7D6B73A4" w14:textId="189527B9">
            <w:pPr>
              <w:keepLines/>
              <w:tabs>
                <w:tab w:val="left" w:pos="6030"/>
              </w:tabs>
              <w:spacing w:line="276" w:lineRule="auto"/>
              <w:rPr>
                <w:sz w:val="20"/>
                <w:szCs w:val="20"/>
              </w:rPr>
            </w:pPr>
            <w:r>
              <w:rPr>
                <w:sz w:val="20"/>
                <w:szCs w:val="20"/>
              </w:rPr>
              <w:t>Finaliz</w:t>
            </w:r>
            <w:r>
              <w:rPr>
                <w:sz w:val="20"/>
                <w:szCs w:val="20"/>
              </w:rPr>
              <w:t xml:space="preserve">ed </w:t>
            </w:r>
            <w:r w:rsidRPr="00A67FD9">
              <w:rPr>
                <w:sz w:val="20"/>
                <w:szCs w:val="20"/>
              </w:rPr>
              <w:t xml:space="preserve">(See Table </w:t>
            </w:r>
            <w:r>
              <w:rPr>
                <w:sz w:val="20"/>
                <w:szCs w:val="20"/>
              </w:rPr>
              <w:t>6</w:t>
            </w:r>
            <w:r w:rsidRPr="00A67FD9">
              <w:rPr>
                <w:sz w:val="20"/>
                <w:szCs w:val="20"/>
              </w:rPr>
              <w:t>)</w:t>
            </w:r>
          </w:p>
        </w:tc>
        <w:tc>
          <w:tcPr>
            <w:tcW w:w="1306" w:type="dxa"/>
          </w:tcPr>
          <w:p w:rsidR="00567278" w:rsidRPr="00BB7053" w:rsidP="00AF3F09" w14:paraId="1E404E45" w14:textId="2D21A6AB">
            <w:pPr>
              <w:keepLines/>
              <w:tabs>
                <w:tab w:val="left" w:pos="6030"/>
              </w:tabs>
              <w:spacing w:line="276" w:lineRule="auto"/>
              <w:jc w:val="center"/>
              <w:rPr>
                <w:sz w:val="20"/>
                <w:szCs w:val="20"/>
              </w:rPr>
            </w:pPr>
            <w:r>
              <w:rPr>
                <w:sz w:val="20"/>
                <w:szCs w:val="20"/>
              </w:rPr>
              <w:t xml:space="preserve">                 1</w:t>
            </w:r>
            <w:r w:rsidR="00DD259E">
              <w:rPr>
                <w:sz w:val="20"/>
                <w:szCs w:val="20"/>
              </w:rPr>
              <w:t>2</w:t>
            </w:r>
          </w:p>
        </w:tc>
        <w:tc>
          <w:tcPr>
            <w:tcW w:w="1168" w:type="dxa"/>
          </w:tcPr>
          <w:p w:rsidR="00567278" w:rsidRPr="00BB7053" w:rsidP="00AF3F09" w14:paraId="240771ED" w14:textId="77777777">
            <w:pPr>
              <w:keepLines/>
              <w:tabs>
                <w:tab w:val="left" w:pos="6030"/>
              </w:tabs>
              <w:spacing w:line="276" w:lineRule="auto"/>
              <w:jc w:val="right"/>
              <w:rPr>
                <w:sz w:val="20"/>
                <w:szCs w:val="20"/>
              </w:rPr>
            </w:pPr>
            <w:r>
              <w:rPr>
                <w:sz w:val="20"/>
                <w:szCs w:val="20"/>
              </w:rPr>
              <w:t>1</w:t>
            </w:r>
          </w:p>
        </w:tc>
        <w:tc>
          <w:tcPr>
            <w:tcW w:w="1094" w:type="dxa"/>
          </w:tcPr>
          <w:p w:rsidR="00567278" w:rsidRPr="00BB7053" w:rsidP="00AF3F09" w14:paraId="4CAA682A" w14:textId="7F03CC61">
            <w:pPr>
              <w:keepLines/>
              <w:tabs>
                <w:tab w:val="left" w:pos="6030"/>
              </w:tabs>
              <w:spacing w:line="276" w:lineRule="auto"/>
              <w:jc w:val="right"/>
              <w:rPr>
                <w:sz w:val="20"/>
                <w:szCs w:val="20"/>
              </w:rPr>
            </w:pPr>
            <w:r>
              <w:rPr>
                <w:sz w:val="20"/>
                <w:szCs w:val="20"/>
              </w:rPr>
              <w:t>1</w:t>
            </w:r>
            <w:r w:rsidR="00DD259E">
              <w:rPr>
                <w:sz w:val="20"/>
                <w:szCs w:val="20"/>
              </w:rPr>
              <w:t>2</w:t>
            </w:r>
          </w:p>
        </w:tc>
        <w:tc>
          <w:tcPr>
            <w:tcW w:w="1077" w:type="dxa"/>
          </w:tcPr>
          <w:p w:rsidR="00567278" w:rsidRPr="00BB7053" w:rsidP="00AF3F09" w14:paraId="406AEFA5" w14:textId="4FC49268">
            <w:pPr>
              <w:keepLines/>
              <w:tabs>
                <w:tab w:val="left" w:pos="6030"/>
              </w:tabs>
              <w:spacing w:line="276" w:lineRule="auto"/>
              <w:jc w:val="right"/>
              <w:rPr>
                <w:sz w:val="20"/>
                <w:szCs w:val="20"/>
              </w:rPr>
            </w:pPr>
            <w:r>
              <w:rPr>
                <w:sz w:val="20"/>
                <w:szCs w:val="20"/>
              </w:rPr>
              <w:t>1</w:t>
            </w:r>
            <w:r w:rsidR="00DD259E">
              <w:rPr>
                <w:sz w:val="20"/>
                <w:szCs w:val="20"/>
              </w:rPr>
              <w:t>1.5</w:t>
            </w:r>
          </w:p>
        </w:tc>
        <w:tc>
          <w:tcPr>
            <w:tcW w:w="1071" w:type="dxa"/>
          </w:tcPr>
          <w:p w:rsidR="00567278" w:rsidRPr="00BB7053" w:rsidP="00AF3F09" w14:paraId="6178655B" w14:textId="56F69532">
            <w:pPr>
              <w:keepLines/>
              <w:tabs>
                <w:tab w:val="left" w:pos="6030"/>
              </w:tabs>
              <w:spacing w:line="276" w:lineRule="auto"/>
              <w:jc w:val="center"/>
              <w:rPr>
                <w:sz w:val="20"/>
                <w:szCs w:val="20"/>
              </w:rPr>
            </w:pPr>
            <w:r>
              <w:rPr>
                <w:sz w:val="20"/>
                <w:szCs w:val="20"/>
              </w:rPr>
              <w:t xml:space="preserve">         1</w:t>
            </w:r>
            <w:r w:rsidR="00063DB0">
              <w:rPr>
                <w:sz w:val="20"/>
                <w:szCs w:val="20"/>
              </w:rPr>
              <w:t>38</w:t>
            </w:r>
          </w:p>
        </w:tc>
        <w:tc>
          <w:tcPr>
            <w:tcW w:w="1128" w:type="dxa"/>
          </w:tcPr>
          <w:p w:rsidR="00567278" w:rsidRPr="00BB7053" w:rsidP="00AF3F09" w14:paraId="62D53AC9" w14:textId="6097206E">
            <w:pPr>
              <w:keepLines/>
              <w:tabs>
                <w:tab w:val="left" w:pos="6030"/>
              </w:tabs>
              <w:spacing w:line="276" w:lineRule="auto"/>
              <w:jc w:val="right"/>
              <w:rPr>
                <w:sz w:val="20"/>
                <w:szCs w:val="20"/>
              </w:rPr>
            </w:pPr>
            <w:r>
              <w:rPr>
                <w:sz w:val="20"/>
                <w:szCs w:val="20"/>
              </w:rPr>
              <w:t>103.40</w:t>
            </w:r>
          </w:p>
        </w:tc>
        <w:tc>
          <w:tcPr>
            <w:tcW w:w="1350" w:type="dxa"/>
          </w:tcPr>
          <w:p w:rsidR="00567278" w:rsidRPr="00BB7053" w:rsidP="00AF3F09" w14:paraId="293D0BFC" w14:textId="4CC6776E">
            <w:pPr>
              <w:keepLines/>
              <w:tabs>
                <w:tab w:val="left" w:pos="6030"/>
              </w:tabs>
              <w:spacing w:line="276" w:lineRule="auto"/>
              <w:jc w:val="right"/>
              <w:rPr>
                <w:sz w:val="20"/>
                <w:szCs w:val="20"/>
              </w:rPr>
            </w:pPr>
            <w:r>
              <w:rPr>
                <w:sz w:val="20"/>
                <w:szCs w:val="20"/>
              </w:rPr>
              <w:t>1</w:t>
            </w:r>
            <w:r w:rsidR="002D6A68">
              <w:rPr>
                <w:sz w:val="20"/>
                <w:szCs w:val="20"/>
              </w:rPr>
              <w:t>4,269</w:t>
            </w:r>
          </w:p>
        </w:tc>
      </w:tr>
      <w:tr w14:paraId="28E4340E" w14:textId="77777777" w:rsidTr="003D29BA">
        <w:tblPrEx>
          <w:tblW w:w="9445" w:type="dxa"/>
          <w:tblLook w:val="04A0"/>
        </w:tblPrEx>
        <w:tc>
          <w:tcPr>
            <w:tcW w:w="1251" w:type="dxa"/>
            <w:shd w:val="clear" w:color="auto" w:fill="D9D9D9" w:themeFill="background1" w:themeFillShade="D9"/>
          </w:tcPr>
          <w:p w:rsidR="00567278" w:rsidRPr="00BB7053" w:rsidP="00AF3F09" w14:paraId="240AB3F8" w14:textId="77777777">
            <w:pPr>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567278" w:rsidRPr="00BB7053" w:rsidP="00AF3F09" w14:paraId="49A704F0" w14:textId="74E08FC0">
            <w:pPr>
              <w:keepLines/>
              <w:tabs>
                <w:tab w:val="left" w:pos="6030"/>
              </w:tabs>
              <w:spacing w:line="276" w:lineRule="auto"/>
              <w:jc w:val="right"/>
              <w:rPr>
                <w:sz w:val="20"/>
                <w:szCs w:val="20"/>
              </w:rPr>
            </w:pPr>
            <w:r>
              <w:rPr>
                <w:sz w:val="20"/>
                <w:szCs w:val="20"/>
              </w:rPr>
              <w:t>-5</w:t>
            </w:r>
            <w:r w:rsidR="00DD259E">
              <w:rPr>
                <w:sz w:val="20"/>
                <w:szCs w:val="20"/>
              </w:rPr>
              <w:t>1</w:t>
            </w:r>
          </w:p>
        </w:tc>
        <w:tc>
          <w:tcPr>
            <w:tcW w:w="1168" w:type="dxa"/>
            <w:shd w:val="clear" w:color="auto" w:fill="D9D9D9" w:themeFill="background1" w:themeFillShade="D9"/>
          </w:tcPr>
          <w:p w:rsidR="00567278" w:rsidRPr="00BB7053" w:rsidP="00AF3F09" w14:paraId="27754ED8" w14:textId="77777777">
            <w:pPr>
              <w:keepLines/>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00567278" w:rsidRPr="00BB7053" w:rsidP="00AF3F09" w14:paraId="5A5E7E46" w14:textId="65F79BF4">
            <w:pPr>
              <w:keepLines/>
              <w:tabs>
                <w:tab w:val="left" w:pos="6030"/>
              </w:tabs>
              <w:spacing w:line="276" w:lineRule="auto"/>
              <w:jc w:val="right"/>
              <w:rPr>
                <w:sz w:val="20"/>
                <w:szCs w:val="20"/>
              </w:rPr>
            </w:pPr>
            <w:r>
              <w:rPr>
                <w:sz w:val="20"/>
                <w:szCs w:val="20"/>
              </w:rPr>
              <w:t>-5</w:t>
            </w:r>
            <w:r w:rsidR="00DD259E">
              <w:rPr>
                <w:sz w:val="20"/>
                <w:szCs w:val="20"/>
              </w:rPr>
              <w:t>1</w:t>
            </w:r>
          </w:p>
        </w:tc>
        <w:tc>
          <w:tcPr>
            <w:tcW w:w="1077" w:type="dxa"/>
            <w:shd w:val="clear" w:color="auto" w:fill="D9D9D9" w:themeFill="background1" w:themeFillShade="D9"/>
          </w:tcPr>
          <w:p w:rsidR="00567278" w:rsidRPr="00BB7053" w:rsidP="00AF3F09" w14:paraId="761F1A0B" w14:textId="6726CC5C">
            <w:pPr>
              <w:keepLines/>
              <w:tabs>
                <w:tab w:val="left" w:pos="6030"/>
              </w:tabs>
              <w:spacing w:line="276" w:lineRule="auto"/>
              <w:jc w:val="right"/>
              <w:rPr>
                <w:sz w:val="20"/>
                <w:szCs w:val="20"/>
              </w:rPr>
            </w:pPr>
            <w:r>
              <w:rPr>
                <w:sz w:val="20"/>
                <w:szCs w:val="20"/>
              </w:rPr>
              <w:t>+1.4</w:t>
            </w:r>
          </w:p>
        </w:tc>
        <w:tc>
          <w:tcPr>
            <w:tcW w:w="1071" w:type="dxa"/>
            <w:shd w:val="clear" w:color="auto" w:fill="D9D9D9" w:themeFill="background1" w:themeFillShade="D9"/>
          </w:tcPr>
          <w:p w:rsidR="00567278" w:rsidRPr="00BB7053" w:rsidP="00AF3F09" w14:paraId="2237174D" w14:textId="567AD4C4">
            <w:pPr>
              <w:keepLines/>
              <w:tabs>
                <w:tab w:val="left" w:pos="6030"/>
              </w:tabs>
              <w:spacing w:line="276" w:lineRule="auto"/>
              <w:jc w:val="right"/>
              <w:rPr>
                <w:sz w:val="20"/>
                <w:szCs w:val="20"/>
              </w:rPr>
            </w:pPr>
            <w:r>
              <w:rPr>
                <w:sz w:val="20"/>
                <w:szCs w:val="20"/>
              </w:rPr>
              <w:t>-</w:t>
            </w:r>
            <w:r w:rsidR="00C661DC">
              <w:rPr>
                <w:sz w:val="20"/>
                <w:szCs w:val="20"/>
              </w:rPr>
              <w:t>498</w:t>
            </w:r>
          </w:p>
        </w:tc>
        <w:tc>
          <w:tcPr>
            <w:tcW w:w="1128" w:type="dxa"/>
            <w:shd w:val="clear" w:color="auto" w:fill="D9D9D9" w:themeFill="background1" w:themeFillShade="D9"/>
          </w:tcPr>
          <w:p w:rsidR="00567278" w:rsidRPr="00BB7053" w:rsidP="00AF3F09" w14:paraId="3685AFD4" w14:textId="688408FD">
            <w:pPr>
              <w:keepLines/>
              <w:tabs>
                <w:tab w:val="left" w:pos="6030"/>
              </w:tabs>
              <w:spacing w:line="276" w:lineRule="auto"/>
              <w:rPr>
                <w:sz w:val="20"/>
                <w:szCs w:val="20"/>
              </w:rPr>
            </w:pPr>
            <w:r w:rsidRPr="00224344">
              <w:rPr>
                <w:sz w:val="20"/>
                <w:szCs w:val="20"/>
              </w:rPr>
              <w:t>No</w:t>
            </w:r>
            <w:r w:rsidR="00D248F7">
              <w:rPr>
                <w:sz w:val="20"/>
                <w:szCs w:val="20"/>
              </w:rPr>
              <w:t xml:space="preserve"> change</w:t>
            </w:r>
          </w:p>
        </w:tc>
        <w:tc>
          <w:tcPr>
            <w:tcW w:w="1350" w:type="dxa"/>
            <w:shd w:val="clear" w:color="auto" w:fill="D9D9D9" w:themeFill="background1" w:themeFillShade="D9"/>
          </w:tcPr>
          <w:p w:rsidR="00567278" w:rsidRPr="00BB7053" w:rsidP="00AF3F09" w14:paraId="41B71D1A" w14:textId="414139E5">
            <w:pPr>
              <w:keepLines/>
              <w:tabs>
                <w:tab w:val="left" w:pos="6030"/>
              </w:tabs>
              <w:spacing w:line="276" w:lineRule="auto"/>
              <w:jc w:val="right"/>
              <w:rPr>
                <w:sz w:val="20"/>
                <w:szCs w:val="20"/>
              </w:rPr>
            </w:pPr>
            <w:r>
              <w:rPr>
                <w:sz w:val="20"/>
                <w:szCs w:val="20"/>
              </w:rPr>
              <w:t>-5</w:t>
            </w:r>
            <w:r w:rsidR="00EB6B65">
              <w:rPr>
                <w:sz w:val="20"/>
                <w:szCs w:val="20"/>
              </w:rPr>
              <w:t>1,524</w:t>
            </w:r>
          </w:p>
        </w:tc>
      </w:tr>
    </w:tbl>
    <w:p w:rsidR="00567278" w:rsidP="00AF3F09" w14:paraId="3F927A5C" w14:textId="77777777">
      <w:pPr>
        <w:keepLines/>
        <w:spacing w:before="200"/>
        <w:jc w:val="center"/>
        <w:rPr>
          <w:rFonts w:eastAsia="Calibri"/>
          <w:b/>
          <w:bCs/>
        </w:rPr>
      </w:pPr>
    </w:p>
    <w:p w:rsidR="00F76B0E" w:rsidP="00AF3F09" w14:paraId="34BA9A5C" w14:textId="0CCA551E">
      <w:pPr>
        <w:keepLines/>
        <w:spacing w:before="200"/>
        <w:jc w:val="center"/>
        <w:rPr>
          <w:b/>
          <w:bCs/>
        </w:rPr>
      </w:pPr>
      <w:r>
        <w:rPr>
          <w:rFonts w:eastAsia="Calibri"/>
          <w:b/>
          <w:bCs/>
        </w:rPr>
        <w:t>TABLE 3</w:t>
      </w:r>
      <w:r w:rsidR="00B10518">
        <w:rPr>
          <w:rFonts w:eastAsia="Calibri"/>
          <w:b/>
          <w:bCs/>
        </w:rPr>
        <w:t>1</w:t>
      </w:r>
      <w:r>
        <w:rPr>
          <w:rFonts w:eastAsia="Calibri"/>
          <w:b/>
          <w:bCs/>
        </w:rPr>
        <w:t xml:space="preserve">E: </w:t>
      </w:r>
      <w:r w:rsidRPr="00B30713">
        <w:rPr>
          <w:rFonts w:eastAsia="Calibri"/>
          <w:b/>
          <w:bCs/>
        </w:rPr>
        <w:t xml:space="preserve">Burden Reconciliation for </w:t>
      </w:r>
      <w:r>
        <w:rPr>
          <w:rFonts w:eastAsia="Calibri"/>
          <w:b/>
          <w:bCs/>
        </w:rPr>
        <w:t>Third Party Intermediary Plan Audits</w:t>
      </w:r>
    </w:p>
    <w:tbl>
      <w:tblPr>
        <w:tblStyle w:val="TableGrid"/>
        <w:tblW w:w="9445" w:type="dxa"/>
        <w:tblLook w:val="04A0"/>
      </w:tblPr>
      <w:tblGrid>
        <w:gridCol w:w="1251"/>
        <w:gridCol w:w="1306"/>
        <w:gridCol w:w="1168"/>
        <w:gridCol w:w="1094"/>
        <w:gridCol w:w="1077"/>
        <w:gridCol w:w="1071"/>
        <w:gridCol w:w="1068"/>
        <w:gridCol w:w="1410"/>
      </w:tblGrid>
      <w:tr w14:paraId="1CEC1EF4" w14:textId="77777777" w:rsidTr="006330BC">
        <w:tblPrEx>
          <w:tblW w:w="9445" w:type="dxa"/>
          <w:tblLook w:val="04A0"/>
        </w:tblPrEx>
        <w:trPr>
          <w:tblHeader/>
        </w:trPr>
        <w:tc>
          <w:tcPr>
            <w:tcW w:w="1251" w:type="dxa"/>
          </w:tcPr>
          <w:p w:rsidR="00F76B0E" w:rsidRPr="00DF4016" w:rsidP="00AF3F09" w14:paraId="75C08F44" w14:textId="77777777">
            <w:pPr>
              <w:keepLines/>
              <w:tabs>
                <w:tab w:val="left" w:pos="6030"/>
              </w:tabs>
              <w:spacing w:line="276" w:lineRule="auto"/>
              <w:jc w:val="both"/>
              <w:rPr>
                <w:b/>
                <w:bCs/>
                <w:sz w:val="20"/>
                <w:szCs w:val="20"/>
              </w:rPr>
            </w:pPr>
            <w:r w:rsidRPr="00DF4016">
              <w:rPr>
                <w:b/>
                <w:bCs/>
                <w:sz w:val="20"/>
                <w:szCs w:val="20"/>
              </w:rPr>
              <w:t>Burden Category</w:t>
            </w:r>
          </w:p>
        </w:tc>
        <w:tc>
          <w:tcPr>
            <w:tcW w:w="1306" w:type="dxa"/>
          </w:tcPr>
          <w:p w:rsidR="00F76B0E" w:rsidRPr="00DF4016" w:rsidP="00AF3F09" w14:paraId="7745075B" w14:textId="77777777">
            <w:pPr>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00F76B0E" w:rsidRPr="00DF4016" w:rsidP="00AF3F09" w14:paraId="2E381E61" w14:textId="77777777">
            <w:pPr>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00F76B0E" w:rsidRPr="00DF4016" w:rsidP="00AF3F09" w14:paraId="39F22D81" w14:textId="77777777">
            <w:pPr>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00F76B0E" w:rsidRPr="00DF4016" w:rsidP="00AF3F09" w14:paraId="1AC88588" w14:textId="77777777">
            <w:pPr>
              <w:keepLines/>
              <w:tabs>
                <w:tab w:val="left" w:pos="6030"/>
              </w:tabs>
              <w:spacing w:line="276" w:lineRule="auto"/>
              <w:rPr>
                <w:b/>
                <w:bCs/>
                <w:sz w:val="20"/>
                <w:szCs w:val="20"/>
              </w:rPr>
            </w:pPr>
            <w:r w:rsidRPr="00DF4016">
              <w:rPr>
                <w:b/>
                <w:bCs/>
                <w:sz w:val="20"/>
                <w:szCs w:val="20"/>
              </w:rPr>
              <w:t>Time Per Response (hr)</w:t>
            </w:r>
          </w:p>
        </w:tc>
        <w:tc>
          <w:tcPr>
            <w:tcW w:w="1071" w:type="dxa"/>
          </w:tcPr>
          <w:p w:rsidR="00F76B0E" w:rsidRPr="00DF4016" w:rsidP="00AF3F09" w14:paraId="19B779D1" w14:textId="77777777">
            <w:pPr>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00F76B0E" w:rsidRPr="00DF4016" w:rsidP="00AF3F09" w14:paraId="2EC8FE60" w14:textId="77777777">
            <w:pPr>
              <w:keepLines/>
              <w:tabs>
                <w:tab w:val="left" w:pos="6030"/>
              </w:tabs>
              <w:spacing w:line="276" w:lineRule="auto"/>
              <w:jc w:val="both"/>
              <w:rPr>
                <w:b/>
                <w:bCs/>
                <w:sz w:val="20"/>
                <w:szCs w:val="20"/>
              </w:rPr>
            </w:pPr>
            <w:r w:rsidRPr="00DF4016">
              <w:rPr>
                <w:b/>
                <w:bCs/>
                <w:sz w:val="20"/>
                <w:szCs w:val="20"/>
              </w:rPr>
              <w:t>Labor Cost ($/hr)</w:t>
            </w:r>
          </w:p>
        </w:tc>
        <w:tc>
          <w:tcPr>
            <w:tcW w:w="1410" w:type="dxa"/>
          </w:tcPr>
          <w:p w:rsidR="00F76B0E" w:rsidRPr="00DF4016" w:rsidP="00AF3F09" w14:paraId="6FD36C3C" w14:textId="77777777">
            <w:pPr>
              <w:keepLines/>
              <w:tabs>
                <w:tab w:val="left" w:pos="6030"/>
              </w:tabs>
              <w:spacing w:line="276" w:lineRule="auto"/>
              <w:rPr>
                <w:b/>
                <w:bCs/>
                <w:sz w:val="20"/>
                <w:szCs w:val="20"/>
              </w:rPr>
            </w:pPr>
            <w:r w:rsidRPr="00DF4016">
              <w:rPr>
                <w:b/>
                <w:bCs/>
                <w:sz w:val="20"/>
                <w:szCs w:val="20"/>
              </w:rPr>
              <w:t>Total Annual Cost ($)</w:t>
            </w:r>
          </w:p>
        </w:tc>
      </w:tr>
      <w:tr w14:paraId="0A39EE6F" w14:textId="77777777" w:rsidTr="006330BC">
        <w:tblPrEx>
          <w:tblW w:w="9445" w:type="dxa"/>
          <w:tblLook w:val="04A0"/>
        </w:tblPrEx>
        <w:tc>
          <w:tcPr>
            <w:tcW w:w="1251" w:type="dxa"/>
          </w:tcPr>
          <w:p w:rsidR="00F76B0E" w:rsidRPr="00BB7053" w:rsidP="00AF3F09" w14:paraId="296C3283" w14:textId="77777777">
            <w:pPr>
              <w:keepLines/>
              <w:tabs>
                <w:tab w:val="left" w:pos="6030"/>
              </w:tabs>
              <w:spacing w:line="276" w:lineRule="auto"/>
              <w:jc w:val="both"/>
              <w:rPr>
                <w:sz w:val="20"/>
                <w:szCs w:val="20"/>
              </w:rPr>
            </w:pPr>
            <w:r>
              <w:rPr>
                <w:sz w:val="20"/>
                <w:szCs w:val="20"/>
              </w:rPr>
              <w:t xml:space="preserve">Currently Approved </w:t>
            </w:r>
          </w:p>
        </w:tc>
        <w:tc>
          <w:tcPr>
            <w:tcW w:w="1306" w:type="dxa"/>
          </w:tcPr>
          <w:p w:rsidR="00F76B0E" w:rsidRPr="00BB7053" w:rsidP="00AF3F09" w14:paraId="36DA8416" w14:textId="49300969">
            <w:pPr>
              <w:keepLines/>
              <w:tabs>
                <w:tab w:val="left" w:pos="6030"/>
              </w:tabs>
              <w:spacing w:line="276" w:lineRule="auto"/>
              <w:jc w:val="right"/>
              <w:rPr>
                <w:sz w:val="20"/>
                <w:szCs w:val="20"/>
              </w:rPr>
            </w:pPr>
            <w:r>
              <w:rPr>
                <w:sz w:val="20"/>
                <w:szCs w:val="20"/>
              </w:rPr>
              <w:t>127</w:t>
            </w:r>
          </w:p>
        </w:tc>
        <w:tc>
          <w:tcPr>
            <w:tcW w:w="1168" w:type="dxa"/>
          </w:tcPr>
          <w:p w:rsidR="00F76B0E" w:rsidRPr="00BB7053" w:rsidP="00AF3F09" w14:paraId="780A182E" w14:textId="52E5CCBF">
            <w:pPr>
              <w:keepLines/>
              <w:tabs>
                <w:tab w:val="left" w:pos="6030"/>
              </w:tabs>
              <w:spacing w:line="276" w:lineRule="auto"/>
              <w:jc w:val="right"/>
              <w:rPr>
                <w:sz w:val="20"/>
                <w:szCs w:val="20"/>
              </w:rPr>
            </w:pPr>
            <w:r>
              <w:rPr>
                <w:sz w:val="20"/>
                <w:szCs w:val="20"/>
              </w:rPr>
              <w:t>1</w:t>
            </w:r>
          </w:p>
        </w:tc>
        <w:tc>
          <w:tcPr>
            <w:tcW w:w="1094" w:type="dxa"/>
          </w:tcPr>
          <w:p w:rsidR="00F76B0E" w:rsidRPr="00BB7053" w:rsidP="00AF3F09" w14:paraId="364E94E6" w14:textId="54EC9FCA">
            <w:pPr>
              <w:keepLines/>
              <w:tabs>
                <w:tab w:val="left" w:pos="6030"/>
              </w:tabs>
              <w:spacing w:line="276" w:lineRule="auto"/>
              <w:jc w:val="right"/>
              <w:rPr>
                <w:sz w:val="20"/>
                <w:szCs w:val="20"/>
              </w:rPr>
            </w:pPr>
            <w:r>
              <w:rPr>
                <w:sz w:val="20"/>
                <w:szCs w:val="20"/>
              </w:rPr>
              <w:t>127</w:t>
            </w:r>
          </w:p>
        </w:tc>
        <w:tc>
          <w:tcPr>
            <w:tcW w:w="1077" w:type="dxa"/>
          </w:tcPr>
          <w:p w:rsidR="00F76B0E" w:rsidRPr="00BB7053" w:rsidP="00AF3F09" w14:paraId="7FB2FC84" w14:textId="14BAF183">
            <w:pPr>
              <w:keepLines/>
              <w:tabs>
                <w:tab w:val="left" w:pos="6030"/>
              </w:tabs>
              <w:spacing w:line="276" w:lineRule="auto"/>
              <w:jc w:val="center"/>
              <w:rPr>
                <w:sz w:val="20"/>
                <w:szCs w:val="20"/>
              </w:rPr>
            </w:pPr>
            <w:r>
              <w:rPr>
                <w:sz w:val="20"/>
                <w:szCs w:val="20"/>
              </w:rPr>
              <w:t xml:space="preserve">      Varies</w:t>
            </w:r>
          </w:p>
        </w:tc>
        <w:tc>
          <w:tcPr>
            <w:tcW w:w="1071" w:type="dxa"/>
          </w:tcPr>
          <w:p w:rsidR="00F76B0E" w:rsidRPr="00BB7053" w:rsidP="00AF3F09" w14:paraId="108E404D" w14:textId="7E56E619">
            <w:pPr>
              <w:keepLines/>
              <w:tabs>
                <w:tab w:val="left" w:pos="6030"/>
              </w:tabs>
              <w:spacing w:line="276" w:lineRule="auto"/>
              <w:jc w:val="center"/>
              <w:rPr>
                <w:sz w:val="20"/>
                <w:szCs w:val="20"/>
              </w:rPr>
            </w:pPr>
            <w:r>
              <w:rPr>
                <w:sz w:val="20"/>
                <w:szCs w:val="20"/>
              </w:rPr>
              <w:t xml:space="preserve">      </w:t>
            </w:r>
            <w:r w:rsidR="00F876E9">
              <w:rPr>
                <w:sz w:val="20"/>
                <w:szCs w:val="20"/>
              </w:rPr>
              <w:t xml:space="preserve">   </w:t>
            </w:r>
            <w:r w:rsidR="00442D46">
              <w:rPr>
                <w:sz w:val="20"/>
                <w:szCs w:val="20"/>
              </w:rPr>
              <w:t>5</w:t>
            </w:r>
            <w:r>
              <w:rPr>
                <w:sz w:val="20"/>
                <w:szCs w:val="20"/>
              </w:rPr>
              <w:t>85</w:t>
            </w:r>
          </w:p>
        </w:tc>
        <w:tc>
          <w:tcPr>
            <w:tcW w:w="1068" w:type="dxa"/>
          </w:tcPr>
          <w:p w:rsidR="00F76B0E" w:rsidRPr="00BB7053" w:rsidP="00AF3F09" w14:paraId="3C4596A0" w14:textId="41B78D82">
            <w:pPr>
              <w:keepLines/>
              <w:tabs>
                <w:tab w:val="left" w:pos="6030"/>
              </w:tabs>
              <w:spacing w:line="276" w:lineRule="auto"/>
              <w:jc w:val="right"/>
              <w:rPr>
                <w:sz w:val="20"/>
                <w:szCs w:val="20"/>
              </w:rPr>
            </w:pPr>
            <w:r>
              <w:rPr>
                <w:sz w:val="20"/>
                <w:szCs w:val="20"/>
              </w:rPr>
              <w:t>103.40</w:t>
            </w:r>
          </w:p>
        </w:tc>
        <w:tc>
          <w:tcPr>
            <w:tcW w:w="1410" w:type="dxa"/>
          </w:tcPr>
          <w:p w:rsidR="00F76B0E" w:rsidRPr="00BB7053" w:rsidP="00AF3F09" w14:paraId="54B04AFF" w14:textId="51CA6D7E">
            <w:pPr>
              <w:keepLines/>
              <w:tabs>
                <w:tab w:val="left" w:pos="6030"/>
              </w:tabs>
              <w:spacing w:line="276" w:lineRule="auto"/>
              <w:jc w:val="right"/>
              <w:rPr>
                <w:sz w:val="20"/>
                <w:szCs w:val="20"/>
              </w:rPr>
            </w:pPr>
            <w:r>
              <w:rPr>
                <w:sz w:val="20"/>
                <w:szCs w:val="20"/>
              </w:rPr>
              <w:t>6</w:t>
            </w:r>
            <w:r w:rsidR="00D53AF4">
              <w:rPr>
                <w:sz w:val="20"/>
                <w:szCs w:val="20"/>
              </w:rPr>
              <w:t>0,489</w:t>
            </w:r>
          </w:p>
        </w:tc>
      </w:tr>
      <w:tr w14:paraId="6FDAA899" w14:textId="77777777" w:rsidTr="006330BC">
        <w:tblPrEx>
          <w:tblW w:w="9445" w:type="dxa"/>
          <w:tblLook w:val="04A0"/>
        </w:tblPrEx>
        <w:tc>
          <w:tcPr>
            <w:tcW w:w="1251" w:type="dxa"/>
          </w:tcPr>
          <w:p w:rsidR="00F76B0E" w:rsidRPr="00BB7053" w:rsidP="00AF3F09" w14:paraId="6B7CCAF9" w14:textId="66C63A1A">
            <w:pPr>
              <w:keepLines/>
              <w:tabs>
                <w:tab w:val="left" w:pos="6030"/>
              </w:tabs>
              <w:spacing w:line="276" w:lineRule="auto"/>
              <w:rPr>
                <w:sz w:val="20"/>
                <w:szCs w:val="20"/>
              </w:rPr>
            </w:pPr>
            <w:r>
              <w:rPr>
                <w:sz w:val="20"/>
                <w:szCs w:val="20"/>
              </w:rPr>
              <w:t>Finaliz</w:t>
            </w:r>
            <w:r>
              <w:rPr>
                <w:sz w:val="20"/>
                <w:szCs w:val="20"/>
              </w:rPr>
              <w:t xml:space="preserve">ed </w:t>
            </w:r>
            <w:r w:rsidRPr="00A67FD9">
              <w:rPr>
                <w:sz w:val="20"/>
                <w:szCs w:val="20"/>
              </w:rPr>
              <w:t>(See Table</w:t>
            </w:r>
            <w:r w:rsidR="009E40D8">
              <w:rPr>
                <w:sz w:val="20"/>
                <w:szCs w:val="20"/>
              </w:rPr>
              <w:t xml:space="preserve">s </w:t>
            </w:r>
            <w:r w:rsidR="00DF7717">
              <w:rPr>
                <w:sz w:val="20"/>
                <w:szCs w:val="20"/>
              </w:rPr>
              <w:t>7</w:t>
            </w:r>
            <w:r w:rsidR="009E40D8">
              <w:rPr>
                <w:sz w:val="20"/>
                <w:szCs w:val="20"/>
              </w:rPr>
              <w:t xml:space="preserve"> and</w:t>
            </w:r>
            <w:r w:rsidRPr="00A67FD9">
              <w:rPr>
                <w:sz w:val="20"/>
                <w:szCs w:val="20"/>
              </w:rPr>
              <w:t xml:space="preserve"> </w:t>
            </w:r>
            <w:r w:rsidR="00DF7717">
              <w:rPr>
                <w:sz w:val="20"/>
                <w:szCs w:val="20"/>
              </w:rPr>
              <w:t>8</w:t>
            </w:r>
            <w:r w:rsidRPr="00A67FD9">
              <w:rPr>
                <w:sz w:val="20"/>
                <w:szCs w:val="20"/>
              </w:rPr>
              <w:t>)</w:t>
            </w:r>
          </w:p>
        </w:tc>
        <w:tc>
          <w:tcPr>
            <w:tcW w:w="1306" w:type="dxa"/>
          </w:tcPr>
          <w:p w:rsidR="00F76B0E" w:rsidRPr="00BB7053" w:rsidP="00AF3F09" w14:paraId="2D83AA92" w14:textId="5DAFDC5F">
            <w:pPr>
              <w:keepLines/>
              <w:tabs>
                <w:tab w:val="left" w:pos="6030"/>
              </w:tabs>
              <w:spacing w:line="276" w:lineRule="auto"/>
              <w:jc w:val="right"/>
              <w:rPr>
                <w:sz w:val="20"/>
                <w:szCs w:val="20"/>
              </w:rPr>
            </w:pPr>
            <w:r>
              <w:rPr>
                <w:sz w:val="20"/>
                <w:szCs w:val="20"/>
              </w:rPr>
              <w:t>1</w:t>
            </w:r>
            <w:r w:rsidR="00F876E9">
              <w:rPr>
                <w:sz w:val="20"/>
                <w:szCs w:val="20"/>
              </w:rPr>
              <w:t>26</w:t>
            </w:r>
          </w:p>
        </w:tc>
        <w:tc>
          <w:tcPr>
            <w:tcW w:w="1168" w:type="dxa"/>
          </w:tcPr>
          <w:p w:rsidR="00F76B0E" w:rsidRPr="00BB7053" w:rsidP="00AF3F09" w14:paraId="2F335D1C" w14:textId="77777777">
            <w:pPr>
              <w:keepLines/>
              <w:tabs>
                <w:tab w:val="left" w:pos="6030"/>
              </w:tabs>
              <w:spacing w:line="276" w:lineRule="auto"/>
              <w:jc w:val="right"/>
              <w:rPr>
                <w:sz w:val="20"/>
                <w:szCs w:val="20"/>
              </w:rPr>
            </w:pPr>
            <w:r>
              <w:rPr>
                <w:sz w:val="20"/>
                <w:szCs w:val="20"/>
              </w:rPr>
              <w:t>1</w:t>
            </w:r>
          </w:p>
        </w:tc>
        <w:tc>
          <w:tcPr>
            <w:tcW w:w="1094" w:type="dxa"/>
          </w:tcPr>
          <w:p w:rsidR="00F76B0E" w:rsidRPr="00BB7053" w:rsidP="00AF3F09" w14:paraId="6087CC3E" w14:textId="3EA61C0D">
            <w:pPr>
              <w:keepLines/>
              <w:tabs>
                <w:tab w:val="left" w:pos="6030"/>
              </w:tabs>
              <w:spacing w:line="276" w:lineRule="auto"/>
              <w:jc w:val="right"/>
              <w:rPr>
                <w:sz w:val="20"/>
                <w:szCs w:val="20"/>
              </w:rPr>
            </w:pPr>
            <w:r>
              <w:rPr>
                <w:sz w:val="20"/>
                <w:szCs w:val="20"/>
              </w:rPr>
              <w:t>1</w:t>
            </w:r>
            <w:r w:rsidR="00F876E9">
              <w:rPr>
                <w:sz w:val="20"/>
                <w:szCs w:val="20"/>
              </w:rPr>
              <w:t>26</w:t>
            </w:r>
          </w:p>
        </w:tc>
        <w:tc>
          <w:tcPr>
            <w:tcW w:w="1077" w:type="dxa"/>
          </w:tcPr>
          <w:p w:rsidR="00F76B0E" w:rsidRPr="00BB7053" w:rsidP="00AF3F09" w14:paraId="54B354E4" w14:textId="60A5C7B3">
            <w:pPr>
              <w:keepLines/>
              <w:tabs>
                <w:tab w:val="left" w:pos="6030"/>
              </w:tabs>
              <w:spacing w:line="276" w:lineRule="auto"/>
              <w:jc w:val="right"/>
              <w:rPr>
                <w:sz w:val="20"/>
                <w:szCs w:val="20"/>
              </w:rPr>
            </w:pPr>
            <w:r>
              <w:rPr>
                <w:sz w:val="20"/>
                <w:szCs w:val="20"/>
              </w:rPr>
              <w:t>Varies</w:t>
            </w:r>
          </w:p>
        </w:tc>
        <w:tc>
          <w:tcPr>
            <w:tcW w:w="1071" w:type="dxa"/>
          </w:tcPr>
          <w:p w:rsidR="00F76B0E" w:rsidRPr="00BB7053" w:rsidP="00AF3F09" w14:paraId="7ECC9E05" w14:textId="058EFC03">
            <w:pPr>
              <w:keepLines/>
              <w:tabs>
                <w:tab w:val="left" w:pos="6030"/>
              </w:tabs>
              <w:spacing w:line="276" w:lineRule="auto"/>
              <w:jc w:val="right"/>
              <w:rPr>
                <w:sz w:val="20"/>
                <w:szCs w:val="20"/>
              </w:rPr>
            </w:pPr>
            <w:r>
              <w:rPr>
                <w:sz w:val="20"/>
                <w:szCs w:val="20"/>
              </w:rPr>
              <w:t>499</w:t>
            </w:r>
          </w:p>
        </w:tc>
        <w:tc>
          <w:tcPr>
            <w:tcW w:w="1068" w:type="dxa"/>
          </w:tcPr>
          <w:p w:rsidR="00F76B0E" w:rsidRPr="00BB7053" w:rsidP="00AF3F09" w14:paraId="0AD714F0" w14:textId="70C0F8AB">
            <w:pPr>
              <w:keepLines/>
              <w:tabs>
                <w:tab w:val="left" w:pos="6030"/>
              </w:tabs>
              <w:spacing w:line="276" w:lineRule="auto"/>
              <w:jc w:val="right"/>
              <w:rPr>
                <w:sz w:val="20"/>
                <w:szCs w:val="20"/>
              </w:rPr>
            </w:pPr>
            <w:r>
              <w:rPr>
                <w:sz w:val="20"/>
                <w:szCs w:val="20"/>
              </w:rPr>
              <w:t>103.40</w:t>
            </w:r>
          </w:p>
        </w:tc>
        <w:tc>
          <w:tcPr>
            <w:tcW w:w="1410" w:type="dxa"/>
          </w:tcPr>
          <w:p w:rsidR="00F76B0E" w:rsidRPr="00BB7053" w:rsidP="00AF3F09" w14:paraId="784AFD0C" w14:textId="54AF0CE8">
            <w:pPr>
              <w:keepLines/>
              <w:tabs>
                <w:tab w:val="left" w:pos="6030"/>
              </w:tabs>
              <w:spacing w:line="276" w:lineRule="auto"/>
              <w:jc w:val="right"/>
              <w:rPr>
                <w:sz w:val="20"/>
                <w:szCs w:val="20"/>
              </w:rPr>
            </w:pPr>
            <w:r>
              <w:rPr>
                <w:sz w:val="20"/>
                <w:szCs w:val="20"/>
              </w:rPr>
              <w:t>51,597</w:t>
            </w:r>
          </w:p>
        </w:tc>
      </w:tr>
      <w:tr w14:paraId="65AA63F3" w14:textId="77777777" w:rsidTr="006330BC">
        <w:tblPrEx>
          <w:tblW w:w="9445" w:type="dxa"/>
          <w:tblLook w:val="04A0"/>
        </w:tblPrEx>
        <w:tc>
          <w:tcPr>
            <w:tcW w:w="1251" w:type="dxa"/>
            <w:shd w:val="clear" w:color="auto" w:fill="D9D9D9" w:themeFill="background1" w:themeFillShade="D9"/>
          </w:tcPr>
          <w:p w:rsidR="00F76B0E" w:rsidRPr="00BB7053" w:rsidP="00AF3F09" w14:paraId="3282DD82" w14:textId="77777777">
            <w:pPr>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F76B0E" w:rsidRPr="00BB7053" w:rsidP="00AF3F09" w14:paraId="61789BAB" w14:textId="3AF5DF3C">
            <w:pPr>
              <w:keepLines/>
              <w:tabs>
                <w:tab w:val="left" w:pos="6030"/>
              </w:tabs>
              <w:spacing w:line="276" w:lineRule="auto"/>
              <w:jc w:val="right"/>
              <w:rPr>
                <w:sz w:val="20"/>
                <w:szCs w:val="20"/>
              </w:rPr>
            </w:pPr>
            <w:r>
              <w:rPr>
                <w:sz w:val="20"/>
                <w:szCs w:val="20"/>
              </w:rPr>
              <w:t>-1</w:t>
            </w:r>
          </w:p>
        </w:tc>
        <w:tc>
          <w:tcPr>
            <w:tcW w:w="1168" w:type="dxa"/>
            <w:shd w:val="clear" w:color="auto" w:fill="D9D9D9" w:themeFill="background1" w:themeFillShade="D9"/>
          </w:tcPr>
          <w:p w:rsidR="00F76B0E" w:rsidRPr="00BB7053" w:rsidP="00AF3F09" w14:paraId="6AF8C7FC" w14:textId="77777777">
            <w:pPr>
              <w:keepLines/>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00F76B0E" w:rsidRPr="00BB7053" w:rsidP="00AF3F09" w14:paraId="651CF8B8" w14:textId="6148D569">
            <w:pPr>
              <w:keepLines/>
              <w:tabs>
                <w:tab w:val="left" w:pos="6030"/>
              </w:tabs>
              <w:spacing w:line="276" w:lineRule="auto"/>
              <w:jc w:val="right"/>
              <w:rPr>
                <w:sz w:val="20"/>
                <w:szCs w:val="20"/>
              </w:rPr>
            </w:pPr>
            <w:r>
              <w:rPr>
                <w:sz w:val="20"/>
                <w:szCs w:val="20"/>
              </w:rPr>
              <w:t>-1</w:t>
            </w:r>
          </w:p>
        </w:tc>
        <w:tc>
          <w:tcPr>
            <w:tcW w:w="1077" w:type="dxa"/>
            <w:shd w:val="clear" w:color="auto" w:fill="D9D9D9" w:themeFill="background1" w:themeFillShade="D9"/>
          </w:tcPr>
          <w:p w:rsidR="00F76B0E" w:rsidRPr="00BB7053" w:rsidP="00AF3F09" w14:paraId="237E9385" w14:textId="757EC818">
            <w:pPr>
              <w:keepLines/>
              <w:tabs>
                <w:tab w:val="left" w:pos="6030"/>
              </w:tabs>
              <w:spacing w:line="276" w:lineRule="auto"/>
              <w:jc w:val="right"/>
              <w:rPr>
                <w:sz w:val="20"/>
                <w:szCs w:val="20"/>
              </w:rPr>
            </w:pPr>
            <w:r>
              <w:rPr>
                <w:sz w:val="20"/>
                <w:szCs w:val="20"/>
              </w:rPr>
              <w:t>Varies</w:t>
            </w:r>
          </w:p>
        </w:tc>
        <w:tc>
          <w:tcPr>
            <w:tcW w:w="1071" w:type="dxa"/>
            <w:shd w:val="clear" w:color="auto" w:fill="D9D9D9" w:themeFill="background1" w:themeFillShade="D9"/>
          </w:tcPr>
          <w:p w:rsidR="00F76B0E" w:rsidRPr="00BB7053" w:rsidP="00AF3F09" w14:paraId="49EE25A4" w14:textId="496FE1B0">
            <w:pPr>
              <w:keepLines/>
              <w:tabs>
                <w:tab w:val="left" w:pos="6030"/>
              </w:tabs>
              <w:spacing w:line="276" w:lineRule="auto"/>
              <w:jc w:val="right"/>
              <w:rPr>
                <w:sz w:val="20"/>
                <w:szCs w:val="20"/>
              </w:rPr>
            </w:pPr>
            <w:r>
              <w:rPr>
                <w:sz w:val="20"/>
                <w:szCs w:val="20"/>
              </w:rPr>
              <w:t>-86</w:t>
            </w:r>
          </w:p>
        </w:tc>
        <w:tc>
          <w:tcPr>
            <w:tcW w:w="1068" w:type="dxa"/>
            <w:shd w:val="clear" w:color="auto" w:fill="D9D9D9" w:themeFill="background1" w:themeFillShade="D9"/>
          </w:tcPr>
          <w:p w:rsidR="00F76B0E" w:rsidRPr="00BB7053" w:rsidP="00AF3F09" w14:paraId="5026D3A0" w14:textId="23E20FB4">
            <w:pPr>
              <w:keepLines/>
              <w:tabs>
                <w:tab w:val="left" w:pos="6030"/>
              </w:tabs>
              <w:spacing w:line="276" w:lineRule="auto"/>
              <w:rPr>
                <w:sz w:val="20"/>
                <w:szCs w:val="20"/>
              </w:rPr>
            </w:pPr>
            <w:r>
              <w:rPr>
                <w:sz w:val="20"/>
                <w:szCs w:val="20"/>
              </w:rPr>
              <w:t xml:space="preserve">  No change</w:t>
            </w:r>
          </w:p>
        </w:tc>
        <w:tc>
          <w:tcPr>
            <w:tcW w:w="1410" w:type="dxa"/>
            <w:shd w:val="clear" w:color="auto" w:fill="D9D9D9" w:themeFill="background1" w:themeFillShade="D9"/>
          </w:tcPr>
          <w:p w:rsidR="00F76B0E" w:rsidRPr="00BB7053" w:rsidP="00AF3F09" w14:paraId="7C91932A" w14:textId="6AF1EC2E">
            <w:pPr>
              <w:keepLines/>
              <w:tabs>
                <w:tab w:val="left" w:pos="6030"/>
              </w:tabs>
              <w:spacing w:line="276" w:lineRule="auto"/>
              <w:jc w:val="right"/>
              <w:rPr>
                <w:sz w:val="20"/>
                <w:szCs w:val="20"/>
              </w:rPr>
            </w:pPr>
            <w:r>
              <w:rPr>
                <w:sz w:val="20"/>
                <w:szCs w:val="20"/>
              </w:rPr>
              <w:t>-8,892</w:t>
            </w:r>
          </w:p>
        </w:tc>
      </w:tr>
    </w:tbl>
    <w:p w:rsidR="00ED1FF5" w14:paraId="67FF813F" w14:textId="77777777">
      <w:pPr>
        <w:rPr>
          <w:rFonts w:eastAsia="Calibri"/>
          <w:b/>
          <w:bCs/>
        </w:rPr>
      </w:pPr>
      <w:r>
        <w:rPr>
          <w:rFonts w:eastAsia="Calibri"/>
          <w:b/>
          <w:bCs/>
        </w:rPr>
        <w:br w:type="page"/>
      </w:r>
    </w:p>
    <w:p w:rsidR="003C6D38" w:rsidP="00ED1FF5" w14:paraId="4DCBEB02" w14:textId="18E5B5E3">
      <w:pPr>
        <w:keepNext/>
        <w:keepLines/>
        <w:spacing w:before="200"/>
        <w:jc w:val="center"/>
        <w:rPr>
          <w:b/>
          <w:bCs/>
        </w:rPr>
      </w:pPr>
      <w:r w:rsidRPr="00B30713">
        <w:rPr>
          <w:rFonts w:eastAsia="Calibri"/>
          <w:b/>
          <w:bCs/>
        </w:rPr>
        <w:t xml:space="preserve">TABLE </w:t>
      </w:r>
      <w:r w:rsidR="00C1361E">
        <w:rPr>
          <w:rFonts w:eastAsia="Calibri"/>
          <w:b/>
          <w:bCs/>
        </w:rPr>
        <w:t>3</w:t>
      </w:r>
      <w:r w:rsidR="003A28A7">
        <w:rPr>
          <w:rFonts w:eastAsia="Calibri"/>
          <w:b/>
          <w:bCs/>
        </w:rPr>
        <w:t>1F</w:t>
      </w:r>
      <w:r w:rsidRPr="00B30713">
        <w:rPr>
          <w:rFonts w:eastAsia="Calibri"/>
          <w:b/>
          <w:bCs/>
        </w:rPr>
        <w:t xml:space="preserve">: Burden Reconciliation for </w:t>
      </w:r>
      <w:r w:rsidRPr="00EB72E5" w:rsidR="00EB72E5">
        <w:rPr>
          <w:rFonts w:eastAsia="Calibri"/>
          <w:b/>
          <w:bCs/>
        </w:rPr>
        <w:t>Open Authorization Credentialing and Token Request Process</w:t>
      </w:r>
    </w:p>
    <w:tbl>
      <w:tblPr>
        <w:tblStyle w:val="TableGrid"/>
        <w:tblW w:w="10038" w:type="dxa"/>
        <w:tblLook w:val="04A0"/>
      </w:tblPr>
      <w:tblGrid>
        <w:gridCol w:w="1516"/>
        <w:gridCol w:w="1306"/>
        <w:gridCol w:w="1127"/>
        <w:gridCol w:w="1094"/>
        <w:gridCol w:w="1017"/>
        <w:gridCol w:w="1045"/>
        <w:gridCol w:w="1440"/>
        <w:gridCol w:w="1493"/>
      </w:tblGrid>
      <w:tr w14:paraId="79EAA177" w14:textId="77777777" w:rsidTr="007D2B7C">
        <w:tblPrEx>
          <w:tblW w:w="10038" w:type="dxa"/>
          <w:tblLook w:val="04A0"/>
        </w:tblPrEx>
        <w:trPr>
          <w:trHeight w:val="958"/>
          <w:tblHeader/>
        </w:trPr>
        <w:tc>
          <w:tcPr>
            <w:tcW w:w="1516" w:type="dxa"/>
          </w:tcPr>
          <w:p w:rsidR="003C6D38" w:rsidRPr="00DF4016" w:rsidP="00BC3C0D" w14:paraId="23037C47"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003C6D38" w:rsidRPr="00DF4016" w:rsidP="00BC3C0D" w14:paraId="57C36D62"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27" w:type="dxa"/>
          </w:tcPr>
          <w:p w:rsidR="003C6D38" w:rsidRPr="00DF4016" w:rsidP="00BC3C0D" w14:paraId="7F482E47"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003C6D38" w:rsidRPr="00DF4016" w:rsidP="00BC3C0D" w14:paraId="0F24464B"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17" w:type="dxa"/>
          </w:tcPr>
          <w:p w:rsidR="003C6D38" w:rsidRPr="00DF4016" w:rsidP="00BC3C0D" w14:paraId="7DA95F51" w14:textId="77777777">
            <w:pPr>
              <w:keepNext/>
              <w:keepLines/>
              <w:tabs>
                <w:tab w:val="left" w:pos="6030"/>
              </w:tabs>
              <w:spacing w:line="276" w:lineRule="auto"/>
              <w:rPr>
                <w:b/>
                <w:bCs/>
                <w:sz w:val="20"/>
                <w:szCs w:val="20"/>
              </w:rPr>
            </w:pPr>
            <w:r w:rsidRPr="00DF4016">
              <w:rPr>
                <w:b/>
                <w:bCs/>
                <w:sz w:val="20"/>
                <w:szCs w:val="20"/>
              </w:rPr>
              <w:t>Time Per Response (hr)</w:t>
            </w:r>
          </w:p>
        </w:tc>
        <w:tc>
          <w:tcPr>
            <w:tcW w:w="1045" w:type="dxa"/>
          </w:tcPr>
          <w:p w:rsidR="003C6D38" w:rsidRPr="00DF4016" w:rsidP="00BC3C0D" w14:paraId="65BAAFD8"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440" w:type="dxa"/>
          </w:tcPr>
          <w:p w:rsidR="003C6D38" w:rsidRPr="00DF4016" w:rsidP="007D2B7C" w14:paraId="45F8D067" w14:textId="5DFE8CC2">
            <w:pPr>
              <w:keepNext/>
              <w:keepLines/>
              <w:tabs>
                <w:tab w:val="left" w:pos="6030"/>
              </w:tabs>
              <w:spacing w:line="276" w:lineRule="auto"/>
              <w:rPr>
                <w:b/>
                <w:bCs/>
                <w:sz w:val="20"/>
                <w:szCs w:val="20"/>
              </w:rPr>
            </w:pPr>
            <w:r w:rsidRPr="00DF4016">
              <w:rPr>
                <w:b/>
                <w:bCs/>
                <w:sz w:val="20"/>
                <w:szCs w:val="20"/>
              </w:rPr>
              <w:t>Labor</w:t>
            </w:r>
            <w:r w:rsidR="00C20704">
              <w:rPr>
                <w:b/>
                <w:bCs/>
                <w:sz w:val="20"/>
                <w:szCs w:val="20"/>
              </w:rPr>
              <w:t xml:space="preserve"> </w:t>
            </w:r>
            <w:r w:rsidRPr="00DF4016">
              <w:rPr>
                <w:b/>
                <w:bCs/>
                <w:sz w:val="20"/>
                <w:szCs w:val="20"/>
              </w:rPr>
              <w:t>Cost ($/hr)</w:t>
            </w:r>
          </w:p>
        </w:tc>
        <w:tc>
          <w:tcPr>
            <w:tcW w:w="1493" w:type="dxa"/>
          </w:tcPr>
          <w:p w:rsidR="003C6D38" w:rsidRPr="00DF4016" w:rsidP="00BC3C0D" w14:paraId="755FDE93" w14:textId="77777777">
            <w:pPr>
              <w:keepNext/>
              <w:keepLines/>
              <w:tabs>
                <w:tab w:val="left" w:pos="6030"/>
              </w:tabs>
              <w:spacing w:line="276" w:lineRule="auto"/>
              <w:rPr>
                <w:b/>
                <w:bCs/>
                <w:sz w:val="20"/>
                <w:szCs w:val="20"/>
              </w:rPr>
            </w:pPr>
            <w:r w:rsidRPr="00DF4016">
              <w:rPr>
                <w:b/>
                <w:bCs/>
                <w:sz w:val="20"/>
                <w:szCs w:val="20"/>
              </w:rPr>
              <w:t>Total Annual Cost ($)</w:t>
            </w:r>
          </w:p>
        </w:tc>
      </w:tr>
      <w:tr w14:paraId="6C074F10" w14:textId="77777777" w:rsidTr="007D2B7C">
        <w:tblPrEx>
          <w:tblW w:w="10038" w:type="dxa"/>
          <w:tblLook w:val="04A0"/>
        </w:tblPrEx>
        <w:trPr>
          <w:trHeight w:val="461"/>
        </w:trPr>
        <w:tc>
          <w:tcPr>
            <w:tcW w:w="1516" w:type="dxa"/>
          </w:tcPr>
          <w:p w:rsidR="003A343F" w:rsidRPr="00BB7053" w:rsidP="00BC3C0D" w14:paraId="39413A02" w14:textId="60E13D65">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003A343F" w:rsidRPr="00BB7053" w:rsidP="00BC3C0D" w14:paraId="165B283C" w14:textId="0A964365">
            <w:pPr>
              <w:keepNext/>
              <w:keepLines/>
              <w:tabs>
                <w:tab w:val="left" w:pos="6030"/>
              </w:tabs>
              <w:spacing w:line="276" w:lineRule="auto"/>
              <w:jc w:val="right"/>
              <w:rPr>
                <w:sz w:val="20"/>
                <w:szCs w:val="20"/>
              </w:rPr>
            </w:pPr>
            <w:r>
              <w:rPr>
                <w:sz w:val="20"/>
                <w:szCs w:val="20"/>
              </w:rPr>
              <w:t>15</w:t>
            </w:r>
          </w:p>
        </w:tc>
        <w:tc>
          <w:tcPr>
            <w:tcW w:w="1127" w:type="dxa"/>
          </w:tcPr>
          <w:p w:rsidR="003A343F" w:rsidRPr="00BB7053" w:rsidP="00BC3C0D" w14:paraId="4223408A" w14:textId="41A42467">
            <w:pPr>
              <w:keepNext/>
              <w:keepLines/>
              <w:tabs>
                <w:tab w:val="left" w:pos="6030"/>
              </w:tabs>
              <w:spacing w:line="276" w:lineRule="auto"/>
              <w:jc w:val="right"/>
              <w:rPr>
                <w:sz w:val="20"/>
                <w:szCs w:val="20"/>
              </w:rPr>
            </w:pPr>
            <w:r>
              <w:rPr>
                <w:sz w:val="20"/>
                <w:szCs w:val="20"/>
              </w:rPr>
              <w:t>1</w:t>
            </w:r>
          </w:p>
        </w:tc>
        <w:tc>
          <w:tcPr>
            <w:tcW w:w="1094" w:type="dxa"/>
          </w:tcPr>
          <w:p w:rsidR="003A343F" w:rsidRPr="00BB7053" w:rsidP="00BC3C0D" w14:paraId="5D6FD78E" w14:textId="51154B6C">
            <w:pPr>
              <w:keepNext/>
              <w:keepLines/>
              <w:tabs>
                <w:tab w:val="left" w:pos="6030"/>
              </w:tabs>
              <w:spacing w:line="276" w:lineRule="auto"/>
              <w:jc w:val="right"/>
              <w:rPr>
                <w:sz w:val="20"/>
                <w:szCs w:val="20"/>
              </w:rPr>
            </w:pPr>
            <w:r>
              <w:rPr>
                <w:sz w:val="20"/>
                <w:szCs w:val="20"/>
              </w:rPr>
              <w:t>15</w:t>
            </w:r>
          </w:p>
        </w:tc>
        <w:tc>
          <w:tcPr>
            <w:tcW w:w="1017" w:type="dxa"/>
          </w:tcPr>
          <w:p w:rsidR="003A343F" w:rsidRPr="00BB7053" w:rsidP="00BC3C0D" w14:paraId="26AD523B" w14:textId="3F7F7D10">
            <w:pPr>
              <w:keepNext/>
              <w:keepLines/>
              <w:tabs>
                <w:tab w:val="left" w:pos="6030"/>
              </w:tabs>
              <w:spacing w:line="276" w:lineRule="auto"/>
              <w:jc w:val="right"/>
              <w:rPr>
                <w:sz w:val="20"/>
                <w:szCs w:val="20"/>
              </w:rPr>
            </w:pPr>
            <w:r>
              <w:rPr>
                <w:sz w:val="20"/>
                <w:szCs w:val="20"/>
              </w:rPr>
              <w:t>2</w:t>
            </w:r>
          </w:p>
        </w:tc>
        <w:tc>
          <w:tcPr>
            <w:tcW w:w="1045" w:type="dxa"/>
          </w:tcPr>
          <w:p w:rsidR="003A343F" w:rsidRPr="00BB7053" w:rsidP="00BC3C0D" w14:paraId="62386DA2" w14:textId="18EDA01D">
            <w:pPr>
              <w:keepNext/>
              <w:keepLines/>
              <w:tabs>
                <w:tab w:val="left" w:pos="6030"/>
              </w:tabs>
              <w:spacing w:line="276" w:lineRule="auto"/>
              <w:jc w:val="right"/>
              <w:rPr>
                <w:sz w:val="20"/>
                <w:szCs w:val="20"/>
              </w:rPr>
            </w:pPr>
            <w:r>
              <w:rPr>
                <w:sz w:val="20"/>
                <w:szCs w:val="20"/>
              </w:rPr>
              <w:t>30</w:t>
            </w:r>
          </w:p>
        </w:tc>
        <w:tc>
          <w:tcPr>
            <w:tcW w:w="1440" w:type="dxa"/>
          </w:tcPr>
          <w:p w:rsidR="003A343F" w:rsidRPr="00BB7053" w:rsidP="00DA236F" w14:paraId="29D2D5A4" w14:textId="35F927D8">
            <w:pPr>
              <w:keepNext/>
              <w:keepLines/>
              <w:tabs>
                <w:tab w:val="left" w:pos="6030"/>
              </w:tabs>
              <w:spacing w:line="276" w:lineRule="auto"/>
              <w:jc w:val="right"/>
              <w:rPr>
                <w:sz w:val="20"/>
                <w:szCs w:val="20"/>
              </w:rPr>
            </w:pPr>
            <w:r>
              <w:rPr>
                <w:sz w:val="20"/>
                <w:szCs w:val="20"/>
              </w:rPr>
              <w:t xml:space="preserve">        103.40</w:t>
            </w:r>
          </w:p>
        </w:tc>
        <w:tc>
          <w:tcPr>
            <w:tcW w:w="1493" w:type="dxa"/>
          </w:tcPr>
          <w:p w:rsidR="003A343F" w:rsidRPr="00BB7053" w:rsidP="00DA236F" w14:paraId="185ABCBD" w14:textId="0096C70C">
            <w:pPr>
              <w:keepNext/>
              <w:keepLines/>
              <w:tabs>
                <w:tab w:val="left" w:pos="6030"/>
              </w:tabs>
              <w:spacing w:line="276" w:lineRule="auto"/>
              <w:jc w:val="right"/>
              <w:rPr>
                <w:sz w:val="20"/>
                <w:szCs w:val="20"/>
              </w:rPr>
            </w:pPr>
            <w:r>
              <w:rPr>
                <w:sz w:val="20"/>
                <w:szCs w:val="20"/>
              </w:rPr>
              <w:t xml:space="preserve">      </w:t>
            </w:r>
            <w:r w:rsidR="00D24DBB">
              <w:rPr>
                <w:sz w:val="20"/>
                <w:szCs w:val="20"/>
              </w:rPr>
              <w:t xml:space="preserve">       </w:t>
            </w:r>
            <w:r>
              <w:rPr>
                <w:sz w:val="20"/>
                <w:szCs w:val="20"/>
              </w:rPr>
              <w:t>3,102</w:t>
            </w:r>
          </w:p>
        </w:tc>
      </w:tr>
      <w:tr w14:paraId="3B27E55A" w14:textId="77777777" w:rsidTr="007D2B7C">
        <w:tblPrEx>
          <w:tblW w:w="10038" w:type="dxa"/>
          <w:tblLook w:val="04A0"/>
        </w:tblPrEx>
        <w:trPr>
          <w:trHeight w:val="479"/>
        </w:trPr>
        <w:tc>
          <w:tcPr>
            <w:tcW w:w="1516" w:type="dxa"/>
          </w:tcPr>
          <w:p w:rsidR="003A343F" w:rsidRPr="00BB7053" w:rsidP="00BC3C0D" w14:paraId="6F70FFB0" w14:textId="096AC579">
            <w:pPr>
              <w:keepNext/>
              <w:keepLines/>
              <w:tabs>
                <w:tab w:val="left" w:pos="6030"/>
              </w:tabs>
              <w:spacing w:line="276" w:lineRule="auto"/>
              <w:rPr>
                <w:sz w:val="20"/>
                <w:szCs w:val="20"/>
              </w:rPr>
            </w:pPr>
            <w:r>
              <w:rPr>
                <w:sz w:val="20"/>
                <w:szCs w:val="20"/>
              </w:rPr>
              <w:t>Finaliz</w:t>
            </w:r>
            <w:r w:rsidR="00B92E7B">
              <w:rPr>
                <w:sz w:val="20"/>
                <w:szCs w:val="20"/>
              </w:rPr>
              <w:t>ed</w:t>
            </w:r>
            <w:r w:rsidR="00ED1FF5">
              <w:rPr>
                <w:sz w:val="20"/>
                <w:szCs w:val="20"/>
              </w:rPr>
              <w:t xml:space="preserve"> </w:t>
            </w:r>
            <w:r w:rsidRPr="00A67FD9" w:rsidR="00A67FD9">
              <w:rPr>
                <w:sz w:val="20"/>
                <w:szCs w:val="20"/>
              </w:rPr>
              <w:t xml:space="preserve">(See Table </w:t>
            </w:r>
            <w:r w:rsidR="003A28A7">
              <w:rPr>
                <w:sz w:val="20"/>
                <w:szCs w:val="20"/>
              </w:rPr>
              <w:t>9</w:t>
            </w:r>
            <w:r w:rsidRPr="00A67FD9" w:rsidR="00A67FD9">
              <w:rPr>
                <w:sz w:val="20"/>
                <w:szCs w:val="20"/>
              </w:rPr>
              <w:t>)</w:t>
            </w:r>
          </w:p>
        </w:tc>
        <w:tc>
          <w:tcPr>
            <w:tcW w:w="1306" w:type="dxa"/>
          </w:tcPr>
          <w:p w:rsidR="003A343F" w:rsidRPr="00BB7053" w:rsidP="00BC3C0D" w14:paraId="5D0DEBE9" w14:textId="411D1A92">
            <w:pPr>
              <w:keepNext/>
              <w:keepLines/>
              <w:tabs>
                <w:tab w:val="left" w:pos="6030"/>
              </w:tabs>
              <w:spacing w:line="276" w:lineRule="auto"/>
              <w:jc w:val="right"/>
              <w:rPr>
                <w:sz w:val="20"/>
                <w:szCs w:val="20"/>
              </w:rPr>
            </w:pPr>
            <w:r>
              <w:rPr>
                <w:sz w:val="20"/>
                <w:szCs w:val="20"/>
              </w:rPr>
              <w:t>15</w:t>
            </w:r>
          </w:p>
        </w:tc>
        <w:tc>
          <w:tcPr>
            <w:tcW w:w="1127" w:type="dxa"/>
          </w:tcPr>
          <w:p w:rsidR="003A343F" w:rsidRPr="00BB7053" w:rsidP="00BC3C0D" w14:paraId="7A2035EA" w14:textId="1FA48EB9">
            <w:pPr>
              <w:keepNext/>
              <w:keepLines/>
              <w:tabs>
                <w:tab w:val="left" w:pos="6030"/>
              </w:tabs>
              <w:spacing w:line="276" w:lineRule="auto"/>
              <w:jc w:val="right"/>
              <w:rPr>
                <w:sz w:val="20"/>
                <w:szCs w:val="20"/>
              </w:rPr>
            </w:pPr>
            <w:r>
              <w:rPr>
                <w:sz w:val="20"/>
                <w:szCs w:val="20"/>
              </w:rPr>
              <w:t>1</w:t>
            </w:r>
          </w:p>
        </w:tc>
        <w:tc>
          <w:tcPr>
            <w:tcW w:w="1094" w:type="dxa"/>
          </w:tcPr>
          <w:p w:rsidR="003A343F" w:rsidRPr="00BB7053" w:rsidP="00BC3C0D" w14:paraId="40C13DE8" w14:textId="440F5565">
            <w:pPr>
              <w:keepNext/>
              <w:keepLines/>
              <w:tabs>
                <w:tab w:val="left" w:pos="6030"/>
              </w:tabs>
              <w:spacing w:line="276" w:lineRule="auto"/>
              <w:jc w:val="right"/>
              <w:rPr>
                <w:sz w:val="20"/>
                <w:szCs w:val="20"/>
              </w:rPr>
            </w:pPr>
            <w:r>
              <w:rPr>
                <w:sz w:val="20"/>
                <w:szCs w:val="20"/>
              </w:rPr>
              <w:t>15</w:t>
            </w:r>
          </w:p>
        </w:tc>
        <w:tc>
          <w:tcPr>
            <w:tcW w:w="1017" w:type="dxa"/>
          </w:tcPr>
          <w:p w:rsidR="003A343F" w:rsidRPr="00BB7053" w:rsidP="00BC3C0D" w14:paraId="5070B656" w14:textId="14D61264">
            <w:pPr>
              <w:keepNext/>
              <w:keepLines/>
              <w:tabs>
                <w:tab w:val="left" w:pos="6030"/>
              </w:tabs>
              <w:spacing w:line="276" w:lineRule="auto"/>
              <w:jc w:val="right"/>
              <w:rPr>
                <w:sz w:val="20"/>
                <w:szCs w:val="20"/>
              </w:rPr>
            </w:pPr>
            <w:r>
              <w:rPr>
                <w:sz w:val="20"/>
                <w:szCs w:val="20"/>
              </w:rPr>
              <w:t>2</w:t>
            </w:r>
          </w:p>
        </w:tc>
        <w:tc>
          <w:tcPr>
            <w:tcW w:w="1045" w:type="dxa"/>
          </w:tcPr>
          <w:p w:rsidR="003A343F" w:rsidRPr="00BB7053" w:rsidP="00BC3C0D" w14:paraId="0F0FDEE8" w14:textId="738C3023">
            <w:pPr>
              <w:keepNext/>
              <w:keepLines/>
              <w:tabs>
                <w:tab w:val="left" w:pos="6030"/>
              </w:tabs>
              <w:spacing w:line="276" w:lineRule="auto"/>
              <w:jc w:val="right"/>
              <w:rPr>
                <w:sz w:val="20"/>
                <w:szCs w:val="20"/>
              </w:rPr>
            </w:pPr>
            <w:r>
              <w:rPr>
                <w:sz w:val="20"/>
                <w:szCs w:val="20"/>
              </w:rPr>
              <w:t>30</w:t>
            </w:r>
          </w:p>
        </w:tc>
        <w:tc>
          <w:tcPr>
            <w:tcW w:w="1440" w:type="dxa"/>
          </w:tcPr>
          <w:p w:rsidR="003A343F" w:rsidRPr="00BB7053" w:rsidP="00BC3C0D" w14:paraId="6EE71FB4" w14:textId="39EDB529">
            <w:pPr>
              <w:keepNext/>
              <w:keepLines/>
              <w:tabs>
                <w:tab w:val="left" w:pos="6030"/>
              </w:tabs>
              <w:spacing w:line="276" w:lineRule="auto"/>
              <w:jc w:val="right"/>
              <w:rPr>
                <w:sz w:val="20"/>
                <w:szCs w:val="20"/>
              </w:rPr>
            </w:pPr>
            <w:r>
              <w:rPr>
                <w:sz w:val="20"/>
                <w:szCs w:val="20"/>
              </w:rPr>
              <w:t>103.40</w:t>
            </w:r>
          </w:p>
        </w:tc>
        <w:tc>
          <w:tcPr>
            <w:tcW w:w="1493" w:type="dxa"/>
          </w:tcPr>
          <w:p w:rsidR="003A343F" w:rsidRPr="00BB7053" w:rsidP="00BC3C0D" w14:paraId="33B829C9" w14:textId="6F4BAE0C">
            <w:pPr>
              <w:keepNext/>
              <w:keepLines/>
              <w:tabs>
                <w:tab w:val="left" w:pos="6030"/>
              </w:tabs>
              <w:spacing w:line="276" w:lineRule="auto"/>
              <w:jc w:val="right"/>
              <w:rPr>
                <w:sz w:val="20"/>
                <w:szCs w:val="20"/>
              </w:rPr>
            </w:pPr>
            <w:r>
              <w:rPr>
                <w:sz w:val="20"/>
                <w:szCs w:val="20"/>
              </w:rPr>
              <w:t>3,102</w:t>
            </w:r>
          </w:p>
        </w:tc>
      </w:tr>
      <w:tr w14:paraId="27A028B7" w14:textId="77777777" w:rsidTr="007D2B7C">
        <w:tblPrEx>
          <w:tblW w:w="10038" w:type="dxa"/>
          <w:tblLook w:val="04A0"/>
        </w:tblPrEx>
        <w:trPr>
          <w:trHeight w:val="461"/>
        </w:trPr>
        <w:tc>
          <w:tcPr>
            <w:tcW w:w="1516" w:type="dxa"/>
            <w:shd w:val="clear" w:color="auto" w:fill="D9D9D9" w:themeFill="background1" w:themeFillShade="D9"/>
          </w:tcPr>
          <w:p w:rsidR="003A343F" w:rsidRPr="00BB7053" w:rsidP="00ED1FF5" w14:paraId="049685AA"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3A343F" w:rsidRPr="00BB7053" w:rsidP="00ED1FF5" w14:paraId="1D9287AD" w14:textId="3C85E3C7">
            <w:pPr>
              <w:keepNext/>
              <w:keepLines/>
              <w:tabs>
                <w:tab w:val="left" w:pos="6030"/>
              </w:tabs>
              <w:spacing w:line="276" w:lineRule="auto"/>
              <w:jc w:val="right"/>
              <w:rPr>
                <w:sz w:val="20"/>
                <w:szCs w:val="20"/>
              </w:rPr>
            </w:pPr>
            <w:r>
              <w:rPr>
                <w:sz w:val="20"/>
                <w:szCs w:val="20"/>
              </w:rPr>
              <w:t xml:space="preserve">No </w:t>
            </w:r>
            <w:r w:rsidR="005E3519">
              <w:rPr>
                <w:sz w:val="20"/>
                <w:szCs w:val="20"/>
              </w:rPr>
              <w:t xml:space="preserve">change </w:t>
            </w:r>
          </w:p>
        </w:tc>
        <w:tc>
          <w:tcPr>
            <w:tcW w:w="1127" w:type="dxa"/>
            <w:shd w:val="clear" w:color="auto" w:fill="D9D9D9" w:themeFill="background1" w:themeFillShade="D9"/>
          </w:tcPr>
          <w:p w:rsidR="003A343F" w:rsidRPr="00BB7053" w:rsidP="00ED1FF5" w14:paraId="196BC52D" w14:textId="778028E6">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3A343F" w:rsidRPr="00BB7053" w:rsidP="00ED1FF5" w14:paraId="56781435" w14:textId="0AADF712">
            <w:pPr>
              <w:keepNext/>
              <w:keepLines/>
              <w:tabs>
                <w:tab w:val="left" w:pos="6030"/>
              </w:tabs>
              <w:spacing w:line="276" w:lineRule="auto"/>
              <w:jc w:val="right"/>
              <w:rPr>
                <w:sz w:val="20"/>
                <w:szCs w:val="20"/>
              </w:rPr>
            </w:pPr>
            <w:r>
              <w:rPr>
                <w:sz w:val="20"/>
                <w:szCs w:val="20"/>
              </w:rPr>
              <w:t>No change</w:t>
            </w:r>
          </w:p>
        </w:tc>
        <w:tc>
          <w:tcPr>
            <w:tcW w:w="1017" w:type="dxa"/>
            <w:shd w:val="clear" w:color="auto" w:fill="D9D9D9" w:themeFill="background1" w:themeFillShade="D9"/>
          </w:tcPr>
          <w:p w:rsidR="003A343F" w:rsidRPr="00BB7053" w:rsidP="003D29BA" w14:paraId="57AC0C52" w14:textId="4560FF7D">
            <w:pPr>
              <w:keepNext/>
              <w:keepLines/>
              <w:tabs>
                <w:tab w:val="left" w:pos="6030"/>
              </w:tabs>
              <w:spacing w:line="276" w:lineRule="auto"/>
              <w:rPr>
                <w:sz w:val="20"/>
                <w:szCs w:val="20"/>
              </w:rPr>
            </w:pPr>
            <w:r>
              <w:rPr>
                <w:sz w:val="20"/>
                <w:szCs w:val="20"/>
              </w:rPr>
              <w:t xml:space="preserve"> No change</w:t>
            </w:r>
          </w:p>
        </w:tc>
        <w:tc>
          <w:tcPr>
            <w:tcW w:w="1045" w:type="dxa"/>
            <w:shd w:val="clear" w:color="auto" w:fill="D9D9D9" w:themeFill="background1" w:themeFillShade="D9"/>
          </w:tcPr>
          <w:p w:rsidR="003A343F" w:rsidRPr="00BB7053" w:rsidP="003D29BA" w14:paraId="7E61822C" w14:textId="3536454A">
            <w:pPr>
              <w:keepNext/>
              <w:keepLines/>
              <w:tabs>
                <w:tab w:val="left" w:pos="6030"/>
              </w:tabs>
              <w:spacing w:line="276" w:lineRule="auto"/>
              <w:rPr>
                <w:sz w:val="20"/>
                <w:szCs w:val="20"/>
              </w:rPr>
            </w:pPr>
            <w:r w:rsidRPr="006037DC">
              <w:rPr>
                <w:sz w:val="20"/>
                <w:szCs w:val="20"/>
              </w:rPr>
              <w:t>No change</w:t>
            </w:r>
            <w:r w:rsidRPr="006037DC">
              <w:rPr>
                <w:sz w:val="20"/>
                <w:szCs w:val="20"/>
              </w:rPr>
              <w:t xml:space="preserve"> </w:t>
            </w:r>
          </w:p>
        </w:tc>
        <w:tc>
          <w:tcPr>
            <w:tcW w:w="1440" w:type="dxa"/>
            <w:shd w:val="clear" w:color="auto" w:fill="D9D9D9" w:themeFill="background1" w:themeFillShade="D9"/>
          </w:tcPr>
          <w:p w:rsidR="003A343F" w:rsidRPr="00BB7053" w:rsidP="00ED1FF5" w14:paraId="7DCBD0C2" w14:textId="4FFADCC2">
            <w:pPr>
              <w:keepNext/>
              <w:keepLines/>
              <w:tabs>
                <w:tab w:val="left" w:pos="6030"/>
              </w:tabs>
              <w:spacing w:line="276" w:lineRule="auto"/>
              <w:jc w:val="right"/>
              <w:rPr>
                <w:sz w:val="20"/>
                <w:szCs w:val="20"/>
              </w:rPr>
            </w:pPr>
            <w:r>
              <w:rPr>
                <w:sz w:val="20"/>
                <w:szCs w:val="20"/>
              </w:rPr>
              <w:t>No change</w:t>
            </w:r>
          </w:p>
        </w:tc>
        <w:tc>
          <w:tcPr>
            <w:tcW w:w="1493" w:type="dxa"/>
            <w:shd w:val="clear" w:color="auto" w:fill="D9D9D9" w:themeFill="background1" w:themeFillShade="D9"/>
          </w:tcPr>
          <w:p w:rsidR="003A343F" w:rsidRPr="00BB7053" w:rsidP="00ED1FF5" w14:paraId="0F14AF92" w14:textId="56CCD835">
            <w:pPr>
              <w:keepNext/>
              <w:keepLines/>
              <w:tabs>
                <w:tab w:val="left" w:pos="6030"/>
              </w:tabs>
              <w:spacing w:line="276" w:lineRule="auto"/>
              <w:jc w:val="right"/>
              <w:rPr>
                <w:sz w:val="20"/>
                <w:szCs w:val="20"/>
              </w:rPr>
            </w:pPr>
            <w:r>
              <w:rPr>
                <w:sz w:val="20"/>
                <w:szCs w:val="20"/>
              </w:rPr>
              <w:t xml:space="preserve">No </w:t>
            </w:r>
            <w:r w:rsidR="005276F1">
              <w:rPr>
                <w:sz w:val="20"/>
                <w:szCs w:val="20"/>
              </w:rPr>
              <w:t>change</w:t>
            </w:r>
          </w:p>
        </w:tc>
      </w:tr>
    </w:tbl>
    <w:p w:rsidR="003C6D38" w:rsidP="00ED1FF5" w14:paraId="31BE246C" w14:textId="0B8F3D07">
      <w:pPr>
        <w:keepNext/>
        <w:keepLines/>
        <w:spacing w:before="200"/>
        <w:jc w:val="center"/>
        <w:rPr>
          <w:b/>
          <w:bCs/>
        </w:rPr>
      </w:pPr>
      <w:r w:rsidRPr="00B30713">
        <w:rPr>
          <w:rFonts w:eastAsia="Calibri"/>
          <w:b/>
          <w:bCs/>
        </w:rPr>
        <w:t xml:space="preserve">TABLE </w:t>
      </w:r>
      <w:r w:rsidR="00C1361E">
        <w:rPr>
          <w:rFonts w:eastAsia="Calibri"/>
          <w:b/>
          <w:bCs/>
        </w:rPr>
        <w:t>3</w:t>
      </w:r>
      <w:r w:rsidR="009D5F5E">
        <w:rPr>
          <w:rFonts w:eastAsia="Calibri"/>
          <w:b/>
          <w:bCs/>
        </w:rPr>
        <w:t>1G</w:t>
      </w:r>
      <w:r w:rsidRPr="00B30713">
        <w:rPr>
          <w:rFonts w:eastAsia="Calibri"/>
          <w:b/>
          <w:bCs/>
        </w:rPr>
        <w:t xml:space="preserve">: Burden Reconciliation for </w:t>
      </w:r>
      <w:r w:rsidRPr="00686855" w:rsidR="00686855">
        <w:rPr>
          <w:rFonts w:eastAsia="Calibri"/>
          <w:b/>
          <w:bCs/>
        </w:rPr>
        <w:t>Quality Payment Program Identity Management Application Process</w:t>
      </w:r>
    </w:p>
    <w:tbl>
      <w:tblPr>
        <w:tblStyle w:val="TableGrid"/>
        <w:tblW w:w="10165" w:type="dxa"/>
        <w:tblLook w:val="04A0"/>
      </w:tblPr>
      <w:tblGrid>
        <w:gridCol w:w="1516"/>
        <w:gridCol w:w="1306"/>
        <w:gridCol w:w="1159"/>
        <w:gridCol w:w="1094"/>
        <w:gridCol w:w="1063"/>
        <w:gridCol w:w="1020"/>
        <w:gridCol w:w="1747"/>
        <w:gridCol w:w="1260"/>
      </w:tblGrid>
      <w:tr w14:paraId="29437C65" w14:textId="77777777" w:rsidTr="007D2B7C">
        <w:tblPrEx>
          <w:tblW w:w="10165" w:type="dxa"/>
          <w:tblLook w:val="04A0"/>
        </w:tblPrEx>
        <w:trPr>
          <w:tblHeader/>
        </w:trPr>
        <w:tc>
          <w:tcPr>
            <w:tcW w:w="1516" w:type="dxa"/>
          </w:tcPr>
          <w:p w:rsidR="003C6D38" w:rsidRPr="001212E7" w:rsidP="001212E7" w14:paraId="6688235E"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06" w:type="dxa"/>
          </w:tcPr>
          <w:p w:rsidR="003C6D38" w:rsidRPr="001212E7" w:rsidP="001212E7" w14:paraId="0FC1A8B7"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59" w:type="dxa"/>
          </w:tcPr>
          <w:p w:rsidR="003C6D38" w:rsidRPr="001212E7" w:rsidP="001212E7" w14:paraId="1372269C"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94" w:type="dxa"/>
          </w:tcPr>
          <w:p w:rsidR="003C6D38" w:rsidRPr="001212E7" w:rsidP="001212E7" w14:paraId="1D3FF602"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63" w:type="dxa"/>
          </w:tcPr>
          <w:p w:rsidR="003C6D38" w:rsidRPr="001212E7" w:rsidP="001212E7" w14:paraId="39CD5B35" w14:textId="77777777">
            <w:pPr>
              <w:keepNext/>
              <w:keepLines/>
              <w:tabs>
                <w:tab w:val="left" w:pos="6030"/>
              </w:tabs>
              <w:spacing w:line="276" w:lineRule="auto"/>
              <w:rPr>
                <w:b/>
                <w:bCs/>
                <w:sz w:val="20"/>
                <w:szCs w:val="20"/>
              </w:rPr>
            </w:pPr>
            <w:r w:rsidRPr="001212E7">
              <w:rPr>
                <w:b/>
                <w:bCs/>
                <w:sz w:val="20"/>
                <w:szCs w:val="20"/>
              </w:rPr>
              <w:t>Time Per Response (hr)</w:t>
            </w:r>
          </w:p>
        </w:tc>
        <w:tc>
          <w:tcPr>
            <w:tcW w:w="1020" w:type="dxa"/>
          </w:tcPr>
          <w:p w:rsidR="003C6D38" w:rsidRPr="001212E7" w:rsidP="001212E7" w14:paraId="1630C7BD"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747" w:type="dxa"/>
          </w:tcPr>
          <w:p w:rsidR="003C6D38" w:rsidRPr="001212E7" w:rsidP="007D2B7C" w14:paraId="686B5C13" w14:textId="15DA77CF">
            <w:pPr>
              <w:keepNext/>
              <w:keepLines/>
              <w:tabs>
                <w:tab w:val="left" w:pos="6030"/>
              </w:tabs>
              <w:spacing w:line="276" w:lineRule="auto"/>
              <w:rPr>
                <w:b/>
                <w:bCs/>
                <w:sz w:val="20"/>
                <w:szCs w:val="20"/>
              </w:rPr>
            </w:pPr>
            <w:r w:rsidRPr="001212E7">
              <w:rPr>
                <w:b/>
                <w:bCs/>
                <w:sz w:val="20"/>
                <w:szCs w:val="20"/>
              </w:rPr>
              <w:t>Labor</w:t>
            </w:r>
            <w:r w:rsidR="00C20704">
              <w:rPr>
                <w:b/>
                <w:bCs/>
                <w:sz w:val="20"/>
                <w:szCs w:val="20"/>
              </w:rPr>
              <w:t xml:space="preserve"> </w:t>
            </w:r>
            <w:r w:rsidRPr="001212E7">
              <w:rPr>
                <w:b/>
                <w:bCs/>
                <w:sz w:val="20"/>
                <w:szCs w:val="20"/>
              </w:rPr>
              <w:t>Cost($/h</w:t>
            </w:r>
            <w:r w:rsidR="00381507">
              <w:rPr>
                <w:b/>
                <w:bCs/>
                <w:sz w:val="20"/>
                <w:szCs w:val="20"/>
              </w:rPr>
              <w:t>r</w:t>
            </w:r>
            <w:r w:rsidRPr="001212E7">
              <w:rPr>
                <w:b/>
                <w:bCs/>
                <w:sz w:val="20"/>
                <w:szCs w:val="20"/>
              </w:rPr>
              <w:t>)</w:t>
            </w:r>
          </w:p>
        </w:tc>
        <w:tc>
          <w:tcPr>
            <w:tcW w:w="1260" w:type="dxa"/>
          </w:tcPr>
          <w:p w:rsidR="003C6D38" w:rsidRPr="001212E7" w:rsidP="001212E7" w14:paraId="79B82A80" w14:textId="77777777">
            <w:pPr>
              <w:keepNext/>
              <w:keepLines/>
              <w:tabs>
                <w:tab w:val="left" w:pos="6030"/>
              </w:tabs>
              <w:spacing w:line="276" w:lineRule="auto"/>
              <w:rPr>
                <w:b/>
                <w:bCs/>
                <w:sz w:val="20"/>
                <w:szCs w:val="20"/>
              </w:rPr>
            </w:pPr>
            <w:r w:rsidRPr="001212E7">
              <w:rPr>
                <w:b/>
                <w:bCs/>
                <w:sz w:val="20"/>
                <w:szCs w:val="20"/>
              </w:rPr>
              <w:t>Total Annual Cost ($)</w:t>
            </w:r>
          </w:p>
        </w:tc>
      </w:tr>
      <w:tr w14:paraId="4400BC87" w14:textId="77777777" w:rsidTr="007D2B7C">
        <w:tblPrEx>
          <w:tblW w:w="10165" w:type="dxa"/>
          <w:tblLook w:val="04A0"/>
        </w:tblPrEx>
        <w:tc>
          <w:tcPr>
            <w:tcW w:w="1516" w:type="dxa"/>
          </w:tcPr>
          <w:p w:rsidR="00FB22E6" w:rsidRPr="00BB7053" w:rsidP="001212E7" w14:paraId="1D07E6F7" w14:textId="527E2587">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00FB22E6" w:rsidRPr="00BB7053" w:rsidP="001212E7" w14:paraId="53345504" w14:textId="1124EBDF">
            <w:pPr>
              <w:keepNext/>
              <w:keepLines/>
              <w:tabs>
                <w:tab w:val="left" w:pos="6030"/>
              </w:tabs>
              <w:spacing w:line="276" w:lineRule="auto"/>
              <w:jc w:val="right"/>
              <w:rPr>
                <w:sz w:val="20"/>
                <w:szCs w:val="20"/>
              </w:rPr>
            </w:pPr>
            <w:r>
              <w:rPr>
                <w:sz w:val="20"/>
                <w:szCs w:val="20"/>
              </w:rPr>
              <w:t>6,500</w:t>
            </w:r>
          </w:p>
        </w:tc>
        <w:tc>
          <w:tcPr>
            <w:tcW w:w="1159" w:type="dxa"/>
          </w:tcPr>
          <w:p w:rsidR="00FB22E6" w:rsidRPr="00BB7053" w:rsidP="001212E7" w14:paraId="19AE58A4" w14:textId="1AAAE62B">
            <w:pPr>
              <w:keepNext/>
              <w:keepLines/>
              <w:tabs>
                <w:tab w:val="left" w:pos="6030"/>
              </w:tabs>
              <w:spacing w:line="276" w:lineRule="auto"/>
              <w:jc w:val="right"/>
              <w:rPr>
                <w:sz w:val="20"/>
                <w:szCs w:val="20"/>
              </w:rPr>
            </w:pPr>
            <w:r>
              <w:rPr>
                <w:sz w:val="20"/>
                <w:szCs w:val="20"/>
              </w:rPr>
              <w:t>1</w:t>
            </w:r>
          </w:p>
        </w:tc>
        <w:tc>
          <w:tcPr>
            <w:tcW w:w="1094" w:type="dxa"/>
          </w:tcPr>
          <w:p w:rsidR="00FB22E6" w:rsidRPr="00BB7053" w:rsidP="001212E7" w14:paraId="508B4B6B" w14:textId="50797193">
            <w:pPr>
              <w:keepNext/>
              <w:keepLines/>
              <w:tabs>
                <w:tab w:val="left" w:pos="6030"/>
              </w:tabs>
              <w:spacing w:line="276" w:lineRule="auto"/>
              <w:jc w:val="right"/>
              <w:rPr>
                <w:sz w:val="20"/>
                <w:szCs w:val="20"/>
              </w:rPr>
            </w:pPr>
            <w:r>
              <w:rPr>
                <w:sz w:val="20"/>
                <w:szCs w:val="20"/>
              </w:rPr>
              <w:t>6,500</w:t>
            </w:r>
          </w:p>
        </w:tc>
        <w:tc>
          <w:tcPr>
            <w:tcW w:w="1063" w:type="dxa"/>
          </w:tcPr>
          <w:p w:rsidR="00FB22E6" w:rsidRPr="00BB7053" w:rsidP="001212E7" w14:paraId="0AD9186C" w14:textId="42266870">
            <w:pPr>
              <w:keepNext/>
              <w:keepLines/>
              <w:tabs>
                <w:tab w:val="left" w:pos="6030"/>
              </w:tabs>
              <w:spacing w:line="276" w:lineRule="auto"/>
              <w:jc w:val="right"/>
              <w:rPr>
                <w:sz w:val="20"/>
                <w:szCs w:val="20"/>
              </w:rPr>
            </w:pPr>
            <w:r>
              <w:rPr>
                <w:sz w:val="20"/>
                <w:szCs w:val="20"/>
              </w:rPr>
              <w:t>1</w:t>
            </w:r>
          </w:p>
        </w:tc>
        <w:tc>
          <w:tcPr>
            <w:tcW w:w="1020" w:type="dxa"/>
          </w:tcPr>
          <w:p w:rsidR="00FB22E6" w:rsidRPr="00BB7053" w:rsidP="001212E7" w14:paraId="458AA4D3" w14:textId="5E06EAA5">
            <w:pPr>
              <w:keepNext/>
              <w:keepLines/>
              <w:tabs>
                <w:tab w:val="left" w:pos="6030"/>
              </w:tabs>
              <w:spacing w:line="276" w:lineRule="auto"/>
              <w:jc w:val="right"/>
              <w:rPr>
                <w:sz w:val="20"/>
                <w:szCs w:val="20"/>
              </w:rPr>
            </w:pPr>
            <w:r>
              <w:rPr>
                <w:sz w:val="20"/>
                <w:szCs w:val="20"/>
              </w:rPr>
              <w:t>6,500</w:t>
            </w:r>
          </w:p>
        </w:tc>
        <w:tc>
          <w:tcPr>
            <w:tcW w:w="1747" w:type="dxa"/>
          </w:tcPr>
          <w:p w:rsidR="00FB22E6" w:rsidRPr="00BB7053" w:rsidP="001212E7" w14:paraId="72E21854" w14:textId="266F5F9B">
            <w:pPr>
              <w:keepNext/>
              <w:keepLines/>
              <w:tabs>
                <w:tab w:val="left" w:pos="6030"/>
              </w:tabs>
              <w:spacing w:line="276" w:lineRule="auto"/>
              <w:jc w:val="right"/>
              <w:rPr>
                <w:sz w:val="20"/>
                <w:szCs w:val="20"/>
              </w:rPr>
            </w:pPr>
            <w:r>
              <w:rPr>
                <w:sz w:val="20"/>
                <w:szCs w:val="20"/>
              </w:rPr>
              <w:t>103.40</w:t>
            </w:r>
          </w:p>
        </w:tc>
        <w:tc>
          <w:tcPr>
            <w:tcW w:w="1260" w:type="dxa"/>
          </w:tcPr>
          <w:p w:rsidR="00FB22E6" w:rsidRPr="00BB7053" w:rsidP="001212E7" w14:paraId="66CC3B02" w14:textId="1664A4E4">
            <w:pPr>
              <w:keepNext/>
              <w:keepLines/>
              <w:tabs>
                <w:tab w:val="left" w:pos="6030"/>
              </w:tabs>
              <w:spacing w:line="276" w:lineRule="auto"/>
              <w:jc w:val="right"/>
              <w:rPr>
                <w:sz w:val="20"/>
                <w:szCs w:val="20"/>
              </w:rPr>
            </w:pPr>
            <w:r>
              <w:rPr>
                <w:sz w:val="20"/>
                <w:szCs w:val="20"/>
              </w:rPr>
              <w:t>672,100</w:t>
            </w:r>
          </w:p>
        </w:tc>
      </w:tr>
      <w:tr w14:paraId="6FBC8BD8" w14:textId="77777777" w:rsidTr="007D2B7C">
        <w:tblPrEx>
          <w:tblW w:w="10165" w:type="dxa"/>
          <w:tblLook w:val="04A0"/>
        </w:tblPrEx>
        <w:tc>
          <w:tcPr>
            <w:tcW w:w="1516" w:type="dxa"/>
          </w:tcPr>
          <w:p w:rsidR="00FB22E6" w:rsidRPr="00BB7053" w:rsidP="00192E2E" w14:paraId="6B4D6A19" w14:textId="7932F58C">
            <w:pPr>
              <w:keepNext/>
              <w:keepLines/>
              <w:tabs>
                <w:tab w:val="left" w:pos="6030"/>
              </w:tabs>
              <w:spacing w:line="276" w:lineRule="auto"/>
              <w:rPr>
                <w:sz w:val="20"/>
                <w:szCs w:val="20"/>
              </w:rPr>
            </w:pPr>
            <w:r>
              <w:rPr>
                <w:sz w:val="20"/>
                <w:szCs w:val="20"/>
              </w:rPr>
              <w:t>Finaliz</w:t>
            </w:r>
            <w:r w:rsidR="00872B52">
              <w:rPr>
                <w:sz w:val="20"/>
                <w:szCs w:val="20"/>
              </w:rPr>
              <w:t>ed</w:t>
            </w:r>
            <w:r w:rsidR="00A64437">
              <w:rPr>
                <w:sz w:val="20"/>
                <w:szCs w:val="20"/>
              </w:rPr>
              <w:t xml:space="preserve"> </w:t>
            </w:r>
            <w:r w:rsidRPr="00A67FD9" w:rsidR="00A67FD9">
              <w:rPr>
                <w:sz w:val="20"/>
                <w:szCs w:val="20"/>
              </w:rPr>
              <w:t xml:space="preserve">(See Table </w:t>
            </w:r>
            <w:r w:rsidR="00D24DBB">
              <w:rPr>
                <w:sz w:val="20"/>
                <w:szCs w:val="20"/>
              </w:rPr>
              <w:t>10</w:t>
            </w:r>
            <w:r w:rsidRPr="00A67FD9" w:rsidR="00A67FD9">
              <w:rPr>
                <w:sz w:val="20"/>
                <w:szCs w:val="20"/>
              </w:rPr>
              <w:t>)</w:t>
            </w:r>
          </w:p>
        </w:tc>
        <w:tc>
          <w:tcPr>
            <w:tcW w:w="1306" w:type="dxa"/>
          </w:tcPr>
          <w:p w:rsidR="00FB22E6" w:rsidRPr="00BB7053" w:rsidP="001212E7" w14:paraId="13EC1FDF" w14:textId="5EF11497">
            <w:pPr>
              <w:keepNext/>
              <w:keepLines/>
              <w:tabs>
                <w:tab w:val="left" w:pos="6030"/>
              </w:tabs>
              <w:spacing w:line="276" w:lineRule="auto"/>
              <w:jc w:val="right"/>
              <w:rPr>
                <w:sz w:val="20"/>
                <w:szCs w:val="20"/>
              </w:rPr>
            </w:pPr>
            <w:r>
              <w:rPr>
                <w:sz w:val="20"/>
                <w:szCs w:val="20"/>
              </w:rPr>
              <w:t>6,500</w:t>
            </w:r>
          </w:p>
        </w:tc>
        <w:tc>
          <w:tcPr>
            <w:tcW w:w="1159" w:type="dxa"/>
          </w:tcPr>
          <w:p w:rsidR="00FB22E6" w:rsidRPr="00BB7053" w:rsidP="001212E7" w14:paraId="648F58F2" w14:textId="2A593523">
            <w:pPr>
              <w:keepNext/>
              <w:keepLines/>
              <w:tabs>
                <w:tab w:val="left" w:pos="6030"/>
              </w:tabs>
              <w:spacing w:line="276" w:lineRule="auto"/>
              <w:jc w:val="right"/>
              <w:rPr>
                <w:sz w:val="20"/>
                <w:szCs w:val="20"/>
              </w:rPr>
            </w:pPr>
            <w:r>
              <w:rPr>
                <w:sz w:val="20"/>
                <w:szCs w:val="20"/>
              </w:rPr>
              <w:t>1</w:t>
            </w:r>
          </w:p>
        </w:tc>
        <w:tc>
          <w:tcPr>
            <w:tcW w:w="1094" w:type="dxa"/>
          </w:tcPr>
          <w:p w:rsidR="00FB22E6" w:rsidRPr="00BB7053" w:rsidP="001212E7" w14:paraId="6A5418D3" w14:textId="61AFD672">
            <w:pPr>
              <w:keepNext/>
              <w:keepLines/>
              <w:tabs>
                <w:tab w:val="left" w:pos="6030"/>
              </w:tabs>
              <w:spacing w:line="276" w:lineRule="auto"/>
              <w:jc w:val="right"/>
              <w:rPr>
                <w:sz w:val="20"/>
                <w:szCs w:val="20"/>
              </w:rPr>
            </w:pPr>
            <w:r>
              <w:rPr>
                <w:sz w:val="20"/>
                <w:szCs w:val="20"/>
              </w:rPr>
              <w:t>6,500</w:t>
            </w:r>
          </w:p>
        </w:tc>
        <w:tc>
          <w:tcPr>
            <w:tcW w:w="1063" w:type="dxa"/>
          </w:tcPr>
          <w:p w:rsidR="00FB22E6" w:rsidRPr="00BB7053" w:rsidP="001212E7" w14:paraId="3749397C" w14:textId="5159E213">
            <w:pPr>
              <w:keepNext/>
              <w:keepLines/>
              <w:tabs>
                <w:tab w:val="left" w:pos="6030"/>
              </w:tabs>
              <w:spacing w:line="276" w:lineRule="auto"/>
              <w:jc w:val="right"/>
              <w:rPr>
                <w:sz w:val="20"/>
                <w:szCs w:val="20"/>
              </w:rPr>
            </w:pPr>
            <w:r>
              <w:rPr>
                <w:sz w:val="20"/>
                <w:szCs w:val="20"/>
              </w:rPr>
              <w:t>1</w:t>
            </w:r>
          </w:p>
        </w:tc>
        <w:tc>
          <w:tcPr>
            <w:tcW w:w="1020" w:type="dxa"/>
          </w:tcPr>
          <w:p w:rsidR="00FB22E6" w:rsidRPr="00BB7053" w:rsidP="001212E7" w14:paraId="0F2F13EE" w14:textId="31C2BB57">
            <w:pPr>
              <w:keepNext/>
              <w:keepLines/>
              <w:tabs>
                <w:tab w:val="left" w:pos="6030"/>
              </w:tabs>
              <w:spacing w:line="276" w:lineRule="auto"/>
              <w:jc w:val="right"/>
              <w:rPr>
                <w:sz w:val="20"/>
                <w:szCs w:val="20"/>
              </w:rPr>
            </w:pPr>
            <w:r>
              <w:rPr>
                <w:sz w:val="20"/>
                <w:szCs w:val="20"/>
              </w:rPr>
              <w:t>6,500</w:t>
            </w:r>
          </w:p>
        </w:tc>
        <w:tc>
          <w:tcPr>
            <w:tcW w:w="1747" w:type="dxa"/>
          </w:tcPr>
          <w:p w:rsidR="00FB22E6" w:rsidRPr="00BB7053" w:rsidP="001212E7" w14:paraId="1C1C48B0" w14:textId="7520AF5C">
            <w:pPr>
              <w:keepNext/>
              <w:keepLines/>
              <w:tabs>
                <w:tab w:val="left" w:pos="6030"/>
              </w:tabs>
              <w:spacing w:line="276" w:lineRule="auto"/>
              <w:jc w:val="right"/>
              <w:rPr>
                <w:sz w:val="20"/>
                <w:szCs w:val="20"/>
              </w:rPr>
            </w:pPr>
            <w:r>
              <w:rPr>
                <w:sz w:val="20"/>
                <w:szCs w:val="20"/>
              </w:rPr>
              <w:t>103.40</w:t>
            </w:r>
          </w:p>
        </w:tc>
        <w:tc>
          <w:tcPr>
            <w:tcW w:w="1260" w:type="dxa"/>
          </w:tcPr>
          <w:p w:rsidR="00FB22E6" w:rsidRPr="00BB7053" w:rsidP="001212E7" w14:paraId="041D3666" w14:textId="01F4495F">
            <w:pPr>
              <w:keepNext/>
              <w:keepLines/>
              <w:tabs>
                <w:tab w:val="left" w:pos="6030"/>
              </w:tabs>
              <w:spacing w:line="276" w:lineRule="auto"/>
              <w:jc w:val="right"/>
              <w:rPr>
                <w:sz w:val="20"/>
                <w:szCs w:val="20"/>
              </w:rPr>
            </w:pPr>
            <w:r>
              <w:rPr>
                <w:sz w:val="20"/>
                <w:szCs w:val="20"/>
              </w:rPr>
              <w:t>6</w:t>
            </w:r>
            <w:r w:rsidR="00D24DBB">
              <w:rPr>
                <w:sz w:val="20"/>
                <w:szCs w:val="20"/>
              </w:rPr>
              <w:t>72,100</w:t>
            </w:r>
          </w:p>
        </w:tc>
      </w:tr>
      <w:tr w14:paraId="1AEBBFA4" w14:textId="77777777" w:rsidTr="007D2B7C">
        <w:tblPrEx>
          <w:tblW w:w="10165" w:type="dxa"/>
          <w:tblLook w:val="04A0"/>
        </w:tblPrEx>
        <w:tc>
          <w:tcPr>
            <w:tcW w:w="1516" w:type="dxa"/>
            <w:shd w:val="clear" w:color="auto" w:fill="D9D9D9" w:themeFill="background1" w:themeFillShade="D9"/>
          </w:tcPr>
          <w:p w:rsidR="00FB22E6" w:rsidRPr="00BB7053" w:rsidP="00FB22E6" w14:paraId="2F4DBE6D"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FB22E6" w:rsidRPr="00BB7053" w:rsidP="00FB22E6" w14:paraId="548F373C" w14:textId="13AF7909">
            <w:pPr>
              <w:tabs>
                <w:tab w:val="left" w:pos="6030"/>
              </w:tabs>
              <w:spacing w:line="276" w:lineRule="auto"/>
              <w:jc w:val="right"/>
              <w:rPr>
                <w:sz w:val="20"/>
                <w:szCs w:val="20"/>
              </w:rPr>
            </w:pPr>
            <w:r>
              <w:rPr>
                <w:sz w:val="20"/>
                <w:szCs w:val="20"/>
              </w:rPr>
              <w:t>No change</w:t>
            </w:r>
          </w:p>
        </w:tc>
        <w:tc>
          <w:tcPr>
            <w:tcW w:w="1159" w:type="dxa"/>
            <w:shd w:val="clear" w:color="auto" w:fill="D9D9D9" w:themeFill="background1" w:themeFillShade="D9"/>
          </w:tcPr>
          <w:p w:rsidR="00FB22E6" w:rsidRPr="00BB7053" w:rsidP="00FB22E6" w14:paraId="1546D842" w14:textId="5BA3A8A5">
            <w:pPr>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00FB22E6" w:rsidRPr="00BB7053" w:rsidP="00FB22E6" w14:paraId="59E31F30" w14:textId="4DC3189A">
            <w:pPr>
              <w:tabs>
                <w:tab w:val="left" w:pos="6030"/>
              </w:tabs>
              <w:spacing w:line="276" w:lineRule="auto"/>
              <w:jc w:val="right"/>
              <w:rPr>
                <w:sz w:val="20"/>
                <w:szCs w:val="20"/>
              </w:rPr>
            </w:pPr>
            <w:r w:rsidRPr="00224344">
              <w:rPr>
                <w:sz w:val="20"/>
                <w:szCs w:val="20"/>
              </w:rPr>
              <w:t>No change</w:t>
            </w:r>
          </w:p>
        </w:tc>
        <w:tc>
          <w:tcPr>
            <w:tcW w:w="1063" w:type="dxa"/>
            <w:shd w:val="clear" w:color="auto" w:fill="D9D9D9" w:themeFill="background1" w:themeFillShade="D9"/>
          </w:tcPr>
          <w:p w:rsidR="00FB22E6" w:rsidRPr="00BB7053" w:rsidP="00FB22E6" w14:paraId="79304BA7" w14:textId="50939D9E">
            <w:pPr>
              <w:tabs>
                <w:tab w:val="left" w:pos="6030"/>
              </w:tabs>
              <w:spacing w:line="276" w:lineRule="auto"/>
              <w:jc w:val="right"/>
              <w:rPr>
                <w:sz w:val="20"/>
                <w:szCs w:val="20"/>
              </w:rPr>
            </w:pPr>
            <w:r w:rsidRPr="00224344">
              <w:rPr>
                <w:sz w:val="20"/>
                <w:szCs w:val="20"/>
              </w:rPr>
              <w:t>No change</w:t>
            </w:r>
          </w:p>
        </w:tc>
        <w:tc>
          <w:tcPr>
            <w:tcW w:w="1020" w:type="dxa"/>
            <w:shd w:val="clear" w:color="auto" w:fill="D9D9D9" w:themeFill="background1" w:themeFillShade="D9"/>
          </w:tcPr>
          <w:p w:rsidR="00FB22E6" w:rsidRPr="00BB7053" w:rsidP="00FB22E6" w14:paraId="4CD32FFE" w14:textId="4A128FCA">
            <w:pPr>
              <w:tabs>
                <w:tab w:val="left" w:pos="6030"/>
              </w:tabs>
              <w:spacing w:line="276" w:lineRule="auto"/>
              <w:jc w:val="right"/>
              <w:rPr>
                <w:sz w:val="20"/>
                <w:szCs w:val="20"/>
              </w:rPr>
            </w:pPr>
            <w:r w:rsidRPr="00224344">
              <w:rPr>
                <w:sz w:val="20"/>
                <w:szCs w:val="20"/>
              </w:rPr>
              <w:t>No change</w:t>
            </w:r>
          </w:p>
        </w:tc>
        <w:tc>
          <w:tcPr>
            <w:tcW w:w="1747" w:type="dxa"/>
            <w:shd w:val="clear" w:color="auto" w:fill="D9D9D9" w:themeFill="background1" w:themeFillShade="D9"/>
          </w:tcPr>
          <w:p w:rsidR="00FB22E6" w:rsidRPr="00BB7053" w:rsidP="00FB22E6" w14:paraId="5CE4F385" w14:textId="4616143F">
            <w:pPr>
              <w:tabs>
                <w:tab w:val="left" w:pos="6030"/>
              </w:tabs>
              <w:spacing w:line="276" w:lineRule="auto"/>
              <w:jc w:val="right"/>
              <w:rPr>
                <w:sz w:val="20"/>
                <w:szCs w:val="20"/>
              </w:rPr>
            </w:pPr>
            <w:r w:rsidRPr="00224344">
              <w:rPr>
                <w:sz w:val="20"/>
                <w:szCs w:val="20"/>
              </w:rPr>
              <w:t>No change</w:t>
            </w:r>
          </w:p>
        </w:tc>
        <w:tc>
          <w:tcPr>
            <w:tcW w:w="1260" w:type="dxa"/>
            <w:shd w:val="clear" w:color="auto" w:fill="D9D9D9" w:themeFill="background1" w:themeFillShade="D9"/>
          </w:tcPr>
          <w:p w:rsidR="00FB22E6" w:rsidRPr="00BB7053" w:rsidP="00FB22E6" w14:paraId="565F23C2" w14:textId="4523069C">
            <w:pPr>
              <w:tabs>
                <w:tab w:val="left" w:pos="6030"/>
              </w:tabs>
              <w:spacing w:line="276" w:lineRule="auto"/>
              <w:jc w:val="right"/>
              <w:rPr>
                <w:sz w:val="20"/>
                <w:szCs w:val="20"/>
              </w:rPr>
            </w:pPr>
            <w:r w:rsidRPr="00D24DBB">
              <w:rPr>
                <w:sz w:val="20"/>
                <w:szCs w:val="20"/>
              </w:rPr>
              <w:t>No change</w:t>
            </w:r>
          </w:p>
        </w:tc>
      </w:tr>
    </w:tbl>
    <w:p w:rsidR="00885183" w:rsidP="00ED1FF5" w14:paraId="380090BA" w14:textId="6BC15A6C">
      <w:pPr>
        <w:keepNext/>
        <w:keepLines/>
        <w:spacing w:before="200"/>
        <w:jc w:val="center"/>
        <w:rPr>
          <w:b/>
          <w:bCs/>
        </w:rPr>
      </w:pPr>
      <w:r w:rsidRPr="00B30713">
        <w:rPr>
          <w:rFonts w:eastAsia="Calibri"/>
          <w:b/>
          <w:bCs/>
        </w:rPr>
        <w:t xml:space="preserve">TABLE </w:t>
      </w:r>
      <w:r w:rsidR="00C1361E">
        <w:rPr>
          <w:rFonts w:eastAsia="Calibri"/>
          <w:b/>
          <w:bCs/>
        </w:rPr>
        <w:t>3</w:t>
      </w:r>
      <w:r w:rsidR="009D5F5E">
        <w:rPr>
          <w:rFonts w:eastAsia="Calibri"/>
          <w:b/>
          <w:bCs/>
        </w:rPr>
        <w:t>1H</w:t>
      </w:r>
      <w:r w:rsidRPr="00B30713">
        <w:rPr>
          <w:rFonts w:eastAsia="Calibri"/>
          <w:b/>
          <w:bCs/>
        </w:rPr>
        <w:t xml:space="preserve">: Burden Reconciliation for </w:t>
      </w:r>
      <w:r w:rsidRPr="00862C11" w:rsidR="00862C11">
        <w:rPr>
          <w:rFonts w:eastAsia="Calibri"/>
          <w:b/>
          <w:bCs/>
        </w:rPr>
        <w:t xml:space="preserve">Quality Performance Category Claims </w:t>
      </w:r>
      <w:r w:rsidR="00D90A3F">
        <w:rPr>
          <w:rFonts w:eastAsia="Calibri"/>
          <w:b/>
          <w:bCs/>
        </w:rPr>
        <w:br/>
      </w:r>
      <w:r w:rsidRPr="00862C11" w:rsidR="00862C11">
        <w:rPr>
          <w:rFonts w:eastAsia="Calibri"/>
          <w:b/>
          <w:bCs/>
        </w:rPr>
        <w:t>Collection Type</w:t>
      </w:r>
    </w:p>
    <w:tbl>
      <w:tblPr>
        <w:tblStyle w:val="TableGrid"/>
        <w:tblW w:w="9625" w:type="dxa"/>
        <w:tblLook w:val="04A0"/>
      </w:tblPr>
      <w:tblGrid>
        <w:gridCol w:w="1238"/>
        <w:gridCol w:w="1315"/>
        <w:gridCol w:w="1127"/>
        <w:gridCol w:w="1294"/>
        <w:gridCol w:w="1017"/>
        <w:gridCol w:w="1310"/>
        <w:gridCol w:w="888"/>
        <w:gridCol w:w="1436"/>
      </w:tblGrid>
      <w:tr w14:paraId="2C8C1EEF" w14:textId="77777777" w:rsidTr="003830B0">
        <w:tblPrEx>
          <w:tblW w:w="9625" w:type="dxa"/>
          <w:tblLook w:val="04A0"/>
        </w:tblPrEx>
        <w:trPr>
          <w:cantSplit/>
          <w:tblHeader/>
        </w:trPr>
        <w:tc>
          <w:tcPr>
            <w:tcW w:w="1238" w:type="dxa"/>
          </w:tcPr>
          <w:p w:rsidR="00885183" w:rsidRPr="001212E7" w:rsidP="00536031" w14:paraId="08BD11F4"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15" w:type="dxa"/>
          </w:tcPr>
          <w:p w:rsidR="00885183" w:rsidRPr="001212E7" w:rsidP="00536031" w14:paraId="58668412"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27" w:type="dxa"/>
          </w:tcPr>
          <w:p w:rsidR="00885183" w:rsidRPr="001212E7" w:rsidP="00536031" w14:paraId="6FE59CD9"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294" w:type="dxa"/>
          </w:tcPr>
          <w:p w:rsidR="00885183" w:rsidRPr="001212E7" w:rsidP="00536031" w14:paraId="56BF29C4"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17" w:type="dxa"/>
          </w:tcPr>
          <w:p w:rsidR="00885183" w:rsidRPr="001212E7" w:rsidP="00536031" w14:paraId="7EB224A2" w14:textId="77777777">
            <w:pPr>
              <w:keepNext/>
              <w:keepLines/>
              <w:tabs>
                <w:tab w:val="left" w:pos="6030"/>
              </w:tabs>
              <w:spacing w:line="276" w:lineRule="auto"/>
              <w:rPr>
                <w:b/>
                <w:bCs/>
                <w:sz w:val="20"/>
                <w:szCs w:val="20"/>
              </w:rPr>
            </w:pPr>
            <w:r w:rsidRPr="001212E7">
              <w:rPr>
                <w:b/>
                <w:bCs/>
                <w:sz w:val="20"/>
                <w:szCs w:val="20"/>
              </w:rPr>
              <w:t>Time Per Response (hr)</w:t>
            </w:r>
          </w:p>
        </w:tc>
        <w:tc>
          <w:tcPr>
            <w:tcW w:w="1310" w:type="dxa"/>
          </w:tcPr>
          <w:p w:rsidR="00885183" w:rsidRPr="001212E7" w:rsidP="00536031" w14:paraId="1334524A" w14:textId="73B6D392">
            <w:pPr>
              <w:keepNext/>
              <w:keepLines/>
              <w:tabs>
                <w:tab w:val="left" w:pos="6030"/>
              </w:tabs>
              <w:spacing w:line="276" w:lineRule="auto"/>
              <w:jc w:val="both"/>
              <w:rPr>
                <w:b/>
                <w:bCs/>
                <w:sz w:val="20"/>
                <w:szCs w:val="20"/>
              </w:rPr>
            </w:pPr>
            <w:r w:rsidRPr="001212E7">
              <w:rPr>
                <w:b/>
                <w:bCs/>
                <w:sz w:val="20"/>
                <w:szCs w:val="20"/>
              </w:rPr>
              <w:t>Total</w:t>
            </w:r>
            <w:r w:rsidR="00DC1611">
              <w:rPr>
                <w:b/>
                <w:bCs/>
                <w:sz w:val="20"/>
                <w:szCs w:val="20"/>
              </w:rPr>
              <w:t xml:space="preserve"> </w:t>
            </w:r>
            <w:r w:rsidRPr="001212E7">
              <w:rPr>
                <w:b/>
                <w:bCs/>
                <w:sz w:val="20"/>
                <w:szCs w:val="20"/>
              </w:rPr>
              <w:t>Annual Time (hr)</w:t>
            </w:r>
          </w:p>
        </w:tc>
        <w:tc>
          <w:tcPr>
            <w:tcW w:w="888" w:type="dxa"/>
          </w:tcPr>
          <w:p w:rsidR="00885183" w:rsidRPr="001212E7" w:rsidP="00536031" w14:paraId="5945A90A"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436" w:type="dxa"/>
          </w:tcPr>
          <w:p w:rsidR="00885183" w:rsidRPr="001212E7" w:rsidP="00536031" w14:paraId="6072BB66" w14:textId="77777777">
            <w:pPr>
              <w:keepNext/>
              <w:keepLines/>
              <w:tabs>
                <w:tab w:val="left" w:pos="6030"/>
              </w:tabs>
              <w:spacing w:line="276" w:lineRule="auto"/>
              <w:rPr>
                <w:b/>
                <w:bCs/>
                <w:sz w:val="20"/>
                <w:szCs w:val="20"/>
              </w:rPr>
            </w:pPr>
            <w:r w:rsidRPr="001212E7">
              <w:rPr>
                <w:b/>
                <w:bCs/>
                <w:sz w:val="20"/>
                <w:szCs w:val="20"/>
              </w:rPr>
              <w:t>Total Annual Cost ($)</w:t>
            </w:r>
          </w:p>
        </w:tc>
      </w:tr>
      <w:tr w14:paraId="755C8675" w14:textId="77777777" w:rsidTr="003830B0">
        <w:tblPrEx>
          <w:tblW w:w="9625" w:type="dxa"/>
          <w:tblLook w:val="04A0"/>
        </w:tblPrEx>
        <w:trPr>
          <w:cantSplit/>
        </w:trPr>
        <w:tc>
          <w:tcPr>
            <w:tcW w:w="1238" w:type="dxa"/>
          </w:tcPr>
          <w:p w:rsidR="00555018" w:rsidRPr="00BB7053" w:rsidP="00555018" w14:paraId="168B795D" w14:textId="14CEA81D">
            <w:pPr>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15" w:type="dxa"/>
          </w:tcPr>
          <w:p w:rsidR="00555018" w:rsidRPr="00BB7053" w:rsidP="00555018" w14:paraId="7FBBA3A5" w14:textId="6688B81D">
            <w:pPr>
              <w:tabs>
                <w:tab w:val="left" w:pos="6030"/>
              </w:tabs>
              <w:spacing w:line="276" w:lineRule="auto"/>
              <w:jc w:val="right"/>
              <w:rPr>
                <w:sz w:val="20"/>
                <w:szCs w:val="20"/>
              </w:rPr>
            </w:pPr>
            <w:r>
              <w:rPr>
                <w:sz w:val="20"/>
                <w:szCs w:val="20"/>
              </w:rPr>
              <w:t>14,736</w:t>
            </w:r>
          </w:p>
        </w:tc>
        <w:tc>
          <w:tcPr>
            <w:tcW w:w="1127" w:type="dxa"/>
          </w:tcPr>
          <w:p w:rsidR="00555018" w:rsidRPr="00BB7053" w:rsidP="00555018" w14:paraId="5C82005A" w14:textId="4B025CAC">
            <w:pPr>
              <w:tabs>
                <w:tab w:val="left" w:pos="6030"/>
              </w:tabs>
              <w:spacing w:line="276" w:lineRule="auto"/>
              <w:jc w:val="right"/>
              <w:rPr>
                <w:sz w:val="20"/>
                <w:szCs w:val="20"/>
              </w:rPr>
            </w:pPr>
            <w:r>
              <w:rPr>
                <w:sz w:val="20"/>
                <w:szCs w:val="20"/>
              </w:rPr>
              <w:t>1</w:t>
            </w:r>
          </w:p>
        </w:tc>
        <w:tc>
          <w:tcPr>
            <w:tcW w:w="1294" w:type="dxa"/>
          </w:tcPr>
          <w:p w:rsidR="00555018" w:rsidRPr="00BB7053" w:rsidP="00555018" w14:paraId="02547004" w14:textId="376131C3">
            <w:pPr>
              <w:tabs>
                <w:tab w:val="left" w:pos="6030"/>
              </w:tabs>
              <w:spacing w:line="276" w:lineRule="auto"/>
              <w:jc w:val="right"/>
              <w:rPr>
                <w:sz w:val="20"/>
                <w:szCs w:val="20"/>
              </w:rPr>
            </w:pPr>
            <w:r w:rsidRPr="006A4BCE">
              <w:rPr>
                <w:sz w:val="20"/>
                <w:szCs w:val="20"/>
              </w:rPr>
              <w:t>14,736</w:t>
            </w:r>
          </w:p>
        </w:tc>
        <w:tc>
          <w:tcPr>
            <w:tcW w:w="1017" w:type="dxa"/>
          </w:tcPr>
          <w:p w:rsidR="00555018" w:rsidRPr="00BB7053" w:rsidP="00555018" w14:paraId="7C59EB78" w14:textId="137C46D0">
            <w:pPr>
              <w:tabs>
                <w:tab w:val="left" w:pos="6030"/>
              </w:tabs>
              <w:spacing w:line="276" w:lineRule="auto"/>
              <w:jc w:val="right"/>
              <w:rPr>
                <w:sz w:val="20"/>
                <w:szCs w:val="20"/>
              </w:rPr>
            </w:pPr>
            <w:r>
              <w:rPr>
                <w:sz w:val="20"/>
                <w:szCs w:val="20"/>
              </w:rPr>
              <w:t>14.2</w:t>
            </w:r>
          </w:p>
        </w:tc>
        <w:tc>
          <w:tcPr>
            <w:tcW w:w="1310" w:type="dxa"/>
          </w:tcPr>
          <w:p w:rsidR="00555018" w:rsidRPr="00BB7053" w:rsidP="00555018" w14:paraId="20AB4645" w14:textId="26BEE035">
            <w:pPr>
              <w:tabs>
                <w:tab w:val="left" w:pos="6030"/>
              </w:tabs>
              <w:spacing w:line="276" w:lineRule="auto"/>
              <w:jc w:val="right"/>
              <w:rPr>
                <w:sz w:val="20"/>
                <w:szCs w:val="20"/>
              </w:rPr>
            </w:pPr>
            <w:r>
              <w:rPr>
                <w:sz w:val="20"/>
                <w:szCs w:val="20"/>
              </w:rPr>
              <w:t>209,251</w:t>
            </w:r>
          </w:p>
        </w:tc>
        <w:tc>
          <w:tcPr>
            <w:tcW w:w="888" w:type="dxa"/>
          </w:tcPr>
          <w:p w:rsidR="00555018" w:rsidRPr="00BB7053" w:rsidP="00555018" w14:paraId="65B39038" w14:textId="3E6CFF07">
            <w:pPr>
              <w:tabs>
                <w:tab w:val="left" w:pos="6030"/>
              </w:tabs>
              <w:spacing w:line="276" w:lineRule="auto"/>
              <w:jc w:val="right"/>
              <w:rPr>
                <w:sz w:val="20"/>
                <w:szCs w:val="20"/>
              </w:rPr>
            </w:pPr>
            <w:r>
              <w:rPr>
                <w:sz w:val="20"/>
                <w:szCs w:val="20"/>
              </w:rPr>
              <w:t>Varies</w:t>
            </w:r>
          </w:p>
        </w:tc>
        <w:tc>
          <w:tcPr>
            <w:tcW w:w="1436" w:type="dxa"/>
          </w:tcPr>
          <w:p w:rsidR="00555018" w:rsidRPr="00BB7053" w:rsidP="00555018" w14:paraId="34B0954D" w14:textId="03AC06FB">
            <w:pPr>
              <w:tabs>
                <w:tab w:val="left" w:pos="6030"/>
              </w:tabs>
              <w:spacing w:line="276" w:lineRule="auto"/>
              <w:jc w:val="right"/>
              <w:rPr>
                <w:sz w:val="20"/>
                <w:szCs w:val="20"/>
              </w:rPr>
            </w:pPr>
            <w:r>
              <w:rPr>
                <w:sz w:val="20"/>
                <w:szCs w:val="20"/>
              </w:rPr>
              <w:t>23,405,189</w:t>
            </w:r>
          </w:p>
        </w:tc>
      </w:tr>
      <w:tr w14:paraId="1C0F00DB" w14:textId="77777777" w:rsidTr="003830B0">
        <w:tblPrEx>
          <w:tblW w:w="9625" w:type="dxa"/>
          <w:tblLook w:val="04A0"/>
        </w:tblPrEx>
        <w:trPr>
          <w:cantSplit/>
        </w:trPr>
        <w:tc>
          <w:tcPr>
            <w:tcW w:w="1238" w:type="dxa"/>
          </w:tcPr>
          <w:p w:rsidR="00555018" w:rsidRPr="00BB7053" w:rsidP="00192E2E" w14:paraId="799F2E63" w14:textId="3302E24A">
            <w:pPr>
              <w:tabs>
                <w:tab w:val="left" w:pos="6030"/>
              </w:tabs>
              <w:spacing w:line="276" w:lineRule="auto"/>
              <w:rPr>
                <w:sz w:val="20"/>
                <w:szCs w:val="20"/>
              </w:rPr>
            </w:pPr>
            <w:r>
              <w:rPr>
                <w:sz w:val="20"/>
                <w:szCs w:val="20"/>
              </w:rPr>
              <w:t>Finaliz</w:t>
            </w:r>
            <w:r w:rsidR="00773DD1">
              <w:rPr>
                <w:sz w:val="20"/>
                <w:szCs w:val="20"/>
              </w:rPr>
              <w:t>ed</w:t>
            </w:r>
            <w:r w:rsidR="00ED1FF5">
              <w:rPr>
                <w:sz w:val="20"/>
                <w:szCs w:val="20"/>
              </w:rPr>
              <w:t xml:space="preserve"> </w:t>
            </w:r>
            <w:r w:rsidRPr="00A67FD9" w:rsidR="00A67FD9">
              <w:rPr>
                <w:sz w:val="20"/>
                <w:szCs w:val="20"/>
              </w:rPr>
              <w:t xml:space="preserve">(See Table </w:t>
            </w:r>
            <w:r w:rsidR="007812B8">
              <w:rPr>
                <w:sz w:val="20"/>
                <w:szCs w:val="20"/>
              </w:rPr>
              <w:t>11</w:t>
            </w:r>
            <w:r w:rsidRPr="00A67FD9" w:rsidR="00A67FD9">
              <w:rPr>
                <w:sz w:val="20"/>
                <w:szCs w:val="20"/>
              </w:rPr>
              <w:t>)</w:t>
            </w:r>
          </w:p>
        </w:tc>
        <w:tc>
          <w:tcPr>
            <w:tcW w:w="1315" w:type="dxa"/>
          </w:tcPr>
          <w:p w:rsidR="00555018" w:rsidRPr="00BB7053" w:rsidP="00555018" w14:paraId="6AC37DC7" w14:textId="4898DAEB">
            <w:pPr>
              <w:tabs>
                <w:tab w:val="left" w:pos="6030"/>
              </w:tabs>
              <w:spacing w:line="276" w:lineRule="auto"/>
              <w:jc w:val="right"/>
              <w:rPr>
                <w:sz w:val="20"/>
                <w:szCs w:val="20"/>
              </w:rPr>
            </w:pPr>
            <w:r>
              <w:rPr>
                <w:sz w:val="20"/>
                <w:szCs w:val="20"/>
              </w:rPr>
              <w:t>1</w:t>
            </w:r>
            <w:r w:rsidR="001B3121">
              <w:rPr>
                <w:sz w:val="20"/>
                <w:szCs w:val="20"/>
              </w:rPr>
              <w:t>3,413</w:t>
            </w:r>
          </w:p>
        </w:tc>
        <w:tc>
          <w:tcPr>
            <w:tcW w:w="1127" w:type="dxa"/>
          </w:tcPr>
          <w:p w:rsidR="00555018" w:rsidRPr="00BB7053" w:rsidP="00555018" w14:paraId="68BD3832" w14:textId="280EFBFE">
            <w:pPr>
              <w:tabs>
                <w:tab w:val="left" w:pos="6030"/>
              </w:tabs>
              <w:spacing w:line="276" w:lineRule="auto"/>
              <w:jc w:val="right"/>
              <w:rPr>
                <w:sz w:val="20"/>
                <w:szCs w:val="20"/>
              </w:rPr>
            </w:pPr>
            <w:r>
              <w:rPr>
                <w:sz w:val="20"/>
                <w:szCs w:val="20"/>
              </w:rPr>
              <w:t>1</w:t>
            </w:r>
          </w:p>
        </w:tc>
        <w:tc>
          <w:tcPr>
            <w:tcW w:w="1294" w:type="dxa"/>
          </w:tcPr>
          <w:p w:rsidR="00555018" w:rsidRPr="00BB7053" w:rsidP="00555018" w14:paraId="3E21CE80" w14:textId="1E597108">
            <w:pPr>
              <w:tabs>
                <w:tab w:val="left" w:pos="6030"/>
              </w:tabs>
              <w:spacing w:line="276" w:lineRule="auto"/>
              <w:jc w:val="right"/>
              <w:rPr>
                <w:sz w:val="20"/>
                <w:szCs w:val="20"/>
              </w:rPr>
            </w:pPr>
            <w:r>
              <w:rPr>
                <w:sz w:val="20"/>
                <w:szCs w:val="20"/>
              </w:rPr>
              <w:t>1</w:t>
            </w:r>
            <w:r w:rsidR="006915CB">
              <w:rPr>
                <w:sz w:val="20"/>
                <w:szCs w:val="20"/>
              </w:rPr>
              <w:t>3,413</w:t>
            </w:r>
          </w:p>
        </w:tc>
        <w:tc>
          <w:tcPr>
            <w:tcW w:w="1017" w:type="dxa"/>
          </w:tcPr>
          <w:p w:rsidR="00555018" w:rsidRPr="00BB7053" w:rsidP="00555018" w14:paraId="31FBD367" w14:textId="61841EB2">
            <w:pPr>
              <w:tabs>
                <w:tab w:val="left" w:pos="6030"/>
              </w:tabs>
              <w:spacing w:line="276" w:lineRule="auto"/>
              <w:jc w:val="right"/>
              <w:rPr>
                <w:sz w:val="20"/>
                <w:szCs w:val="20"/>
              </w:rPr>
            </w:pPr>
            <w:r>
              <w:rPr>
                <w:sz w:val="20"/>
                <w:szCs w:val="20"/>
              </w:rPr>
              <w:t>14.2</w:t>
            </w:r>
          </w:p>
        </w:tc>
        <w:tc>
          <w:tcPr>
            <w:tcW w:w="1310" w:type="dxa"/>
          </w:tcPr>
          <w:p w:rsidR="00555018" w:rsidRPr="00BB7053" w:rsidP="00555018" w14:paraId="24E9D429" w14:textId="2CBEB395">
            <w:pPr>
              <w:tabs>
                <w:tab w:val="left" w:pos="6030"/>
              </w:tabs>
              <w:spacing w:line="276" w:lineRule="auto"/>
              <w:jc w:val="right"/>
              <w:rPr>
                <w:sz w:val="20"/>
                <w:szCs w:val="20"/>
              </w:rPr>
            </w:pPr>
            <w:r>
              <w:rPr>
                <w:sz w:val="20"/>
                <w:szCs w:val="20"/>
              </w:rPr>
              <w:t>190,465</w:t>
            </w:r>
          </w:p>
        </w:tc>
        <w:tc>
          <w:tcPr>
            <w:tcW w:w="888" w:type="dxa"/>
          </w:tcPr>
          <w:p w:rsidR="00555018" w:rsidRPr="00BB7053" w:rsidP="00555018" w14:paraId="397CF625" w14:textId="3EA75ADC">
            <w:pPr>
              <w:tabs>
                <w:tab w:val="left" w:pos="6030"/>
              </w:tabs>
              <w:spacing w:line="276" w:lineRule="auto"/>
              <w:jc w:val="right"/>
              <w:rPr>
                <w:sz w:val="20"/>
                <w:szCs w:val="20"/>
              </w:rPr>
            </w:pPr>
            <w:r>
              <w:rPr>
                <w:sz w:val="20"/>
                <w:szCs w:val="20"/>
              </w:rPr>
              <w:t>Varies</w:t>
            </w:r>
          </w:p>
        </w:tc>
        <w:tc>
          <w:tcPr>
            <w:tcW w:w="1436" w:type="dxa"/>
          </w:tcPr>
          <w:p w:rsidR="00555018" w:rsidRPr="00BB7053" w:rsidP="00555018" w14:paraId="09FBCDB3" w14:textId="2763ACF5">
            <w:pPr>
              <w:tabs>
                <w:tab w:val="left" w:pos="6030"/>
              </w:tabs>
              <w:spacing w:line="276" w:lineRule="auto"/>
              <w:jc w:val="right"/>
              <w:rPr>
                <w:sz w:val="20"/>
                <w:szCs w:val="20"/>
              </w:rPr>
            </w:pPr>
            <w:r>
              <w:rPr>
                <w:sz w:val="20"/>
                <w:szCs w:val="20"/>
              </w:rPr>
              <w:t>2</w:t>
            </w:r>
            <w:r w:rsidR="00EF54DD">
              <w:rPr>
                <w:sz w:val="20"/>
                <w:szCs w:val="20"/>
              </w:rPr>
              <w:t>1,303,868</w:t>
            </w:r>
          </w:p>
        </w:tc>
      </w:tr>
      <w:tr w14:paraId="2985E698" w14:textId="77777777" w:rsidTr="005255DD">
        <w:tblPrEx>
          <w:tblW w:w="9625" w:type="dxa"/>
          <w:tblLook w:val="04A0"/>
        </w:tblPrEx>
        <w:trPr>
          <w:cantSplit/>
        </w:trPr>
        <w:tc>
          <w:tcPr>
            <w:tcW w:w="1238" w:type="dxa"/>
            <w:shd w:val="clear" w:color="auto" w:fill="D9D9D9" w:themeFill="background1" w:themeFillShade="D9"/>
          </w:tcPr>
          <w:p w:rsidR="00555018" w:rsidRPr="00BB7053" w:rsidP="00555018" w14:paraId="06A08736" w14:textId="182B520A">
            <w:pPr>
              <w:tabs>
                <w:tab w:val="left" w:pos="6030"/>
              </w:tabs>
              <w:spacing w:line="276" w:lineRule="auto"/>
              <w:jc w:val="both"/>
              <w:rPr>
                <w:sz w:val="20"/>
                <w:szCs w:val="20"/>
              </w:rPr>
            </w:pPr>
            <w:r>
              <w:rPr>
                <w:sz w:val="20"/>
                <w:szCs w:val="20"/>
              </w:rPr>
              <w:t>Adjustment</w:t>
            </w:r>
            <w:r w:rsidR="00DF2470">
              <w:rPr>
                <w:sz w:val="20"/>
                <w:szCs w:val="20"/>
              </w:rPr>
              <w:t xml:space="preserve"> </w:t>
            </w:r>
          </w:p>
        </w:tc>
        <w:tc>
          <w:tcPr>
            <w:tcW w:w="1315" w:type="dxa"/>
            <w:shd w:val="clear" w:color="auto" w:fill="D9D9D9" w:themeFill="background1" w:themeFillShade="D9"/>
          </w:tcPr>
          <w:p w:rsidR="00555018" w:rsidRPr="00BB7053" w:rsidP="00555018" w14:paraId="576FD831" w14:textId="35EF0ABF">
            <w:pPr>
              <w:tabs>
                <w:tab w:val="left" w:pos="6030"/>
              </w:tabs>
              <w:spacing w:line="276" w:lineRule="auto"/>
              <w:jc w:val="right"/>
              <w:rPr>
                <w:sz w:val="20"/>
                <w:szCs w:val="20"/>
              </w:rPr>
            </w:pPr>
            <w:r>
              <w:rPr>
                <w:sz w:val="20"/>
                <w:szCs w:val="20"/>
              </w:rPr>
              <w:t>-</w:t>
            </w:r>
            <w:r w:rsidR="00604262">
              <w:rPr>
                <w:sz w:val="20"/>
                <w:szCs w:val="20"/>
              </w:rPr>
              <w:t>1,323</w:t>
            </w:r>
          </w:p>
        </w:tc>
        <w:tc>
          <w:tcPr>
            <w:tcW w:w="1127" w:type="dxa"/>
            <w:shd w:val="clear" w:color="auto" w:fill="D9D9D9" w:themeFill="background1" w:themeFillShade="D9"/>
          </w:tcPr>
          <w:p w:rsidR="00555018" w:rsidRPr="00BB7053" w:rsidP="00555018" w14:paraId="78C5A4C4" w14:textId="17FC59AB">
            <w:pPr>
              <w:tabs>
                <w:tab w:val="left" w:pos="6030"/>
              </w:tabs>
              <w:spacing w:line="276" w:lineRule="auto"/>
              <w:jc w:val="right"/>
              <w:rPr>
                <w:sz w:val="20"/>
                <w:szCs w:val="20"/>
              </w:rPr>
            </w:pPr>
            <w:r>
              <w:rPr>
                <w:sz w:val="20"/>
                <w:szCs w:val="20"/>
              </w:rPr>
              <w:t>No change</w:t>
            </w:r>
          </w:p>
        </w:tc>
        <w:tc>
          <w:tcPr>
            <w:tcW w:w="1294" w:type="dxa"/>
            <w:shd w:val="clear" w:color="auto" w:fill="D9D9D9" w:themeFill="background1" w:themeFillShade="D9"/>
          </w:tcPr>
          <w:p w:rsidR="00555018" w:rsidRPr="00BB7053" w:rsidP="00555018" w14:paraId="514EF2A8" w14:textId="2E7C0FC3">
            <w:pPr>
              <w:tabs>
                <w:tab w:val="left" w:pos="6030"/>
              </w:tabs>
              <w:spacing w:line="276" w:lineRule="auto"/>
              <w:jc w:val="right"/>
              <w:rPr>
                <w:sz w:val="20"/>
                <w:szCs w:val="20"/>
              </w:rPr>
            </w:pPr>
            <w:r>
              <w:rPr>
                <w:sz w:val="20"/>
                <w:szCs w:val="20"/>
              </w:rPr>
              <w:t>-</w:t>
            </w:r>
            <w:r w:rsidR="002319B1">
              <w:rPr>
                <w:sz w:val="20"/>
                <w:szCs w:val="20"/>
              </w:rPr>
              <w:t>1,323</w:t>
            </w:r>
          </w:p>
        </w:tc>
        <w:tc>
          <w:tcPr>
            <w:tcW w:w="1017" w:type="dxa"/>
            <w:shd w:val="clear" w:color="auto" w:fill="D9D9D9" w:themeFill="background1" w:themeFillShade="D9"/>
          </w:tcPr>
          <w:p w:rsidR="00555018" w:rsidRPr="00BB7053" w:rsidP="00555018" w14:paraId="5CBFEFD2" w14:textId="46BED106">
            <w:pPr>
              <w:tabs>
                <w:tab w:val="left" w:pos="6030"/>
              </w:tabs>
              <w:spacing w:line="276" w:lineRule="auto"/>
              <w:jc w:val="right"/>
              <w:rPr>
                <w:sz w:val="20"/>
                <w:szCs w:val="20"/>
              </w:rPr>
            </w:pPr>
            <w:r>
              <w:rPr>
                <w:sz w:val="20"/>
                <w:szCs w:val="20"/>
              </w:rPr>
              <w:t>No change</w:t>
            </w:r>
          </w:p>
        </w:tc>
        <w:tc>
          <w:tcPr>
            <w:tcW w:w="1310" w:type="dxa"/>
            <w:shd w:val="clear" w:color="auto" w:fill="D9D9D9" w:themeFill="background1" w:themeFillShade="D9"/>
          </w:tcPr>
          <w:p w:rsidR="00555018" w:rsidRPr="00BB7053" w:rsidP="00555018" w14:paraId="4A602E7E" w14:textId="68758587">
            <w:pPr>
              <w:tabs>
                <w:tab w:val="left" w:pos="6030"/>
              </w:tabs>
              <w:spacing w:line="276" w:lineRule="auto"/>
              <w:jc w:val="right"/>
              <w:rPr>
                <w:sz w:val="20"/>
                <w:szCs w:val="20"/>
              </w:rPr>
            </w:pPr>
            <w:r>
              <w:rPr>
                <w:sz w:val="20"/>
                <w:szCs w:val="20"/>
              </w:rPr>
              <w:t>-</w:t>
            </w:r>
            <w:r w:rsidR="009501D5">
              <w:rPr>
                <w:sz w:val="20"/>
                <w:szCs w:val="20"/>
              </w:rPr>
              <w:t>18,786</w:t>
            </w:r>
          </w:p>
        </w:tc>
        <w:tc>
          <w:tcPr>
            <w:tcW w:w="888" w:type="dxa"/>
            <w:shd w:val="clear" w:color="auto" w:fill="D9D9D9" w:themeFill="background1" w:themeFillShade="D9"/>
          </w:tcPr>
          <w:p w:rsidR="00555018" w:rsidRPr="00BB7053" w:rsidP="00555018" w14:paraId="66E4847E" w14:textId="2BE95409">
            <w:pPr>
              <w:tabs>
                <w:tab w:val="left" w:pos="6030"/>
              </w:tabs>
              <w:spacing w:line="276" w:lineRule="auto"/>
              <w:jc w:val="right"/>
              <w:rPr>
                <w:sz w:val="20"/>
                <w:szCs w:val="20"/>
              </w:rPr>
            </w:pPr>
            <w:r>
              <w:rPr>
                <w:sz w:val="20"/>
                <w:szCs w:val="20"/>
              </w:rPr>
              <w:t>No change</w:t>
            </w:r>
          </w:p>
        </w:tc>
        <w:tc>
          <w:tcPr>
            <w:tcW w:w="1436" w:type="dxa"/>
            <w:shd w:val="clear" w:color="auto" w:fill="D9D9D9" w:themeFill="background1" w:themeFillShade="D9"/>
          </w:tcPr>
          <w:p w:rsidR="00555018" w:rsidRPr="00BB7053" w:rsidP="00555018" w14:paraId="67BBC51D" w14:textId="7F907623">
            <w:pPr>
              <w:tabs>
                <w:tab w:val="left" w:pos="6030"/>
              </w:tabs>
              <w:spacing w:line="276" w:lineRule="auto"/>
              <w:jc w:val="right"/>
              <w:rPr>
                <w:sz w:val="20"/>
                <w:szCs w:val="20"/>
              </w:rPr>
            </w:pPr>
            <w:r>
              <w:rPr>
                <w:sz w:val="20"/>
                <w:szCs w:val="20"/>
              </w:rPr>
              <w:t>-</w:t>
            </w:r>
            <w:r w:rsidR="00FC3B23">
              <w:rPr>
                <w:sz w:val="20"/>
                <w:szCs w:val="20"/>
              </w:rPr>
              <w:t>2,101,321</w:t>
            </w:r>
          </w:p>
        </w:tc>
      </w:tr>
    </w:tbl>
    <w:p w:rsidR="00885183" w:rsidP="00BB7053" w14:paraId="6F01ED7C" w14:textId="10EC0EC4">
      <w:pPr>
        <w:tabs>
          <w:tab w:val="left" w:pos="6030"/>
        </w:tabs>
        <w:spacing w:line="276" w:lineRule="auto"/>
        <w:jc w:val="both"/>
      </w:pPr>
    </w:p>
    <w:p w:rsidR="00885183" w:rsidP="00F377C1" w14:paraId="3CA84BC7" w14:textId="5CE0AC75">
      <w:pPr>
        <w:keepNext/>
        <w:keepLines/>
        <w:jc w:val="center"/>
        <w:rPr>
          <w:b/>
          <w:bCs/>
        </w:rPr>
      </w:pPr>
      <w:r w:rsidRPr="00B30713">
        <w:rPr>
          <w:rFonts w:eastAsia="Calibri"/>
          <w:b/>
          <w:bCs/>
        </w:rPr>
        <w:t xml:space="preserve">TABLE </w:t>
      </w:r>
      <w:r w:rsidR="00C1361E">
        <w:rPr>
          <w:rFonts w:eastAsia="Calibri"/>
          <w:b/>
          <w:bCs/>
        </w:rPr>
        <w:t>3</w:t>
      </w:r>
      <w:r w:rsidR="00F42C74">
        <w:rPr>
          <w:rFonts w:eastAsia="Calibri"/>
          <w:b/>
          <w:bCs/>
        </w:rPr>
        <w:t>1I</w:t>
      </w:r>
      <w:r w:rsidRPr="00B30713">
        <w:rPr>
          <w:rFonts w:eastAsia="Calibri"/>
          <w:b/>
          <w:bCs/>
        </w:rPr>
        <w:t xml:space="preserve">: Burden Reconciliation for </w:t>
      </w:r>
      <w:r w:rsidRPr="00485336" w:rsidR="00485336">
        <w:rPr>
          <w:rFonts w:eastAsia="Calibri"/>
          <w:b/>
          <w:bCs/>
        </w:rPr>
        <w:t>Quality Performance Category QCDR/MIPS CQM Collection Type</w:t>
      </w:r>
    </w:p>
    <w:tbl>
      <w:tblPr>
        <w:tblStyle w:val="TableGrid"/>
        <w:tblW w:w="9990" w:type="dxa"/>
        <w:tblInd w:w="-275" w:type="dxa"/>
        <w:tblLayout w:type="fixed"/>
        <w:tblLook w:val="04A0"/>
      </w:tblPr>
      <w:tblGrid>
        <w:gridCol w:w="1350"/>
        <w:gridCol w:w="1358"/>
        <w:gridCol w:w="1276"/>
        <w:gridCol w:w="1326"/>
        <w:gridCol w:w="1080"/>
        <w:gridCol w:w="1170"/>
        <w:gridCol w:w="990"/>
        <w:gridCol w:w="1440"/>
      </w:tblGrid>
      <w:tr w14:paraId="0F913CDB" w14:textId="77777777" w:rsidTr="75100B9B">
        <w:tblPrEx>
          <w:tblW w:w="9990" w:type="dxa"/>
          <w:tblInd w:w="-275" w:type="dxa"/>
          <w:tblLayout w:type="fixed"/>
          <w:tblLook w:val="04A0"/>
        </w:tblPrEx>
        <w:trPr>
          <w:trHeight w:val="781"/>
          <w:tblHeader/>
        </w:trPr>
        <w:tc>
          <w:tcPr>
            <w:tcW w:w="1350" w:type="dxa"/>
          </w:tcPr>
          <w:p w:rsidR="00885183" w:rsidRPr="00B76FCA" w:rsidP="00F377C1" w14:paraId="1F6FD781" w14:textId="77777777">
            <w:pPr>
              <w:keepNext/>
              <w:keepLines/>
              <w:tabs>
                <w:tab w:val="left" w:pos="6030"/>
              </w:tabs>
              <w:spacing w:line="276" w:lineRule="auto"/>
              <w:jc w:val="both"/>
              <w:rPr>
                <w:b/>
                <w:bCs/>
                <w:sz w:val="20"/>
                <w:szCs w:val="20"/>
              </w:rPr>
            </w:pPr>
            <w:r w:rsidRPr="004F3C8C">
              <w:rPr>
                <w:b/>
                <w:bCs/>
                <w:sz w:val="20"/>
                <w:szCs w:val="20"/>
              </w:rPr>
              <w:t>Burden Category</w:t>
            </w:r>
          </w:p>
        </w:tc>
        <w:tc>
          <w:tcPr>
            <w:tcW w:w="1358" w:type="dxa"/>
          </w:tcPr>
          <w:p w:rsidR="00885183" w:rsidRPr="00B76FCA" w:rsidP="00F377C1" w14:paraId="20AB2AE9" w14:textId="77777777">
            <w:pPr>
              <w:keepNext/>
              <w:keepLines/>
              <w:tabs>
                <w:tab w:val="left" w:pos="6030"/>
              </w:tabs>
              <w:spacing w:line="276" w:lineRule="auto"/>
              <w:rPr>
                <w:b/>
                <w:bCs/>
                <w:sz w:val="20"/>
                <w:szCs w:val="20"/>
              </w:rPr>
            </w:pPr>
            <w:r w:rsidRPr="00B76FCA">
              <w:rPr>
                <w:b/>
                <w:bCs/>
                <w:sz w:val="20"/>
                <w:szCs w:val="20"/>
              </w:rPr>
              <w:t>Total Annual Respondents</w:t>
            </w:r>
          </w:p>
        </w:tc>
        <w:tc>
          <w:tcPr>
            <w:tcW w:w="1276" w:type="dxa"/>
          </w:tcPr>
          <w:p w:rsidR="00885183" w:rsidRPr="00B76FCA" w:rsidP="00F377C1" w14:paraId="6199E537" w14:textId="77777777">
            <w:pPr>
              <w:keepNext/>
              <w:keepLines/>
              <w:tabs>
                <w:tab w:val="left" w:pos="6030"/>
              </w:tabs>
              <w:spacing w:line="276" w:lineRule="auto"/>
              <w:jc w:val="both"/>
              <w:rPr>
                <w:b/>
                <w:bCs/>
                <w:sz w:val="20"/>
                <w:szCs w:val="20"/>
              </w:rPr>
            </w:pPr>
            <w:r w:rsidRPr="00B76FCA">
              <w:rPr>
                <w:b/>
                <w:bCs/>
                <w:sz w:val="20"/>
                <w:szCs w:val="20"/>
              </w:rPr>
              <w:t>Response Frequency (per year)</w:t>
            </w:r>
          </w:p>
        </w:tc>
        <w:tc>
          <w:tcPr>
            <w:tcW w:w="1326" w:type="dxa"/>
          </w:tcPr>
          <w:p w:rsidR="00885183" w:rsidRPr="00B76FCA" w:rsidP="00F377C1" w14:paraId="67FB4E23" w14:textId="77777777">
            <w:pPr>
              <w:keepNext/>
              <w:keepLines/>
              <w:tabs>
                <w:tab w:val="left" w:pos="6030"/>
              </w:tabs>
              <w:spacing w:line="276" w:lineRule="auto"/>
              <w:jc w:val="both"/>
              <w:rPr>
                <w:b/>
                <w:bCs/>
                <w:sz w:val="20"/>
                <w:szCs w:val="20"/>
              </w:rPr>
            </w:pPr>
            <w:r w:rsidRPr="00B76FCA">
              <w:rPr>
                <w:b/>
                <w:bCs/>
                <w:sz w:val="20"/>
                <w:szCs w:val="20"/>
              </w:rPr>
              <w:t>Total Annual Responses</w:t>
            </w:r>
          </w:p>
        </w:tc>
        <w:tc>
          <w:tcPr>
            <w:tcW w:w="1080" w:type="dxa"/>
          </w:tcPr>
          <w:p w:rsidR="00885183" w:rsidRPr="00B76FCA" w:rsidP="00F377C1" w14:paraId="2EF188C8" w14:textId="77777777">
            <w:pPr>
              <w:keepNext/>
              <w:keepLines/>
              <w:tabs>
                <w:tab w:val="left" w:pos="6030"/>
              </w:tabs>
              <w:spacing w:line="276" w:lineRule="auto"/>
              <w:rPr>
                <w:b/>
                <w:bCs/>
                <w:sz w:val="20"/>
                <w:szCs w:val="20"/>
              </w:rPr>
            </w:pPr>
            <w:r w:rsidRPr="00B76FCA">
              <w:rPr>
                <w:b/>
                <w:bCs/>
                <w:sz w:val="20"/>
                <w:szCs w:val="20"/>
              </w:rPr>
              <w:t>Time Per Response (hr)</w:t>
            </w:r>
          </w:p>
        </w:tc>
        <w:tc>
          <w:tcPr>
            <w:tcW w:w="1170" w:type="dxa"/>
          </w:tcPr>
          <w:p w:rsidR="00885183" w:rsidRPr="00B76FCA" w:rsidP="00F377C1" w14:paraId="031921FF" w14:textId="77777777">
            <w:pPr>
              <w:keepNext/>
              <w:keepLines/>
              <w:tabs>
                <w:tab w:val="left" w:pos="6030"/>
              </w:tabs>
              <w:spacing w:line="276" w:lineRule="auto"/>
              <w:jc w:val="both"/>
              <w:rPr>
                <w:b/>
                <w:bCs/>
                <w:sz w:val="20"/>
                <w:szCs w:val="20"/>
              </w:rPr>
            </w:pPr>
            <w:r w:rsidRPr="00B76FCA">
              <w:rPr>
                <w:b/>
                <w:bCs/>
                <w:sz w:val="20"/>
                <w:szCs w:val="20"/>
              </w:rPr>
              <w:t>Total Annual Time (hr)</w:t>
            </w:r>
          </w:p>
        </w:tc>
        <w:tc>
          <w:tcPr>
            <w:tcW w:w="990" w:type="dxa"/>
          </w:tcPr>
          <w:p w:rsidR="00885183" w:rsidRPr="00B76FCA" w:rsidP="00F377C1" w14:paraId="7639F618" w14:textId="77777777">
            <w:pPr>
              <w:keepNext/>
              <w:keepLines/>
              <w:tabs>
                <w:tab w:val="left" w:pos="6030"/>
              </w:tabs>
              <w:spacing w:line="276" w:lineRule="auto"/>
              <w:jc w:val="both"/>
              <w:rPr>
                <w:b/>
                <w:bCs/>
                <w:sz w:val="20"/>
                <w:szCs w:val="20"/>
              </w:rPr>
            </w:pPr>
            <w:r w:rsidRPr="00B76FCA">
              <w:rPr>
                <w:b/>
                <w:bCs/>
                <w:sz w:val="20"/>
                <w:szCs w:val="20"/>
              </w:rPr>
              <w:t>Labor Cost ($/hr)</w:t>
            </w:r>
          </w:p>
        </w:tc>
        <w:tc>
          <w:tcPr>
            <w:tcW w:w="1440" w:type="dxa"/>
          </w:tcPr>
          <w:p w:rsidR="00885183" w:rsidRPr="00B76FCA" w:rsidP="00F377C1" w14:paraId="28A2FB59" w14:textId="77777777">
            <w:pPr>
              <w:keepNext/>
              <w:keepLines/>
              <w:tabs>
                <w:tab w:val="left" w:pos="6030"/>
              </w:tabs>
              <w:spacing w:line="276" w:lineRule="auto"/>
              <w:rPr>
                <w:b/>
                <w:bCs/>
                <w:sz w:val="20"/>
                <w:szCs w:val="20"/>
              </w:rPr>
            </w:pPr>
            <w:r w:rsidRPr="00B76FCA">
              <w:rPr>
                <w:b/>
                <w:bCs/>
                <w:sz w:val="20"/>
                <w:szCs w:val="20"/>
              </w:rPr>
              <w:t>Total Annual Cost ($)</w:t>
            </w:r>
          </w:p>
        </w:tc>
      </w:tr>
      <w:tr w14:paraId="4610A13C" w14:textId="77777777" w:rsidTr="75100B9B">
        <w:tblPrEx>
          <w:tblW w:w="9990" w:type="dxa"/>
          <w:tblInd w:w="-275" w:type="dxa"/>
          <w:tblLayout w:type="fixed"/>
          <w:tblLook w:val="04A0"/>
        </w:tblPrEx>
        <w:trPr>
          <w:trHeight w:val="521"/>
        </w:trPr>
        <w:tc>
          <w:tcPr>
            <w:tcW w:w="1350" w:type="dxa"/>
          </w:tcPr>
          <w:p w:rsidR="00595F34" w:rsidRPr="00B76FCA" w:rsidP="00F377C1" w14:paraId="51D867E3" w14:textId="3699988D">
            <w:pPr>
              <w:keepNext/>
              <w:keepLines/>
              <w:tabs>
                <w:tab w:val="left" w:pos="6030"/>
              </w:tabs>
              <w:spacing w:line="276" w:lineRule="auto"/>
              <w:jc w:val="both"/>
              <w:rPr>
                <w:sz w:val="20"/>
                <w:szCs w:val="20"/>
              </w:rPr>
            </w:pPr>
            <w:r w:rsidRPr="00B76FCA">
              <w:rPr>
                <w:sz w:val="20"/>
                <w:szCs w:val="20"/>
              </w:rPr>
              <w:t>Currently Approved</w:t>
            </w:r>
            <w:r w:rsidR="00E4635E">
              <w:rPr>
                <w:sz w:val="20"/>
                <w:szCs w:val="20"/>
              </w:rPr>
              <w:t xml:space="preserve"> </w:t>
            </w:r>
          </w:p>
        </w:tc>
        <w:tc>
          <w:tcPr>
            <w:tcW w:w="1358" w:type="dxa"/>
          </w:tcPr>
          <w:p w:rsidR="00595F34" w:rsidRPr="00B76FCA" w:rsidP="00F377C1" w14:paraId="7616507E" w14:textId="3244FF63">
            <w:pPr>
              <w:keepNext/>
              <w:keepLines/>
              <w:tabs>
                <w:tab w:val="left" w:pos="6030"/>
              </w:tabs>
              <w:spacing w:line="276" w:lineRule="auto"/>
              <w:jc w:val="right"/>
              <w:rPr>
                <w:sz w:val="20"/>
                <w:szCs w:val="20"/>
              </w:rPr>
            </w:pPr>
            <w:r>
              <w:rPr>
                <w:sz w:val="20"/>
                <w:szCs w:val="20"/>
              </w:rPr>
              <w:t>17,916</w:t>
            </w:r>
          </w:p>
        </w:tc>
        <w:tc>
          <w:tcPr>
            <w:tcW w:w="1276" w:type="dxa"/>
          </w:tcPr>
          <w:p w:rsidR="00595F34" w:rsidRPr="00B76FCA" w:rsidP="00F377C1" w14:paraId="511AFA97" w14:textId="37528126">
            <w:pPr>
              <w:keepNext/>
              <w:keepLines/>
              <w:tabs>
                <w:tab w:val="left" w:pos="6030"/>
              </w:tabs>
              <w:spacing w:line="276" w:lineRule="auto"/>
              <w:jc w:val="right"/>
              <w:rPr>
                <w:sz w:val="20"/>
                <w:szCs w:val="20"/>
              </w:rPr>
            </w:pPr>
            <w:r w:rsidRPr="00B76FCA">
              <w:rPr>
                <w:sz w:val="20"/>
                <w:szCs w:val="20"/>
              </w:rPr>
              <w:t>1</w:t>
            </w:r>
          </w:p>
        </w:tc>
        <w:tc>
          <w:tcPr>
            <w:tcW w:w="1326" w:type="dxa"/>
          </w:tcPr>
          <w:p w:rsidR="00595F34" w:rsidRPr="00B76FCA" w:rsidP="00F377C1" w14:paraId="130C66C6" w14:textId="1C064E9C">
            <w:pPr>
              <w:keepNext/>
              <w:keepLines/>
              <w:tabs>
                <w:tab w:val="left" w:pos="6030"/>
              </w:tabs>
              <w:spacing w:line="276" w:lineRule="auto"/>
              <w:jc w:val="right"/>
              <w:rPr>
                <w:sz w:val="20"/>
                <w:szCs w:val="20"/>
              </w:rPr>
            </w:pPr>
            <w:r w:rsidRPr="00F42C74">
              <w:rPr>
                <w:sz w:val="20"/>
                <w:szCs w:val="20"/>
              </w:rPr>
              <w:t>17,916</w:t>
            </w:r>
          </w:p>
        </w:tc>
        <w:tc>
          <w:tcPr>
            <w:tcW w:w="1080" w:type="dxa"/>
          </w:tcPr>
          <w:p w:rsidR="00595F34" w:rsidRPr="00B76FCA" w:rsidP="00F377C1" w14:paraId="5DCF6D54" w14:textId="16114D18">
            <w:pPr>
              <w:keepNext/>
              <w:keepLines/>
              <w:tabs>
                <w:tab w:val="left" w:pos="6030"/>
              </w:tabs>
              <w:spacing w:line="276" w:lineRule="auto"/>
              <w:jc w:val="right"/>
              <w:rPr>
                <w:sz w:val="20"/>
                <w:szCs w:val="20"/>
              </w:rPr>
            </w:pPr>
            <w:r w:rsidRPr="00B76FCA">
              <w:rPr>
                <w:sz w:val="20"/>
                <w:szCs w:val="20"/>
              </w:rPr>
              <w:t>9.083</w:t>
            </w:r>
          </w:p>
        </w:tc>
        <w:tc>
          <w:tcPr>
            <w:tcW w:w="1170" w:type="dxa"/>
          </w:tcPr>
          <w:p w:rsidR="00595F34" w:rsidRPr="00B76FCA" w:rsidP="00F377C1" w14:paraId="79A22094" w14:textId="30387CBD">
            <w:pPr>
              <w:keepNext/>
              <w:keepLines/>
              <w:tabs>
                <w:tab w:val="left" w:pos="6030"/>
              </w:tabs>
              <w:spacing w:line="276" w:lineRule="auto"/>
              <w:jc w:val="right"/>
              <w:rPr>
                <w:sz w:val="20"/>
                <w:szCs w:val="20"/>
              </w:rPr>
            </w:pPr>
            <w:r>
              <w:rPr>
                <w:sz w:val="20"/>
                <w:szCs w:val="20"/>
              </w:rPr>
              <w:t>162,731</w:t>
            </w:r>
          </w:p>
        </w:tc>
        <w:tc>
          <w:tcPr>
            <w:tcW w:w="990" w:type="dxa"/>
          </w:tcPr>
          <w:p w:rsidR="00595F34" w:rsidRPr="00B76FCA" w:rsidP="00F377C1" w14:paraId="5BC8D1A3" w14:textId="6587E663">
            <w:pPr>
              <w:keepNext/>
              <w:keepLines/>
              <w:tabs>
                <w:tab w:val="left" w:pos="6030"/>
              </w:tabs>
              <w:spacing w:line="276" w:lineRule="auto"/>
              <w:jc w:val="right"/>
              <w:rPr>
                <w:sz w:val="20"/>
                <w:szCs w:val="20"/>
              </w:rPr>
            </w:pPr>
            <w:r w:rsidRPr="00B76FCA">
              <w:rPr>
                <w:sz w:val="20"/>
                <w:szCs w:val="20"/>
              </w:rPr>
              <w:t>Varies</w:t>
            </w:r>
          </w:p>
        </w:tc>
        <w:tc>
          <w:tcPr>
            <w:tcW w:w="1440" w:type="dxa"/>
          </w:tcPr>
          <w:p w:rsidR="00595F34" w:rsidRPr="00B76FCA" w:rsidP="00F377C1" w14:paraId="421F4E6E" w14:textId="2A5FAE37">
            <w:pPr>
              <w:keepNext/>
              <w:keepLines/>
              <w:tabs>
                <w:tab w:val="left" w:pos="6030"/>
              </w:tabs>
              <w:spacing w:line="276" w:lineRule="auto"/>
              <w:jc w:val="right"/>
              <w:rPr>
                <w:sz w:val="20"/>
                <w:szCs w:val="20"/>
              </w:rPr>
            </w:pPr>
            <w:r>
              <w:rPr>
                <w:sz w:val="20"/>
                <w:szCs w:val="20"/>
              </w:rPr>
              <w:t>18,624,399</w:t>
            </w:r>
          </w:p>
        </w:tc>
      </w:tr>
      <w:tr w14:paraId="5C560AD5" w14:textId="77777777" w:rsidTr="75100B9B">
        <w:tblPrEx>
          <w:tblW w:w="9990" w:type="dxa"/>
          <w:tblInd w:w="-275" w:type="dxa"/>
          <w:tblLayout w:type="fixed"/>
          <w:tblLook w:val="04A0"/>
        </w:tblPrEx>
        <w:trPr>
          <w:trHeight w:val="1303"/>
        </w:trPr>
        <w:tc>
          <w:tcPr>
            <w:tcW w:w="1350" w:type="dxa"/>
          </w:tcPr>
          <w:p w:rsidR="00595F34" w:rsidRPr="00B76FCA" w:rsidP="00F377C1" w14:paraId="07065B62" w14:textId="641124B5">
            <w:pPr>
              <w:keepNext/>
              <w:keepLines/>
              <w:tabs>
                <w:tab w:val="left" w:pos="6030"/>
              </w:tabs>
              <w:spacing w:line="276" w:lineRule="auto"/>
              <w:rPr>
                <w:sz w:val="20"/>
                <w:szCs w:val="20"/>
              </w:rPr>
            </w:pPr>
            <w:r>
              <w:rPr>
                <w:sz w:val="20"/>
                <w:szCs w:val="20"/>
              </w:rPr>
              <w:t>Finaliz</w:t>
            </w:r>
            <w:r w:rsidR="00096EA2">
              <w:rPr>
                <w:sz w:val="20"/>
                <w:szCs w:val="20"/>
              </w:rPr>
              <w:t>ed</w:t>
            </w:r>
            <w:r w:rsidRPr="00765026" w:rsidR="00F424A2">
              <w:rPr>
                <w:sz w:val="20"/>
                <w:szCs w:val="20"/>
              </w:rPr>
              <w:br/>
            </w:r>
            <w:r w:rsidRPr="00B76FCA" w:rsidR="00A67FD9">
              <w:rPr>
                <w:sz w:val="20"/>
                <w:szCs w:val="20"/>
              </w:rPr>
              <w:t xml:space="preserve">(See Table </w:t>
            </w:r>
            <w:r w:rsidR="006B4EF6">
              <w:rPr>
                <w:sz w:val="20"/>
                <w:szCs w:val="20"/>
              </w:rPr>
              <w:t>1</w:t>
            </w:r>
            <w:r w:rsidR="00F42C74">
              <w:rPr>
                <w:sz w:val="20"/>
                <w:szCs w:val="20"/>
              </w:rPr>
              <w:t>2</w:t>
            </w:r>
            <w:r w:rsidRPr="00B76FCA" w:rsidR="00A67FD9">
              <w:rPr>
                <w:sz w:val="20"/>
                <w:szCs w:val="20"/>
              </w:rPr>
              <w:t>)</w:t>
            </w:r>
          </w:p>
        </w:tc>
        <w:tc>
          <w:tcPr>
            <w:tcW w:w="1358" w:type="dxa"/>
          </w:tcPr>
          <w:p w:rsidR="00595F34" w:rsidRPr="00B76FCA" w:rsidP="00F377C1" w14:paraId="19EC7740" w14:textId="0090A4E4">
            <w:pPr>
              <w:keepNext/>
              <w:keepLines/>
              <w:tabs>
                <w:tab w:val="left" w:pos="6030"/>
              </w:tabs>
              <w:spacing w:line="276" w:lineRule="auto"/>
              <w:jc w:val="right"/>
              <w:rPr>
                <w:sz w:val="20"/>
                <w:szCs w:val="20"/>
              </w:rPr>
            </w:pPr>
            <w:r>
              <w:rPr>
                <w:sz w:val="20"/>
                <w:szCs w:val="20"/>
              </w:rPr>
              <w:t>16,632</w:t>
            </w:r>
          </w:p>
        </w:tc>
        <w:tc>
          <w:tcPr>
            <w:tcW w:w="1276" w:type="dxa"/>
          </w:tcPr>
          <w:p w:rsidR="00595F34" w:rsidRPr="00B76FCA" w:rsidP="00F377C1" w14:paraId="1FA79204" w14:textId="6095FFFD">
            <w:pPr>
              <w:keepNext/>
              <w:keepLines/>
              <w:tabs>
                <w:tab w:val="left" w:pos="6030"/>
              </w:tabs>
              <w:spacing w:line="276" w:lineRule="auto"/>
              <w:jc w:val="right"/>
              <w:rPr>
                <w:sz w:val="20"/>
                <w:szCs w:val="20"/>
              </w:rPr>
            </w:pPr>
            <w:r w:rsidRPr="00B76FCA">
              <w:rPr>
                <w:sz w:val="20"/>
                <w:szCs w:val="20"/>
              </w:rPr>
              <w:t>1</w:t>
            </w:r>
          </w:p>
        </w:tc>
        <w:tc>
          <w:tcPr>
            <w:tcW w:w="1326" w:type="dxa"/>
          </w:tcPr>
          <w:p w:rsidR="00595F34" w:rsidRPr="00B76FCA" w:rsidP="00F377C1" w14:paraId="7A996D08" w14:textId="5ADA6958">
            <w:pPr>
              <w:keepNext/>
              <w:keepLines/>
              <w:tabs>
                <w:tab w:val="left" w:pos="6030"/>
              </w:tabs>
              <w:spacing w:line="276" w:lineRule="auto"/>
              <w:jc w:val="right"/>
              <w:rPr>
                <w:sz w:val="20"/>
                <w:szCs w:val="20"/>
              </w:rPr>
            </w:pPr>
            <w:r w:rsidRPr="75100B9B">
              <w:rPr>
                <w:sz w:val="20"/>
                <w:szCs w:val="20"/>
              </w:rPr>
              <w:t>1</w:t>
            </w:r>
            <w:r w:rsidRPr="75100B9B" w:rsidR="1263E1AB">
              <w:rPr>
                <w:sz w:val="20"/>
                <w:szCs w:val="20"/>
              </w:rPr>
              <w:t>6,632</w:t>
            </w:r>
          </w:p>
        </w:tc>
        <w:tc>
          <w:tcPr>
            <w:tcW w:w="1080" w:type="dxa"/>
          </w:tcPr>
          <w:p w:rsidR="00595F34" w:rsidRPr="00B76FCA" w:rsidP="00F377C1" w14:paraId="6AF8B3FB" w14:textId="623372EA">
            <w:pPr>
              <w:keepNext/>
              <w:keepLines/>
              <w:tabs>
                <w:tab w:val="left" w:pos="6030"/>
              </w:tabs>
              <w:spacing w:line="276" w:lineRule="auto"/>
              <w:jc w:val="right"/>
              <w:rPr>
                <w:sz w:val="20"/>
                <w:szCs w:val="20"/>
              </w:rPr>
            </w:pPr>
            <w:r w:rsidRPr="00B76FCA">
              <w:rPr>
                <w:sz w:val="20"/>
                <w:szCs w:val="20"/>
              </w:rPr>
              <w:t>9.083</w:t>
            </w:r>
          </w:p>
        </w:tc>
        <w:tc>
          <w:tcPr>
            <w:tcW w:w="1170" w:type="dxa"/>
          </w:tcPr>
          <w:p w:rsidR="00595F34" w:rsidRPr="00B76FCA" w:rsidP="00F377C1" w14:paraId="621D898F" w14:textId="4812632B">
            <w:pPr>
              <w:keepNext/>
              <w:keepLines/>
              <w:tabs>
                <w:tab w:val="left" w:pos="6030"/>
              </w:tabs>
              <w:spacing w:line="276" w:lineRule="auto"/>
              <w:jc w:val="right"/>
              <w:rPr>
                <w:sz w:val="20"/>
                <w:szCs w:val="20"/>
              </w:rPr>
            </w:pPr>
            <w:r>
              <w:rPr>
                <w:sz w:val="20"/>
                <w:szCs w:val="20"/>
              </w:rPr>
              <w:t>1</w:t>
            </w:r>
            <w:r w:rsidR="00F42C74">
              <w:rPr>
                <w:sz w:val="20"/>
                <w:szCs w:val="20"/>
              </w:rPr>
              <w:t>5</w:t>
            </w:r>
            <w:r w:rsidR="0082333B">
              <w:rPr>
                <w:sz w:val="20"/>
                <w:szCs w:val="20"/>
              </w:rPr>
              <w:t>1,068</w:t>
            </w:r>
          </w:p>
        </w:tc>
        <w:tc>
          <w:tcPr>
            <w:tcW w:w="990" w:type="dxa"/>
          </w:tcPr>
          <w:p w:rsidR="00595F34" w:rsidRPr="00B76FCA" w:rsidP="00F377C1" w14:paraId="22332A03" w14:textId="167548DB">
            <w:pPr>
              <w:keepNext/>
              <w:keepLines/>
              <w:tabs>
                <w:tab w:val="left" w:pos="6030"/>
              </w:tabs>
              <w:spacing w:line="276" w:lineRule="auto"/>
              <w:jc w:val="right"/>
              <w:rPr>
                <w:sz w:val="20"/>
                <w:szCs w:val="20"/>
              </w:rPr>
            </w:pPr>
            <w:r w:rsidRPr="00B76FCA">
              <w:rPr>
                <w:sz w:val="20"/>
                <w:szCs w:val="20"/>
              </w:rPr>
              <w:t>Varies</w:t>
            </w:r>
          </w:p>
        </w:tc>
        <w:tc>
          <w:tcPr>
            <w:tcW w:w="1440" w:type="dxa"/>
          </w:tcPr>
          <w:p w:rsidR="00595F34" w:rsidRPr="00B76FCA" w:rsidP="00F377C1" w14:paraId="1FDF809F" w14:textId="047351A2">
            <w:pPr>
              <w:keepNext/>
              <w:keepLines/>
              <w:tabs>
                <w:tab w:val="left" w:pos="6030"/>
              </w:tabs>
              <w:spacing w:line="276" w:lineRule="auto"/>
              <w:jc w:val="right"/>
              <w:rPr>
                <w:sz w:val="20"/>
                <w:szCs w:val="20"/>
              </w:rPr>
            </w:pPr>
            <w:r>
              <w:rPr>
                <w:sz w:val="20"/>
                <w:szCs w:val="20"/>
              </w:rPr>
              <w:t>1</w:t>
            </w:r>
            <w:r w:rsidR="00175D5B">
              <w:rPr>
                <w:sz w:val="20"/>
                <w:szCs w:val="20"/>
              </w:rPr>
              <w:t>7,289,629</w:t>
            </w:r>
          </w:p>
        </w:tc>
      </w:tr>
      <w:tr w14:paraId="3BA3005E" w14:textId="77777777" w:rsidTr="75100B9B">
        <w:tblPrEx>
          <w:tblW w:w="9990" w:type="dxa"/>
          <w:tblInd w:w="-275" w:type="dxa"/>
          <w:tblLayout w:type="fixed"/>
          <w:tblLook w:val="04A0"/>
        </w:tblPrEx>
        <w:trPr>
          <w:trHeight w:val="521"/>
        </w:trPr>
        <w:tc>
          <w:tcPr>
            <w:tcW w:w="1350" w:type="dxa"/>
            <w:shd w:val="clear" w:color="auto" w:fill="D9D9D9" w:themeFill="background1" w:themeFillShade="D9"/>
          </w:tcPr>
          <w:p w:rsidR="00595F34" w:rsidRPr="00B76FCA" w:rsidP="00F377C1" w14:paraId="6BEA7A9F" w14:textId="2638B0C8">
            <w:pPr>
              <w:tabs>
                <w:tab w:val="left" w:pos="6030"/>
              </w:tabs>
              <w:spacing w:line="276" w:lineRule="auto"/>
              <w:jc w:val="both"/>
              <w:rPr>
                <w:sz w:val="20"/>
                <w:szCs w:val="20"/>
              </w:rPr>
            </w:pPr>
            <w:r w:rsidRPr="00B76FCA">
              <w:rPr>
                <w:sz w:val="20"/>
                <w:szCs w:val="20"/>
              </w:rPr>
              <w:t>Adjustment</w:t>
            </w:r>
            <w:r w:rsidRPr="00B76FCA" w:rsidR="00C1361E">
              <w:rPr>
                <w:sz w:val="20"/>
                <w:szCs w:val="20"/>
              </w:rPr>
              <w:t xml:space="preserve"> </w:t>
            </w:r>
          </w:p>
        </w:tc>
        <w:tc>
          <w:tcPr>
            <w:tcW w:w="1358" w:type="dxa"/>
            <w:shd w:val="clear" w:color="auto" w:fill="D9D9D9" w:themeFill="background1" w:themeFillShade="D9"/>
          </w:tcPr>
          <w:p w:rsidR="00595F34" w:rsidRPr="00B76FCA" w:rsidP="00F377C1" w14:paraId="1D6F1F86" w14:textId="570F7962">
            <w:pPr>
              <w:tabs>
                <w:tab w:val="left" w:pos="6030"/>
              </w:tabs>
              <w:spacing w:line="276" w:lineRule="auto"/>
              <w:jc w:val="right"/>
              <w:rPr>
                <w:sz w:val="20"/>
                <w:szCs w:val="20"/>
              </w:rPr>
            </w:pPr>
            <w:r>
              <w:rPr>
                <w:sz w:val="20"/>
                <w:szCs w:val="20"/>
              </w:rPr>
              <w:t>-</w:t>
            </w:r>
            <w:r w:rsidR="000B68FB">
              <w:rPr>
                <w:sz w:val="20"/>
                <w:szCs w:val="20"/>
              </w:rPr>
              <w:t>1,284</w:t>
            </w:r>
          </w:p>
        </w:tc>
        <w:tc>
          <w:tcPr>
            <w:tcW w:w="1276" w:type="dxa"/>
            <w:shd w:val="clear" w:color="auto" w:fill="D9D9D9" w:themeFill="background1" w:themeFillShade="D9"/>
          </w:tcPr>
          <w:p w:rsidR="00595F34" w:rsidRPr="00B76FCA" w:rsidP="00F377C1" w14:paraId="4B191199" w14:textId="446A5F2B">
            <w:pPr>
              <w:tabs>
                <w:tab w:val="left" w:pos="6030"/>
              </w:tabs>
              <w:spacing w:line="276" w:lineRule="auto"/>
              <w:jc w:val="right"/>
              <w:rPr>
                <w:sz w:val="20"/>
                <w:szCs w:val="20"/>
              </w:rPr>
            </w:pPr>
            <w:r w:rsidRPr="00B76FCA">
              <w:rPr>
                <w:sz w:val="20"/>
                <w:szCs w:val="20"/>
              </w:rPr>
              <w:t>No change</w:t>
            </w:r>
          </w:p>
        </w:tc>
        <w:tc>
          <w:tcPr>
            <w:tcW w:w="1326" w:type="dxa"/>
            <w:shd w:val="clear" w:color="auto" w:fill="D9D9D9" w:themeFill="background1" w:themeFillShade="D9"/>
          </w:tcPr>
          <w:p w:rsidR="00595F34" w:rsidRPr="00B76FCA" w:rsidP="00F377C1" w14:paraId="1BC50415" w14:textId="07B09406">
            <w:pPr>
              <w:tabs>
                <w:tab w:val="left" w:pos="6030"/>
              </w:tabs>
              <w:spacing w:line="276" w:lineRule="auto"/>
              <w:jc w:val="right"/>
              <w:rPr>
                <w:sz w:val="20"/>
                <w:szCs w:val="20"/>
              </w:rPr>
            </w:pPr>
            <w:r>
              <w:rPr>
                <w:sz w:val="20"/>
                <w:szCs w:val="20"/>
              </w:rPr>
              <w:t>-</w:t>
            </w:r>
            <w:r w:rsidR="000B68FB">
              <w:rPr>
                <w:sz w:val="20"/>
                <w:szCs w:val="20"/>
              </w:rPr>
              <w:t>1,284</w:t>
            </w:r>
          </w:p>
        </w:tc>
        <w:tc>
          <w:tcPr>
            <w:tcW w:w="1080" w:type="dxa"/>
            <w:shd w:val="clear" w:color="auto" w:fill="D9D9D9" w:themeFill="background1" w:themeFillShade="D9"/>
          </w:tcPr>
          <w:p w:rsidR="00595F34" w:rsidRPr="00B76FCA" w:rsidP="00F377C1" w14:paraId="703A69E0" w14:textId="7D0F70BB">
            <w:pPr>
              <w:tabs>
                <w:tab w:val="left" w:pos="6030"/>
              </w:tabs>
              <w:spacing w:line="276" w:lineRule="auto"/>
              <w:jc w:val="right"/>
              <w:rPr>
                <w:sz w:val="20"/>
                <w:szCs w:val="20"/>
              </w:rPr>
            </w:pPr>
            <w:r w:rsidRPr="00B76FCA">
              <w:rPr>
                <w:sz w:val="20"/>
                <w:szCs w:val="20"/>
              </w:rPr>
              <w:t>No change</w:t>
            </w:r>
          </w:p>
        </w:tc>
        <w:tc>
          <w:tcPr>
            <w:tcW w:w="1170" w:type="dxa"/>
            <w:shd w:val="clear" w:color="auto" w:fill="D9D9D9" w:themeFill="background1" w:themeFillShade="D9"/>
          </w:tcPr>
          <w:p w:rsidR="00595F34" w:rsidRPr="00B76FCA" w:rsidP="00691660" w14:paraId="0BFCA4D3" w14:textId="1C2B617B">
            <w:pPr>
              <w:jc w:val="right"/>
              <w:rPr>
                <w:sz w:val="20"/>
                <w:szCs w:val="20"/>
              </w:rPr>
            </w:pPr>
            <w:r>
              <w:rPr>
                <w:sz w:val="20"/>
                <w:szCs w:val="20"/>
              </w:rPr>
              <w:t>-</w:t>
            </w:r>
            <w:r w:rsidR="0082333B">
              <w:rPr>
                <w:sz w:val="20"/>
                <w:szCs w:val="20"/>
              </w:rPr>
              <w:t>11,663</w:t>
            </w:r>
          </w:p>
        </w:tc>
        <w:tc>
          <w:tcPr>
            <w:tcW w:w="990" w:type="dxa"/>
            <w:shd w:val="clear" w:color="auto" w:fill="D9D9D9" w:themeFill="background1" w:themeFillShade="D9"/>
          </w:tcPr>
          <w:p w:rsidR="00595F34" w:rsidRPr="00B76FCA" w:rsidP="00F377C1" w14:paraId="764BDC3C" w14:textId="4B828FAF">
            <w:pPr>
              <w:tabs>
                <w:tab w:val="left" w:pos="6030"/>
              </w:tabs>
              <w:spacing w:line="276" w:lineRule="auto"/>
              <w:jc w:val="right"/>
              <w:rPr>
                <w:sz w:val="20"/>
                <w:szCs w:val="20"/>
              </w:rPr>
            </w:pPr>
            <w:r w:rsidRPr="00B76FCA">
              <w:rPr>
                <w:sz w:val="20"/>
                <w:szCs w:val="20"/>
              </w:rPr>
              <w:t>No change</w:t>
            </w:r>
          </w:p>
        </w:tc>
        <w:tc>
          <w:tcPr>
            <w:tcW w:w="1440" w:type="dxa"/>
            <w:shd w:val="clear" w:color="auto" w:fill="D9D9D9" w:themeFill="background1" w:themeFillShade="D9"/>
          </w:tcPr>
          <w:p w:rsidR="00595F34" w:rsidRPr="00B76FCA" w:rsidP="00691660" w14:paraId="574CE2BB" w14:textId="4747611B">
            <w:pPr>
              <w:jc w:val="right"/>
              <w:rPr>
                <w:sz w:val="20"/>
                <w:szCs w:val="20"/>
              </w:rPr>
            </w:pPr>
            <w:r>
              <w:rPr>
                <w:sz w:val="20"/>
                <w:szCs w:val="20"/>
              </w:rPr>
              <w:t>-</w:t>
            </w:r>
            <w:r w:rsidR="00E61E11">
              <w:rPr>
                <w:sz w:val="20"/>
                <w:szCs w:val="20"/>
              </w:rPr>
              <w:t>1,334,770</w:t>
            </w:r>
          </w:p>
        </w:tc>
      </w:tr>
    </w:tbl>
    <w:p w:rsidR="00885183" w:rsidRPr="00ED1FF5" w:rsidP="00ED1FF5" w14:paraId="1BEC5E63" w14:textId="4C897D5F">
      <w:pPr>
        <w:keepNext/>
        <w:keepLines/>
        <w:spacing w:before="200"/>
        <w:jc w:val="center"/>
        <w:rPr>
          <w:rFonts w:eastAsia="Calibri"/>
          <w:b/>
        </w:rPr>
      </w:pPr>
      <w:r w:rsidRPr="00B30713">
        <w:rPr>
          <w:rFonts w:eastAsia="Calibri"/>
          <w:b/>
          <w:bCs/>
        </w:rPr>
        <w:t xml:space="preserve">TABLE </w:t>
      </w:r>
      <w:r w:rsidR="00CC72F7">
        <w:rPr>
          <w:rFonts w:eastAsia="Calibri"/>
          <w:b/>
          <w:bCs/>
        </w:rPr>
        <w:t>31J</w:t>
      </w:r>
      <w:r w:rsidRPr="00B30713">
        <w:rPr>
          <w:rFonts w:eastAsia="Calibri"/>
          <w:b/>
          <w:bCs/>
        </w:rPr>
        <w:t xml:space="preserve">: Burden Reconciliation for </w:t>
      </w:r>
      <w:r w:rsidRPr="0020454E" w:rsidR="0020454E">
        <w:rPr>
          <w:rFonts w:eastAsia="Calibri"/>
          <w:b/>
          <w:bCs/>
        </w:rPr>
        <w:t>Quality Performance Category</w:t>
      </w:r>
      <w:r w:rsidR="00BF2FDA">
        <w:rPr>
          <w:rFonts w:eastAsia="Calibri"/>
          <w:b/>
          <w:bCs/>
        </w:rPr>
        <w:t xml:space="preserve"> </w:t>
      </w:r>
      <w:r w:rsidRPr="0020454E" w:rsidR="0020454E">
        <w:rPr>
          <w:rFonts w:eastAsia="Calibri"/>
          <w:b/>
          <w:bCs/>
        </w:rPr>
        <w:t xml:space="preserve">eCQM </w:t>
      </w:r>
      <w:r w:rsidR="00ED1FF5">
        <w:rPr>
          <w:rFonts w:eastAsia="Calibri"/>
          <w:b/>
          <w:bCs/>
        </w:rPr>
        <w:br/>
      </w:r>
      <w:r w:rsidRPr="0020454E" w:rsidR="000D03A8">
        <w:rPr>
          <w:rFonts w:eastAsia="Calibri"/>
          <w:b/>
          <w:bCs/>
        </w:rPr>
        <w:t xml:space="preserve">Collection </w:t>
      </w:r>
      <w:r w:rsidR="000D03A8">
        <w:rPr>
          <w:rFonts w:eastAsia="Calibri"/>
          <w:b/>
          <w:bCs/>
        </w:rPr>
        <w:t>Type</w:t>
      </w:r>
    </w:p>
    <w:tbl>
      <w:tblPr>
        <w:tblStyle w:val="TableGrid"/>
        <w:tblW w:w="10031" w:type="dxa"/>
        <w:tblLayout w:type="fixed"/>
        <w:tblLook w:val="04A0"/>
      </w:tblPr>
      <w:tblGrid>
        <w:gridCol w:w="1516"/>
        <w:gridCol w:w="1316"/>
        <w:gridCol w:w="1127"/>
        <w:gridCol w:w="1316"/>
        <w:gridCol w:w="1017"/>
        <w:gridCol w:w="1353"/>
        <w:gridCol w:w="946"/>
        <w:gridCol w:w="1440"/>
      </w:tblGrid>
      <w:tr w14:paraId="12A4DC46" w14:textId="77777777" w:rsidTr="003D29BA">
        <w:tblPrEx>
          <w:tblW w:w="10031" w:type="dxa"/>
          <w:tblLayout w:type="fixed"/>
          <w:tblLook w:val="04A0"/>
        </w:tblPrEx>
        <w:trPr>
          <w:tblHeader/>
        </w:trPr>
        <w:tc>
          <w:tcPr>
            <w:tcW w:w="1516" w:type="dxa"/>
          </w:tcPr>
          <w:p w:rsidR="00885183" w:rsidRPr="00FB02B1" w:rsidP="006F385A" w14:paraId="55EDCBB0"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16" w:type="dxa"/>
          </w:tcPr>
          <w:p w:rsidR="00885183" w:rsidRPr="00FB02B1" w:rsidP="006F385A" w14:paraId="1EAC02F8"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27" w:type="dxa"/>
          </w:tcPr>
          <w:p w:rsidR="00885183" w:rsidRPr="00FB02B1" w:rsidP="006F385A" w14:paraId="47FAAA60"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316" w:type="dxa"/>
          </w:tcPr>
          <w:p w:rsidR="00885183" w:rsidRPr="00FB02B1" w:rsidP="006F385A" w14:paraId="76670D3F"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17" w:type="dxa"/>
          </w:tcPr>
          <w:p w:rsidR="00885183" w:rsidRPr="00FB02B1" w:rsidP="006F385A" w14:paraId="6A742B10" w14:textId="77777777">
            <w:pPr>
              <w:keepNext/>
              <w:keepLines/>
              <w:tabs>
                <w:tab w:val="left" w:pos="6030"/>
              </w:tabs>
              <w:spacing w:line="276" w:lineRule="auto"/>
              <w:rPr>
                <w:b/>
                <w:bCs/>
                <w:sz w:val="20"/>
                <w:szCs w:val="20"/>
              </w:rPr>
            </w:pPr>
            <w:r w:rsidRPr="00FB02B1">
              <w:rPr>
                <w:b/>
                <w:bCs/>
                <w:sz w:val="20"/>
                <w:szCs w:val="20"/>
              </w:rPr>
              <w:t>Time Per Response (hr)</w:t>
            </w:r>
          </w:p>
        </w:tc>
        <w:tc>
          <w:tcPr>
            <w:tcW w:w="1353" w:type="dxa"/>
          </w:tcPr>
          <w:p w:rsidR="00885183" w:rsidRPr="00FB02B1" w:rsidP="006F385A" w14:paraId="05A4E45A"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46" w:type="dxa"/>
          </w:tcPr>
          <w:p w:rsidR="00885183" w:rsidRPr="00FB02B1" w:rsidP="006F385A" w14:paraId="21D8F483"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440" w:type="dxa"/>
          </w:tcPr>
          <w:p w:rsidR="00885183" w:rsidRPr="00FB02B1" w:rsidP="006F385A" w14:paraId="1B2918B0" w14:textId="77777777">
            <w:pPr>
              <w:keepNext/>
              <w:keepLines/>
              <w:tabs>
                <w:tab w:val="left" w:pos="6030"/>
              </w:tabs>
              <w:spacing w:line="276" w:lineRule="auto"/>
              <w:rPr>
                <w:b/>
                <w:bCs/>
                <w:sz w:val="20"/>
                <w:szCs w:val="20"/>
              </w:rPr>
            </w:pPr>
            <w:r w:rsidRPr="00FB02B1">
              <w:rPr>
                <w:b/>
                <w:bCs/>
                <w:sz w:val="20"/>
                <w:szCs w:val="20"/>
              </w:rPr>
              <w:t>Total Annual Cost ($)</w:t>
            </w:r>
          </w:p>
        </w:tc>
      </w:tr>
      <w:tr w14:paraId="6926222E" w14:textId="77777777" w:rsidTr="003D29BA">
        <w:tblPrEx>
          <w:tblW w:w="10031" w:type="dxa"/>
          <w:tblLayout w:type="fixed"/>
          <w:tblLook w:val="04A0"/>
        </w:tblPrEx>
        <w:tc>
          <w:tcPr>
            <w:tcW w:w="1516" w:type="dxa"/>
          </w:tcPr>
          <w:p w:rsidR="00F915C9" w:rsidRPr="00BB7053" w:rsidP="006F385A" w14:paraId="59A33615" w14:textId="018D0684">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16" w:type="dxa"/>
          </w:tcPr>
          <w:p w:rsidR="00F915C9" w:rsidRPr="00BB7053" w:rsidP="006F385A" w14:paraId="655E967F" w14:textId="519B8665">
            <w:pPr>
              <w:keepNext/>
              <w:keepLines/>
              <w:jc w:val="right"/>
              <w:rPr>
                <w:sz w:val="20"/>
                <w:szCs w:val="20"/>
              </w:rPr>
            </w:pPr>
            <w:r>
              <w:rPr>
                <w:color w:val="000000"/>
                <w:sz w:val="20"/>
                <w:szCs w:val="20"/>
              </w:rPr>
              <w:t>23,889</w:t>
            </w:r>
          </w:p>
        </w:tc>
        <w:tc>
          <w:tcPr>
            <w:tcW w:w="1127" w:type="dxa"/>
          </w:tcPr>
          <w:p w:rsidR="00F915C9" w:rsidRPr="00BB7053" w:rsidP="006F385A" w14:paraId="78C0824A" w14:textId="0D665BBE">
            <w:pPr>
              <w:keepNext/>
              <w:keepLines/>
              <w:tabs>
                <w:tab w:val="left" w:pos="6030"/>
              </w:tabs>
              <w:spacing w:line="276" w:lineRule="auto"/>
              <w:jc w:val="right"/>
              <w:rPr>
                <w:sz w:val="20"/>
                <w:szCs w:val="20"/>
              </w:rPr>
            </w:pPr>
            <w:r>
              <w:rPr>
                <w:sz w:val="20"/>
                <w:szCs w:val="20"/>
              </w:rPr>
              <w:t>1</w:t>
            </w:r>
          </w:p>
        </w:tc>
        <w:tc>
          <w:tcPr>
            <w:tcW w:w="1316" w:type="dxa"/>
          </w:tcPr>
          <w:p w:rsidR="00F915C9" w:rsidRPr="00BB7053" w:rsidP="006F385A" w14:paraId="0C535044" w14:textId="567FA536">
            <w:pPr>
              <w:keepNext/>
              <w:keepLines/>
              <w:tabs>
                <w:tab w:val="left" w:pos="6030"/>
              </w:tabs>
              <w:spacing w:line="276" w:lineRule="auto"/>
              <w:jc w:val="right"/>
              <w:rPr>
                <w:sz w:val="20"/>
                <w:szCs w:val="20"/>
              </w:rPr>
            </w:pPr>
            <w:r>
              <w:rPr>
                <w:sz w:val="20"/>
                <w:szCs w:val="20"/>
              </w:rPr>
              <w:t>23,889</w:t>
            </w:r>
          </w:p>
        </w:tc>
        <w:tc>
          <w:tcPr>
            <w:tcW w:w="1017" w:type="dxa"/>
          </w:tcPr>
          <w:p w:rsidR="00F915C9" w:rsidRPr="00BB7053" w:rsidP="006F385A" w14:paraId="733AEC15" w14:textId="7D2FD8FD">
            <w:pPr>
              <w:keepNext/>
              <w:keepLines/>
              <w:tabs>
                <w:tab w:val="left" w:pos="6030"/>
              </w:tabs>
              <w:spacing w:line="276" w:lineRule="auto"/>
              <w:jc w:val="right"/>
              <w:rPr>
                <w:sz w:val="20"/>
                <w:szCs w:val="20"/>
              </w:rPr>
            </w:pPr>
            <w:r>
              <w:rPr>
                <w:sz w:val="20"/>
                <w:szCs w:val="20"/>
              </w:rPr>
              <w:t>8</w:t>
            </w:r>
          </w:p>
        </w:tc>
        <w:tc>
          <w:tcPr>
            <w:tcW w:w="1353" w:type="dxa"/>
          </w:tcPr>
          <w:p w:rsidR="00F915C9" w:rsidRPr="00BB7053" w:rsidP="006F385A" w14:paraId="367FE85A" w14:textId="79F1DE42">
            <w:pPr>
              <w:keepNext/>
              <w:keepLines/>
              <w:tabs>
                <w:tab w:val="left" w:pos="6030"/>
              </w:tabs>
              <w:spacing w:line="276" w:lineRule="auto"/>
              <w:jc w:val="right"/>
              <w:rPr>
                <w:sz w:val="20"/>
                <w:szCs w:val="20"/>
              </w:rPr>
            </w:pPr>
            <w:r w:rsidRPr="00250A89">
              <w:rPr>
                <w:sz w:val="20"/>
                <w:szCs w:val="20"/>
              </w:rPr>
              <w:t>191,112</w:t>
            </w:r>
          </w:p>
        </w:tc>
        <w:tc>
          <w:tcPr>
            <w:tcW w:w="946" w:type="dxa"/>
          </w:tcPr>
          <w:p w:rsidR="00F915C9" w:rsidRPr="00BB7053" w:rsidP="006F385A" w14:paraId="64018EF3" w14:textId="5C0A1E4B">
            <w:pPr>
              <w:keepNext/>
              <w:keepLines/>
              <w:tabs>
                <w:tab w:val="left" w:pos="6030"/>
              </w:tabs>
              <w:spacing w:line="276" w:lineRule="auto"/>
              <w:jc w:val="right"/>
              <w:rPr>
                <w:sz w:val="20"/>
                <w:szCs w:val="20"/>
              </w:rPr>
            </w:pPr>
            <w:r>
              <w:rPr>
                <w:sz w:val="20"/>
                <w:szCs w:val="20"/>
              </w:rPr>
              <w:t>Varies</w:t>
            </w:r>
          </w:p>
        </w:tc>
        <w:tc>
          <w:tcPr>
            <w:tcW w:w="1440" w:type="dxa"/>
          </w:tcPr>
          <w:p w:rsidR="00696DB3" w:rsidP="006F385A" w14:paraId="23C8EECF" w14:textId="4EE87B6B">
            <w:pPr>
              <w:keepNext/>
              <w:keepLines/>
              <w:jc w:val="right"/>
              <w:rPr>
                <w:color w:val="000000"/>
                <w:sz w:val="20"/>
                <w:szCs w:val="20"/>
              </w:rPr>
            </w:pPr>
            <w:r>
              <w:rPr>
                <w:color w:val="000000"/>
                <w:sz w:val="20"/>
                <w:szCs w:val="20"/>
              </w:rPr>
              <w:t>22,158,481</w:t>
            </w:r>
          </w:p>
          <w:p w:rsidR="00F915C9" w:rsidRPr="00BB7053" w:rsidP="006F385A" w14:paraId="2AD5DA58" w14:textId="4C9908C3">
            <w:pPr>
              <w:keepNext/>
              <w:keepLines/>
              <w:tabs>
                <w:tab w:val="left" w:pos="6030"/>
              </w:tabs>
              <w:spacing w:line="276" w:lineRule="auto"/>
              <w:jc w:val="right"/>
              <w:rPr>
                <w:sz w:val="20"/>
                <w:szCs w:val="20"/>
              </w:rPr>
            </w:pPr>
          </w:p>
        </w:tc>
      </w:tr>
      <w:tr w14:paraId="19494939" w14:textId="77777777" w:rsidTr="003D29BA">
        <w:tblPrEx>
          <w:tblW w:w="10031" w:type="dxa"/>
          <w:tblLayout w:type="fixed"/>
          <w:tblLook w:val="04A0"/>
        </w:tblPrEx>
        <w:tc>
          <w:tcPr>
            <w:tcW w:w="1516" w:type="dxa"/>
          </w:tcPr>
          <w:p w:rsidR="00F915C9" w:rsidRPr="00BB7053" w:rsidP="000C0CFC" w14:paraId="76FA3219" w14:textId="18653635">
            <w:pPr>
              <w:keepNext/>
              <w:keepLines/>
              <w:tabs>
                <w:tab w:val="left" w:pos="6030"/>
              </w:tabs>
              <w:spacing w:line="276" w:lineRule="auto"/>
              <w:rPr>
                <w:sz w:val="20"/>
                <w:szCs w:val="20"/>
              </w:rPr>
            </w:pPr>
            <w:r>
              <w:rPr>
                <w:sz w:val="20"/>
                <w:szCs w:val="20"/>
              </w:rPr>
              <w:t>Finaliz</w:t>
            </w:r>
            <w:r w:rsidR="00F82698">
              <w:rPr>
                <w:sz w:val="20"/>
                <w:szCs w:val="20"/>
              </w:rPr>
              <w:t>ed</w:t>
            </w:r>
            <w:r w:rsidR="00E71312">
              <w:rPr>
                <w:sz w:val="20"/>
                <w:szCs w:val="20"/>
              </w:rPr>
              <w:t xml:space="preserve"> </w:t>
            </w:r>
            <w:r w:rsidR="00F424A2">
              <w:rPr>
                <w:sz w:val="20"/>
                <w:szCs w:val="20"/>
              </w:rPr>
              <w:br/>
            </w:r>
            <w:r w:rsidRPr="00A67FD9" w:rsidR="00A67FD9">
              <w:rPr>
                <w:sz w:val="20"/>
                <w:szCs w:val="20"/>
              </w:rPr>
              <w:t xml:space="preserve">(See Table </w:t>
            </w:r>
            <w:r w:rsidR="000C0CFC">
              <w:rPr>
                <w:sz w:val="20"/>
                <w:szCs w:val="20"/>
              </w:rPr>
              <w:t>1</w:t>
            </w:r>
            <w:r w:rsidR="00CC72F7">
              <w:rPr>
                <w:sz w:val="20"/>
                <w:szCs w:val="20"/>
              </w:rPr>
              <w:t>3</w:t>
            </w:r>
            <w:r w:rsidRPr="00A67FD9" w:rsidR="00A67FD9">
              <w:rPr>
                <w:sz w:val="20"/>
                <w:szCs w:val="20"/>
              </w:rPr>
              <w:t>)</w:t>
            </w:r>
          </w:p>
        </w:tc>
        <w:tc>
          <w:tcPr>
            <w:tcW w:w="1316" w:type="dxa"/>
          </w:tcPr>
          <w:p w:rsidR="00F915C9" w:rsidRPr="00BB7053" w:rsidP="006F385A" w14:paraId="7760DECB" w14:textId="2D7544AD">
            <w:pPr>
              <w:keepNext/>
              <w:keepLines/>
              <w:tabs>
                <w:tab w:val="left" w:pos="6030"/>
              </w:tabs>
              <w:spacing w:line="276" w:lineRule="auto"/>
              <w:jc w:val="right"/>
              <w:rPr>
                <w:sz w:val="20"/>
                <w:szCs w:val="20"/>
              </w:rPr>
            </w:pPr>
            <w:r>
              <w:rPr>
                <w:sz w:val="20"/>
                <w:szCs w:val="20"/>
              </w:rPr>
              <w:t>2</w:t>
            </w:r>
            <w:r w:rsidR="00E75005">
              <w:rPr>
                <w:sz w:val="20"/>
                <w:szCs w:val="20"/>
              </w:rPr>
              <w:t>8,714</w:t>
            </w:r>
          </w:p>
        </w:tc>
        <w:tc>
          <w:tcPr>
            <w:tcW w:w="1127" w:type="dxa"/>
          </w:tcPr>
          <w:p w:rsidR="00F915C9" w:rsidRPr="00BB7053" w:rsidP="006F385A" w14:paraId="5A4FF95F" w14:textId="2E2DDB15">
            <w:pPr>
              <w:keepNext/>
              <w:keepLines/>
              <w:tabs>
                <w:tab w:val="left" w:pos="6030"/>
              </w:tabs>
              <w:spacing w:line="276" w:lineRule="auto"/>
              <w:jc w:val="right"/>
              <w:rPr>
                <w:sz w:val="20"/>
                <w:szCs w:val="20"/>
              </w:rPr>
            </w:pPr>
            <w:r>
              <w:rPr>
                <w:sz w:val="20"/>
                <w:szCs w:val="20"/>
              </w:rPr>
              <w:t>1</w:t>
            </w:r>
          </w:p>
        </w:tc>
        <w:tc>
          <w:tcPr>
            <w:tcW w:w="1316" w:type="dxa"/>
          </w:tcPr>
          <w:p w:rsidR="00F915C9" w:rsidRPr="00BB7053" w:rsidP="006F385A" w14:paraId="491E9371" w14:textId="3591F588">
            <w:pPr>
              <w:keepNext/>
              <w:keepLines/>
              <w:tabs>
                <w:tab w:val="left" w:pos="6030"/>
              </w:tabs>
              <w:spacing w:line="276" w:lineRule="auto"/>
              <w:jc w:val="right"/>
              <w:rPr>
                <w:sz w:val="20"/>
                <w:szCs w:val="20"/>
              </w:rPr>
            </w:pPr>
            <w:r>
              <w:rPr>
                <w:sz w:val="20"/>
                <w:szCs w:val="20"/>
              </w:rPr>
              <w:t>2</w:t>
            </w:r>
            <w:r w:rsidR="00287EE1">
              <w:rPr>
                <w:sz w:val="20"/>
                <w:szCs w:val="20"/>
              </w:rPr>
              <w:t>8,714</w:t>
            </w:r>
          </w:p>
        </w:tc>
        <w:tc>
          <w:tcPr>
            <w:tcW w:w="1017" w:type="dxa"/>
          </w:tcPr>
          <w:p w:rsidR="00F915C9" w:rsidRPr="00BB7053" w:rsidP="006F385A" w14:paraId="350B3F67" w14:textId="71EC6A01">
            <w:pPr>
              <w:keepNext/>
              <w:keepLines/>
              <w:tabs>
                <w:tab w:val="left" w:pos="6030"/>
              </w:tabs>
              <w:spacing w:line="276" w:lineRule="auto"/>
              <w:jc w:val="right"/>
              <w:rPr>
                <w:sz w:val="20"/>
                <w:szCs w:val="20"/>
              </w:rPr>
            </w:pPr>
            <w:r>
              <w:rPr>
                <w:sz w:val="20"/>
                <w:szCs w:val="20"/>
              </w:rPr>
              <w:t>8</w:t>
            </w:r>
          </w:p>
        </w:tc>
        <w:tc>
          <w:tcPr>
            <w:tcW w:w="1353" w:type="dxa"/>
          </w:tcPr>
          <w:p w:rsidR="00F915C9" w:rsidRPr="00BB7053" w:rsidP="006F385A" w14:paraId="0B8C14BC" w14:textId="7E4032C4">
            <w:pPr>
              <w:keepNext/>
              <w:keepLines/>
              <w:tabs>
                <w:tab w:val="left" w:pos="6030"/>
              </w:tabs>
              <w:spacing w:line="276" w:lineRule="auto"/>
              <w:jc w:val="right"/>
              <w:rPr>
                <w:sz w:val="20"/>
                <w:szCs w:val="20"/>
              </w:rPr>
            </w:pPr>
            <w:r>
              <w:rPr>
                <w:sz w:val="20"/>
                <w:szCs w:val="20"/>
              </w:rPr>
              <w:t>229,712</w:t>
            </w:r>
          </w:p>
        </w:tc>
        <w:tc>
          <w:tcPr>
            <w:tcW w:w="946" w:type="dxa"/>
          </w:tcPr>
          <w:p w:rsidR="00F915C9" w:rsidRPr="00BB7053" w:rsidP="006F385A" w14:paraId="18041A42" w14:textId="68478642">
            <w:pPr>
              <w:keepNext/>
              <w:keepLines/>
              <w:tabs>
                <w:tab w:val="left" w:pos="6030"/>
              </w:tabs>
              <w:spacing w:line="276" w:lineRule="auto"/>
              <w:jc w:val="right"/>
              <w:rPr>
                <w:sz w:val="20"/>
                <w:szCs w:val="20"/>
              </w:rPr>
            </w:pPr>
            <w:r>
              <w:rPr>
                <w:sz w:val="20"/>
                <w:szCs w:val="20"/>
              </w:rPr>
              <w:t>Varies</w:t>
            </w:r>
          </w:p>
        </w:tc>
        <w:tc>
          <w:tcPr>
            <w:tcW w:w="1440" w:type="dxa"/>
          </w:tcPr>
          <w:p w:rsidR="00F915C9" w:rsidRPr="00BB7053" w:rsidP="006F385A" w14:paraId="70702506" w14:textId="7FE88BF3">
            <w:pPr>
              <w:keepNext/>
              <w:keepLines/>
              <w:tabs>
                <w:tab w:val="left" w:pos="6030"/>
              </w:tabs>
              <w:spacing w:line="276" w:lineRule="auto"/>
              <w:jc w:val="right"/>
              <w:rPr>
                <w:sz w:val="20"/>
                <w:szCs w:val="20"/>
              </w:rPr>
            </w:pPr>
            <w:r>
              <w:rPr>
                <w:sz w:val="20"/>
                <w:szCs w:val="20"/>
              </w:rPr>
              <w:t>2</w:t>
            </w:r>
            <w:r w:rsidR="009D0A1D">
              <w:rPr>
                <w:sz w:val="20"/>
                <w:szCs w:val="20"/>
              </w:rPr>
              <w:t>6,633,958</w:t>
            </w:r>
          </w:p>
        </w:tc>
      </w:tr>
      <w:tr w14:paraId="6A6C7DA4" w14:textId="77777777" w:rsidTr="003D29BA">
        <w:tblPrEx>
          <w:tblW w:w="10031" w:type="dxa"/>
          <w:tblLayout w:type="fixed"/>
          <w:tblLook w:val="04A0"/>
        </w:tblPrEx>
        <w:tc>
          <w:tcPr>
            <w:tcW w:w="1516" w:type="dxa"/>
            <w:shd w:val="clear" w:color="auto" w:fill="D9D9D9" w:themeFill="background1" w:themeFillShade="D9"/>
          </w:tcPr>
          <w:p w:rsidR="00F915C9" w:rsidRPr="00BB7053" w:rsidP="00F377C1" w14:paraId="2B8AD4DE" w14:textId="21E78281">
            <w:pPr>
              <w:tabs>
                <w:tab w:val="left" w:pos="6030"/>
              </w:tabs>
              <w:spacing w:line="276" w:lineRule="auto"/>
              <w:jc w:val="both"/>
              <w:rPr>
                <w:sz w:val="20"/>
                <w:szCs w:val="20"/>
              </w:rPr>
            </w:pPr>
            <w:r>
              <w:rPr>
                <w:sz w:val="20"/>
                <w:szCs w:val="20"/>
              </w:rPr>
              <w:t>Adjustment</w:t>
            </w:r>
            <w:r w:rsidR="00C1361E">
              <w:rPr>
                <w:sz w:val="20"/>
                <w:szCs w:val="20"/>
              </w:rPr>
              <w:t xml:space="preserve"> </w:t>
            </w:r>
          </w:p>
        </w:tc>
        <w:tc>
          <w:tcPr>
            <w:tcW w:w="1316" w:type="dxa"/>
            <w:shd w:val="clear" w:color="auto" w:fill="D9D9D9" w:themeFill="background1" w:themeFillShade="D9"/>
          </w:tcPr>
          <w:p w:rsidR="00F915C9" w:rsidRPr="00BB7053" w:rsidP="00F377C1" w14:paraId="0815153B" w14:textId="5C396D23">
            <w:pPr>
              <w:tabs>
                <w:tab w:val="left" w:pos="6030"/>
              </w:tabs>
              <w:spacing w:line="276" w:lineRule="auto"/>
              <w:jc w:val="right"/>
              <w:rPr>
                <w:sz w:val="20"/>
                <w:szCs w:val="20"/>
              </w:rPr>
            </w:pPr>
            <w:r>
              <w:rPr>
                <w:sz w:val="20"/>
                <w:szCs w:val="20"/>
              </w:rPr>
              <w:t>+</w:t>
            </w:r>
            <w:r w:rsidR="0049745C">
              <w:rPr>
                <w:sz w:val="20"/>
                <w:szCs w:val="20"/>
              </w:rPr>
              <w:t>4,825</w:t>
            </w:r>
            <w:r w:rsidR="00983DBE">
              <w:rPr>
                <w:sz w:val="20"/>
                <w:szCs w:val="20"/>
              </w:rPr>
              <w:t xml:space="preserve"> </w:t>
            </w:r>
          </w:p>
        </w:tc>
        <w:tc>
          <w:tcPr>
            <w:tcW w:w="1127" w:type="dxa"/>
            <w:shd w:val="clear" w:color="auto" w:fill="D9D9D9" w:themeFill="background1" w:themeFillShade="D9"/>
          </w:tcPr>
          <w:p w:rsidR="00F915C9" w:rsidRPr="00BB7053" w:rsidP="00F377C1" w14:paraId="2BDC1DF9" w14:textId="6E961EB5">
            <w:pPr>
              <w:tabs>
                <w:tab w:val="left" w:pos="6030"/>
              </w:tabs>
              <w:spacing w:line="276" w:lineRule="auto"/>
              <w:jc w:val="right"/>
              <w:rPr>
                <w:sz w:val="20"/>
                <w:szCs w:val="20"/>
              </w:rPr>
            </w:pPr>
            <w:r>
              <w:rPr>
                <w:sz w:val="20"/>
                <w:szCs w:val="20"/>
              </w:rPr>
              <w:t>No change</w:t>
            </w:r>
          </w:p>
        </w:tc>
        <w:tc>
          <w:tcPr>
            <w:tcW w:w="1316" w:type="dxa"/>
            <w:shd w:val="clear" w:color="auto" w:fill="D9D9D9" w:themeFill="background1" w:themeFillShade="D9"/>
          </w:tcPr>
          <w:p w:rsidR="00F915C9" w:rsidRPr="00BB7053" w:rsidP="00F377C1" w14:paraId="3676B35F" w14:textId="4858A54F">
            <w:pPr>
              <w:tabs>
                <w:tab w:val="left" w:pos="6030"/>
              </w:tabs>
              <w:spacing w:line="276" w:lineRule="auto"/>
              <w:jc w:val="right"/>
              <w:rPr>
                <w:sz w:val="20"/>
                <w:szCs w:val="20"/>
              </w:rPr>
            </w:pPr>
            <w:r>
              <w:rPr>
                <w:sz w:val="20"/>
                <w:szCs w:val="20"/>
              </w:rPr>
              <w:t>+4,825</w:t>
            </w:r>
          </w:p>
        </w:tc>
        <w:tc>
          <w:tcPr>
            <w:tcW w:w="1017" w:type="dxa"/>
            <w:shd w:val="clear" w:color="auto" w:fill="D9D9D9" w:themeFill="background1" w:themeFillShade="D9"/>
          </w:tcPr>
          <w:p w:rsidR="00F915C9" w:rsidRPr="00BB7053" w:rsidP="00F377C1" w14:paraId="02CC1C28" w14:textId="7062C02C">
            <w:pPr>
              <w:tabs>
                <w:tab w:val="left" w:pos="6030"/>
              </w:tabs>
              <w:spacing w:line="276" w:lineRule="auto"/>
              <w:jc w:val="right"/>
              <w:rPr>
                <w:sz w:val="20"/>
                <w:szCs w:val="20"/>
              </w:rPr>
            </w:pPr>
            <w:r>
              <w:rPr>
                <w:sz w:val="20"/>
                <w:szCs w:val="20"/>
              </w:rPr>
              <w:t>No change</w:t>
            </w:r>
          </w:p>
        </w:tc>
        <w:tc>
          <w:tcPr>
            <w:tcW w:w="1353" w:type="dxa"/>
            <w:shd w:val="clear" w:color="auto" w:fill="D9D9D9" w:themeFill="background1" w:themeFillShade="D9"/>
          </w:tcPr>
          <w:p w:rsidR="00F915C9" w:rsidRPr="00BB7053" w:rsidP="00F377C1" w14:paraId="6B60D96F" w14:textId="22CF27C3">
            <w:pPr>
              <w:tabs>
                <w:tab w:val="left" w:pos="6030"/>
              </w:tabs>
              <w:spacing w:line="276" w:lineRule="auto"/>
              <w:jc w:val="right"/>
              <w:rPr>
                <w:sz w:val="20"/>
                <w:szCs w:val="20"/>
              </w:rPr>
            </w:pPr>
            <w:r>
              <w:rPr>
                <w:sz w:val="20"/>
                <w:szCs w:val="20"/>
              </w:rPr>
              <w:t>+38,600</w:t>
            </w:r>
          </w:p>
        </w:tc>
        <w:tc>
          <w:tcPr>
            <w:tcW w:w="946" w:type="dxa"/>
            <w:shd w:val="clear" w:color="auto" w:fill="D9D9D9" w:themeFill="background1" w:themeFillShade="D9"/>
          </w:tcPr>
          <w:p w:rsidR="00F915C9" w:rsidRPr="00BB7053" w:rsidP="00F377C1" w14:paraId="7D826C49" w14:textId="3566F18E">
            <w:pPr>
              <w:tabs>
                <w:tab w:val="left" w:pos="6030"/>
              </w:tabs>
              <w:spacing w:line="276" w:lineRule="auto"/>
              <w:jc w:val="right"/>
              <w:rPr>
                <w:sz w:val="20"/>
                <w:szCs w:val="20"/>
              </w:rPr>
            </w:pPr>
            <w:r>
              <w:rPr>
                <w:sz w:val="20"/>
                <w:szCs w:val="20"/>
              </w:rPr>
              <w:t>No change</w:t>
            </w:r>
          </w:p>
        </w:tc>
        <w:tc>
          <w:tcPr>
            <w:tcW w:w="1440" w:type="dxa"/>
            <w:shd w:val="clear" w:color="auto" w:fill="D9D9D9" w:themeFill="background1" w:themeFillShade="D9"/>
          </w:tcPr>
          <w:p w:rsidR="00F915C9" w:rsidRPr="00BB7053" w:rsidP="00F377C1" w14:paraId="0F81321F" w14:textId="1064A93F">
            <w:pPr>
              <w:tabs>
                <w:tab w:val="left" w:pos="6030"/>
              </w:tabs>
              <w:spacing w:line="276" w:lineRule="auto"/>
              <w:jc w:val="right"/>
              <w:rPr>
                <w:sz w:val="20"/>
                <w:szCs w:val="20"/>
              </w:rPr>
            </w:pPr>
            <w:r>
              <w:rPr>
                <w:sz w:val="20"/>
                <w:szCs w:val="20"/>
              </w:rPr>
              <w:t>+4,475,477</w:t>
            </w:r>
            <w:r w:rsidR="003A47AE">
              <w:rPr>
                <w:sz w:val="20"/>
                <w:szCs w:val="20"/>
              </w:rPr>
              <w:t xml:space="preserve"> </w:t>
            </w:r>
          </w:p>
        </w:tc>
      </w:tr>
    </w:tbl>
    <w:p w:rsidR="00C1361E" w:rsidRPr="00BE19DD" w:rsidP="00BE19DD" w14:paraId="1126D762" w14:textId="4AFA4C6D">
      <w:pPr>
        <w:spacing w:before="200"/>
        <w:jc w:val="center"/>
        <w:rPr>
          <w:rFonts w:eastAsia="Calibri"/>
          <w:b/>
        </w:rPr>
      </w:pPr>
      <w:r w:rsidRPr="00B30713">
        <w:rPr>
          <w:rFonts w:eastAsia="Calibri"/>
          <w:b/>
          <w:bCs/>
        </w:rPr>
        <w:t xml:space="preserve">TABLE </w:t>
      </w:r>
      <w:r>
        <w:rPr>
          <w:rFonts w:eastAsia="Calibri"/>
          <w:b/>
          <w:bCs/>
        </w:rPr>
        <w:t>3</w:t>
      </w:r>
      <w:r w:rsidR="00643618">
        <w:rPr>
          <w:rFonts w:eastAsia="Calibri"/>
          <w:b/>
          <w:bCs/>
        </w:rPr>
        <w:t>1K</w:t>
      </w:r>
      <w:r w:rsidRPr="00B30713">
        <w:rPr>
          <w:rFonts w:eastAsia="Calibri"/>
          <w:b/>
          <w:bCs/>
        </w:rPr>
        <w:t xml:space="preserve">: Burden Reconciliation for </w:t>
      </w:r>
      <w:r w:rsidR="00E2094C">
        <w:rPr>
          <w:rFonts w:eastAsia="Calibri"/>
          <w:b/>
          <w:bCs/>
        </w:rPr>
        <w:t>MVP Registration</w:t>
      </w:r>
    </w:p>
    <w:tbl>
      <w:tblPr>
        <w:tblStyle w:val="TableGrid"/>
        <w:tblW w:w="10075" w:type="dxa"/>
        <w:tblLook w:val="04A0"/>
      </w:tblPr>
      <w:tblGrid>
        <w:gridCol w:w="1238"/>
        <w:gridCol w:w="1306"/>
        <w:gridCol w:w="1127"/>
        <w:gridCol w:w="1094"/>
        <w:gridCol w:w="1350"/>
        <w:gridCol w:w="1350"/>
        <w:gridCol w:w="1170"/>
        <w:gridCol w:w="1440"/>
      </w:tblGrid>
      <w:tr w14:paraId="17593DB0" w14:textId="77777777" w:rsidTr="00BE19DD">
        <w:tblPrEx>
          <w:tblW w:w="10075" w:type="dxa"/>
          <w:tblLook w:val="04A0"/>
        </w:tblPrEx>
        <w:trPr>
          <w:tblHeader/>
        </w:trPr>
        <w:tc>
          <w:tcPr>
            <w:tcW w:w="1238" w:type="dxa"/>
          </w:tcPr>
          <w:p w:rsidR="00C1361E" w:rsidRPr="00FB02B1" w:rsidP="00BE19DD" w14:paraId="1A217DDB" w14:textId="77777777">
            <w:pPr>
              <w:tabs>
                <w:tab w:val="left" w:pos="6030"/>
              </w:tabs>
              <w:spacing w:line="276" w:lineRule="auto"/>
              <w:jc w:val="both"/>
              <w:rPr>
                <w:b/>
                <w:bCs/>
                <w:sz w:val="20"/>
                <w:szCs w:val="20"/>
              </w:rPr>
            </w:pPr>
            <w:r w:rsidRPr="00FB02B1">
              <w:rPr>
                <w:b/>
                <w:bCs/>
                <w:sz w:val="20"/>
                <w:szCs w:val="20"/>
              </w:rPr>
              <w:t>Burden Category</w:t>
            </w:r>
          </w:p>
        </w:tc>
        <w:tc>
          <w:tcPr>
            <w:tcW w:w="1306" w:type="dxa"/>
          </w:tcPr>
          <w:p w:rsidR="00C1361E" w:rsidRPr="00FB02B1" w:rsidP="00BE19DD" w14:paraId="11E5F754" w14:textId="77777777">
            <w:pPr>
              <w:tabs>
                <w:tab w:val="left" w:pos="6030"/>
              </w:tabs>
              <w:spacing w:line="276" w:lineRule="auto"/>
              <w:jc w:val="both"/>
              <w:rPr>
                <w:b/>
                <w:bCs/>
                <w:sz w:val="20"/>
                <w:szCs w:val="20"/>
              </w:rPr>
            </w:pPr>
            <w:r w:rsidRPr="00FB02B1">
              <w:rPr>
                <w:b/>
                <w:bCs/>
                <w:sz w:val="20"/>
                <w:szCs w:val="20"/>
              </w:rPr>
              <w:t>Total Annual Respondents</w:t>
            </w:r>
          </w:p>
        </w:tc>
        <w:tc>
          <w:tcPr>
            <w:tcW w:w="1127" w:type="dxa"/>
          </w:tcPr>
          <w:p w:rsidR="00C1361E" w:rsidRPr="00FB02B1" w:rsidP="00BE19DD" w14:paraId="3E4E10E8" w14:textId="77777777">
            <w:pPr>
              <w:tabs>
                <w:tab w:val="left" w:pos="6030"/>
              </w:tabs>
              <w:spacing w:line="276" w:lineRule="auto"/>
              <w:jc w:val="both"/>
              <w:rPr>
                <w:b/>
                <w:bCs/>
                <w:sz w:val="20"/>
                <w:szCs w:val="20"/>
              </w:rPr>
            </w:pPr>
            <w:r w:rsidRPr="00FB02B1">
              <w:rPr>
                <w:b/>
                <w:bCs/>
                <w:sz w:val="20"/>
                <w:szCs w:val="20"/>
              </w:rPr>
              <w:t>Response Frequency (per year)</w:t>
            </w:r>
          </w:p>
        </w:tc>
        <w:tc>
          <w:tcPr>
            <w:tcW w:w="1094" w:type="dxa"/>
          </w:tcPr>
          <w:p w:rsidR="00C1361E" w:rsidRPr="00FB02B1" w:rsidP="00BE19DD" w14:paraId="53EB6162" w14:textId="77777777">
            <w:pPr>
              <w:tabs>
                <w:tab w:val="left" w:pos="6030"/>
              </w:tabs>
              <w:spacing w:line="276" w:lineRule="auto"/>
              <w:jc w:val="both"/>
              <w:rPr>
                <w:b/>
                <w:bCs/>
                <w:sz w:val="20"/>
                <w:szCs w:val="20"/>
              </w:rPr>
            </w:pPr>
            <w:r w:rsidRPr="00FB02B1">
              <w:rPr>
                <w:b/>
                <w:bCs/>
                <w:sz w:val="20"/>
                <w:szCs w:val="20"/>
              </w:rPr>
              <w:t>Total Annual Responses</w:t>
            </w:r>
          </w:p>
        </w:tc>
        <w:tc>
          <w:tcPr>
            <w:tcW w:w="1350" w:type="dxa"/>
          </w:tcPr>
          <w:p w:rsidR="00C1361E" w:rsidRPr="00FB02B1" w:rsidP="00BE19DD" w14:paraId="0803C2EC" w14:textId="77777777">
            <w:pPr>
              <w:tabs>
                <w:tab w:val="left" w:pos="6030"/>
              </w:tabs>
              <w:spacing w:line="276" w:lineRule="auto"/>
              <w:rPr>
                <w:b/>
                <w:bCs/>
                <w:sz w:val="20"/>
                <w:szCs w:val="20"/>
              </w:rPr>
            </w:pPr>
            <w:r w:rsidRPr="00FB02B1">
              <w:rPr>
                <w:b/>
                <w:bCs/>
                <w:sz w:val="20"/>
                <w:szCs w:val="20"/>
              </w:rPr>
              <w:t>Time Per Response (hr)</w:t>
            </w:r>
          </w:p>
        </w:tc>
        <w:tc>
          <w:tcPr>
            <w:tcW w:w="1350" w:type="dxa"/>
          </w:tcPr>
          <w:p w:rsidR="00C1361E" w:rsidRPr="00FB02B1" w:rsidP="00BE19DD" w14:paraId="135994CE" w14:textId="77777777">
            <w:pPr>
              <w:tabs>
                <w:tab w:val="left" w:pos="6030"/>
              </w:tabs>
              <w:spacing w:line="276" w:lineRule="auto"/>
              <w:jc w:val="both"/>
              <w:rPr>
                <w:b/>
                <w:bCs/>
                <w:sz w:val="20"/>
                <w:szCs w:val="20"/>
              </w:rPr>
            </w:pPr>
            <w:r w:rsidRPr="00FB02B1">
              <w:rPr>
                <w:b/>
                <w:bCs/>
                <w:sz w:val="20"/>
                <w:szCs w:val="20"/>
              </w:rPr>
              <w:t>Total Annual Time (hr)</w:t>
            </w:r>
          </w:p>
        </w:tc>
        <w:tc>
          <w:tcPr>
            <w:tcW w:w="1170" w:type="dxa"/>
          </w:tcPr>
          <w:p w:rsidR="00C1361E" w:rsidRPr="00FB02B1" w:rsidP="00BE19DD" w14:paraId="6EAE57BC" w14:textId="77777777">
            <w:pPr>
              <w:tabs>
                <w:tab w:val="left" w:pos="6030"/>
              </w:tabs>
              <w:spacing w:line="276" w:lineRule="auto"/>
              <w:jc w:val="both"/>
              <w:rPr>
                <w:b/>
                <w:bCs/>
                <w:sz w:val="20"/>
                <w:szCs w:val="20"/>
              </w:rPr>
            </w:pPr>
            <w:r w:rsidRPr="00FB02B1">
              <w:rPr>
                <w:b/>
                <w:bCs/>
                <w:sz w:val="20"/>
                <w:szCs w:val="20"/>
              </w:rPr>
              <w:t>Labor Cost ($/hr)</w:t>
            </w:r>
          </w:p>
        </w:tc>
        <w:tc>
          <w:tcPr>
            <w:tcW w:w="1440" w:type="dxa"/>
          </w:tcPr>
          <w:p w:rsidR="00C1361E" w:rsidRPr="00FB02B1" w:rsidP="00BE19DD" w14:paraId="3168AA47" w14:textId="77777777">
            <w:pPr>
              <w:tabs>
                <w:tab w:val="left" w:pos="6030"/>
              </w:tabs>
              <w:spacing w:line="276" w:lineRule="auto"/>
              <w:rPr>
                <w:b/>
                <w:bCs/>
                <w:sz w:val="20"/>
                <w:szCs w:val="20"/>
              </w:rPr>
            </w:pPr>
            <w:r w:rsidRPr="00FB02B1">
              <w:rPr>
                <w:b/>
                <w:bCs/>
                <w:sz w:val="20"/>
                <w:szCs w:val="20"/>
              </w:rPr>
              <w:t>Total Annual Cost ($)</w:t>
            </w:r>
          </w:p>
        </w:tc>
      </w:tr>
      <w:tr w14:paraId="066A584F" w14:textId="77777777" w:rsidTr="00BE19DD">
        <w:tblPrEx>
          <w:tblW w:w="10075" w:type="dxa"/>
          <w:tblLook w:val="04A0"/>
        </w:tblPrEx>
        <w:tc>
          <w:tcPr>
            <w:tcW w:w="1238" w:type="dxa"/>
          </w:tcPr>
          <w:p w:rsidR="00C1361E" w:rsidRPr="00BB7053" w:rsidP="00BE19DD" w14:paraId="55A03EE3" w14:textId="43176E47">
            <w:pPr>
              <w:tabs>
                <w:tab w:val="left" w:pos="6030"/>
              </w:tabs>
              <w:spacing w:line="276" w:lineRule="auto"/>
              <w:jc w:val="both"/>
              <w:rPr>
                <w:sz w:val="20"/>
                <w:szCs w:val="20"/>
              </w:rPr>
            </w:pPr>
            <w:r>
              <w:rPr>
                <w:sz w:val="20"/>
                <w:szCs w:val="20"/>
              </w:rPr>
              <w:t>Currently Approved</w:t>
            </w:r>
            <w:r w:rsidR="00B5392B">
              <w:rPr>
                <w:sz w:val="20"/>
                <w:szCs w:val="20"/>
              </w:rPr>
              <w:t xml:space="preserve"> </w:t>
            </w:r>
          </w:p>
        </w:tc>
        <w:tc>
          <w:tcPr>
            <w:tcW w:w="1306" w:type="dxa"/>
          </w:tcPr>
          <w:p w:rsidR="00C1361E" w:rsidRPr="00BB7053" w:rsidP="00BE19DD" w14:paraId="7F995BE9" w14:textId="7F52D3C0">
            <w:pPr>
              <w:tabs>
                <w:tab w:val="left" w:pos="6030"/>
              </w:tabs>
              <w:spacing w:line="276" w:lineRule="auto"/>
              <w:jc w:val="right"/>
              <w:rPr>
                <w:sz w:val="20"/>
                <w:szCs w:val="20"/>
              </w:rPr>
            </w:pPr>
            <w:r>
              <w:rPr>
                <w:sz w:val="20"/>
                <w:szCs w:val="20"/>
              </w:rPr>
              <w:t>7,731</w:t>
            </w:r>
          </w:p>
        </w:tc>
        <w:tc>
          <w:tcPr>
            <w:tcW w:w="1127" w:type="dxa"/>
          </w:tcPr>
          <w:p w:rsidR="00C1361E" w:rsidRPr="00BB7053" w:rsidP="00BE19DD" w14:paraId="3967E47E" w14:textId="27926B02">
            <w:pPr>
              <w:tabs>
                <w:tab w:val="left" w:pos="6030"/>
              </w:tabs>
              <w:spacing w:line="276" w:lineRule="auto"/>
              <w:jc w:val="right"/>
              <w:rPr>
                <w:sz w:val="20"/>
                <w:szCs w:val="20"/>
              </w:rPr>
            </w:pPr>
            <w:r>
              <w:rPr>
                <w:sz w:val="20"/>
                <w:szCs w:val="20"/>
              </w:rPr>
              <w:t>1</w:t>
            </w:r>
          </w:p>
        </w:tc>
        <w:tc>
          <w:tcPr>
            <w:tcW w:w="1094" w:type="dxa"/>
          </w:tcPr>
          <w:p w:rsidR="00C1361E" w:rsidRPr="00BB7053" w:rsidP="00BE19DD" w14:paraId="61B59083" w14:textId="371FE1C0">
            <w:pPr>
              <w:tabs>
                <w:tab w:val="left" w:pos="6030"/>
              </w:tabs>
              <w:spacing w:line="276" w:lineRule="auto"/>
              <w:jc w:val="right"/>
              <w:rPr>
                <w:sz w:val="20"/>
                <w:szCs w:val="20"/>
              </w:rPr>
            </w:pPr>
            <w:r>
              <w:rPr>
                <w:sz w:val="20"/>
                <w:szCs w:val="20"/>
              </w:rPr>
              <w:t>7,731</w:t>
            </w:r>
          </w:p>
        </w:tc>
        <w:tc>
          <w:tcPr>
            <w:tcW w:w="1350" w:type="dxa"/>
          </w:tcPr>
          <w:p w:rsidR="00C1361E" w:rsidRPr="00BB7053" w:rsidP="00BE19DD" w14:paraId="0D75CA29" w14:textId="3E41CAB5">
            <w:pPr>
              <w:tabs>
                <w:tab w:val="left" w:pos="6030"/>
              </w:tabs>
              <w:spacing w:line="276" w:lineRule="auto"/>
              <w:jc w:val="right"/>
              <w:rPr>
                <w:sz w:val="20"/>
                <w:szCs w:val="20"/>
              </w:rPr>
            </w:pPr>
            <w:r>
              <w:rPr>
                <w:sz w:val="20"/>
                <w:szCs w:val="20"/>
              </w:rPr>
              <w:t>0.25</w:t>
            </w:r>
          </w:p>
        </w:tc>
        <w:tc>
          <w:tcPr>
            <w:tcW w:w="1350" w:type="dxa"/>
          </w:tcPr>
          <w:p w:rsidR="00C1361E" w:rsidRPr="00BB7053" w:rsidP="00BE19DD" w14:paraId="7AD92ED4" w14:textId="5D245B2A">
            <w:pPr>
              <w:tabs>
                <w:tab w:val="left" w:pos="6030"/>
              </w:tabs>
              <w:spacing w:line="276" w:lineRule="auto"/>
              <w:jc w:val="right"/>
              <w:rPr>
                <w:sz w:val="20"/>
                <w:szCs w:val="20"/>
              </w:rPr>
            </w:pPr>
            <w:r>
              <w:rPr>
                <w:sz w:val="20"/>
                <w:szCs w:val="20"/>
              </w:rPr>
              <w:t>1,933</w:t>
            </w:r>
          </w:p>
        </w:tc>
        <w:tc>
          <w:tcPr>
            <w:tcW w:w="1170" w:type="dxa"/>
          </w:tcPr>
          <w:p w:rsidR="00C1361E" w:rsidRPr="00BB7053" w:rsidP="00BE19DD" w14:paraId="78E67419" w14:textId="56CA40FC">
            <w:pPr>
              <w:tabs>
                <w:tab w:val="left" w:pos="6030"/>
              </w:tabs>
              <w:spacing w:line="276" w:lineRule="auto"/>
              <w:jc w:val="right"/>
              <w:rPr>
                <w:sz w:val="20"/>
                <w:szCs w:val="20"/>
              </w:rPr>
            </w:pPr>
            <w:r>
              <w:rPr>
                <w:sz w:val="20"/>
                <w:szCs w:val="20"/>
              </w:rPr>
              <w:t>103.40</w:t>
            </w:r>
          </w:p>
        </w:tc>
        <w:tc>
          <w:tcPr>
            <w:tcW w:w="1440" w:type="dxa"/>
          </w:tcPr>
          <w:p w:rsidR="00C1361E" w:rsidRPr="00BB7053" w:rsidP="00BE19DD" w14:paraId="3C00D14D" w14:textId="282BDE83">
            <w:pPr>
              <w:tabs>
                <w:tab w:val="left" w:pos="6030"/>
              </w:tabs>
              <w:spacing w:line="276" w:lineRule="auto"/>
              <w:jc w:val="right"/>
              <w:rPr>
                <w:sz w:val="20"/>
                <w:szCs w:val="20"/>
              </w:rPr>
            </w:pPr>
            <w:r>
              <w:rPr>
                <w:sz w:val="20"/>
                <w:szCs w:val="20"/>
              </w:rPr>
              <w:t>199,846</w:t>
            </w:r>
          </w:p>
        </w:tc>
      </w:tr>
      <w:tr w14:paraId="56CF29C7" w14:textId="77777777" w:rsidTr="00BE19DD">
        <w:tblPrEx>
          <w:tblW w:w="10075" w:type="dxa"/>
          <w:tblLook w:val="04A0"/>
        </w:tblPrEx>
        <w:tc>
          <w:tcPr>
            <w:tcW w:w="1238" w:type="dxa"/>
          </w:tcPr>
          <w:p w:rsidR="00C1361E" w:rsidRPr="00BB7053" w:rsidP="00BE19DD" w14:paraId="38CA804D" w14:textId="00BD94AF">
            <w:pPr>
              <w:tabs>
                <w:tab w:val="left" w:pos="6030"/>
              </w:tabs>
              <w:spacing w:line="276" w:lineRule="auto"/>
              <w:rPr>
                <w:sz w:val="20"/>
                <w:szCs w:val="20"/>
              </w:rPr>
            </w:pPr>
            <w:r>
              <w:rPr>
                <w:sz w:val="20"/>
                <w:szCs w:val="20"/>
              </w:rPr>
              <w:t>Finaliz</w:t>
            </w:r>
            <w:r w:rsidR="00E2094C">
              <w:rPr>
                <w:sz w:val="20"/>
                <w:szCs w:val="20"/>
              </w:rPr>
              <w:t xml:space="preserve">ed </w:t>
            </w:r>
            <w:r w:rsidR="00F424A2">
              <w:rPr>
                <w:sz w:val="20"/>
                <w:szCs w:val="20"/>
              </w:rPr>
              <w:br/>
            </w:r>
            <w:r w:rsidRPr="00A67FD9" w:rsidR="00A67FD9">
              <w:rPr>
                <w:sz w:val="20"/>
                <w:szCs w:val="20"/>
              </w:rPr>
              <w:t>(See Table 1</w:t>
            </w:r>
            <w:r w:rsidR="00643618">
              <w:rPr>
                <w:sz w:val="20"/>
                <w:szCs w:val="20"/>
              </w:rPr>
              <w:t>4</w:t>
            </w:r>
            <w:r w:rsidRPr="00A67FD9" w:rsidR="00A67FD9">
              <w:rPr>
                <w:sz w:val="20"/>
                <w:szCs w:val="20"/>
              </w:rPr>
              <w:t>)</w:t>
            </w:r>
          </w:p>
        </w:tc>
        <w:tc>
          <w:tcPr>
            <w:tcW w:w="1306" w:type="dxa"/>
          </w:tcPr>
          <w:p w:rsidR="00C1361E" w:rsidRPr="00BB7053" w:rsidP="00BE19DD" w14:paraId="4BA8ED41" w14:textId="03FDA14D">
            <w:pPr>
              <w:tabs>
                <w:tab w:val="left" w:pos="6030"/>
              </w:tabs>
              <w:spacing w:line="276" w:lineRule="auto"/>
              <w:jc w:val="right"/>
              <w:rPr>
                <w:sz w:val="20"/>
                <w:szCs w:val="20"/>
              </w:rPr>
            </w:pPr>
            <w:r>
              <w:rPr>
                <w:sz w:val="20"/>
                <w:szCs w:val="20"/>
              </w:rPr>
              <w:t>9,</w:t>
            </w:r>
            <w:r w:rsidR="0055556C">
              <w:rPr>
                <w:sz w:val="20"/>
                <w:szCs w:val="20"/>
              </w:rPr>
              <w:t>58</w:t>
            </w:r>
            <w:r>
              <w:rPr>
                <w:sz w:val="20"/>
                <w:szCs w:val="20"/>
              </w:rPr>
              <w:t>5</w:t>
            </w:r>
          </w:p>
        </w:tc>
        <w:tc>
          <w:tcPr>
            <w:tcW w:w="1127" w:type="dxa"/>
          </w:tcPr>
          <w:p w:rsidR="00C1361E" w:rsidRPr="00BB7053" w:rsidP="00BE19DD" w14:paraId="2AA2A3F1" w14:textId="2EA753F8">
            <w:pPr>
              <w:tabs>
                <w:tab w:val="left" w:pos="6030"/>
              </w:tabs>
              <w:spacing w:line="276" w:lineRule="auto"/>
              <w:jc w:val="right"/>
              <w:rPr>
                <w:sz w:val="20"/>
                <w:szCs w:val="20"/>
              </w:rPr>
            </w:pPr>
            <w:r>
              <w:rPr>
                <w:sz w:val="20"/>
                <w:szCs w:val="20"/>
              </w:rPr>
              <w:t>1</w:t>
            </w:r>
          </w:p>
        </w:tc>
        <w:tc>
          <w:tcPr>
            <w:tcW w:w="1094" w:type="dxa"/>
          </w:tcPr>
          <w:p w:rsidR="00C1361E" w:rsidRPr="00BB7053" w:rsidP="003D29BA" w14:paraId="3C781969" w14:textId="52773664">
            <w:pPr>
              <w:tabs>
                <w:tab w:val="left" w:pos="6030"/>
              </w:tabs>
              <w:spacing w:line="276" w:lineRule="auto"/>
              <w:jc w:val="center"/>
              <w:rPr>
                <w:sz w:val="20"/>
                <w:szCs w:val="20"/>
              </w:rPr>
            </w:pPr>
            <w:r>
              <w:rPr>
                <w:sz w:val="20"/>
                <w:szCs w:val="20"/>
              </w:rPr>
              <w:t xml:space="preserve">        9,</w:t>
            </w:r>
            <w:r w:rsidR="00200B79">
              <w:rPr>
                <w:sz w:val="20"/>
                <w:szCs w:val="20"/>
              </w:rPr>
              <w:t>58</w:t>
            </w:r>
            <w:r>
              <w:rPr>
                <w:sz w:val="20"/>
                <w:szCs w:val="20"/>
              </w:rPr>
              <w:t>5</w:t>
            </w:r>
          </w:p>
        </w:tc>
        <w:tc>
          <w:tcPr>
            <w:tcW w:w="1350" w:type="dxa"/>
          </w:tcPr>
          <w:p w:rsidR="00C1361E" w:rsidRPr="00BB7053" w:rsidP="00BE19DD" w14:paraId="6673A836" w14:textId="4030BB03">
            <w:pPr>
              <w:tabs>
                <w:tab w:val="left" w:pos="6030"/>
              </w:tabs>
              <w:spacing w:line="276" w:lineRule="auto"/>
              <w:jc w:val="right"/>
              <w:rPr>
                <w:sz w:val="20"/>
                <w:szCs w:val="20"/>
              </w:rPr>
            </w:pPr>
            <w:r>
              <w:rPr>
                <w:sz w:val="20"/>
                <w:szCs w:val="20"/>
              </w:rPr>
              <w:t>0.25</w:t>
            </w:r>
          </w:p>
        </w:tc>
        <w:tc>
          <w:tcPr>
            <w:tcW w:w="1350" w:type="dxa"/>
          </w:tcPr>
          <w:p w:rsidR="00C1361E" w:rsidRPr="00BB7053" w:rsidP="00BE19DD" w14:paraId="7E08FC00" w14:textId="426E6A2A">
            <w:pPr>
              <w:tabs>
                <w:tab w:val="left" w:pos="6030"/>
              </w:tabs>
              <w:spacing w:line="276" w:lineRule="auto"/>
              <w:jc w:val="right"/>
              <w:rPr>
                <w:sz w:val="20"/>
                <w:szCs w:val="20"/>
              </w:rPr>
            </w:pPr>
            <w:r>
              <w:rPr>
                <w:sz w:val="20"/>
                <w:szCs w:val="20"/>
              </w:rPr>
              <w:t>2,</w:t>
            </w:r>
            <w:r w:rsidR="00BF640D">
              <w:rPr>
                <w:sz w:val="20"/>
                <w:szCs w:val="20"/>
              </w:rPr>
              <w:t>396</w:t>
            </w:r>
          </w:p>
        </w:tc>
        <w:tc>
          <w:tcPr>
            <w:tcW w:w="1170" w:type="dxa"/>
          </w:tcPr>
          <w:p w:rsidR="00C1361E" w:rsidRPr="00BB7053" w:rsidP="00BE19DD" w14:paraId="39B88AC8" w14:textId="095E3127">
            <w:pPr>
              <w:tabs>
                <w:tab w:val="left" w:pos="6030"/>
              </w:tabs>
              <w:spacing w:line="276" w:lineRule="auto"/>
              <w:jc w:val="right"/>
              <w:rPr>
                <w:sz w:val="20"/>
                <w:szCs w:val="20"/>
              </w:rPr>
            </w:pPr>
            <w:r>
              <w:rPr>
                <w:sz w:val="20"/>
                <w:szCs w:val="20"/>
              </w:rPr>
              <w:t>103.40</w:t>
            </w:r>
          </w:p>
        </w:tc>
        <w:tc>
          <w:tcPr>
            <w:tcW w:w="1440" w:type="dxa"/>
          </w:tcPr>
          <w:p w:rsidR="00C1361E" w:rsidRPr="00BB7053" w:rsidP="00BE19DD" w14:paraId="77B0DB04" w14:textId="20EBA899">
            <w:pPr>
              <w:tabs>
                <w:tab w:val="left" w:pos="6030"/>
              </w:tabs>
              <w:spacing w:line="276" w:lineRule="auto"/>
              <w:jc w:val="right"/>
              <w:rPr>
                <w:sz w:val="20"/>
                <w:szCs w:val="20"/>
              </w:rPr>
            </w:pPr>
            <w:r>
              <w:rPr>
                <w:sz w:val="20"/>
                <w:szCs w:val="20"/>
              </w:rPr>
              <w:t>2</w:t>
            </w:r>
            <w:r w:rsidR="002A2CF9">
              <w:rPr>
                <w:sz w:val="20"/>
                <w:szCs w:val="20"/>
              </w:rPr>
              <w:t>47,772</w:t>
            </w:r>
          </w:p>
        </w:tc>
      </w:tr>
      <w:tr w14:paraId="68FD0602" w14:textId="77777777" w:rsidTr="00BE19DD">
        <w:tblPrEx>
          <w:tblW w:w="10075" w:type="dxa"/>
          <w:tblLook w:val="04A0"/>
        </w:tblPrEx>
        <w:tc>
          <w:tcPr>
            <w:tcW w:w="1238" w:type="dxa"/>
            <w:shd w:val="clear" w:color="auto" w:fill="D9D9D9" w:themeFill="background1" w:themeFillShade="D9"/>
          </w:tcPr>
          <w:p w:rsidR="00C1361E" w:rsidRPr="00BB7053" w:rsidP="00BE19DD" w14:paraId="6482A4E9" w14:textId="74EE64B8">
            <w:pPr>
              <w:tabs>
                <w:tab w:val="left" w:pos="6030"/>
              </w:tabs>
              <w:spacing w:line="276" w:lineRule="auto"/>
              <w:jc w:val="both"/>
              <w:rPr>
                <w:sz w:val="20"/>
                <w:szCs w:val="20"/>
              </w:rPr>
            </w:pPr>
            <w:r>
              <w:rPr>
                <w:sz w:val="20"/>
                <w:szCs w:val="20"/>
              </w:rPr>
              <w:t xml:space="preserve">Adjustment </w:t>
            </w:r>
          </w:p>
        </w:tc>
        <w:tc>
          <w:tcPr>
            <w:tcW w:w="1306" w:type="dxa"/>
            <w:shd w:val="clear" w:color="auto" w:fill="D9D9D9" w:themeFill="background1" w:themeFillShade="D9"/>
          </w:tcPr>
          <w:p w:rsidR="00C1361E" w:rsidRPr="00BB7053" w:rsidP="00BE19DD" w14:paraId="02FD74E3" w14:textId="0BAFB92C">
            <w:pPr>
              <w:tabs>
                <w:tab w:val="left" w:pos="6030"/>
              </w:tabs>
              <w:spacing w:line="276" w:lineRule="auto"/>
              <w:jc w:val="right"/>
              <w:rPr>
                <w:sz w:val="20"/>
                <w:szCs w:val="20"/>
              </w:rPr>
            </w:pPr>
            <w:r>
              <w:rPr>
                <w:sz w:val="20"/>
                <w:szCs w:val="20"/>
              </w:rPr>
              <w:t>+1,8</w:t>
            </w:r>
            <w:r w:rsidR="0055556C">
              <w:rPr>
                <w:sz w:val="20"/>
                <w:szCs w:val="20"/>
              </w:rPr>
              <w:t>5</w:t>
            </w:r>
            <w:r>
              <w:rPr>
                <w:sz w:val="20"/>
                <w:szCs w:val="20"/>
              </w:rPr>
              <w:t>4</w:t>
            </w:r>
          </w:p>
        </w:tc>
        <w:tc>
          <w:tcPr>
            <w:tcW w:w="1127" w:type="dxa"/>
            <w:shd w:val="clear" w:color="auto" w:fill="D9D9D9" w:themeFill="background1" w:themeFillShade="D9"/>
          </w:tcPr>
          <w:p w:rsidR="00C1361E" w:rsidRPr="00BB7053" w:rsidP="00BE19DD" w14:paraId="5079CDB4" w14:textId="3C940902">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C1361E" w:rsidRPr="00BB7053" w:rsidP="00BE19DD" w14:paraId="6BD556CB" w14:textId="6F5F7A50">
            <w:pPr>
              <w:tabs>
                <w:tab w:val="left" w:pos="6030"/>
              </w:tabs>
              <w:spacing w:line="276" w:lineRule="auto"/>
              <w:jc w:val="right"/>
              <w:rPr>
                <w:sz w:val="20"/>
                <w:szCs w:val="20"/>
              </w:rPr>
            </w:pPr>
            <w:r>
              <w:rPr>
                <w:sz w:val="20"/>
                <w:szCs w:val="20"/>
              </w:rPr>
              <w:t>+1,8</w:t>
            </w:r>
            <w:r w:rsidR="0055556C">
              <w:rPr>
                <w:sz w:val="20"/>
                <w:szCs w:val="20"/>
              </w:rPr>
              <w:t>5</w:t>
            </w:r>
            <w:r>
              <w:rPr>
                <w:sz w:val="20"/>
                <w:szCs w:val="20"/>
              </w:rPr>
              <w:t>4</w:t>
            </w:r>
          </w:p>
        </w:tc>
        <w:tc>
          <w:tcPr>
            <w:tcW w:w="1350" w:type="dxa"/>
            <w:shd w:val="clear" w:color="auto" w:fill="D9D9D9" w:themeFill="background1" w:themeFillShade="D9"/>
          </w:tcPr>
          <w:p w:rsidR="00C1361E" w:rsidRPr="00BB7053" w:rsidP="00BE19DD" w14:paraId="726FA9DF" w14:textId="04429BC9">
            <w:pPr>
              <w:tabs>
                <w:tab w:val="left" w:pos="6030"/>
              </w:tabs>
              <w:spacing w:line="276" w:lineRule="auto"/>
              <w:jc w:val="right"/>
              <w:rPr>
                <w:sz w:val="20"/>
                <w:szCs w:val="20"/>
              </w:rPr>
            </w:pPr>
            <w:r>
              <w:rPr>
                <w:sz w:val="20"/>
                <w:szCs w:val="20"/>
              </w:rPr>
              <w:t>No change</w:t>
            </w:r>
          </w:p>
        </w:tc>
        <w:tc>
          <w:tcPr>
            <w:tcW w:w="1350" w:type="dxa"/>
            <w:shd w:val="clear" w:color="auto" w:fill="D9D9D9" w:themeFill="background1" w:themeFillShade="D9"/>
          </w:tcPr>
          <w:p w:rsidR="00C1361E" w:rsidRPr="00BB7053" w:rsidP="00BE19DD" w14:paraId="40D4C13B" w14:textId="3CE44B25">
            <w:pPr>
              <w:tabs>
                <w:tab w:val="left" w:pos="6030"/>
              </w:tabs>
              <w:spacing w:line="276" w:lineRule="auto"/>
              <w:jc w:val="right"/>
              <w:rPr>
                <w:sz w:val="20"/>
                <w:szCs w:val="20"/>
              </w:rPr>
            </w:pPr>
            <w:r>
              <w:rPr>
                <w:sz w:val="20"/>
                <w:szCs w:val="20"/>
              </w:rPr>
              <w:t>+</w:t>
            </w:r>
            <w:r w:rsidR="00BF640D">
              <w:rPr>
                <w:sz w:val="20"/>
                <w:szCs w:val="20"/>
              </w:rPr>
              <w:t>463</w:t>
            </w:r>
          </w:p>
        </w:tc>
        <w:tc>
          <w:tcPr>
            <w:tcW w:w="1170" w:type="dxa"/>
            <w:shd w:val="clear" w:color="auto" w:fill="D9D9D9" w:themeFill="background1" w:themeFillShade="D9"/>
          </w:tcPr>
          <w:p w:rsidR="00C1361E" w:rsidRPr="00BB7053" w:rsidP="00BE19DD" w14:paraId="3D05B998" w14:textId="020D5DB1">
            <w:pPr>
              <w:tabs>
                <w:tab w:val="left" w:pos="6030"/>
              </w:tabs>
              <w:spacing w:line="276" w:lineRule="auto"/>
              <w:jc w:val="right"/>
              <w:rPr>
                <w:sz w:val="20"/>
                <w:szCs w:val="20"/>
              </w:rPr>
            </w:pPr>
            <w:r>
              <w:rPr>
                <w:sz w:val="20"/>
                <w:szCs w:val="20"/>
              </w:rPr>
              <w:t>103.40</w:t>
            </w:r>
          </w:p>
        </w:tc>
        <w:tc>
          <w:tcPr>
            <w:tcW w:w="1440" w:type="dxa"/>
            <w:shd w:val="clear" w:color="auto" w:fill="D9D9D9" w:themeFill="background1" w:themeFillShade="D9"/>
          </w:tcPr>
          <w:p w:rsidR="00C1361E" w:rsidRPr="00BB7053" w:rsidP="00BE19DD" w14:paraId="1FADC8CC" w14:textId="1D239C7E">
            <w:pPr>
              <w:tabs>
                <w:tab w:val="left" w:pos="6030"/>
              </w:tabs>
              <w:spacing w:line="276" w:lineRule="auto"/>
              <w:jc w:val="right"/>
              <w:rPr>
                <w:sz w:val="20"/>
                <w:szCs w:val="20"/>
              </w:rPr>
            </w:pPr>
            <w:r>
              <w:rPr>
                <w:sz w:val="20"/>
                <w:szCs w:val="20"/>
              </w:rPr>
              <w:t>+</w:t>
            </w:r>
            <w:r w:rsidR="008F5D25">
              <w:rPr>
                <w:sz w:val="20"/>
                <w:szCs w:val="20"/>
              </w:rPr>
              <w:t>47,926</w:t>
            </w:r>
          </w:p>
        </w:tc>
      </w:tr>
    </w:tbl>
    <w:p w:rsidR="00C1361E" w:rsidRPr="00BE19DD" w:rsidP="00BE19DD" w14:paraId="1FDA004A" w14:textId="257DBB32">
      <w:pPr>
        <w:keepNext/>
        <w:keepLines/>
        <w:spacing w:before="200"/>
        <w:jc w:val="center"/>
        <w:rPr>
          <w:rFonts w:eastAsia="Calibri"/>
          <w:b/>
        </w:rPr>
      </w:pPr>
      <w:r w:rsidRPr="00B30713">
        <w:rPr>
          <w:rFonts w:eastAsia="Calibri"/>
          <w:b/>
          <w:bCs/>
        </w:rPr>
        <w:t xml:space="preserve">TABLE </w:t>
      </w:r>
      <w:r>
        <w:rPr>
          <w:rFonts w:eastAsia="Calibri"/>
          <w:b/>
          <w:bCs/>
        </w:rPr>
        <w:t>3</w:t>
      </w:r>
      <w:r w:rsidR="00F820FF">
        <w:rPr>
          <w:rFonts w:eastAsia="Calibri"/>
          <w:b/>
          <w:bCs/>
        </w:rPr>
        <w:t>1L</w:t>
      </w:r>
      <w:r w:rsidRPr="00B30713">
        <w:rPr>
          <w:rFonts w:eastAsia="Calibri"/>
          <w:b/>
          <w:bCs/>
        </w:rPr>
        <w:t xml:space="preserve">: Burden Reconciliation for </w:t>
      </w:r>
      <w:r w:rsidR="003D7D7F">
        <w:rPr>
          <w:rFonts w:eastAsia="Calibri"/>
          <w:b/>
          <w:bCs/>
        </w:rPr>
        <w:t>Subg</w:t>
      </w:r>
      <w:r>
        <w:rPr>
          <w:rFonts w:eastAsia="Calibri"/>
          <w:b/>
          <w:bCs/>
        </w:rPr>
        <w:t xml:space="preserve">roup Registration </w:t>
      </w:r>
    </w:p>
    <w:tbl>
      <w:tblPr>
        <w:tblStyle w:val="TableGrid"/>
        <w:tblW w:w="9445" w:type="dxa"/>
        <w:tblLook w:val="04A0"/>
      </w:tblPr>
      <w:tblGrid>
        <w:gridCol w:w="1555"/>
        <w:gridCol w:w="1306"/>
        <w:gridCol w:w="1145"/>
        <w:gridCol w:w="1094"/>
        <w:gridCol w:w="1044"/>
        <w:gridCol w:w="949"/>
        <w:gridCol w:w="1233"/>
        <w:gridCol w:w="1119"/>
      </w:tblGrid>
      <w:tr w14:paraId="7AA9FF04" w14:textId="77777777" w:rsidTr="006042C9">
        <w:tblPrEx>
          <w:tblW w:w="9445" w:type="dxa"/>
          <w:tblLook w:val="04A0"/>
        </w:tblPrEx>
        <w:trPr>
          <w:tblHeader/>
        </w:trPr>
        <w:tc>
          <w:tcPr>
            <w:tcW w:w="1555" w:type="dxa"/>
          </w:tcPr>
          <w:p w:rsidR="00C1361E" w:rsidRPr="00FB02B1" w:rsidP="0068663C" w14:paraId="0949DD2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00C1361E" w:rsidRPr="00FB02B1" w:rsidP="0068663C" w14:paraId="71B67CA1"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45" w:type="dxa"/>
          </w:tcPr>
          <w:p w:rsidR="00C1361E" w:rsidRPr="00FB02B1" w:rsidP="0068663C" w14:paraId="00D82DAB"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00C1361E" w:rsidRPr="00FB02B1" w:rsidP="0068663C" w14:paraId="005CB24C"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44" w:type="dxa"/>
          </w:tcPr>
          <w:p w:rsidR="00C1361E" w:rsidRPr="00FB02B1" w:rsidP="0068663C" w14:paraId="7F30B16C" w14:textId="77777777">
            <w:pPr>
              <w:keepNext/>
              <w:keepLines/>
              <w:tabs>
                <w:tab w:val="left" w:pos="6030"/>
              </w:tabs>
              <w:spacing w:line="276" w:lineRule="auto"/>
              <w:rPr>
                <w:b/>
                <w:bCs/>
                <w:sz w:val="20"/>
                <w:szCs w:val="20"/>
              </w:rPr>
            </w:pPr>
            <w:r w:rsidRPr="00FB02B1">
              <w:rPr>
                <w:b/>
                <w:bCs/>
                <w:sz w:val="20"/>
                <w:szCs w:val="20"/>
              </w:rPr>
              <w:t>Time Per Response (hr)</w:t>
            </w:r>
          </w:p>
        </w:tc>
        <w:tc>
          <w:tcPr>
            <w:tcW w:w="949" w:type="dxa"/>
          </w:tcPr>
          <w:p w:rsidR="00C1361E" w:rsidRPr="00FB02B1" w:rsidP="0068663C" w14:paraId="0A138132"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1233" w:type="dxa"/>
          </w:tcPr>
          <w:p w:rsidR="00C1361E" w:rsidRPr="00FB02B1" w:rsidP="0068663C" w14:paraId="29501A08"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119" w:type="dxa"/>
          </w:tcPr>
          <w:p w:rsidR="00C1361E" w:rsidRPr="00FB02B1" w:rsidP="0068663C" w14:paraId="01036799" w14:textId="77777777">
            <w:pPr>
              <w:keepNext/>
              <w:keepLines/>
              <w:tabs>
                <w:tab w:val="left" w:pos="6030"/>
              </w:tabs>
              <w:spacing w:line="276" w:lineRule="auto"/>
              <w:rPr>
                <w:b/>
                <w:bCs/>
                <w:sz w:val="20"/>
                <w:szCs w:val="20"/>
              </w:rPr>
            </w:pPr>
            <w:r w:rsidRPr="00FB02B1">
              <w:rPr>
                <w:b/>
                <w:bCs/>
                <w:sz w:val="20"/>
                <w:szCs w:val="20"/>
              </w:rPr>
              <w:t>Total Annual Cost ($)</w:t>
            </w:r>
          </w:p>
        </w:tc>
      </w:tr>
      <w:tr w14:paraId="432A5302" w14:textId="77777777" w:rsidTr="006042C9">
        <w:tblPrEx>
          <w:tblW w:w="9445" w:type="dxa"/>
          <w:tblLook w:val="04A0"/>
        </w:tblPrEx>
        <w:tc>
          <w:tcPr>
            <w:tcW w:w="1555" w:type="dxa"/>
          </w:tcPr>
          <w:p w:rsidR="00C1361E" w:rsidRPr="00BB7053" w:rsidP="0068663C" w14:paraId="66A9439F" w14:textId="1F0CEFB6">
            <w:pPr>
              <w:keepNext/>
              <w:keepLines/>
              <w:tabs>
                <w:tab w:val="left" w:pos="6030"/>
              </w:tabs>
              <w:spacing w:line="276" w:lineRule="auto"/>
              <w:jc w:val="both"/>
              <w:rPr>
                <w:sz w:val="20"/>
                <w:szCs w:val="20"/>
              </w:rPr>
            </w:pPr>
            <w:r>
              <w:rPr>
                <w:sz w:val="20"/>
                <w:szCs w:val="20"/>
              </w:rPr>
              <w:t>Currently Approved</w:t>
            </w:r>
            <w:r w:rsidR="008C77CE">
              <w:rPr>
                <w:sz w:val="20"/>
                <w:szCs w:val="20"/>
              </w:rPr>
              <w:t xml:space="preserve"> </w:t>
            </w:r>
          </w:p>
        </w:tc>
        <w:tc>
          <w:tcPr>
            <w:tcW w:w="1306" w:type="dxa"/>
          </w:tcPr>
          <w:p w:rsidR="00C1361E" w:rsidRPr="00BB7053" w:rsidP="0068663C" w14:paraId="06942A38" w14:textId="4C2CC6DE">
            <w:pPr>
              <w:keepNext/>
              <w:keepLines/>
              <w:tabs>
                <w:tab w:val="left" w:pos="6030"/>
              </w:tabs>
              <w:spacing w:line="276" w:lineRule="auto"/>
              <w:jc w:val="right"/>
              <w:rPr>
                <w:sz w:val="20"/>
                <w:szCs w:val="20"/>
              </w:rPr>
            </w:pPr>
            <w:r>
              <w:rPr>
                <w:sz w:val="20"/>
                <w:szCs w:val="20"/>
              </w:rPr>
              <w:t>20</w:t>
            </w:r>
          </w:p>
        </w:tc>
        <w:tc>
          <w:tcPr>
            <w:tcW w:w="1145" w:type="dxa"/>
          </w:tcPr>
          <w:p w:rsidR="00C1361E" w:rsidRPr="00BB7053" w:rsidP="0068663C" w14:paraId="7D2458B1" w14:textId="6CD61C5F">
            <w:pPr>
              <w:keepNext/>
              <w:keepLines/>
              <w:tabs>
                <w:tab w:val="left" w:pos="6030"/>
              </w:tabs>
              <w:spacing w:line="276" w:lineRule="auto"/>
              <w:jc w:val="right"/>
              <w:rPr>
                <w:sz w:val="20"/>
                <w:szCs w:val="20"/>
              </w:rPr>
            </w:pPr>
            <w:r>
              <w:rPr>
                <w:sz w:val="20"/>
                <w:szCs w:val="20"/>
              </w:rPr>
              <w:t>1</w:t>
            </w:r>
          </w:p>
        </w:tc>
        <w:tc>
          <w:tcPr>
            <w:tcW w:w="1094" w:type="dxa"/>
          </w:tcPr>
          <w:p w:rsidR="00C1361E" w:rsidRPr="00BB7053" w:rsidP="0068663C" w14:paraId="766B80E6" w14:textId="5350C10C">
            <w:pPr>
              <w:keepNext/>
              <w:keepLines/>
              <w:tabs>
                <w:tab w:val="left" w:pos="6030"/>
              </w:tabs>
              <w:spacing w:line="276" w:lineRule="auto"/>
              <w:jc w:val="right"/>
              <w:rPr>
                <w:sz w:val="20"/>
                <w:szCs w:val="20"/>
              </w:rPr>
            </w:pPr>
            <w:r>
              <w:rPr>
                <w:sz w:val="20"/>
                <w:szCs w:val="20"/>
              </w:rPr>
              <w:t>2</w:t>
            </w:r>
            <w:r w:rsidR="008F037A">
              <w:rPr>
                <w:sz w:val="20"/>
                <w:szCs w:val="20"/>
              </w:rPr>
              <w:t>0</w:t>
            </w:r>
          </w:p>
        </w:tc>
        <w:tc>
          <w:tcPr>
            <w:tcW w:w="1044" w:type="dxa"/>
          </w:tcPr>
          <w:p w:rsidR="00C1361E" w:rsidRPr="00BB7053" w:rsidP="0068663C" w14:paraId="153CE879" w14:textId="04EE3C9C">
            <w:pPr>
              <w:keepNext/>
              <w:keepLines/>
              <w:tabs>
                <w:tab w:val="left" w:pos="6030"/>
              </w:tabs>
              <w:spacing w:line="276" w:lineRule="auto"/>
              <w:jc w:val="right"/>
              <w:rPr>
                <w:sz w:val="20"/>
                <w:szCs w:val="20"/>
              </w:rPr>
            </w:pPr>
            <w:r>
              <w:rPr>
                <w:sz w:val="20"/>
                <w:szCs w:val="20"/>
              </w:rPr>
              <w:t>0</w:t>
            </w:r>
            <w:r w:rsidR="004C0DDF">
              <w:rPr>
                <w:sz w:val="20"/>
                <w:szCs w:val="20"/>
              </w:rPr>
              <w:t>.5</w:t>
            </w:r>
          </w:p>
        </w:tc>
        <w:tc>
          <w:tcPr>
            <w:tcW w:w="949" w:type="dxa"/>
          </w:tcPr>
          <w:p w:rsidR="00C1361E" w:rsidRPr="00BB7053" w:rsidP="0068663C" w14:paraId="5CAF399B" w14:textId="42ACDAD8">
            <w:pPr>
              <w:keepNext/>
              <w:keepLines/>
              <w:tabs>
                <w:tab w:val="left" w:pos="6030"/>
              </w:tabs>
              <w:spacing w:line="276" w:lineRule="auto"/>
              <w:jc w:val="right"/>
              <w:rPr>
                <w:sz w:val="20"/>
                <w:szCs w:val="20"/>
              </w:rPr>
            </w:pPr>
            <w:r>
              <w:rPr>
                <w:sz w:val="20"/>
                <w:szCs w:val="20"/>
              </w:rPr>
              <w:t>1</w:t>
            </w:r>
            <w:r w:rsidR="008F037A">
              <w:rPr>
                <w:sz w:val="20"/>
                <w:szCs w:val="20"/>
              </w:rPr>
              <w:t>0</w:t>
            </w:r>
          </w:p>
        </w:tc>
        <w:tc>
          <w:tcPr>
            <w:tcW w:w="1233" w:type="dxa"/>
          </w:tcPr>
          <w:p w:rsidR="00C1361E" w:rsidRPr="00BB7053" w:rsidP="0068663C" w14:paraId="4941CC5F" w14:textId="638341D5">
            <w:pPr>
              <w:keepNext/>
              <w:keepLines/>
              <w:tabs>
                <w:tab w:val="left" w:pos="6030"/>
              </w:tabs>
              <w:spacing w:line="276" w:lineRule="auto"/>
              <w:jc w:val="right"/>
              <w:rPr>
                <w:sz w:val="20"/>
                <w:szCs w:val="20"/>
              </w:rPr>
            </w:pPr>
            <w:r>
              <w:rPr>
                <w:sz w:val="20"/>
                <w:szCs w:val="20"/>
              </w:rPr>
              <w:t>103.40</w:t>
            </w:r>
          </w:p>
        </w:tc>
        <w:tc>
          <w:tcPr>
            <w:tcW w:w="1119" w:type="dxa"/>
          </w:tcPr>
          <w:p w:rsidR="00C1361E" w:rsidRPr="00BB7053" w:rsidP="0068663C" w14:paraId="7C4A22EA" w14:textId="3D816BF6">
            <w:pPr>
              <w:keepNext/>
              <w:keepLines/>
              <w:tabs>
                <w:tab w:val="left" w:pos="6030"/>
              </w:tabs>
              <w:spacing w:line="276" w:lineRule="auto"/>
              <w:jc w:val="right"/>
              <w:rPr>
                <w:sz w:val="20"/>
                <w:szCs w:val="20"/>
              </w:rPr>
            </w:pPr>
            <w:r>
              <w:rPr>
                <w:sz w:val="20"/>
                <w:szCs w:val="20"/>
              </w:rPr>
              <w:t>1,034</w:t>
            </w:r>
          </w:p>
        </w:tc>
      </w:tr>
      <w:tr w14:paraId="5188946A" w14:textId="77777777" w:rsidTr="006042C9">
        <w:tblPrEx>
          <w:tblW w:w="9445" w:type="dxa"/>
          <w:tblLook w:val="04A0"/>
        </w:tblPrEx>
        <w:tc>
          <w:tcPr>
            <w:tcW w:w="1555" w:type="dxa"/>
          </w:tcPr>
          <w:p w:rsidR="00C1361E" w:rsidRPr="00BB7053" w:rsidP="00192E2E" w14:paraId="49BF5210" w14:textId="7A373D46">
            <w:pPr>
              <w:keepNext/>
              <w:keepLines/>
              <w:tabs>
                <w:tab w:val="left" w:pos="6030"/>
              </w:tabs>
              <w:spacing w:line="276" w:lineRule="auto"/>
              <w:rPr>
                <w:sz w:val="20"/>
                <w:szCs w:val="20"/>
              </w:rPr>
            </w:pPr>
            <w:r>
              <w:rPr>
                <w:sz w:val="20"/>
                <w:szCs w:val="20"/>
              </w:rPr>
              <w:t>Finaliz</w:t>
            </w:r>
            <w:r w:rsidR="00467C50">
              <w:rPr>
                <w:sz w:val="20"/>
                <w:szCs w:val="20"/>
              </w:rPr>
              <w:t xml:space="preserve">ed </w:t>
            </w:r>
            <w:r w:rsidR="00207F72">
              <w:rPr>
                <w:sz w:val="20"/>
                <w:szCs w:val="20"/>
              </w:rPr>
              <w:br/>
            </w:r>
            <w:r w:rsidRPr="00A67FD9" w:rsidR="00A67FD9">
              <w:rPr>
                <w:sz w:val="20"/>
                <w:szCs w:val="20"/>
              </w:rPr>
              <w:t>(See Table 1</w:t>
            </w:r>
            <w:r w:rsidR="00F820FF">
              <w:rPr>
                <w:sz w:val="20"/>
                <w:szCs w:val="20"/>
              </w:rPr>
              <w:t>5</w:t>
            </w:r>
            <w:r w:rsidRPr="00A67FD9" w:rsidR="00A67FD9">
              <w:rPr>
                <w:sz w:val="20"/>
                <w:szCs w:val="20"/>
              </w:rPr>
              <w:t>)</w:t>
            </w:r>
          </w:p>
        </w:tc>
        <w:tc>
          <w:tcPr>
            <w:tcW w:w="1306" w:type="dxa"/>
          </w:tcPr>
          <w:p w:rsidR="00C1361E" w:rsidRPr="00BB7053" w:rsidP="0068663C" w14:paraId="4BBBFD96" w14:textId="5EE4B0E3">
            <w:pPr>
              <w:keepNext/>
              <w:keepLines/>
              <w:tabs>
                <w:tab w:val="left" w:pos="6030"/>
              </w:tabs>
              <w:spacing w:line="276" w:lineRule="auto"/>
              <w:jc w:val="right"/>
              <w:rPr>
                <w:sz w:val="20"/>
                <w:szCs w:val="20"/>
              </w:rPr>
            </w:pPr>
            <w:r>
              <w:rPr>
                <w:sz w:val="20"/>
                <w:szCs w:val="20"/>
              </w:rPr>
              <w:t>2</w:t>
            </w:r>
            <w:r w:rsidR="003369BE">
              <w:rPr>
                <w:sz w:val="20"/>
                <w:szCs w:val="20"/>
              </w:rPr>
              <w:t>0</w:t>
            </w:r>
          </w:p>
        </w:tc>
        <w:tc>
          <w:tcPr>
            <w:tcW w:w="1145" w:type="dxa"/>
          </w:tcPr>
          <w:p w:rsidR="00C1361E" w:rsidRPr="00BB7053" w:rsidP="0068663C" w14:paraId="05FC522A" w14:textId="48807C30">
            <w:pPr>
              <w:keepNext/>
              <w:keepLines/>
              <w:tabs>
                <w:tab w:val="left" w:pos="6030"/>
              </w:tabs>
              <w:spacing w:line="276" w:lineRule="auto"/>
              <w:jc w:val="right"/>
              <w:rPr>
                <w:sz w:val="20"/>
                <w:szCs w:val="20"/>
              </w:rPr>
            </w:pPr>
            <w:r>
              <w:rPr>
                <w:sz w:val="20"/>
                <w:szCs w:val="20"/>
              </w:rPr>
              <w:t>1</w:t>
            </w:r>
          </w:p>
        </w:tc>
        <w:tc>
          <w:tcPr>
            <w:tcW w:w="1094" w:type="dxa"/>
          </w:tcPr>
          <w:p w:rsidR="00C1361E" w:rsidRPr="00BB7053" w:rsidP="0068663C" w14:paraId="3BE8D399" w14:textId="0662E9F5">
            <w:pPr>
              <w:keepNext/>
              <w:keepLines/>
              <w:tabs>
                <w:tab w:val="left" w:pos="6030"/>
              </w:tabs>
              <w:spacing w:line="276" w:lineRule="auto"/>
              <w:jc w:val="right"/>
              <w:rPr>
                <w:sz w:val="20"/>
                <w:szCs w:val="20"/>
              </w:rPr>
            </w:pPr>
            <w:r>
              <w:rPr>
                <w:sz w:val="20"/>
                <w:szCs w:val="20"/>
              </w:rPr>
              <w:t>2</w:t>
            </w:r>
            <w:r w:rsidR="003369BE">
              <w:rPr>
                <w:sz w:val="20"/>
                <w:szCs w:val="20"/>
              </w:rPr>
              <w:t>0</w:t>
            </w:r>
          </w:p>
        </w:tc>
        <w:tc>
          <w:tcPr>
            <w:tcW w:w="1044" w:type="dxa"/>
          </w:tcPr>
          <w:p w:rsidR="00C1361E" w:rsidRPr="00BB7053" w:rsidP="0068663C" w14:paraId="6E0A7337" w14:textId="1BB6084A">
            <w:pPr>
              <w:keepNext/>
              <w:keepLines/>
              <w:tabs>
                <w:tab w:val="left" w:pos="6030"/>
              </w:tabs>
              <w:spacing w:line="276" w:lineRule="auto"/>
              <w:jc w:val="right"/>
              <w:rPr>
                <w:sz w:val="20"/>
                <w:szCs w:val="20"/>
              </w:rPr>
            </w:pPr>
            <w:r>
              <w:rPr>
                <w:sz w:val="20"/>
                <w:szCs w:val="20"/>
              </w:rPr>
              <w:t>0.5</w:t>
            </w:r>
          </w:p>
        </w:tc>
        <w:tc>
          <w:tcPr>
            <w:tcW w:w="949" w:type="dxa"/>
          </w:tcPr>
          <w:p w:rsidR="00C1361E" w:rsidRPr="00BB7053" w:rsidP="0068663C" w14:paraId="21F2EEA2" w14:textId="1A91CDF2">
            <w:pPr>
              <w:keepNext/>
              <w:keepLines/>
              <w:tabs>
                <w:tab w:val="left" w:pos="6030"/>
              </w:tabs>
              <w:spacing w:line="276" w:lineRule="auto"/>
              <w:jc w:val="right"/>
              <w:rPr>
                <w:sz w:val="20"/>
                <w:szCs w:val="20"/>
              </w:rPr>
            </w:pPr>
            <w:r>
              <w:rPr>
                <w:sz w:val="20"/>
                <w:szCs w:val="20"/>
              </w:rPr>
              <w:t>10</w:t>
            </w:r>
          </w:p>
        </w:tc>
        <w:tc>
          <w:tcPr>
            <w:tcW w:w="1233" w:type="dxa"/>
          </w:tcPr>
          <w:p w:rsidR="00C1361E" w:rsidRPr="00BB7053" w:rsidP="0068663C" w14:paraId="7FB974D2" w14:textId="74E4B3CA">
            <w:pPr>
              <w:keepNext/>
              <w:keepLines/>
              <w:tabs>
                <w:tab w:val="left" w:pos="6030"/>
              </w:tabs>
              <w:spacing w:line="276" w:lineRule="auto"/>
              <w:jc w:val="right"/>
              <w:rPr>
                <w:sz w:val="20"/>
                <w:szCs w:val="20"/>
              </w:rPr>
            </w:pPr>
            <w:r>
              <w:rPr>
                <w:sz w:val="20"/>
                <w:szCs w:val="20"/>
              </w:rPr>
              <w:t>103.40</w:t>
            </w:r>
          </w:p>
        </w:tc>
        <w:tc>
          <w:tcPr>
            <w:tcW w:w="1119" w:type="dxa"/>
          </w:tcPr>
          <w:p w:rsidR="00C1361E" w:rsidRPr="00BB7053" w:rsidP="0068663C" w14:paraId="08C3906E" w14:textId="04D25402">
            <w:pPr>
              <w:keepNext/>
              <w:keepLines/>
              <w:tabs>
                <w:tab w:val="left" w:pos="6030"/>
              </w:tabs>
              <w:spacing w:line="276" w:lineRule="auto"/>
              <w:jc w:val="right"/>
              <w:rPr>
                <w:sz w:val="20"/>
                <w:szCs w:val="20"/>
              </w:rPr>
            </w:pPr>
            <w:r>
              <w:rPr>
                <w:sz w:val="20"/>
                <w:szCs w:val="20"/>
              </w:rPr>
              <w:t>1,034</w:t>
            </w:r>
          </w:p>
        </w:tc>
      </w:tr>
      <w:tr w14:paraId="75EDFEE3" w14:textId="77777777" w:rsidTr="006042C9">
        <w:tblPrEx>
          <w:tblW w:w="9445" w:type="dxa"/>
          <w:tblLook w:val="04A0"/>
        </w:tblPrEx>
        <w:tc>
          <w:tcPr>
            <w:tcW w:w="1555" w:type="dxa"/>
            <w:shd w:val="clear" w:color="auto" w:fill="D9D9D9" w:themeFill="background1" w:themeFillShade="D9"/>
          </w:tcPr>
          <w:p w:rsidR="00C1361E" w:rsidRPr="00BB7053" w:rsidP="0068663C" w14:paraId="7FB29925" w14:textId="185F7FE7">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00C1361E" w:rsidRPr="00BB7053" w:rsidP="0068663C" w14:paraId="01AA1D33" w14:textId="06513E19">
            <w:pPr>
              <w:keepNext/>
              <w:keepLines/>
              <w:tabs>
                <w:tab w:val="left" w:pos="6030"/>
              </w:tabs>
              <w:spacing w:line="276" w:lineRule="auto"/>
              <w:jc w:val="right"/>
              <w:rPr>
                <w:sz w:val="20"/>
                <w:szCs w:val="20"/>
              </w:rPr>
            </w:pPr>
            <w:r>
              <w:rPr>
                <w:sz w:val="20"/>
                <w:szCs w:val="20"/>
              </w:rPr>
              <w:t>No change</w:t>
            </w:r>
          </w:p>
        </w:tc>
        <w:tc>
          <w:tcPr>
            <w:tcW w:w="1145" w:type="dxa"/>
            <w:shd w:val="clear" w:color="auto" w:fill="D9D9D9" w:themeFill="background1" w:themeFillShade="D9"/>
          </w:tcPr>
          <w:p w:rsidR="00C1361E" w:rsidRPr="00BB7053" w:rsidP="0068663C" w14:paraId="762EF1A2" w14:textId="75C804B1">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C1361E" w:rsidRPr="00BB7053" w:rsidP="0068663C" w14:paraId="01F8D854" w14:textId="78984A6F">
            <w:pPr>
              <w:keepNext/>
              <w:keepLines/>
              <w:tabs>
                <w:tab w:val="left" w:pos="6030"/>
              </w:tabs>
              <w:spacing w:line="276" w:lineRule="auto"/>
              <w:jc w:val="right"/>
              <w:rPr>
                <w:sz w:val="20"/>
                <w:szCs w:val="20"/>
              </w:rPr>
            </w:pPr>
            <w:r>
              <w:rPr>
                <w:sz w:val="20"/>
                <w:szCs w:val="20"/>
              </w:rPr>
              <w:t>No change</w:t>
            </w:r>
          </w:p>
        </w:tc>
        <w:tc>
          <w:tcPr>
            <w:tcW w:w="1044" w:type="dxa"/>
            <w:shd w:val="clear" w:color="auto" w:fill="D9D9D9" w:themeFill="background1" w:themeFillShade="D9"/>
          </w:tcPr>
          <w:p w:rsidR="00C1361E" w:rsidRPr="00BB7053" w:rsidP="0068663C" w14:paraId="428FD2ED" w14:textId="056C8F3F">
            <w:pPr>
              <w:keepNext/>
              <w:keepLines/>
              <w:tabs>
                <w:tab w:val="left" w:pos="6030"/>
              </w:tabs>
              <w:spacing w:line="276" w:lineRule="auto"/>
              <w:jc w:val="right"/>
              <w:rPr>
                <w:sz w:val="20"/>
                <w:szCs w:val="20"/>
              </w:rPr>
            </w:pPr>
            <w:r>
              <w:rPr>
                <w:sz w:val="20"/>
                <w:szCs w:val="20"/>
              </w:rPr>
              <w:t>No change</w:t>
            </w:r>
          </w:p>
        </w:tc>
        <w:tc>
          <w:tcPr>
            <w:tcW w:w="949" w:type="dxa"/>
            <w:shd w:val="clear" w:color="auto" w:fill="D9D9D9" w:themeFill="background1" w:themeFillShade="D9"/>
          </w:tcPr>
          <w:p w:rsidR="00C1361E" w:rsidRPr="00BB7053" w:rsidP="0068663C" w14:paraId="229BA1B9" w14:textId="7C47EB03">
            <w:pPr>
              <w:keepNext/>
              <w:keepLines/>
              <w:tabs>
                <w:tab w:val="left" w:pos="6030"/>
              </w:tabs>
              <w:spacing w:line="276" w:lineRule="auto"/>
              <w:jc w:val="right"/>
              <w:rPr>
                <w:sz w:val="20"/>
                <w:szCs w:val="20"/>
              </w:rPr>
            </w:pPr>
            <w:r>
              <w:rPr>
                <w:sz w:val="20"/>
                <w:szCs w:val="20"/>
              </w:rPr>
              <w:t>No change</w:t>
            </w:r>
          </w:p>
        </w:tc>
        <w:tc>
          <w:tcPr>
            <w:tcW w:w="1233" w:type="dxa"/>
            <w:shd w:val="clear" w:color="auto" w:fill="D9D9D9" w:themeFill="background1" w:themeFillShade="D9"/>
          </w:tcPr>
          <w:p w:rsidR="00C1361E" w:rsidRPr="00BB7053" w:rsidP="0068663C" w14:paraId="4797F599" w14:textId="6E0FC015">
            <w:pPr>
              <w:keepNext/>
              <w:keepLines/>
              <w:tabs>
                <w:tab w:val="left" w:pos="6030"/>
              </w:tabs>
              <w:spacing w:line="276" w:lineRule="auto"/>
              <w:jc w:val="right"/>
              <w:rPr>
                <w:sz w:val="20"/>
                <w:szCs w:val="20"/>
              </w:rPr>
            </w:pPr>
            <w:r>
              <w:rPr>
                <w:sz w:val="20"/>
                <w:szCs w:val="20"/>
              </w:rPr>
              <w:t>No change</w:t>
            </w:r>
          </w:p>
        </w:tc>
        <w:tc>
          <w:tcPr>
            <w:tcW w:w="1119" w:type="dxa"/>
            <w:shd w:val="clear" w:color="auto" w:fill="D9D9D9" w:themeFill="background1" w:themeFillShade="D9"/>
          </w:tcPr>
          <w:p w:rsidR="00C1361E" w:rsidRPr="00BB7053" w:rsidP="0068663C" w14:paraId="2BB5BBAF" w14:textId="1EA08568">
            <w:pPr>
              <w:keepNext/>
              <w:keepLines/>
              <w:tabs>
                <w:tab w:val="left" w:pos="6030"/>
              </w:tabs>
              <w:spacing w:line="276" w:lineRule="auto"/>
              <w:jc w:val="right"/>
              <w:rPr>
                <w:sz w:val="20"/>
                <w:szCs w:val="20"/>
              </w:rPr>
            </w:pPr>
            <w:r>
              <w:rPr>
                <w:sz w:val="20"/>
                <w:szCs w:val="20"/>
              </w:rPr>
              <w:t>No change</w:t>
            </w:r>
          </w:p>
        </w:tc>
      </w:tr>
    </w:tbl>
    <w:p w:rsidR="006042C9" w:rsidRPr="00BE19DD" w:rsidP="00BE19DD" w14:paraId="3CAC38A0" w14:textId="13ED7B5D">
      <w:pPr>
        <w:keepNext/>
        <w:keepLines/>
        <w:spacing w:before="200"/>
        <w:jc w:val="center"/>
        <w:rPr>
          <w:rFonts w:eastAsia="Calibri"/>
          <w:b/>
        </w:rPr>
      </w:pPr>
      <w:r w:rsidRPr="00B30713">
        <w:rPr>
          <w:rFonts w:eastAsia="Calibri"/>
          <w:b/>
          <w:bCs/>
        </w:rPr>
        <w:t xml:space="preserve">TABLE </w:t>
      </w:r>
      <w:r>
        <w:rPr>
          <w:rFonts w:eastAsia="Calibri"/>
          <w:b/>
          <w:bCs/>
        </w:rPr>
        <w:t>3</w:t>
      </w:r>
      <w:r w:rsidR="00F820FF">
        <w:rPr>
          <w:rFonts w:eastAsia="Calibri"/>
          <w:b/>
          <w:bCs/>
        </w:rPr>
        <w:t>1M</w:t>
      </w:r>
      <w:r w:rsidRPr="00B30713">
        <w:rPr>
          <w:rFonts w:eastAsia="Calibri"/>
          <w:b/>
          <w:bCs/>
        </w:rPr>
        <w:t xml:space="preserve">: Burden Reconciliation for </w:t>
      </w:r>
      <w:r w:rsidR="00C043BD">
        <w:rPr>
          <w:rFonts w:eastAsia="Calibri"/>
          <w:b/>
          <w:bCs/>
        </w:rPr>
        <w:t>MVP Quality Performance Category Submission</w:t>
      </w:r>
      <w:r>
        <w:rPr>
          <w:rFonts w:eastAsia="Calibri"/>
          <w:b/>
          <w:bCs/>
        </w:rPr>
        <w:t xml:space="preserve"> </w:t>
      </w:r>
    </w:p>
    <w:tbl>
      <w:tblPr>
        <w:tblStyle w:val="TableGrid"/>
        <w:tblW w:w="9715" w:type="dxa"/>
        <w:tblLayout w:type="fixed"/>
        <w:tblLook w:val="04A0"/>
      </w:tblPr>
      <w:tblGrid>
        <w:gridCol w:w="1345"/>
        <w:gridCol w:w="1350"/>
        <w:gridCol w:w="1254"/>
        <w:gridCol w:w="1229"/>
        <w:gridCol w:w="1017"/>
        <w:gridCol w:w="1270"/>
        <w:gridCol w:w="1080"/>
        <w:gridCol w:w="1170"/>
      </w:tblGrid>
      <w:tr w14:paraId="46D22FA0" w14:textId="77777777" w:rsidTr="000E399A">
        <w:tblPrEx>
          <w:tblW w:w="9715" w:type="dxa"/>
          <w:tblLayout w:type="fixed"/>
          <w:tblLook w:val="04A0"/>
        </w:tblPrEx>
        <w:trPr>
          <w:tblHeader/>
        </w:trPr>
        <w:tc>
          <w:tcPr>
            <w:tcW w:w="1345" w:type="dxa"/>
          </w:tcPr>
          <w:p w:rsidR="006042C9" w:rsidRPr="00FB02B1" w:rsidP="006330BC" w14:paraId="3605394D"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50" w:type="dxa"/>
          </w:tcPr>
          <w:p w:rsidR="006042C9" w:rsidRPr="00FB02B1" w:rsidP="006330BC" w14:paraId="01741D63" w14:textId="2B30F790">
            <w:pPr>
              <w:keepNext/>
              <w:keepLines/>
              <w:tabs>
                <w:tab w:val="left" w:pos="6030"/>
              </w:tabs>
              <w:spacing w:line="276" w:lineRule="auto"/>
              <w:jc w:val="both"/>
              <w:rPr>
                <w:b/>
                <w:bCs/>
                <w:sz w:val="20"/>
                <w:szCs w:val="20"/>
              </w:rPr>
            </w:pPr>
            <w:r w:rsidRPr="00FB02B1">
              <w:rPr>
                <w:b/>
                <w:bCs/>
                <w:sz w:val="20"/>
                <w:szCs w:val="20"/>
              </w:rPr>
              <w:t>Total</w:t>
            </w:r>
            <w:r w:rsidR="001C2190">
              <w:rPr>
                <w:b/>
                <w:bCs/>
                <w:sz w:val="20"/>
                <w:szCs w:val="20"/>
              </w:rPr>
              <w:t xml:space="preserve"> </w:t>
            </w:r>
            <w:r w:rsidRPr="00FB02B1">
              <w:rPr>
                <w:b/>
                <w:bCs/>
                <w:sz w:val="20"/>
                <w:szCs w:val="20"/>
              </w:rPr>
              <w:t>Annual Respondents</w:t>
            </w:r>
          </w:p>
        </w:tc>
        <w:tc>
          <w:tcPr>
            <w:tcW w:w="1254" w:type="dxa"/>
          </w:tcPr>
          <w:p w:rsidR="006042C9" w:rsidRPr="00FB02B1" w:rsidP="006330BC" w14:paraId="5E980D58"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229" w:type="dxa"/>
          </w:tcPr>
          <w:p w:rsidR="006042C9" w:rsidRPr="00FB02B1" w:rsidP="006330BC" w14:paraId="0A44D386"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17" w:type="dxa"/>
          </w:tcPr>
          <w:p w:rsidR="006042C9" w:rsidRPr="00FB02B1" w:rsidP="006330BC" w14:paraId="0D735F80" w14:textId="77777777">
            <w:pPr>
              <w:keepNext/>
              <w:keepLines/>
              <w:tabs>
                <w:tab w:val="left" w:pos="6030"/>
              </w:tabs>
              <w:spacing w:line="276" w:lineRule="auto"/>
              <w:rPr>
                <w:b/>
                <w:bCs/>
                <w:sz w:val="20"/>
                <w:szCs w:val="20"/>
              </w:rPr>
            </w:pPr>
            <w:r w:rsidRPr="00FB02B1">
              <w:rPr>
                <w:b/>
                <w:bCs/>
                <w:sz w:val="20"/>
                <w:szCs w:val="20"/>
              </w:rPr>
              <w:t>Time Per Response (hr)</w:t>
            </w:r>
          </w:p>
        </w:tc>
        <w:tc>
          <w:tcPr>
            <w:tcW w:w="1270" w:type="dxa"/>
          </w:tcPr>
          <w:p w:rsidR="006042C9" w:rsidRPr="00FB02B1" w:rsidP="006330BC" w14:paraId="1E235E3C"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1080" w:type="dxa"/>
          </w:tcPr>
          <w:p w:rsidR="006042C9" w:rsidRPr="00FB02B1" w:rsidP="006330BC" w14:paraId="4DE2E822"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170" w:type="dxa"/>
          </w:tcPr>
          <w:p w:rsidR="006042C9" w:rsidRPr="00FB02B1" w:rsidP="006330BC" w14:paraId="14F02D02" w14:textId="77777777">
            <w:pPr>
              <w:keepNext/>
              <w:keepLines/>
              <w:tabs>
                <w:tab w:val="left" w:pos="6030"/>
              </w:tabs>
              <w:spacing w:line="276" w:lineRule="auto"/>
              <w:rPr>
                <w:b/>
                <w:bCs/>
                <w:sz w:val="20"/>
                <w:szCs w:val="20"/>
              </w:rPr>
            </w:pPr>
            <w:r w:rsidRPr="00FB02B1">
              <w:rPr>
                <w:b/>
                <w:bCs/>
                <w:sz w:val="20"/>
                <w:szCs w:val="20"/>
              </w:rPr>
              <w:t>Total Annual Cost ($)</w:t>
            </w:r>
          </w:p>
        </w:tc>
      </w:tr>
      <w:tr w14:paraId="1CEE0801" w14:textId="77777777" w:rsidTr="000E399A">
        <w:tblPrEx>
          <w:tblW w:w="9715" w:type="dxa"/>
          <w:tblLayout w:type="fixed"/>
          <w:tblLook w:val="04A0"/>
        </w:tblPrEx>
        <w:tc>
          <w:tcPr>
            <w:tcW w:w="1345" w:type="dxa"/>
          </w:tcPr>
          <w:p w:rsidR="006042C9" w:rsidRPr="00BB7053" w:rsidP="006330BC" w14:paraId="6A4082DE" w14:textId="41929E46">
            <w:pPr>
              <w:keepNext/>
              <w:keepLines/>
              <w:tabs>
                <w:tab w:val="left" w:pos="6030"/>
              </w:tabs>
              <w:spacing w:line="276" w:lineRule="auto"/>
              <w:jc w:val="both"/>
              <w:rPr>
                <w:sz w:val="20"/>
                <w:szCs w:val="20"/>
              </w:rPr>
            </w:pPr>
            <w:r>
              <w:rPr>
                <w:sz w:val="20"/>
                <w:szCs w:val="20"/>
              </w:rPr>
              <w:t xml:space="preserve">Currently Approved </w:t>
            </w:r>
          </w:p>
        </w:tc>
        <w:tc>
          <w:tcPr>
            <w:tcW w:w="1350" w:type="dxa"/>
          </w:tcPr>
          <w:p w:rsidR="006042C9" w:rsidRPr="00BB7053" w:rsidP="003D29BA" w14:paraId="47E976C2" w14:textId="29BC860B">
            <w:pPr>
              <w:keepNext/>
              <w:keepLines/>
              <w:tabs>
                <w:tab w:val="left" w:pos="6030"/>
              </w:tabs>
              <w:spacing w:line="276" w:lineRule="auto"/>
              <w:rPr>
                <w:sz w:val="20"/>
                <w:szCs w:val="20"/>
              </w:rPr>
            </w:pPr>
            <w:r>
              <w:rPr>
                <w:sz w:val="20"/>
                <w:szCs w:val="20"/>
              </w:rPr>
              <w:t xml:space="preserve">          7,731</w:t>
            </w:r>
            <w:r w:rsidR="00CF2ED7">
              <w:rPr>
                <w:sz w:val="20"/>
                <w:szCs w:val="20"/>
              </w:rPr>
              <w:t xml:space="preserve">     </w:t>
            </w:r>
            <w:r w:rsidR="004853B5">
              <w:rPr>
                <w:sz w:val="20"/>
                <w:szCs w:val="20"/>
              </w:rPr>
              <w:t xml:space="preserve">     </w:t>
            </w:r>
            <w:r w:rsidR="002445EF">
              <w:rPr>
                <w:sz w:val="20"/>
                <w:szCs w:val="20"/>
              </w:rPr>
              <w:t xml:space="preserve">  </w:t>
            </w:r>
            <w:r w:rsidR="00F4607C">
              <w:rPr>
                <w:sz w:val="20"/>
                <w:szCs w:val="20"/>
              </w:rPr>
              <w:t xml:space="preserve"> </w:t>
            </w:r>
            <w:r w:rsidR="00075A45">
              <w:rPr>
                <w:sz w:val="20"/>
                <w:szCs w:val="20"/>
              </w:rPr>
              <w:t xml:space="preserve">  </w:t>
            </w:r>
          </w:p>
        </w:tc>
        <w:tc>
          <w:tcPr>
            <w:tcW w:w="1254" w:type="dxa"/>
          </w:tcPr>
          <w:p w:rsidR="006042C9" w:rsidRPr="00BB7053" w:rsidP="006330BC" w14:paraId="627DD0D5" w14:textId="77777777">
            <w:pPr>
              <w:keepNext/>
              <w:keepLines/>
              <w:tabs>
                <w:tab w:val="left" w:pos="6030"/>
              </w:tabs>
              <w:spacing w:line="276" w:lineRule="auto"/>
              <w:jc w:val="right"/>
              <w:rPr>
                <w:sz w:val="20"/>
                <w:szCs w:val="20"/>
              </w:rPr>
            </w:pPr>
            <w:r>
              <w:rPr>
                <w:sz w:val="20"/>
                <w:szCs w:val="20"/>
              </w:rPr>
              <w:t>1</w:t>
            </w:r>
          </w:p>
        </w:tc>
        <w:tc>
          <w:tcPr>
            <w:tcW w:w="1229" w:type="dxa"/>
          </w:tcPr>
          <w:p w:rsidR="006042C9" w:rsidRPr="00BB7053" w:rsidP="006330BC" w14:paraId="0FC16BD9" w14:textId="2AC878B1">
            <w:pPr>
              <w:keepNext/>
              <w:keepLines/>
              <w:tabs>
                <w:tab w:val="left" w:pos="6030"/>
              </w:tabs>
              <w:spacing w:line="276" w:lineRule="auto"/>
              <w:jc w:val="right"/>
              <w:rPr>
                <w:sz w:val="20"/>
                <w:szCs w:val="20"/>
              </w:rPr>
            </w:pPr>
            <w:r>
              <w:rPr>
                <w:sz w:val="20"/>
                <w:szCs w:val="20"/>
              </w:rPr>
              <w:t>7,731</w:t>
            </w:r>
          </w:p>
        </w:tc>
        <w:tc>
          <w:tcPr>
            <w:tcW w:w="1017" w:type="dxa"/>
          </w:tcPr>
          <w:p w:rsidR="006042C9" w:rsidRPr="00BB7053" w:rsidP="006330BC" w14:paraId="0A532FF6" w14:textId="7ACA6863">
            <w:pPr>
              <w:keepNext/>
              <w:keepLines/>
              <w:tabs>
                <w:tab w:val="left" w:pos="6030"/>
              </w:tabs>
              <w:spacing w:line="276" w:lineRule="auto"/>
              <w:jc w:val="right"/>
              <w:rPr>
                <w:sz w:val="20"/>
                <w:szCs w:val="20"/>
              </w:rPr>
            </w:pPr>
            <w:r>
              <w:rPr>
                <w:sz w:val="20"/>
                <w:szCs w:val="20"/>
              </w:rPr>
              <w:t>Varies</w:t>
            </w:r>
          </w:p>
        </w:tc>
        <w:tc>
          <w:tcPr>
            <w:tcW w:w="1270" w:type="dxa"/>
          </w:tcPr>
          <w:p w:rsidR="006042C9" w:rsidRPr="00BB7053" w:rsidP="006330BC" w14:paraId="3463B8D3" w14:textId="67CAE39B">
            <w:pPr>
              <w:keepNext/>
              <w:keepLines/>
              <w:tabs>
                <w:tab w:val="left" w:pos="6030"/>
              </w:tabs>
              <w:spacing w:line="276" w:lineRule="auto"/>
              <w:jc w:val="right"/>
              <w:rPr>
                <w:sz w:val="20"/>
                <w:szCs w:val="20"/>
              </w:rPr>
            </w:pPr>
            <w:r>
              <w:rPr>
                <w:sz w:val="20"/>
                <w:szCs w:val="20"/>
              </w:rPr>
              <w:t>50,938</w:t>
            </w:r>
          </w:p>
        </w:tc>
        <w:tc>
          <w:tcPr>
            <w:tcW w:w="1080" w:type="dxa"/>
          </w:tcPr>
          <w:p w:rsidR="006042C9" w:rsidRPr="00BB7053" w:rsidP="006330BC" w14:paraId="70B642ED" w14:textId="04FB3CAC">
            <w:pPr>
              <w:keepNext/>
              <w:keepLines/>
              <w:tabs>
                <w:tab w:val="left" w:pos="6030"/>
              </w:tabs>
              <w:spacing w:line="276" w:lineRule="auto"/>
              <w:jc w:val="right"/>
              <w:rPr>
                <w:sz w:val="20"/>
                <w:szCs w:val="20"/>
              </w:rPr>
            </w:pPr>
            <w:r>
              <w:rPr>
                <w:sz w:val="20"/>
                <w:szCs w:val="20"/>
              </w:rPr>
              <w:t>Varies</w:t>
            </w:r>
          </w:p>
        </w:tc>
        <w:tc>
          <w:tcPr>
            <w:tcW w:w="1170" w:type="dxa"/>
          </w:tcPr>
          <w:p w:rsidR="006042C9" w:rsidRPr="00BB7053" w:rsidP="006330BC" w14:paraId="1B327ADB" w14:textId="7CE29F18">
            <w:pPr>
              <w:keepNext/>
              <w:keepLines/>
              <w:tabs>
                <w:tab w:val="left" w:pos="6030"/>
              </w:tabs>
              <w:spacing w:line="276" w:lineRule="auto"/>
              <w:jc w:val="right"/>
              <w:rPr>
                <w:sz w:val="20"/>
                <w:szCs w:val="20"/>
              </w:rPr>
            </w:pPr>
            <w:r>
              <w:rPr>
                <w:sz w:val="20"/>
                <w:szCs w:val="20"/>
              </w:rPr>
              <w:t>5,807,193</w:t>
            </w:r>
          </w:p>
        </w:tc>
      </w:tr>
      <w:tr w14:paraId="30C86BA4" w14:textId="77777777" w:rsidTr="000E399A">
        <w:tblPrEx>
          <w:tblW w:w="9715" w:type="dxa"/>
          <w:tblLayout w:type="fixed"/>
          <w:tblLook w:val="04A0"/>
        </w:tblPrEx>
        <w:tc>
          <w:tcPr>
            <w:tcW w:w="1345" w:type="dxa"/>
          </w:tcPr>
          <w:p w:rsidR="006042C9" w:rsidRPr="00BB7053" w:rsidP="006330BC" w14:paraId="5CDCDBAB" w14:textId="3436ACC7">
            <w:pPr>
              <w:keepNext/>
              <w:keepLines/>
              <w:tabs>
                <w:tab w:val="left" w:pos="6030"/>
              </w:tabs>
              <w:spacing w:line="276" w:lineRule="auto"/>
              <w:rPr>
                <w:sz w:val="20"/>
                <w:szCs w:val="20"/>
              </w:rPr>
            </w:pPr>
            <w:r>
              <w:rPr>
                <w:sz w:val="20"/>
                <w:szCs w:val="20"/>
              </w:rPr>
              <w:t>Finaliz</w:t>
            </w:r>
            <w:r>
              <w:rPr>
                <w:sz w:val="20"/>
                <w:szCs w:val="20"/>
              </w:rPr>
              <w:t xml:space="preserve">ed </w:t>
            </w:r>
            <w:r w:rsidRPr="00A67FD9">
              <w:rPr>
                <w:sz w:val="20"/>
                <w:szCs w:val="20"/>
              </w:rPr>
              <w:t>(See Table 1</w:t>
            </w:r>
            <w:r w:rsidR="003D0E8A">
              <w:rPr>
                <w:sz w:val="20"/>
                <w:szCs w:val="20"/>
              </w:rPr>
              <w:t>6</w:t>
            </w:r>
            <w:r w:rsidRPr="00A67FD9">
              <w:rPr>
                <w:sz w:val="20"/>
                <w:szCs w:val="20"/>
              </w:rPr>
              <w:t>)</w:t>
            </w:r>
          </w:p>
        </w:tc>
        <w:tc>
          <w:tcPr>
            <w:tcW w:w="1350" w:type="dxa"/>
          </w:tcPr>
          <w:p w:rsidR="006042C9" w:rsidRPr="00BB7053" w:rsidP="006330BC" w14:paraId="1FE403CB" w14:textId="308F1BFF">
            <w:pPr>
              <w:keepNext/>
              <w:keepLines/>
              <w:tabs>
                <w:tab w:val="left" w:pos="6030"/>
              </w:tabs>
              <w:spacing w:line="276" w:lineRule="auto"/>
              <w:jc w:val="right"/>
              <w:rPr>
                <w:sz w:val="20"/>
                <w:szCs w:val="20"/>
              </w:rPr>
            </w:pPr>
            <w:r>
              <w:rPr>
                <w:sz w:val="20"/>
                <w:szCs w:val="20"/>
              </w:rPr>
              <w:t>9,</w:t>
            </w:r>
            <w:r w:rsidR="003A7F83">
              <w:rPr>
                <w:sz w:val="20"/>
                <w:szCs w:val="20"/>
              </w:rPr>
              <w:t>58</w:t>
            </w:r>
            <w:r>
              <w:rPr>
                <w:sz w:val="20"/>
                <w:szCs w:val="20"/>
              </w:rPr>
              <w:t>5</w:t>
            </w:r>
          </w:p>
        </w:tc>
        <w:tc>
          <w:tcPr>
            <w:tcW w:w="1254" w:type="dxa"/>
          </w:tcPr>
          <w:p w:rsidR="006042C9" w:rsidRPr="00BB7053" w:rsidP="006330BC" w14:paraId="09723FF7" w14:textId="77777777">
            <w:pPr>
              <w:keepNext/>
              <w:keepLines/>
              <w:tabs>
                <w:tab w:val="left" w:pos="6030"/>
              </w:tabs>
              <w:spacing w:line="276" w:lineRule="auto"/>
              <w:jc w:val="right"/>
              <w:rPr>
                <w:sz w:val="20"/>
                <w:szCs w:val="20"/>
              </w:rPr>
            </w:pPr>
            <w:r>
              <w:rPr>
                <w:sz w:val="20"/>
                <w:szCs w:val="20"/>
              </w:rPr>
              <w:t>1</w:t>
            </w:r>
          </w:p>
        </w:tc>
        <w:tc>
          <w:tcPr>
            <w:tcW w:w="1229" w:type="dxa"/>
          </w:tcPr>
          <w:p w:rsidR="006042C9" w:rsidRPr="00BB7053" w:rsidP="006330BC" w14:paraId="7F0CA990" w14:textId="7D31C6F9">
            <w:pPr>
              <w:keepNext/>
              <w:keepLines/>
              <w:tabs>
                <w:tab w:val="left" w:pos="6030"/>
              </w:tabs>
              <w:spacing w:line="276" w:lineRule="auto"/>
              <w:jc w:val="right"/>
              <w:rPr>
                <w:sz w:val="20"/>
                <w:szCs w:val="20"/>
              </w:rPr>
            </w:pPr>
            <w:r>
              <w:rPr>
                <w:sz w:val="20"/>
                <w:szCs w:val="20"/>
              </w:rPr>
              <w:t>9,</w:t>
            </w:r>
            <w:r w:rsidR="003A0C85">
              <w:rPr>
                <w:sz w:val="20"/>
                <w:szCs w:val="20"/>
              </w:rPr>
              <w:t>58</w:t>
            </w:r>
            <w:r>
              <w:rPr>
                <w:sz w:val="20"/>
                <w:szCs w:val="20"/>
              </w:rPr>
              <w:t>5</w:t>
            </w:r>
          </w:p>
        </w:tc>
        <w:tc>
          <w:tcPr>
            <w:tcW w:w="1017" w:type="dxa"/>
          </w:tcPr>
          <w:p w:rsidR="006042C9" w:rsidRPr="00BB7053" w:rsidP="006330BC" w14:paraId="23D1FA6A" w14:textId="7DA4E3AC">
            <w:pPr>
              <w:keepNext/>
              <w:keepLines/>
              <w:tabs>
                <w:tab w:val="left" w:pos="6030"/>
              </w:tabs>
              <w:spacing w:line="276" w:lineRule="auto"/>
              <w:jc w:val="right"/>
              <w:rPr>
                <w:sz w:val="20"/>
                <w:szCs w:val="20"/>
              </w:rPr>
            </w:pPr>
            <w:r>
              <w:rPr>
                <w:sz w:val="20"/>
                <w:szCs w:val="20"/>
              </w:rPr>
              <w:t>Varies</w:t>
            </w:r>
          </w:p>
        </w:tc>
        <w:tc>
          <w:tcPr>
            <w:tcW w:w="1270" w:type="dxa"/>
          </w:tcPr>
          <w:p w:rsidR="006042C9" w:rsidRPr="00BB7053" w:rsidP="006330BC" w14:paraId="49808D26" w14:textId="360ED37E">
            <w:pPr>
              <w:keepNext/>
              <w:keepLines/>
              <w:tabs>
                <w:tab w:val="left" w:pos="6030"/>
              </w:tabs>
              <w:spacing w:line="276" w:lineRule="auto"/>
              <w:jc w:val="right"/>
              <w:rPr>
                <w:sz w:val="20"/>
                <w:szCs w:val="20"/>
              </w:rPr>
            </w:pPr>
            <w:r>
              <w:rPr>
                <w:sz w:val="20"/>
                <w:szCs w:val="20"/>
              </w:rPr>
              <w:t>61,662</w:t>
            </w:r>
          </w:p>
        </w:tc>
        <w:tc>
          <w:tcPr>
            <w:tcW w:w="1080" w:type="dxa"/>
          </w:tcPr>
          <w:p w:rsidR="006042C9" w:rsidRPr="00BB7053" w:rsidP="006330BC" w14:paraId="63B3C012" w14:textId="39BF3C7D">
            <w:pPr>
              <w:keepNext/>
              <w:keepLines/>
              <w:tabs>
                <w:tab w:val="left" w:pos="6030"/>
              </w:tabs>
              <w:spacing w:line="276" w:lineRule="auto"/>
              <w:jc w:val="right"/>
              <w:rPr>
                <w:sz w:val="20"/>
                <w:szCs w:val="20"/>
              </w:rPr>
            </w:pPr>
            <w:r>
              <w:rPr>
                <w:sz w:val="20"/>
                <w:szCs w:val="20"/>
              </w:rPr>
              <w:t>Varies</w:t>
            </w:r>
          </w:p>
        </w:tc>
        <w:tc>
          <w:tcPr>
            <w:tcW w:w="1170" w:type="dxa"/>
          </w:tcPr>
          <w:p w:rsidR="006042C9" w:rsidRPr="00BB7053" w:rsidP="006330BC" w14:paraId="01DC6782" w14:textId="71D4569F">
            <w:pPr>
              <w:keepNext/>
              <w:keepLines/>
              <w:tabs>
                <w:tab w:val="left" w:pos="6030"/>
              </w:tabs>
              <w:spacing w:line="276" w:lineRule="auto"/>
              <w:jc w:val="right"/>
              <w:rPr>
                <w:sz w:val="20"/>
                <w:szCs w:val="20"/>
              </w:rPr>
            </w:pPr>
            <w:r>
              <w:rPr>
                <w:sz w:val="20"/>
                <w:szCs w:val="20"/>
              </w:rPr>
              <w:t>7,041,427</w:t>
            </w:r>
          </w:p>
        </w:tc>
      </w:tr>
      <w:tr w14:paraId="661FC49B" w14:textId="77777777" w:rsidTr="000E399A">
        <w:tblPrEx>
          <w:tblW w:w="9715" w:type="dxa"/>
          <w:tblLayout w:type="fixed"/>
          <w:tblLook w:val="04A0"/>
        </w:tblPrEx>
        <w:tc>
          <w:tcPr>
            <w:tcW w:w="1345" w:type="dxa"/>
            <w:shd w:val="clear" w:color="auto" w:fill="D9D9D9" w:themeFill="background1" w:themeFillShade="D9"/>
          </w:tcPr>
          <w:p w:rsidR="006042C9" w:rsidRPr="00BB7053" w:rsidP="006330BC" w14:paraId="4120DE75" w14:textId="77777777">
            <w:pPr>
              <w:keepNext/>
              <w:keepLines/>
              <w:tabs>
                <w:tab w:val="left" w:pos="6030"/>
              </w:tabs>
              <w:spacing w:line="276" w:lineRule="auto"/>
              <w:jc w:val="both"/>
              <w:rPr>
                <w:sz w:val="20"/>
                <w:szCs w:val="20"/>
              </w:rPr>
            </w:pPr>
            <w:r>
              <w:rPr>
                <w:sz w:val="20"/>
                <w:szCs w:val="20"/>
              </w:rPr>
              <w:t xml:space="preserve">Adjustment </w:t>
            </w:r>
            <w:r>
              <w:rPr>
                <w:sz w:val="20"/>
                <w:szCs w:val="20"/>
              </w:rPr>
              <w:br/>
            </w:r>
          </w:p>
        </w:tc>
        <w:tc>
          <w:tcPr>
            <w:tcW w:w="1350" w:type="dxa"/>
            <w:shd w:val="clear" w:color="auto" w:fill="D9D9D9" w:themeFill="background1" w:themeFillShade="D9"/>
          </w:tcPr>
          <w:p w:rsidR="006042C9" w:rsidRPr="00BB7053" w:rsidP="006330BC" w14:paraId="250301E7" w14:textId="7A0C0765">
            <w:pPr>
              <w:keepNext/>
              <w:keepLines/>
              <w:tabs>
                <w:tab w:val="left" w:pos="6030"/>
              </w:tabs>
              <w:spacing w:line="276" w:lineRule="auto"/>
              <w:jc w:val="right"/>
              <w:rPr>
                <w:sz w:val="20"/>
                <w:szCs w:val="20"/>
              </w:rPr>
            </w:pPr>
            <w:r>
              <w:rPr>
                <w:sz w:val="20"/>
                <w:szCs w:val="20"/>
              </w:rPr>
              <w:t>+</w:t>
            </w:r>
            <w:r w:rsidR="00741643">
              <w:rPr>
                <w:sz w:val="20"/>
                <w:szCs w:val="20"/>
              </w:rPr>
              <w:t>1,8</w:t>
            </w:r>
            <w:r w:rsidR="003A0C85">
              <w:rPr>
                <w:sz w:val="20"/>
                <w:szCs w:val="20"/>
              </w:rPr>
              <w:t>5</w:t>
            </w:r>
            <w:r w:rsidR="00741643">
              <w:rPr>
                <w:sz w:val="20"/>
                <w:szCs w:val="20"/>
              </w:rPr>
              <w:t>4</w:t>
            </w:r>
          </w:p>
        </w:tc>
        <w:tc>
          <w:tcPr>
            <w:tcW w:w="1254" w:type="dxa"/>
            <w:shd w:val="clear" w:color="auto" w:fill="D9D9D9" w:themeFill="background1" w:themeFillShade="D9"/>
          </w:tcPr>
          <w:p w:rsidR="006042C9" w:rsidRPr="00BB7053" w:rsidP="006330BC" w14:paraId="7F6CB4C2" w14:textId="77777777">
            <w:pPr>
              <w:keepNext/>
              <w:keepLines/>
              <w:tabs>
                <w:tab w:val="left" w:pos="6030"/>
              </w:tabs>
              <w:spacing w:line="276" w:lineRule="auto"/>
              <w:jc w:val="right"/>
              <w:rPr>
                <w:sz w:val="20"/>
                <w:szCs w:val="20"/>
              </w:rPr>
            </w:pPr>
            <w:r>
              <w:rPr>
                <w:sz w:val="20"/>
                <w:szCs w:val="20"/>
              </w:rPr>
              <w:t>No change</w:t>
            </w:r>
          </w:p>
        </w:tc>
        <w:tc>
          <w:tcPr>
            <w:tcW w:w="1229" w:type="dxa"/>
            <w:shd w:val="clear" w:color="auto" w:fill="D9D9D9" w:themeFill="background1" w:themeFillShade="D9"/>
          </w:tcPr>
          <w:p w:rsidR="006042C9" w:rsidRPr="00BB7053" w:rsidP="006330BC" w14:paraId="085F7F60" w14:textId="3A84B4A3">
            <w:pPr>
              <w:keepNext/>
              <w:keepLines/>
              <w:tabs>
                <w:tab w:val="left" w:pos="6030"/>
              </w:tabs>
              <w:spacing w:line="276" w:lineRule="auto"/>
              <w:jc w:val="right"/>
              <w:rPr>
                <w:sz w:val="20"/>
                <w:szCs w:val="20"/>
              </w:rPr>
            </w:pPr>
            <w:r>
              <w:rPr>
                <w:sz w:val="20"/>
                <w:szCs w:val="20"/>
              </w:rPr>
              <w:t>+1,8</w:t>
            </w:r>
            <w:r w:rsidR="003A0C85">
              <w:rPr>
                <w:sz w:val="20"/>
                <w:szCs w:val="20"/>
              </w:rPr>
              <w:t>5</w:t>
            </w:r>
            <w:r>
              <w:rPr>
                <w:sz w:val="20"/>
                <w:szCs w:val="20"/>
              </w:rPr>
              <w:t>4</w:t>
            </w:r>
          </w:p>
        </w:tc>
        <w:tc>
          <w:tcPr>
            <w:tcW w:w="1017" w:type="dxa"/>
            <w:shd w:val="clear" w:color="auto" w:fill="D9D9D9" w:themeFill="background1" w:themeFillShade="D9"/>
          </w:tcPr>
          <w:p w:rsidR="006042C9" w:rsidRPr="00BB7053" w:rsidP="006330BC" w14:paraId="52A633F5" w14:textId="77777777">
            <w:pPr>
              <w:keepNext/>
              <w:keepLines/>
              <w:tabs>
                <w:tab w:val="left" w:pos="6030"/>
              </w:tabs>
              <w:spacing w:line="276" w:lineRule="auto"/>
              <w:jc w:val="right"/>
              <w:rPr>
                <w:sz w:val="20"/>
                <w:szCs w:val="20"/>
              </w:rPr>
            </w:pPr>
            <w:r>
              <w:rPr>
                <w:sz w:val="20"/>
                <w:szCs w:val="20"/>
              </w:rPr>
              <w:t>No change</w:t>
            </w:r>
          </w:p>
        </w:tc>
        <w:tc>
          <w:tcPr>
            <w:tcW w:w="1270" w:type="dxa"/>
            <w:shd w:val="clear" w:color="auto" w:fill="D9D9D9" w:themeFill="background1" w:themeFillShade="D9"/>
          </w:tcPr>
          <w:p w:rsidR="006042C9" w:rsidRPr="00BB7053" w:rsidP="006330BC" w14:paraId="4D240CAE" w14:textId="1012B04D">
            <w:pPr>
              <w:keepNext/>
              <w:keepLines/>
              <w:tabs>
                <w:tab w:val="left" w:pos="6030"/>
              </w:tabs>
              <w:spacing w:line="276" w:lineRule="auto"/>
              <w:jc w:val="right"/>
              <w:rPr>
                <w:sz w:val="20"/>
                <w:szCs w:val="20"/>
              </w:rPr>
            </w:pPr>
            <w:r>
              <w:rPr>
                <w:sz w:val="20"/>
                <w:szCs w:val="20"/>
              </w:rPr>
              <w:t>+</w:t>
            </w:r>
            <w:r w:rsidR="007733BB">
              <w:rPr>
                <w:sz w:val="20"/>
                <w:szCs w:val="20"/>
              </w:rPr>
              <w:t>10,724</w:t>
            </w:r>
          </w:p>
        </w:tc>
        <w:tc>
          <w:tcPr>
            <w:tcW w:w="1080" w:type="dxa"/>
            <w:shd w:val="clear" w:color="auto" w:fill="D9D9D9" w:themeFill="background1" w:themeFillShade="D9"/>
          </w:tcPr>
          <w:p w:rsidR="006042C9" w:rsidRPr="00BB7053" w:rsidP="006330BC" w14:paraId="7B073E68" w14:textId="77777777">
            <w:pPr>
              <w:keepNext/>
              <w:keepLines/>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006042C9" w:rsidRPr="00BB7053" w:rsidP="0013664B" w14:paraId="5FF21BC2" w14:textId="47957111">
            <w:pPr>
              <w:keepNext/>
              <w:keepLines/>
              <w:tabs>
                <w:tab w:val="left" w:pos="6030"/>
              </w:tabs>
              <w:spacing w:line="276" w:lineRule="auto"/>
              <w:jc w:val="center"/>
              <w:rPr>
                <w:sz w:val="20"/>
                <w:szCs w:val="20"/>
              </w:rPr>
            </w:pPr>
            <w:r>
              <w:rPr>
                <w:sz w:val="20"/>
                <w:szCs w:val="20"/>
              </w:rPr>
              <w:t>+</w:t>
            </w:r>
            <w:r w:rsidR="00E604F0">
              <w:rPr>
                <w:sz w:val="20"/>
                <w:szCs w:val="20"/>
              </w:rPr>
              <w:t>1,234,234</w:t>
            </w:r>
          </w:p>
        </w:tc>
      </w:tr>
    </w:tbl>
    <w:p w:rsidR="00885183" w:rsidRPr="00BE19DD" w:rsidP="00BE19DD" w14:paraId="6DF12380" w14:textId="7E2214FE">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3D0E8A">
        <w:rPr>
          <w:rFonts w:eastAsia="Calibri"/>
          <w:b/>
          <w:bCs/>
        </w:rPr>
        <w:t>1N:</w:t>
      </w:r>
      <w:r w:rsidRPr="00B30713">
        <w:rPr>
          <w:rFonts w:eastAsia="Calibri"/>
          <w:b/>
          <w:bCs/>
        </w:rPr>
        <w:t xml:space="preserve"> Burden Reconciliation for </w:t>
      </w:r>
      <w:r w:rsidRPr="005A6B37" w:rsidR="005A6B37">
        <w:rPr>
          <w:rFonts w:eastAsia="Calibri"/>
          <w:b/>
          <w:bCs/>
        </w:rPr>
        <w:t>Call for Quality Measures</w:t>
      </w:r>
    </w:p>
    <w:tbl>
      <w:tblPr>
        <w:tblStyle w:val="TableGrid"/>
        <w:tblW w:w="9625" w:type="dxa"/>
        <w:tblLook w:val="04A0"/>
      </w:tblPr>
      <w:tblGrid>
        <w:gridCol w:w="1252"/>
        <w:gridCol w:w="1306"/>
        <w:gridCol w:w="1168"/>
        <w:gridCol w:w="1094"/>
        <w:gridCol w:w="1077"/>
        <w:gridCol w:w="1071"/>
        <w:gridCol w:w="1068"/>
        <w:gridCol w:w="1589"/>
      </w:tblGrid>
      <w:tr w14:paraId="7DA0547C" w14:textId="77777777" w:rsidTr="00A56476">
        <w:tblPrEx>
          <w:tblW w:w="9625" w:type="dxa"/>
          <w:tblLook w:val="04A0"/>
        </w:tblPrEx>
        <w:trPr>
          <w:tblHeader/>
        </w:trPr>
        <w:tc>
          <w:tcPr>
            <w:tcW w:w="1255" w:type="dxa"/>
          </w:tcPr>
          <w:p w:rsidR="00885183" w:rsidRPr="00173FA2" w:rsidP="0041468A" w14:paraId="56EBE0E8"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00885183" w:rsidRPr="00173FA2" w:rsidP="0041468A" w14:paraId="3220046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00885183" w:rsidRPr="00173FA2" w:rsidP="0041468A" w14:paraId="1156321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00885183" w:rsidRPr="00173FA2" w:rsidP="0041468A" w14:paraId="32CBB50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00885183" w:rsidRPr="00173FA2" w:rsidP="0041468A" w14:paraId="4BECBB3D"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00885183" w:rsidRPr="00173FA2" w:rsidP="0041468A" w14:paraId="53D7EA0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00885183" w:rsidRPr="00173FA2" w:rsidP="0041468A" w14:paraId="1D38EFD9"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00885183" w:rsidRPr="00173FA2" w:rsidP="0041468A" w14:paraId="2C561640" w14:textId="77777777">
            <w:pPr>
              <w:keepNext/>
              <w:keepLines/>
              <w:tabs>
                <w:tab w:val="left" w:pos="6030"/>
              </w:tabs>
              <w:spacing w:line="276" w:lineRule="auto"/>
              <w:rPr>
                <w:b/>
                <w:bCs/>
                <w:sz w:val="20"/>
                <w:szCs w:val="20"/>
              </w:rPr>
            </w:pPr>
            <w:r w:rsidRPr="00173FA2">
              <w:rPr>
                <w:b/>
                <w:bCs/>
                <w:sz w:val="20"/>
                <w:szCs w:val="20"/>
              </w:rPr>
              <w:t>Total Annual Cost ($)</w:t>
            </w:r>
          </w:p>
        </w:tc>
      </w:tr>
      <w:tr w14:paraId="7D30C4F2" w14:textId="77777777" w:rsidTr="00A56476">
        <w:tblPrEx>
          <w:tblW w:w="9625" w:type="dxa"/>
          <w:tblLook w:val="04A0"/>
        </w:tblPrEx>
        <w:tc>
          <w:tcPr>
            <w:tcW w:w="1255" w:type="dxa"/>
          </w:tcPr>
          <w:p w:rsidR="001667FB" w:rsidRPr="00BB7053" w:rsidP="0041468A" w14:paraId="0AD624F1" w14:textId="5DA1F420">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260" w:type="dxa"/>
          </w:tcPr>
          <w:p w:rsidR="001667FB" w:rsidRPr="00BB7053" w:rsidP="0041468A" w14:paraId="5453E9D2" w14:textId="7C8C5C44">
            <w:pPr>
              <w:keepNext/>
              <w:keepLines/>
              <w:tabs>
                <w:tab w:val="left" w:pos="6030"/>
              </w:tabs>
              <w:spacing w:line="276" w:lineRule="auto"/>
              <w:jc w:val="right"/>
              <w:rPr>
                <w:sz w:val="20"/>
                <w:szCs w:val="20"/>
              </w:rPr>
            </w:pPr>
            <w:r>
              <w:rPr>
                <w:sz w:val="20"/>
                <w:szCs w:val="20"/>
              </w:rPr>
              <w:t>2</w:t>
            </w:r>
            <w:r w:rsidR="003D0E8A">
              <w:rPr>
                <w:sz w:val="20"/>
                <w:szCs w:val="20"/>
              </w:rPr>
              <w:t>9</w:t>
            </w:r>
          </w:p>
        </w:tc>
        <w:tc>
          <w:tcPr>
            <w:tcW w:w="1170" w:type="dxa"/>
          </w:tcPr>
          <w:p w:rsidR="001667FB" w:rsidRPr="00BB7053" w:rsidP="0041468A" w14:paraId="323E06F0" w14:textId="111DD318">
            <w:pPr>
              <w:keepNext/>
              <w:keepLines/>
              <w:tabs>
                <w:tab w:val="left" w:pos="6030"/>
              </w:tabs>
              <w:spacing w:line="276" w:lineRule="auto"/>
              <w:jc w:val="right"/>
              <w:rPr>
                <w:sz w:val="20"/>
                <w:szCs w:val="20"/>
              </w:rPr>
            </w:pPr>
            <w:r>
              <w:rPr>
                <w:sz w:val="20"/>
                <w:szCs w:val="20"/>
              </w:rPr>
              <w:t>1</w:t>
            </w:r>
          </w:p>
        </w:tc>
        <w:tc>
          <w:tcPr>
            <w:tcW w:w="1080" w:type="dxa"/>
          </w:tcPr>
          <w:p w:rsidR="001667FB" w:rsidRPr="00BB7053" w:rsidP="0041468A" w14:paraId="109D0360" w14:textId="2FBC909E">
            <w:pPr>
              <w:keepNext/>
              <w:keepLines/>
              <w:tabs>
                <w:tab w:val="left" w:pos="6030"/>
              </w:tabs>
              <w:spacing w:line="276" w:lineRule="auto"/>
              <w:jc w:val="right"/>
              <w:rPr>
                <w:sz w:val="20"/>
                <w:szCs w:val="20"/>
              </w:rPr>
            </w:pPr>
            <w:r>
              <w:rPr>
                <w:sz w:val="20"/>
                <w:szCs w:val="20"/>
              </w:rPr>
              <w:t>2</w:t>
            </w:r>
            <w:r w:rsidR="003D0E8A">
              <w:rPr>
                <w:sz w:val="20"/>
                <w:szCs w:val="20"/>
              </w:rPr>
              <w:t>9</w:t>
            </w:r>
          </w:p>
        </w:tc>
        <w:tc>
          <w:tcPr>
            <w:tcW w:w="1080" w:type="dxa"/>
          </w:tcPr>
          <w:p w:rsidR="001667FB" w:rsidRPr="00BB7053" w:rsidP="0041468A" w14:paraId="729739B6" w14:textId="730760AE">
            <w:pPr>
              <w:keepNext/>
              <w:keepLines/>
              <w:tabs>
                <w:tab w:val="left" w:pos="6030"/>
              </w:tabs>
              <w:spacing w:line="276" w:lineRule="auto"/>
              <w:jc w:val="right"/>
              <w:rPr>
                <w:sz w:val="20"/>
                <w:szCs w:val="20"/>
              </w:rPr>
            </w:pPr>
            <w:r>
              <w:rPr>
                <w:sz w:val="20"/>
                <w:szCs w:val="20"/>
              </w:rPr>
              <w:t>5.5</w:t>
            </w:r>
          </w:p>
        </w:tc>
        <w:tc>
          <w:tcPr>
            <w:tcW w:w="1080" w:type="dxa"/>
          </w:tcPr>
          <w:p w:rsidR="001667FB" w:rsidRPr="00BB7053" w:rsidP="0041468A" w14:paraId="2E8DF208" w14:textId="7004D73C">
            <w:pPr>
              <w:keepNext/>
              <w:keepLines/>
              <w:tabs>
                <w:tab w:val="left" w:pos="6030"/>
              </w:tabs>
              <w:spacing w:line="276" w:lineRule="auto"/>
              <w:jc w:val="right"/>
              <w:rPr>
                <w:sz w:val="20"/>
                <w:szCs w:val="20"/>
              </w:rPr>
            </w:pPr>
            <w:r>
              <w:rPr>
                <w:sz w:val="20"/>
                <w:szCs w:val="20"/>
              </w:rPr>
              <w:t>1</w:t>
            </w:r>
            <w:r w:rsidR="003D0E8A">
              <w:rPr>
                <w:sz w:val="20"/>
                <w:szCs w:val="20"/>
              </w:rPr>
              <w:t>60</w:t>
            </w:r>
          </w:p>
        </w:tc>
        <w:tc>
          <w:tcPr>
            <w:tcW w:w="1080" w:type="dxa"/>
          </w:tcPr>
          <w:p w:rsidR="001667FB" w:rsidRPr="00BB7053" w:rsidP="0041468A" w14:paraId="168ADA93" w14:textId="0257DF17">
            <w:pPr>
              <w:keepNext/>
              <w:keepLines/>
              <w:tabs>
                <w:tab w:val="left" w:pos="6030"/>
              </w:tabs>
              <w:spacing w:line="276" w:lineRule="auto"/>
              <w:jc w:val="right"/>
              <w:rPr>
                <w:sz w:val="20"/>
                <w:szCs w:val="20"/>
              </w:rPr>
            </w:pPr>
            <w:r>
              <w:rPr>
                <w:sz w:val="20"/>
                <w:szCs w:val="20"/>
              </w:rPr>
              <w:t>Varies</w:t>
            </w:r>
          </w:p>
        </w:tc>
        <w:tc>
          <w:tcPr>
            <w:tcW w:w="1620" w:type="dxa"/>
          </w:tcPr>
          <w:p w:rsidR="001667FB" w:rsidRPr="00BB7053" w:rsidP="0041468A" w14:paraId="67EFFFAF" w14:textId="240C94C5">
            <w:pPr>
              <w:keepNext/>
              <w:keepLines/>
              <w:tabs>
                <w:tab w:val="left" w:pos="6030"/>
              </w:tabs>
              <w:spacing w:line="276" w:lineRule="auto"/>
              <w:jc w:val="right"/>
              <w:rPr>
                <w:sz w:val="20"/>
                <w:szCs w:val="20"/>
              </w:rPr>
            </w:pPr>
            <w:r>
              <w:rPr>
                <w:sz w:val="20"/>
                <w:szCs w:val="20"/>
              </w:rPr>
              <w:t>3</w:t>
            </w:r>
            <w:r w:rsidR="003D0E8A">
              <w:rPr>
                <w:sz w:val="20"/>
                <w:szCs w:val="20"/>
              </w:rPr>
              <w:t>3,237</w:t>
            </w:r>
          </w:p>
        </w:tc>
      </w:tr>
      <w:tr w14:paraId="27DB0A68" w14:textId="77777777" w:rsidTr="00A56476">
        <w:tblPrEx>
          <w:tblW w:w="9625" w:type="dxa"/>
          <w:tblLook w:val="04A0"/>
        </w:tblPrEx>
        <w:tc>
          <w:tcPr>
            <w:tcW w:w="1255" w:type="dxa"/>
          </w:tcPr>
          <w:p w:rsidR="001667FB" w:rsidRPr="00BB7053" w:rsidP="00192E2E" w14:paraId="53007917" w14:textId="4B1F7AF5">
            <w:pPr>
              <w:keepNext/>
              <w:keepLines/>
              <w:tabs>
                <w:tab w:val="left" w:pos="6030"/>
              </w:tabs>
              <w:spacing w:line="276" w:lineRule="auto"/>
              <w:rPr>
                <w:sz w:val="20"/>
                <w:szCs w:val="20"/>
              </w:rPr>
            </w:pPr>
            <w:r>
              <w:rPr>
                <w:sz w:val="20"/>
                <w:szCs w:val="20"/>
              </w:rPr>
              <w:t>Finaliz</w:t>
            </w:r>
            <w:r w:rsidR="00290224">
              <w:rPr>
                <w:sz w:val="20"/>
                <w:szCs w:val="20"/>
              </w:rPr>
              <w:t>ed</w:t>
            </w:r>
            <w:r w:rsidR="00FA7465">
              <w:rPr>
                <w:sz w:val="20"/>
                <w:szCs w:val="20"/>
              </w:rPr>
              <w:t xml:space="preserve"> </w:t>
            </w:r>
            <w:r w:rsidRPr="00A67FD9" w:rsidR="00A67FD9">
              <w:rPr>
                <w:sz w:val="20"/>
                <w:szCs w:val="20"/>
              </w:rPr>
              <w:t>(See Table 1</w:t>
            </w:r>
            <w:r w:rsidR="003D0E8A">
              <w:rPr>
                <w:sz w:val="20"/>
                <w:szCs w:val="20"/>
              </w:rPr>
              <w:t>7</w:t>
            </w:r>
            <w:r w:rsidRPr="00A67FD9" w:rsidR="00A67FD9">
              <w:rPr>
                <w:sz w:val="20"/>
                <w:szCs w:val="20"/>
              </w:rPr>
              <w:t>)</w:t>
            </w:r>
          </w:p>
        </w:tc>
        <w:tc>
          <w:tcPr>
            <w:tcW w:w="1260" w:type="dxa"/>
          </w:tcPr>
          <w:p w:rsidR="001667FB" w:rsidRPr="00BB7053" w:rsidP="0041468A" w14:paraId="543246E3" w14:textId="79DE9D33">
            <w:pPr>
              <w:keepNext/>
              <w:keepLines/>
              <w:tabs>
                <w:tab w:val="left" w:pos="6030"/>
              </w:tabs>
              <w:spacing w:line="276" w:lineRule="auto"/>
              <w:jc w:val="right"/>
              <w:rPr>
                <w:sz w:val="20"/>
                <w:szCs w:val="20"/>
              </w:rPr>
            </w:pPr>
            <w:r>
              <w:rPr>
                <w:sz w:val="20"/>
                <w:szCs w:val="20"/>
              </w:rPr>
              <w:t>31</w:t>
            </w:r>
          </w:p>
        </w:tc>
        <w:tc>
          <w:tcPr>
            <w:tcW w:w="1170" w:type="dxa"/>
          </w:tcPr>
          <w:p w:rsidR="001667FB" w:rsidRPr="00BB7053" w:rsidP="0041468A" w14:paraId="27D66302" w14:textId="72439E7B">
            <w:pPr>
              <w:keepNext/>
              <w:keepLines/>
              <w:tabs>
                <w:tab w:val="left" w:pos="6030"/>
              </w:tabs>
              <w:spacing w:line="276" w:lineRule="auto"/>
              <w:jc w:val="right"/>
              <w:rPr>
                <w:sz w:val="20"/>
                <w:szCs w:val="20"/>
              </w:rPr>
            </w:pPr>
            <w:r>
              <w:rPr>
                <w:sz w:val="20"/>
                <w:szCs w:val="20"/>
              </w:rPr>
              <w:t>1</w:t>
            </w:r>
          </w:p>
        </w:tc>
        <w:tc>
          <w:tcPr>
            <w:tcW w:w="1080" w:type="dxa"/>
          </w:tcPr>
          <w:p w:rsidR="001667FB" w:rsidRPr="00BB7053" w:rsidP="0041468A" w14:paraId="66A116D2" w14:textId="2DE699CA">
            <w:pPr>
              <w:keepNext/>
              <w:keepLines/>
              <w:tabs>
                <w:tab w:val="left" w:pos="6030"/>
              </w:tabs>
              <w:spacing w:line="276" w:lineRule="auto"/>
              <w:jc w:val="right"/>
              <w:rPr>
                <w:sz w:val="20"/>
                <w:szCs w:val="20"/>
              </w:rPr>
            </w:pPr>
            <w:r>
              <w:rPr>
                <w:sz w:val="20"/>
                <w:szCs w:val="20"/>
              </w:rPr>
              <w:t>31</w:t>
            </w:r>
          </w:p>
        </w:tc>
        <w:tc>
          <w:tcPr>
            <w:tcW w:w="1080" w:type="dxa"/>
          </w:tcPr>
          <w:p w:rsidR="001667FB" w:rsidRPr="00BB7053" w:rsidP="0041468A" w14:paraId="4CF560FD" w14:textId="417710CD">
            <w:pPr>
              <w:keepNext/>
              <w:keepLines/>
              <w:tabs>
                <w:tab w:val="left" w:pos="6030"/>
              </w:tabs>
              <w:spacing w:line="276" w:lineRule="auto"/>
              <w:jc w:val="right"/>
              <w:rPr>
                <w:sz w:val="20"/>
                <w:szCs w:val="20"/>
              </w:rPr>
            </w:pPr>
            <w:r>
              <w:rPr>
                <w:sz w:val="20"/>
                <w:szCs w:val="20"/>
              </w:rPr>
              <w:t>5.5</w:t>
            </w:r>
          </w:p>
        </w:tc>
        <w:tc>
          <w:tcPr>
            <w:tcW w:w="1080" w:type="dxa"/>
          </w:tcPr>
          <w:p w:rsidR="001667FB" w:rsidRPr="00BB7053" w:rsidP="0041468A" w14:paraId="7C96968F" w14:textId="02A6A58A">
            <w:pPr>
              <w:keepNext/>
              <w:keepLines/>
              <w:tabs>
                <w:tab w:val="left" w:pos="6030"/>
              </w:tabs>
              <w:spacing w:line="276" w:lineRule="auto"/>
              <w:jc w:val="right"/>
              <w:rPr>
                <w:sz w:val="20"/>
                <w:szCs w:val="20"/>
              </w:rPr>
            </w:pPr>
            <w:r>
              <w:rPr>
                <w:sz w:val="20"/>
                <w:szCs w:val="20"/>
              </w:rPr>
              <w:t>1</w:t>
            </w:r>
            <w:r w:rsidR="003D0E8A">
              <w:rPr>
                <w:sz w:val="20"/>
                <w:szCs w:val="20"/>
              </w:rPr>
              <w:t>71</w:t>
            </w:r>
          </w:p>
        </w:tc>
        <w:tc>
          <w:tcPr>
            <w:tcW w:w="1080" w:type="dxa"/>
          </w:tcPr>
          <w:p w:rsidR="001667FB" w:rsidRPr="00BB7053" w:rsidP="0041468A" w14:paraId="381AE52F" w14:textId="1768C789">
            <w:pPr>
              <w:keepNext/>
              <w:keepLines/>
              <w:tabs>
                <w:tab w:val="left" w:pos="6030"/>
              </w:tabs>
              <w:spacing w:line="276" w:lineRule="auto"/>
              <w:jc w:val="right"/>
              <w:rPr>
                <w:sz w:val="20"/>
                <w:szCs w:val="20"/>
              </w:rPr>
            </w:pPr>
            <w:r>
              <w:rPr>
                <w:sz w:val="20"/>
                <w:szCs w:val="20"/>
              </w:rPr>
              <w:t>Varies</w:t>
            </w:r>
          </w:p>
        </w:tc>
        <w:tc>
          <w:tcPr>
            <w:tcW w:w="1620" w:type="dxa"/>
          </w:tcPr>
          <w:p w:rsidR="001667FB" w:rsidRPr="00BB7053" w:rsidP="0041468A" w14:paraId="7AD71204" w14:textId="4E2959BA">
            <w:pPr>
              <w:keepNext/>
              <w:keepLines/>
              <w:tabs>
                <w:tab w:val="left" w:pos="6030"/>
              </w:tabs>
              <w:spacing w:line="276" w:lineRule="auto"/>
              <w:jc w:val="right"/>
              <w:rPr>
                <w:sz w:val="20"/>
                <w:szCs w:val="20"/>
              </w:rPr>
            </w:pPr>
            <w:r>
              <w:rPr>
                <w:sz w:val="20"/>
                <w:szCs w:val="20"/>
              </w:rPr>
              <w:t>3</w:t>
            </w:r>
            <w:r w:rsidR="003D0E8A">
              <w:rPr>
                <w:sz w:val="20"/>
                <w:szCs w:val="20"/>
              </w:rPr>
              <w:t>5,529</w:t>
            </w:r>
          </w:p>
        </w:tc>
      </w:tr>
      <w:tr w14:paraId="6BE41D16" w14:textId="77777777" w:rsidTr="00192E2E">
        <w:tblPrEx>
          <w:tblW w:w="9625" w:type="dxa"/>
          <w:tblLook w:val="04A0"/>
        </w:tblPrEx>
        <w:tc>
          <w:tcPr>
            <w:tcW w:w="1255" w:type="dxa"/>
            <w:shd w:val="clear" w:color="auto" w:fill="D9D9D9" w:themeFill="background1" w:themeFillShade="D9"/>
          </w:tcPr>
          <w:p w:rsidR="001667FB" w:rsidRPr="00BB7053" w:rsidP="001667FB" w14:paraId="192B0170"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001667FB" w:rsidRPr="00BB7053" w:rsidP="001667FB" w14:paraId="21E2EE5F" w14:textId="23641010">
            <w:pPr>
              <w:tabs>
                <w:tab w:val="left" w:pos="6030"/>
              </w:tabs>
              <w:spacing w:line="276" w:lineRule="auto"/>
              <w:jc w:val="right"/>
              <w:rPr>
                <w:sz w:val="20"/>
                <w:szCs w:val="20"/>
              </w:rPr>
            </w:pPr>
            <w:r>
              <w:rPr>
                <w:sz w:val="20"/>
                <w:szCs w:val="20"/>
              </w:rPr>
              <w:t>+</w:t>
            </w:r>
            <w:r w:rsidR="003D0E8A">
              <w:rPr>
                <w:sz w:val="20"/>
                <w:szCs w:val="20"/>
              </w:rPr>
              <w:t>2</w:t>
            </w:r>
          </w:p>
        </w:tc>
        <w:tc>
          <w:tcPr>
            <w:tcW w:w="1170" w:type="dxa"/>
            <w:shd w:val="clear" w:color="auto" w:fill="D9D9D9" w:themeFill="background1" w:themeFillShade="D9"/>
          </w:tcPr>
          <w:p w:rsidR="001667FB" w:rsidRPr="00BB7053" w:rsidP="001667FB" w14:paraId="19DF6D55" w14:textId="2AC93BA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001667FB" w:rsidRPr="00BB7053" w:rsidP="001667FB" w14:paraId="2B721FE9" w14:textId="50C8F7F9">
            <w:pPr>
              <w:tabs>
                <w:tab w:val="left" w:pos="6030"/>
              </w:tabs>
              <w:spacing w:line="276" w:lineRule="auto"/>
              <w:jc w:val="right"/>
              <w:rPr>
                <w:sz w:val="20"/>
                <w:szCs w:val="20"/>
              </w:rPr>
            </w:pPr>
            <w:r>
              <w:rPr>
                <w:sz w:val="20"/>
                <w:szCs w:val="20"/>
              </w:rPr>
              <w:t>+</w:t>
            </w:r>
            <w:r w:rsidR="003D0E8A">
              <w:rPr>
                <w:sz w:val="20"/>
                <w:szCs w:val="20"/>
              </w:rPr>
              <w:t>2</w:t>
            </w:r>
          </w:p>
        </w:tc>
        <w:tc>
          <w:tcPr>
            <w:tcW w:w="1080" w:type="dxa"/>
            <w:shd w:val="clear" w:color="auto" w:fill="D9D9D9" w:themeFill="background1" w:themeFillShade="D9"/>
          </w:tcPr>
          <w:p w:rsidR="001667FB" w:rsidRPr="00BB7053" w:rsidP="001667FB" w14:paraId="543EF2CD" w14:textId="0B5EF56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001667FB" w:rsidRPr="00BB7053" w:rsidP="001667FB" w14:paraId="0DF5956B" w14:textId="48DDF435">
            <w:pPr>
              <w:tabs>
                <w:tab w:val="left" w:pos="6030"/>
              </w:tabs>
              <w:spacing w:line="276" w:lineRule="auto"/>
              <w:jc w:val="right"/>
              <w:rPr>
                <w:sz w:val="20"/>
                <w:szCs w:val="20"/>
              </w:rPr>
            </w:pPr>
            <w:r>
              <w:rPr>
                <w:sz w:val="20"/>
                <w:szCs w:val="20"/>
              </w:rPr>
              <w:t>+</w:t>
            </w:r>
            <w:r w:rsidR="003D0E8A">
              <w:rPr>
                <w:sz w:val="20"/>
                <w:szCs w:val="20"/>
              </w:rPr>
              <w:t>11</w:t>
            </w:r>
          </w:p>
        </w:tc>
        <w:tc>
          <w:tcPr>
            <w:tcW w:w="1080" w:type="dxa"/>
            <w:shd w:val="clear" w:color="auto" w:fill="D9D9D9" w:themeFill="background1" w:themeFillShade="D9"/>
          </w:tcPr>
          <w:p w:rsidR="001667FB" w:rsidRPr="00BB7053" w:rsidP="001667FB" w14:paraId="2171CF6A" w14:textId="77AC281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001667FB" w:rsidRPr="00BB7053" w:rsidP="001667FB" w14:paraId="262EC90F" w14:textId="05EE6C8D">
            <w:pPr>
              <w:tabs>
                <w:tab w:val="left" w:pos="6030"/>
              </w:tabs>
              <w:spacing w:line="276" w:lineRule="auto"/>
              <w:jc w:val="right"/>
              <w:rPr>
                <w:sz w:val="20"/>
                <w:szCs w:val="20"/>
              </w:rPr>
            </w:pPr>
            <w:r>
              <w:rPr>
                <w:sz w:val="20"/>
                <w:szCs w:val="20"/>
              </w:rPr>
              <w:t>+</w:t>
            </w:r>
            <w:r w:rsidR="003D0E8A">
              <w:rPr>
                <w:sz w:val="20"/>
                <w:szCs w:val="20"/>
              </w:rPr>
              <w:t>2,292</w:t>
            </w:r>
          </w:p>
        </w:tc>
      </w:tr>
    </w:tbl>
    <w:p w:rsidR="00BE19DD" w14:paraId="01A39784" w14:textId="77777777">
      <w:pPr>
        <w:rPr>
          <w:rFonts w:eastAsia="Calibri"/>
          <w:b/>
          <w:bCs/>
        </w:rPr>
      </w:pPr>
      <w:r>
        <w:rPr>
          <w:rFonts w:eastAsia="Calibri"/>
          <w:b/>
          <w:bCs/>
        </w:rPr>
        <w:br w:type="page"/>
      </w:r>
    </w:p>
    <w:p w:rsidR="00885183" w:rsidRPr="00BE19DD" w:rsidP="00BE19DD" w14:paraId="638A5F8A" w14:textId="26C701CA">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02015D">
        <w:rPr>
          <w:rFonts w:eastAsia="Calibri"/>
          <w:b/>
          <w:bCs/>
        </w:rPr>
        <w:t>1O</w:t>
      </w:r>
      <w:r w:rsidRPr="00B30713">
        <w:rPr>
          <w:rFonts w:eastAsia="Calibri"/>
          <w:b/>
          <w:bCs/>
        </w:rPr>
        <w:t xml:space="preserve">: Burden Reconciliation for </w:t>
      </w:r>
      <w:r w:rsidRPr="00160A32" w:rsidR="00160A32">
        <w:rPr>
          <w:rFonts w:eastAsia="Calibri"/>
          <w:b/>
          <w:bCs/>
        </w:rPr>
        <w:t>Reweighting Applications for Promoting Interoperability and Other Performance Categories</w:t>
      </w:r>
    </w:p>
    <w:tbl>
      <w:tblPr>
        <w:tblStyle w:val="TableGrid"/>
        <w:tblW w:w="9715" w:type="dxa"/>
        <w:tblLook w:val="04A0"/>
      </w:tblPr>
      <w:tblGrid>
        <w:gridCol w:w="1254"/>
        <w:gridCol w:w="1306"/>
        <w:gridCol w:w="1168"/>
        <w:gridCol w:w="1094"/>
        <w:gridCol w:w="1077"/>
        <w:gridCol w:w="1069"/>
        <w:gridCol w:w="1066"/>
        <w:gridCol w:w="1681"/>
      </w:tblGrid>
      <w:tr w14:paraId="05709B71" w14:textId="77777777" w:rsidTr="003830B0">
        <w:tblPrEx>
          <w:tblW w:w="9715" w:type="dxa"/>
          <w:tblLook w:val="04A0"/>
        </w:tblPrEx>
        <w:trPr>
          <w:tblHeader/>
        </w:trPr>
        <w:tc>
          <w:tcPr>
            <w:tcW w:w="1254" w:type="dxa"/>
          </w:tcPr>
          <w:p w:rsidR="00885183" w:rsidRPr="00173FA2" w:rsidP="00536031" w14:paraId="4E802CF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536031" w14:paraId="264AC96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00885183" w:rsidRPr="00173FA2" w:rsidP="00536031" w14:paraId="1E1DC9BE"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536031" w14:paraId="77D1368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00885183" w:rsidRPr="00173FA2" w:rsidP="00536031" w14:paraId="30256482" w14:textId="77777777">
            <w:pPr>
              <w:keepNext/>
              <w:keepLines/>
              <w:tabs>
                <w:tab w:val="left" w:pos="6030"/>
              </w:tabs>
              <w:spacing w:line="276" w:lineRule="auto"/>
              <w:rPr>
                <w:b/>
                <w:bCs/>
                <w:sz w:val="20"/>
                <w:szCs w:val="20"/>
              </w:rPr>
            </w:pPr>
            <w:r w:rsidRPr="00173FA2">
              <w:rPr>
                <w:b/>
                <w:bCs/>
                <w:sz w:val="20"/>
                <w:szCs w:val="20"/>
              </w:rPr>
              <w:t>Time Per Response (hr)</w:t>
            </w:r>
          </w:p>
        </w:tc>
        <w:tc>
          <w:tcPr>
            <w:tcW w:w="1069" w:type="dxa"/>
          </w:tcPr>
          <w:p w:rsidR="00885183" w:rsidRPr="00173FA2" w:rsidP="00536031" w14:paraId="258DA12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6" w:type="dxa"/>
          </w:tcPr>
          <w:p w:rsidR="00885183" w:rsidRPr="00173FA2" w:rsidP="00536031" w14:paraId="456B108E"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1" w:type="dxa"/>
          </w:tcPr>
          <w:p w:rsidR="00885183" w:rsidRPr="00173FA2" w:rsidP="00536031" w14:paraId="3766FFD0" w14:textId="77777777">
            <w:pPr>
              <w:keepNext/>
              <w:keepLines/>
              <w:tabs>
                <w:tab w:val="left" w:pos="6030"/>
              </w:tabs>
              <w:spacing w:line="276" w:lineRule="auto"/>
              <w:rPr>
                <w:b/>
                <w:bCs/>
                <w:sz w:val="20"/>
                <w:szCs w:val="20"/>
              </w:rPr>
            </w:pPr>
            <w:r w:rsidRPr="00173FA2">
              <w:rPr>
                <w:b/>
                <w:bCs/>
                <w:sz w:val="20"/>
                <w:szCs w:val="20"/>
              </w:rPr>
              <w:t>Total Annual Cost ($)</w:t>
            </w:r>
          </w:p>
        </w:tc>
      </w:tr>
      <w:tr w14:paraId="774188B8" w14:textId="77777777" w:rsidTr="003830B0">
        <w:tblPrEx>
          <w:tblW w:w="9715" w:type="dxa"/>
          <w:tblLook w:val="04A0"/>
        </w:tblPrEx>
        <w:tc>
          <w:tcPr>
            <w:tcW w:w="1254" w:type="dxa"/>
          </w:tcPr>
          <w:p w:rsidR="001572E5" w:rsidRPr="00BB7053" w:rsidP="001572E5" w14:paraId="4C07FF76" w14:textId="42BA5D99">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1572E5" w:rsidRPr="00BB7053" w:rsidP="001572E5" w14:paraId="69E041A8" w14:textId="3B9C6E70">
            <w:pPr>
              <w:tabs>
                <w:tab w:val="left" w:pos="6030"/>
              </w:tabs>
              <w:spacing w:line="276" w:lineRule="auto"/>
              <w:jc w:val="right"/>
              <w:rPr>
                <w:sz w:val="20"/>
                <w:szCs w:val="20"/>
              </w:rPr>
            </w:pPr>
            <w:r>
              <w:rPr>
                <w:sz w:val="20"/>
                <w:szCs w:val="20"/>
              </w:rPr>
              <w:t>5,439</w:t>
            </w:r>
          </w:p>
        </w:tc>
        <w:tc>
          <w:tcPr>
            <w:tcW w:w="1168" w:type="dxa"/>
          </w:tcPr>
          <w:p w:rsidR="001572E5" w:rsidRPr="00BB7053" w:rsidP="001572E5" w14:paraId="5B43CA88" w14:textId="477E98C2">
            <w:pPr>
              <w:tabs>
                <w:tab w:val="left" w:pos="6030"/>
              </w:tabs>
              <w:spacing w:line="276" w:lineRule="auto"/>
              <w:jc w:val="right"/>
              <w:rPr>
                <w:sz w:val="20"/>
                <w:szCs w:val="20"/>
              </w:rPr>
            </w:pPr>
            <w:r>
              <w:rPr>
                <w:sz w:val="20"/>
                <w:szCs w:val="20"/>
              </w:rPr>
              <w:t>1</w:t>
            </w:r>
          </w:p>
        </w:tc>
        <w:tc>
          <w:tcPr>
            <w:tcW w:w="1094" w:type="dxa"/>
          </w:tcPr>
          <w:p w:rsidR="001572E5" w:rsidRPr="00BB7053" w:rsidP="00B76893" w14:paraId="52BDB0F3" w14:textId="7B45802C">
            <w:pPr>
              <w:tabs>
                <w:tab w:val="left" w:pos="6030"/>
              </w:tabs>
              <w:spacing w:line="276" w:lineRule="auto"/>
              <w:jc w:val="right"/>
              <w:rPr>
                <w:sz w:val="20"/>
                <w:szCs w:val="20"/>
              </w:rPr>
            </w:pPr>
            <w:r>
              <w:rPr>
                <w:sz w:val="20"/>
                <w:szCs w:val="20"/>
              </w:rPr>
              <w:t>5,439</w:t>
            </w:r>
          </w:p>
        </w:tc>
        <w:tc>
          <w:tcPr>
            <w:tcW w:w="1077" w:type="dxa"/>
          </w:tcPr>
          <w:p w:rsidR="001572E5" w:rsidRPr="00BB7053" w:rsidP="001572E5" w14:paraId="523A498C" w14:textId="7392A018">
            <w:pPr>
              <w:tabs>
                <w:tab w:val="left" w:pos="6030"/>
              </w:tabs>
              <w:spacing w:line="276" w:lineRule="auto"/>
              <w:jc w:val="right"/>
              <w:rPr>
                <w:sz w:val="20"/>
                <w:szCs w:val="20"/>
              </w:rPr>
            </w:pPr>
            <w:r>
              <w:rPr>
                <w:sz w:val="20"/>
                <w:szCs w:val="20"/>
              </w:rPr>
              <w:t>0.25</w:t>
            </w:r>
          </w:p>
        </w:tc>
        <w:tc>
          <w:tcPr>
            <w:tcW w:w="1069" w:type="dxa"/>
          </w:tcPr>
          <w:p w:rsidR="001572E5" w:rsidRPr="00BB7053" w:rsidP="001572E5" w14:paraId="21244F96" w14:textId="34530EBF">
            <w:pPr>
              <w:tabs>
                <w:tab w:val="left" w:pos="6030"/>
              </w:tabs>
              <w:spacing w:line="276" w:lineRule="auto"/>
              <w:jc w:val="right"/>
              <w:rPr>
                <w:sz w:val="20"/>
                <w:szCs w:val="20"/>
              </w:rPr>
            </w:pPr>
            <w:r>
              <w:rPr>
                <w:sz w:val="20"/>
                <w:szCs w:val="20"/>
              </w:rPr>
              <w:t>1</w:t>
            </w:r>
            <w:r w:rsidR="0002015D">
              <w:rPr>
                <w:sz w:val="20"/>
                <w:szCs w:val="20"/>
              </w:rPr>
              <w:t>,360</w:t>
            </w:r>
          </w:p>
        </w:tc>
        <w:tc>
          <w:tcPr>
            <w:tcW w:w="1066" w:type="dxa"/>
          </w:tcPr>
          <w:p w:rsidR="001572E5" w:rsidRPr="00BB7053" w:rsidP="001572E5" w14:paraId="090DEB29" w14:textId="2508ADAC">
            <w:pPr>
              <w:tabs>
                <w:tab w:val="left" w:pos="6030"/>
              </w:tabs>
              <w:spacing w:line="276" w:lineRule="auto"/>
              <w:jc w:val="right"/>
              <w:rPr>
                <w:sz w:val="20"/>
                <w:szCs w:val="20"/>
              </w:rPr>
            </w:pPr>
            <w:r>
              <w:rPr>
                <w:sz w:val="20"/>
                <w:szCs w:val="20"/>
              </w:rPr>
              <w:t>103.40</w:t>
            </w:r>
          </w:p>
        </w:tc>
        <w:tc>
          <w:tcPr>
            <w:tcW w:w="1681" w:type="dxa"/>
          </w:tcPr>
          <w:p w:rsidR="001572E5" w:rsidRPr="00BB7053" w:rsidP="001572E5" w14:paraId="76034A2D" w14:textId="32D88462">
            <w:pPr>
              <w:tabs>
                <w:tab w:val="left" w:pos="6030"/>
              </w:tabs>
              <w:spacing w:line="276" w:lineRule="auto"/>
              <w:jc w:val="right"/>
              <w:rPr>
                <w:sz w:val="20"/>
                <w:szCs w:val="20"/>
              </w:rPr>
            </w:pPr>
            <w:r>
              <w:rPr>
                <w:sz w:val="20"/>
                <w:szCs w:val="20"/>
              </w:rPr>
              <w:t>1</w:t>
            </w:r>
            <w:r w:rsidR="0002015D">
              <w:rPr>
                <w:sz w:val="20"/>
                <w:szCs w:val="20"/>
              </w:rPr>
              <w:t>40,598</w:t>
            </w:r>
          </w:p>
        </w:tc>
      </w:tr>
      <w:tr w14:paraId="5BF76EF4" w14:textId="77777777" w:rsidTr="003830B0">
        <w:tblPrEx>
          <w:tblW w:w="9715" w:type="dxa"/>
          <w:tblLook w:val="04A0"/>
        </w:tblPrEx>
        <w:tc>
          <w:tcPr>
            <w:tcW w:w="1254" w:type="dxa"/>
          </w:tcPr>
          <w:p w:rsidR="001572E5" w:rsidRPr="00BB7053" w:rsidP="00192E2E" w14:paraId="2826FC19" w14:textId="11BCE46B">
            <w:pPr>
              <w:tabs>
                <w:tab w:val="left" w:pos="6030"/>
              </w:tabs>
              <w:spacing w:line="276" w:lineRule="auto"/>
              <w:rPr>
                <w:sz w:val="20"/>
                <w:szCs w:val="20"/>
              </w:rPr>
            </w:pPr>
            <w:r>
              <w:rPr>
                <w:sz w:val="20"/>
                <w:szCs w:val="20"/>
              </w:rPr>
              <w:t>Finaliz</w:t>
            </w:r>
            <w:r w:rsidR="008E2BA0">
              <w:rPr>
                <w:sz w:val="20"/>
                <w:szCs w:val="20"/>
              </w:rPr>
              <w:t xml:space="preserve">ed </w:t>
            </w:r>
            <w:r w:rsidRPr="00A67FD9" w:rsidR="00A67FD9">
              <w:rPr>
                <w:sz w:val="20"/>
                <w:szCs w:val="20"/>
              </w:rPr>
              <w:t>(See Table 1</w:t>
            </w:r>
            <w:r w:rsidR="0002015D">
              <w:rPr>
                <w:sz w:val="20"/>
                <w:szCs w:val="20"/>
              </w:rPr>
              <w:t>8</w:t>
            </w:r>
            <w:r w:rsidRPr="00A67FD9" w:rsidR="00A67FD9">
              <w:rPr>
                <w:sz w:val="20"/>
                <w:szCs w:val="20"/>
              </w:rPr>
              <w:t>)</w:t>
            </w:r>
          </w:p>
        </w:tc>
        <w:tc>
          <w:tcPr>
            <w:tcW w:w="1306" w:type="dxa"/>
          </w:tcPr>
          <w:p w:rsidR="001572E5" w:rsidRPr="00BB7053" w:rsidP="001572E5" w14:paraId="7AA20B4B" w14:textId="67E43D33">
            <w:pPr>
              <w:tabs>
                <w:tab w:val="left" w:pos="6030"/>
              </w:tabs>
              <w:spacing w:line="276" w:lineRule="auto"/>
              <w:jc w:val="right"/>
              <w:rPr>
                <w:sz w:val="20"/>
                <w:szCs w:val="20"/>
              </w:rPr>
            </w:pPr>
            <w:r>
              <w:rPr>
                <w:sz w:val="20"/>
                <w:szCs w:val="20"/>
              </w:rPr>
              <w:t>29,227</w:t>
            </w:r>
          </w:p>
        </w:tc>
        <w:tc>
          <w:tcPr>
            <w:tcW w:w="1168" w:type="dxa"/>
          </w:tcPr>
          <w:p w:rsidR="001572E5" w:rsidRPr="00BB7053" w:rsidP="001572E5" w14:paraId="35982FA3" w14:textId="562B4AA3">
            <w:pPr>
              <w:tabs>
                <w:tab w:val="left" w:pos="6030"/>
              </w:tabs>
              <w:spacing w:line="276" w:lineRule="auto"/>
              <w:jc w:val="right"/>
              <w:rPr>
                <w:sz w:val="20"/>
                <w:szCs w:val="20"/>
              </w:rPr>
            </w:pPr>
            <w:r>
              <w:rPr>
                <w:sz w:val="20"/>
                <w:szCs w:val="20"/>
              </w:rPr>
              <w:t>1</w:t>
            </w:r>
          </w:p>
        </w:tc>
        <w:tc>
          <w:tcPr>
            <w:tcW w:w="1094" w:type="dxa"/>
          </w:tcPr>
          <w:p w:rsidR="001572E5" w:rsidRPr="00BB7053" w:rsidP="001572E5" w14:paraId="2A684F91" w14:textId="3A0CCC02">
            <w:pPr>
              <w:tabs>
                <w:tab w:val="left" w:pos="6030"/>
              </w:tabs>
              <w:spacing w:line="276" w:lineRule="auto"/>
              <w:jc w:val="right"/>
              <w:rPr>
                <w:sz w:val="20"/>
                <w:szCs w:val="20"/>
              </w:rPr>
            </w:pPr>
            <w:r>
              <w:rPr>
                <w:sz w:val="20"/>
                <w:szCs w:val="20"/>
              </w:rPr>
              <w:t>29,227</w:t>
            </w:r>
          </w:p>
        </w:tc>
        <w:tc>
          <w:tcPr>
            <w:tcW w:w="1077" w:type="dxa"/>
          </w:tcPr>
          <w:p w:rsidR="001572E5" w:rsidRPr="00BB7053" w:rsidP="001572E5" w14:paraId="7EC12EDC" w14:textId="17D66708">
            <w:pPr>
              <w:tabs>
                <w:tab w:val="left" w:pos="6030"/>
              </w:tabs>
              <w:spacing w:line="276" w:lineRule="auto"/>
              <w:jc w:val="right"/>
              <w:rPr>
                <w:sz w:val="20"/>
                <w:szCs w:val="20"/>
              </w:rPr>
            </w:pPr>
            <w:r>
              <w:rPr>
                <w:sz w:val="20"/>
                <w:szCs w:val="20"/>
              </w:rPr>
              <w:t>0.25</w:t>
            </w:r>
          </w:p>
        </w:tc>
        <w:tc>
          <w:tcPr>
            <w:tcW w:w="1069" w:type="dxa"/>
          </w:tcPr>
          <w:p w:rsidR="001572E5" w:rsidRPr="00BB7053" w:rsidP="000209FB" w14:paraId="542FAF2C" w14:textId="17FB3395">
            <w:pPr>
              <w:tabs>
                <w:tab w:val="left" w:pos="6030"/>
              </w:tabs>
              <w:spacing w:line="276" w:lineRule="auto"/>
              <w:jc w:val="right"/>
              <w:rPr>
                <w:sz w:val="20"/>
                <w:szCs w:val="20"/>
              </w:rPr>
            </w:pPr>
            <w:r>
              <w:rPr>
                <w:sz w:val="20"/>
                <w:szCs w:val="20"/>
              </w:rPr>
              <w:t>7,307</w:t>
            </w:r>
          </w:p>
        </w:tc>
        <w:tc>
          <w:tcPr>
            <w:tcW w:w="1066" w:type="dxa"/>
          </w:tcPr>
          <w:p w:rsidR="001572E5" w:rsidRPr="00BB7053" w:rsidP="001572E5" w14:paraId="44601190" w14:textId="5135BC47">
            <w:pPr>
              <w:tabs>
                <w:tab w:val="left" w:pos="6030"/>
              </w:tabs>
              <w:spacing w:line="276" w:lineRule="auto"/>
              <w:jc w:val="right"/>
              <w:rPr>
                <w:sz w:val="20"/>
                <w:szCs w:val="20"/>
              </w:rPr>
            </w:pPr>
            <w:r>
              <w:rPr>
                <w:sz w:val="20"/>
                <w:szCs w:val="20"/>
              </w:rPr>
              <w:t>103.40</w:t>
            </w:r>
          </w:p>
        </w:tc>
        <w:tc>
          <w:tcPr>
            <w:tcW w:w="1681" w:type="dxa"/>
          </w:tcPr>
          <w:p w:rsidR="001572E5" w:rsidRPr="00BB7053" w:rsidP="001572E5" w14:paraId="348E8E57" w14:textId="1584E2F6">
            <w:pPr>
              <w:tabs>
                <w:tab w:val="left" w:pos="6030"/>
              </w:tabs>
              <w:spacing w:line="276" w:lineRule="auto"/>
              <w:jc w:val="right"/>
              <w:rPr>
                <w:sz w:val="20"/>
                <w:szCs w:val="20"/>
              </w:rPr>
            </w:pPr>
            <w:r>
              <w:rPr>
                <w:sz w:val="20"/>
                <w:szCs w:val="20"/>
              </w:rPr>
              <w:t>755,518</w:t>
            </w:r>
          </w:p>
        </w:tc>
      </w:tr>
      <w:tr w14:paraId="19427EC9" w14:textId="77777777" w:rsidTr="003830B0">
        <w:tblPrEx>
          <w:tblW w:w="9715" w:type="dxa"/>
          <w:tblLook w:val="04A0"/>
        </w:tblPrEx>
        <w:tc>
          <w:tcPr>
            <w:tcW w:w="1254" w:type="dxa"/>
            <w:shd w:val="clear" w:color="auto" w:fill="D9D9D9" w:themeFill="background1" w:themeFillShade="D9"/>
          </w:tcPr>
          <w:p w:rsidR="001572E5" w:rsidRPr="00BB7053" w:rsidP="001572E5" w14:paraId="3E686E31"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1572E5" w:rsidRPr="00BB7053" w:rsidP="001572E5" w14:paraId="475828B0" w14:textId="76C9461C">
            <w:pPr>
              <w:tabs>
                <w:tab w:val="left" w:pos="6030"/>
              </w:tabs>
              <w:spacing w:line="276" w:lineRule="auto"/>
              <w:jc w:val="right"/>
              <w:rPr>
                <w:sz w:val="20"/>
                <w:szCs w:val="20"/>
              </w:rPr>
            </w:pPr>
            <w:r>
              <w:rPr>
                <w:sz w:val="20"/>
                <w:szCs w:val="20"/>
              </w:rPr>
              <w:t>+23,788</w:t>
            </w:r>
          </w:p>
        </w:tc>
        <w:tc>
          <w:tcPr>
            <w:tcW w:w="1168" w:type="dxa"/>
            <w:shd w:val="clear" w:color="auto" w:fill="D9D9D9" w:themeFill="background1" w:themeFillShade="D9"/>
          </w:tcPr>
          <w:p w:rsidR="001572E5" w:rsidRPr="00BB7053" w:rsidP="001572E5" w14:paraId="1C1DCE71" w14:textId="1F912627">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1572E5" w:rsidRPr="00BB7053" w:rsidP="001572E5" w14:paraId="3E858B1C" w14:textId="147974AE">
            <w:pPr>
              <w:tabs>
                <w:tab w:val="left" w:pos="6030"/>
              </w:tabs>
              <w:spacing w:line="276" w:lineRule="auto"/>
              <w:jc w:val="right"/>
              <w:rPr>
                <w:sz w:val="20"/>
                <w:szCs w:val="20"/>
              </w:rPr>
            </w:pPr>
            <w:r>
              <w:rPr>
                <w:sz w:val="20"/>
                <w:szCs w:val="20"/>
              </w:rPr>
              <w:t>+23,788</w:t>
            </w:r>
          </w:p>
        </w:tc>
        <w:tc>
          <w:tcPr>
            <w:tcW w:w="1077" w:type="dxa"/>
            <w:shd w:val="clear" w:color="auto" w:fill="D9D9D9" w:themeFill="background1" w:themeFillShade="D9"/>
          </w:tcPr>
          <w:p w:rsidR="001572E5" w:rsidRPr="00BB7053" w:rsidP="001572E5" w14:paraId="243684A5" w14:textId="42FFA655">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001572E5" w:rsidRPr="00BB7053" w:rsidP="001572E5" w14:paraId="5A8B6EC1" w14:textId="042E0D47">
            <w:pPr>
              <w:tabs>
                <w:tab w:val="left" w:pos="6030"/>
              </w:tabs>
              <w:spacing w:line="276" w:lineRule="auto"/>
              <w:jc w:val="right"/>
              <w:rPr>
                <w:sz w:val="20"/>
                <w:szCs w:val="20"/>
              </w:rPr>
            </w:pPr>
            <w:r>
              <w:rPr>
                <w:sz w:val="20"/>
                <w:szCs w:val="20"/>
              </w:rPr>
              <w:t>+5,947</w:t>
            </w:r>
          </w:p>
        </w:tc>
        <w:tc>
          <w:tcPr>
            <w:tcW w:w="1066" w:type="dxa"/>
            <w:shd w:val="clear" w:color="auto" w:fill="D9D9D9" w:themeFill="background1" w:themeFillShade="D9"/>
          </w:tcPr>
          <w:p w:rsidR="001572E5" w:rsidRPr="00BB7053" w:rsidP="001572E5" w14:paraId="3224C086" w14:textId="1EC3658A">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001572E5" w:rsidRPr="00BB7053" w:rsidP="001572E5" w14:paraId="46FAA96C" w14:textId="62A7AAF9">
            <w:pPr>
              <w:tabs>
                <w:tab w:val="left" w:pos="6030"/>
              </w:tabs>
              <w:spacing w:line="276" w:lineRule="auto"/>
              <w:jc w:val="right"/>
              <w:rPr>
                <w:sz w:val="20"/>
                <w:szCs w:val="20"/>
              </w:rPr>
            </w:pPr>
            <w:r>
              <w:rPr>
                <w:sz w:val="20"/>
                <w:szCs w:val="20"/>
              </w:rPr>
              <w:t>+614,920</w:t>
            </w:r>
          </w:p>
        </w:tc>
      </w:tr>
    </w:tbl>
    <w:p w:rsidR="00885183" w:rsidRPr="00BE19DD" w:rsidP="00BE19DD" w14:paraId="379B1730" w14:textId="5556F18A">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526AC6">
        <w:rPr>
          <w:rFonts w:eastAsia="Calibri"/>
          <w:b/>
          <w:bCs/>
        </w:rPr>
        <w:t>1P</w:t>
      </w:r>
      <w:r w:rsidRPr="00B30713">
        <w:rPr>
          <w:rFonts w:eastAsia="Calibri"/>
          <w:b/>
          <w:bCs/>
        </w:rPr>
        <w:t xml:space="preserve">: Burden Reconciliation for </w:t>
      </w:r>
      <w:r w:rsidRPr="002B4E2D" w:rsidR="002B4E2D">
        <w:rPr>
          <w:rFonts w:eastAsia="Calibri"/>
          <w:b/>
          <w:bCs/>
        </w:rPr>
        <w:t>Promoting Interoperability Performance Category Data Submission</w:t>
      </w:r>
    </w:p>
    <w:tbl>
      <w:tblPr>
        <w:tblStyle w:val="TableGrid"/>
        <w:tblW w:w="9715" w:type="dxa"/>
        <w:tblLayout w:type="fixed"/>
        <w:tblLook w:val="04A0"/>
      </w:tblPr>
      <w:tblGrid>
        <w:gridCol w:w="1238"/>
        <w:gridCol w:w="1306"/>
        <w:gridCol w:w="1127"/>
        <w:gridCol w:w="1094"/>
        <w:gridCol w:w="1017"/>
        <w:gridCol w:w="1166"/>
        <w:gridCol w:w="783"/>
        <w:gridCol w:w="1984"/>
      </w:tblGrid>
      <w:tr w14:paraId="4359804C" w14:textId="77777777" w:rsidTr="003830B0">
        <w:tblPrEx>
          <w:tblW w:w="9715" w:type="dxa"/>
          <w:tblLayout w:type="fixed"/>
          <w:tblLook w:val="04A0"/>
        </w:tblPrEx>
        <w:trPr>
          <w:tblHeader/>
        </w:trPr>
        <w:tc>
          <w:tcPr>
            <w:tcW w:w="1238" w:type="dxa"/>
          </w:tcPr>
          <w:p w:rsidR="00885183" w:rsidRPr="00173FA2" w:rsidP="00657E0A" w14:paraId="53D56C7F"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657E0A" w14:paraId="3DB018B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27" w:type="dxa"/>
          </w:tcPr>
          <w:p w:rsidR="00885183" w:rsidRPr="00173FA2" w:rsidP="00657E0A" w14:paraId="27B19A8C"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657E0A" w14:paraId="6382B3D1"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17" w:type="dxa"/>
          </w:tcPr>
          <w:p w:rsidR="00885183" w:rsidRPr="00173FA2" w:rsidP="00657E0A" w14:paraId="2839334B" w14:textId="77777777">
            <w:pPr>
              <w:keepNext/>
              <w:keepLines/>
              <w:tabs>
                <w:tab w:val="left" w:pos="6030"/>
              </w:tabs>
              <w:spacing w:line="276" w:lineRule="auto"/>
              <w:rPr>
                <w:b/>
                <w:bCs/>
                <w:sz w:val="20"/>
                <w:szCs w:val="20"/>
              </w:rPr>
            </w:pPr>
            <w:r w:rsidRPr="00173FA2">
              <w:rPr>
                <w:b/>
                <w:bCs/>
                <w:sz w:val="20"/>
                <w:szCs w:val="20"/>
              </w:rPr>
              <w:t>Time Per Response (hr)</w:t>
            </w:r>
          </w:p>
        </w:tc>
        <w:tc>
          <w:tcPr>
            <w:tcW w:w="1166" w:type="dxa"/>
          </w:tcPr>
          <w:p w:rsidR="00885183" w:rsidRPr="00173FA2" w:rsidP="00657E0A" w14:paraId="357179F8"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783" w:type="dxa"/>
          </w:tcPr>
          <w:p w:rsidR="00885183" w:rsidRPr="00173FA2" w:rsidP="00657E0A" w14:paraId="5D6101FF"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984" w:type="dxa"/>
          </w:tcPr>
          <w:p w:rsidR="00885183" w:rsidRPr="00173FA2" w:rsidP="00657E0A" w14:paraId="6D968AD8" w14:textId="77777777">
            <w:pPr>
              <w:keepNext/>
              <w:keepLines/>
              <w:tabs>
                <w:tab w:val="left" w:pos="6030"/>
              </w:tabs>
              <w:spacing w:line="276" w:lineRule="auto"/>
              <w:rPr>
                <w:b/>
                <w:bCs/>
                <w:sz w:val="20"/>
                <w:szCs w:val="20"/>
              </w:rPr>
            </w:pPr>
            <w:r w:rsidRPr="00173FA2">
              <w:rPr>
                <w:b/>
                <w:bCs/>
                <w:sz w:val="20"/>
                <w:szCs w:val="20"/>
              </w:rPr>
              <w:t>Total Annual Cost ($)</w:t>
            </w:r>
          </w:p>
        </w:tc>
      </w:tr>
      <w:tr w14:paraId="4AA5E1C6" w14:textId="77777777" w:rsidTr="003830B0">
        <w:tblPrEx>
          <w:tblW w:w="9715" w:type="dxa"/>
          <w:tblLayout w:type="fixed"/>
          <w:tblLook w:val="04A0"/>
        </w:tblPrEx>
        <w:tc>
          <w:tcPr>
            <w:tcW w:w="1238" w:type="dxa"/>
          </w:tcPr>
          <w:p w:rsidR="009971ED" w:rsidRPr="00BB7053" w:rsidP="009971ED" w14:paraId="5B9BB8F4" w14:textId="1D71A9A4">
            <w:pPr>
              <w:tabs>
                <w:tab w:val="left" w:pos="6030"/>
              </w:tabs>
              <w:spacing w:line="276" w:lineRule="auto"/>
              <w:jc w:val="both"/>
              <w:rPr>
                <w:sz w:val="20"/>
                <w:szCs w:val="20"/>
              </w:rPr>
            </w:pPr>
            <w:r>
              <w:rPr>
                <w:sz w:val="20"/>
                <w:szCs w:val="20"/>
              </w:rPr>
              <w:t>Currently Approved</w:t>
            </w:r>
            <w:r w:rsidR="005348CC">
              <w:rPr>
                <w:sz w:val="20"/>
                <w:szCs w:val="20"/>
              </w:rPr>
              <w:t xml:space="preserve"> </w:t>
            </w:r>
          </w:p>
        </w:tc>
        <w:tc>
          <w:tcPr>
            <w:tcW w:w="1306" w:type="dxa"/>
          </w:tcPr>
          <w:p w:rsidR="009971ED" w:rsidRPr="00BB7053" w:rsidP="009971ED" w14:paraId="00133E37" w14:textId="737D24E4">
            <w:pPr>
              <w:tabs>
                <w:tab w:val="left" w:pos="6030"/>
              </w:tabs>
              <w:spacing w:line="276" w:lineRule="auto"/>
              <w:jc w:val="right"/>
              <w:rPr>
                <w:sz w:val="20"/>
                <w:szCs w:val="20"/>
              </w:rPr>
            </w:pPr>
            <w:r>
              <w:rPr>
                <w:sz w:val="20"/>
                <w:szCs w:val="20"/>
              </w:rPr>
              <w:t>30,107</w:t>
            </w:r>
          </w:p>
        </w:tc>
        <w:tc>
          <w:tcPr>
            <w:tcW w:w="1127" w:type="dxa"/>
          </w:tcPr>
          <w:p w:rsidR="009971ED" w:rsidRPr="00BB7053" w:rsidP="009971ED" w14:paraId="7D4661B9" w14:textId="36DBF6C7">
            <w:pPr>
              <w:tabs>
                <w:tab w:val="left" w:pos="6030"/>
              </w:tabs>
              <w:spacing w:line="276" w:lineRule="auto"/>
              <w:jc w:val="right"/>
              <w:rPr>
                <w:sz w:val="20"/>
                <w:szCs w:val="20"/>
              </w:rPr>
            </w:pPr>
            <w:r>
              <w:rPr>
                <w:sz w:val="20"/>
                <w:szCs w:val="20"/>
              </w:rPr>
              <w:t>1</w:t>
            </w:r>
          </w:p>
        </w:tc>
        <w:tc>
          <w:tcPr>
            <w:tcW w:w="1094" w:type="dxa"/>
          </w:tcPr>
          <w:p w:rsidR="009971ED" w:rsidRPr="00BB7053" w:rsidP="009971ED" w14:paraId="101FFAAF" w14:textId="64D8B093">
            <w:pPr>
              <w:tabs>
                <w:tab w:val="left" w:pos="6030"/>
              </w:tabs>
              <w:spacing w:line="276" w:lineRule="auto"/>
              <w:jc w:val="right"/>
              <w:rPr>
                <w:sz w:val="20"/>
                <w:szCs w:val="20"/>
              </w:rPr>
            </w:pPr>
            <w:r>
              <w:rPr>
                <w:sz w:val="20"/>
                <w:szCs w:val="20"/>
              </w:rPr>
              <w:t>30,10</w:t>
            </w:r>
            <w:r w:rsidR="003B7F4A">
              <w:rPr>
                <w:sz w:val="20"/>
                <w:szCs w:val="20"/>
              </w:rPr>
              <w:t>7</w:t>
            </w:r>
          </w:p>
        </w:tc>
        <w:tc>
          <w:tcPr>
            <w:tcW w:w="1017" w:type="dxa"/>
          </w:tcPr>
          <w:p w:rsidR="009971ED" w:rsidRPr="00BB7053" w:rsidP="009971ED" w14:paraId="35E0D23C" w14:textId="1C76667B">
            <w:pPr>
              <w:tabs>
                <w:tab w:val="left" w:pos="6030"/>
              </w:tabs>
              <w:spacing w:line="276" w:lineRule="auto"/>
              <w:jc w:val="right"/>
              <w:rPr>
                <w:sz w:val="20"/>
                <w:szCs w:val="20"/>
              </w:rPr>
            </w:pPr>
            <w:r>
              <w:rPr>
                <w:sz w:val="20"/>
                <w:szCs w:val="20"/>
              </w:rPr>
              <w:t>2.</w:t>
            </w:r>
            <w:r w:rsidR="00526AC6">
              <w:rPr>
                <w:sz w:val="20"/>
                <w:szCs w:val="20"/>
              </w:rPr>
              <w:t>70</w:t>
            </w:r>
          </w:p>
        </w:tc>
        <w:tc>
          <w:tcPr>
            <w:tcW w:w="1166" w:type="dxa"/>
          </w:tcPr>
          <w:p w:rsidR="009971ED" w:rsidRPr="00BB7053" w:rsidP="009971ED" w14:paraId="0CEE064A" w14:textId="74E85611">
            <w:pPr>
              <w:tabs>
                <w:tab w:val="left" w:pos="6030"/>
              </w:tabs>
              <w:spacing w:line="276" w:lineRule="auto"/>
              <w:jc w:val="right"/>
              <w:rPr>
                <w:sz w:val="20"/>
                <w:szCs w:val="20"/>
              </w:rPr>
            </w:pPr>
            <w:r>
              <w:rPr>
                <w:sz w:val="20"/>
                <w:szCs w:val="20"/>
              </w:rPr>
              <w:t>81,289</w:t>
            </w:r>
          </w:p>
        </w:tc>
        <w:tc>
          <w:tcPr>
            <w:tcW w:w="783" w:type="dxa"/>
          </w:tcPr>
          <w:p w:rsidR="009971ED" w:rsidRPr="00BB7053" w:rsidP="009971ED" w14:paraId="22740B18" w14:textId="7D5EA8E0">
            <w:pPr>
              <w:tabs>
                <w:tab w:val="left" w:pos="6030"/>
              </w:tabs>
              <w:spacing w:line="276" w:lineRule="auto"/>
              <w:jc w:val="right"/>
              <w:rPr>
                <w:sz w:val="20"/>
                <w:szCs w:val="20"/>
              </w:rPr>
            </w:pPr>
            <w:r>
              <w:rPr>
                <w:sz w:val="20"/>
                <w:szCs w:val="20"/>
              </w:rPr>
              <w:t>103.40</w:t>
            </w:r>
          </w:p>
        </w:tc>
        <w:tc>
          <w:tcPr>
            <w:tcW w:w="1984" w:type="dxa"/>
          </w:tcPr>
          <w:p w:rsidR="009971ED" w:rsidRPr="00BB7053" w:rsidP="009971ED" w14:paraId="58DA52C3" w14:textId="0B0515F0">
            <w:pPr>
              <w:tabs>
                <w:tab w:val="left" w:pos="6030"/>
              </w:tabs>
              <w:spacing w:line="276" w:lineRule="auto"/>
              <w:jc w:val="right"/>
              <w:rPr>
                <w:sz w:val="20"/>
                <w:szCs w:val="20"/>
              </w:rPr>
            </w:pPr>
            <w:r w:rsidRPr="00526AC6">
              <w:rPr>
                <w:sz w:val="20"/>
                <w:szCs w:val="20"/>
              </w:rPr>
              <w:t>8,405,272</w:t>
            </w:r>
          </w:p>
        </w:tc>
      </w:tr>
      <w:tr w14:paraId="5E7EB5F7" w14:textId="77777777" w:rsidTr="003830B0">
        <w:tblPrEx>
          <w:tblW w:w="9715" w:type="dxa"/>
          <w:tblLayout w:type="fixed"/>
          <w:tblLook w:val="04A0"/>
        </w:tblPrEx>
        <w:tc>
          <w:tcPr>
            <w:tcW w:w="1238" w:type="dxa"/>
          </w:tcPr>
          <w:p w:rsidR="009971ED" w:rsidRPr="00BB7053" w:rsidP="00192E2E" w14:paraId="58D34816" w14:textId="1693A76D">
            <w:pPr>
              <w:tabs>
                <w:tab w:val="left" w:pos="6030"/>
              </w:tabs>
              <w:spacing w:line="276" w:lineRule="auto"/>
              <w:rPr>
                <w:sz w:val="20"/>
                <w:szCs w:val="20"/>
              </w:rPr>
            </w:pPr>
            <w:r>
              <w:rPr>
                <w:sz w:val="20"/>
                <w:szCs w:val="20"/>
              </w:rPr>
              <w:t>Finaliz</w:t>
            </w:r>
            <w:r w:rsidR="003D0441">
              <w:rPr>
                <w:sz w:val="20"/>
                <w:szCs w:val="20"/>
              </w:rPr>
              <w:t>ed</w:t>
            </w:r>
            <w:r w:rsidR="00A67FD9">
              <w:rPr>
                <w:sz w:val="20"/>
                <w:szCs w:val="20"/>
              </w:rPr>
              <w:t xml:space="preserve"> </w:t>
            </w:r>
            <w:r w:rsidRPr="00A67FD9" w:rsidR="00A67FD9">
              <w:rPr>
                <w:sz w:val="20"/>
                <w:szCs w:val="20"/>
              </w:rPr>
              <w:t xml:space="preserve">(See Table </w:t>
            </w:r>
            <w:r w:rsidR="00E67FEF">
              <w:rPr>
                <w:sz w:val="20"/>
                <w:szCs w:val="20"/>
              </w:rPr>
              <w:t>1</w:t>
            </w:r>
            <w:r w:rsidR="00526AC6">
              <w:rPr>
                <w:sz w:val="20"/>
                <w:szCs w:val="20"/>
              </w:rPr>
              <w:t>9</w:t>
            </w:r>
            <w:r w:rsidRPr="00A67FD9" w:rsidR="00A67FD9">
              <w:rPr>
                <w:sz w:val="20"/>
                <w:szCs w:val="20"/>
              </w:rPr>
              <w:t>)</w:t>
            </w:r>
          </w:p>
        </w:tc>
        <w:tc>
          <w:tcPr>
            <w:tcW w:w="1306" w:type="dxa"/>
          </w:tcPr>
          <w:p w:rsidR="009971ED" w:rsidRPr="00BB7053" w:rsidP="009971ED" w14:paraId="3C81680F" w14:textId="398AD02C">
            <w:pPr>
              <w:tabs>
                <w:tab w:val="left" w:pos="6030"/>
              </w:tabs>
              <w:spacing w:line="276" w:lineRule="auto"/>
              <w:jc w:val="right"/>
              <w:rPr>
                <w:sz w:val="20"/>
                <w:szCs w:val="20"/>
              </w:rPr>
            </w:pPr>
            <w:r>
              <w:rPr>
                <w:sz w:val="20"/>
                <w:szCs w:val="20"/>
              </w:rPr>
              <w:t>25,990</w:t>
            </w:r>
          </w:p>
        </w:tc>
        <w:tc>
          <w:tcPr>
            <w:tcW w:w="1127" w:type="dxa"/>
          </w:tcPr>
          <w:p w:rsidR="009971ED" w:rsidRPr="00BB7053" w:rsidP="009971ED" w14:paraId="4B81C8C9" w14:textId="569C7A45">
            <w:pPr>
              <w:tabs>
                <w:tab w:val="left" w:pos="6030"/>
              </w:tabs>
              <w:spacing w:line="276" w:lineRule="auto"/>
              <w:jc w:val="right"/>
              <w:rPr>
                <w:sz w:val="20"/>
                <w:szCs w:val="20"/>
              </w:rPr>
            </w:pPr>
            <w:r>
              <w:rPr>
                <w:sz w:val="20"/>
                <w:szCs w:val="20"/>
              </w:rPr>
              <w:t>1</w:t>
            </w:r>
          </w:p>
        </w:tc>
        <w:tc>
          <w:tcPr>
            <w:tcW w:w="1094" w:type="dxa"/>
          </w:tcPr>
          <w:p w:rsidR="009971ED" w:rsidRPr="00BB7053" w:rsidP="009971ED" w14:paraId="4D00AFD8" w14:textId="1D60FE14">
            <w:pPr>
              <w:tabs>
                <w:tab w:val="left" w:pos="6030"/>
              </w:tabs>
              <w:spacing w:line="276" w:lineRule="auto"/>
              <w:jc w:val="right"/>
              <w:rPr>
                <w:sz w:val="20"/>
                <w:szCs w:val="20"/>
              </w:rPr>
            </w:pPr>
            <w:r>
              <w:rPr>
                <w:sz w:val="20"/>
                <w:szCs w:val="20"/>
              </w:rPr>
              <w:t>25,990</w:t>
            </w:r>
          </w:p>
        </w:tc>
        <w:tc>
          <w:tcPr>
            <w:tcW w:w="1017" w:type="dxa"/>
          </w:tcPr>
          <w:p w:rsidR="009971ED" w:rsidRPr="00BB7053" w:rsidP="009971ED" w14:paraId="2E66CFBB" w14:textId="2E269866">
            <w:pPr>
              <w:tabs>
                <w:tab w:val="left" w:pos="6030"/>
              </w:tabs>
              <w:spacing w:line="276" w:lineRule="auto"/>
              <w:jc w:val="right"/>
              <w:rPr>
                <w:sz w:val="20"/>
                <w:szCs w:val="20"/>
              </w:rPr>
            </w:pPr>
            <w:r>
              <w:rPr>
                <w:sz w:val="20"/>
                <w:szCs w:val="20"/>
              </w:rPr>
              <w:t>2.</w:t>
            </w:r>
            <w:r w:rsidR="003B7F4A">
              <w:rPr>
                <w:sz w:val="20"/>
                <w:szCs w:val="20"/>
              </w:rPr>
              <w:t>7</w:t>
            </w:r>
            <w:r w:rsidR="00BC76D3">
              <w:rPr>
                <w:sz w:val="20"/>
                <w:szCs w:val="20"/>
              </w:rPr>
              <w:t>0</w:t>
            </w:r>
          </w:p>
        </w:tc>
        <w:tc>
          <w:tcPr>
            <w:tcW w:w="1166" w:type="dxa"/>
          </w:tcPr>
          <w:p w:rsidR="009971ED" w:rsidRPr="00BB7053" w:rsidP="009971ED" w14:paraId="393BFFBE" w14:textId="2D0013CB">
            <w:pPr>
              <w:tabs>
                <w:tab w:val="left" w:pos="6030"/>
              </w:tabs>
              <w:spacing w:line="276" w:lineRule="auto"/>
              <w:jc w:val="right"/>
              <w:rPr>
                <w:sz w:val="20"/>
                <w:szCs w:val="20"/>
              </w:rPr>
            </w:pPr>
            <w:r>
              <w:rPr>
                <w:sz w:val="20"/>
                <w:szCs w:val="20"/>
              </w:rPr>
              <w:t>70,173</w:t>
            </w:r>
          </w:p>
        </w:tc>
        <w:tc>
          <w:tcPr>
            <w:tcW w:w="783" w:type="dxa"/>
          </w:tcPr>
          <w:p w:rsidR="009971ED" w:rsidRPr="00BB7053" w:rsidP="009971ED" w14:paraId="4DCEE873" w14:textId="1F1D5F69">
            <w:pPr>
              <w:tabs>
                <w:tab w:val="left" w:pos="6030"/>
              </w:tabs>
              <w:spacing w:line="276" w:lineRule="auto"/>
              <w:jc w:val="right"/>
              <w:rPr>
                <w:sz w:val="20"/>
                <w:szCs w:val="20"/>
              </w:rPr>
            </w:pPr>
            <w:r>
              <w:rPr>
                <w:sz w:val="20"/>
                <w:szCs w:val="20"/>
              </w:rPr>
              <w:t>103.40</w:t>
            </w:r>
          </w:p>
        </w:tc>
        <w:tc>
          <w:tcPr>
            <w:tcW w:w="1984" w:type="dxa"/>
          </w:tcPr>
          <w:p w:rsidR="009971ED" w:rsidRPr="00BB7053" w:rsidP="009971ED" w14:paraId="15B8681C" w14:textId="77041401">
            <w:pPr>
              <w:tabs>
                <w:tab w:val="left" w:pos="6030"/>
              </w:tabs>
              <w:spacing w:line="276" w:lineRule="auto"/>
              <w:jc w:val="right"/>
              <w:rPr>
                <w:sz w:val="20"/>
                <w:szCs w:val="20"/>
              </w:rPr>
            </w:pPr>
            <w:r>
              <w:rPr>
                <w:sz w:val="20"/>
                <w:szCs w:val="20"/>
              </w:rPr>
              <w:t>7,255,888</w:t>
            </w:r>
          </w:p>
        </w:tc>
      </w:tr>
      <w:tr w14:paraId="27D1DA06" w14:textId="77777777" w:rsidTr="003830B0">
        <w:tblPrEx>
          <w:tblW w:w="9715" w:type="dxa"/>
          <w:tblLayout w:type="fixed"/>
          <w:tblLook w:val="04A0"/>
        </w:tblPrEx>
        <w:tc>
          <w:tcPr>
            <w:tcW w:w="1238" w:type="dxa"/>
            <w:shd w:val="clear" w:color="auto" w:fill="D9D9D9" w:themeFill="background1" w:themeFillShade="D9"/>
          </w:tcPr>
          <w:p w:rsidR="009971ED" w:rsidRPr="00BB7053" w:rsidP="009971ED" w14:paraId="3E179C9F" w14:textId="156B9761">
            <w:pPr>
              <w:tabs>
                <w:tab w:val="left" w:pos="6030"/>
              </w:tabs>
              <w:spacing w:line="276" w:lineRule="auto"/>
              <w:jc w:val="both"/>
              <w:rPr>
                <w:sz w:val="20"/>
                <w:szCs w:val="20"/>
              </w:rPr>
            </w:pPr>
            <w:r>
              <w:rPr>
                <w:sz w:val="20"/>
                <w:szCs w:val="20"/>
              </w:rPr>
              <w:t>Adjustment</w:t>
            </w:r>
            <w:r w:rsidR="00B42D7E">
              <w:rPr>
                <w:sz w:val="20"/>
                <w:szCs w:val="20"/>
              </w:rPr>
              <w:t xml:space="preserve"> </w:t>
            </w:r>
          </w:p>
        </w:tc>
        <w:tc>
          <w:tcPr>
            <w:tcW w:w="1306" w:type="dxa"/>
            <w:shd w:val="clear" w:color="auto" w:fill="D9D9D9" w:themeFill="background1" w:themeFillShade="D9"/>
          </w:tcPr>
          <w:p w:rsidR="009971ED" w:rsidRPr="00BB7053" w:rsidP="009971ED" w14:paraId="2AE05C13" w14:textId="72807295">
            <w:pPr>
              <w:tabs>
                <w:tab w:val="left" w:pos="6030"/>
              </w:tabs>
              <w:spacing w:line="276" w:lineRule="auto"/>
              <w:jc w:val="right"/>
              <w:rPr>
                <w:sz w:val="20"/>
                <w:szCs w:val="20"/>
              </w:rPr>
            </w:pPr>
            <w:r>
              <w:rPr>
                <w:sz w:val="20"/>
                <w:szCs w:val="20"/>
              </w:rPr>
              <w:t>-4,117</w:t>
            </w:r>
          </w:p>
        </w:tc>
        <w:tc>
          <w:tcPr>
            <w:tcW w:w="1127" w:type="dxa"/>
            <w:shd w:val="clear" w:color="auto" w:fill="D9D9D9" w:themeFill="background1" w:themeFillShade="D9"/>
          </w:tcPr>
          <w:p w:rsidR="009971ED" w:rsidRPr="00BB7053" w:rsidP="009971ED" w14:paraId="7C391659" w14:textId="34472E78">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9971ED" w:rsidRPr="00BB7053" w:rsidP="009971ED" w14:paraId="351B3F2E" w14:textId="44B8A083">
            <w:pPr>
              <w:tabs>
                <w:tab w:val="left" w:pos="6030"/>
              </w:tabs>
              <w:spacing w:line="276" w:lineRule="auto"/>
              <w:jc w:val="right"/>
              <w:rPr>
                <w:sz w:val="20"/>
                <w:szCs w:val="20"/>
              </w:rPr>
            </w:pPr>
            <w:r>
              <w:rPr>
                <w:sz w:val="20"/>
                <w:szCs w:val="20"/>
              </w:rPr>
              <w:t>-4,117</w:t>
            </w:r>
          </w:p>
        </w:tc>
        <w:tc>
          <w:tcPr>
            <w:tcW w:w="1017" w:type="dxa"/>
            <w:shd w:val="clear" w:color="auto" w:fill="D9D9D9" w:themeFill="background1" w:themeFillShade="D9"/>
          </w:tcPr>
          <w:p w:rsidR="009971ED" w:rsidRPr="00BB7053" w:rsidP="003D29BA" w14:paraId="7153A272" w14:textId="3A89FB07">
            <w:pPr>
              <w:tabs>
                <w:tab w:val="left" w:pos="6030"/>
              </w:tabs>
              <w:spacing w:line="276" w:lineRule="auto"/>
              <w:rPr>
                <w:sz w:val="20"/>
                <w:szCs w:val="20"/>
              </w:rPr>
            </w:pPr>
            <w:r>
              <w:rPr>
                <w:sz w:val="20"/>
                <w:szCs w:val="20"/>
              </w:rPr>
              <w:t>No change</w:t>
            </w:r>
          </w:p>
        </w:tc>
        <w:tc>
          <w:tcPr>
            <w:tcW w:w="1166" w:type="dxa"/>
            <w:shd w:val="clear" w:color="auto" w:fill="D9D9D9" w:themeFill="background1" w:themeFillShade="D9"/>
          </w:tcPr>
          <w:p w:rsidR="009971ED" w:rsidRPr="00BB7053" w:rsidP="009971ED" w14:paraId="308BEE58" w14:textId="79F28818">
            <w:pPr>
              <w:tabs>
                <w:tab w:val="left" w:pos="6030"/>
              </w:tabs>
              <w:spacing w:line="276" w:lineRule="auto"/>
              <w:jc w:val="right"/>
              <w:rPr>
                <w:sz w:val="20"/>
                <w:szCs w:val="20"/>
              </w:rPr>
            </w:pPr>
            <w:r>
              <w:rPr>
                <w:sz w:val="20"/>
                <w:szCs w:val="20"/>
              </w:rPr>
              <w:t>-11,116</w:t>
            </w:r>
          </w:p>
        </w:tc>
        <w:tc>
          <w:tcPr>
            <w:tcW w:w="783" w:type="dxa"/>
            <w:shd w:val="clear" w:color="auto" w:fill="D9D9D9" w:themeFill="background1" w:themeFillShade="D9"/>
          </w:tcPr>
          <w:p w:rsidR="009971ED" w:rsidRPr="00BB7053" w:rsidP="009971ED" w14:paraId="0343746C" w14:textId="1E9EC20F">
            <w:pPr>
              <w:tabs>
                <w:tab w:val="left" w:pos="6030"/>
              </w:tabs>
              <w:spacing w:line="276" w:lineRule="auto"/>
              <w:jc w:val="right"/>
              <w:rPr>
                <w:sz w:val="20"/>
                <w:szCs w:val="20"/>
              </w:rPr>
            </w:pPr>
            <w:r>
              <w:rPr>
                <w:sz w:val="20"/>
                <w:szCs w:val="20"/>
              </w:rPr>
              <w:t>No change</w:t>
            </w:r>
          </w:p>
        </w:tc>
        <w:tc>
          <w:tcPr>
            <w:tcW w:w="1984" w:type="dxa"/>
            <w:shd w:val="clear" w:color="auto" w:fill="D9D9D9" w:themeFill="background1" w:themeFillShade="D9"/>
          </w:tcPr>
          <w:p w:rsidR="009971ED" w:rsidRPr="00BB7053" w:rsidP="009971ED" w14:paraId="4DD60D87" w14:textId="685BFDFF">
            <w:pPr>
              <w:tabs>
                <w:tab w:val="left" w:pos="6030"/>
              </w:tabs>
              <w:spacing w:line="276" w:lineRule="auto"/>
              <w:jc w:val="right"/>
              <w:rPr>
                <w:sz w:val="20"/>
                <w:szCs w:val="20"/>
              </w:rPr>
            </w:pPr>
            <w:r>
              <w:rPr>
                <w:sz w:val="20"/>
                <w:szCs w:val="20"/>
              </w:rPr>
              <w:t>-1,149,384</w:t>
            </w:r>
          </w:p>
        </w:tc>
      </w:tr>
    </w:tbl>
    <w:p w:rsidR="00885183" w:rsidRPr="00806F6A" w:rsidP="00806F6A" w14:paraId="24208E4C" w14:textId="4A317FEB">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80316C">
        <w:rPr>
          <w:rFonts w:eastAsia="Calibri"/>
          <w:b/>
          <w:bCs/>
        </w:rPr>
        <w:t>1Q</w:t>
      </w:r>
      <w:r w:rsidRPr="00B30713">
        <w:rPr>
          <w:rFonts w:eastAsia="Calibri"/>
          <w:b/>
          <w:bCs/>
        </w:rPr>
        <w:t xml:space="preserve">: Burden Reconciliation for </w:t>
      </w:r>
      <w:r w:rsidRPr="00E33A26" w:rsidR="00E33A26">
        <w:rPr>
          <w:rFonts w:eastAsia="Calibri"/>
          <w:b/>
          <w:bCs/>
        </w:rPr>
        <w:t>Call for Promoting Interoperability Measures</w:t>
      </w:r>
    </w:p>
    <w:tbl>
      <w:tblPr>
        <w:tblStyle w:val="TableGrid"/>
        <w:tblW w:w="9715" w:type="dxa"/>
        <w:tblLook w:val="04A0"/>
      </w:tblPr>
      <w:tblGrid>
        <w:gridCol w:w="1399"/>
        <w:gridCol w:w="1306"/>
        <w:gridCol w:w="1163"/>
        <w:gridCol w:w="1094"/>
        <w:gridCol w:w="1069"/>
        <w:gridCol w:w="1043"/>
        <w:gridCol w:w="1032"/>
        <w:gridCol w:w="1609"/>
      </w:tblGrid>
      <w:tr w14:paraId="13B05EB2" w14:textId="77777777" w:rsidTr="003830B0">
        <w:tblPrEx>
          <w:tblW w:w="9715" w:type="dxa"/>
          <w:tblLook w:val="04A0"/>
        </w:tblPrEx>
        <w:trPr>
          <w:tblHeader/>
        </w:trPr>
        <w:tc>
          <w:tcPr>
            <w:tcW w:w="1399" w:type="dxa"/>
          </w:tcPr>
          <w:p w:rsidR="00885183" w:rsidRPr="00173FA2" w:rsidP="00A56476" w14:paraId="0FFFCA3C"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A56476" w14:paraId="62FE245B" w14:textId="77777777">
            <w:pPr>
              <w:tabs>
                <w:tab w:val="left" w:pos="6030"/>
              </w:tabs>
              <w:spacing w:line="276" w:lineRule="auto"/>
              <w:jc w:val="both"/>
              <w:rPr>
                <w:b/>
                <w:bCs/>
                <w:sz w:val="20"/>
                <w:szCs w:val="20"/>
              </w:rPr>
            </w:pPr>
            <w:r w:rsidRPr="00173FA2">
              <w:rPr>
                <w:b/>
                <w:bCs/>
                <w:sz w:val="20"/>
                <w:szCs w:val="20"/>
              </w:rPr>
              <w:t>Total Annual Respondents</w:t>
            </w:r>
          </w:p>
        </w:tc>
        <w:tc>
          <w:tcPr>
            <w:tcW w:w="1163" w:type="dxa"/>
          </w:tcPr>
          <w:p w:rsidR="00885183" w:rsidRPr="00173FA2" w:rsidP="00A56476" w14:paraId="4AC5989D"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A56476" w14:paraId="197CABE9" w14:textId="77777777">
            <w:pPr>
              <w:tabs>
                <w:tab w:val="left" w:pos="6030"/>
              </w:tabs>
              <w:spacing w:line="276" w:lineRule="auto"/>
              <w:jc w:val="both"/>
              <w:rPr>
                <w:b/>
                <w:bCs/>
                <w:sz w:val="20"/>
                <w:szCs w:val="20"/>
              </w:rPr>
            </w:pPr>
            <w:r w:rsidRPr="00173FA2">
              <w:rPr>
                <w:b/>
                <w:bCs/>
                <w:sz w:val="20"/>
                <w:szCs w:val="20"/>
              </w:rPr>
              <w:t>Total Annual Responses</w:t>
            </w:r>
          </w:p>
        </w:tc>
        <w:tc>
          <w:tcPr>
            <w:tcW w:w="1069" w:type="dxa"/>
          </w:tcPr>
          <w:p w:rsidR="00885183" w:rsidRPr="00173FA2" w:rsidP="00A56476" w14:paraId="5EDBBA32" w14:textId="77777777">
            <w:pPr>
              <w:tabs>
                <w:tab w:val="left" w:pos="6030"/>
              </w:tabs>
              <w:spacing w:line="276" w:lineRule="auto"/>
              <w:rPr>
                <w:b/>
                <w:bCs/>
                <w:sz w:val="20"/>
                <w:szCs w:val="20"/>
              </w:rPr>
            </w:pPr>
            <w:r w:rsidRPr="00173FA2">
              <w:rPr>
                <w:b/>
                <w:bCs/>
                <w:sz w:val="20"/>
                <w:szCs w:val="20"/>
              </w:rPr>
              <w:t>Time Per Response (hr)</w:t>
            </w:r>
          </w:p>
        </w:tc>
        <w:tc>
          <w:tcPr>
            <w:tcW w:w="1043" w:type="dxa"/>
          </w:tcPr>
          <w:p w:rsidR="00885183" w:rsidRPr="00173FA2" w:rsidP="00A56476" w14:paraId="2E8304FB" w14:textId="77777777">
            <w:pPr>
              <w:tabs>
                <w:tab w:val="left" w:pos="6030"/>
              </w:tabs>
              <w:spacing w:line="276" w:lineRule="auto"/>
              <w:jc w:val="both"/>
              <w:rPr>
                <w:b/>
                <w:bCs/>
                <w:sz w:val="20"/>
                <w:szCs w:val="20"/>
              </w:rPr>
            </w:pPr>
            <w:r w:rsidRPr="00173FA2">
              <w:rPr>
                <w:b/>
                <w:bCs/>
                <w:sz w:val="20"/>
                <w:szCs w:val="20"/>
              </w:rPr>
              <w:t>Total Annual Time (hr)</w:t>
            </w:r>
          </w:p>
        </w:tc>
        <w:tc>
          <w:tcPr>
            <w:tcW w:w="1032" w:type="dxa"/>
          </w:tcPr>
          <w:p w:rsidR="00885183" w:rsidRPr="00173FA2" w:rsidP="00A56476" w14:paraId="7362CB7A" w14:textId="77777777">
            <w:pPr>
              <w:tabs>
                <w:tab w:val="left" w:pos="6030"/>
              </w:tabs>
              <w:spacing w:line="276" w:lineRule="auto"/>
              <w:jc w:val="both"/>
              <w:rPr>
                <w:b/>
                <w:bCs/>
                <w:sz w:val="20"/>
                <w:szCs w:val="20"/>
              </w:rPr>
            </w:pPr>
            <w:r w:rsidRPr="00173FA2">
              <w:rPr>
                <w:b/>
                <w:bCs/>
                <w:sz w:val="20"/>
                <w:szCs w:val="20"/>
              </w:rPr>
              <w:t>Labor Cost ($/hr)</w:t>
            </w:r>
          </w:p>
        </w:tc>
        <w:tc>
          <w:tcPr>
            <w:tcW w:w="1609" w:type="dxa"/>
          </w:tcPr>
          <w:p w:rsidR="00885183" w:rsidRPr="00173FA2" w:rsidP="00A56476" w14:paraId="3024ED4D" w14:textId="77777777">
            <w:pPr>
              <w:tabs>
                <w:tab w:val="left" w:pos="6030"/>
              </w:tabs>
              <w:spacing w:line="276" w:lineRule="auto"/>
              <w:rPr>
                <w:b/>
                <w:bCs/>
                <w:sz w:val="20"/>
                <w:szCs w:val="20"/>
              </w:rPr>
            </w:pPr>
            <w:r w:rsidRPr="00173FA2">
              <w:rPr>
                <w:b/>
                <w:bCs/>
                <w:sz w:val="20"/>
                <w:szCs w:val="20"/>
              </w:rPr>
              <w:t>Total Annual Cost ($)</w:t>
            </w:r>
          </w:p>
        </w:tc>
      </w:tr>
      <w:tr w14:paraId="0A446F48" w14:textId="77777777" w:rsidTr="003830B0">
        <w:tblPrEx>
          <w:tblW w:w="9715" w:type="dxa"/>
          <w:tblLook w:val="04A0"/>
        </w:tblPrEx>
        <w:tc>
          <w:tcPr>
            <w:tcW w:w="1399" w:type="dxa"/>
          </w:tcPr>
          <w:p w:rsidR="00DA7D22" w:rsidRPr="00BB7053" w:rsidP="00DA7D22" w14:paraId="702D7D39" w14:textId="3CED4670">
            <w:pPr>
              <w:tabs>
                <w:tab w:val="left" w:pos="6030"/>
              </w:tabs>
              <w:spacing w:line="276" w:lineRule="auto"/>
              <w:jc w:val="both"/>
              <w:rPr>
                <w:sz w:val="20"/>
                <w:szCs w:val="20"/>
              </w:rPr>
            </w:pPr>
            <w:r>
              <w:rPr>
                <w:sz w:val="20"/>
                <w:szCs w:val="20"/>
              </w:rPr>
              <w:t>Currently Approved</w:t>
            </w:r>
            <w:r w:rsidR="0047236F">
              <w:rPr>
                <w:sz w:val="20"/>
                <w:szCs w:val="20"/>
              </w:rPr>
              <w:t xml:space="preserve"> </w:t>
            </w:r>
          </w:p>
        </w:tc>
        <w:tc>
          <w:tcPr>
            <w:tcW w:w="1306" w:type="dxa"/>
          </w:tcPr>
          <w:p w:rsidR="00DA7D22" w:rsidRPr="00BB7053" w:rsidP="00DA7D22" w14:paraId="1C29D424" w14:textId="09BA2608">
            <w:pPr>
              <w:tabs>
                <w:tab w:val="left" w:pos="6030"/>
              </w:tabs>
              <w:spacing w:line="276" w:lineRule="auto"/>
              <w:jc w:val="right"/>
              <w:rPr>
                <w:sz w:val="20"/>
                <w:szCs w:val="20"/>
              </w:rPr>
            </w:pPr>
            <w:r>
              <w:rPr>
                <w:sz w:val="20"/>
                <w:szCs w:val="20"/>
              </w:rPr>
              <w:t>10</w:t>
            </w:r>
          </w:p>
        </w:tc>
        <w:tc>
          <w:tcPr>
            <w:tcW w:w="1163" w:type="dxa"/>
          </w:tcPr>
          <w:p w:rsidR="00DA7D22" w:rsidRPr="00BB7053" w:rsidP="00DA7D22" w14:paraId="0BBC3A3B" w14:textId="6C425119">
            <w:pPr>
              <w:tabs>
                <w:tab w:val="left" w:pos="6030"/>
              </w:tabs>
              <w:spacing w:line="276" w:lineRule="auto"/>
              <w:jc w:val="right"/>
              <w:rPr>
                <w:sz w:val="20"/>
                <w:szCs w:val="20"/>
              </w:rPr>
            </w:pPr>
            <w:r>
              <w:rPr>
                <w:sz w:val="20"/>
                <w:szCs w:val="20"/>
              </w:rPr>
              <w:t>1</w:t>
            </w:r>
          </w:p>
        </w:tc>
        <w:tc>
          <w:tcPr>
            <w:tcW w:w="1094" w:type="dxa"/>
          </w:tcPr>
          <w:p w:rsidR="00DA7D22" w:rsidRPr="00BB7053" w:rsidP="00DA7D22" w14:paraId="4F12920B" w14:textId="4CF93138">
            <w:pPr>
              <w:tabs>
                <w:tab w:val="left" w:pos="6030"/>
              </w:tabs>
              <w:spacing w:line="276" w:lineRule="auto"/>
              <w:jc w:val="right"/>
              <w:rPr>
                <w:sz w:val="20"/>
                <w:szCs w:val="20"/>
              </w:rPr>
            </w:pPr>
            <w:r>
              <w:rPr>
                <w:sz w:val="20"/>
                <w:szCs w:val="20"/>
              </w:rPr>
              <w:t>10</w:t>
            </w:r>
          </w:p>
        </w:tc>
        <w:tc>
          <w:tcPr>
            <w:tcW w:w="1069" w:type="dxa"/>
          </w:tcPr>
          <w:p w:rsidR="00DA7D22" w:rsidRPr="00BB7053" w:rsidP="00DA7D22" w14:paraId="16799B12" w14:textId="13AB1B08">
            <w:pPr>
              <w:tabs>
                <w:tab w:val="left" w:pos="6030"/>
              </w:tabs>
              <w:spacing w:line="276" w:lineRule="auto"/>
              <w:jc w:val="right"/>
              <w:rPr>
                <w:sz w:val="20"/>
                <w:szCs w:val="20"/>
              </w:rPr>
            </w:pPr>
            <w:r>
              <w:rPr>
                <w:sz w:val="20"/>
                <w:szCs w:val="20"/>
              </w:rPr>
              <w:t>0.5</w:t>
            </w:r>
          </w:p>
        </w:tc>
        <w:tc>
          <w:tcPr>
            <w:tcW w:w="1043" w:type="dxa"/>
          </w:tcPr>
          <w:p w:rsidR="00DA7D22" w:rsidRPr="00BB7053" w:rsidP="00DA7D22" w14:paraId="523ECAAB" w14:textId="677C6ED1">
            <w:pPr>
              <w:tabs>
                <w:tab w:val="left" w:pos="6030"/>
              </w:tabs>
              <w:spacing w:line="276" w:lineRule="auto"/>
              <w:jc w:val="right"/>
              <w:rPr>
                <w:sz w:val="20"/>
                <w:szCs w:val="20"/>
              </w:rPr>
            </w:pPr>
            <w:r>
              <w:rPr>
                <w:sz w:val="20"/>
                <w:szCs w:val="20"/>
              </w:rPr>
              <w:t>5</w:t>
            </w:r>
          </w:p>
        </w:tc>
        <w:tc>
          <w:tcPr>
            <w:tcW w:w="1032" w:type="dxa"/>
          </w:tcPr>
          <w:p w:rsidR="00DA7D22" w:rsidRPr="00BB7053" w:rsidP="00DA7D22" w14:paraId="4DF1E6C0" w14:textId="3AD8F2D9">
            <w:pPr>
              <w:tabs>
                <w:tab w:val="left" w:pos="6030"/>
              </w:tabs>
              <w:spacing w:line="276" w:lineRule="auto"/>
              <w:jc w:val="right"/>
              <w:rPr>
                <w:sz w:val="20"/>
                <w:szCs w:val="20"/>
              </w:rPr>
            </w:pPr>
            <w:r>
              <w:rPr>
                <w:sz w:val="20"/>
                <w:szCs w:val="20"/>
              </w:rPr>
              <w:t>Varies</w:t>
            </w:r>
          </w:p>
        </w:tc>
        <w:tc>
          <w:tcPr>
            <w:tcW w:w="1609" w:type="dxa"/>
          </w:tcPr>
          <w:p w:rsidR="00DA7D22" w:rsidRPr="00BB7053" w:rsidP="00DA7D22" w14:paraId="542E2B6A" w14:textId="68052E70">
            <w:pPr>
              <w:tabs>
                <w:tab w:val="left" w:pos="6030"/>
              </w:tabs>
              <w:spacing w:line="276" w:lineRule="auto"/>
              <w:jc w:val="right"/>
              <w:rPr>
                <w:sz w:val="20"/>
                <w:szCs w:val="20"/>
              </w:rPr>
            </w:pPr>
            <w:r>
              <w:rPr>
                <w:sz w:val="20"/>
                <w:szCs w:val="20"/>
              </w:rPr>
              <w:t>918</w:t>
            </w:r>
          </w:p>
        </w:tc>
      </w:tr>
      <w:tr w14:paraId="45C8DD9E" w14:textId="77777777" w:rsidTr="003830B0">
        <w:tblPrEx>
          <w:tblW w:w="9715" w:type="dxa"/>
          <w:tblLook w:val="04A0"/>
        </w:tblPrEx>
        <w:tc>
          <w:tcPr>
            <w:tcW w:w="1399" w:type="dxa"/>
          </w:tcPr>
          <w:p w:rsidR="00DA7D22" w:rsidRPr="00BB7053" w:rsidP="00192E2E" w14:paraId="7E6DD49A" w14:textId="2C2C1474">
            <w:pPr>
              <w:tabs>
                <w:tab w:val="left" w:pos="6030"/>
              </w:tabs>
              <w:spacing w:line="276" w:lineRule="auto"/>
              <w:rPr>
                <w:sz w:val="20"/>
                <w:szCs w:val="20"/>
              </w:rPr>
            </w:pPr>
            <w:r>
              <w:rPr>
                <w:sz w:val="20"/>
                <w:szCs w:val="20"/>
              </w:rPr>
              <w:t>Finaliz</w:t>
            </w:r>
            <w:r w:rsidR="00195D1A">
              <w:rPr>
                <w:sz w:val="20"/>
                <w:szCs w:val="20"/>
              </w:rPr>
              <w:t>ed</w:t>
            </w:r>
            <w:r w:rsidR="00224BBB">
              <w:rPr>
                <w:sz w:val="20"/>
                <w:szCs w:val="20"/>
              </w:rPr>
              <w:t xml:space="preserve"> </w:t>
            </w:r>
            <w:r w:rsidRPr="00A67FD9" w:rsidR="00A67FD9">
              <w:rPr>
                <w:sz w:val="20"/>
                <w:szCs w:val="20"/>
              </w:rPr>
              <w:t xml:space="preserve">(See Table </w:t>
            </w:r>
            <w:r w:rsidR="0080316C">
              <w:rPr>
                <w:sz w:val="20"/>
                <w:szCs w:val="20"/>
              </w:rPr>
              <w:t>20</w:t>
            </w:r>
            <w:r w:rsidRPr="00A67FD9" w:rsidR="00A67FD9">
              <w:rPr>
                <w:sz w:val="20"/>
                <w:szCs w:val="20"/>
              </w:rPr>
              <w:t>)</w:t>
            </w:r>
          </w:p>
        </w:tc>
        <w:tc>
          <w:tcPr>
            <w:tcW w:w="1306" w:type="dxa"/>
          </w:tcPr>
          <w:p w:rsidR="00DA7D22" w:rsidRPr="00BB7053" w:rsidP="00DA7D22" w14:paraId="568201AB" w14:textId="019F510C">
            <w:pPr>
              <w:tabs>
                <w:tab w:val="left" w:pos="6030"/>
              </w:tabs>
              <w:spacing w:line="276" w:lineRule="auto"/>
              <w:jc w:val="right"/>
              <w:rPr>
                <w:sz w:val="20"/>
                <w:szCs w:val="20"/>
              </w:rPr>
            </w:pPr>
            <w:r>
              <w:rPr>
                <w:sz w:val="20"/>
                <w:szCs w:val="20"/>
              </w:rPr>
              <w:t>0</w:t>
            </w:r>
          </w:p>
        </w:tc>
        <w:tc>
          <w:tcPr>
            <w:tcW w:w="1163" w:type="dxa"/>
          </w:tcPr>
          <w:p w:rsidR="00DA7D22" w:rsidRPr="00BB7053" w:rsidP="00DA7D22" w14:paraId="5486E259" w14:textId="57F4E15F">
            <w:pPr>
              <w:tabs>
                <w:tab w:val="left" w:pos="6030"/>
              </w:tabs>
              <w:spacing w:line="276" w:lineRule="auto"/>
              <w:jc w:val="right"/>
              <w:rPr>
                <w:sz w:val="20"/>
                <w:szCs w:val="20"/>
              </w:rPr>
            </w:pPr>
            <w:r>
              <w:rPr>
                <w:sz w:val="20"/>
                <w:szCs w:val="20"/>
              </w:rPr>
              <w:t>n/a</w:t>
            </w:r>
          </w:p>
        </w:tc>
        <w:tc>
          <w:tcPr>
            <w:tcW w:w="1094" w:type="dxa"/>
          </w:tcPr>
          <w:p w:rsidR="00DA7D22" w:rsidRPr="00BB7053" w:rsidP="00DA7D22" w14:paraId="55A65961" w14:textId="068A0B87">
            <w:pPr>
              <w:tabs>
                <w:tab w:val="left" w:pos="6030"/>
              </w:tabs>
              <w:spacing w:line="276" w:lineRule="auto"/>
              <w:jc w:val="right"/>
              <w:rPr>
                <w:sz w:val="20"/>
                <w:szCs w:val="20"/>
              </w:rPr>
            </w:pPr>
            <w:r>
              <w:rPr>
                <w:sz w:val="20"/>
                <w:szCs w:val="20"/>
              </w:rPr>
              <w:t>10</w:t>
            </w:r>
          </w:p>
        </w:tc>
        <w:tc>
          <w:tcPr>
            <w:tcW w:w="1069" w:type="dxa"/>
          </w:tcPr>
          <w:p w:rsidR="00DA7D22" w:rsidRPr="00BB7053" w:rsidP="00DA7D22" w14:paraId="69BFD167" w14:textId="6876D333">
            <w:pPr>
              <w:tabs>
                <w:tab w:val="left" w:pos="6030"/>
              </w:tabs>
              <w:spacing w:line="276" w:lineRule="auto"/>
              <w:jc w:val="right"/>
              <w:rPr>
                <w:sz w:val="20"/>
                <w:szCs w:val="20"/>
              </w:rPr>
            </w:pPr>
            <w:r>
              <w:rPr>
                <w:sz w:val="20"/>
                <w:szCs w:val="20"/>
              </w:rPr>
              <w:t>n/a</w:t>
            </w:r>
          </w:p>
        </w:tc>
        <w:tc>
          <w:tcPr>
            <w:tcW w:w="1043" w:type="dxa"/>
          </w:tcPr>
          <w:p w:rsidR="00DA7D22" w:rsidRPr="00BB7053" w:rsidP="00DA7D22" w14:paraId="7ED13D39" w14:textId="31914117">
            <w:pPr>
              <w:tabs>
                <w:tab w:val="left" w:pos="6030"/>
              </w:tabs>
              <w:spacing w:line="276" w:lineRule="auto"/>
              <w:jc w:val="right"/>
              <w:rPr>
                <w:sz w:val="20"/>
                <w:szCs w:val="20"/>
              </w:rPr>
            </w:pPr>
            <w:r>
              <w:rPr>
                <w:sz w:val="20"/>
                <w:szCs w:val="20"/>
              </w:rPr>
              <w:t>0</w:t>
            </w:r>
          </w:p>
        </w:tc>
        <w:tc>
          <w:tcPr>
            <w:tcW w:w="1032" w:type="dxa"/>
          </w:tcPr>
          <w:p w:rsidR="00DA7D22" w:rsidRPr="00BB7053" w:rsidP="00DA7D22" w14:paraId="3C26A79F" w14:textId="2C7AE8F9">
            <w:pPr>
              <w:tabs>
                <w:tab w:val="left" w:pos="6030"/>
              </w:tabs>
              <w:spacing w:line="276" w:lineRule="auto"/>
              <w:jc w:val="right"/>
              <w:rPr>
                <w:sz w:val="20"/>
                <w:szCs w:val="20"/>
              </w:rPr>
            </w:pPr>
            <w:r>
              <w:rPr>
                <w:sz w:val="20"/>
                <w:szCs w:val="20"/>
              </w:rPr>
              <w:t>n/a</w:t>
            </w:r>
          </w:p>
        </w:tc>
        <w:tc>
          <w:tcPr>
            <w:tcW w:w="1609" w:type="dxa"/>
          </w:tcPr>
          <w:p w:rsidR="00DA7D22" w:rsidRPr="00BB7053" w:rsidP="00DA7D22" w14:paraId="31F9589A" w14:textId="0248553A">
            <w:pPr>
              <w:tabs>
                <w:tab w:val="left" w:pos="6030"/>
              </w:tabs>
              <w:spacing w:line="276" w:lineRule="auto"/>
              <w:jc w:val="right"/>
              <w:rPr>
                <w:sz w:val="20"/>
                <w:szCs w:val="20"/>
              </w:rPr>
            </w:pPr>
            <w:r>
              <w:rPr>
                <w:sz w:val="20"/>
                <w:szCs w:val="20"/>
              </w:rPr>
              <w:t>0</w:t>
            </w:r>
          </w:p>
        </w:tc>
      </w:tr>
      <w:tr w14:paraId="3C72D000" w14:textId="77777777" w:rsidTr="003830B0">
        <w:tblPrEx>
          <w:tblW w:w="9715" w:type="dxa"/>
          <w:tblLook w:val="04A0"/>
        </w:tblPrEx>
        <w:tc>
          <w:tcPr>
            <w:tcW w:w="1399" w:type="dxa"/>
            <w:shd w:val="clear" w:color="auto" w:fill="D9D9D9" w:themeFill="background1" w:themeFillShade="D9"/>
          </w:tcPr>
          <w:p w:rsidR="00DA7D22" w:rsidRPr="00BB7053" w:rsidP="00DA7D22" w14:paraId="45EACFC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DA7D22" w:rsidRPr="00BB7053" w:rsidP="00DA7D22" w14:paraId="5C32469B" w14:textId="2BFA5176">
            <w:pPr>
              <w:tabs>
                <w:tab w:val="left" w:pos="6030"/>
              </w:tabs>
              <w:spacing w:line="276" w:lineRule="auto"/>
              <w:jc w:val="right"/>
              <w:rPr>
                <w:sz w:val="20"/>
                <w:szCs w:val="20"/>
              </w:rPr>
            </w:pPr>
            <w:r>
              <w:rPr>
                <w:sz w:val="20"/>
                <w:szCs w:val="20"/>
              </w:rPr>
              <w:t>-10</w:t>
            </w:r>
          </w:p>
        </w:tc>
        <w:tc>
          <w:tcPr>
            <w:tcW w:w="1163" w:type="dxa"/>
            <w:shd w:val="clear" w:color="auto" w:fill="D9D9D9" w:themeFill="background1" w:themeFillShade="D9"/>
          </w:tcPr>
          <w:p w:rsidR="00DA7D22" w:rsidRPr="00BB7053" w:rsidP="00DA7D22" w14:paraId="0FCB9A6D" w14:textId="3D13E8F9">
            <w:pPr>
              <w:tabs>
                <w:tab w:val="left" w:pos="6030"/>
              </w:tabs>
              <w:spacing w:line="276" w:lineRule="auto"/>
              <w:jc w:val="right"/>
              <w:rPr>
                <w:sz w:val="20"/>
                <w:szCs w:val="20"/>
              </w:rPr>
            </w:pPr>
            <w:r>
              <w:rPr>
                <w:sz w:val="20"/>
                <w:szCs w:val="20"/>
              </w:rPr>
              <w:t>n/a</w:t>
            </w:r>
          </w:p>
        </w:tc>
        <w:tc>
          <w:tcPr>
            <w:tcW w:w="1094" w:type="dxa"/>
            <w:shd w:val="clear" w:color="auto" w:fill="D9D9D9" w:themeFill="background1" w:themeFillShade="D9"/>
          </w:tcPr>
          <w:p w:rsidR="00DA7D22" w:rsidRPr="00BB7053" w:rsidP="00DA7D22" w14:paraId="10F01394" w14:textId="3FDD5F6A">
            <w:pPr>
              <w:tabs>
                <w:tab w:val="left" w:pos="6030"/>
              </w:tabs>
              <w:spacing w:line="276" w:lineRule="auto"/>
              <w:jc w:val="right"/>
              <w:rPr>
                <w:sz w:val="20"/>
                <w:szCs w:val="20"/>
              </w:rPr>
            </w:pPr>
            <w:r>
              <w:rPr>
                <w:sz w:val="20"/>
                <w:szCs w:val="20"/>
              </w:rPr>
              <w:t>-10</w:t>
            </w:r>
          </w:p>
        </w:tc>
        <w:tc>
          <w:tcPr>
            <w:tcW w:w="1069" w:type="dxa"/>
            <w:shd w:val="clear" w:color="auto" w:fill="D9D9D9" w:themeFill="background1" w:themeFillShade="D9"/>
          </w:tcPr>
          <w:p w:rsidR="00DA7D22" w:rsidRPr="00BB7053" w:rsidP="00DA7D22" w14:paraId="652BCF48" w14:textId="2AA23FDF">
            <w:pPr>
              <w:tabs>
                <w:tab w:val="left" w:pos="6030"/>
              </w:tabs>
              <w:spacing w:line="276" w:lineRule="auto"/>
              <w:jc w:val="right"/>
              <w:rPr>
                <w:sz w:val="20"/>
                <w:szCs w:val="20"/>
              </w:rPr>
            </w:pPr>
            <w:r>
              <w:rPr>
                <w:sz w:val="20"/>
                <w:szCs w:val="20"/>
              </w:rPr>
              <w:t>n/a</w:t>
            </w:r>
          </w:p>
        </w:tc>
        <w:tc>
          <w:tcPr>
            <w:tcW w:w="1043" w:type="dxa"/>
            <w:shd w:val="clear" w:color="auto" w:fill="D9D9D9" w:themeFill="background1" w:themeFillShade="D9"/>
          </w:tcPr>
          <w:p w:rsidR="00DA7D22" w:rsidRPr="00BB7053" w:rsidP="00DA7D22" w14:paraId="5CBBF80A" w14:textId="2D792A1A">
            <w:pPr>
              <w:tabs>
                <w:tab w:val="left" w:pos="6030"/>
              </w:tabs>
              <w:spacing w:line="276" w:lineRule="auto"/>
              <w:jc w:val="right"/>
              <w:rPr>
                <w:sz w:val="20"/>
                <w:szCs w:val="20"/>
              </w:rPr>
            </w:pPr>
            <w:r>
              <w:rPr>
                <w:sz w:val="20"/>
                <w:szCs w:val="20"/>
              </w:rPr>
              <w:t>-5</w:t>
            </w:r>
          </w:p>
        </w:tc>
        <w:tc>
          <w:tcPr>
            <w:tcW w:w="1032" w:type="dxa"/>
            <w:shd w:val="clear" w:color="auto" w:fill="D9D9D9" w:themeFill="background1" w:themeFillShade="D9"/>
          </w:tcPr>
          <w:p w:rsidR="00DA7D22" w:rsidRPr="00BB7053" w:rsidP="00DA7D22" w14:paraId="32276D47" w14:textId="1C50E3FD">
            <w:pPr>
              <w:tabs>
                <w:tab w:val="left" w:pos="6030"/>
              </w:tabs>
              <w:spacing w:line="276" w:lineRule="auto"/>
              <w:jc w:val="right"/>
              <w:rPr>
                <w:sz w:val="20"/>
                <w:szCs w:val="20"/>
              </w:rPr>
            </w:pPr>
            <w:r>
              <w:rPr>
                <w:sz w:val="20"/>
                <w:szCs w:val="20"/>
              </w:rPr>
              <w:t>n/a</w:t>
            </w:r>
          </w:p>
        </w:tc>
        <w:tc>
          <w:tcPr>
            <w:tcW w:w="1609" w:type="dxa"/>
            <w:shd w:val="clear" w:color="auto" w:fill="D9D9D9" w:themeFill="background1" w:themeFillShade="D9"/>
          </w:tcPr>
          <w:p w:rsidR="00DA7D22" w:rsidRPr="00BB7053" w:rsidP="00DA7D22" w14:paraId="2D9807DF" w14:textId="664731C1">
            <w:pPr>
              <w:tabs>
                <w:tab w:val="left" w:pos="6030"/>
              </w:tabs>
              <w:spacing w:line="276" w:lineRule="auto"/>
              <w:jc w:val="right"/>
              <w:rPr>
                <w:sz w:val="20"/>
                <w:szCs w:val="20"/>
              </w:rPr>
            </w:pPr>
            <w:r>
              <w:rPr>
                <w:sz w:val="20"/>
                <w:szCs w:val="20"/>
              </w:rPr>
              <w:t>-918</w:t>
            </w:r>
          </w:p>
        </w:tc>
      </w:tr>
    </w:tbl>
    <w:p w:rsidR="00806F6A" w14:paraId="0B085D72" w14:textId="77777777">
      <w:pPr>
        <w:rPr>
          <w:rFonts w:eastAsia="Calibri"/>
          <w:b/>
          <w:bCs/>
        </w:rPr>
      </w:pPr>
      <w:r>
        <w:rPr>
          <w:rFonts w:eastAsia="Calibri"/>
          <w:b/>
          <w:bCs/>
        </w:rPr>
        <w:br w:type="page"/>
      </w:r>
    </w:p>
    <w:p w:rsidR="00885183" w:rsidP="00BC3C0D" w14:paraId="46143B43" w14:textId="544CB8F1">
      <w:pPr>
        <w:keepNext/>
        <w:keepLines/>
        <w:jc w:val="center"/>
        <w:rPr>
          <w:b/>
          <w:bCs/>
        </w:rPr>
      </w:pPr>
      <w:r w:rsidRPr="00B30713">
        <w:rPr>
          <w:rFonts w:eastAsia="Calibri"/>
          <w:b/>
          <w:bCs/>
        </w:rPr>
        <w:t xml:space="preserve">TABLE </w:t>
      </w:r>
      <w:r w:rsidR="00C1361E">
        <w:rPr>
          <w:rFonts w:eastAsia="Calibri"/>
          <w:b/>
          <w:bCs/>
        </w:rPr>
        <w:t>3</w:t>
      </w:r>
      <w:r w:rsidR="00B66E7D">
        <w:rPr>
          <w:rFonts w:eastAsia="Calibri"/>
          <w:b/>
          <w:bCs/>
        </w:rPr>
        <w:t>1R</w:t>
      </w:r>
      <w:r w:rsidRPr="00B30713">
        <w:rPr>
          <w:rFonts w:eastAsia="Calibri"/>
          <w:b/>
          <w:bCs/>
        </w:rPr>
        <w:t xml:space="preserve">: Burden Reconciliation for </w:t>
      </w:r>
      <w:r w:rsidRPr="00BD3CDF" w:rsidR="00BD3CDF">
        <w:rPr>
          <w:rFonts w:eastAsia="Calibri"/>
          <w:b/>
          <w:bCs/>
        </w:rPr>
        <w:t>Improvement Activities Submission</w:t>
      </w:r>
    </w:p>
    <w:tbl>
      <w:tblPr>
        <w:tblStyle w:val="TableGrid"/>
        <w:tblW w:w="9715" w:type="dxa"/>
        <w:tblLook w:val="04A0"/>
      </w:tblPr>
      <w:tblGrid>
        <w:gridCol w:w="1398"/>
        <w:gridCol w:w="1392"/>
        <w:gridCol w:w="1127"/>
        <w:gridCol w:w="1346"/>
        <w:gridCol w:w="1017"/>
        <w:gridCol w:w="1058"/>
        <w:gridCol w:w="965"/>
        <w:gridCol w:w="1412"/>
      </w:tblGrid>
      <w:tr w14:paraId="1554655C" w14:textId="77777777" w:rsidTr="003830B0">
        <w:tblPrEx>
          <w:tblW w:w="9715" w:type="dxa"/>
          <w:tblLook w:val="04A0"/>
        </w:tblPrEx>
        <w:trPr>
          <w:tblHeader/>
        </w:trPr>
        <w:tc>
          <w:tcPr>
            <w:tcW w:w="1398" w:type="dxa"/>
          </w:tcPr>
          <w:p w:rsidR="00885183" w:rsidRPr="00173FA2" w:rsidP="00BC3C0D" w14:paraId="1132646A"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92" w:type="dxa"/>
          </w:tcPr>
          <w:p w:rsidR="00885183" w:rsidRPr="00173FA2" w:rsidP="00BC3C0D" w14:paraId="5542FFA3"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27" w:type="dxa"/>
          </w:tcPr>
          <w:p w:rsidR="00885183" w:rsidRPr="00173FA2" w:rsidP="00BC3C0D" w14:paraId="0655F4D9"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346" w:type="dxa"/>
          </w:tcPr>
          <w:p w:rsidR="00885183" w:rsidRPr="00173FA2" w:rsidP="00BC3C0D" w14:paraId="2A9EDA23"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17" w:type="dxa"/>
          </w:tcPr>
          <w:p w:rsidR="00885183" w:rsidRPr="00173FA2" w:rsidP="00BC3C0D" w14:paraId="2B233820" w14:textId="77777777">
            <w:pPr>
              <w:keepNext/>
              <w:keepLines/>
              <w:tabs>
                <w:tab w:val="left" w:pos="6030"/>
              </w:tabs>
              <w:spacing w:line="276" w:lineRule="auto"/>
              <w:rPr>
                <w:b/>
                <w:bCs/>
                <w:sz w:val="20"/>
                <w:szCs w:val="20"/>
              </w:rPr>
            </w:pPr>
            <w:r w:rsidRPr="00173FA2">
              <w:rPr>
                <w:b/>
                <w:bCs/>
                <w:sz w:val="20"/>
                <w:szCs w:val="20"/>
              </w:rPr>
              <w:t>Time Per Response (hr)</w:t>
            </w:r>
          </w:p>
        </w:tc>
        <w:tc>
          <w:tcPr>
            <w:tcW w:w="1058" w:type="dxa"/>
          </w:tcPr>
          <w:p w:rsidR="00885183" w:rsidRPr="00173FA2" w:rsidP="00BC3C0D" w14:paraId="012CDB13"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965" w:type="dxa"/>
          </w:tcPr>
          <w:p w:rsidR="00885183" w:rsidRPr="00173FA2" w:rsidP="00BC3C0D" w14:paraId="30DD2B44"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412" w:type="dxa"/>
          </w:tcPr>
          <w:p w:rsidR="00885183" w:rsidRPr="00173FA2" w:rsidP="00BC3C0D" w14:paraId="2FD18E7F" w14:textId="77777777">
            <w:pPr>
              <w:keepNext/>
              <w:keepLines/>
              <w:tabs>
                <w:tab w:val="left" w:pos="6030"/>
              </w:tabs>
              <w:spacing w:line="276" w:lineRule="auto"/>
              <w:rPr>
                <w:b/>
                <w:bCs/>
                <w:sz w:val="20"/>
                <w:szCs w:val="20"/>
              </w:rPr>
            </w:pPr>
            <w:r w:rsidRPr="00173FA2">
              <w:rPr>
                <w:b/>
                <w:bCs/>
                <w:sz w:val="20"/>
                <w:szCs w:val="20"/>
              </w:rPr>
              <w:t>Total Annual Cost ($)</w:t>
            </w:r>
          </w:p>
        </w:tc>
      </w:tr>
      <w:tr w14:paraId="3B85BDAF" w14:textId="77777777" w:rsidTr="003830B0">
        <w:tblPrEx>
          <w:tblW w:w="9715" w:type="dxa"/>
          <w:tblLook w:val="04A0"/>
        </w:tblPrEx>
        <w:tc>
          <w:tcPr>
            <w:tcW w:w="1398" w:type="dxa"/>
          </w:tcPr>
          <w:p w:rsidR="001E58F6" w:rsidRPr="00BB7053" w:rsidP="00BC3C0D" w14:paraId="61C133A1" w14:textId="0EDF0D1E">
            <w:pPr>
              <w:keepNext/>
              <w:keepLines/>
              <w:tabs>
                <w:tab w:val="left" w:pos="6030"/>
              </w:tabs>
              <w:spacing w:line="276" w:lineRule="auto"/>
              <w:jc w:val="both"/>
              <w:rPr>
                <w:sz w:val="20"/>
                <w:szCs w:val="20"/>
              </w:rPr>
            </w:pPr>
            <w:r>
              <w:rPr>
                <w:sz w:val="20"/>
                <w:szCs w:val="20"/>
              </w:rPr>
              <w:t xml:space="preserve">Currently </w:t>
            </w:r>
            <w:r w:rsidR="00D62EC0">
              <w:rPr>
                <w:sz w:val="20"/>
                <w:szCs w:val="20"/>
              </w:rPr>
              <w:t xml:space="preserve">Approved </w:t>
            </w:r>
          </w:p>
        </w:tc>
        <w:tc>
          <w:tcPr>
            <w:tcW w:w="1392" w:type="dxa"/>
          </w:tcPr>
          <w:p w:rsidR="001E58F6" w:rsidRPr="00BB7053" w:rsidP="00BC3C0D" w14:paraId="4BE68855" w14:textId="1E5FCABF">
            <w:pPr>
              <w:keepNext/>
              <w:keepLines/>
              <w:tabs>
                <w:tab w:val="left" w:pos="6030"/>
              </w:tabs>
              <w:spacing w:line="276" w:lineRule="auto"/>
              <w:jc w:val="right"/>
              <w:rPr>
                <w:sz w:val="20"/>
                <w:szCs w:val="20"/>
              </w:rPr>
            </w:pPr>
            <w:r>
              <w:rPr>
                <w:sz w:val="20"/>
                <w:szCs w:val="20"/>
              </w:rPr>
              <w:t>44,136</w:t>
            </w:r>
          </w:p>
        </w:tc>
        <w:tc>
          <w:tcPr>
            <w:tcW w:w="1127" w:type="dxa"/>
          </w:tcPr>
          <w:p w:rsidR="001E58F6" w:rsidRPr="00BB7053" w:rsidP="00BC3C0D" w14:paraId="66090922" w14:textId="5907F51C">
            <w:pPr>
              <w:keepNext/>
              <w:keepLines/>
              <w:tabs>
                <w:tab w:val="left" w:pos="6030"/>
              </w:tabs>
              <w:spacing w:line="276" w:lineRule="auto"/>
              <w:jc w:val="right"/>
              <w:rPr>
                <w:sz w:val="20"/>
                <w:szCs w:val="20"/>
              </w:rPr>
            </w:pPr>
            <w:r>
              <w:rPr>
                <w:sz w:val="20"/>
                <w:szCs w:val="20"/>
              </w:rPr>
              <w:t>1</w:t>
            </w:r>
          </w:p>
        </w:tc>
        <w:tc>
          <w:tcPr>
            <w:tcW w:w="1346" w:type="dxa"/>
          </w:tcPr>
          <w:p w:rsidR="001E58F6" w:rsidRPr="00BB7053" w:rsidP="00BC3C0D" w14:paraId="03B0388B" w14:textId="5BF1C904">
            <w:pPr>
              <w:keepNext/>
              <w:keepLines/>
              <w:tabs>
                <w:tab w:val="left" w:pos="6030"/>
              </w:tabs>
              <w:spacing w:line="276" w:lineRule="auto"/>
              <w:jc w:val="right"/>
              <w:rPr>
                <w:sz w:val="20"/>
                <w:szCs w:val="20"/>
              </w:rPr>
            </w:pPr>
            <w:r>
              <w:rPr>
                <w:sz w:val="20"/>
                <w:szCs w:val="20"/>
              </w:rPr>
              <w:t>44,136</w:t>
            </w:r>
          </w:p>
        </w:tc>
        <w:tc>
          <w:tcPr>
            <w:tcW w:w="1017" w:type="dxa"/>
          </w:tcPr>
          <w:p w:rsidR="001E58F6" w:rsidRPr="00BB7053" w:rsidP="00BC3C0D" w14:paraId="1A75E226" w14:textId="75216003">
            <w:pPr>
              <w:keepNext/>
              <w:keepLines/>
              <w:tabs>
                <w:tab w:val="left" w:pos="6030"/>
              </w:tabs>
              <w:spacing w:line="276" w:lineRule="auto"/>
              <w:jc w:val="right"/>
              <w:rPr>
                <w:sz w:val="20"/>
                <w:szCs w:val="20"/>
              </w:rPr>
            </w:pPr>
            <w:r>
              <w:rPr>
                <w:sz w:val="20"/>
                <w:szCs w:val="20"/>
              </w:rPr>
              <w:t>0.083</w:t>
            </w:r>
          </w:p>
        </w:tc>
        <w:tc>
          <w:tcPr>
            <w:tcW w:w="1058" w:type="dxa"/>
          </w:tcPr>
          <w:p w:rsidR="001E58F6" w:rsidRPr="00BB7053" w:rsidP="00BC3C0D" w14:paraId="37718161" w14:textId="5C89B276">
            <w:pPr>
              <w:keepNext/>
              <w:keepLines/>
              <w:tabs>
                <w:tab w:val="left" w:pos="6030"/>
              </w:tabs>
              <w:spacing w:line="276" w:lineRule="auto"/>
              <w:jc w:val="right"/>
              <w:rPr>
                <w:sz w:val="20"/>
                <w:szCs w:val="20"/>
              </w:rPr>
            </w:pPr>
            <w:r>
              <w:rPr>
                <w:sz w:val="20"/>
                <w:szCs w:val="20"/>
              </w:rPr>
              <w:t>3,663</w:t>
            </w:r>
          </w:p>
        </w:tc>
        <w:tc>
          <w:tcPr>
            <w:tcW w:w="965" w:type="dxa"/>
          </w:tcPr>
          <w:p w:rsidR="001E58F6" w:rsidRPr="00BB7053" w:rsidP="00BC3C0D" w14:paraId="187D3B36" w14:textId="2E8CEADA">
            <w:pPr>
              <w:keepNext/>
              <w:keepLines/>
              <w:tabs>
                <w:tab w:val="left" w:pos="6030"/>
              </w:tabs>
              <w:spacing w:line="276" w:lineRule="auto"/>
              <w:jc w:val="right"/>
              <w:rPr>
                <w:sz w:val="20"/>
                <w:szCs w:val="20"/>
              </w:rPr>
            </w:pPr>
            <w:r>
              <w:rPr>
                <w:sz w:val="20"/>
                <w:szCs w:val="20"/>
              </w:rPr>
              <w:t>103.40</w:t>
            </w:r>
          </w:p>
        </w:tc>
        <w:tc>
          <w:tcPr>
            <w:tcW w:w="1412" w:type="dxa"/>
          </w:tcPr>
          <w:p w:rsidR="001E58F6" w:rsidRPr="00BB7053" w:rsidP="00BC3C0D" w14:paraId="17553959" w14:textId="64BE9857">
            <w:pPr>
              <w:keepNext/>
              <w:keepLines/>
              <w:tabs>
                <w:tab w:val="left" w:pos="6030"/>
              </w:tabs>
              <w:spacing w:line="276" w:lineRule="auto"/>
              <w:jc w:val="right"/>
              <w:rPr>
                <w:sz w:val="20"/>
                <w:szCs w:val="20"/>
              </w:rPr>
            </w:pPr>
            <w:r w:rsidRPr="00B66E7D">
              <w:rPr>
                <w:sz w:val="20"/>
                <w:szCs w:val="20"/>
              </w:rPr>
              <w:t>378,687</w:t>
            </w:r>
          </w:p>
        </w:tc>
      </w:tr>
      <w:tr w14:paraId="72FB6C9E" w14:textId="77777777" w:rsidTr="003830B0">
        <w:tblPrEx>
          <w:tblW w:w="9715" w:type="dxa"/>
          <w:tblLook w:val="04A0"/>
        </w:tblPrEx>
        <w:tc>
          <w:tcPr>
            <w:tcW w:w="1398" w:type="dxa"/>
          </w:tcPr>
          <w:p w:rsidR="001E58F6" w:rsidRPr="00BB7053" w:rsidP="00BC3C0D" w14:paraId="14CABED0" w14:textId="32196070">
            <w:pPr>
              <w:keepNext/>
              <w:keepLines/>
              <w:tabs>
                <w:tab w:val="left" w:pos="6030"/>
              </w:tabs>
              <w:spacing w:line="276" w:lineRule="auto"/>
              <w:rPr>
                <w:sz w:val="20"/>
                <w:szCs w:val="20"/>
              </w:rPr>
            </w:pPr>
            <w:r>
              <w:rPr>
                <w:sz w:val="20"/>
                <w:szCs w:val="20"/>
              </w:rPr>
              <w:t>Finaliz</w:t>
            </w:r>
            <w:r w:rsidR="00195D1A">
              <w:rPr>
                <w:sz w:val="20"/>
                <w:szCs w:val="20"/>
              </w:rPr>
              <w:t>ed</w:t>
            </w:r>
            <w:r w:rsidR="004607DF">
              <w:rPr>
                <w:sz w:val="20"/>
                <w:szCs w:val="20"/>
              </w:rPr>
              <w:t xml:space="preserve"> </w:t>
            </w:r>
            <w:r w:rsidRPr="00A67FD9" w:rsidR="00A67FD9">
              <w:rPr>
                <w:sz w:val="20"/>
                <w:szCs w:val="20"/>
              </w:rPr>
              <w:t xml:space="preserve">(See Table </w:t>
            </w:r>
            <w:r w:rsidR="00B66E7D">
              <w:rPr>
                <w:sz w:val="20"/>
                <w:szCs w:val="20"/>
              </w:rPr>
              <w:t>21</w:t>
            </w:r>
            <w:r w:rsidRPr="00A67FD9" w:rsidR="00A67FD9">
              <w:rPr>
                <w:sz w:val="20"/>
                <w:szCs w:val="20"/>
              </w:rPr>
              <w:t>)</w:t>
            </w:r>
          </w:p>
        </w:tc>
        <w:tc>
          <w:tcPr>
            <w:tcW w:w="1392" w:type="dxa"/>
          </w:tcPr>
          <w:p w:rsidR="001E58F6" w:rsidRPr="00BB7053" w:rsidP="00BC3C0D" w14:paraId="4106FC0B" w14:textId="1295684E">
            <w:pPr>
              <w:keepNext/>
              <w:keepLines/>
              <w:tabs>
                <w:tab w:val="left" w:pos="6030"/>
              </w:tabs>
              <w:spacing w:line="276" w:lineRule="auto"/>
              <w:jc w:val="right"/>
              <w:rPr>
                <w:sz w:val="20"/>
                <w:szCs w:val="20"/>
              </w:rPr>
            </w:pPr>
            <w:r>
              <w:rPr>
                <w:sz w:val="20"/>
                <w:szCs w:val="20"/>
              </w:rPr>
              <w:t>50,289</w:t>
            </w:r>
          </w:p>
        </w:tc>
        <w:tc>
          <w:tcPr>
            <w:tcW w:w="1127" w:type="dxa"/>
          </w:tcPr>
          <w:p w:rsidR="001E58F6" w:rsidRPr="00BB7053" w:rsidP="00BC3C0D" w14:paraId="43FFFA9A" w14:textId="2DF50565">
            <w:pPr>
              <w:keepNext/>
              <w:keepLines/>
              <w:tabs>
                <w:tab w:val="left" w:pos="6030"/>
              </w:tabs>
              <w:spacing w:line="276" w:lineRule="auto"/>
              <w:jc w:val="right"/>
              <w:rPr>
                <w:sz w:val="20"/>
                <w:szCs w:val="20"/>
              </w:rPr>
            </w:pPr>
            <w:r>
              <w:rPr>
                <w:sz w:val="20"/>
                <w:szCs w:val="20"/>
              </w:rPr>
              <w:t>1</w:t>
            </w:r>
          </w:p>
        </w:tc>
        <w:tc>
          <w:tcPr>
            <w:tcW w:w="1346" w:type="dxa"/>
          </w:tcPr>
          <w:p w:rsidR="001E58F6" w:rsidRPr="00BB7053" w:rsidP="00BC3C0D" w14:paraId="4E3DC029" w14:textId="08CF33FC">
            <w:pPr>
              <w:keepNext/>
              <w:keepLines/>
              <w:tabs>
                <w:tab w:val="left" w:pos="6030"/>
              </w:tabs>
              <w:spacing w:line="276" w:lineRule="auto"/>
              <w:jc w:val="right"/>
              <w:rPr>
                <w:sz w:val="20"/>
                <w:szCs w:val="20"/>
              </w:rPr>
            </w:pPr>
            <w:r>
              <w:rPr>
                <w:sz w:val="20"/>
                <w:szCs w:val="20"/>
              </w:rPr>
              <w:t>50,289</w:t>
            </w:r>
          </w:p>
        </w:tc>
        <w:tc>
          <w:tcPr>
            <w:tcW w:w="1017" w:type="dxa"/>
          </w:tcPr>
          <w:p w:rsidR="001E58F6" w:rsidRPr="00BB7053" w:rsidP="00BC3C0D" w14:paraId="3201B30C" w14:textId="5193BCD3">
            <w:pPr>
              <w:keepNext/>
              <w:keepLines/>
              <w:tabs>
                <w:tab w:val="left" w:pos="6030"/>
              </w:tabs>
              <w:spacing w:line="276" w:lineRule="auto"/>
              <w:jc w:val="right"/>
              <w:rPr>
                <w:sz w:val="20"/>
                <w:szCs w:val="20"/>
              </w:rPr>
            </w:pPr>
            <w:r>
              <w:rPr>
                <w:sz w:val="20"/>
                <w:szCs w:val="20"/>
              </w:rPr>
              <w:t>0.083</w:t>
            </w:r>
          </w:p>
        </w:tc>
        <w:tc>
          <w:tcPr>
            <w:tcW w:w="1058" w:type="dxa"/>
          </w:tcPr>
          <w:p w:rsidR="001E58F6" w:rsidRPr="00BB7053" w:rsidP="00BC3C0D" w14:paraId="063E9826" w14:textId="1009EE24">
            <w:pPr>
              <w:keepNext/>
              <w:keepLines/>
              <w:tabs>
                <w:tab w:val="left" w:pos="6030"/>
              </w:tabs>
              <w:spacing w:line="276" w:lineRule="auto"/>
              <w:jc w:val="right"/>
              <w:rPr>
                <w:sz w:val="20"/>
                <w:szCs w:val="20"/>
              </w:rPr>
            </w:pPr>
            <w:r>
              <w:rPr>
                <w:sz w:val="20"/>
                <w:szCs w:val="20"/>
              </w:rPr>
              <w:t>4,174</w:t>
            </w:r>
          </w:p>
        </w:tc>
        <w:tc>
          <w:tcPr>
            <w:tcW w:w="965" w:type="dxa"/>
          </w:tcPr>
          <w:p w:rsidR="001E58F6" w:rsidRPr="00BB7053" w:rsidP="00BC3C0D" w14:paraId="2A5F938B" w14:textId="1DFF5A9A">
            <w:pPr>
              <w:keepNext/>
              <w:keepLines/>
              <w:tabs>
                <w:tab w:val="left" w:pos="6030"/>
              </w:tabs>
              <w:spacing w:line="276" w:lineRule="auto"/>
              <w:jc w:val="right"/>
              <w:rPr>
                <w:sz w:val="20"/>
                <w:szCs w:val="20"/>
              </w:rPr>
            </w:pPr>
            <w:r>
              <w:rPr>
                <w:sz w:val="20"/>
                <w:szCs w:val="20"/>
              </w:rPr>
              <w:t>103.40</w:t>
            </w:r>
          </w:p>
        </w:tc>
        <w:tc>
          <w:tcPr>
            <w:tcW w:w="1412" w:type="dxa"/>
          </w:tcPr>
          <w:p w:rsidR="001E58F6" w:rsidRPr="00BB7053" w:rsidP="00A419C4" w14:paraId="2FABF5A4" w14:textId="68019944">
            <w:pPr>
              <w:keepNext/>
              <w:keepLines/>
              <w:tabs>
                <w:tab w:val="left" w:pos="6030"/>
              </w:tabs>
              <w:spacing w:line="276" w:lineRule="auto"/>
              <w:jc w:val="right"/>
              <w:rPr>
                <w:sz w:val="20"/>
                <w:szCs w:val="20"/>
              </w:rPr>
            </w:pPr>
            <w:r>
              <w:rPr>
                <w:sz w:val="20"/>
                <w:szCs w:val="20"/>
              </w:rPr>
              <w:t>431,480</w:t>
            </w:r>
          </w:p>
        </w:tc>
      </w:tr>
      <w:tr w14:paraId="37CFF55C" w14:textId="77777777" w:rsidTr="003830B0">
        <w:tblPrEx>
          <w:tblW w:w="9715" w:type="dxa"/>
          <w:tblLook w:val="04A0"/>
        </w:tblPrEx>
        <w:tc>
          <w:tcPr>
            <w:tcW w:w="1398" w:type="dxa"/>
            <w:shd w:val="clear" w:color="auto" w:fill="D9D9D9" w:themeFill="background1" w:themeFillShade="D9"/>
          </w:tcPr>
          <w:p w:rsidR="001E58F6" w:rsidRPr="00BB7053" w:rsidP="001E58F6" w14:paraId="3282D3A6" w14:textId="7241D7A6">
            <w:pPr>
              <w:tabs>
                <w:tab w:val="left" w:pos="6030"/>
              </w:tabs>
              <w:spacing w:line="276" w:lineRule="auto"/>
              <w:jc w:val="both"/>
              <w:rPr>
                <w:sz w:val="20"/>
                <w:szCs w:val="20"/>
              </w:rPr>
            </w:pPr>
            <w:r>
              <w:rPr>
                <w:sz w:val="20"/>
                <w:szCs w:val="20"/>
              </w:rPr>
              <w:t>Adjustment</w:t>
            </w:r>
          </w:p>
        </w:tc>
        <w:tc>
          <w:tcPr>
            <w:tcW w:w="1392" w:type="dxa"/>
            <w:shd w:val="clear" w:color="auto" w:fill="D9D9D9" w:themeFill="background1" w:themeFillShade="D9"/>
          </w:tcPr>
          <w:p w:rsidR="001E58F6" w:rsidRPr="00BB7053" w:rsidP="001E58F6" w14:paraId="5FFE50A8" w14:textId="2061BCC4">
            <w:pPr>
              <w:tabs>
                <w:tab w:val="left" w:pos="6030"/>
              </w:tabs>
              <w:spacing w:line="276" w:lineRule="auto"/>
              <w:jc w:val="right"/>
              <w:rPr>
                <w:sz w:val="20"/>
                <w:szCs w:val="20"/>
              </w:rPr>
            </w:pPr>
            <w:r>
              <w:rPr>
                <w:sz w:val="20"/>
                <w:szCs w:val="20"/>
              </w:rPr>
              <w:t>+6,153</w:t>
            </w:r>
          </w:p>
        </w:tc>
        <w:tc>
          <w:tcPr>
            <w:tcW w:w="1127" w:type="dxa"/>
            <w:shd w:val="clear" w:color="auto" w:fill="D9D9D9" w:themeFill="background1" w:themeFillShade="D9"/>
          </w:tcPr>
          <w:p w:rsidR="001E58F6" w:rsidRPr="00BB7053" w:rsidP="001E58F6" w14:paraId="3A693691" w14:textId="33A635B3">
            <w:pPr>
              <w:tabs>
                <w:tab w:val="left" w:pos="6030"/>
              </w:tabs>
              <w:spacing w:line="276" w:lineRule="auto"/>
              <w:jc w:val="right"/>
              <w:rPr>
                <w:sz w:val="20"/>
                <w:szCs w:val="20"/>
              </w:rPr>
            </w:pPr>
            <w:r>
              <w:rPr>
                <w:sz w:val="20"/>
                <w:szCs w:val="20"/>
              </w:rPr>
              <w:t>No change</w:t>
            </w:r>
          </w:p>
        </w:tc>
        <w:tc>
          <w:tcPr>
            <w:tcW w:w="1346" w:type="dxa"/>
            <w:shd w:val="clear" w:color="auto" w:fill="D9D9D9" w:themeFill="background1" w:themeFillShade="D9"/>
          </w:tcPr>
          <w:p w:rsidR="001E58F6" w:rsidRPr="00BB7053" w:rsidP="001E58F6" w14:paraId="715F23FA" w14:textId="609376BB">
            <w:pPr>
              <w:tabs>
                <w:tab w:val="left" w:pos="6030"/>
              </w:tabs>
              <w:spacing w:line="276" w:lineRule="auto"/>
              <w:jc w:val="right"/>
              <w:rPr>
                <w:sz w:val="20"/>
                <w:szCs w:val="20"/>
              </w:rPr>
            </w:pPr>
            <w:r>
              <w:rPr>
                <w:sz w:val="20"/>
                <w:szCs w:val="20"/>
              </w:rPr>
              <w:t>+6,153</w:t>
            </w:r>
          </w:p>
        </w:tc>
        <w:tc>
          <w:tcPr>
            <w:tcW w:w="1017" w:type="dxa"/>
            <w:shd w:val="clear" w:color="auto" w:fill="D9D9D9" w:themeFill="background1" w:themeFillShade="D9"/>
          </w:tcPr>
          <w:p w:rsidR="001E58F6" w:rsidRPr="00BB7053" w:rsidP="001E58F6" w14:paraId="69F41CB6" w14:textId="223BDD0C">
            <w:pPr>
              <w:tabs>
                <w:tab w:val="left" w:pos="6030"/>
              </w:tabs>
              <w:spacing w:line="276" w:lineRule="auto"/>
              <w:jc w:val="right"/>
              <w:rPr>
                <w:sz w:val="20"/>
                <w:szCs w:val="20"/>
              </w:rPr>
            </w:pPr>
            <w:r>
              <w:rPr>
                <w:sz w:val="20"/>
                <w:szCs w:val="20"/>
              </w:rPr>
              <w:t>No change</w:t>
            </w:r>
          </w:p>
        </w:tc>
        <w:tc>
          <w:tcPr>
            <w:tcW w:w="1058" w:type="dxa"/>
            <w:shd w:val="clear" w:color="auto" w:fill="D9D9D9" w:themeFill="background1" w:themeFillShade="D9"/>
          </w:tcPr>
          <w:p w:rsidR="001E58F6" w:rsidRPr="00BB7053" w:rsidP="001E58F6" w14:paraId="54FE6BBA" w14:textId="143EC15F">
            <w:pPr>
              <w:tabs>
                <w:tab w:val="left" w:pos="6030"/>
              </w:tabs>
              <w:spacing w:line="276" w:lineRule="auto"/>
              <w:jc w:val="right"/>
              <w:rPr>
                <w:sz w:val="20"/>
                <w:szCs w:val="20"/>
              </w:rPr>
            </w:pPr>
            <w:r>
              <w:rPr>
                <w:sz w:val="20"/>
                <w:szCs w:val="20"/>
              </w:rPr>
              <w:t>+511</w:t>
            </w:r>
          </w:p>
        </w:tc>
        <w:tc>
          <w:tcPr>
            <w:tcW w:w="965" w:type="dxa"/>
            <w:shd w:val="clear" w:color="auto" w:fill="D9D9D9" w:themeFill="background1" w:themeFillShade="D9"/>
          </w:tcPr>
          <w:p w:rsidR="001E58F6" w:rsidRPr="00BB7053" w:rsidP="001E58F6" w14:paraId="3F7790D8" w14:textId="0EF5831A">
            <w:pPr>
              <w:tabs>
                <w:tab w:val="left" w:pos="6030"/>
              </w:tabs>
              <w:spacing w:line="276" w:lineRule="auto"/>
              <w:jc w:val="right"/>
              <w:rPr>
                <w:sz w:val="20"/>
                <w:szCs w:val="20"/>
              </w:rPr>
            </w:pPr>
            <w:r>
              <w:rPr>
                <w:sz w:val="20"/>
                <w:szCs w:val="20"/>
              </w:rPr>
              <w:t>No change</w:t>
            </w:r>
          </w:p>
        </w:tc>
        <w:tc>
          <w:tcPr>
            <w:tcW w:w="1412" w:type="dxa"/>
            <w:shd w:val="clear" w:color="auto" w:fill="D9D9D9" w:themeFill="background1" w:themeFillShade="D9"/>
          </w:tcPr>
          <w:p w:rsidR="001E58F6" w:rsidRPr="00BB7053" w:rsidP="001E58F6" w14:paraId="68FC72E0" w14:textId="2F209617">
            <w:pPr>
              <w:tabs>
                <w:tab w:val="left" w:pos="6030"/>
              </w:tabs>
              <w:spacing w:line="276" w:lineRule="auto"/>
              <w:jc w:val="right"/>
              <w:rPr>
                <w:sz w:val="20"/>
                <w:szCs w:val="20"/>
              </w:rPr>
            </w:pPr>
            <w:r>
              <w:rPr>
                <w:sz w:val="20"/>
                <w:szCs w:val="20"/>
              </w:rPr>
              <w:t>+52,793</w:t>
            </w:r>
          </w:p>
        </w:tc>
      </w:tr>
    </w:tbl>
    <w:p w:rsidR="00885183" w:rsidRPr="00806F6A" w:rsidP="00806F6A" w14:paraId="2306C4AA" w14:textId="7B5707A0">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B06F65">
        <w:rPr>
          <w:rFonts w:eastAsia="Calibri"/>
          <w:b/>
          <w:bCs/>
        </w:rPr>
        <w:t>1S</w:t>
      </w:r>
      <w:r w:rsidRPr="00B30713">
        <w:rPr>
          <w:rFonts w:eastAsia="Calibri"/>
          <w:b/>
          <w:bCs/>
        </w:rPr>
        <w:t xml:space="preserve">: Burden Reconciliation for </w:t>
      </w:r>
      <w:r w:rsidRPr="005D7081" w:rsidR="005D7081">
        <w:rPr>
          <w:rFonts w:eastAsia="Calibri"/>
          <w:b/>
          <w:bCs/>
        </w:rPr>
        <w:t>Nomination of Improvement Activities</w:t>
      </w:r>
    </w:p>
    <w:tbl>
      <w:tblPr>
        <w:tblStyle w:val="TableGrid"/>
        <w:tblW w:w="9810" w:type="dxa"/>
        <w:tblInd w:w="-95" w:type="dxa"/>
        <w:tblLook w:val="04A0"/>
      </w:tblPr>
      <w:tblGrid>
        <w:gridCol w:w="1422"/>
        <w:gridCol w:w="1306"/>
        <w:gridCol w:w="1164"/>
        <w:gridCol w:w="1094"/>
        <w:gridCol w:w="1134"/>
        <w:gridCol w:w="1033"/>
        <w:gridCol w:w="1036"/>
        <w:gridCol w:w="1621"/>
      </w:tblGrid>
      <w:tr w14:paraId="0849234C" w14:textId="77777777" w:rsidTr="00223079">
        <w:tblPrEx>
          <w:tblW w:w="9810" w:type="dxa"/>
          <w:tblInd w:w="-95" w:type="dxa"/>
          <w:tblLook w:val="04A0"/>
        </w:tblPrEx>
        <w:trPr>
          <w:tblHeader/>
        </w:trPr>
        <w:tc>
          <w:tcPr>
            <w:tcW w:w="1422" w:type="dxa"/>
          </w:tcPr>
          <w:p w:rsidR="00885183" w:rsidRPr="00173FA2" w:rsidP="00536031" w14:paraId="55B36AE6"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536031" w14:paraId="5F18DBC9"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4" w:type="dxa"/>
          </w:tcPr>
          <w:p w:rsidR="00885183" w:rsidRPr="00173FA2" w:rsidP="00536031" w14:paraId="57B48CE1"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536031" w14:paraId="448D6BEE"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134" w:type="dxa"/>
          </w:tcPr>
          <w:p w:rsidR="00885183" w:rsidRPr="00173FA2" w:rsidP="00536031" w14:paraId="00725B49" w14:textId="77777777">
            <w:pPr>
              <w:keepNext/>
              <w:keepLines/>
              <w:tabs>
                <w:tab w:val="left" w:pos="6030"/>
              </w:tabs>
              <w:spacing w:line="276" w:lineRule="auto"/>
              <w:rPr>
                <w:b/>
                <w:bCs/>
                <w:sz w:val="20"/>
                <w:szCs w:val="20"/>
              </w:rPr>
            </w:pPr>
            <w:r w:rsidRPr="00173FA2">
              <w:rPr>
                <w:b/>
                <w:bCs/>
                <w:sz w:val="20"/>
                <w:szCs w:val="20"/>
              </w:rPr>
              <w:t>Time Per Response (hr)</w:t>
            </w:r>
          </w:p>
        </w:tc>
        <w:tc>
          <w:tcPr>
            <w:tcW w:w="1033" w:type="dxa"/>
          </w:tcPr>
          <w:p w:rsidR="00885183" w:rsidRPr="00173FA2" w:rsidP="00536031" w14:paraId="3E24C07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36" w:type="dxa"/>
          </w:tcPr>
          <w:p w:rsidR="00885183" w:rsidRPr="00173FA2" w:rsidP="00536031" w14:paraId="22F91B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1" w:type="dxa"/>
          </w:tcPr>
          <w:p w:rsidR="00885183" w:rsidRPr="00173FA2" w:rsidP="00536031" w14:paraId="498ED9DF" w14:textId="77777777">
            <w:pPr>
              <w:keepNext/>
              <w:keepLines/>
              <w:tabs>
                <w:tab w:val="left" w:pos="6030"/>
              </w:tabs>
              <w:spacing w:line="276" w:lineRule="auto"/>
              <w:rPr>
                <w:b/>
                <w:bCs/>
                <w:sz w:val="20"/>
                <w:szCs w:val="20"/>
              </w:rPr>
            </w:pPr>
            <w:r w:rsidRPr="00173FA2">
              <w:rPr>
                <w:b/>
                <w:bCs/>
                <w:sz w:val="20"/>
                <w:szCs w:val="20"/>
              </w:rPr>
              <w:t>Total Annual Cost ($)</w:t>
            </w:r>
          </w:p>
        </w:tc>
      </w:tr>
      <w:tr w14:paraId="4C4AC82D" w14:textId="77777777" w:rsidTr="00223079">
        <w:tblPrEx>
          <w:tblW w:w="9810" w:type="dxa"/>
          <w:tblInd w:w="-95" w:type="dxa"/>
          <w:tblLook w:val="04A0"/>
        </w:tblPrEx>
        <w:tc>
          <w:tcPr>
            <w:tcW w:w="1422" w:type="dxa"/>
          </w:tcPr>
          <w:p w:rsidR="0020715B" w:rsidRPr="00BB7053" w:rsidP="0020715B" w14:paraId="78DBC192" w14:textId="0F6637C3">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20715B" w:rsidRPr="00BB7053" w:rsidP="0020715B" w14:paraId="219DE943" w14:textId="1D883800">
            <w:pPr>
              <w:tabs>
                <w:tab w:val="left" w:pos="6030"/>
              </w:tabs>
              <w:spacing w:line="276" w:lineRule="auto"/>
              <w:jc w:val="right"/>
              <w:rPr>
                <w:sz w:val="20"/>
                <w:szCs w:val="20"/>
              </w:rPr>
            </w:pPr>
            <w:r>
              <w:rPr>
                <w:sz w:val="20"/>
                <w:szCs w:val="20"/>
              </w:rPr>
              <w:t>31</w:t>
            </w:r>
          </w:p>
        </w:tc>
        <w:tc>
          <w:tcPr>
            <w:tcW w:w="1164" w:type="dxa"/>
          </w:tcPr>
          <w:p w:rsidR="0020715B" w:rsidRPr="00BB7053" w:rsidP="0020715B" w14:paraId="420A867B" w14:textId="5F45E331">
            <w:pPr>
              <w:tabs>
                <w:tab w:val="left" w:pos="6030"/>
              </w:tabs>
              <w:spacing w:line="276" w:lineRule="auto"/>
              <w:jc w:val="right"/>
              <w:rPr>
                <w:sz w:val="20"/>
                <w:szCs w:val="20"/>
              </w:rPr>
            </w:pPr>
            <w:r>
              <w:rPr>
                <w:sz w:val="20"/>
                <w:szCs w:val="20"/>
              </w:rPr>
              <w:t>1</w:t>
            </w:r>
          </w:p>
        </w:tc>
        <w:tc>
          <w:tcPr>
            <w:tcW w:w="1094" w:type="dxa"/>
          </w:tcPr>
          <w:p w:rsidR="0020715B" w:rsidRPr="00BB7053" w:rsidP="0020715B" w14:paraId="28D6000A" w14:textId="35F21956">
            <w:pPr>
              <w:tabs>
                <w:tab w:val="left" w:pos="6030"/>
              </w:tabs>
              <w:spacing w:line="276" w:lineRule="auto"/>
              <w:jc w:val="right"/>
              <w:rPr>
                <w:sz w:val="20"/>
                <w:szCs w:val="20"/>
              </w:rPr>
            </w:pPr>
            <w:r>
              <w:rPr>
                <w:sz w:val="20"/>
                <w:szCs w:val="20"/>
              </w:rPr>
              <w:t>31</w:t>
            </w:r>
          </w:p>
        </w:tc>
        <w:tc>
          <w:tcPr>
            <w:tcW w:w="1134" w:type="dxa"/>
          </w:tcPr>
          <w:p w:rsidR="0020715B" w:rsidRPr="00BB7053" w:rsidP="0020715B" w14:paraId="34CC53EE" w14:textId="5F75F613">
            <w:pPr>
              <w:tabs>
                <w:tab w:val="left" w:pos="6030"/>
              </w:tabs>
              <w:spacing w:line="276" w:lineRule="auto"/>
              <w:jc w:val="right"/>
              <w:rPr>
                <w:sz w:val="20"/>
                <w:szCs w:val="20"/>
              </w:rPr>
            </w:pPr>
            <w:r>
              <w:rPr>
                <w:sz w:val="20"/>
                <w:szCs w:val="20"/>
              </w:rPr>
              <w:t>4.4</w:t>
            </w:r>
          </w:p>
        </w:tc>
        <w:tc>
          <w:tcPr>
            <w:tcW w:w="1033" w:type="dxa"/>
          </w:tcPr>
          <w:p w:rsidR="0020715B" w:rsidRPr="00BB7053" w:rsidP="0020715B" w14:paraId="1DBC9234" w14:textId="4B6E269F">
            <w:pPr>
              <w:tabs>
                <w:tab w:val="left" w:pos="6030"/>
              </w:tabs>
              <w:spacing w:line="276" w:lineRule="auto"/>
              <w:jc w:val="right"/>
              <w:rPr>
                <w:sz w:val="20"/>
                <w:szCs w:val="20"/>
              </w:rPr>
            </w:pPr>
            <w:r>
              <w:rPr>
                <w:sz w:val="20"/>
                <w:szCs w:val="20"/>
              </w:rPr>
              <w:t>136</w:t>
            </w:r>
          </w:p>
        </w:tc>
        <w:tc>
          <w:tcPr>
            <w:tcW w:w="1036" w:type="dxa"/>
          </w:tcPr>
          <w:p w:rsidR="0020715B" w:rsidRPr="00BB7053" w:rsidP="0020715B" w14:paraId="664185F7" w14:textId="5A8CE134">
            <w:pPr>
              <w:tabs>
                <w:tab w:val="left" w:pos="6030"/>
              </w:tabs>
              <w:spacing w:line="276" w:lineRule="auto"/>
              <w:jc w:val="right"/>
              <w:rPr>
                <w:sz w:val="20"/>
                <w:szCs w:val="20"/>
              </w:rPr>
            </w:pPr>
            <w:r>
              <w:rPr>
                <w:sz w:val="20"/>
                <w:szCs w:val="20"/>
              </w:rPr>
              <w:t>Varies</w:t>
            </w:r>
          </w:p>
        </w:tc>
        <w:tc>
          <w:tcPr>
            <w:tcW w:w="1621" w:type="dxa"/>
          </w:tcPr>
          <w:p w:rsidR="0020715B" w:rsidRPr="00BB7053" w:rsidP="0020715B" w14:paraId="7ABD53F5" w14:textId="54CC7973">
            <w:pPr>
              <w:tabs>
                <w:tab w:val="left" w:pos="6030"/>
              </w:tabs>
              <w:spacing w:line="276" w:lineRule="auto"/>
              <w:jc w:val="right"/>
              <w:rPr>
                <w:sz w:val="20"/>
                <w:szCs w:val="20"/>
              </w:rPr>
            </w:pPr>
            <w:r>
              <w:rPr>
                <w:sz w:val="20"/>
                <w:szCs w:val="20"/>
              </w:rPr>
              <w:t>2</w:t>
            </w:r>
            <w:r w:rsidR="00AB7418">
              <w:rPr>
                <w:sz w:val="20"/>
                <w:szCs w:val="20"/>
              </w:rPr>
              <w:t>4,294</w:t>
            </w:r>
          </w:p>
        </w:tc>
      </w:tr>
      <w:tr w14:paraId="4D935E95" w14:textId="77777777" w:rsidTr="00223079">
        <w:tblPrEx>
          <w:tblW w:w="9810" w:type="dxa"/>
          <w:tblInd w:w="-95" w:type="dxa"/>
          <w:tblLook w:val="04A0"/>
        </w:tblPrEx>
        <w:tc>
          <w:tcPr>
            <w:tcW w:w="1422" w:type="dxa"/>
          </w:tcPr>
          <w:p w:rsidR="0020715B" w:rsidRPr="00BB7053" w:rsidP="00192E2E" w14:paraId="6BEE4F05" w14:textId="102AAA34">
            <w:pPr>
              <w:tabs>
                <w:tab w:val="left" w:pos="6030"/>
              </w:tabs>
              <w:spacing w:line="276" w:lineRule="auto"/>
              <w:rPr>
                <w:sz w:val="20"/>
                <w:szCs w:val="20"/>
              </w:rPr>
            </w:pPr>
            <w:r>
              <w:rPr>
                <w:sz w:val="20"/>
                <w:szCs w:val="20"/>
              </w:rPr>
              <w:t>Finaliz</w:t>
            </w:r>
            <w:r w:rsidR="00A15C5B">
              <w:rPr>
                <w:sz w:val="20"/>
                <w:szCs w:val="20"/>
              </w:rPr>
              <w:t xml:space="preserve">ed </w:t>
            </w:r>
            <w:r w:rsidRPr="00A67FD9" w:rsidR="00A67FD9">
              <w:rPr>
                <w:sz w:val="20"/>
                <w:szCs w:val="20"/>
              </w:rPr>
              <w:t>(See Table 2</w:t>
            </w:r>
            <w:r w:rsidR="00B940F2">
              <w:rPr>
                <w:sz w:val="20"/>
                <w:szCs w:val="20"/>
              </w:rPr>
              <w:t>2</w:t>
            </w:r>
            <w:r w:rsidRPr="00A67FD9" w:rsidR="00A67FD9">
              <w:rPr>
                <w:sz w:val="20"/>
                <w:szCs w:val="20"/>
              </w:rPr>
              <w:t>)</w:t>
            </w:r>
          </w:p>
        </w:tc>
        <w:tc>
          <w:tcPr>
            <w:tcW w:w="1306" w:type="dxa"/>
          </w:tcPr>
          <w:p w:rsidR="0020715B" w:rsidRPr="00BB7053" w:rsidP="0020715B" w14:paraId="305A6981" w14:textId="18AE9929">
            <w:pPr>
              <w:tabs>
                <w:tab w:val="left" w:pos="6030"/>
              </w:tabs>
              <w:spacing w:line="276" w:lineRule="auto"/>
              <w:jc w:val="right"/>
              <w:rPr>
                <w:sz w:val="20"/>
                <w:szCs w:val="20"/>
              </w:rPr>
            </w:pPr>
            <w:r>
              <w:rPr>
                <w:sz w:val="20"/>
                <w:szCs w:val="20"/>
              </w:rPr>
              <w:t>15</w:t>
            </w:r>
          </w:p>
        </w:tc>
        <w:tc>
          <w:tcPr>
            <w:tcW w:w="1164" w:type="dxa"/>
          </w:tcPr>
          <w:p w:rsidR="0020715B" w:rsidRPr="00BB7053" w:rsidP="0020715B" w14:paraId="178E48EA" w14:textId="4B9D32F2">
            <w:pPr>
              <w:tabs>
                <w:tab w:val="left" w:pos="6030"/>
              </w:tabs>
              <w:spacing w:line="276" w:lineRule="auto"/>
              <w:jc w:val="right"/>
              <w:rPr>
                <w:sz w:val="20"/>
                <w:szCs w:val="20"/>
              </w:rPr>
            </w:pPr>
            <w:r>
              <w:rPr>
                <w:sz w:val="20"/>
                <w:szCs w:val="20"/>
              </w:rPr>
              <w:t>1</w:t>
            </w:r>
          </w:p>
        </w:tc>
        <w:tc>
          <w:tcPr>
            <w:tcW w:w="1094" w:type="dxa"/>
          </w:tcPr>
          <w:p w:rsidR="0020715B" w:rsidRPr="00BB7053" w:rsidP="0020715B" w14:paraId="489004AF" w14:textId="7D36742F">
            <w:pPr>
              <w:tabs>
                <w:tab w:val="left" w:pos="6030"/>
              </w:tabs>
              <w:spacing w:line="276" w:lineRule="auto"/>
              <w:jc w:val="right"/>
              <w:rPr>
                <w:sz w:val="20"/>
                <w:szCs w:val="20"/>
              </w:rPr>
            </w:pPr>
            <w:r>
              <w:rPr>
                <w:sz w:val="20"/>
                <w:szCs w:val="20"/>
              </w:rPr>
              <w:t>15</w:t>
            </w:r>
          </w:p>
        </w:tc>
        <w:tc>
          <w:tcPr>
            <w:tcW w:w="1134" w:type="dxa"/>
          </w:tcPr>
          <w:p w:rsidR="0020715B" w:rsidRPr="00BB7053" w:rsidP="0020715B" w14:paraId="581098F2" w14:textId="32C3F4DA">
            <w:pPr>
              <w:tabs>
                <w:tab w:val="left" w:pos="6030"/>
              </w:tabs>
              <w:spacing w:line="276" w:lineRule="auto"/>
              <w:jc w:val="right"/>
              <w:rPr>
                <w:sz w:val="20"/>
                <w:szCs w:val="20"/>
              </w:rPr>
            </w:pPr>
            <w:r>
              <w:rPr>
                <w:sz w:val="20"/>
                <w:szCs w:val="20"/>
              </w:rPr>
              <w:t>4.4</w:t>
            </w:r>
          </w:p>
        </w:tc>
        <w:tc>
          <w:tcPr>
            <w:tcW w:w="1033" w:type="dxa"/>
          </w:tcPr>
          <w:p w:rsidR="0020715B" w:rsidRPr="00BB7053" w:rsidP="0020715B" w14:paraId="0FC860EC" w14:textId="2D143B6B">
            <w:pPr>
              <w:tabs>
                <w:tab w:val="left" w:pos="6030"/>
              </w:tabs>
              <w:spacing w:line="276" w:lineRule="auto"/>
              <w:jc w:val="right"/>
              <w:rPr>
                <w:sz w:val="20"/>
                <w:szCs w:val="20"/>
              </w:rPr>
            </w:pPr>
            <w:r>
              <w:rPr>
                <w:sz w:val="20"/>
                <w:szCs w:val="20"/>
              </w:rPr>
              <w:t>66</w:t>
            </w:r>
          </w:p>
        </w:tc>
        <w:tc>
          <w:tcPr>
            <w:tcW w:w="1036" w:type="dxa"/>
          </w:tcPr>
          <w:p w:rsidR="0020715B" w:rsidRPr="00BB7053" w:rsidP="0020715B" w14:paraId="153AEB85" w14:textId="670D4789">
            <w:pPr>
              <w:tabs>
                <w:tab w:val="left" w:pos="6030"/>
              </w:tabs>
              <w:spacing w:line="276" w:lineRule="auto"/>
              <w:jc w:val="right"/>
              <w:rPr>
                <w:sz w:val="20"/>
                <w:szCs w:val="20"/>
              </w:rPr>
            </w:pPr>
            <w:r>
              <w:rPr>
                <w:sz w:val="20"/>
                <w:szCs w:val="20"/>
              </w:rPr>
              <w:t>Varies</w:t>
            </w:r>
          </w:p>
        </w:tc>
        <w:tc>
          <w:tcPr>
            <w:tcW w:w="1621" w:type="dxa"/>
          </w:tcPr>
          <w:p w:rsidR="0020715B" w:rsidRPr="00BB7053" w:rsidP="0020715B" w14:paraId="106A001F" w14:textId="131FF8C8">
            <w:pPr>
              <w:tabs>
                <w:tab w:val="left" w:pos="6030"/>
              </w:tabs>
              <w:spacing w:line="276" w:lineRule="auto"/>
              <w:jc w:val="right"/>
              <w:rPr>
                <w:sz w:val="20"/>
                <w:szCs w:val="20"/>
              </w:rPr>
            </w:pPr>
            <w:r>
              <w:rPr>
                <w:sz w:val="20"/>
                <w:szCs w:val="20"/>
              </w:rPr>
              <w:t>11,755</w:t>
            </w:r>
          </w:p>
        </w:tc>
      </w:tr>
      <w:tr w14:paraId="7585559D" w14:textId="77777777" w:rsidTr="00223079">
        <w:tblPrEx>
          <w:tblW w:w="9810" w:type="dxa"/>
          <w:tblInd w:w="-95" w:type="dxa"/>
          <w:tblLook w:val="04A0"/>
        </w:tblPrEx>
        <w:tc>
          <w:tcPr>
            <w:tcW w:w="1422" w:type="dxa"/>
            <w:shd w:val="clear" w:color="auto" w:fill="D9D9D9" w:themeFill="background1" w:themeFillShade="D9"/>
          </w:tcPr>
          <w:p w:rsidR="0020715B" w:rsidRPr="00BB7053" w:rsidP="0020715B" w14:paraId="29A0523F"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20715B" w:rsidRPr="00BB7053" w:rsidP="0020715B" w14:paraId="068005BE" w14:textId="4C97CABA">
            <w:pPr>
              <w:tabs>
                <w:tab w:val="left" w:pos="6030"/>
              </w:tabs>
              <w:spacing w:line="276" w:lineRule="auto"/>
              <w:jc w:val="right"/>
              <w:rPr>
                <w:sz w:val="20"/>
                <w:szCs w:val="20"/>
              </w:rPr>
            </w:pPr>
            <w:r>
              <w:rPr>
                <w:sz w:val="20"/>
                <w:szCs w:val="20"/>
              </w:rPr>
              <w:t>-16</w:t>
            </w:r>
          </w:p>
        </w:tc>
        <w:tc>
          <w:tcPr>
            <w:tcW w:w="1164" w:type="dxa"/>
            <w:shd w:val="clear" w:color="auto" w:fill="D9D9D9" w:themeFill="background1" w:themeFillShade="D9"/>
          </w:tcPr>
          <w:p w:rsidR="0020715B" w:rsidRPr="00BB7053" w:rsidP="0020715B" w14:paraId="78690F1B" w14:textId="0DBC479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20715B" w:rsidRPr="00BB7053" w:rsidP="0020715B" w14:paraId="71756AC7" w14:textId="764912A4">
            <w:pPr>
              <w:tabs>
                <w:tab w:val="left" w:pos="6030"/>
              </w:tabs>
              <w:spacing w:line="276" w:lineRule="auto"/>
              <w:jc w:val="right"/>
              <w:rPr>
                <w:sz w:val="20"/>
                <w:szCs w:val="20"/>
              </w:rPr>
            </w:pPr>
            <w:r>
              <w:rPr>
                <w:sz w:val="20"/>
                <w:szCs w:val="20"/>
              </w:rPr>
              <w:t>-16</w:t>
            </w:r>
          </w:p>
        </w:tc>
        <w:tc>
          <w:tcPr>
            <w:tcW w:w="1134" w:type="dxa"/>
            <w:shd w:val="clear" w:color="auto" w:fill="D9D9D9" w:themeFill="background1" w:themeFillShade="D9"/>
          </w:tcPr>
          <w:p w:rsidR="0020715B" w:rsidRPr="00BB7053" w:rsidP="00DD4342" w14:paraId="408E4AC1" w14:textId="5A67B8E2">
            <w:pPr>
              <w:tabs>
                <w:tab w:val="left" w:pos="6030"/>
              </w:tabs>
              <w:spacing w:line="276" w:lineRule="auto"/>
              <w:jc w:val="right"/>
              <w:rPr>
                <w:sz w:val="20"/>
                <w:szCs w:val="20"/>
              </w:rPr>
            </w:pPr>
            <w:r>
              <w:rPr>
                <w:sz w:val="20"/>
                <w:szCs w:val="20"/>
              </w:rPr>
              <w:t>No change</w:t>
            </w:r>
          </w:p>
        </w:tc>
        <w:tc>
          <w:tcPr>
            <w:tcW w:w="1033" w:type="dxa"/>
            <w:shd w:val="clear" w:color="auto" w:fill="D9D9D9" w:themeFill="background1" w:themeFillShade="D9"/>
          </w:tcPr>
          <w:p w:rsidR="0020715B" w:rsidRPr="00BB7053" w:rsidP="003D29BA" w14:paraId="2DD6AEB3" w14:textId="6C5D0BF2">
            <w:pPr>
              <w:tabs>
                <w:tab w:val="left" w:pos="6030"/>
              </w:tabs>
              <w:spacing w:line="276" w:lineRule="auto"/>
              <w:jc w:val="center"/>
              <w:rPr>
                <w:sz w:val="20"/>
                <w:szCs w:val="20"/>
              </w:rPr>
            </w:pPr>
            <w:r>
              <w:rPr>
                <w:sz w:val="20"/>
                <w:szCs w:val="20"/>
              </w:rPr>
              <w:t xml:space="preserve">        - 70</w:t>
            </w:r>
          </w:p>
        </w:tc>
        <w:tc>
          <w:tcPr>
            <w:tcW w:w="1036" w:type="dxa"/>
            <w:shd w:val="clear" w:color="auto" w:fill="D9D9D9" w:themeFill="background1" w:themeFillShade="D9"/>
          </w:tcPr>
          <w:p w:rsidR="0020715B" w:rsidRPr="00BB7053" w:rsidP="0020715B" w14:paraId="1FF8C1AD" w14:textId="14CC0D89">
            <w:pPr>
              <w:tabs>
                <w:tab w:val="left" w:pos="6030"/>
              </w:tabs>
              <w:spacing w:line="276" w:lineRule="auto"/>
              <w:jc w:val="right"/>
              <w:rPr>
                <w:sz w:val="20"/>
                <w:szCs w:val="20"/>
              </w:rPr>
            </w:pPr>
            <w:r>
              <w:rPr>
                <w:sz w:val="20"/>
                <w:szCs w:val="20"/>
              </w:rPr>
              <w:t>Varies</w:t>
            </w:r>
          </w:p>
        </w:tc>
        <w:tc>
          <w:tcPr>
            <w:tcW w:w="1621" w:type="dxa"/>
            <w:shd w:val="clear" w:color="auto" w:fill="D9D9D9" w:themeFill="background1" w:themeFillShade="D9"/>
          </w:tcPr>
          <w:p w:rsidR="0020715B" w:rsidRPr="00BB7053" w:rsidP="0020715B" w14:paraId="252AC99D" w14:textId="48A0322F">
            <w:pPr>
              <w:tabs>
                <w:tab w:val="left" w:pos="6030"/>
              </w:tabs>
              <w:spacing w:line="276" w:lineRule="auto"/>
              <w:jc w:val="right"/>
              <w:rPr>
                <w:sz w:val="20"/>
                <w:szCs w:val="20"/>
              </w:rPr>
            </w:pPr>
            <w:r>
              <w:rPr>
                <w:sz w:val="20"/>
                <w:szCs w:val="20"/>
              </w:rPr>
              <w:t>-12,539</w:t>
            </w:r>
          </w:p>
        </w:tc>
      </w:tr>
    </w:tbl>
    <w:p w:rsidR="00885183" w:rsidRPr="00DD4342" w:rsidP="00DD4342" w14:paraId="05521CD9" w14:textId="44B204DF">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B06F65">
        <w:rPr>
          <w:rFonts w:eastAsia="Calibri"/>
          <w:b/>
          <w:bCs/>
        </w:rPr>
        <w:t>1T</w:t>
      </w:r>
      <w:r w:rsidRPr="00B30713">
        <w:rPr>
          <w:rFonts w:eastAsia="Calibri"/>
          <w:b/>
          <w:bCs/>
        </w:rPr>
        <w:t xml:space="preserve">: Burden Reconciliation for </w:t>
      </w:r>
      <w:r w:rsidRPr="000427D0" w:rsidR="000427D0">
        <w:rPr>
          <w:rFonts w:eastAsia="Calibri"/>
          <w:b/>
          <w:bCs/>
        </w:rPr>
        <w:t>Nomination of MVPs</w:t>
      </w:r>
    </w:p>
    <w:tbl>
      <w:tblPr>
        <w:tblStyle w:val="TableGrid"/>
        <w:tblW w:w="9715" w:type="dxa"/>
        <w:tblLook w:val="04A0"/>
      </w:tblPr>
      <w:tblGrid>
        <w:gridCol w:w="1251"/>
        <w:gridCol w:w="1306"/>
        <w:gridCol w:w="1168"/>
        <w:gridCol w:w="1094"/>
        <w:gridCol w:w="1077"/>
        <w:gridCol w:w="1071"/>
        <w:gridCol w:w="1067"/>
        <w:gridCol w:w="1681"/>
      </w:tblGrid>
      <w:tr w14:paraId="3D7100E5" w14:textId="77777777" w:rsidTr="003830B0">
        <w:tblPrEx>
          <w:tblW w:w="9715" w:type="dxa"/>
          <w:tblLook w:val="04A0"/>
        </w:tblPrEx>
        <w:trPr>
          <w:tblHeader/>
        </w:trPr>
        <w:tc>
          <w:tcPr>
            <w:tcW w:w="1251" w:type="dxa"/>
          </w:tcPr>
          <w:p w:rsidR="00885183" w:rsidRPr="00173FA2" w:rsidP="00DE0E95" w14:paraId="3A29756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DE0E95" w14:paraId="63896D41"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00885183" w:rsidRPr="00173FA2" w:rsidP="00DE0E95" w14:paraId="2A314E3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DE0E95" w14:paraId="4091D07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00885183" w:rsidRPr="00173FA2" w:rsidP="00DE0E95" w14:paraId="34F7728C"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00885183" w:rsidRPr="00173FA2" w:rsidP="00DE0E95" w14:paraId="13F22E5E"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7" w:type="dxa"/>
          </w:tcPr>
          <w:p w:rsidR="00885183" w:rsidRPr="00173FA2" w:rsidP="00DE0E95" w14:paraId="4CE986E4"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1" w:type="dxa"/>
          </w:tcPr>
          <w:p w:rsidR="00885183" w:rsidRPr="00173FA2" w:rsidP="00DE0E95" w14:paraId="35E8C241" w14:textId="77777777">
            <w:pPr>
              <w:keepNext/>
              <w:keepLines/>
              <w:tabs>
                <w:tab w:val="left" w:pos="6030"/>
              </w:tabs>
              <w:spacing w:line="276" w:lineRule="auto"/>
              <w:rPr>
                <w:b/>
                <w:bCs/>
                <w:sz w:val="20"/>
                <w:szCs w:val="20"/>
              </w:rPr>
            </w:pPr>
            <w:r w:rsidRPr="00173FA2">
              <w:rPr>
                <w:b/>
                <w:bCs/>
                <w:sz w:val="20"/>
                <w:szCs w:val="20"/>
              </w:rPr>
              <w:t>Total Annual Cost ($)</w:t>
            </w:r>
          </w:p>
        </w:tc>
      </w:tr>
      <w:tr w14:paraId="06ED3541" w14:textId="77777777" w:rsidTr="003830B0">
        <w:tblPrEx>
          <w:tblW w:w="9715" w:type="dxa"/>
          <w:tblLook w:val="04A0"/>
        </w:tblPrEx>
        <w:tc>
          <w:tcPr>
            <w:tcW w:w="1251" w:type="dxa"/>
          </w:tcPr>
          <w:p w:rsidR="00E23B74" w:rsidRPr="00BB7053" w:rsidP="00E23B74" w14:paraId="333C1D65" w14:textId="5492EEDE">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E23B74" w:rsidRPr="00BB7053" w:rsidP="00E23B74" w14:paraId="24407B1E" w14:textId="7C71CA02">
            <w:pPr>
              <w:tabs>
                <w:tab w:val="left" w:pos="6030"/>
              </w:tabs>
              <w:spacing w:line="276" w:lineRule="auto"/>
              <w:jc w:val="right"/>
              <w:rPr>
                <w:sz w:val="20"/>
                <w:szCs w:val="20"/>
              </w:rPr>
            </w:pPr>
            <w:r>
              <w:rPr>
                <w:sz w:val="20"/>
                <w:szCs w:val="20"/>
              </w:rPr>
              <w:t>10</w:t>
            </w:r>
          </w:p>
        </w:tc>
        <w:tc>
          <w:tcPr>
            <w:tcW w:w="1168" w:type="dxa"/>
          </w:tcPr>
          <w:p w:rsidR="00E23B74" w:rsidRPr="00BB7053" w:rsidP="00E23B74" w14:paraId="58BFF60E" w14:textId="40966676">
            <w:pPr>
              <w:tabs>
                <w:tab w:val="left" w:pos="6030"/>
              </w:tabs>
              <w:spacing w:line="276" w:lineRule="auto"/>
              <w:jc w:val="right"/>
              <w:rPr>
                <w:sz w:val="20"/>
                <w:szCs w:val="20"/>
              </w:rPr>
            </w:pPr>
            <w:r>
              <w:rPr>
                <w:sz w:val="20"/>
                <w:szCs w:val="20"/>
              </w:rPr>
              <w:t>1</w:t>
            </w:r>
          </w:p>
        </w:tc>
        <w:tc>
          <w:tcPr>
            <w:tcW w:w="1094" w:type="dxa"/>
          </w:tcPr>
          <w:p w:rsidR="00E23B74" w:rsidRPr="00BB7053" w:rsidP="00E23B74" w14:paraId="574F4DDA" w14:textId="345F9741">
            <w:pPr>
              <w:tabs>
                <w:tab w:val="left" w:pos="6030"/>
              </w:tabs>
              <w:spacing w:line="276" w:lineRule="auto"/>
              <w:jc w:val="right"/>
              <w:rPr>
                <w:sz w:val="20"/>
                <w:szCs w:val="20"/>
              </w:rPr>
            </w:pPr>
            <w:r>
              <w:rPr>
                <w:sz w:val="20"/>
                <w:szCs w:val="20"/>
              </w:rPr>
              <w:t>10</w:t>
            </w:r>
          </w:p>
        </w:tc>
        <w:tc>
          <w:tcPr>
            <w:tcW w:w="1077" w:type="dxa"/>
          </w:tcPr>
          <w:p w:rsidR="00E23B74" w:rsidRPr="00BB7053" w:rsidP="00E23B74" w14:paraId="186A8B13" w14:textId="542A2E13">
            <w:pPr>
              <w:tabs>
                <w:tab w:val="left" w:pos="6030"/>
              </w:tabs>
              <w:spacing w:line="276" w:lineRule="auto"/>
              <w:jc w:val="right"/>
              <w:rPr>
                <w:sz w:val="20"/>
                <w:szCs w:val="20"/>
              </w:rPr>
            </w:pPr>
            <w:r>
              <w:rPr>
                <w:sz w:val="20"/>
                <w:szCs w:val="20"/>
              </w:rPr>
              <w:t>12</w:t>
            </w:r>
          </w:p>
        </w:tc>
        <w:tc>
          <w:tcPr>
            <w:tcW w:w="1071" w:type="dxa"/>
          </w:tcPr>
          <w:p w:rsidR="00E23B74" w:rsidRPr="00BB7053" w:rsidP="00E23B74" w14:paraId="4A661A70" w14:textId="523A5B13">
            <w:pPr>
              <w:tabs>
                <w:tab w:val="left" w:pos="6030"/>
              </w:tabs>
              <w:spacing w:line="276" w:lineRule="auto"/>
              <w:jc w:val="right"/>
              <w:rPr>
                <w:sz w:val="20"/>
                <w:szCs w:val="20"/>
              </w:rPr>
            </w:pPr>
            <w:r>
              <w:rPr>
                <w:sz w:val="20"/>
                <w:szCs w:val="20"/>
              </w:rPr>
              <w:t>12</w:t>
            </w:r>
            <w:r>
              <w:rPr>
                <w:sz w:val="20"/>
                <w:szCs w:val="20"/>
              </w:rPr>
              <w:t>0</w:t>
            </w:r>
          </w:p>
        </w:tc>
        <w:tc>
          <w:tcPr>
            <w:tcW w:w="1067" w:type="dxa"/>
          </w:tcPr>
          <w:p w:rsidR="00E23B74" w:rsidRPr="00BB7053" w:rsidP="00E23B74" w14:paraId="4A111FEA" w14:textId="51EF5514">
            <w:pPr>
              <w:tabs>
                <w:tab w:val="left" w:pos="6030"/>
              </w:tabs>
              <w:spacing w:line="276" w:lineRule="auto"/>
              <w:jc w:val="right"/>
              <w:rPr>
                <w:sz w:val="20"/>
                <w:szCs w:val="20"/>
              </w:rPr>
            </w:pPr>
            <w:r>
              <w:rPr>
                <w:sz w:val="20"/>
                <w:szCs w:val="20"/>
              </w:rPr>
              <w:t>Varies</w:t>
            </w:r>
          </w:p>
        </w:tc>
        <w:tc>
          <w:tcPr>
            <w:tcW w:w="1681" w:type="dxa"/>
          </w:tcPr>
          <w:p w:rsidR="00E23B74" w:rsidRPr="00BB7053" w:rsidP="00E23B74" w14:paraId="0E023D10" w14:textId="23C4C62A">
            <w:pPr>
              <w:tabs>
                <w:tab w:val="left" w:pos="6030"/>
              </w:tabs>
              <w:spacing w:line="276" w:lineRule="auto"/>
              <w:jc w:val="right"/>
              <w:rPr>
                <w:sz w:val="20"/>
                <w:szCs w:val="20"/>
              </w:rPr>
            </w:pPr>
            <w:r>
              <w:rPr>
                <w:sz w:val="20"/>
                <w:szCs w:val="20"/>
              </w:rPr>
              <w:t>22,033</w:t>
            </w:r>
          </w:p>
        </w:tc>
      </w:tr>
      <w:tr w14:paraId="1A9CA817" w14:textId="77777777" w:rsidTr="003830B0">
        <w:tblPrEx>
          <w:tblW w:w="9715" w:type="dxa"/>
          <w:tblLook w:val="04A0"/>
        </w:tblPrEx>
        <w:tc>
          <w:tcPr>
            <w:tcW w:w="1251" w:type="dxa"/>
          </w:tcPr>
          <w:p w:rsidR="00B12E7A" w:rsidRPr="00BB7053" w:rsidP="00192E2E" w14:paraId="5520B90E" w14:textId="4FD0490F">
            <w:pPr>
              <w:tabs>
                <w:tab w:val="left" w:pos="6030"/>
              </w:tabs>
              <w:spacing w:line="276" w:lineRule="auto"/>
              <w:rPr>
                <w:sz w:val="20"/>
                <w:szCs w:val="20"/>
              </w:rPr>
            </w:pPr>
            <w:r>
              <w:rPr>
                <w:sz w:val="20"/>
                <w:szCs w:val="20"/>
              </w:rPr>
              <w:t>Finaliz</w:t>
            </w:r>
            <w:r w:rsidR="00507D1D">
              <w:rPr>
                <w:sz w:val="20"/>
                <w:szCs w:val="20"/>
              </w:rPr>
              <w:t xml:space="preserve">ed </w:t>
            </w:r>
            <w:r w:rsidRPr="00A67FD9" w:rsidR="00A67FD9">
              <w:rPr>
                <w:sz w:val="20"/>
                <w:szCs w:val="20"/>
              </w:rPr>
              <w:t>(See Table 2</w:t>
            </w:r>
            <w:r w:rsidR="00255A3E">
              <w:rPr>
                <w:sz w:val="20"/>
                <w:szCs w:val="20"/>
              </w:rPr>
              <w:t>3</w:t>
            </w:r>
            <w:r w:rsidRPr="00A67FD9" w:rsidR="00A67FD9">
              <w:rPr>
                <w:sz w:val="20"/>
                <w:szCs w:val="20"/>
              </w:rPr>
              <w:t>)</w:t>
            </w:r>
          </w:p>
        </w:tc>
        <w:tc>
          <w:tcPr>
            <w:tcW w:w="1306" w:type="dxa"/>
          </w:tcPr>
          <w:p w:rsidR="00B12E7A" w:rsidRPr="00BB7053" w:rsidP="00B12E7A" w14:paraId="63684200" w14:textId="68F7173C">
            <w:pPr>
              <w:tabs>
                <w:tab w:val="left" w:pos="6030"/>
              </w:tabs>
              <w:spacing w:line="276" w:lineRule="auto"/>
              <w:jc w:val="right"/>
              <w:rPr>
                <w:sz w:val="20"/>
                <w:szCs w:val="20"/>
              </w:rPr>
            </w:pPr>
            <w:r>
              <w:rPr>
                <w:sz w:val="20"/>
                <w:szCs w:val="20"/>
              </w:rPr>
              <w:t>1</w:t>
            </w:r>
            <w:r w:rsidR="00507D1D">
              <w:rPr>
                <w:sz w:val="20"/>
                <w:szCs w:val="20"/>
              </w:rPr>
              <w:t>0</w:t>
            </w:r>
          </w:p>
        </w:tc>
        <w:tc>
          <w:tcPr>
            <w:tcW w:w="1168" w:type="dxa"/>
          </w:tcPr>
          <w:p w:rsidR="00B12E7A" w:rsidRPr="00BB7053" w:rsidP="00B12E7A" w14:paraId="31B8D3C4" w14:textId="5982C5DB">
            <w:pPr>
              <w:tabs>
                <w:tab w:val="left" w:pos="6030"/>
              </w:tabs>
              <w:spacing w:line="276" w:lineRule="auto"/>
              <w:jc w:val="right"/>
              <w:rPr>
                <w:sz w:val="20"/>
                <w:szCs w:val="20"/>
              </w:rPr>
            </w:pPr>
            <w:r>
              <w:rPr>
                <w:sz w:val="20"/>
                <w:szCs w:val="20"/>
              </w:rPr>
              <w:t>1</w:t>
            </w:r>
          </w:p>
        </w:tc>
        <w:tc>
          <w:tcPr>
            <w:tcW w:w="1094" w:type="dxa"/>
          </w:tcPr>
          <w:p w:rsidR="00B12E7A" w:rsidRPr="00BB7053" w:rsidP="00B12E7A" w14:paraId="1AA0D0E9" w14:textId="6A433721">
            <w:pPr>
              <w:tabs>
                <w:tab w:val="left" w:pos="6030"/>
              </w:tabs>
              <w:spacing w:line="276" w:lineRule="auto"/>
              <w:jc w:val="right"/>
              <w:rPr>
                <w:sz w:val="20"/>
                <w:szCs w:val="20"/>
              </w:rPr>
            </w:pPr>
            <w:r>
              <w:rPr>
                <w:sz w:val="20"/>
                <w:szCs w:val="20"/>
              </w:rPr>
              <w:t>1</w:t>
            </w:r>
            <w:r w:rsidR="00507D1D">
              <w:rPr>
                <w:sz w:val="20"/>
                <w:szCs w:val="20"/>
              </w:rPr>
              <w:t>0</w:t>
            </w:r>
          </w:p>
        </w:tc>
        <w:tc>
          <w:tcPr>
            <w:tcW w:w="1077" w:type="dxa"/>
          </w:tcPr>
          <w:p w:rsidR="00B12E7A" w:rsidRPr="00BB7053" w:rsidP="00B12E7A" w14:paraId="267B31CB" w14:textId="179D4487">
            <w:pPr>
              <w:tabs>
                <w:tab w:val="left" w:pos="6030"/>
              </w:tabs>
              <w:spacing w:line="276" w:lineRule="auto"/>
              <w:jc w:val="right"/>
              <w:rPr>
                <w:sz w:val="20"/>
                <w:szCs w:val="20"/>
              </w:rPr>
            </w:pPr>
            <w:r>
              <w:rPr>
                <w:sz w:val="20"/>
                <w:szCs w:val="20"/>
              </w:rPr>
              <w:t>12</w:t>
            </w:r>
          </w:p>
        </w:tc>
        <w:tc>
          <w:tcPr>
            <w:tcW w:w="1071" w:type="dxa"/>
          </w:tcPr>
          <w:p w:rsidR="00B12E7A" w:rsidRPr="00BB7053" w:rsidP="00B12E7A" w14:paraId="5F320698" w14:textId="2FA6E121">
            <w:pPr>
              <w:tabs>
                <w:tab w:val="left" w:pos="6030"/>
              </w:tabs>
              <w:spacing w:line="276" w:lineRule="auto"/>
              <w:jc w:val="right"/>
              <w:rPr>
                <w:sz w:val="20"/>
                <w:szCs w:val="20"/>
              </w:rPr>
            </w:pPr>
            <w:r>
              <w:rPr>
                <w:sz w:val="20"/>
                <w:szCs w:val="20"/>
              </w:rPr>
              <w:t>1</w:t>
            </w:r>
            <w:r w:rsidR="00507D1D">
              <w:rPr>
                <w:sz w:val="20"/>
                <w:szCs w:val="20"/>
              </w:rPr>
              <w:t>2</w:t>
            </w:r>
            <w:r>
              <w:rPr>
                <w:sz w:val="20"/>
                <w:szCs w:val="20"/>
              </w:rPr>
              <w:t>0</w:t>
            </w:r>
          </w:p>
        </w:tc>
        <w:tc>
          <w:tcPr>
            <w:tcW w:w="1067" w:type="dxa"/>
          </w:tcPr>
          <w:p w:rsidR="00B12E7A" w:rsidRPr="00BB7053" w:rsidP="00B12E7A" w14:paraId="1D33EADC" w14:textId="7F81B8B1">
            <w:pPr>
              <w:tabs>
                <w:tab w:val="left" w:pos="6030"/>
              </w:tabs>
              <w:spacing w:line="276" w:lineRule="auto"/>
              <w:jc w:val="right"/>
              <w:rPr>
                <w:sz w:val="20"/>
                <w:szCs w:val="20"/>
              </w:rPr>
            </w:pPr>
            <w:r>
              <w:rPr>
                <w:sz w:val="20"/>
                <w:szCs w:val="20"/>
              </w:rPr>
              <w:t>Varies</w:t>
            </w:r>
          </w:p>
        </w:tc>
        <w:tc>
          <w:tcPr>
            <w:tcW w:w="1681" w:type="dxa"/>
          </w:tcPr>
          <w:p w:rsidR="00B12E7A" w:rsidRPr="00BB7053" w:rsidP="00B12E7A" w14:paraId="6BC5B424" w14:textId="1A91F047">
            <w:pPr>
              <w:tabs>
                <w:tab w:val="left" w:pos="6030"/>
              </w:tabs>
              <w:spacing w:line="276" w:lineRule="auto"/>
              <w:jc w:val="right"/>
              <w:rPr>
                <w:sz w:val="20"/>
                <w:szCs w:val="20"/>
              </w:rPr>
            </w:pPr>
            <w:r>
              <w:rPr>
                <w:sz w:val="20"/>
                <w:szCs w:val="20"/>
              </w:rPr>
              <w:t>2</w:t>
            </w:r>
            <w:r w:rsidR="00B92207">
              <w:rPr>
                <w:sz w:val="20"/>
                <w:szCs w:val="20"/>
              </w:rPr>
              <w:t>2,033</w:t>
            </w:r>
          </w:p>
        </w:tc>
      </w:tr>
      <w:tr w14:paraId="37795A02" w14:textId="77777777" w:rsidTr="003830B0">
        <w:tblPrEx>
          <w:tblW w:w="9715" w:type="dxa"/>
          <w:tblLook w:val="04A0"/>
        </w:tblPrEx>
        <w:tc>
          <w:tcPr>
            <w:tcW w:w="1251" w:type="dxa"/>
            <w:shd w:val="clear" w:color="auto" w:fill="D9D9D9" w:themeFill="background1" w:themeFillShade="D9"/>
          </w:tcPr>
          <w:p w:rsidR="00B12E7A" w:rsidRPr="00BB7053" w:rsidP="00B12E7A" w14:paraId="06E93A20"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B12E7A" w:rsidRPr="00BB7053" w:rsidP="00B12E7A" w14:paraId="3C6780D8" w14:textId="74F29CFC">
            <w:pPr>
              <w:tabs>
                <w:tab w:val="left" w:pos="6030"/>
              </w:tabs>
              <w:spacing w:line="276" w:lineRule="auto"/>
              <w:jc w:val="right"/>
              <w:rPr>
                <w:sz w:val="20"/>
                <w:szCs w:val="20"/>
              </w:rPr>
            </w:pPr>
            <w:r>
              <w:rPr>
                <w:sz w:val="20"/>
                <w:szCs w:val="20"/>
              </w:rPr>
              <w:t>No change</w:t>
            </w:r>
          </w:p>
        </w:tc>
        <w:tc>
          <w:tcPr>
            <w:tcW w:w="1168" w:type="dxa"/>
            <w:shd w:val="clear" w:color="auto" w:fill="D9D9D9" w:themeFill="background1" w:themeFillShade="D9"/>
          </w:tcPr>
          <w:p w:rsidR="00B12E7A" w:rsidRPr="00BB7053" w:rsidP="00B12E7A" w14:paraId="69C6A02E" w14:textId="3BDF43C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B12E7A" w:rsidRPr="00BB7053" w:rsidP="00B12E7A" w14:paraId="03FBEA05" w14:textId="2ED82EB4">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00B12E7A" w:rsidRPr="00BB7053" w:rsidP="00B12E7A" w14:paraId="724D651B" w14:textId="1D7C1EF9">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00B12E7A" w:rsidRPr="00BB7053" w:rsidP="00B12E7A" w14:paraId="1E2CABDB" w14:textId="56767288">
            <w:pPr>
              <w:tabs>
                <w:tab w:val="left" w:pos="6030"/>
              </w:tabs>
              <w:spacing w:line="276" w:lineRule="auto"/>
              <w:jc w:val="right"/>
              <w:rPr>
                <w:sz w:val="20"/>
                <w:szCs w:val="20"/>
              </w:rPr>
            </w:pPr>
            <w:r>
              <w:rPr>
                <w:sz w:val="20"/>
                <w:szCs w:val="20"/>
              </w:rPr>
              <w:t>No change</w:t>
            </w:r>
          </w:p>
        </w:tc>
        <w:tc>
          <w:tcPr>
            <w:tcW w:w="1067" w:type="dxa"/>
            <w:shd w:val="clear" w:color="auto" w:fill="D9D9D9" w:themeFill="background1" w:themeFillShade="D9"/>
          </w:tcPr>
          <w:p w:rsidR="00B12E7A" w:rsidRPr="00BB7053" w:rsidP="00B12E7A" w14:paraId="32C9AB87" w14:textId="15F6AA03">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00B12E7A" w:rsidRPr="00BB7053" w:rsidP="00B12E7A" w14:paraId="7DC63201" w14:textId="498CC29E">
            <w:pPr>
              <w:tabs>
                <w:tab w:val="left" w:pos="6030"/>
              </w:tabs>
              <w:spacing w:line="276" w:lineRule="auto"/>
              <w:jc w:val="right"/>
              <w:rPr>
                <w:sz w:val="20"/>
                <w:szCs w:val="20"/>
              </w:rPr>
            </w:pPr>
            <w:r>
              <w:rPr>
                <w:sz w:val="20"/>
                <w:szCs w:val="20"/>
              </w:rPr>
              <w:t>No change</w:t>
            </w:r>
          </w:p>
        </w:tc>
      </w:tr>
    </w:tbl>
    <w:p w:rsidR="00DD4342" w14:paraId="7057AB87" w14:textId="77777777">
      <w:pPr>
        <w:rPr>
          <w:rFonts w:eastAsia="Calibri"/>
          <w:b/>
          <w:bCs/>
        </w:rPr>
      </w:pPr>
      <w:r>
        <w:rPr>
          <w:rFonts w:eastAsia="Calibri"/>
          <w:b/>
          <w:bCs/>
        </w:rPr>
        <w:br w:type="page"/>
      </w:r>
    </w:p>
    <w:p w:rsidR="00885183" w:rsidP="00FC0888" w14:paraId="73D5F9DE" w14:textId="3812FE04">
      <w:pPr>
        <w:keepNext/>
        <w:keepLines/>
        <w:jc w:val="center"/>
        <w:rPr>
          <w:b/>
          <w:bCs/>
        </w:rPr>
      </w:pPr>
      <w:r w:rsidRPr="00B30713">
        <w:rPr>
          <w:rFonts w:eastAsia="Calibri"/>
          <w:b/>
          <w:bCs/>
        </w:rPr>
        <w:t xml:space="preserve">TABLE </w:t>
      </w:r>
      <w:r w:rsidR="00C1361E">
        <w:rPr>
          <w:rFonts w:eastAsia="Calibri"/>
          <w:b/>
          <w:bCs/>
        </w:rPr>
        <w:t>3</w:t>
      </w:r>
      <w:r w:rsidR="00B27259">
        <w:rPr>
          <w:rFonts w:eastAsia="Calibri"/>
          <w:b/>
          <w:bCs/>
        </w:rPr>
        <w:t>1U</w:t>
      </w:r>
      <w:r w:rsidRPr="00B30713">
        <w:rPr>
          <w:rFonts w:eastAsia="Calibri"/>
          <w:b/>
          <w:bCs/>
        </w:rPr>
        <w:t xml:space="preserve">: Burden Reconciliation for </w:t>
      </w:r>
      <w:r w:rsidRPr="00206695" w:rsidR="00206695">
        <w:rPr>
          <w:rFonts w:eastAsia="Calibri"/>
          <w:b/>
          <w:bCs/>
        </w:rPr>
        <w:t>Partial QP Election</w:t>
      </w:r>
    </w:p>
    <w:tbl>
      <w:tblPr>
        <w:tblStyle w:val="TableGrid"/>
        <w:tblW w:w="9805" w:type="dxa"/>
        <w:tblLook w:val="04A0"/>
      </w:tblPr>
      <w:tblGrid>
        <w:gridCol w:w="1252"/>
        <w:gridCol w:w="1306"/>
        <w:gridCol w:w="1168"/>
        <w:gridCol w:w="1094"/>
        <w:gridCol w:w="1077"/>
        <w:gridCol w:w="1071"/>
        <w:gridCol w:w="1068"/>
        <w:gridCol w:w="1769"/>
      </w:tblGrid>
      <w:tr w14:paraId="2582352A" w14:textId="77777777" w:rsidTr="003830B0">
        <w:tblPrEx>
          <w:tblW w:w="9805" w:type="dxa"/>
          <w:tblLook w:val="04A0"/>
        </w:tblPrEx>
        <w:trPr>
          <w:tblHeader/>
        </w:trPr>
        <w:tc>
          <w:tcPr>
            <w:tcW w:w="1252" w:type="dxa"/>
          </w:tcPr>
          <w:p w:rsidR="00885183" w:rsidRPr="00173FA2" w:rsidP="00FC0888" w14:paraId="72DFBCC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FC0888" w14:paraId="0C59CCF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00885183" w:rsidRPr="00173FA2" w:rsidP="00FC0888" w14:paraId="6C194C9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FC0888" w14:paraId="219C186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00885183" w:rsidRPr="00173FA2" w:rsidP="00FC0888" w14:paraId="7C619982"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00885183" w:rsidRPr="00173FA2" w:rsidP="00FC0888" w14:paraId="474B0BD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00885183" w:rsidRPr="00173FA2" w:rsidP="00FC0888" w14:paraId="2512C5AC"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769" w:type="dxa"/>
          </w:tcPr>
          <w:p w:rsidR="00885183" w:rsidRPr="00173FA2" w:rsidP="00FC0888" w14:paraId="5C362DA7" w14:textId="77777777">
            <w:pPr>
              <w:keepNext/>
              <w:keepLines/>
              <w:tabs>
                <w:tab w:val="left" w:pos="6030"/>
              </w:tabs>
              <w:spacing w:line="276" w:lineRule="auto"/>
              <w:rPr>
                <w:b/>
                <w:bCs/>
                <w:sz w:val="20"/>
                <w:szCs w:val="20"/>
              </w:rPr>
            </w:pPr>
            <w:r w:rsidRPr="00173FA2">
              <w:rPr>
                <w:b/>
                <w:bCs/>
                <w:sz w:val="20"/>
                <w:szCs w:val="20"/>
              </w:rPr>
              <w:t>Total Annual Cost ($)</w:t>
            </w:r>
          </w:p>
        </w:tc>
      </w:tr>
      <w:tr w14:paraId="3D234594" w14:textId="77777777" w:rsidTr="003830B0">
        <w:tblPrEx>
          <w:tblW w:w="9805" w:type="dxa"/>
          <w:tblLook w:val="04A0"/>
        </w:tblPrEx>
        <w:tc>
          <w:tcPr>
            <w:tcW w:w="1252" w:type="dxa"/>
          </w:tcPr>
          <w:p w:rsidR="00FD6503" w:rsidRPr="00BB7053" w:rsidP="00FC0888" w14:paraId="0F3E4967" w14:textId="297D5E9C">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FD6503" w:rsidRPr="00BB7053" w:rsidP="00FC0888" w14:paraId="6392B049" w14:textId="4BA7B865">
            <w:pPr>
              <w:keepNext/>
              <w:keepLines/>
              <w:tabs>
                <w:tab w:val="left" w:pos="6030"/>
              </w:tabs>
              <w:spacing w:line="276" w:lineRule="auto"/>
              <w:jc w:val="right"/>
              <w:rPr>
                <w:sz w:val="20"/>
                <w:szCs w:val="20"/>
              </w:rPr>
            </w:pPr>
            <w:r>
              <w:rPr>
                <w:sz w:val="20"/>
                <w:szCs w:val="20"/>
              </w:rPr>
              <w:t>2</w:t>
            </w:r>
            <w:r w:rsidR="00A73D71">
              <w:rPr>
                <w:sz w:val="20"/>
                <w:szCs w:val="20"/>
              </w:rPr>
              <w:t>87</w:t>
            </w:r>
          </w:p>
        </w:tc>
        <w:tc>
          <w:tcPr>
            <w:tcW w:w="1168" w:type="dxa"/>
          </w:tcPr>
          <w:p w:rsidR="00FD6503" w:rsidRPr="00BB7053" w:rsidP="00FC0888" w14:paraId="0D81BF62" w14:textId="59B97962">
            <w:pPr>
              <w:keepNext/>
              <w:keepLines/>
              <w:tabs>
                <w:tab w:val="left" w:pos="6030"/>
              </w:tabs>
              <w:spacing w:line="276" w:lineRule="auto"/>
              <w:jc w:val="right"/>
              <w:rPr>
                <w:sz w:val="20"/>
                <w:szCs w:val="20"/>
              </w:rPr>
            </w:pPr>
            <w:r>
              <w:rPr>
                <w:sz w:val="20"/>
                <w:szCs w:val="20"/>
              </w:rPr>
              <w:t>1</w:t>
            </w:r>
          </w:p>
        </w:tc>
        <w:tc>
          <w:tcPr>
            <w:tcW w:w="1094" w:type="dxa"/>
          </w:tcPr>
          <w:p w:rsidR="00FD6503" w:rsidRPr="00BB7053" w:rsidP="00FC0888" w14:paraId="4597C46E" w14:textId="7C59C577">
            <w:pPr>
              <w:keepNext/>
              <w:keepLines/>
              <w:tabs>
                <w:tab w:val="left" w:pos="6030"/>
              </w:tabs>
              <w:spacing w:line="276" w:lineRule="auto"/>
              <w:jc w:val="right"/>
              <w:rPr>
                <w:sz w:val="20"/>
                <w:szCs w:val="20"/>
              </w:rPr>
            </w:pPr>
            <w:r>
              <w:rPr>
                <w:sz w:val="20"/>
                <w:szCs w:val="20"/>
              </w:rPr>
              <w:t>2</w:t>
            </w:r>
            <w:r w:rsidR="00A73D71">
              <w:rPr>
                <w:sz w:val="20"/>
                <w:szCs w:val="20"/>
              </w:rPr>
              <w:t>87</w:t>
            </w:r>
          </w:p>
        </w:tc>
        <w:tc>
          <w:tcPr>
            <w:tcW w:w="1077" w:type="dxa"/>
          </w:tcPr>
          <w:p w:rsidR="00FD6503" w:rsidRPr="00BB7053" w:rsidP="00FC0888" w14:paraId="6A5781C8" w14:textId="766A32F5">
            <w:pPr>
              <w:keepNext/>
              <w:keepLines/>
              <w:tabs>
                <w:tab w:val="left" w:pos="6030"/>
              </w:tabs>
              <w:spacing w:line="276" w:lineRule="auto"/>
              <w:jc w:val="right"/>
              <w:rPr>
                <w:sz w:val="20"/>
                <w:szCs w:val="20"/>
              </w:rPr>
            </w:pPr>
            <w:r>
              <w:rPr>
                <w:sz w:val="20"/>
                <w:szCs w:val="20"/>
              </w:rPr>
              <w:t>0.25</w:t>
            </w:r>
          </w:p>
        </w:tc>
        <w:tc>
          <w:tcPr>
            <w:tcW w:w="1071" w:type="dxa"/>
          </w:tcPr>
          <w:p w:rsidR="00FD6503" w:rsidRPr="00BB7053" w:rsidP="00FC0888" w14:paraId="3A1ABCFC" w14:textId="3DFC7E75">
            <w:pPr>
              <w:keepNext/>
              <w:keepLines/>
              <w:tabs>
                <w:tab w:val="left" w:pos="6030"/>
              </w:tabs>
              <w:spacing w:line="276" w:lineRule="auto"/>
              <w:jc w:val="right"/>
              <w:rPr>
                <w:sz w:val="20"/>
                <w:szCs w:val="20"/>
              </w:rPr>
            </w:pPr>
            <w:r>
              <w:rPr>
                <w:sz w:val="20"/>
                <w:szCs w:val="20"/>
              </w:rPr>
              <w:t>72</w:t>
            </w:r>
          </w:p>
        </w:tc>
        <w:tc>
          <w:tcPr>
            <w:tcW w:w="1068" w:type="dxa"/>
          </w:tcPr>
          <w:p w:rsidR="00FD6503" w:rsidRPr="00BB7053" w:rsidP="00FC0888" w14:paraId="2ED0D588" w14:textId="192ADA74">
            <w:pPr>
              <w:keepNext/>
              <w:keepLines/>
              <w:tabs>
                <w:tab w:val="left" w:pos="6030"/>
              </w:tabs>
              <w:spacing w:line="276" w:lineRule="auto"/>
              <w:jc w:val="right"/>
              <w:rPr>
                <w:sz w:val="20"/>
                <w:szCs w:val="20"/>
              </w:rPr>
            </w:pPr>
            <w:r>
              <w:rPr>
                <w:sz w:val="20"/>
                <w:szCs w:val="20"/>
              </w:rPr>
              <w:t>103.40</w:t>
            </w:r>
          </w:p>
        </w:tc>
        <w:tc>
          <w:tcPr>
            <w:tcW w:w="1769" w:type="dxa"/>
          </w:tcPr>
          <w:p w:rsidR="00FD6503" w:rsidRPr="00BB7053" w:rsidP="00FC0888" w14:paraId="1C9C8EE9" w14:textId="1C0B5EEC">
            <w:pPr>
              <w:keepNext/>
              <w:keepLines/>
              <w:tabs>
                <w:tab w:val="left" w:pos="6030"/>
              </w:tabs>
              <w:spacing w:line="276" w:lineRule="auto"/>
              <w:jc w:val="right"/>
              <w:rPr>
                <w:sz w:val="20"/>
                <w:szCs w:val="20"/>
              </w:rPr>
            </w:pPr>
            <w:r>
              <w:rPr>
                <w:sz w:val="20"/>
                <w:szCs w:val="20"/>
              </w:rPr>
              <w:t>7,419</w:t>
            </w:r>
          </w:p>
        </w:tc>
      </w:tr>
      <w:tr w14:paraId="515566E8" w14:textId="77777777" w:rsidTr="003830B0">
        <w:tblPrEx>
          <w:tblW w:w="9805" w:type="dxa"/>
          <w:tblLook w:val="04A0"/>
        </w:tblPrEx>
        <w:tc>
          <w:tcPr>
            <w:tcW w:w="1252" w:type="dxa"/>
          </w:tcPr>
          <w:p w:rsidR="00FD6503" w:rsidRPr="00BB7053" w:rsidP="00FC0888" w14:paraId="0D311CCE" w14:textId="048F98D3">
            <w:pPr>
              <w:keepNext/>
              <w:keepLines/>
              <w:tabs>
                <w:tab w:val="left" w:pos="6030"/>
              </w:tabs>
              <w:spacing w:line="276" w:lineRule="auto"/>
              <w:rPr>
                <w:sz w:val="20"/>
                <w:szCs w:val="20"/>
              </w:rPr>
            </w:pPr>
            <w:r>
              <w:rPr>
                <w:sz w:val="20"/>
                <w:szCs w:val="20"/>
              </w:rPr>
              <w:t>Finaliz</w:t>
            </w:r>
            <w:r w:rsidR="00583747">
              <w:rPr>
                <w:sz w:val="20"/>
                <w:szCs w:val="20"/>
              </w:rPr>
              <w:t xml:space="preserve">ed </w:t>
            </w:r>
            <w:r w:rsidRPr="00A67FD9" w:rsidR="00A67FD9">
              <w:rPr>
                <w:sz w:val="20"/>
                <w:szCs w:val="20"/>
              </w:rPr>
              <w:t>(See Table 2</w:t>
            </w:r>
            <w:r w:rsidR="00A73D71">
              <w:rPr>
                <w:sz w:val="20"/>
                <w:szCs w:val="20"/>
              </w:rPr>
              <w:t>4</w:t>
            </w:r>
            <w:r w:rsidRPr="00A67FD9" w:rsidR="00A67FD9">
              <w:rPr>
                <w:sz w:val="20"/>
                <w:szCs w:val="20"/>
              </w:rPr>
              <w:t>)</w:t>
            </w:r>
          </w:p>
        </w:tc>
        <w:tc>
          <w:tcPr>
            <w:tcW w:w="1306" w:type="dxa"/>
          </w:tcPr>
          <w:p w:rsidR="00FD6503" w:rsidRPr="00BB7053" w:rsidP="00FC0888" w14:paraId="302ABCBD" w14:textId="60413A82">
            <w:pPr>
              <w:keepNext/>
              <w:keepLines/>
              <w:tabs>
                <w:tab w:val="left" w:pos="6030"/>
              </w:tabs>
              <w:spacing w:line="276" w:lineRule="auto"/>
              <w:jc w:val="right"/>
              <w:rPr>
                <w:sz w:val="20"/>
                <w:szCs w:val="20"/>
              </w:rPr>
            </w:pPr>
            <w:r>
              <w:rPr>
                <w:sz w:val="20"/>
                <w:szCs w:val="20"/>
              </w:rPr>
              <w:t>2</w:t>
            </w:r>
            <w:r w:rsidR="00521814">
              <w:rPr>
                <w:sz w:val="20"/>
                <w:szCs w:val="20"/>
              </w:rPr>
              <w:t>87</w:t>
            </w:r>
          </w:p>
        </w:tc>
        <w:tc>
          <w:tcPr>
            <w:tcW w:w="1168" w:type="dxa"/>
          </w:tcPr>
          <w:p w:rsidR="00FD6503" w:rsidRPr="00BB7053" w:rsidP="00FC0888" w14:paraId="72977773" w14:textId="213397C9">
            <w:pPr>
              <w:keepNext/>
              <w:keepLines/>
              <w:tabs>
                <w:tab w:val="left" w:pos="6030"/>
              </w:tabs>
              <w:spacing w:line="276" w:lineRule="auto"/>
              <w:jc w:val="right"/>
              <w:rPr>
                <w:sz w:val="20"/>
                <w:szCs w:val="20"/>
              </w:rPr>
            </w:pPr>
            <w:r>
              <w:rPr>
                <w:sz w:val="20"/>
                <w:szCs w:val="20"/>
              </w:rPr>
              <w:t>1</w:t>
            </w:r>
          </w:p>
        </w:tc>
        <w:tc>
          <w:tcPr>
            <w:tcW w:w="1094" w:type="dxa"/>
          </w:tcPr>
          <w:p w:rsidR="00FD6503" w:rsidRPr="00BB7053" w:rsidP="00FC0888" w14:paraId="37CE59FC" w14:textId="416E69EA">
            <w:pPr>
              <w:keepNext/>
              <w:keepLines/>
              <w:tabs>
                <w:tab w:val="left" w:pos="6030"/>
              </w:tabs>
              <w:spacing w:line="276" w:lineRule="auto"/>
              <w:jc w:val="right"/>
              <w:rPr>
                <w:sz w:val="20"/>
                <w:szCs w:val="20"/>
              </w:rPr>
            </w:pPr>
            <w:r>
              <w:rPr>
                <w:sz w:val="20"/>
                <w:szCs w:val="20"/>
              </w:rPr>
              <w:t>2</w:t>
            </w:r>
            <w:r w:rsidR="004A6235">
              <w:rPr>
                <w:sz w:val="20"/>
                <w:szCs w:val="20"/>
              </w:rPr>
              <w:t>87</w:t>
            </w:r>
          </w:p>
        </w:tc>
        <w:tc>
          <w:tcPr>
            <w:tcW w:w="1077" w:type="dxa"/>
          </w:tcPr>
          <w:p w:rsidR="00FD6503" w:rsidRPr="00BB7053" w:rsidP="00FC0888" w14:paraId="025EDEE9" w14:textId="54C072BB">
            <w:pPr>
              <w:keepNext/>
              <w:keepLines/>
              <w:tabs>
                <w:tab w:val="left" w:pos="6030"/>
              </w:tabs>
              <w:spacing w:line="276" w:lineRule="auto"/>
              <w:jc w:val="right"/>
              <w:rPr>
                <w:sz w:val="20"/>
                <w:szCs w:val="20"/>
              </w:rPr>
            </w:pPr>
            <w:r>
              <w:rPr>
                <w:sz w:val="20"/>
                <w:szCs w:val="20"/>
              </w:rPr>
              <w:t>0.25</w:t>
            </w:r>
          </w:p>
        </w:tc>
        <w:tc>
          <w:tcPr>
            <w:tcW w:w="1071" w:type="dxa"/>
          </w:tcPr>
          <w:p w:rsidR="00FD6503" w:rsidRPr="00BB7053" w:rsidP="00FC0888" w14:paraId="0C9A3344" w14:textId="4C148E3D">
            <w:pPr>
              <w:keepNext/>
              <w:keepLines/>
              <w:tabs>
                <w:tab w:val="left" w:pos="6030"/>
              </w:tabs>
              <w:spacing w:line="276" w:lineRule="auto"/>
              <w:jc w:val="right"/>
              <w:rPr>
                <w:sz w:val="20"/>
                <w:szCs w:val="20"/>
              </w:rPr>
            </w:pPr>
            <w:r>
              <w:rPr>
                <w:sz w:val="20"/>
                <w:szCs w:val="20"/>
              </w:rPr>
              <w:t>72</w:t>
            </w:r>
          </w:p>
        </w:tc>
        <w:tc>
          <w:tcPr>
            <w:tcW w:w="1068" w:type="dxa"/>
          </w:tcPr>
          <w:p w:rsidR="00FD6503" w:rsidRPr="00BB7053" w:rsidP="00FC0888" w14:paraId="12AD680A" w14:textId="3668D6B6">
            <w:pPr>
              <w:keepNext/>
              <w:keepLines/>
              <w:tabs>
                <w:tab w:val="left" w:pos="6030"/>
              </w:tabs>
              <w:spacing w:line="276" w:lineRule="auto"/>
              <w:jc w:val="right"/>
              <w:rPr>
                <w:sz w:val="20"/>
                <w:szCs w:val="20"/>
              </w:rPr>
            </w:pPr>
            <w:r>
              <w:rPr>
                <w:sz w:val="20"/>
                <w:szCs w:val="20"/>
              </w:rPr>
              <w:t>103.40</w:t>
            </w:r>
          </w:p>
        </w:tc>
        <w:tc>
          <w:tcPr>
            <w:tcW w:w="1769" w:type="dxa"/>
          </w:tcPr>
          <w:p w:rsidR="00FD6503" w:rsidRPr="00BB7053" w:rsidP="00FC0888" w14:paraId="217CF1CF" w14:textId="6F01E273">
            <w:pPr>
              <w:keepNext/>
              <w:keepLines/>
              <w:tabs>
                <w:tab w:val="left" w:pos="6030"/>
              </w:tabs>
              <w:spacing w:line="276" w:lineRule="auto"/>
              <w:jc w:val="right"/>
              <w:rPr>
                <w:sz w:val="20"/>
                <w:szCs w:val="20"/>
              </w:rPr>
            </w:pPr>
            <w:r>
              <w:rPr>
                <w:sz w:val="20"/>
                <w:szCs w:val="20"/>
              </w:rPr>
              <w:t>7,</w:t>
            </w:r>
            <w:r w:rsidR="00A73D71">
              <w:rPr>
                <w:sz w:val="20"/>
                <w:szCs w:val="20"/>
              </w:rPr>
              <w:t>419</w:t>
            </w:r>
          </w:p>
        </w:tc>
      </w:tr>
      <w:tr w14:paraId="450FF888" w14:textId="77777777" w:rsidTr="003830B0">
        <w:tblPrEx>
          <w:tblW w:w="9805" w:type="dxa"/>
          <w:tblLook w:val="04A0"/>
        </w:tblPrEx>
        <w:tc>
          <w:tcPr>
            <w:tcW w:w="1252" w:type="dxa"/>
            <w:shd w:val="clear" w:color="auto" w:fill="D9D9D9" w:themeFill="background1" w:themeFillShade="D9"/>
          </w:tcPr>
          <w:p w:rsidR="00FD6503" w:rsidRPr="00BB7053" w:rsidP="00FD6503" w14:paraId="5459A62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FD6503" w:rsidRPr="00BB7053" w:rsidP="003D29BA" w14:paraId="0E486D2E" w14:textId="365949EB">
            <w:pPr>
              <w:tabs>
                <w:tab w:val="left" w:pos="6030"/>
              </w:tabs>
              <w:spacing w:line="276" w:lineRule="auto"/>
              <w:jc w:val="center"/>
              <w:rPr>
                <w:sz w:val="20"/>
                <w:szCs w:val="20"/>
              </w:rPr>
            </w:pPr>
            <w:r>
              <w:rPr>
                <w:sz w:val="20"/>
                <w:szCs w:val="20"/>
              </w:rPr>
              <w:t>No change</w:t>
            </w:r>
          </w:p>
        </w:tc>
        <w:tc>
          <w:tcPr>
            <w:tcW w:w="1168" w:type="dxa"/>
            <w:shd w:val="clear" w:color="auto" w:fill="D9D9D9" w:themeFill="background1" w:themeFillShade="D9"/>
          </w:tcPr>
          <w:p w:rsidR="00FD6503" w:rsidRPr="00BB7053" w:rsidP="00FD6503" w14:paraId="0B9141F9" w14:textId="0908C66F">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FD6503" w:rsidRPr="00BB7053" w:rsidP="00FD6503" w14:paraId="5E9CB324" w14:textId="1A7584AE">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00FD6503" w:rsidRPr="00BB7053" w:rsidP="00FD6503" w14:paraId="3C914312" w14:textId="65629FF7">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00FD6503" w:rsidRPr="00BB7053" w:rsidP="00FD6503" w14:paraId="2BC6DEF5" w14:textId="296FC58E">
            <w:pPr>
              <w:tabs>
                <w:tab w:val="left" w:pos="6030"/>
              </w:tabs>
              <w:spacing w:line="276" w:lineRule="auto"/>
              <w:jc w:val="right"/>
              <w:rPr>
                <w:sz w:val="20"/>
                <w:szCs w:val="20"/>
              </w:rPr>
            </w:pPr>
            <w:r>
              <w:rPr>
                <w:sz w:val="20"/>
                <w:szCs w:val="20"/>
              </w:rPr>
              <w:t>No change</w:t>
            </w:r>
          </w:p>
        </w:tc>
        <w:tc>
          <w:tcPr>
            <w:tcW w:w="1068" w:type="dxa"/>
            <w:shd w:val="clear" w:color="auto" w:fill="D9D9D9" w:themeFill="background1" w:themeFillShade="D9"/>
          </w:tcPr>
          <w:p w:rsidR="00FD6503" w:rsidRPr="00BB7053" w:rsidP="00FD6503" w14:paraId="0764398B" w14:textId="1864CC9D">
            <w:pPr>
              <w:tabs>
                <w:tab w:val="left" w:pos="6030"/>
              </w:tabs>
              <w:spacing w:line="276" w:lineRule="auto"/>
              <w:jc w:val="right"/>
              <w:rPr>
                <w:sz w:val="20"/>
                <w:szCs w:val="20"/>
              </w:rPr>
            </w:pPr>
            <w:r>
              <w:rPr>
                <w:sz w:val="20"/>
                <w:szCs w:val="20"/>
              </w:rPr>
              <w:t>No change</w:t>
            </w:r>
          </w:p>
        </w:tc>
        <w:tc>
          <w:tcPr>
            <w:tcW w:w="1769" w:type="dxa"/>
            <w:shd w:val="clear" w:color="auto" w:fill="D9D9D9" w:themeFill="background1" w:themeFillShade="D9"/>
          </w:tcPr>
          <w:p w:rsidR="00FD6503" w:rsidRPr="00BB7053" w:rsidP="00FD6503" w14:paraId="2B00497D" w14:textId="3FFA90DB">
            <w:pPr>
              <w:tabs>
                <w:tab w:val="left" w:pos="6030"/>
              </w:tabs>
              <w:spacing w:line="276" w:lineRule="auto"/>
              <w:jc w:val="right"/>
              <w:rPr>
                <w:sz w:val="20"/>
                <w:szCs w:val="20"/>
              </w:rPr>
            </w:pPr>
            <w:r>
              <w:rPr>
                <w:sz w:val="20"/>
                <w:szCs w:val="20"/>
              </w:rPr>
              <w:t>No change</w:t>
            </w:r>
          </w:p>
        </w:tc>
      </w:tr>
    </w:tbl>
    <w:p w:rsidR="00885183" w:rsidRPr="009958D7" w:rsidP="009958D7" w14:paraId="1A9AC39C" w14:textId="0A940B36">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A73D71">
        <w:rPr>
          <w:rFonts w:eastAsia="Calibri"/>
          <w:b/>
          <w:bCs/>
        </w:rPr>
        <w:t>1V</w:t>
      </w:r>
      <w:r w:rsidRPr="00B30713">
        <w:rPr>
          <w:rFonts w:eastAsia="Calibri"/>
          <w:b/>
          <w:bCs/>
        </w:rPr>
        <w:t xml:space="preserve">: Burden Reconciliation for </w:t>
      </w:r>
      <w:r w:rsidRPr="006A54B3" w:rsidR="006A54B3">
        <w:rPr>
          <w:rFonts w:eastAsia="Calibri"/>
          <w:b/>
          <w:bCs/>
        </w:rPr>
        <w:t>Other Payer Advanced APM Identification: Other Payer Initiated Process</w:t>
      </w:r>
    </w:p>
    <w:tbl>
      <w:tblPr>
        <w:tblStyle w:val="TableGrid"/>
        <w:tblW w:w="9805" w:type="dxa"/>
        <w:tblLook w:val="04A0"/>
      </w:tblPr>
      <w:tblGrid>
        <w:gridCol w:w="1251"/>
        <w:gridCol w:w="1306"/>
        <w:gridCol w:w="1168"/>
        <w:gridCol w:w="1094"/>
        <w:gridCol w:w="1077"/>
        <w:gridCol w:w="1209"/>
        <w:gridCol w:w="1080"/>
        <w:gridCol w:w="1620"/>
      </w:tblGrid>
      <w:tr w14:paraId="2C8D97A2" w14:textId="77777777" w:rsidTr="00223079">
        <w:tblPrEx>
          <w:tblW w:w="9805" w:type="dxa"/>
          <w:tblLook w:val="04A0"/>
        </w:tblPrEx>
        <w:trPr>
          <w:tblHeader/>
        </w:trPr>
        <w:tc>
          <w:tcPr>
            <w:tcW w:w="1251" w:type="dxa"/>
          </w:tcPr>
          <w:p w:rsidR="00885183" w:rsidRPr="00173FA2" w:rsidP="0041468A" w14:paraId="3E4EE90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41468A" w14:paraId="744F661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00885183" w:rsidRPr="00173FA2" w:rsidP="0041468A" w14:paraId="250CA6C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41468A" w14:paraId="7166BDBD"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00885183" w:rsidRPr="00173FA2" w:rsidP="0041468A" w14:paraId="0D89E443" w14:textId="77777777">
            <w:pPr>
              <w:keepNext/>
              <w:keepLines/>
              <w:tabs>
                <w:tab w:val="left" w:pos="6030"/>
              </w:tabs>
              <w:spacing w:line="276" w:lineRule="auto"/>
              <w:rPr>
                <w:b/>
                <w:bCs/>
                <w:sz w:val="20"/>
                <w:szCs w:val="20"/>
              </w:rPr>
            </w:pPr>
            <w:r w:rsidRPr="00173FA2">
              <w:rPr>
                <w:b/>
                <w:bCs/>
                <w:sz w:val="20"/>
                <w:szCs w:val="20"/>
              </w:rPr>
              <w:t>Time Per Response (hr)</w:t>
            </w:r>
          </w:p>
        </w:tc>
        <w:tc>
          <w:tcPr>
            <w:tcW w:w="1209" w:type="dxa"/>
          </w:tcPr>
          <w:p w:rsidR="00885183" w:rsidRPr="00173FA2" w:rsidP="0041468A" w14:paraId="7E06A7B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00885183" w:rsidRPr="00173FA2" w:rsidP="0041468A" w14:paraId="605C2AD5"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00885183" w:rsidRPr="00173FA2" w:rsidP="0041468A" w14:paraId="4AE41F32" w14:textId="77777777">
            <w:pPr>
              <w:keepNext/>
              <w:keepLines/>
              <w:tabs>
                <w:tab w:val="left" w:pos="6030"/>
              </w:tabs>
              <w:spacing w:line="276" w:lineRule="auto"/>
              <w:rPr>
                <w:b/>
                <w:bCs/>
                <w:sz w:val="20"/>
                <w:szCs w:val="20"/>
              </w:rPr>
            </w:pPr>
            <w:r w:rsidRPr="00173FA2">
              <w:rPr>
                <w:b/>
                <w:bCs/>
                <w:sz w:val="20"/>
                <w:szCs w:val="20"/>
              </w:rPr>
              <w:t>Total Annual Cost ($)</w:t>
            </w:r>
          </w:p>
        </w:tc>
      </w:tr>
      <w:tr w14:paraId="5873AAC5" w14:textId="77777777" w:rsidTr="00223079">
        <w:tblPrEx>
          <w:tblW w:w="9805" w:type="dxa"/>
          <w:tblLook w:val="04A0"/>
        </w:tblPrEx>
        <w:tc>
          <w:tcPr>
            <w:tcW w:w="1251" w:type="dxa"/>
          </w:tcPr>
          <w:p w:rsidR="00F352CA" w:rsidRPr="00BB7053" w:rsidP="00F352CA" w14:paraId="4EFEECDB" w14:textId="79C228E0">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F352CA" w:rsidRPr="00BB7053" w:rsidP="00F352CA" w14:paraId="24D16095" w14:textId="2ECC263C">
            <w:pPr>
              <w:tabs>
                <w:tab w:val="left" w:pos="6030"/>
              </w:tabs>
              <w:spacing w:line="276" w:lineRule="auto"/>
              <w:jc w:val="right"/>
              <w:rPr>
                <w:sz w:val="20"/>
                <w:szCs w:val="20"/>
              </w:rPr>
            </w:pPr>
            <w:r>
              <w:rPr>
                <w:sz w:val="20"/>
                <w:szCs w:val="20"/>
              </w:rPr>
              <w:t>15</w:t>
            </w:r>
          </w:p>
        </w:tc>
        <w:tc>
          <w:tcPr>
            <w:tcW w:w="1168" w:type="dxa"/>
          </w:tcPr>
          <w:p w:rsidR="00F352CA" w:rsidRPr="00BB7053" w:rsidP="00F352CA" w14:paraId="0F72F180" w14:textId="725591F8">
            <w:pPr>
              <w:tabs>
                <w:tab w:val="left" w:pos="6030"/>
              </w:tabs>
              <w:spacing w:line="276" w:lineRule="auto"/>
              <w:jc w:val="right"/>
              <w:rPr>
                <w:sz w:val="20"/>
                <w:szCs w:val="20"/>
              </w:rPr>
            </w:pPr>
            <w:r>
              <w:rPr>
                <w:sz w:val="20"/>
                <w:szCs w:val="20"/>
              </w:rPr>
              <w:t>1</w:t>
            </w:r>
          </w:p>
        </w:tc>
        <w:tc>
          <w:tcPr>
            <w:tcW w:w="1094" w:type="dxa"/>
          </w:tcPr>
          <w:p w:rsidR="00F352CA" w:rsidRPr="00BB7053" w:rsidP="00F352CA" w14:paraId="47A765E9" w14:textId="7D0BF5C7">
            <w:pPr>
              <w:tabs>
                <w:tab w:val="left" w:pos="6030"/>
              </w:tabs>
              <w:spacing w:line="276" w:lineRule="auto"/>
              <w:jc w:val="right"/>
              <w:rPr>
                <w:sz w:val="20"/>
                <w:szCs w:val="20"/>
              </w:rPr>
            </w:pPr>
            <w:r>
              <w:rPr>
                <w:sz w:val="20"/>
                <w:szCs w:val="20"/>
              </w:rPr>
              <w:t>15</w:t>
            </w:r>
          </w:p>
        </w:tc>
        <w:tc>
          <w:tcPr>
            <w:tcW w:w="1077" w:type="dxa"/>
          </w:tcPr>
          <w:p w:rsidR="00F352CA" w:rsidRPr="00BB7053" w:rsidP="00F352CA" w14:paraId="7BFD6E23" w14:textId="421EF92A">
            <w:pPr>
              <w:tabs>
                <w:tab w:val="left" w:pos="6030"/>
              </w:tabs>
              <w:spacing w:line="276" w:lineRule="auto"/>
              <w:jc w:val="right"/>
              <w:rPr>
                <w:sz w:val="20"/>
                <w:szCs w:val="20"/>
              </w:rPr>
            </w:pPr>
            <w:r>
              <w:rPr>
                <w:sz w:val="20"/>
                <w:szCs w:val="20"/>
              </w:rPr>
              <w:t>10</w:t>
            </w:r>
          </w:p>
        </w:tc>
        <w:tc>
          <w:tcPr>
            <w:tcW w:w="1209" w:type="dxa"/>
          </w:tcPr>
          <w:p w:rsidR="00F352CA" w:rsidRPr="00BB7053" w:rsidP="00F352CA" w14:paraId="44773465" w14:textId="1F080460">
            <w:pPr>
              <w:tabs>
                <w:tab w:val="left" w:pos="6030"/>
              </w:tabs>
              <w:spacing w:line="276" w:lineRule="auto"/>
              <w:jc w:val="right"/>
              <w:rPr>
                <w:sz w:val="20"/>
                <w:szCs w:val="20"/>
              </w:rPr>
            </w:pPr>
            <w:r>
              <w:rPr>
                <w:sz w:val="20"/>
                <w:szCs w:val="20"/>
              </w:rPr>
              <w:t>150</w:t>
            </w:r>
          </w:p>
        </w:tc>
        <w:tc>
          <w:tcPr>
            <w:tcW w:w="1080" w:type="dxa"/>
          </w:tcPr>
          <w:p w:rsidR="00F352CA" w:rsidRPr="00BB7053" w:rsidP="00C70135" w14:paraId="2C21CDF3" w14:textId="739C19D4">
            <w:pPr>
              <w:tabs>
                <w:tab w:val="left" w:pos="6030"/>
              </w:tabs>
              <w:spacing w:line="276" w:lineRule="auto"/>
              <w:jc w:val="right"/>
              <w:rPr>
                <w:sz w:val="20"/>
                <w:szCs w:val="20"/>
              </w:rPr>
            </w:pPr>
            <w:r>
              <w:rPr>
                <w:sz w:val="20"/>
                <w:szCs w:val="20"/>
              </w:rPr>
              <w:t xml:space="preserve"> </w:t>
            </w:r>
            <w:r w:rsidR="009617B9">
              <w:rPr>
                <w:sz w:val="20"/>
                <w:szCs w:val="20"/>
              </w:rPr>
              <w:t>103.40</w:t>
            </w:r>
            <w:r>
              <w:rPr>
                <w:sz w:val="20"/>
                <w:szCs w:val="20"/>
              </w:rPr>
              <w:t xml:space="preserve"> </w:t>
            </w:r>
          </w:p>
        </w:tc>
        <w:tc>
          <w:tcPr>
            <w:tcW w:w="1620" w:type="dxa"/>
          </w:tcPr>
          <w:p w:rsidR="00F352CA" w:rsidRPr="00BB7053" w:rsidP="00F352CA" w14:paraId="27E6B327" w14:textId="4697BFB1">
            <w:pPr>
              <w:tabs>
                <w:tab w:val="left" w:pos="6030"/>
              </w:tabs>
              <w:spacing w:line="276" w:lineRule="auto"/>
              <w:jc w:val="right"/>
              <w:rPr>
                <w:sz w:val="20"/>
                <w:szCs w:val="20"/>
              </w:rPr>
            </w:pPr>
            <w:r>
              <w:rPr>
                <w:sz w:val="20"/>
                <w:szCs w:val="20"/>
              </w:rPr>
              <w:t>1</w:t>
            </w:r>
            <w:r w:rsidR="003F312B">
              <w:rPr>
                <w:sz w:val="20"/>
                <w:szCs w:val="20"/>
              </w:rPr>
              <w:t>5,510</w:t>
            </w:r>
          </w:p>
        </w:tc>
      </w:tr>
      <w:tr w14:paraId="2EB99E37" w14:textId="77777777" w:rsidTr="00223079">
        <w:tblPrEx>
          <w:tblW w:w="9805" w:type="dxa"/>
          <w:tblLook w:val="04A0"/>
        </w:tblPrEx>
        <w:tc>
          <w:tcPr>
            <w:tcW w:w="1251" w:type="dxa"/>
          </w:tcPr>
          <w:p w:rsidR="00F352CA" w:rsidRPr="00BB7053" w:rsidP="00192E2E" w14:paraId="686B2BF8" w14:textId="13E67800">
            <w:pPr>
              <w:tabs>
                <w:tab w:val="left" w:pos="6030"/>
              </w:tabs>
              <w:spacing w:line="276" w:lineRule="auto"/>
              <w:rPr>
                <w:sz w:val="20"/>
                <w:szCs w:val="20"/>
              </w:rPr>
            </w:pPr>
            <w:r>
              <w:rPr>
                <w:sz w:val="20"/>
                <w:szCs w:val="20"/>
              </w:rPr>
              <w:t>Finaliz</w:t>
            </w:r>
            <w:r w:rsidR="006D3AC6">
              <w:rPr>
                <w:sz w:val="20"/>
                <w:szCs w:val="20"/>
              </w:rPr>
              <w:t xml:space="preserve">ed </w:t>
            </w:r>
            <w:r w:rsidRPr="00A67FD9" w:rsidR="00A67FD9">
              <w:rPr>
                <w:sz w:val="20"/>
                <w:szCs w:val="20"/>
              </w:rPr>
              <w:t xml:space="preserve">(See Table </w:t>
            </w:r>
            <w:r w:rsidR="00C20979">
              <w:rPr>
                <w:sz w:val="20"/>
                <w:szCs w:val="20"/>
              </w:rPr>
              <w:t>2</w:t>
            </w:r>
            <w:r w:rsidR="00840320">
              <w:rPr>
                <w:sz w:val="20"/>
                <w:szCs w:val="20"/>
              </w:rPr>
              <w:t>5</w:t>
            </w:r>
            <w:r w:rsidRPr="00A67FD9" w:rsidR="00A67FD9">
              <w:rPr>
                <w:sz w:val="20"/>
                <w:szCs w:val="20"/>
              </w:rPr>
              <w:t>)</w:t>
            </w:r>
          </w:p>
        </w:tc>
        <w:tc>
          <w:tcPr>
            <w:tcW w:w="1306" w:type="dxa"/>
          </w:tcPr>
          <w:p w:rsidR="00F352CA" w:rsidRPr="00BB7053" w:rsidP="00F352CA" w14:paraId="7282B237" w14:textId="58181025">
            <w:pPr>
              <w:tabs>
                <w:tab w:val="left" w:pos="6030"/>
              </w:tabs>
              <w:spacing w:line="276" w:lineRule="auto"/>
              <w:jc w:val="right"/>
              <w:rPr>
                <w:sz w:val="20"/>
                <w:szCs w:val="20"/>
              </w:rPr>
            </w:pPr>
            <w:r>
              <w:rPr>
                <w:sz w:val="20"/>
                <w:szCs w:val="20"/>
              </w:rPr>
              <w:t>15</w:t>
            </w:r>
          </w:p>
        </w:tc>
        <w:tc>
          <w:tcPr>
            <w:tcW w:w="1168" w:type="dxa"/>
          </w:tcPr>
          <w:p w:rsidR="00F352CA" w:rsidRPr="00BB7053" w:rsidP="00F352CA" w14:paraId="1AFBE21E" w14:textId="2D3B1CEA">
            <w:pPr>
              <w:tabs>
                <w:tab w:val="left" w:pos="6030"/>
              </w:tabs>
              <w:spacing w:line="276" w:lineRule="auto"/>
              <w:jc w:val="right"/>
              <w:rPr>
                <w:sz w:val="20"/>
                <w:szCs w:val="20"/>
              </w:rPr>
            </w:pPr>
            <w:r>
              <w:rPr>
                <w:sz w:val="20"/>
                <w:szCs w:val="20"/>
              </w:rPr>
              <w:t>1</w:t>
            </w:r>
          </w:p>
        </w:tc>
        <w:tc>
          <w:tcPr>
            <w:tcW w:w="1094" w:type="dxa"/>
          </w:tcPr>
          <w:p w:rsidR="00F352CA" w:rsidRPr="00BB7053" w:rsidP="00F352CA" w14:paraId="4C1E4F5F" w14:textId="2E304611">
            <w:pPr>
              <w:tabs>
                <w:tab w:val="left" w:pos="6030"/>
              </w:tabs>
              <w:spacing w:line="276" w:lineRule="auto"/>
              <w:jc w:val="right"/>
              <w:rPr>
                <w:sz w:val="20"/>
                <w:szCs w:val="20"/>
              </w:rPr>
            </w:pPr>
            <w:r>
              <w:rPr>
                <w:sz w:val="20"/>
                <w:szCs w:val="20"/>
              </w:rPr>
              <w:t>15</w:t>
            </w:r>
          </w:p>
        </w:tc>
        <w:tc>
          <w:tcPr>
            <w:tcW w:w="1077" w:type="dxa"/>
          </w:tcPr>
          <w:p w:rsidR="00F352CA" w:rsidRPr="00BB7053" w:rsidP="00F352CA" w14:paraId="41D7CB60" w14:textId="10B59BDA">
            <w:pPr>
              <w:tabs>
                <w:tab w:val="left" w:pos="6030"/>
              </w:tabs>
              <w:spacing w:line="276" w:lineRule="auto"/>
              <w:jc w:val="right"/>
              <w:rPr>
                <w:sz w:val="20"/>
                <w:szCs w:val="20"/>
              </w:rPr>
            </w:pPr>
            <w:r>
              <w:rPr>
                <w:sz w:val="20"/>
                <w:szCs w:val="20"/>
              </w:rPr>
              <w:t>10</w:t>
            </w:r>
          </w:p>
        </w:tc>
        <w:tc>
          <w:tcPr>
            <w:tcW w:w="1209" w:type="dxa"/>
          </w:tcPr>
          <w:p w:rsidR="00F352CA" w:rsidRPr="00BB7053" w:rsidP="00F352CA" w14:paraId="0EA1EFE1" w14:textId="0CFCBFDD">
            <w:pPr>
              <w:tabs>
                <w:tab w:val="left" w:pos="6030"/>
              </w:tabs>
              <w:spacing w:line="276" w:lineRule="auto"/>
              <w:jc w:val="right"/>
              <w:rPr>
                <w:sz w:val="20"/>
                <w:szCs w:val="20"/>
              </w:rPr>
            </w:pPr>
            <w:r>
              <w:rPr>
                <w:sz w:val="20"/>
                <w:szCs w:val="20"/>
              </w:rPr>
              <w:t>150</w:t>
            </w:r>
          </w:p>
        </w:tc>
        <w:tc>
          <w:tcPr>
            <w:tcW w:w="1080" w:type="dxa"/>
          </w:tcPr>
          <w:p w:rsidR="00F352CA" w:rsidRPr="00BB7053" w:rsidP="00F352CA" w14:paraId="757C4195" w14:textId="06C163F2">
            <w:pPr>
              <w:tabs>
                <w:tab w:val="left" w:pos="6030"/>
              </w:tabs>
              <w:spacing w:line="276" w:lineRule="auto"/>
              <w:jc w:val="right"/>
              <w:rPr>
                <w:sz w:val="20"/>
                <w:szCs w:val="20"/>
              </w:rPr>
            </w:pPr>
            <w:r>
              <w:rPr>
                <w:sz w:val="20"/>
                <w:szCs w:val="20"/>
              </w:rPr>
              <w:t>103.40</w:t>
            </w:r>
          </w:p>
        </w:tc>
        <w:tc>
          <w:tcPr>
            <w:tcW w:w="1620" w:type="dxa"/>
          </w:tcPr>
          <w:p w:rsidR="00F352CA" w:rsidRPr="00BB7053" w:rsidP="00F352CA" w14:paraId="3AECEFD5" w14:textId="33BC2A23">
            <w:pPr>
              <w:tabs>
                <w:tab w:val="left" w:pos="6030"/>
              </w:tabs>
              <w:spacing w:line="276" w:lineRule="auto"/>
              <w:jc w:val="right"/>
              <w:rPr>
                <w:sz w:val="20"/>
                <w:szCs w:val="20"/>
              </w:rPr>
            </w:pPr>
            <w:r>
              <w:rPr>
                <w:sz w:val="20"/>
                <w:szCs w:val="20"/>
              </w:rPr>
              <w:t>1</w:t>
            </w:r>
            <w:r w:rsidR="003F312B">
              <w:rPr>
                <w:sz w:val="20"/>
                <w:szCs w:val="20"/>
              </w:rPr>
              <w:t>5,510</w:t>
            </w:r>
          </w:p>
        </w:tc>
      </w:tr>
      <w:tr w14:paraId="1236CE21" w14:textId="77777777" w:rsidTr="00223079">
        <w:tblPrEx>
          <w:tblW w:w="9805" w:type="dxa"/>
          <w:tblLook w:val="04A0"/>
        </w:tblPrEx>
        <w:tc>
          <w:tcPr>
            <w:tcW w:w="1251" w:type="dxa"/>
            <w:shd w:val="clear" w:color="auto" w:fill="D9D9D9" w:themeFill="background1" w:themeFillShade="D9"/>
          </w:tcPr>
          <w:p w:rsidR="00F352CA" w:rsidRPr="00BB7053" w:rsidP="00F352CA" w14:paraId="21F763AC"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F352CA" w:rsidRPr="00BB7053" w:rsidP="00F352CA" w14:paraId="2AB78019" w14:textId="22C87A49">
            <w:pPr>
              <w:tabs>
                <w:tab w:val="left" w:pos="6030"/>
              </w:tabs>
              <w:spacing w:line="276" w:lineRule="auto"/>
              <w:jc w:val="right"/>
              <w:rPr>
                <w:sz w:val="20"/>
                <w:szCs w:val="20"/>
              </w:rPr>
            </w:pPr>
            <w:r>
              <w:rPr>
                <w:sz w:val="20"/>
                <w:szCs w:val="20"/>
              </w:rPr>
              <w:t>No change</w:t>
            </w:r>
          </w:p>
        </w:tc>
        <w:tc>
          <w:tcPr>
            <w:tcW w:w="1168" w:type="dxa"/>
            <w:shd w:val="clear" w:color="auto" w:fill="D9D9D9" w:themeFill="background1" w:themeFillShade="D9"/>
          </w:tcPr>
          <w:p w:rsidR="00F352CA" w:rsidRPr="00BB7053" w:rsidP="00F352CA" w14:paraId="5CBA04EA" w14:textId="2E68870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F352CA" w:rsidRPr="00BB7053" w:rsidP="00223079" w14:paraId="675B69EF" w14:textId="4E6C12AD">
            <w:pPr>
              <w:tabs>
                <w:tab w:val="left" w:pos="6030"/>
              </w:tabs>
              <w:spacing w:line="276" w:lineRule="auto"/>
              <w:jc w:val="center"/>
              <w:rPr>
                <w:sz w:val="20"/>
                <w:szCs w:val="20"/>
              </w:rPr>
            </w:pPr>
            <w:r>
              <w:rPr>
                <w:sz w:val="20"/>
                <w:szCs w:val="20"/>
              </w:rPr>
              <w:t>No change</w:t>
            </w:r>
          </w:p>
        </w:tc>
        <w:tc>
          <w:tcPr>
            <w:tcW w:w="1077" w:type="dxa"/>
            <w:shd w:val="clear" w:color="auto" w:fill="D9D9D9" w:themeFill="background1" w:themeFillShade="D9"/>
          </w:tcPr>
          <w:p w:rsidR="00F352CA" w:rsidRPr="00BB7053" w:rsidP="00F352CA" w14:paraId="38FBE95D" w14:textId="2468A816">
            <w:pPr>
              <w:tabs>
                <w:tab w:val="left" w:pos="6030"/>
              </w:tabs>
              <w:spacing w:line="276" w:lineRule="auto"/>
              <w:jc w:val="right"/>
              <w:rPr>
                <w:sz w:val="20"/>
                <w:szCs w:val="20"/>
              </w:rPr>
            </w:pPr>
            <w:r>
              <w:rPr>
                <w:sz w:val="20"/>
                <w:szCs w:val="20"/>
              </w:rPr>
              <w:t>No change</w:t>
            </w:r>
          </w:p>
        </w:tc>
        <w:tc>
          <w:tcPr>
            <w:tcW w:w="1209" w:type="dxa"/>
            <w:shd w:val="clear" w:color="auto" w:fill="D9D9D9" w:themeFill="background1" w:themeFillShade="D9"/>
          </w:tcPr>
          <w:p w:rsidR="00F352CA" w:rsidRPr="00BB7053" w:rsidP="00223079" w14:paraId="33347212" w14:textId="13AAFACF">
            <w:pPr>
              <w:tabs>
                <w:tab w:val="left" w:pos="6030"/>
              </w:tabs>
              <w:spacing w:line="276" w:lineRule="auto"/>
              <w:jc w:val="center"/>
              <w:rPr>
                <w:sz w:val="20"/>
                <w:szCs w:val="20"/>
              </w:rPr>
            </w:pPr>
            <w:r>
              <w:rPr>
                <w:sz w:val="20"/>
                <w:szCs w:val="20"/>
              </w:rPr>
              <w:t>No</w:t>
            </w:r>
            <w:r w:rsidR="00791F15">
              <w:rPr>
                <w:sz w:val="20"/>
                <w:szCs w:val="20"/>
              </w:rPr>
              <w:t xml:space="preserve"> </w:t>
            </w:r>
            <w:r>
              <w:rPr>
                <w:sz w:val="20"/>
                <w:szCs w:val="20"/>
              </w:rPr>
              <w:t>change</w:t>
            </w:r>
          </w:p>
        </w:tc>
        <w:tc>
          <w:tcPr>
            <w:tcW w:w="1080" w:type="dxa"/>
            <w:shd w:val="clear" w:color="auto" w:fill="D9D9D9" w:themeFill="background1" w:themeFillShade="D9"/>
          </w:tcPr>
          <w:p w:rsidR="00F352CA" w:rsidRPr="00BB7053" w:rsidP="00F352CA" w14:paraId="7E08FBD8" w14:textId="4CCE9740">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00F352CA" w:rsidRPr="00BB7053" w:rsidP="00F352CA" w14:paraId="39B28F78" w14:textId="4BA32A2A">
            <w:pPr>
              <w:tabs>
                <w:tab w:val="left" w:pos="6030"/>
              </w:tabs>
              <w:spacing w:line="276" w:lineRule="auto"/>
              <w:jc w:val="right"/>
              <w:rPr>
                <w:sz w:val="20"/>
                <w:szCs w:val="20"/>
              </w:rPr>
            </w:pPr>
            <w:r>
              <w:rPr>
                <w:sz w:val="20"/>
                <w:szCs w:val="20"/>
              </w:rPr>
              <w:t>No change</w:t>
            </w:r>
          </w:p>
        </w:tc>
      </w:tr>
    </w:tbl>
    <w:p w:rsidR="00885183" w:rsidRPr="00403BC9" w:rsidP="00403BC9" w14:paraId="5FFAAD2D" w14:textId="4307886B">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7D7BBD">
        <w:rPr>
          <w:rFonts w:eastAsia="Calibri"/>
          <w:b/>
          <w:bCs/>
        </w:rPr>
        <w:t>1</w:t>
      </w:r>
      <w:r w:rsidR="004E72DE">
        <w:rPr>
          <w:rFonts w:eastAsia="Calibri"/>
          <w:b/>
          <w:bCs/>
        </w:rPr>
        <w:t>W</w:t>
      </w:r>
      <w:r w:rsidRPr="00B30713">
        <w:rPr>
          <w:rFonts w:eastAsia="Calibri"/>
          <w:b/>
          <w:bCs/>
        </w:rPr>
        <w:t xml:space="preserve">: Burden Reconciliation for </w:t>
      </w:r>
      <w:r w:rsidRPr="00AB5A74" w:rsidR="00AB5A74">
        <w:rPr>
          <w:rFonts w:eastAsia="Calibri"/>
          <w:b/>
          <w:bCs/>
        </w:rPr>
        <w:t>Other Payer Advanced APM Identification: Eligible Clinician Initiated Process</w:t>
      </w:r>
    </w:p>
    <w:tbl>
      <w:tblPr>
        <w:tblStyle w:val="TableGrid"/>
        <w:tblW w:w="9715" w:type="dxa"/>
        <w:tblLook w:val="04A0"/>
      </w:tblPr>
      <w:tblGrid>
        <w:gridCol w:w="1251"/>
        <w:gridCol w:w="1306"/>
        <w:gridCol w:w="1168"/>
        <w:gridCol w:w="1094"/>
        <w:gridCol w:w="1077"/>
        <w:gridCol w:w="1209"/>
        <w:gridCol w:w="1080"/>
        <w:gridCol w:w="1530"/>
      </w:tblGrid>
      <w:tr w14:paraId="700EE376" w14:textId="77777777" w:rsidTr="00223079">
        <w:tblPrEx>
          <w:tblW w:w="9715" w:type="dxa"/>
          <w:tblLook w:val="04A0"/>
        </w:tblPrEx>
        <w:trPr>
          <w:tblHeader/>
        </w:trPr>
        <w:tc>
          <w:tcPr>
            <w:tcW w:w="1251" w:type="dxa"/>
          </w:tcPr>
          <w:p w:rsidR="00885183" w:rsidRPr="00173FA2" w:rsidP="00536031" w14:paraId="2ED28A5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536031" w14:paraId="5E12E4A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00885183" w:rsidRPr="00173FA2" w:rsidP="00536031" w14:paraId="15DAD6D4"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536031" w14:paraId="077035A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00885183" w:rsidRPr="00173FA2" w:rsidP="00536031" w14:paraId="76C7B2DD" w14:textId="77777777">
            <w:pPr>
              <w:keepNext/>
              <w:keepLines/>
              <w:tabs>
                <w:tab w:val="left" w:pos="6030"/>
              </w:tabs>
              <w:spacing w:line="276" w:lineRule="auto"/>
              <w:rPr>
                <w:b/>
                <w:bCs/>
                <w:sz w:val="20"/>
                <w:szCs w:val="20"/>
              </w:rPr>
            </w:pPr>
            <w:r w:rsidRPr="00173FA2">
              <w:rPr>
                <w:b/>
                <w:bCs/>
                <w:sz w:val="20"/>
                <w:szCs w:val="20"/>
              </w:rPr>
              <w:t>Time Per Response (hr)</w:t>
            </w:r>
          </w:p>
        </w:tc>
        <w:tc>
          <w:tcPr>
            <w:tcW w:w="1209" w:type="dxa"/>
          </w:tcPr>
          <w:p w:rsidR="00885183" w:rsidRPr="00173FA2" w:rsidP="00536031" w14:paraId="6625CF0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00885183" w:rsidRPr="00173FA2" w:rsidP="00536031" w14:paraId="538349FB"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530" w:type="dxa"/>
          </w:tcPr>
          <w:p w:rsidR="00885183" w:rsidRPr="00173FA2" w:rsidP="00536031" w14:paraId="6EB9FC3F" w14:textId="77777777">
            <w:pPr>
              <w:keepNext/>
              <w:keepLines/>
              <w:tabs>
                <w:tab w:val="left" w:pos="6030"/>
              </w:tabs>
              <w:spacing w:line="276" w:lineRule="auto"/>
              <w:rPr>
                <w:b/>
                <w:bCs/>
                <w:sz w:val="20"/>
                <w:szCs w:val="20"/>
              </w:rPr>
            </w:pPr>
            <w:r w:rsidRPr="00173FA2">
              <w:rPr>
                <w:b/>
                <w:bCs/>
                <w:sz w:val="20"/>
                <w:szCs w:val="20"/>
              </w:rPr>
              <w:t>Total Annual Cost ($)</w:t>
            </w:r>
          </w:p>
        </w:tc>
      </w:tr>
      <w:tr w14:paraId="1E5FB047" w14:textId="77777777" w:rsidTr="00223079">
        <w:tblPrEx>
          <w:tblW w:w="9715" w:type="dxa"/>
          <w:tblLook w:val="04A0"/>
        </w:tblPrEx>
        <w:tc>
          <w:tcPr>
            <w:tcW w:w="1251" w:type="dxa"/>
          </w:tcPr>
          <w:p w:rsidR="00460240" w:rsidRPr="00BB7053" w:rsidP="00536031" w14:paraId="06391956" w14:textId="0D308B39">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460240" w:rsidRPr="00BB7053" w:rsidP="00536031" w14:paraId="578DA845" w14:textId="1A59C38E">
            <w:pPr>
              <w:keepNext/>
              <w:keepLines/>
              <w:tabs>
                <w:tab w:val="left" w:pos="6030"/>
              </w:tabs>
              <w:spacing w:line="276" w:lineRule="auto"/>
              <w:jc w:val="right"/>
              <w:rPr>
                <w:sz w:val="20"/>
                <w:szCs w:val="20"/>
              </w:rPr>
            </w:pPr>
            <w:r>
              <w:rPr>
                <w:sz w:val="20"/>
                <w:szCs w:val="20"/>
              </w:rPr>
              <w:t>15</w:t>
            </w:r>
          </w:p>
        </w:tc>
        <w:tc>
          <w:tcPr>
            <w:tcW w:w="1168" w:type="dxa"/>
          </w:tcPr>
          <w:p w:rsidR="00460240" w:rsidRPr="00BB7053" w:rsidP="00536031" w14:paraId="707D4976" w14:textId="0846C894">
            <w:pPr>
              <w:keepNext/>
              <w:keepLines/>
              <w:tabs>
                <w:tab w:val="left" w:pos="6030"/>
              </w:tabs>
              <w:spacing w:line="276" w:lineRule="auto"/>
              <w:jc w:val="right"/>
              <w:rPr>
                <w:sz w:val="20"/>
                <w:szCs w:val="20"/>
              </w:rPr>
            </w:pPr>
            <w:r>
              <w:rPr>
                <w:sz w:val="20"/>
                <w:szCs w:val="20"/>
              </w:rPr>
              <w:t>1</w:t>
            </w:r>
          </w:p>
        </w:tc>
        <w:tc>
          <w:tcPr>
            <w:tcW w:w="1094" w:type="dxa"/>
          </w:tcPr>
          <w:p w:rsidR="00460240" w:rsidRPr="00BB7053" w:rsidP="00536031" w14:paraId="11783160" w14:textId="00AFDAC2">
            <w:pPr>
              <w:keepNext/>
              <w:keepLines/>
              <w:tabs>
                <w:tab w:val="left" w:pos="6030"/>
              </w:tabs>
              <w:spacing w:line="276" w:lineRule="auto"/>
              <w:jc w:val="right"/>
              <w:rPr>
                <w:sz w:val="20"/>
                <w:szCs w:val="20"/>
              </w:rPr>
            </w:pPr>
            <w:r>
              <w:rPr>
                <w:sz w:val="20"/>
                <w:szCs w:val="20"/>
              </w:rPr>
              <w:t>15</w:t>
            </w:r>
          </w:p>
        </w:tc>
        <w:tc>
          <w:tcPr>
            <w:tcW w:w="1077" w:type="dxa"/>
          </w:tcPr>
          <w:p w:rsidR="00460240" w:rsidRPr="00BB7053" w:rsidP="00536031" w14:paraId="4B0AECF1" w14:textId="1BB3ED3E">
            <w:pPr>
              <w:keepNext/>
              <w:keepLines/>
              <w:tabs>
                <w:tab w:val="left" w:pos="6030"/>
              </w:tabs>
              <w:spacing w:line="276" w:lineRule="auto"/>
              <w:jc w:val="right"/>
              <w:rPr>
                <w:sz w:val="20"/>
                <w:szCs w:val="20"/>
              </w:rPr>
            </w:pPr>
            <w:r>
              <w:rPr>
                <w:sz w:val="20"/>
                <w:szCs w:val="20"/>
              </w:rPr>
              <w:t>10</w:t>
            </w:r>
          </w:p>
        </w:tc>
        <w:tc>
          <w:tcPr>
            <w:tcW w:w="1209" w:type="dxa"/>
          </w:tcPr>
          <w:p w:rsidR="00460240" w:rsidRPr="00BB7053" w:rsidP="00536031" w14:paraId="7D30B4CF" w14:textId="2FCE46C1">
            <w:pPr>
              <w:keepNext/>
              <w:keepLines/>
              <w:tabs>
                <w:tab w:val="left" w:pos="6030"/>
              </w:tabs>
              <w:spacing w:line="276" w:lineRule="auto"/>
              <w:jc w:val="right"/>
              <w:rPr>
                <w:sz w:val="20"/>
                <w:szCs w:val="20"/>
              </w:rPr>
            </w:pPr>
            <w:r>
              <w:rPr>
                <w:sz w:val="20"/>
                <w:szCs w:val="20"/>
              </w:rPr>
              <w:t>150</w:t>
            </w:r>
          </w:p>
        </w:tc>
        <w:tc>
          <w:tcPr>
            <w:tcW w:w="1080" w:type="dxa"/>
          </w:tcPr>
          <w:p w:rsidR="00460240" w:rsidRPr="00BB7053" w:rsidP="00536031" w14:paraId="5095728B" w14:textId="37338EC6">
            <w:pPr>
              <w:keepNext/>
              <w:keepLines/>
              <w:tabs>
                <w:tab w:val="left" w:pos="6030"/>
              </w:tabs>
              <w:spacing w:line="276" w:lineRule="auto"/>
              <w:jc w:val="right"/>
              <w:rPr>
                <w:sz w:val="20"/>
                <w:szCs w:val="20"/>
              </w:rPr>
            </w:pPr>
            <w:r>
              <w:rPr>
                <w:sz w:val="20"/>
                <w:szCs w:val="20"/>
              </w:rPr>
              <w:t>103.40</w:t>
            </w:r>
          </w:p>
        </w:tc>
        <w:tc>
          <w:tcPr>
            <w:tcW w:w="1530" w:type="dxa"/>
          </w:tcPr>
          <w:p w:rsidR="00460240" w:rsidRPr="00BB7053" w:rsidP="00536031" w14:paraId="10581664" w14:textId="4FF91A1F">
            <w:pPr>
              <w:keepNext/>
              <w:keepLines/>
              <w:tabs>
                <w:tab w:val="left" w:pos="6030"/>
              </w:tabs>
              <w:spacing w:line="276" w:lineRule="auto"/>
              <w:jc w:val="right"/>
              <w:rPr>
                <w:sz w:val="20"/>
                <w:szCs w:val="20"/>
              </w:rPr>
            </w:pPr>
            <w:r>
              <w:rPr>
                <w:sz w:val="20"/>
                <w:szCs w:val="20"/>
              </w:rPr>
              <w:t>1</w:t>
            </w:r>
            <w:r w:rsidR="009617B9">
              <w:rPr>
                <w:sz w:val="20"/>
                <w:szCs w:val="20"/>
              </w:rPr>
              <w:t>5,510</w:t>
            </w:r>
          </w:p>
        </w:tc>
      </w:tr>
      <w:tr w14:paraId="21B7DDF4" w14:textId="77777777" w:rsidTr="00223079">
        <w:tblPrEx>
          <w:tblW w:w="9715" w:type="dxa"/>
          <w:tblLook w:val="04A0"/>
        </w:tblPrEx>
        <w:tc>
          <w:tcPr>
            <w:tcW w:w="1251" w:type="dxa"/>
          </w:tcPr>
          <w:p w:rsidR="00460240" w:rsidRPr="00BB7053" w:rsidP="00192E2E" w14:paraId="57FA653D" w14:textId="0B9644F6">
            <w:pPr>
              <w:tabs>
                <w:tab w:val="left" w:pos="6030"/>
              </w:tabs>
              <w:spacing w:line="276" w:lineRule="auto"/>
              <w:rPr>
                <w:sz w:val="20"/>
                <w:szCs w:val="20"/>
              </w:rPr>
            </w:pPr>
            <w:r>
              <w:rPr>
                <w:sz w:val="20"/>
                <w:szCs w:val="20"/>
              </w:rPr>
              <w:t>Finaliz</w:t>
            </w:r>
            <w:r w:rsidR="00BC3929">
              <w:rPr>
                <w:sz w:val="20"/>
                <w:szCs w:val="20"/>
              </w:rPr>
              <w:t xml:space="preserve">ed </w:t>
            </w:r>
            <w:r w:rsidRPr="00A67FD9" w:rsidR="00A67FD9">
              <w:rPr>
                <w:sz w:val="20"/>
                <w:szCs w:val="20"/>
              </w:rPr>
              <w:t xml:space="preserve">(See Table </w:t>
            </w:r>
            <w:r w:rsidR="00C20979">
              <w:rPr>
                <w:sz w:val="20"/>
                <w:szCs w:val="20"/>
              </w:rPr>
              <w:t>2</w:t>
            </w:r>
            <w:r w:rsidR="0045400C">
              <w:rPr>
                <w:sz w:val="20"/>
                <w:szCs w:val="20"/>
              </w:rPr>
              <w:t>6</w:t>
            </w:r>
            <w:r w:rsidRPr="00A67FD9" w:rsidR="00A67FD9">
              <w:rPr>
                <w:sz w:val="20"/>
                <w:szCs w:val="20"/>
              </w:rPr>
              <w:t>)</w:t>
            </w:r>
          </w:p>
        </w:tc>
        <w:tc>
          <w:tcPr>
            <w:tcW w:w="1306" w:type="dxa"/>
          </w:tcPr>
          <w:p w:rsidR="00460240" w:rsidRPr="00BB7053" w:rsidP="00460240" w14:paraId="3C0AC002" w14:textId="20FA70F6">
            <w:pPr>
              <w:tabs>
                <w:tab w:val="left" w:pos="6030"/>
              </w:tabs>
              <w:spacing w:line="276" w:lineRule="auto"/>
              <w:jc w:val="right"/>
              <w:rPr>
                <w:sz w:val="20"/>
                <w:szCs w:val="20"/>
              </w:rPr>
            </w:pPr>
            <w:r>
              <w:rPr>
                <w:sz w:val="20"/>
                <w:szCs w:val="20"/>
              </w:rPr>
              <w:t>15</w:t>
            </w:r>
          </w:p>
        </w:tc>
        <w:tc>
          <w:tcPr>
            <w:tcW w:w="1168" w:type="dxa"/>
          </w:tcPr>
          <w:p w:rsidR="00460240" w:rsidRPr="00BB7053" w:rsidP="00460240" w14:paraId="0374E752" w14:textId="34C4919A">
            <w:pPr>
              <w:tabs>
                <w:tab w:val="left" w:pos="6030"/>
              </w:tabs>
              <w:spacing w:line="276" w:lineRule="auto"/>
              <w:jc w:val="right"/>
              <w:rPr>
                <w:sz w:val="20"/>
                <w:szCs w:val="20"/>
              </w:rPr>
            </w:pPr>
            <w:r>
              <w:rPr>
                <w:sz w:val="20"/>
                <w:szCs w:val="20"/>
              </w:rPr>
              <w:t>1</w:t>
            </w:r>
          </w:p>
        </w:tc>
        <w:tc>
          <w:tcPr>
            <w:tcW w:w="1094" w:type="dxa"/>
          </w:tcPr>
          <w:p w:rsidR="00460240" w:rsidRPr="00BB7053" w:rsidP="00460240" w14:paraId="36DAD90E" w14:textId="42CC5C6B">
            <w:pPr>
              <w:tabs>
                <w:tab w:val="left" w:pos="6030"/>
              </w:tabs>
              <w:spacing w:line="276" w:lineRule="auto"/>
              <w:jc w:val="right"/>
              <w:rPr>
                <w:sz w:val="20"/>
                <w:szCs w:val="20"/>
              </w:rPr>
            </w:pPr>
            <w:r>
              <w:rPr>
                <w:sz w:val="20"/>
                <w:szCs w:val="20"/>
              </w:rPr>
              <w:t>15</w:t>
            </w:r>
          </w:p>
        </w:tc>
        <w:tc>
          <w:tcPr>
            <w:tcW w:w="1077" w:type="dxa"/>
          </w:tcPr>
          <w:p w:rsidR="00460240" w:rsidRPr="00BB7053" w:rsidP="00460240" w14:paraId="04C5C4A2" w14:textId="1F3B8129">
            <w:pPr>
              <w:tabs>
                <w:tab w:val="left" w:pos="6030"/>
              </w:tabs>
              <w:spacing w:line="276" w:lineRule="auto"/>
              <w:jc w:val="right"/>
              <w:rPr>
                <w:sz w:val="20"/>
                <w:szCs w:val="20"/>
              </w:rPr>
            </w:pPr>
            <w:r>
              <w:rPr>
                <w:sz w:val="20"/>
                <w:szCs w:val="20"/>
              </w:rPr>
              <w:t>10</w:t>
            </w:r>
          </w:p>
        </w:tc>
        <w:tc>
          <w:tcPr>
            <w:tcW w:w="1209" w:type="dxa"/>
          </w:tcPr>
          <w:p w:rsidR="00460240" w:rsidRPr="00BB7053" w:rsidP="00460240" w14:paraId="32152676" w14:textId="3502408D">
            <w:pPr>
              <w:tabs>
                <w:tab w:val="left" w:pos="6030"/>
              </w:tabs>
              <w:spacing w:line="276" w:lineRule="auto"/>
              <w:jc w:val="right"/>
              <w:rPr>
                <w:sz w:val="20"/>
                <w:szCs w:val="20"/>
              </w:rPr>
            </w:pPr>
            <w:r>
              <w:rPr>
                <w:sz w:val="20"/>
                <w:szCs w:val="20"/>
              </w:rPr>
              <w:t>1</w:t>
            </w:r>
            <w:r w:rsidR="00EB2F06">
              <w:rPr>
                <w:sz w:val="20"/>
                <w:szCs w:val="20"/>
              </w:rPr>
              <w:t>50</w:t>
            </w:r>
          </w:p>
        </w:tc>
        <w:tc>
          <w:tcPr>
            <w:tcW w:w="1080" w:type="dxa"/>
          </w:tcPr>
          <w:p w:rsidR="00460240" w:rsidRPr="00BB7053" w:rsidP="00460240" w14:paraId="70714BC4" w14:textId="37474B16">
            <w:pPr>
              <w:tabs>
                <w:tab w:val="left" w:pos="6030"/>
              </w:tabs>
              <w:spacing w:line="276" w:lineRule="auto"/>
              <w:jc w:val="right"/>
              <w:rPr>
                <w:sz w:val="20"/>
                <w:szCs w:val="20"/>
              </w:rPr>
            </w:pPr>
            <w:r>
              <w:rPr>
                <w:sz w:val="20"/>
                <w:szCs w:val="20"/>
              </w:rPr>
              <w:t>103.40</w:t>
            </w:r>
          </w:p>
        </w:tc>
        <w:tc>
          <w:tcPr>
            <w:tcW w:w="1530" w:type="dxa"/>
          </w:tcPr>
          <w:p w:rsidR="00460240" w:rsidRPr="00BB7053" w:rsidP="00460240" w14:paraId="4574824F" w14:textId="53A4B3C4">
            <w:pPr>
              <w:tabs>
                <w:tab w:val="left" w:pos="6030"/>
              </w:tabs>
              <w:spacing w:line="276" w:lineRule="auto"/>
              <w:jc w:val="right"/>
              <w:rPr>
                <w:sz w:val="20"/>
                <w:szCs w:val="20"/>
              </w:rPr>
            </w:pPr>
            <w:r>
              <w:rPr>
                <w:sz w:val="20"/>
                <w:szCs w:val="20"/>
              </w:rPr>
              <w:t>1</w:t>
            </w:r>
            <w:r w:rsidR="009617B9">
              <w:rPr>
                <w:sz w:val="20"/>
                <w:szCs w:val="20"/>
              </w:rPr>
              <w:t>5,510</w:t>
            </w:r>
          </w:p>
        </w:tc>
      </w:tr>
      <w:tr w14:paraId="055D9A45" w14:textId="77777777" w:rsidTr="00223079">
        <w:tblPrEx>
          <w:tblW w:w="9715" w:type="dxa"/>
          <w:tblLook w:val="04A0"/>
        </w:tblPrEx>
        <w:tc>
          <w:tcPr>
            <w:tcW w:w="1251" w:type="dxa"/>
            <w:shd w:val="clear" w:color="auto" w:fill="D9D9D9" w:themeFill="background1" w:themeFillShade="D9"/>
          </w:tcPr>
          <w:p w:rsidR="00460240" w:rsidRPr="00BB7053" w:rsidP="00460240" w14:paraId="25CA978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460240" w:rsidRPr="00BB7053" w:rsidP="00460240" w14:paraId="68241798" w14:textId="05D1DA7C">
            <w:pPr>
              <w:tabs>
                <w:tab w:val="left" w:pos="6030"/>
              </w:tabs>
              <w:spacing w:line="276" w:lineRule="auto"/>
              <w:jc w:val="right"/>
              <w:rPr>
                <w:sz w:val="20"/>
                <w:szCs w:val="20"/>
              </w:rPr>
            </w:pPr>
            <w:r>
              <w:rPr>
                <w:sz w:val="20"/>
                <w:szCs w:val="20"/>
              </w:rPr>
              <w:t>No change</w:t>
            </w:r>
          </w:p>
        </w:tc>
        <w:tc>
          <w:tcPr>
            <w:tcW w:w="1168" w:type="dxa"/>
            <w:shd w:val="clear" w:color="auto" w:fill="D9D9D9" w:themeFill="background1" w:themeFillShade="D9"/>
          </w:tcPr>
          <w:p w:rsidR="00460240" w:rsidRPr="00BB7053" w:rsidP="00460240" w14:paraId="4BA9FE3B" w14:textId="23DA1A5E">
            <w:pPr>
              <w:tabs>
                <w:tab w:val="left" w:pos="6030"/>
              </w:tabs>
              <w:spacing w:line="276" w:lineRule="auto"/>
              <w:jc w:val="right"/>
              <w:rPr>
                <w:sz w:val="20"/>
                <w:szCs w:val="20"/>
              </w:rPr>
            </w:pPr>
            <w:r w:rsidRPr="00567943">
              <w:rPr>
                <w:sz w:val="20"/>
                <w:szCs w:val="20"/>
              </w:rPr>
              <w:t>No change</w:t>
            </w:r>
          </w:p>
        </w:tc>
        <w:tc>
          <w:tcPr>
            <w:tcW w:w="1094" w:type="dxa"/>
            <w:shd w:val="clear" w:color="auto" w:fill="D9D9D9" w:themeFill="background1" w:themeFillShade="D9"/>
          </w:tcPr>
          <w:p w:rsidR="00460240" w:rsidRPr="00BB7053" w:rsidP="00460240" w14:paraId="538AF95F" w14:textId="5EB78AEE">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00460240" w:rsidRPr="00BB7053" w:rsidP="00460240" w14:paraId="158D867C" w14:textId="330C685D">
            <w:pPr>
              <w:tabs>
                <w:tab w:val="left" w:pos="6030"/>
              </w:tabs>
              <w:spacing w:line="276" w:lineRule="auto"/>
              <w:jc w:val="right"/>
              <w:rPr>
                <w:sz w:val="20"/>
                <w:szCs w:val="20"/>
              </w:rPr>
            </w:pPr>
            <w:r w:rsidRPr="00567943">
              <w:rPr>
                <w:sz w:val="20"/>
                <w:szCs w:val="20"/>
              </w:rPr>
              <w:t>No change</w:t>
            </w:r>
          </w:p>
        </w:tc>
        <w:tc>
          <w:tcPr>
            <w:tcW w:w="1209" w:type="dxa"/>
            <w:shd w:val="clear" w:color="auto" w:fill="D9D9D9" w:themeFill="background1" w:themeFillShade="D9"/>
          </w:tcPr>
          <w:p w:rsidR="00460240" w:rsidRPr="00BB7053" w:rsidP="00223079" w14:paraId="716CF5C5" w14:textId="4259BC08">
            <w:pPr>
              <w:tabs>
                <w:tab w:val="left" w:pos="6030"/>
              </w:tabs>
              <w:spacing w:line="276" w:lineRule="auto"/>
              <w:jc w:val="center"/>
              <w:rPr>
                <w:sz w:val="20"/>
                <w:szCs w:val="20"/>
              </w:rPr>
            </w:pPr>
            <w:r>
              <w:rPr>
                <w:sz w:val="20"/>
                <w:szCs w:val="20"/>
              </w:rPr>
              <w:t>No change</w:t>
            </w:r>
          </w:p>
        </w:tc>
        <w:tc>
          <w:tcPr>
            <w:tcW w:w="1080" w:type="dxa"/>
            <w:shd w:val="clear" w:color="auto" w:fill="D9D9D9" w:themeFill="background1" w:themeFillShade="D9"/>
          </w:tcPr>
          <w:p w:rsidR="00460240" w:rsidRPr="00BB7053" w:rsidP="00460240" w14:paraId="7C1D85A4" w14:textId="235E848A">
            <w:pPr>
              <w:tabs>
                <w:tab w:val="left" w:pos="6030"/>
              </w:tabs>
              <w:spacing w:line="276" w:lineRule="auto"/>
              <w:jc w:val="right"/>
              <w:rPr>
                <w:sz w:val="20"/>
                <w:szCs w:val="20"/>
              </w:rPr>
            </w:pPr>
            <w:r w:rsidRPr="00567943">
              <w:rPr>
                <w:sz w:val="20"/>
                <w:szCs w:val="20"/>
              </w:rPr>
              <w:t>No change</w:t>
            </w:r>
          </w:p>
        </w:tc>
        <w:tc>
          <w:tcPr>
            <w:tcW w:w="1530" w:type="dxa"/>
            <w:shd w:val="clear" w:color="auto" w:fill="D9D9D9" w:themeFill="background1" w:themeFillShade="D9"/>
          </w:tcPr>
          <w:p w:rsidR="00460240" w:rsidRPr="00BB7053" w:rsidP="00460240" w14:paraId="139CE72E" w14:textId="078F4425">
            <w:pPr>
              <w:tabs>
                <w:tab w:val="left" w:pos="6030"/>
              </w:tabs>
              <w:spacing w:line="276" w:lineRule="auto"/>
              <w:jc w:val="right"/>
              <w:rPr>
                <w:sz w:val="20"/>
                <w:szCs w:val="20"/>
              </w:rPr>
            </w:pPr>
            <w:r>
              <w:rPr>
                <w:sz w:val="20"/>
                <w:szCs w:val="20"/>
              </w:rPr>
              <w:t>No change</w:t>
            </w:r>
          </w:p>
        </w:tc>
      </w:tr>
    </w:tbl>
    <w:p w:rsidR="00885183" w:rsidRPr="00403BC9" w:rsidP="00403BC9" w14:paraId="57DECA10" w14:textId="648CF06B">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7D7BBD">
        <w:rPr>
          <w:rFonts w:eastAsia="Calibri"/>
          <w:b/>
          <w:bCs/>
        </w:rPr>
        <w:t>1</w:t>
      </w:r>
      <w:r w:rsidR="004E72DE">
        <w:rPr>
          <w:rFonts w:eastAsia="Calibri"/>
          <w:b/>
          <w:bCs/>
        </w:rPr>
        <w:t>X</w:t>
      </w:r>
      <w:r w:rsidRPr="00B30713">
        <w:rPr>
          <w:rFonts w:eastAsia="Calibri"/>
          <w:b/>
          <w:bCs/>
        </w:rPr>
        <w:t xml:space="preserve">: Burden Reconciliation for </w:t>
      </w:r>
      <w:r w:rsidRPr="004E7025" w:rsidR="004E7025">
        <w:rPr>
          <w:rFonts w:eastAsia="Calibri"/>
          <w:b/>
          <w:bCs/>
        </w:rPr>
        <w:t>Submission of Data for All-Payer QP Determinations under the All-Payer Combination Option</w:t>
      </w:r>
    </w:p>
    <w:tbl>
      <w:tblPr>
        <w:tblStyle w:val="TableGrid"/>
        <w:tblW w:w="9715" w:type="dxa"/>
        <w:tblLook w:val="04A0"/>
      </w:tblPr>
      <w:tblGrid>
        <w:gridCol w:w="1516"/>
        <w:gridCol w:w="1306"/>
        <w:gridCol w:w="1154"/>
        <w:gridCol w:w="1094"/>
        <w:gridCol w:w="1146"/>
        <w:gridCol w:w="1159"/>
        <w:gridCol w:w="1080"/>
        <w:gridCol w:w="1260"/>
      </w:tblGrid>
      <w:tr w14:paraId="64A2FC86" w14:textId="77777777" w:rsidTr="0027634A">
        <w:tblPrEx>
          <w:tblW w:w="9715" w:type="dxa"/>
          <w:tblLook w:val="04A0"/>
        </w:tblPrEx>
        <w:trPr>
          <w:tblHeader/>
        </w:trPr>
        <w:tc>
          <w:tcPr>
            <w:tcW w:w="1516" w:type="dxa"/>
          </w:tcPr>
          <w:p w:rsidR="00885183" w:rsidRPr="00173FA2" w:rsidP="00FC0888" w14:paraId="18FAB669"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FC0888" w14:paraId="65349184"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54" w:type="dxa"/>
          </w:tcPr>
          <w:p w:rsidR="00885183" w:rsidRPr="00173FA2" w:rsidP="00FC0888" w14:paraId="2CBF57B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FC0888" w14:paraId="4394A407"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146" w:type="dxa"/>
          </w:tcPr>
          <w:p w:rsidR="00885183" w:rsidRPr="00173FA2" w:rsidP="00FC0888" w14:paraId="38658240" w14:textId="77777777">
            <w:pPr>
              <w:keepNext/>
              <w:keepLines/>
              <w:tabs>
                <w:tab w:val="left" w:pos="6030"/>
              </w:tabs>
              <w:spacing w:line="276" w:lineRule="auto"/>
              <w:rPr>
                <w:b/>
                <w:bCs/>
                <w:sz w:val="20"/>
                <w:szCs w:val="20"/>
              </w:rPr>
            </w:pPr>
            <w:r w:rsidRPr="00173FA2">
              <w:rPr>
                <w:b/>
                <w:bCs/>
                <w:sz w:val="20"/>
                <w:szCs w:val="20"/>
              </w:rPr>
              <w:t>Time Per Response (hr)</w:t>
            </w:r>
          </w:p>
        </w:tc>
        <w:tc>
          <w:tcPr>
            <w:tcW w:w="1159" w:type="dxa"/>
          </w:tcPr>
          <w:p w:rsidR="00885183" w:rsidRPr="00173FA2" w:rsidP="00FC0888" w14:paraId="2942A5B2"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00885183" w:rsidRPr="00173FA2" w:rsidP="00FC0888" w14:paraId="7CDB6C56"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260" w:type="dxa"/>
          </w:tcPr>
          <w:p w:rsidR="00885183" w:rsidRPr="00173FA2" w:rsidP="00FC0888" w14:paraId="08D814CF" w14:textId="77777777">
            <w:pPr>
              <w:keepNext/>
              <w:keepLines/>
              <w:tabs>
                <w:tab w:val="left" w:pos="6030"/>
              </w:tabs>
              <w:spacing w:line="276" w:lineRule="auto"/>
              <w:rPr>
                <w:b/>
                <w:bCs/>
                <w:sz w:val="20"/>
                <w:szCs w:val="20"/>
              </w:rPr>
            </w:pPr>
            <w:r w:rsidRPr="00173FA2">
              <w:rPr>
                <w:b/>
                <w:bCs/>
                <w:sz w:val="20"/>
                <w:szCs w:val="20"/>
              </w:rPr>
              <w:t>Total Annual Cost ($)</w:t>
            </w:r>
          </w:p>
        </w:tc>
      </w:tr>
      <w:tr w14:paraId="3C1EFBC5" w14:textId="77777777" w:rsidTr="0027634A">
        <w:tblPrEx>
          <w:tblW w:w="9715" w:type="dxa"/>
          <w:tblLook w:val="04A0"/>
        </w:tblPrEx>
        <w:tc>
          <w:tcPr>
            <w:tcW w:w="1516" w:type="dxa"/>
          </w:tcPr>
          <w:p w:rsidR="00E62E62" w:rsidRPr="00BB7053" w:rsidP="00E62E62" w14:paraId="5BBE8AC7" w14:textId="2D35828F">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E62E62" w:rsidRPr="00BB7053" w:rsidP="00E62E62" w14:paraId="37DED5ED" w14:textId="4D3DD87F">
            <w:pPr>
              <w:tabs>
                <w:tab w:val="left" w:pos="6030"/>
              </w:tabs>
              <w:spacing w:line="276" w:lineRule="auto"/>
              <w:jc w:val="right"/>
              <w:rPr>
                <w:sz w:val="20"/>
                <w:szCs w:val="20"/>
              </w:rPr>
            </w:pPr>
            <w:r>
              <w:rPr>
                <w:sz w:val="20"/>
                <w:szCs w:val="20"/>
              </w:rPr>
              <w:t>551</w:t>
            </w:r>
          </w:p>
        </w:tc>
        <w:tc>
          <w:tcPr>
            <w:tcW w:w="1154" w:type="dxa"/>
          </w:tcPr>
          <w:p w:rsidR="00E62E62" w:rsidRPr="00BB7053" w:rsidP="00E62E62" w14:paraId="7AC1B292" w14:textId="292D86BC">
            <w:pPr>
              <w:tabs>
                <w:tab w:val="left" w:pos="6030"/>
              </w:tabs>
              <w:spacing w:line="276" w:lineRule="auto"/>
              <w:jc w:val="right"/>
              <w:rPr>
                <w:sz w:val="20"/>
                <w:szCs w:val="20"/>
              </w:rPr>
            </w:pPr>
            <w:r>
              <w:rPr>
                <w:sz w:val="20"/>
                <w:szCs w:val="20"/>
              </w:rPr>
              <w:t>1</w:t>
            </w:r>
          </w:p>
        </w:tc>
        <w:tc>
          <w:tcPr>
            <w:tcW w:w="1094" w:type="dxa"/>
          </w:tcPr>
          <w:p w:rsidR="00E62E62" w:rsidRPr="00BB7053" w:rsidP="00E62E62" w14:paraId="73EC8432" w14:textId="7542712B">
            <w:pPr>
              <w:tabs>
                <w:tab w:val="left" w:pos="6030"/>
              </w:tabs>
              <w:spacing w:line="276" w:lineRule="auto"/>
              <w:jc w:val="right"/>
              <w:rPr>
                <w:sz w:val="20"/>
                <w:szCs w:val="20"/>
              </w:rPr>
            </w:pPr>
            <w:r>
              <w:rPr>
                <w:sz w:val="20"/>
                <w:szCs w:val="20"/>
              </w:rPr>
              <w:t>551</w:t>
            </w:r>
          </w:p>
        </w:tc>
        <w:tc>
          <w:tcPr>
            <w:tcW w:w="1146" w:type="dxa"/>
          </w:tcPr>
          <w:p w:rsidR="00E62E62" w:rsidRPr="00BB7053" w:rsidP="00E62E62" w14:paraId="5398676D" w14:textId="3E97D90F">
            <w:pPr>
              <w:tabs>
                <w:tab w:val="left" w:pos="6030"/>
              </w:tabs>
              <w:spacing w:line="276" w:lineRule="auto"/>
              <w:jc w:val="right"/>
              <w:rPr>
                <w:sz w:val="20"/>
                <w:szCs w:val="20"/>
              </w:rPr>
            </w:pPr>
            <w:r>
              <w:rPr>
                <w:sz w:val="20"/>
                <w:szCs w:val="20"/>
              </w:rPr>
              <w:t>5</w:t>
            </w:r>
          </w:p>
        </w:tc>
        <w:tc>
          <w:tcPr>
            <w:tcW w:w="1159" w:type="dxa"/>
          </w:tcPr>
          <w:p w:rsidR="00E62E62" w:rsidRPr="00BB7053" w:rsidP="00E62E62" w14:paraId="18C4A4C8" w14:textId="547C0145">
            <w:pPr>
              <w:tabs>
                <w:tab w:val="left" w:pos="6030"/>
              </w:tabs>
              <w:spacing w:line="276" w:lineRule="auto"/>
              <w:jc w:val="right"/>
              <w:rPr>
                <w:sz w:val="20"/>
                <w:szCs w:val="20"/>
              </w:rPr>
            </w:pPr>
            <w:r>
              <w:rPr>
                <w:sz w:val="20"/>
                <w:szCs w:val="20"/>
              </w:rPr>
              <w:t>2,755</w:t>
            </w:r>
          </w:p>
        </w:tc>
        <w:tc>
          <w:tcPr>
            <w:tcW w:w="1080" w:type="dxa"/>
          </w:tcPr>
          <w:p w:rsidR="00E62E62" w:rsidRPr="00BB7053" w:rsidP="00E62E62" w14:paraId="4AF23A83" w14:textId="315D97B2">
            <w:pPr>
              <w:tabs>
                <w:tab w:val="left" w:pos="6030"/>
              </w:tabs>
              <w:spacing w:line="276" w:lineRule="auto"/>
              <w:jc w:val="right"/>
              <w:rPr>
                <w:sz w:val="20"/>
                <w:szCs w:val="20"/>
              </w:rPr>
            </w:pPr>
            <w:r>
              <w:rPr>
                <w:sz w:val="20"/>
                <w:szCs w:val="20"/>
              </w:rPr>
              <w:t>1</w:t>
            </w:r>
            <w:r w:rsidR="00304FB5">
              <w:rPr>
                <w:sz w:val="20"/>
                <w:szCs w:val="20"/>
              </w:rPr>
              <w:t>23.06</w:t>
            </w:r>
          </w:p>
        </w:tc>
        <w:tc>
          <w:tcPr>
            <w:tcW w:w="1260" w:type="dxa"/>
          </w:tcPr>
          <w:p w:rsidR="00E62E62" w:rsidRPr="00BB7053" w:rsidP="00E62E62" w14:paraId="49BB93B9" w14:textId="72CD7DC3">
            <w:pPr>
              <w:tabs>
                <w:tab w:val="left" w:pos="6030"/>
              </w:tabs>
              <w:spacing w:line="276" w:lineRule="auto"/>
              <w:jc w:val="right"/>
              <w:rPr>
                <w:sz w:val="20"/>
                <w:szCs w:val="20"/>
              </w:rPr>
            </w:pPr>
            <w:r>
              <w:rPr>
                <w:sz w:val="20"/>
                <w:szCs w:val="20"/>
              </w:rPr>
              <w:t>3</w:t>
            </w:r>
            <w:r w:rsidR="009617B9">
              <w:rPr>
                <w:sz w:val="20"/>
                <w:szCs w:val="20"/>
              </w:rPr>
              <w:t>39,030</w:t>
            </w:r>
          </w:p>
        </w:tc>
      </w:tr>
      <w:tr w14:paraId="19F8EB79" w14:textId="77777777" w:rsidTr="0027634A">
        <w:tblPrEx>
          <w:tblW w:w="9715" w:type="dxa"/>
          <w:tblLook w:val="04A0"/>
        </w:tblPrEx>
        <w:tc>
          <w:tcPr>
            <w:tcW w:w="1516" w:type="dxa"/>
          </w:tcPr>
          <w:p w:rsidR="00E62E62" w:rsidRPr="00BB7053" w:rsidP="00192E2E" w14:paraId="0BAD8D0F" w14:textId="1EE0443F">
            <w:pPr>
              <w:tabs>
                <w:tab w:val="left" w:pos="6030"/>
              </w:tabs>
              <w:spacing w:line="276" w:lineRule="auto"/>
              <w:rPr>
                <w:sz w:val="20"/>
                <w:szCs w:val="20"/>
              </w:rPr>
            </w:pPr>
            <w:r>
              <w:rPr>
                <w:sz w:val="20"/>
                <w:szCs w:val="20"/>
              </w:rPr>
              <w:t>Finaliz</w:t>
            </w:r>
            <w:r w:rsidR="00F73C0A">
              <w:rPr>
                <w:sz w:val="20"/>
                <w:szCs w:val="20"/>
              </w:rPr>
              <w:t>ed</w:t>
            </w:r>
            <w:r w:rsidR="00B44DAA">
              <w:rPr>
                <w:sz w:val="20"/>
                <w:szCs w:val="20"/>
              </w:rPr>
              <w:t xml:space="preserve"> </w:t>
            </w:r>
            <w:r w:rsidRPr="00A67FD9" w:rsidR="00A67FD9">
              <w:rPr>
                <w:sz w:val="20"/>
                <w:szCs w:val="20"/>
              </w:rPr>
              <w:t xml:space="preserve">(See Table </w:t>
            </w:r>
            <w:r w:rsidR="00C20979">
              <w:rPr>
                <w:sz w:val="20"/>
                <w:szCs w:val="20"/>
              </w:rPr>
              <w:t>2</w:t>
            </w:r>
            <w:r w:rsidR="009617B9">
              <w:rPr>
                <w:sz w:val="20"/>
                <w:szCs w:val="20"/>
              </w:rPr>
              <w:t>7</w:t>
            </w:r>
            <w:r w:rsidRPr="00A67FD9" w:rsidR="00A67FD9">
              <w:rPr>
                <w:sz w:val="20"/>
                <w:szCs w:val="20"/>
              </w:rPr>
              <w:t>)</w:t>
            </w:r>
          </w:p>
        </w:tc>
        <w:tc>
          <w:tcPr>
            <w:tcW w:w="1306" w:type="dxa"/>
          </w:tcPr>
          <w:p w:rsidR="00E62E62" w:rsidRPr="00BB7053" w:rsidP="00E62E62" w14:paraId="1C093FC9" w14:textId="7F4C3FF5">
            <w:pPr>
              <w:tabs>
                <w:tab w:val="left" w:pos="6030"/>
              </w:tabs>
              <w:spacing w:line="276" w:lineRule="auto"/>
              <w:jc w:val="right"/>
              <w:rPr>
                <w:sz w:val="20"/>
                <w:szCs w:val="20"/>
              </w:rPr>
            </w:pPr>
            <w:r>
              <w:rPr>
                <w:sz w:val="20"/>
                <w:szCs w:val="20"/>
              </w:rPr>
              <w:t>551</w:t>
            </w:r>
          </w:p>
        </w:tc>
        <w:tc>
          <w:tcPr>
            <w:tcW w:w="1154" w:type="dxa"/>
          </w:tcPr>
          <w:p w:rsidR="00E62E62" w:rsidRPr="00BB7053" w:rsidP="00E62E62" w14:paraId="29E0B280" w14:textId="1CB7291B">
            <w:pPr>
              <w:tabs>
                <w:tab w:val="left" w:pos="6030"/>
              </w:tabs>
              <w:spacing w:line="276" w:lineRule="auto"/>
              <w:jc w:val="right"/>
              <w:rPr>
                <w:sz w:val="20"/>
                <w:szCs w:val="20"/>
              </w:rPr>
            </w:pPr>
            <w:r>
              <w:rPr>
                <w:sz w:val="20"/>
                <w:szCs w:val="20"/>
              </w:rPr>
              <w:t>1</w:t>
            </w:r>
          </w:p>
        </w:tc>
        <w:tc>
          <w:tcPr>
            <w:tcW w:w="1094" w:type="dxa"/>
          </w:tcPr>
          <w:p w:rsidR="00E62E62" w:rsidRPr="00BB7053" w:rsidP="00E62E62" w14:paraId="2C2C9FFC" w14:textId="4A41E32E">
            <w:pPr>
              <w:tabs>
                <w:tab w:val="left" w:pos="6030"/>
              </w:tabs>
              <w:spacing w:line="276" w:lineRule="auto"/>
              <w:jc w:val="right"/>
              <w:rPr>
                <w:sz w:val="20"/>
                <w:szCs w:val="20"/>
              </w:rPr>
            </w:pPr>
            <w:r>
              <w:rPr>
                <w:sz w:val="20"/>
                <w:szCs w:val="20"/>
              </w:rPr>
              <w:t>551</w:t>
            </w:r>
          </w:p>
        </w:tc>
        <w:tc>
          <w:tcPr>
            <w:tcW w:w="1146" w:type="dxa"/>
          </w:tcPr>
          <w:p w:rsidR="00E62E62" w:rsidRPr="00BB7053" w:rsidP="00E62E62" w14:paraId="470244F6" w14:textId="2FF686D5">
            <w:pPr>
              <w:tabs>
                <w:tab w:val="left" w:pos="6030"/>
              </w:tabs>
              <w:spacing w:line="276" w:lineRule="auto"/>
              <w:jc w:val="right"/>
              <w:rPr>
                <w:sz w:val="20"/>
                <w:szCs w:val="20"/>
              </w:rPr>
            </w:pPr>
            <w:r>
              <w:rPr>
                <w:sz w:val="20"/>
                <w:szCs w:val="20"/>
              </w:rPr>
              <w:t>5</w:t>
            </w:r>
          </w:p>
        </w:tc>
        <w:tc>
          <w:tcPr>
            <w:tcW w:w="1159" w:type="dxa"/>
          </w:tcPr>
          <w:p w:rsidR="00E62E62" w:rsidRPr="00BB7053" w:rsidP="00E62E62" w14:paraId="3D1C76F8" w14:textId="43E013D5">
            <w:pPr>
              <w:tabs>
                <w:tab w:val="left" w:pos="6030"/>
              </w:tabs>
              <w:spacing w:line="276" w:lineRule="auto"/>
              <w:jc w:val="right"/>
              <w:rPr>
                <w:sz w:val="20"/>
                <w:szCs w:val="20"/>
              </w:rPr>
            </w:pPr>
            <w:r>
              <w:rPr>
                <w:sz w:val="20"/>
                <w:szCs w:val="20"/>
              </w:rPr>
              <w:t>2,755</w:t>
            </w:r>
          </w:p>
        </w:tc>
        <w:tc>
          <w:tcPr>
            <w:tcW w:w="1080" w:type="dxa"/>
          </w:tcPr>
          <w:p w:rsidR="00E62E62" w:rsidRPr="00BB7053" w:rsidP="00E62E62" w14:paraId="080CEDA0" w14:textId="0944D037">
            <w:pPr>
              <w:tabs>
                <w:tab w:val="left" w:pos="6030"/>
              </w:tabs>
              <w:spacing w:line="276" w:lineRule="auto"/>
              <w:jc w:val="right"/>
              <w:rPr>
                <w:sz w:val="20"/>
                <w:szCs w:val="20"/>
              </w:rPr>
            </w:pPr>
            <w:r>
              <w:rPr>
                <w:sz w:val="20"/>
                <w:szCs w:val="20"/>
              </w:rPr>
              <w:t>1</w:t>
            </w:r>
            <w:r w:rsidR="00304FB5">
              <w:rPr>
                <w:sz w:val="20"/>
                <w:szCs w:val="20"/>
              </w:rPr>
              <w:t>23.06</w:t>
            </w:r>
          </w:p>
        </w:tc>
        <w:tc>
          <w:tcPr>
            <w:tcW w:w="1260" w:type="dxa"/>
          </w:tcPr>
          <w:p w:rsidR="00E62E62" w:rsidRPr="00BB7053" w:rsidP="00E62E62" w14:paraId="7304CB52" w14:textId="5711207B">
            <w:pPr>
              <w:tabs>
                <w:tab w:val="left" w:pos="6030"/>
              </w:tabs>
              <w:spacing w:line="276" w:lineRule="auto"/>
              <w:jc w:val="right"/>
              <w:rPr>
                <w:sz w:val="20"/>
                <w:szCs w:val="20"/>
              </w:rPr>
            </w:pPr>
            <w:r>
              <w:rPr>
                <w:sz w:val="20"/>
                <w:szCs w:val="20"/>
              </w:rPr>
              <w:t>3</w:t>
            </w:r>
            <w:r w:rsidR="009617B9">
              <w:rPr>
                <w:sz w:val="20"/>
                <w:szCs w:val="20"/>
              </w:rPr>
              <w:t>39,030</w:t>
            </w:r>
          </w:p>
        </w:tc>
      </w:tr>
      <w:tr w14:paraId="518F9B21" w14:textId="77777777" w:rsidTr="00223079">
        <w:tblPrEx>
          <w:tblW w:w="9715" w:type="dxa"/>
          <w:tblLook w:val="04A0"/>
        </w:tblPrEx>
        <w:tc>
          <w:tcPr>
            <w:tcW w:w="1516" w:type="dxa"/>
            <w:shd w:val="clear" w:color="auto" w:fill="D9D9D9" w:themeFill="background1" w:themeFillShade="D9"/>
          </w:tcPr>
          <w:p w:rsidR="00E62E62" w:rsidRPr="00BB7053" w:rsidP="00E62E62" w14:paraId="7D6E3CF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E62E62" w:rsidRPr="00BB7053" w:rsidP="00E62E62" w14:paraId="09260942" w14:textId="0BEBDE8B">
            <w:pPr>
              <w:tabs>
                <w:tab w:val="left" w:pos="6030"/>
              </w:tabs>
              <w:spacing w:line="276" w:lineRule="auto"/>
              <w:jc w:val="right"/>
              <w:rPr>
                <w:sz w:val="20"/>
                <w:szCs w:val="20"/>
              </w:rPr>
            </w:pPr>
            <w:r w:rsidRPr="00B7095A">
              <w:rPr>
                <w:sz w:val="20"/>
                <w:szCs w:val="20"/>
              </w:rPr>
              <w:t>No change</w:t>
            </w:r>
          </w:p>
        </w:tc>
        <w:tc>
          <w:tcPr>
            <w:tcW w:w="1154" w:type="dxa"/>
            <w:shd w:val="clear" w:color="auto" w:fill="D9D9D9" w:themeFill="background1" w:themeFillShade="D9"/>
          </w:tcPr>
          <w:p w:rsidR="00E62E62" w:rsidRPr="00BB7053" w:rsidP="00E62E62" w14:paraId="133DD291" w14:textId="12C36CA6">
            <w:pPr>
              <w:tabs>
                <w:tab w:val="left" w:pos="6030"/>
              </w:tabs>
              <w:spacing w:line="276" w:lineRule="auto"/>
              <w:jc w:val="right"/>
              <w:rPr>
                <w:sz w:val="20"/>
                <w:szCs w:val="20"/>
              </w:rPr>
            </w:pPr>
            <w:r w:rsidRPr="00B7095A">
              <w:rPr>
                <w:sz w:val="20"/>
                <w:szCs w:val="20"/>
              </w:rPr>
              <w:t>No change</w:t>
            </w:r>
          </w:p>
        </w:tc>
        <w:tc>
          <w:tcPr>
            <w:tcW w:w="1094" w:type="dxa"/>
            <w:shd w:val="clear" w:color="auto" w:fill="D9D9D9" w:themeFill="background1" w:themeFillShade="D9"/>
          </w:tcPr>
          <w:p w:rsidR="00E62E62" w:rsidRPr="00BB7053" w:rsidP="00E62E62" w14:paraId="45C3B0E2" w14:textId="21957FEB">
            <w:pPr>
              <w:tabs>
                <w:tab w:val="left" w:pos="6030"/>
              </w:tabs>
              <w:spacing w:line="276" w:lineRule="auto"/>
              <w:jc w:val="right"/>
              <w:rPr>
                <w:sz w:val="20"/>
                <w:szCs w:val="20"/>
              </w:rPr>
            </w:pPr>
            <w:r w:rsidRPr="00B7095A">
              <w:rPr>
                <w:sz w:val="20"/>
                <w:szCs w:val="20"/>
              </w:rPr>
              <w:t>No change</w:t>
            </w:r>
          </w:p>
        </w:tc>
        <w:tc>
          <w:tcPr>
            <w:tcW w:w="1146" w:type="dxa"/>
            <w:shd w:val="clear" w:color="auto" w:fill="D9D9D9" w:themeFill="background1" w:themeFillShade="D9"/>
          </w:tcPr>
          <w:p w:rsidR="00E62E62" w:rsidRPr="00BB7053" w:rsidP="00E62E62" w14:paraId="7F65AE62" w14:textId="17440632">
            <w:pPr>
              <w:tabs>
                <w:tab w:val="left" w:pos="6030"/>
              </w:tabs>
              <w:spacing w:line="276" w:lineRule="auto"/>
              <w:jc w:val="right"/>
              <w:rPr>
                <w:sz w:val="20"/>
                <w:szCs w:val="20"/>
              </w:rPr>
            </w:pPr>
            <w:r w:rsidRPr="00B7095A">
              <w:rPr>
                <w:sz w:val="20"/>
                <w:szCs w:val="20"/>
              </w:rPr>
              <w:t>No change</w:t>
            </w:r>
          </w:p>
        </w:tc>
        <w:tc>
          <w:tcPr>
            <w:tcW w:w="1159" w:type="dxa"/>
            <w:shd w:val="clear" w:color="auto" w:fill="D9D9D9" w:themeFill="background1" w:themeFillShade="D9"/>
          </w:tcPr>
          <w:p w:rsidR="00E62E62" w:rsidRPr="00BB7053" w:rsidP="00E62E62" w14:paraId="7ADFCF19" w14:textId="6913572D">
            <w:pPr>
              <w:tabs>
                <w:tab w:val="left" w:pos="6030"/>
              </w:tabs>
              <w:spacing w:line="276" w:lineRule="auto"/>
              <w:jc w:val="right"/>
              <w:rPr>
                <w:sz w:val="20"/>
                <w:szCs w:val="20"/>
              </w:rPr>
            </w:pPr>
            <w:r w:rsidRPr="00B7095A">
              <w:rPr>
                <w:sz w:val="20"/>
                <w:szCs w:val="20"/>
              </w:rPr>
              <w:t>No change</w:t>
            </w:r>
          </w:p>
        </w:tc>
        <w:tc>
          <w:tcPr>
            <w:tcW w:w="1080" w:type="dxa"/>
            <w:shd w:val="clear" w:color="auto" w:fill="D9D9D9" w:themeFill="background1" w:themeFillShade="D9"/>
          </w:tcPr>
          <w:p w:rsidR="00E62E62" w:rsidRPr="00BB7053" w:rsidP="00E62E62" w14:paraId="7718E8B1" w14:textId="0ED29492">
            <w:pPr>
              <w:tabs>
                <w:tab w:val="left" w:pos="6030"/>
              </w:tabs>
              <w:spacing w:line="276" w:lineRule="auto"/>
              <w:jc w:val="right"/>
              <w:rPr>
                <w:sz w:val="20"/>
                <w:szCs w:val="20"/>
              </w:rPr>
            </w:pPr>
            <w:r w:rsidRPr="00B7095A">
              <w:rPr>
                <w:sz w:val="20"/>
                <w:szCs w:val="20"/>
              </w:rPr>
              <w:t>No change</w:t>
            </w:r>
          </w:p>
        </w:tc>
        <w:tc>
          <w:tcPr>
            <w:tcW w:w="1260" w:type="dxa"/>
            <w:shd w:val="clear" w:color="auto" w:fill="D9D9D9" w:themeFill="background1" w:themeFillShade="D9"/>
          </w:tcPr>
          <w:p w:rsidR="00E62E62" w:rsidRPr="00BB7053" w:rsidP="00E62E62" w14:paraId="11A3BCD3" w14:textId="22396F7C">
            <w:pPr>
              <w:tabs>
                <w:tab w:val="left" w:pos="6030"/>
              </w:tabs>
              <w:spacing w:line="276" w:lineRule="auto"/>
              <w:jc w:val="right"/>
              <w:rPr>
                <w:sz w:val="20"/>
                <w:szCs w:val="20"/>
              </w:rPr>
            </w:pPr>
            <w:r w:rsidRPr="00B7095A">
              <w:rPr>
                <w:sz w:val="20"/>
                <w:szCs w:val="20"/>
              </w:rPr>
              <w:t>No change</w:t>
            </w:r>
          </w:p>
        </w:tc>
      </w:tr>
    </w:tbl>
    <w:p w:rsidR="00885183" w:rsidRPr="009D582F" w:rsidP="009D582F" w14:paraId="7ECB9221" w14:textId="52910DAB">
      <w:pPr>
        <w:keepNext/>
        <w:keepLines/>
        <w:spacing w:before="200"/>
        <w:jc w:val="center"/>
        <w:rPr>
          <w:rFonts w:eastAsia="Calibri"/>
          <w:b/>
        </w:rPr>
      </w:pPr>
      <w:r w:rsidRPr="00B30713">
        <w:rPr>
          <w:rFonts w:eastAsia="Calibri"/>
          <w:b/>
          <w:bCs/>
        </w:rPr>
        <w:t xml:space="preserve">TABLE </w:t>
      </w:r>
      <w:r w:rsidR="00C1361E">
        <w:rPr>
          <w:rFonts w:eastAsia="Calibri"/>
          <w:b/>
          <w:bCs/>
        </w:rPr>
        <w:t>3</w:t>
      </w:r>
      <w:r w:rsidR="007D7BBD">
        <w:rPr>
          <w:rFonts w:eastAsia="Calibri"/>
          <w:b/>
          <w:bCs/>
        </w:rPr>
        <w:t>1</w:t>
      </w:r>
      <w:r w:rsidR="004E72DE">
        <w:rPr>
          <w:rFonts w:eastAsia="Calibri"/>
          <w:b/>
          <w:bCs/>
        </w:rPr>
        <w:t>Y</w:t>
      </w:r>
      <w:r w:rsidRPr="00B30713">
        <w:rPr>
          <w:rFonts w:eastAsia="Calibri"/>
          <w:b/>
          <w:bCs/>
        </w:rPr>
        <w:t xml:space="preserve">: Burden Reconciliation for </w:t>
      </w:r>
      <w:r w:rsidRPr="003C6CDD" w:rsidR="003C6CDD">
        <w:rPr>
          <w:rFonts w:eastAsia="Calibri"/>
          <w:b/>
          <w:bCs/>
        </w:rPr>
        <w:t>Voluntary Participants to Elect to Opt Out of Performance Data Display on Physician Compare</w:t>
      </w:r>
    </w:p>
    <w:tbl>
      <w:tblPr>
        <w:tblStyle w:val="TableGrid"/>
        <w:tblW w:w="9715" w:type="dxa"/>
        <w:tblLook w:val="04A0"/>
      </w:tblPr>
      <w:tblGrid>
        <w:gridCol w:w="1516"/>
        <w:gridCol w:w="1306"/>
        <w:gridCol w:w="1137"/>
        <w:gridCol w:w="1094"/>
        <w:gridCol w:w="1126"/>
        <w:gridCol w:w="1106"/>
        <w:gridCol w:w="1170"/>
        <w:gridCol w:w="1260"/>
      </w:tblGrid>
      <w:tr w14:paraId="6C7E2C5D" w14:textId="77777777" w:rsidTr="00223079">
        <w:tblPrEx>
          <w:tblW w:w="9715" w:type="dxa"/>
          <w:tblLook w:val="04A0"/>
        </w:tblPrEx>
        <w:trPr>
          <w:tblHeader/>
        </w:trPr>
        <w:tc>
          <w:tcPr>
            <w:tcW w:w="1516" w:type="dxa"/>
          </w:tcPr>
          <w:p w:rsidR="00885183" w:rsidRPr="00173FA2" w:rsidP="006750AE" w14:paraId="62B207E1"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00885183" w:rsidRPr="00173FA2" w:rsidP="006750AE" w14:paraId="62E5215F"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37" w:type="dxa"/>
          </w:tcPr>
          <w:p w:rsidR="00885183" w:rsidRPr="00173FA2" w:rsidP="006750AE" w14:paraId="0B3E232A"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00885183" w:rsidRPr="00173FA2" w:rsidP="006750AE" w14:paraId="69D7BA1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126" w:type="dxa"/>
          </w:tcPr>
          <w:p w:rsidR="00885183" w:rsidRPr="00173FA2" w:rsidP="006750AE" w14:paraId="140A7779" w14:textId="77777777">
            <w:pPr>
              <w:keepNext/>
              <w:keepLines/>
              <w:tabs>
                <w:tab w:val="left" w:pos="6030"/>
              </w:tabs>
              <w:spacing w:line="276" w:lineRule="auto"/>
              <w:rPr>
                <w:b/>
                <w:bCs/>
                <w:sz w:val="20"/>
                <w:szCs w:val="20"/>
              </w:rPr>
            </w:pPr>
            <w:r w:rsidRPr="00173FA2">
              <w:rPr>
                <w:b/>
                <w:bCs/>
                <w:sz w:val="20"/>
                <w:szCs w:val="20"/>
              </w:rPr>
              <w:t>Time Per Response (hr)</w:t>
            </w:r>
          </w:p>
        </w:tc>
        <w:tc>
          <w:tcPr>
            <w:tcW w:w="1106" w:type="dxa"/>
          </w:tcPr>
          <w:p w:rsidR="00885183" w:rsidRPr="00173FA2" w:rsidP="006750AE" w14:paraId="70960724"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170" w:type="dxa"/>
          </w:tcPr>
          <w:p w:rsidR="00885183" w:rsidRPr="00173FA2" w:rsidP="006750AE" w14:paraId="469CD4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260" w:type="dxa"/>
          </w:tcPr>
          <w:p w:rsidR="00885183" w:rsidRPr="00173FA2" w:rsidP="006750AE" w14:paraId="097F1CBD" w14:textId="77777777">
            <w:pPr>
              <w:keepNext/>
              <w:keepLines/>
              <w:tabs>
                <w:tab w:val="left" w:pos="6030"/>
              </w:tabs>
              <w:spacing w:line="276" w:lineRule="auto"/>
              <w:rPr>
                <w:b/>
                <w:bCs/>
                <w:sz w:val="20"/>
                <w:szCs w:val="20"/>
              </w:rPr>
            </w:pPr>
            <w:r w:rsidRPr="00173FA2">
              <w:rPr>
                <w:b/>
                <w:bCs/>
                <w:sz w:val="20"/>
                <w:szCs w:val="20"/>
              </w:rPr>
              <w:t>Total Annual Cost ($)</w:t>
            </w:r>
          </w:p>
        </w:tc>
      </w:tr>
      <w:tr w14:paraId="2435C416" w14:textId="77777777" w:rsidTr="00223079">
        <w:tblPrEx>
          <w:tblW w:w="9715" w:type="dxa"/>
          <w:tblLook w:val="04A0"/>
        </w:tblPrEx>
        <w:tc>
          <w:tcPr>
            <w:tcW w:w="1516" w:type="dxa"/>
          </w:tcPr>
          <w:p w:rsidR="00DD0D59" w:rsidRPr="00BB7053" w:rsidP="006750AE" w14:paraId="3F78E458" w14:textId="162232BE">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00DD0D59" w:rsidRPr="00BB7053" w:rsidP="006750AE" w14:paraId="1BDCE7DA" w14:textId="04BC0E87">
            <w:pPr>
              <w:keepNext/>
              <w:keepLines/>
              <w:tabs>
                <w:tab w:val="left" w:pos="6030"/>
              </w:tabs>
              <w:spacing w:line="276" w:lineRule="auto"/>
              <w:jc w:val="right"/>
              <w:rPr>
                <w:sz w:val="20"/>
                <w:szCs w:val="20"/>
              </w:rPr>
            </w:pPr>
            <w:r>
              <w:rPr>
                <w:sz w:val="20"/>
                <w:szCs w:val="20"/>
              </w:rPr>
              <w:t>38</w:t>
            </w:r>
          </w:p>
        </w:tc>
        <w:tc>
          <w:tcPr>
            <w:tcW w:w="1137" w:type="dxa"/>
          </w:tcPr>
          <w:p w:rsidR="00DD0D59" w:rsidRPr="00BB7053" w:rsidP="006750AE" w14:paraId="04B74E8C" w14:textId="1A542FD0">
            <w:pPr>
              <w:keepNext/>
              <w:keepLines/>
              <w:tabs>
                <w:tab w:val="left" w:pos="6030"/>
              </w:tabs>
              <w:spacing w:line="276" w:lineRule="auto"/>
              <w:jc w:val="right"/>
              <w:rPr>
                <w:sz w:val="20"/>
                <w:szCs w:val="20"/>
              </w:rPr>
            </w:pPr>
            <w:r>
              <w:rPr>
                <w:sz w:val="20"/>
                <w:szCs w:val="20"/>
              </w:rPr>
              <w:t>1</w:t>
            </w:r>
          </w:p>
        </w:tc>
        <w:tc>
          <w:tcPr>
            <w:tcW w:w="1094" w:type="dxa"/>
          </w:tcPr>
          <w:p w:rsidR="00DD0D59" w:rsidRPr="00BB7053" w:rsidP="006750AE" w14:paraId="074CF4C1" w14:textId="5959D4A2">
            <w:pPr>
              <w:keepNext/>
              <w:keepLines/>
              <w:tabs>
                <w:tab w:val="left" w:pos="6030"/>
              </w:tabs>
              <w:spacing w:line="276" w:lineRule="auto"/>
              <w:jc w:val="right"/>
              <w:rPr>
                <w:sz w:val="20"/>
                <w:szCs w:val="20"/>
              </w:rPr>
            </w:pPr>
            <w:r>
              <w:rPr>
                <w:sz w:val="20"/>
                <w:szCs w:val="20"/>
              </w:rPr>
              <w:t>38</w:t>
            </w:r>
          </w:p>
        </w:tc>
        <w:tc>
          <w:tcPr>
            <w:tcW w:w="1126" w:type="dxa"/>
          </w:tcPr>
          <w:p w:rsidR="00DD0D59" w:rsidRPr="00BB7053" w:rsidP="006750AE" w14:paraId="2E5643D1" w14:textId="56BD883A">
            <w:pPr>
              <w:keepNext/>
              <w:keepLines/>
              <w:tabs>
                <w:tab w:val="left" w:pos="6030"/>
              </w:tabs>
              <w:spacing w:line="276" w:lineRule="auto"/>
              <w:jc w:val="right"/>
              <w:rPr>
                <w:sz w:val="20"/>
                <w:szCs w:val="20"/>
              </w:rPr>
            </w:pPr>
            <w:r>
              <w:rPr>
                <w:sz w:val="20"/>
                <w:szCs w:val="20"/>
              </w:rPr>
              <w:t>0.25</w:t>
            </w:r>
          </w:p>
        </w:tc>
        <w:tc>
          <w:tcPr>
            <w:tcW w:w="1106" w:type="dxa"/>
          </w:tcPr>
          <w:p w:rsidR="00DD0D59" w:rsidRPr="00BB7053" w:rsidP="006750AE" w14:paraId="3E746924" w14:textId="2274A930">
            <w:pPr>
              <w:keepNext/>
              <w:keepLines/>
              <w:tabs>
                <w:tab w:val="left" w:pos="6030"/>
              </w:tabs>
              <w:spacing w:line="276" w:lineRule="auto"/>
              <w:jc w:val="right"/>
              <w:rPr>
                <w:sz w:val="20"/>
                <w:szCs w:val="20"/>
              </w:rPr>
            </w:pPr>
            <w:r>
              <w:rPr>
                <w:sz w:val="20"/>
                <w:szCs w:val="20"/>
              </w:rPr>
              <w:t>10</w:t>
            </w:r>
          </w:p>
        </w:tc>
        <w:tc>
          <w:tcPr>
            <w:tcW w:w="1170" w:type="dxa"/>
          </w:tcPr>
          <w:p w:rsidR="00DD0D59" w:rsidRPr="00BB7053" w:rsidP="006750AE" w14:paraId="12F2571C" w14:textId="4B5C8805">
            <w:pPr>
              <w:keepNext/>
              <w:keepLines/>
              <w:tabs>
                <w:tab w:val="left" w:pos="6030"/>
              </w:tabs>
              <w:spacing w:line="276" w:lineRule="auto"/>
              <w:jc w:val="right"/>
              <w:rPr>
                <w:sz w:val="20"/>
                <w:szCs w:val="20"/>
              </w:rPr>
            </w:pPr>
            <w:r>
              <w:rPr>
                <w:sz w:val="20"/>
                <w:szCs w:val="20"/>
              </w:rPr>
              <w:t>103.40</w:t>
            </w:r>
          </w:p>
        </w:tc>
        <w:tc>
          <w:tcPr>
            <w:tcW w:w="1260" w:type="dxa"/>
          </w:tcPr>
          <w:p w:rsidR="00DD0D59" w:rsidRPr="00BB7053" w:rsidP="006750AE" w14:paraId="76047628" w14:textId="37DAFF8F">
            <w:pPr>
              <w:keepNext/>
              <w:keepLines/>
              <w:tabs>
                <w:tab w:val="left" w:pos="6030"/>
              </w:tabs>
              <w:spacing w:line="276" w:lineRule="auto"/>
              <w:jc w:val="right"/>
              <w:rPr>
                <w:sz w:val="20"/>
                <w:szCs w:val="20"/>
              </w:rPr>
            </w:pPr>
            <w:r>
              <w:rPr>
                <w:sz w:val="20"/>
                <w:szCs w:val="20"/>
              </w:rPr>
              <w:t>98</w:t>
            </w:r>
            <w:r w:rsidR="000B231D">
              <w:rPr>
                <w:sz w:val="20"/>
                <w:szCs w:val="20"/>
              </w:rPr>
              <w:t>2</w:t>
            </w:r>
          </w:p>
        </w:tc>
      </w:tr>
      <w:tr w14:paraId="5B1B0FDC" w14:textId="77777777" w:rsidTr="00223079">
        <w:tblPrEx>
          <w:tblW w:w="9715" w:type="dxa"/>
          <w:tblLook w:val="04A0"/>
        </w:tblPrEx>
        <w:tc>
          <w:tcPr>
            <w:tcW w:w="1516" w:type="dxa"/>
          </w:tcPr>
          <w:p w:rsidR="00DD0D59" w:rsidRPr="00BB7053" w:rsidP="00192E2E" w14:paraId="3DB034AB" w14:textId="1CA6E52D">
            <w:pPr>
              <w:keepNext/>
              <w:keepLines/>
              <w:tabs>
                <w:tab w:val="left" w:pos="6030"/>
              </w:tabs>
              <w:spacing w:line="276" w:lineRule="auto"/>
              <w:rPr>
                <w:sz w:val="20"/>
                <w:szCs w:val="20"/>
              </w:rPr>
            </w:pPr>
            <w:r>
              <w:rPr>
                <w:sz w:val="20"/>
                <w:szCs w:val="20"/>
              </w:rPr>
              <w:t>Finaliz</w:t>
            </w:r>
            <w:r w:rsidR="00F73C0A">
              <w:rPr>
                <w:sz w:val="20"/>
                <w:szCs w:val="20"/>
              </w:rPr>
              <w:t>ed</w:t>
            </w:r>
            <w:r w:rsidR="002A4AAB">
              <w:rPr>
                <w:sz w:val="20"/>
                <w:szCs w:val="20"/>
              </w:rPr>
              <w:t xml:space="preserve"> </w:t>
            </w:r>
            <w:r w:rsidRPr="00A67FD9" w:rsidR="00A67FD9">
              <w:rPr>
                <w:sz w:val="20"/>
                <w:szCs w:val="20"/>
              </w:rPr>
              <w:t xml:space="preserve">(See Table </w:t>
            </w:r>
            <w:r w:rsidR="00543E10">
              <w:rPr>
                <w:sz w:val="20"/>
                <w:szCs w:val="20"/>
              </w:rPr>
              <w:t>2</w:t>
            </w:r>
            <w:r w:rsidR="00304FB5">
              <w:rPr>
                <w:sz w:val="20"/>
                <w:szCs w:val="20"/>
              </w:rPr>
              <w:t>8</w:t>
            </w:r>
            <w:r w:rsidRPr="00A67FD9" w:rsidR="00A67FD9">
              <w:rPr>
                <w:sz w:val="20"/>
                <w:szCs w:val="20"/>
              </w:rPr>
              <w:t>)</w:t>
            </w:r>
          </w:p>
        </w:tc>
        <w:tc>
          <w:tcPr>
            <w:tcW w:w="1306" w:type="dxa"/>
          </w:tcPr>
          <w:p w:rsidR="00DD0D59" w:rsidRPr="00BB7053" w:rsidP="006750AE" w14:paraId="2BE15233" w14:textId="60FAAD15">
            <w:pPr>
              <w:keepNext/>
              <w:keepLines/>
              <w:tabs>
                <w:tab w:val="left" w:pos="6030"/>
              </w:tabs>
              <w:spacing w:line="276" w:lineRule="auto"/>
              <w:jc w:val="right"/>
              <w:rPr>
                <w:sz w:val="20"/>
                <w:szCs w:val="20"/>
              </w:rPr>
            </w:pPr>
            <w:r>
              <w:rPr>
                <w:sz w:val="20"/>
                <w:szCs w:val="20"/>
              </w:rPr>
              <w:t>3</w:t>
            </w:r>
            <w:r w:rsidR="009A360C">
              <w:rPr>
                <w:sz w:val="20"/>
                <w:szCs w:val="20"/>
              </w:rPr>
              <w:t>8</w:t>
            </w:r>
          </w:p>
        </w:tc>
        <w:tc>
          <w:tcPr>
            <w:tcW w:w="1137" w:type="dxa"/>
          </w:tcPr>
          <w:p w:rsidR="00DD0D59" w:rsidRPr="00BB7053" w:rsidP="006750AE" w14:paraId="7E1B2C57" w14:textId="0F3E89D6">
            <w:pPr>
              <w:keepNext/>
              <w:keepLines/>
              <w:tabs>
                <w:tab w:val="left" w:pos="6030"/>
              </w:tabs>
              <w:spacing w:line="276" w:lineRule="auto"/>
              <w:jc w:val="right"/>
              <w:rPr>
                <w:sz w:val="20"/>
                <w:szCs w:val="20"/>
              </w:rPr>
            </w:pPr>
            <w:r>
              <w:rPr>
                <w:sz w:val="20"/>
                <w:szCs w:val="20"/>
              </w:rPr>
              <w:t>1</w:t>
            </w:r>
          </w:p>
        </w:tc>
        <w:tc>
          <w:tcPr>
            <w:tcW w:w="1094" w:type="dxa"/>
          </w:tcPr>
          <w:p w:rsidR="00DD0D59" w:rsidRPr="00BB7053" w:rsidP="006750AE" w14:paraId="7381002F" w14:textId="0BCEE762">
            <w:pPr>
              <w:keepNext/>
              <w:keepLines/>
              <w:tabs>
                <w:tab w:val="left" w:pos="6030"/>
              </w:tabs>
              <w:spacing w:line="276" w:lineRule="auto"/>
              <w:jc w:val="right"/>
              <w:rPr>
                <w:sz w:val="20"/>
                <w:szCs w:val="20"/>
              </w:rPr>
            </w:pPr>
            <w:r>
              <w:rPr>
                <w:sz w:val="20"/>
                <w:szCs w:val="20"/>
              </w:rPr>
              <w:t>3</w:t>
            </w:r>
            <w:r w:rsidR="00691E9E">
              <w:rPr>
                <w:sz w:val="20"/>
                <w:szCs w:val="20"/>
              </w:rPr>
              <w:t>8</w:t>
            </w:r>
          </w:p>
        </w:tc>
        <w:tc>
          <w:tcPr>
            <w:tcW w:w="1126" w:type="dxa"/>
          </w:tcPr>
          <w:p w:rsidR="00DD0D59" w:rsidRPr="00BB7053" w:rsidP="006750AE" w14:paraId="36F11192" w14:textId="08673B32">
            <w:pPr>
              <w:keepNext/>
              <w:keepLines/>
              <w:tabs>
                <w:tab w:val="left" w:pos="6030"/>
              </w:tabs>
              <w:spacing w:line="276" w:lineRule="auto"/>
              <w:jc w:val="right"/>
              <w:rPr>
                <w:sz w:val="20"/>
                <w:szCs w:val="20"/>
              </w:rPr>
            </w:pPr>
            <w:r>
              <w:rPr>
                <w:sz w:val="20"/>
                <w:szCs w:val="20"/>
              </w:rPr>
              <w:t>0.25</w:t>
            </w:r>
          </w:p>
        </w:tc>
        <w:tc>
          <w:tcPr>
            <w:tcW w:w="1106" w:type="dxa"/>
          </w:tcPr>
          <w:p w:rsidR="00DD0D59" w:rsidRPr="00BB7053" w:rsidP="006750AE" w14:paraId="593BE9AD" w14:textId="57825896">
            <w:pPr>
              <w:keepNext/>
              <w:keepLines/>
              <w:tabs>
                <w:tab w:val="left" w:pos="6030"/>
              </w:tabs>
              <w:spacing w:line="276" w:lineRule="auto"/>
              <w:jc w:val="right"/>
              <w:rPr>
                <w:sz w:val="20"/>
                <w:szCs w:val="20"/>
              </w:rPr>
            </w:pPr>
            <w:r>
              <w:rPr>
                <w:sz w:val="20"/>
                <w:szCs w:val="20"/>
              </w:rPr>
              <w:t>10</w:t>
            </w:r>
          </w:p>
        </w:tc>
        <w:tc>
          <w:tcPr>
            <w:tcW w:w="1170" w:type="dxa"/>
          </w:tcPr>
          <w:p w:rsidR="00DD0D59" w:rsidRPr="00BB7053" w:rsidP="006750AE" w14:paraId="6A80714E" w14:textId="5791AD53">
            <w:pPr>
              <w:keepNext/>
              <w:keepLines/>
              <w:tabs>
                <w:tab w:val="left" w:pos="6030"/>
              </w:tabs>
              <w:spacing w:line="276" w:lineRule="auto"/>
              <w:jc w:val="right"/>
              <w:rPr>
                <w:sz w:val="20"/>
                <w:szCs w:val="20"/>
              </w:rPr>
            </w:pPr>
            <w:r>
              <w:rPr>
                <w:sz w:val="20"/>
                <w:szCs w:val="20"/>
              </w:rPr>
              <w:t>103.40</w:t>
            </w:r>
          </w:p>
        </w:tc>
        <w:tc>
          <w:tcPr>
            <w:tcW w:w="1260" w:type="dxa"/>
          </w:tcPr>
          <w:p w:rsidR="00DD0D59" w:rsidRPr="00BB7053" w:rsidP="006750AE" w14:paraId="5C87A6E9" w14:textId="0AB33E58">
            <w:pPr>
              <w:keepNext/>
              <w:keepLines/>
              <w:tabs>
                <w:tab w:val="left" w:pos="6030"/>
              </w:tabs>
              <w:spacing w:line="276" w:lineRule="auto"/>
              <w:jc w:val="right"/>
              <w:rPr>
                <w:sz w:val="20"/>
                <w:szCs w:val="20"/>
              </w:rPr>
            </w:pPr>
            <w:r>
              <w:rPr>
                <w:sz w:val="20"/>
                <w:szCs w:val="20"/>
              </w:rPr>
              <w:t>98</w:t>
            </w:r>
            <w:r w:rsidR="000B231D">
              <w:rPr>
                <w:sz w:val="20"/>
                <w:szCs w:val="20"/>
              </w:rPr>
              <w:t>2</w:t>
            </w:r>
          </w:p>
        </w:tc>
      </w:tr>
      <w:tr w14:paraId="62FD497D" w14:textId="77777777" w:rsidTr="00223079">
        <w:tblPrEx>
          <w:tblW w:w="9715" w:type="dxa"/>
          <w:tblLook w:val="04A0"/>
        </w:tblPrEx>
        <w:tc>
          <w:tcPr>
            <w:tcW w:w="1516" w:type="dxa"/>
            <w:shd w:val="clear" w:color="auto" w:fill="D9D9D9" w:themeFill="background1" w:themeFillShade="D9"/>
          </w:tcPr>
          <w:p w:rsidR="00DD0D59" w:rsidRPr="00BB7053" w:rsidP="006750AE" w14:paraId="383C553F"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DD0D59" w:rsidRPr="00BB7053" w:rsidP="006750AE" w14:paraId="7D9F220E" w14:textId="417FB3F7">
            <w:pPr>
              <w:keepNext/>
              <w:keepLines/>
              <w:tabs>
                <w:tab w:val="left" w:pos="6030"/>
              </w:tabs>
              <w:spacing w:line="276" w:lineRule="auto"/>
              <w:jc w:val="right"/>
              <w:rPr>
                <w:sz w:val="20"/>
                <w:szCs w:val="20"/>
              </w:rPr>
            </w:pPr>
            <w:r>
              <w:rPr>
                <w:sz w:val="20"/>
                <w:szCs w:val="20"/>
              </w:rPr>
              <w:t>No change</w:t>
            </w:r>
          </w:p>
        </w:tc>
        <w:tc>
          <w:tcPr>
            <w:tcW w:w="1137" w:type="dxa"/>
            <w:shd w:val="clear" w:color="auto" w:fill="D9D9D9" w:themeFill="background1" w:themeFillShade="D9"/>
          </w:tcPr>
          <w:p w:rsidR="00DD0D59" w:rsidRPr="00BB7053" w:rsidP="006750AE" w14:paraId="5CEA80EC" w14:textId="38883ECF">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DD0D59" w:rsidRPr="00BB7053" w:rsidP="006750AE" w14:paraId="2B60D818" w14:textId="23C08EFD">
            <w:pPr>
              <w:keepNext/>
              <w:keepLines/>
              <w:tabs>
                <w:tab w:val="left" w:pos="6030"/>
              </w:tabs>
              <w:spacing w:line="276" w:lineRule="auto"/>
              <w:jc w:val="right"/>
              <w:rPr>
                <w:sz w:val="20"/>
                <w:szCs w:val="20"/>
              </w:rPr>
            </w:pPr>
            <w:r>
              <w:rPr>
                <w:sz w:val="20"/>
                <w:szCs w:val="20"/>
              </w:rPr>
              <w:t>No change</w:t>
            </w:r>
          </w:p>
        </w:tc>
        <w:tc>
          <w:tcPr>
            <w:tcW w:w="1126" w:type="dxa"/>
            <w:shd w:val="clear" w:color="auto" w:fill="D9D9D9" w:themeFill="background1" w:themeFillShade="D9"/>
          </w:tcPr>
          <w:p w:rsidR="00DD0D59" w:rsidRPr="00BB7053" w:rsidP="006750AE" w14:paraId="3D4EDBF2" w14:textId="18953BE0">
            <w:pPr>
              <w:keepNext/>
              <w:keepLines/>
              <w:tabs>
                <w:tab w:val="left" w:pos="6030"/>
              </w:tabs>
              <w:spacing w:line="276" w:lineRule="auto"/>
              <w:jc w:val="right"/>
              <w:rPr>
                <w:sz w:val="20"/>
                <w:szCs w:val="20"/>
              </w:rPr>
            </w:pPr>
            <w:r>
              <w:rPr>
                <w:sz w:val="20"/>
                <w:szCs w:val="20"/>
              </w:rPr>
              <w:t>No change</w:t>
            </w:r>
          </w:p>
        </w:tc>
        <w:tc>
          <w:tcPr>
            <w:tcW w:w="1106" w:type="dxa"/>
            <w:shd w:val="clear" w:color="auto" w:fill="D9D9D9" w:themeFill="background1" w:themeFillShade="D9"/>
          </w:tcPr>
          <w:p w:rsidR="00DD0D59" w:rsidRPr="00BB7053" w:rsidP="006750AE" w14:paraId="1558BAD8" w14:textId="0BB16DED">
            <w:pPr>
              <w:keepNext/>
              <w:keepLines/>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00DD0D59" w:rsidRPr="00BB7053" w:rsidP="006750AE" w14:paraId="0804A17A" w14:textId="66AAD49C">
            <w:pPr>
              <w:keepNext/>
              <w:keepLines/>
              <w:tabs>
                <w:tab w:val="left" w:pos="6030"/>
              </w:tabs>
              <w:spacing w:line="276" w:lineRule="auto"/>
              <w:jc w:val="right"/>
              <w:rPr>
                <w:sz w:val="20"/>
                <w:szCs w:val="20"/>
              </w:rPr>
            </w:pPr>
            <w:r>
              <w:rPr>
                <w:sz w:val="20"/>
                <w:szCs w:val="20"/>
              </w:rPr>
              <w:t>No change</w:t>
            </w:r>
          </w:p>
        </w:tc>
        <w:tc>
          <w:tcPr>
            <w:tcW w:w="1260" w:type="dxa"/>
            <w:shd w:val="clear" w:color="auto" w:fill="D9D9D9" w:themeFill="background1" w:themeFillShade="D9"/>
          </w:tcPr>
          <w:p w:rsidR="00DD0D59" w:rsidRPr="00BB7053" w:rsidP="006750AE" w14:paraId="34B370DB" w14:textId="60D10E28">
            <w:pPr>
              <w:keepNext/>
              <w:keepLines/>
              <w:tabs>
                <w:tab w:val="left" w:pos="6030"/>
              </w:tabs>
              <w:spacing w:line="276" w:lineRule="auto"/>
              <w:jc w:val="right"/>
              <w:rPr>
                <w:sz w:val="20"/>
                <w:szCs w:val="20"/>
              </w:rPr>
            </w:pPr>
            <w:r>
              <w:rPr>
                <w:sz w:val="20"/>
                <w:szCs w:val="20"/>
              </w:rPr>
              <w:t>No change</w:t>
            </w:r>
          </w:p>
        </w:tc>
      </w:tr>
    </w:tbl>
    <w:p w:rsidR="00221441" w:rsidRPr="00221441" w:rsidP="00221441" w14:paraId="5C0BDA80" w14:textId="33A3CE42">
      <w:pPr>
        <w:tabs>
          <w:tab w:val="left" w:pos="6030"/>
        </w:tabs>
        <w:spacing w:after="0"/>
        <w:jc w:val="center"/>
        <w:rPr>
          <w:b/>
          <w:bCs/>
        </w:rPr>
      </w:pPr>
    </w:p>
    <w:p w:rsidR="00312E88" w:rsidP="00E12B53" w14:paraId="3F62561F" w14:textId="431713BD">
      <w:r>
        <w:t xml:space="preserve">Table </w:t>
      </w:r>
      <w:r w:rsidR="006A371A">
        <w:t>3</w:t>
      </w:r>
      <w:r w:rsidR="00482BCD">
        <w:t>2</w:t>
      </w:r>
      <w:r w:rsidRPr="00B67D9F">
        <w:t xml:space="preserve"> </w:t>
      </w:r>
      <w:r w:rsidRPr="0087020E" w:rsidR="0087020E">
        <w:t>provides the reasons for changes in the estimated burden for</w:t>
      </w:r>
      <w:r w:rsidR="004D7202">
        <w:t xml:space="preserve"> finalized </w:t>
      </w:r>
      <w:r w:rsidR="00AC6E49">
        <w:t>policies and</w:t>
      </w:r>
      <w:r w:rsidRPr="0087020E" w:rsidR="0087020E">
        <w:t xml:space="preserve"> information collections </w:t>
      </w:r>
      <w:r w:rsidR="00AC6E49">
        <w:t>for the CY 202</w:t>
      </w:r>
      <w:r w:rsidR="00482BCD">
        <w:t>4</w:t>
      </w:r>
      <w:r w:rsidR="00AC6E49">
        <w:t xml:space="preserve"> performance period</w:t>
      </w:r>
      <w:r w:rsidR="009F7519">
        <w:t>/202</w:t>
      </w:r>
      <w:r w:rsidR="00482BCD">
        <w:t xml:space="preserve">6 </w:t>
      </w:r>
      <w:r w:rsidR="009F7519">
        <w:t>MIPS payment year</w:t>
      </w:r>
      <w:r w:rsidR="00AC6E49">
        <w:t xml:space="preserve"> set forth </w:t>
      </w:r>
      <w:r w:rsidRPr="0087020E" w:rsidR="0087020E">
        <w:t xml:space="preserve">in </w:t>
      </w:r>
      <w:r w:rsidR="0071481A">
        <w:t>the CY 20</w:t>
      </w:r>
      <w:r w:rsidR="006A371A">
        <w:t>2</w:t>
      </w:r>
      <w:r w:rsidR="00482BCD">
        <w:t xml:space="preserve">4 </w:t>
      </w:r>
      <w:r w:rsidR="00D8477B">
        <w:t>PFS</w:t>
      </w:r>
      <w:r w:rsidR="00390730">
        <w:t xml:space="preserve"> </w:t>
      </w:r>
      <w:r w:rsidR="004D7202">
        <w:t>final</w:t>
      </w:r>
      <w:r w:rsidRPr="0087020E" w:rsidR="0087020E">
        <w:t xml:space="preserve"> rule.  We have divided the reasons for our change in burden into those related to new</w:t>
      </w:r>
      <w:r w:rsidR="002925DB">
        <w:t>ly</w:t>
      </w:r>
      <w:r w:rsidRPr="0087020E" w:rsidR="0087020E">
        <w:t xml:space="preserve"> </w:t>
      </w:r>
      <w:r w:rsidR="004D7202">
        <w:t>finaliz</w:t>
      </w:r>
      <w:r w:rsidR="002023D5">
        <w:t>ed</w:t>
      </w:r>
      <w:r w:rsidR="000429FC">
        <w:t xml:space="preserve"> </w:t>
      </w:r>
      <w:r w:rsidRPr="0087020E" w:rsidR="0087020E">
        <w:t xml:space="preserve">policies and those related </w:t>
      </w:r>
      <w:r w:rsidR="00022124">
        <w:t xml:space="preserve">to </w:t>
      </w:r>
      <w:r w:rsidR="00772D65">
        <w:t xml:space="preserve">updated data and </w:t>
      </w:r>
      <w:r w:rsidR="00C73182">
        <w:t>methods for</w:t>
      </w:r>
      <w:r w:rsidR="000429FC">
        <w:t xml:space="preserve"> the </w:t>
      </w:r>
      <w:r w:rsidR="00C73182">
        <w:t>CY 202</w:t>
      </w:r>
      <w:r w:rsidR="00482BCD">
        <w:t xml:space="preserve">4 </w:t>
      </w:r>
      <w:r w:rsidR="00C73182">
        <w:t>performance period</w:t>
      </w:r>
      <w:r w:rsidR="009F7519">
        <w:t>/20</w:t>
      </w:r>
      <w:r w:rsidR="004D45DE">
        <w:t>2</w:t>
      </w:r>
      <w:r w:rsidR="00482BCD">
        <w:t>6</w:t>
      </w:r>
      <w:r w:rsidR="004D45DE">
        <w:t xml:space="preserve"> MIPS payment year</w:t>
      </w:r>
      <w:r w:rsidR="002925DB">
        <w:t xml:space="preserve"> burden</w:t>
      </w:r>
      <w:r w:rsidR="00C73182">
        <w:t xml:space="preserve"> set forth in the CY 202</w:t>
      </w:r>
      <w:r w:rsidR="00482BCD">
        <w:t>3</w:t>
      </w:r>
      <w:r w:rsidR="00C73182">
        <w:t xml:space="preserve"> PFS final rule</w:t>
      </w:r>
      <w:r w:rsidRPr="00B67D9F">
        <w:t xml:space="preserve">. </w:t>
      </w:r>
    </w:p>
    <w:p w:rsidR="00333EB4" w:rsidRPr="00C47150" w:rsidP="003A36EF" w14:paraId="39BD61DA" w14:textId="67F4F8E3">
      <w:pPr>
        <w:keepNext/>
        <w:keepLines/>
        <w:jc w:val="center"/>
        <w:rPr>
          <w:b/>
          <w:bCs/>
        </w:rPr>
      </w:pPr>
      <w:r w:rsidRPr="00C47150">
        <w:rPr>
          <w:b/>
          <w:bCs/>
        </w:rPr>
        <w:t xml:space="preserve">TABLE </w:t>
      </w:r>
      <w:r w:rsidR="006A371A">
        <w:rPr>
          <w:b/>
          <w:bCs/>
        </w:rPr>
        <w:t>3</w:t>
      </w:r>
      <w:r w:rsidR="004E72DE">
        <w:rPr>
          <w:b/>
          <w:bCs/>
        </w:rPr>
        <w:t>2</w:t>
      </w:r>
      <w:r w:rsidRPr="00C47150">
        <w:rPr>
          <w:b/>
          <w:bCs/>
        </w:rPr>
        <w:t xml:space="preserve">: Reasons for Change in Burden Compared to the Currently Approved </w:t>
      </w:r>
      <w:r w:rsidRPr="00C47150">
        <w:rPr>
          <w:b/>
        </w:rPr>
        <w:br/>
      </w:r>
      <w:r w:rsidRPr="00C47150">
        <w:rPr>
          <w:b/>
          <w:bCs/>
        </w:rPr>
        <w:t>CY 20</w:t>
      </w:r>
      <w:r w:rsidR="00763E80">
        <w:rPr>
          <w:b/>
          <w:bCs/>
        </w:rPr>
        <w:t>2</w:t>
      </w:r>
      <w:r w:rsidR="006310AE">
        <w:rPr>
          <w:b/>
          <w:bCs/>
        </w:rPr>
        <w:t>3</w:t>
      </w:r>
      <w:r w:rsidRPr="00C47150">
        <w:rPr>
          <w:b/>
          <w:bCs/>
        </w:rPr>
        <w:t xml:space="preserve"> Information Collection Burdens</w:t>
      </w:r>
    </w:p>
    <w:tbl>
      <w:tblPr>
        <w:tblW w:w="9805" w:type="dxa"/>
        <w:tblLook w:val="04A0"/>
      </w:tblPr>
      <w:tblGrid>
        <w:gridCol w:w="2700"/>
        <w:gridCol w:w="2875"/>
        <w:gridCol w:w="4230"/>
      </w:tblGrid>
      <w:tr w14:paraId="1207708B" w14:textId="2E4A1B31" w:rsidTr="00EB5476">
        <w:tblPrEx>
          <w:tblW w:w="9805" w:type="dxa"/>
          <w:tblLook w:val="04A0"/>
        </w:tblPrEx>
        <w:trPr>
          <w:cantSplit/>
          <w:trHeight w:val="548"/>
          <w:tblHeader/>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333EB4" w:rsidRPr="00DE6979" w:rsidP="00536031" w14:paraId="315FAB68" w14:textId="5EA6ABD5">
            <w:pPr>
              <w:keepNext/>
              <w:keepLines/>
              <w:spacing w:after="0"/>
              <w:rPr>
                <w:b/>
                <w:bCs/>
                <w:sz w:val="20"/>
                <w:szCs w:val="20"/>
              </w:rPr>
            </w:pPr>
            <w:r w:rsidRPr="00DE6979">
              <w:rPr>
                <w:b/>
                <w:bCs/>
                <w:sz w:val="20"/>
                <w:szCs w:val="20"/>
              </w:rPr>
              <w:t>Table in Collection of Information</w:t>
            </w:r>
          </w:p>
        </w:tc>
        <w:tc>
          <w:tcPr>
            <w:tcW w:w="2875" w:type="dxa"/>
            <w:tcBorders>
              <w:top w:val="single" w:sz="4" w:space="0" w:color="auto"/>
              <w:left w:val="nil"/>
              <w:bottom w:val="single" w:sz="4" w:space="0" w:color="auto"/>
              <w:right w:val="single" w:sz="4" w:space="0" w:color="auto"/>
            </w:tcBorders>
            <w:shd w:val="clear" w:color="auto" w:fill="auto"/>
            <w:hideMark/>
          </w:tcPr>
          <w:p w:rsidR="00333EB4" w:rsidRPr="00DE6979" w:rsidP="00536031" w14:paraId="3E3F8C00" w14:textId="675D21E2">
            <w:pPr>
              <w:keepNext/>
              <w:keepLines/>
              <w:spacing w:after="0"/>
              <w:rPr>
                <w:b/>
                <w:bCs/>
                <w:sz w:val="20"/>
                <w:szCs w:val="20"/>
              </w:rPr>
            </w:pPr>
            <w:r w:rsidRPr="00DE6979">
              <w:rPr>
                <w:b/>
                <w:bCs/>
                <w:sz w:val="20"/>
                <w:szCs w:val="20"/>
              </w:rPr>
              <w:t xml:space="preserve">Changes in burden due to </w:t>
            </w:r>
            <w:r w:rsidR="001B0212">
              <w:rPr>
                <w:b/>
                <w:bCs/>
                <w:sz w:val="20"/>
                <w:szCs w:val="20"/>
              </w:rPr>
              <w:t>finalized</w:t>
            </w:r>
            <w:r w:rsidR="002C144A">
              <w:rPr>
                <w:b/>
                <w:bCs/>
                <w:sz w:val="20"/>
                <w:szCs w:val="20"/>
              </w:rPr>
              <w:t xml:space="preserve"> </w:t>
            </w:r>
            <w:r w:rsidRPr="00155BDA" w:rsidR="00155BDA">
              <w:rPr>
                <w:b/>
                <w:bCs/>
                <w:sz w:val="20"/>
                <w:szCs w:val="20"/>
              </w:rPr>
              <w:t>CY 202</w:t>
            </w:r>
            <w:r w:rsidR="002C144A">
              <w:rPr>
                <w:b/>
                <w:bCs/>
                <w:sz w:val="20"/>
                <w:szCs w:val="20"/>
              </w:rPr>
              <w:t xml:space="preserve">4 </w:t>
            </w:r>
            <w:r w:rsidRPr="00DE6979">
              <w:rPr>
                <w:b/>
                <w:bCs/>
                <w:sz w:val="20"/>
                <w:szCs w:val="20"/>
              </w:rPr>
              <w:t>policies</w:t>
            </w:r>
          </w:p>
        </w:tc>
        <w:tc>
          <w:tcPr>
            <w:tcW w:w="4230" w:type="dxa"/>
            <w:tcBorders>
              <w:top w:val="single" w:sz="4" w:space="0" w:color="auto"/>
              <w:left w:val="nil"/>
              <w:bottom w:val="single" w:sz="4" w:space="0" w:color="auto"/>
              <w:right w:val="single" w:sz="4" w:space="0" w:color="auto"/>
            </w:tcBorders>
            <w:shd w:val="clear" w:color="auto" w:fill="auto"/>
            <w:hideMark/>
          </w:tcPr>
          <w:p w:rsidR="00333EB4" w:rsidRPr="00DE6979" w:rsidP="00751145" w14:paraId="26EA9FF6" w14:textId="258AFF46">
            <w:pPr>
              <w:keepNext/>
              <w:keepLines/>
              <w:spacing w:after="0"/>
              <w:rPr>
                <w:b/>
                <w:bCs/>
                <w:sz w:val="20"/>
                <w:szCs w:val="20"/>
              </w:rPr>
            </w:pPr>
            <w:r w:rsidRPr="00356D13">
              <w:rPr>
                <w:b/>
                <w:bCs/>
                <w:color w:val="000000" w:themeColor="text1"/>
                <w:sz w:val="20"/>
                <w:szCs w:val="20"/>
              </w:rPr>
              <w:t>Adjustments in burden continued from CY 202</w:t>
            </w:r>
            <w:r w:rsidR="004E72DE">
              <w:rPr>
                <w:b/>
                <w:bCs/>
                <w:color w:val="000000" w:themeColor="text1"/>
                <w:sz w:val="20"/>
                <w:szCs w:val="20"/>
              </w:rPr>
              <w:t>3</w:t>
            </w:r>
            <w:r w:rsidRPr="00356D13">
              <w:rPr>
                <w:b/>
                <w:bCs/>
                <w:color w:val="000000" w:themeColor="text1"/>
                <w:sz w:val="20"/>
                <w:szCs w:val="20"/>
              </w:rPr>
              <w:t xml:space="preserve"> PFS</w:t>
            </w:r>
            <w:r w:rsidRPr="00356D13">
              <w:rPr>
                <w:color w:val="000000" w:themeColor="text1"/>
                <w:sz w:val="20"/>
                <w:szCs w:val="20"/>
              </w:rPr>
              <w:t xml:space="preserve"> f</w:t>
            </w:r>
            <w:r w:rsidRPr="00356D13">
              <w:rPr>
                <w:b/>
                <w:bCs/>
                <w:color w:val="000000" w:themeColor="text1"/>
                <w:sz w:val="20"/>
                <w:szCs w:val="20"/>
              </w:rPr>
              <w:t>inal rule policies due to revised methods or updated data</w:t>
            </w:r>
          </w:p>
        </w:tc>
      </w:tr>
      <w:tr w14:paraId="20BB2516" w14:textId="7BA7372A" w:rsidTr="00D26368">
        <w:tblPrEx>
          <w:tblW w:w="9805" w:type="dxa"/>
          <w:tblLook w:val="04A0"/>
        </w:tblPrEx>
        <w:trPr>
          <w:cantSplit/>
          <w:trHeight w:val="566"/>
        </w:trPr>
        <w:tc>
          <w:tcPr>
            <w:tcW w:w="2700" w:type="dxa"/>
            <w:tcBorders>
              <w:top w:val="nil"/>
              <w:left w:val="single" w:sz="4" w:space="0" w:color="auto"/>
              <w:bottom w:val="single" w:sz="4" w:space="0" w:color="auto"/>
              <w:right w:val="single" w:sz="4" w:space="0" w:color="auto"/>
            </w:tcBorders>
            <w:shd w:val="clear" w:color="auto" w:fill="auto"/>
            <w:hideMark/>
          </w:tcPr>
          <w:p w:rsidR="003C7350" w:rsidRPr="00DE6979" w:rsidP="003C7350" w14:paraId="15854D25" w14:textId="0C97ABDA">
            <w:pPr>
              <w:spacing w:after="0"/>
              <w:rPr>
                <w:sz w:val="20"/>
                <w:szCs w:val="20"/>
              </w:rPr>
            </w:pPr>
            <w:r w:rsidRPr="00DE6979">
              <w:rPr>
                <w:sz w:val="20"/>
                <w:szCs w:val="20"/>
              </w:rPr>
              <w:t xml:space="preserve">Table </w:t>
            </w:r>
            <w:r>
              <w:rPr>
                <w:sz w:val="20"/>
                <w:szCs w:val="20"/>
              </w:rPr>
              <w:t>3</w:t>
            </w:r>
            <w:r w:rsidR="00442D46">
              <w:rPr>
                <w:sz w:val="20"/>
                <w:szCs w:val="20"/>
              </w:rPr>
              <w:t>1A</w:t>
            </w:r>
            <w:r w:rsidRPr="00DE6979">
              <w:rPr>
                <w:sz w:val="20"/>
                <w:szCs w:val="20"/>
              </w:rPr>
              <w:t xml:space="preserve">: </w:t>
            </w:r>
            <w:r w:rsidR="003111CB">
              <w:rPr>
                <w:sz w:val="20"/>
                <w:szCs w:val="20"/>
              </w:rPr>
              <w:t xml:space="preserve">Simplified </w:t>
            </w:r>
            <w:r w:rsidRPr="00DE6979">
              <w:rPr>
                <w:sz w:val="20"/>
                <w:szCs w:val="20"/>
              </w:rPr>
              <w:t>Qualified Registry</w:t>
            </w:r>
            <w:r w:rsidR="002C144A">
              <w:rPr>
                <w:sz w:val="20"/>
                <w:szCs w:val="20"/>
              </w:rPr>
              <w:t xml:space="preserve"> </w:t>
            </w:r>
            <w:r w:rsidRPr="00DE6979">
              <w:rPr>
                <w:sz w:val="20"/>
                <w:szCs w:val="20"/>
              </w:rPr>
              <w:t>Self-Nomination</w:t>
            </w:r>
            <w:r>
              <w:rPr>
                <w:sz w:val="20"/>
                <w:szCs w:val="20"/>
              </w:rPr>
              <w:t xml:space="preserve"> and Other Requirements</w:t>
            </w:r>
          </w:p>
        </w:tc>
        <w:tc>
          <w:tcPr>
            <w:tcW w:w="2875" w:type="dxa"/>
            <w:tcBorders>
              <w:top w:val="nil"/>
              <w:left w:val="nil"/>
              <w:bottom w:val="single" w:sz="4" w:space="0" w:color="auto"/>
              <w:right w:val="single" w:sz="4" w:space="0" w:color="auto"/>
            </w:tcBorders>
            <w:shd w:val="clear" w:color="auto" w:fill="auto"/>
            <w:hideMark/>
          </w:tcPr>
          <w:p w:rsidR="003C7350" w:rsidRPr="00DE6979" w:rsidP="009D582F" w14:paraId="35ED337F" w14:textId="3FC0B329">
            <w:pPr>
              <w:keepNext/>
              <w:keepLines/>
              <w:widowControl w:val="0"/>
              <w:spacing w:after="0"/>
              <w:rPr>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hideMark/>
          </w:tcPr>
          <w:p w:rsidR="003C7350" w:rsidRPr="00DE6979" w:rsidP="00663387" w14:paraId="7C31E214" w14:textId="1DF6C41C">
            <w:pPr>
              <w:spacing w:after="0"/>
              <w:rPr>
                <w:i/>
                <w:iCs/>
                <w:sz w:val="20"/>
                <w:szCs w:val="20"/>
              </w:rPr>
            </w:pPr>
            <w:r>
              <w:rPr>
                <w:rFonts w:eastAsia="Calibri"/>
                <w:sz w:val="20"/>
                <w:szCs w:val="20"/>
              </w:rPr>
              <w:t>In</w:t>
            </w:r>
            <w:r w:rsidRPr="00663387" w:rsidR="00663387">
              <w:rPr>
                <w:rFonts w:eastAsia="Calibri"/>
                <w:sz w:val="20"/>
                <w:szCs w:val="20"/>
              </w:rPr>
              <w:t xml:space="preserve">crease </w:t>
            </w:r>
            <w:r>
              <w:rPr>
                <w:rFonts w:eastAsia="Calibri"/>
                <w:sz w:val="20"/>
                <w:szCs w:val="20"/>
              </w:rPr>
              <w:t>of</w:t>
            </w:r>
            <w:r w:rsidRPr="00663387" w:rsidR="00663387">
              <w:rPr>
                <w:rFonts w:eastAsia="Calibri"/>
                <w:sz w:val="20"/>
                <w:szCs w:val="20"/>
              </w:rPr>
              <w:t xml:space="preserve"> </w:t>
            </w:r>
            <w:r>
              <w:rPr>
                <w:rFonts w:eastAsia="Calibri"/>
                <w:sz w:val="20"/>
                <w:szCs w:val="20"/>
              </w:rPr>
              <w:t>8</w:t>
            </w:r>
            <w:r w:rsidR="00381507">
              <w:rPr>
                <w:rFonts w:eastAsia="Calibri"/>
                <w:sz w:val="20"/>
                <w:szCs w:val="20"/>
              </w:rPr>
              <w:t>4</w:t>
            </w:r>
            <w:r w:rsidRPr="00663387" w:rsidR="00663387">
              <w:rPr>
                <w:rFonts w:eastAsia="Calibri"/>
                <w:sz w:val="20"/>
                <w:szCs w:val="20"/>
              </w:rPr>
              <w:t xml:space="preserve"> respondents</w:t>
            </w:r>
            <w:r w:rsidR="00442D46">
              <w:rPr>
                <w:rFonts w:eastAsia="Calibri"/>
                <w:sz w:val="20"/>
                <w:szCs w:val="20"/>
              </w:rPr>
              <w:t xml:space="preserve"> and 4</w:t>
            </w:r>
            <w:r w:rsidR="001B0212">
              <w:rPr>
                <w:rFonts w:eastAsia="Calibri"/>
                <w:sz w:val="20"/>
                <w:szCs w:val="20"/>
              </w:rPr>
              <w:t>2</w:t>
            </w:r>
            <w:r w:rsidR="00442D46">
              <w:rPr>
                <w:rFonts w:eastAsia="Calibri"/>
                <w:sz w:val="20"/>
                <w:szCs w:val="20"/>
              </w:rPr>
              <w:t xml:space="preserve"> hours</w:t>
            </w:r>
            <w:r>
              <w:rPr>
                <w:rFonts w:eastAsia="Calibri"/>
                <w:sz w:val="20"/>
                <w:szCs w:val="20"/>
              </w:rPr>
              <w:t xml:space="preserve"> </w:t>
            </w:r>
            <w:r w:rsidRPr="00663387" w:rsidR="00663387">
              <w:rPr>
                <w:rFonts w:eastAsia="Calibri"/>
                <w:sz w:val="20"/>
                <w:szCs w:val="20"/>
              </w:rPr>
              <w:t>due t</w:t>
            </w:r>
            <w:r>
              <w:rPr>
                <w:rFonts w:eastAsia="Calibri"/>
                <w:sz w:val="20"/>
                <w:szCs w:val="20"/>
              </w:rPr>
              <w:t>o</w:t>
            </w:r>
            <w:r w:rsidR="00651057">
              <w:rPr>
                <w:rFonts w:eastAsia="Calibri"/>
                <w:sz w:val="20"/>
                <w:szCs w:val="20"/>
              </w:rPr>
              <w:t xml:space="preserve"> the </w:t>
            </w:r>
            <w:r>
              <w:rPr>
                <w:rFonts w:eastAsia="Calibri"/>
                <w:sz w:val="20"/>
                <w:szCs w:val="20"/>
              </w:rPr>
              <w:t>addition of a new I</w:t>
            </w:r>
            <w:r w:rsidRPr="00663387" w:rsidR="00663387">
              <w:rPr>
                <w:rFonts w:eastAsia="Calibri"/>
                <w:sz w:val="20"/>
                <w:szCs w:val="20"/>
              </w:rPr>
              <w:t>CR.</w:t>
            </w:r>
          </w:p>
        </w:tc>
      </w:tr>
      <w:tr w14:paraId="1E1C3755" w14:textId="77777777" w:rsidTr="00D26368">
        <w:tblPrEx>
          <w:tblW w:w="9805" w:type="dxa"/>
          <w:tblLook w:val="04A0"/>
        </w:tblPrEx>
        <w:trPr>
          <w:cantSplit/>
          <w:trHeight w:val="566"/>
        </w:trPr>
        <w:tc>
          <w:tcPr>
            <w:tcW w:w="2700" w:type="dxa"/>
            <w:tcBorders>
              <w:top w:val="nil"/>
              <w:left w:val="single" w:sz="4" w:space="0" w:color="auto"/>
              <w:bottom w:val="single" w:sz="4" w:space="0" w:color="auto"/>
              <w:right w:val="single" w:sz="4" w:space="0" w:color="auto"/>
            </w:tcBorders>
            <w:shd w:val="clear" w:color="auto" w:fill="auto"/>
          </w:tcPr>
          <w:p w:rsidR="002C144A" w:rsidRPr="00DE6979" w:rsidP="003C7350" w14:paraId="577F832A" w14:textId="3FE20B44">
            <w:pPr>
              <w:spacing w:after="0"/>
              <w:rPr>
                <w:sz w:val="20"/>
                <w:szCs w:val="20"/>
              </w:rPr>
            </w:pPr>
            <w:r w:rsidRPr="00DE6979">
              <w:rPr>
                <w:sz w:val="20"/>
                <w:szCs w:val="20"/>
              </w:rPr>
              <w:t xml:space="preserve">Table </w:t>
            </w:r>
            <w:r w:rsidR="00442D46">
              <w:rPr>
                <w:sz w:val="20"/>
                <w:szCs w:val="20"/>
              </w:rPr>
              <w:t>31B</w:t>
            </w:r>
            <w:r w:rsidRPr="00DE6979">
              <w:rPr>
                <w:sz w:val="20"/>
                <w:szCs w:val="20"/>
              </w:rPr>
              <w:t xml:space="preserve">: </w:t>
            </w:r>
            <w:r w:rsidR="003111CB">
              <w:rPr>
                <w:sz w:val="20"/>
                <w:szCs w:val="20"/>
              </w:rPr>
              <w:t xml:space="preserve">Full </w:t>
            </w:r>
            <w:r w:rsidRPr="00DE6979">
              <w:rPr>
                <w:sz w:val="20"/>
                <w:szCs w:val="20"/>
              </w:rPr>
              <w:t>Qualified Registry Self-Nomination</w:t>
            </w:r>
            <w:r>
              <w:rPr>
                <w:sz w:val="20"/>
                <w:szCs w:val="20"/>
              </w:rPr>
              <w:t xml:space="preserve"> and Other Requirements</w:t>
            </w:r>
          </w:p>
        </w:tc>
        <w:tc>
          <w:tcPr>
            <w:tcW w:w="2875" w:type="dxa"/>
            <w:tcBorders>
              <w:top w:val="nil"/>
              <w:left w:val="nil"/>
              <w:bottom w:val="single" w:sz="4" w:space="0" w:color="auto"/>
              <w:right w:val="single" w:sz="4" w:space="0" w:color="auto"/>
            </w:tcBorders>
            <w:shd w:val="clear" w:color="auto" w:fill="auto"/>
          </w:tcPr>
          <w:p w:rsidR="002C144A" w:rsidP="009D582F" w14:paraId="51D7B979" w14:textId="195DDD4B">
            <w:pPr>
              <w:keepNext/>
              <w:keepLines/>
              <w:widowControl w:val="0"/>
              <w:spacing w:after="0"/>
              <w:rPr>
                <w:rFonts w:eastAsia="Calibri"/>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2C144A" w:rsidP="002C144A" w14:paraId="5BF34147" w14:textId="23461FB7">
            <w:pPr>
              <w:spacing w:after="0"/>
              <w:rPr>
                <w:rFonts w:eastAsia="Calibri"/>
                <w:sz w:val="20"/>
                <w:szCs w:val="20"/>
              </w:rPr>
            </w:pPr>
            <w:r>
              <w:rPr>
                <w:rFonts w:eastAsia="Calibri"/>
                <w:sz w:val="20"/>
                <w:szCs w:val="20"/>
              </w:rPr>
              <w:t>De</w:t>
            </w:r>
            <w:r w:rsidRPr="00886E2A">
              <w:rPr>
                <w:rFonts w:eastAsia="Calibri"/>
                <w:sz w:val="20"/>
                <w:szCs w:val="20"/>
              </w:rPr>
              <w:t>crease</w:t>
            </w:r>
            <w:r w:rsidR="00442D46">
              <w:rPr>
                <w:rFonts w:eastAsia="Calibri"/>
                <w:sz w:val="20"/>
                <w:szCs w:val="20"/>
              </w:rPr>
              <w:t xml:space="preserve"> of </w:t>
            </w:r>
            <w:r w:rsidR="00504925">
              <w:rPr>
                <w:rFonts w:eastAsia="Calibri"/>
                <w:sz w:val="20"/>
                <w:szCs w:val="20"/>
              </w:rPr>
              <w:t>105</w:t>
            </w:r>
            <w:r w:rsidR="00442D46">
              <w:rPr>
                <w:rFonts w:eastAsia="Calibri"/>
                <w:sz w:val="20"/>
                <w:szCs w:val="20"/>
              </w:rPr>
              <w:t xml:space="preserve"> respondents and </w:t>
            </w:r>
            <w:r w:rsidR="00504925">
              <w:rPr>
                <w:rFonts w:eastAsia="Calibri"/>
                <w:sz w:val="20"/>
                <w:szCs w:val="20"/>
              </w:rPr>
              <w:t>210</w:t>
            </w:r>
            <w:r w:rsidR="00442D46">
              <w:rPr>
                <w:rFonts w:eastAsia="Calibri"/>
                <w:sz w:val="20"/>
                <w:szCs w:val="20"/>
              </w:rPr>
              <w:t xml:space="preserve"> hours</w:t>
            </w:r>
            <w:r w:rsidRPr="00886E2A">
              <w:rPr>
                <w:rFonts w:eastAsia="Calibri"/>
                <w:sz w:val="20"/>
                <w:szCs w:val="20"/>
              </w:rPr>
              <w:t xml:space="preserve"> due to updated </w:t>
            </w:r>
            <w:r w:rsidR="0089320A">
              <w:rPr>
                <w:rFonts w:eastAsia="Calibri"/>
                <w:sz w:val="20"/>
                <w:szCs w:val="20"/>
              </w:rPr>
              <w:t xml:space="preserve">data </w:t>
            </w:r>
            <w:r w:rsidRPr="00886E2A">
              <w:rPr>
                <w:rFonts w:eastAsia="Calibri"/>
                <w:sz w:val="20"/>
                <w:szCs w:val="20"/>
              </w:rPr>
              <w:t>assumption</w:t>
            </w:r>
            <w:r w:rsidR="00AE4FC3">
              <w:rPr>
                <w:rFonts w:eastAsia="Calibri"/>
                <w:sz w:val="20"/>
                <w:szCs w:val="20"/>
              </w:rPr>
              <w:t>s.</w:t>
            </w:r>
          </w:p>
        </w:tc>
      </w:tr>
      <w:tr w14:paraId="1A498568" w14:textId="4709166E"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AD58E6" w:rsidRPr="00DE6979" w:rsidP="00AD58E6" w14:paraId="468A6E5F" w14:textId="1CC3DD22">
            <w:pPr>
              <w:spacing w:after="0"/>
              <w:rPr>
                <w:sz w:val="20"/>
                <w:szCs w:val="20"/>
              </w:rPr>
            </w:pPr>
            <w:r w:rsidRPr="00DE6979">
              <w:rPr>
                <w:sz w:val="20"/>
                <w:szCs w:val="20"/>
              </w:rPr>
              <w:t xml:space="preserve">Table </w:t>
            </w:r>
            <w:r w:rsidR="00442D46">
              <w:rPr>
                <w:sz w:val="20"/>
                <w:szCs w:val="20"/>
              </w:rPr>
              <w:t>31C</w:t>
            </w:r>
            <w:r w:rsidRPr="00DE6979">
              <w:rPr>
                <w:sz w:val="20"/>
                <w:szCs w:val="20"/>
              </w:rPr>
              <w:t xml:space="preserve">: </w:t>
            </w:r>
            <w:r w:rsidR="003111CB">
              <w:rPr>
                <w:sz w:val="20"/>
                <w:szCs w:val="20"/>
              </w:rPr>
              <w:t xml:space="preserve">Simplified </w:t>
            </w:r>
            <w:r w:rsidRPr="00DE6979">
              <w:rPr>
                <w:sz w:val="20"/>
                <w:szCs w:val="20"/>
              </w:rPr>
              <w:t>QCDR Self-Nomination</w:t>
            </w:r>
            <w:r>
              <w:rPr>
                <w:sz w:val="20"/>
                <w:szCs w:val="20"/>
              </w:rPr>
              <w:t xml:space="preserve"> and Other Requirements</w:t>
            </w:r>
          </w:p>
        </w:tc>
        <w:tc>
          <w:tcPr>
            <w:tcW w:w="2875" w:type="dxa"/>
            <w:tcBorders>
              <w:top w:val="nil"/>
              <w:left w:val="nil"/>
              <w:bottom w:val="single" w:sz="4" w:space="0" w:color="auto"/>
              <w:right w:val="single" w:sz="4" w:space="0" w:color="auto"/>
            </w:tcBorders>
            <w:shd w:val="clear" w:color="auto" w:fill="auto"/>
          </w:tcPr>
          <w:p w:rsidR="00AD58E6" w:rsidRPr="005D14D3" w:rsidP="00133ED6" w14:paraId="47B900E3" w14:textId="674AD10E">
            <w:pPr>
              <w:spacing w:after="0"/>
              <w:rPr>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D58E6" w:rsidRPr="00DE6979" w:rsidP="00886E2A" w14:paraId="22CC7FA4" w14:textId="5BF9F898">
            <w:pPr>
              <w:spacing w:after="0"/>
              <w:rPr>
                <w:sz w:val="20"/>
                <w:szCs w:val="20"/>
              </w:rPr>
            </w:pPr>
            <w:r>
              <w:rPr>
                <w:rFonts w:eastAsia="Calibri"/>
                <w:sz w:val="20"/>
                <w:szCs w:val="20"/>
              </w:rPr>
              <w:t>In</w:t>
            </w:r>
            <w:r w:rsidRPr="00663387">
              <w:rPr>
                <w:rFonts w:eastAsia="Calibri"/>
                <w:sz w:val="20"/>
                <w:szCs w:val="20"/>
              </w:rPr>
              <w:t xml:space="preserve">crease </w:t>
            </w:r>
            <w:r>
              <w:rPr>
                <w:rFonts w:eastAsia="Calibri"/>
                <w:sz w:val="20"/>
                <w:szCs w:val="20"/>
              </w:rPr>
              <w:t>of</w:t>
            </w:r>
            <w:r w:rsidRPr="00663387">
              <w:rPr>
                <w:rFonts w:eastAsia="Calibri"/>
                <w:sz w:val="20"/>
                <w:szCs w:val="20"/>
              </w:rPr>
              <w:t xml:space="preserve"> </w:t>
            </w:r>
            <w:r>
              <w:rPr>
                <w:rFonts w:eastAsia="Calibri"/>
                <w:sz w:val="20"/>
                <w:szCs w:val="20"/>
              </w:rPr>
              <w:t>4</w:t>
            </w:r>
            <w:r w:rsidR="00651057">
              <w:rPr>
                <w:rFonts w:eastAsia="Calibri"/>
                <w:sz w:val="20"/>
                <w:szCs w:val="20"/>
              </w:rPr>
              <w:t>4</w:t>
            </w:r>
            <w:r w:rsidRPr="00663387">
              <w:rPr>
                <w:rFonts w:eastAsia="Calibri"/>
                <w:sz w:val="20"/>
                <w:szCs w:val="20"/>
              </w:rPr>
              <w:t xml:space="preserve"> respondents</w:t>
            </w:r>
            <w:r>
              <w:rPr>
                <w:rFonts w:eastAsia="Calibri"/>
                <w:sz w:val="20"/>
                <w:szCs w:val="20"/>
              </w:rPr>
              <w:t xml:space="preserve"> </w:t>
            </w:r>
            <w:r w:rsidR="00442D46">
              <w:rPr>
                <w:rFonts w:eastAsia="Calibri"/>
                <w:sz w:val="20"/>
                <w:szCs w:val="20"/>
              </w:rPr>
              <w:t xml:space="preserve">and </w:t>
            </w:r>
            <w:r w:rsidR="00651057">
              <w:rPr>
                <w:rFonts w:eastAsia="Calibri"/>
                <w:sz w:val="20"/>
                <w:szCs w:val="20"/>
              </w:rPr>
              <w:t>418</w:t>
            </w:r>
            <w:r w:rsidR="00442D46">
              <w:rPr>
                <w:rFonts w:eastAsia="Calibri"/>
                <w:sz w:val="20"/>
                <w:szCs w:val="20"/>
              </w:rPr>
              <w:t xml:space="preserve"> hours </w:t>
            </w:r>
            <w:r w:rsidRPr="00663387">
              <w:rPr>
                <w:rFonts w:eastAsia="Calibri"/>
                <w:sz w:val="20"/>
                <w:szCs w:val="20"/>
              </w:rPr>
              <w:t>due t</w:t>
            </w:r>
            <w:r>
              <w:rPr>
                <w:rFonts w:eastAsia="Calibri"/>
                <w:sz w:val="20"/>
                <w:szCs w:val="20"/>
              </w:rPr>
              <w:t xml:space="preserve">o </w:t>
            </w:r>
            <w:r w:rsidR="00651057">
              <w:rPr>
                <w:rFonts w:eastAsia="Calibri"/>
                <w:sz w:val="20"/>
                <w:szCs w:val="20"/>
              </w:rPr>
              <w:t xml:space="preserve">the </w:t>
            </w:r>
            <w:r>
              <w:rPr>
                <w:rFonts w:eastAsia="Calibri"/>
                <w:sz w:val="20"/>
                <w:szCs w:val="20"/>
              </w:rPr>
              <w:t>addition of a new I</w:t>
            </w:r>
            <w:r w:rsidRPr="00663387">
              <w:rPr>
                <w:rFonts w:eastAsia="Calibri"/>
                <w:sz w:val="20"/>
                <w:szCs w:val="20"/>
              </w:rPr>
              <w:t>CR.</w:t>
            </w:r>
          </w:p>
        </w:tc>
      </w:tr>
      <w:tr w14:paraId="179935E7" w14:textId="77777777" w:rsidTr="003D29BA">
        <w:tblPrEx>
          <w:tblW w:w="9805" w:type="dxa"/>
          <w:tblLook w:val="04A0"/>
        </w:tblPrEx>
        <w:trPr>
          <w:cantSplit/>
          <w:trHeight w:val="800"/>
        </w:trPr>
        <w:tc>
          <w:tcPr>
            <w:tcW w:w="2700" w:type="dxa"/>
            <w:tcBorders>
              <w:top w:val="nil"/>
              <w:left w:val="single" w:sz="4" w:space="0" w:color="auto"/>
              <w:bottom w:val="single" w:sz="4" w:space="0" w:color="auto"/>
              <w:right w:val="single" w:sz="4" w:space="0" w:color="auto"/>
            </w:tcBorders>
            <w:shd w:val="clear" w:color="auto" w:fill="auto"/>
          </w:tcPr>
          <w:p w:rsidR="00AE4FC3" w:rsidP="00AE4FC3" w14:paraId="69714C57" w14:textId="6534238E">
            <w:pPr>
              <w:spacing w:after="0"/>
              <w:rPr>
                <w:color w:val="000000" w:themeColor="text1"/>
                <w:sz w:val="20"/>
                <w:szCs w:val="20"/>
              </w:rPr>
            </w:pPr>
            <w:r w:rsidRPr="00DE6979">
              <w:rPr>
                <w:sz w:val="20"/>
                <w:szCs w:val="20"/>
              </w:rPr>
              <w:t xml:space="preserve">Table </w:t>
            </w:r>
            <w:r w:rsidR="00442D46">
              <w:rPr>
                <w:sz w:val="20"/>
                <w:szCs w:val="20"/>
              </w:rPr>
              <w:t>31D</w:t>
            </w:r>
            <w:r w:rsidRPr="00DE6979">
              <w:rPr>
                <w:sz w:val="20"/>
                <w:szCs w:val="20"/>
              </w:rPr>
              <w:t xml:space="preserve">: </w:t>
            </w:r>
            <w:r w:rsidR="003111CB">
              <w:rPr>
                <w:sz w:val="20"/>
                <w:szCs w:val="20"/>
              </w:rPr>
              <w:t xml:space="preserve">Full </w:t>
            </w:r>
            <w:r w:rsidRPr="00DE6979">
              <w:rPr>
                <w:sz w:val="20"/>
                <w:szCs w:val="20"/>
              </w:rPr>
              <w:t>QCDR Self-Nomination</w:t>
            </w:r>
            <w:r>
              <w:rPr>
                <w:sz w:val="20"/>
                <w:szCs w:val="20"/>
              </w:rPr>
              <w:t xml:space="preserve"> and Other Requirements</w:t>
            </w:r>
          </w:p>
        </w:tc>
        <w:tc>
          <w:tcPr>
            <w:tcW w:w="2875" w:type="dxa"/>
            <w:tcBorders>
              <w:top w:val="nil"/>
              <w:left w:val="nil"/>
              <w:bottom w:val="single" w:sz="4" w:space="0" w:color="auto"/>
              <w:right w:val="single" w:sz="4" w:space="0" w:color="auto"/>
            </w:tcBorders>
            <w:shd w:val="clear" w:color="auto" w:fill="auto"/>
          </w:tcPr>
          <w:p w:rsidR="00AE4FC3" w:rsidP="00AE4FC3" w14:paraId="3A8A8750" w14:textId="148517EF">
            <w:pPr>
              <w:spacing w:after="0"/>
              <w:rPr>
                <w:color w:val="000000" w:themeColor="text1"/>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356D13" w:rsidP="00AE4FC3" w14:paraId="6F75DC81" w14:textId="07BC7487">
            <w:pPr>
              <w:spacing w:after="0"/>
              <w:rPr>
                <w:color w:val="000000" w:themeColor="text1"/>
                <w:sz w:val="20"/>
                <w:szCs w:val="20"/>
              </w:rPr>
            </w:pPr>
            <w:r>
              <w:rPr>
                <w:rFonts w:eastAsia="Calibri"/>
                <w:sz w:val="20"/>
                <w:szCs w:val="20"/>
              </w:rPr>
              <w:t>De</w:t>
            </w:r>
            <w:r w:rsidRPr="00886E2A">
              <w:rPr>
                <w:rFonts w:eastAsia="Calibri"/>
                <w:sz w:val="20"/>
                <w:szCs w:val="20"/>
              </w:rPr>
              <w:t xml:space="preserve">crease </w:t>
            </w:r>
            <w:r>
              <w:rPr>
                <w:rFonts w:eastAsia="Calibri"/>
                <w:sz w:val="20"/>
                <w:szCs w:val="20"/>
              </w:rPr>
              <w:t>of 5</w:t>
            </w:r>
            <w:r w:rsidR="00B84B96">
              <w:rPr>
                <w:rFonts w:eastAsia="Calibri"/>
                <w:sz w:val="20"/>
                <w:szCs w:val="20"/>
              </w:rPr>
              <w:t>1</w:t>
            </w:r>
            <w:r>
              <w:rPr>
                <w:rFonts w:eastAsia="Calibri"/>
                <w:sz w:val="20"/>
                <w:szCs w:val="20"/>
              </w:rPr>
              <w:t xml:space="preserve"> respondents and </w:t>
            </w:r>
            <w:r w:rsidR="00B84B96">
              <w:rPr>
                <w:rFonts w:eastAsia="Calibri"/>
                <w:sz w:val="20"/>
                <w:szCs w:val="20"/>
              </w:rPr>
              <w:t>498</w:t>
            </w:r>
            <w:r>
              <w:rPr>
                <w:rFonts w:eastAsia="Calibri"/>
                <w:sz w:val="20"/>
                <w:szCs w:val="20"/>
              </w:rPr>
              <w:t xml:space="preserve"> hours </w:t>
            </w:r>
            <w:r w:rsidRPr="00886E2A">
              <w:rPr>
                <w:rFonts w:eastAsia="Calibri"/>
                <w:sz w:val="20"/>
                <w:szCs w:val="20"/>
              </w:rPr>
              <w:t>due to updated</w:t>
            </w:r>
            <w:r w:rsidR="00705E79">
              <w:rPr>
                <w:rFonts w:eastAsia="Calibri"/>
                <w:sz w:val="20"/>
                <w:szCs w:val="20"/>
              </w:rPr>
              <w:t xml:space="preserve"> data </w:t>
            </w:r>
            <w:r w:rsidRPr="00886E2A">
              <w:rPr>
                <w:rFonts w:eastAsia="Calibri"/>
                <w:sz w:val="20"/>
                <w:szCs w:val="20"/>
              </w:rPr>
              <w:t>assumption</w:t>
            </w:r>
            <w:r>
              <w:rPr>
                <w:rFonts w:eastAsia="Calibri"/>
                <w:sz w:val="20"/>
                <w:szCs w:val="20"/>
              </w:rPr>
              <w:t>s.</w:t>
            </w:r>
          </w:p>
        </w:tc>
      </w:tr>
      <w:tr w14:paraId="3A4563CD" w14:textId="77777777" w:rsidTr="00223079">
        <w:tblPrEx>
          <w:tblW w:w="9805" w:type="dxa"/>
          <w:tblLook w:val="04A0"/>
        </w:tblPrEx>
        <w:trPr>
          <w:cantSplit/>
          <w:trHeight w:val="800"/>
        </w:trPr>
        <w:tc>
          <w:tcPr>
            <w:tcW w:w="2700" w:type="dxa"/>
            <w:tcBorders>
              <w:top w:val="nil"/>
              <w:left w:val="single" w:sz="4" w:space="0" w:color="auto"/>
              <w:bottom w:val="single" w:sz="4" w:space="0" w:color="auto"/>
              <w:right w:val="single" w:sz="4" w:space="0" w:color="auto"/>
            </w:tcBorders>
            <w:shd w:val="clear" w:color="auto" w:fill="auto"/>
          </w:tcPr>
          <w:p w:rsidR="00AE4FC3" w:rsidP="00AE4FC3" w14:paraId="31782520" w14:textId="56440A58">
            <w:pPr>
              <w:spacing w:after="0"/>
              <w:rPr>
                <w:rFonts w:eastAsia="Calibri"/>
                <w:sz w:val="20"/>
                <w:szCs w:val="20"/>
              </w:rPr>
            </w:pPr>
            <w:r>
              <w:rPr>
                <w:color w:val="000000" w:themeColor="text1"/>
                <w:sz w:val="20"/>
                <w:szCs w:val="20"/>
              </w:rPr>
              <w:t>Table</w:t>
            </w:r>
            <w:r w:rsidR="00442D46">
              <w:rPr>
                <w:color w:val="000000" w:themeColor="text1"/>
                <w:sz w:val="20"/>
                <w:szCs w:val="20"/>
              </w:rPr>
              <w:t xml:space="preserve"> 31E</w:t>
            </w:r>
            <w:r>
              <w:rPr>
                <w:color w:val="000000" w:themeColor="text1"/>
                <w:sz w:val="20"/>
                <w:szCs w:val="20"/>
              </w:rPr>
              <w:t xml:space="preserve"> </w:t>
            </w:r>
            <w:r w:rsidRPr="00356D13">
              <w:rPr>
                <w:color w:val="000000" w:themeColor="text1"/>
                <w:sz w:val="20"/>
                <w:szCs w:val="20"/>
              </w:rPr>
              <w:t>Third Party Intermediary Plan Audits</w:t>
            </w:r>
          </w:p>
        </w:tc>
        <w:tc>
          <w:tcPr>
            <w:tcW w:w="2875" w:type="dxa"/>
            <w:tcBorders>
              <w:top w:val="nil"/>
              <w:left w:val="nil"/>
              <w:bottom w:val="single" w:sz="4" w:space="0" w:color="auto"/>
              <w:right w:val="single" w:sz="4" w:space="0" w:color="auto"/>
            </w:tcBorders>
            <w:shd w:val="clear" w:color="auto" w:fill="auto"/>
            <w:vAlign w:val="center"/>
          </w:tcPr>
          <w:p w:rsidR="00AE4FC3" w:rsidP="00AE4FC3" w14:paraId="693505AE" w14:textId="6D980D21">
            <w:pPr>
              <w:spacing w:after="0"/>
              <w:rPr>
                <w:rFonts w:eastAsia="Calibri"/>
                <w:sz w:val="20"/>
                <w:szCs w:val="20"/>
              </w:rPr>
            </w:pPr>
            <w:r>
              <w:rPr>
                <w:color w:val="000000" w:themeColor="text1"/>
                <w:sz w:val="20"/>
                <w:szCs w:val="20"/>
              </w:rPr>
              <w:t>None</w:t>
            </w:r>
          </w:p>
        </w:tc>
        <w:tc>
          <w:tcPr>
            <w:tcW w:w="4230" w:type="dxa"/>
            <w:tcBorders>
              <w:top w:val="nil"/>
              <w:left w:val="nil"/>
              <w:bottom w:val="single" w:sz="4" w:space="0" w:color="auto"/>
              <w:right w:val="single" w:sz="4" w:space="0" w:color="auto"/>
            </w:tcBorders>
            <w:shd w:val="clear" w:color="auto" w:fill="auto"/>
            <w:vAlign w:val="center"/>
          </w:tcPr>
          <w:p w:rsidR="00AE4FC3" w:rsidP="00AE4FC3" w14:paraId="3227C1DF" w14:textId="0CBA0D32">
            <w:pPr>
              <w:spacing w:after="0"/>
              <w:rPr>
                <w:rFonts w:eastAsia="Calibri"/>
                <w:sz w:val="20"/>
                <w:szCs w:val="20"/>
              </w:rPr>
            </w:pPr>
            <w:r>
              <w:rPr>
                <w:color w:val="000000" w:themeColor="text1"/>
                <w:sz w:val="20"/>
                <w:szCs w:val="20"/>
              </w:rPr>
              <w:t>De</w:t>
            </w:r>
            <w:r w:rsidR="00442D46">
              <w:rPr>
                <w:color w:val="000000" w:themeColor="text1"/>
                <w:sz w:val="20"/>
                <w:szCs w:val="20"/>
              </w:rPr>
              <w:t xml:space="preserve">crease </w:t>
            </w:r>
            <w:r w:rsidR="00C46E32">
              <w:rPr>
                <w:color w:val="000000" w:themeColor="text1"/>
                <w:sz w:val="20"/>
                <w:szCs w:val="20"/>
              </w:rPr>
              <w:t xml:space="preserve">of </w:t>
            </w:r>
            <w:r>
              <w:rPr>
                <w:color w:val="000000" w:themeColor="text1"/>
                <w:sz w:val="20"/>
                <w:szCs w:val="20"/>
              </w:rPr>
              <w:t>1</w:t>
            </w:r>
            <w:r w:rsidR="00C46E32">
              <w:rPr>
                <w:color w:val="000000" w:themeColor="text1"/>
                <w:sz w:val="20"/>
                <w:szCs w:val="20"/>
              </w:rPr>
              <w:t xml:space="preserve"> respondent and </w:t>
            </w:r>
            <w:r w:rsidR="00907CB1">
              <w:rPr>
                <w:color w:val="000000" w:themeColor="text1"/>
                <w:sz w:val="20"/>
                <w:szCs w:val="20"/>
              </w:rPr>
              <w:t>8</w:t>
            </w:r>
            <w:r w:rsidR="00C46E32">
              <w:rPr>
                <w:color w:val="000000" w:themeColor="text1"/>
                <w:sz w:val="20"/>
                <w:szCs w:val="20"/>
              </w:rPr>
              <w:t xml:space="preserve">6 hours due to updated data </w:t>
            </w:r>
            <w:r w:rsidR="0010403D">
              <w:rPr>
                <w:color w:val="000000" w:themeColor="text1"/>
                <w:sz w:val="20"/>
                <w:szCs w:val="20"/>
              </w:rPr>
              <w:t>assumptions.</w:t>
            </w:r>
          </w:p>
        </w:tc>
      </w:tr>
      <w:tr w14:paraId="748AEFC7" w14:textId="77777777"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4E72DE" w:rsidRPr="00DE6979" w:rsidP="00AE4FC3" w14:paraId="576C3B46" w14:textId="590A07FF">
            <w:pPr>
              <w:spacing w:after="0"/>
              <w:rPr>
                <w:sz w:val="20"/>
                <w:szCs w:val="20"/>
              </w:rPr>
            </w:pPr>
            <w:r>
              <w:rPr>
                <w:sz w:val="20"/>
                <w:szCs w:val="20"/>
              </w:rPr>
              <w:t>Table 31F: Open Authorization Credentialing and Token Request Process</w:t>
            </w:r>
          </w:p>
        </w:tc>
        <w:tc>
          <w:tcPr>
            <w:tcW w:w="2875" w:type="dxa"/>
            <w:tcBorders>
              <w:top w:val="nil"/>
              <w:left w:val="nil"/>
              <w:bottom w:val="single" w:sz="4" w:space="0" w:color="auto"/>
              <w:right w:val="single" w:sz="4" w:space="0" w:color="auto"/>
            </w:tcBorders>
            <w:shd w:val="clear" w:color="auto" w:fill="auto"/>
          </w:tcPr>
          <w:p w:rsidR="004E72DE" w:rsidRPr="00653988" w:rsidP="00AE4FC3" w14:paraId="6E2AE07E" w14:textId="45C2D2F6">
            <w:pPr>
              <w:spacing w:after="0"/>
              <w:rPr>
                <w:rFonts w:eastAsia="Calibri"/>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4E72DE" w:rsidP="00AE4FC3" w14:paraId="7DF32979" w14:textId="3016D841">
            <w:pPr>
              <w:spacing w:after="0"/>
              <w:rPr>
                <w:rFonts w:eastAsia="Calibri"/>
                <w:sz w:val="20"/>
                <w:szCs w:val="20"/>
              </w:rPr>
            </w:pPr>
            <w:r>
              <w:rPr>
                <w:rFonts w:eastAsia="Calibri"/>
                <w:sz w:val="20"/>
                <w:szCs w:val="20"/>
              </w:rPr>
              <w:t>Non</w:t>
            </w:r>
            <w:r w:rsidR="007279A0">
              <w:rPr>
                <w:rFonts w:eastAsia="Calibri"/>
                <w:sz w:val="20"/>
                <w:szCs w:val="20"/>
              </w:rPr>
              <w:t>e</w:t>
            </w:r>
          </w:p>
        </w:tc>
      </w:tr>
      <w:tr w14:paraId="298EDE30" w14:textId="77777777"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4E72DE" w:rsidRPr="00DE6979" w:rsidP="00AE4FC3" w14:paraId="1C27DA4A" w14:textId="5147CE1E">
            <w:pPr>
              <w:spacing w:after="0"/>
              <w:rPr>
                <w:sz w:val="20"/>
                <w:szCs w:val="20"/>
              </w:rPr>
            </w:pPr>
            <w:r>
              <w:rPr>
                <w:sz w:val="20"/>
                <w:szCs w:val="20"/>
              </w:rPr>
              <w:t xml:space="preserve">Table 31G: </w:t>
            </w:r>
            <w:r w:rsidRPr="004E72DE">
              <w:rPr>
                <w:sz w:val="20"/>
                <w:szCs w:val="20"/>
              </w:rPr>
              <w:t>Quality Payment Program Identity Management Application Process</w:t>
            </w:r>
          </w:p>
        </w:tc>
        <w:tc>
          <w:tcPr>
            <w:tcW w:w="2875" w:type="dxa"/>
            <w:tcBorders>
              <w:top w:val="nil"/>
              <w:left w:val="nil"/>
              <w:bottom w:val="single" w:sz="4" w:space="0" w:color="auto"/>
              <w:right w:val="single" w:sz="4" w:space="0" w:color="auto"/>
            </w:tcBorders>
            <w:shd w:val="clear" w:color="auto" w:fill="auto"/>
          </w:tcPr>
          <w:p w:rsidR="004E72DE" w:rsidRPr="00653988" w:rsidP="00AE4FC3" w14:paraId="3FEE1709" w14:textId="533BBAEA">
            <w:pPr>
              <w:spacing w:after="0"/>
              <w:rPr>
                <w:rFonts w:eastAsia="Calibri"/>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4E72DE" w:rsidP="00AE4FC3" w14:paraId="2BF6790E" w14:textId="68BE7EBA">
            <w:pPr>
              <w:spacing w:after="0"/>
              <w:rPr>
                <w:rFonts w:eastAsia="Calibri"/>
                <w:sz w:val="20"/>
                <w:szCs w:val="20"/>
              </w:rPr>
            </w:pPr>
            <w:r>
              <w:rPr>
                <w:rFonts w:eastAsia="Calibri"/>
                <w:sz w:val="20"/>
                <w:szCs w:val="20"/>
              </w:rPr>
              <w:t>None</w:t>
            </w:r>
          </w:p>
        </w:tc>
      </w:tr>
      <w:tr w14:paraId="7EF4464C" w14:textId="258D2774"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4EF8CAF8" w14:textId="3A017E6F">
            <w:pPr>
              <w:spacing w:after="0"/>
              <w:rPr>
                <w:sz w:val="20"/>
                <w:szCs w:val="20"/>
              </w:rPr>
            </w:pPr>
            <w:r w:rsidRPr="00DE6979">
              <w:rPr>
                <w:sz w:val="20"/>
                <w:szCs w:val="20"/>
              </w:rPr>
              <w:t xml:space="preserve">Table </w:t>
            </w:r>
            <w:r w:rsidR="00C77669">
              <w:rPr>
                <w:sz w:val="20"/>
                <w:szCs w:val="20"/>
              </w:rPr>
              <w:t>31</w:t>
            </w:r>
            <w:r w:rsidR="004E72DE">
              <w:rPr>
                <w:sz w:val="20"/>
                <w:szCs w:val="20"/>
              </w:rPr>
              <w:t>H</w:t>
            </w:r>
            <w:r w:rsidR="00C77669">
              <w:rPr>
                <w:sz w:val="20"/>
                <w:szCs w:val="20"/>
              </w:rPr>
              <w:t>:</w:t>
            </w:r>
            <w:r w:rsidRPr="00DE6979">
              <w:rPr>
                <w:sz w:val="20"/>
                <w:szCs w:val="20"/>
              </w:rPr>
              <w:t xml:space="preserve"> Quality Performance Category Claims Collection Type </w:t>
            </w:r>
          </w:p>
        </w:tc>
        <w:tc>
          <w:tcPr>
            <w:tcW w:w="2875" w:type="dxa"/>
            <w:tcBorders>
              <w:top w:val="nil"/>
              <w:left w:val="nil"/>
              <w:bottom w:val="single" w:sz="4" w:space="0" w:color="auto"/>
              <w:right w:val="single" w:sz="4" w:space="0" w:color="auto"/>
            </w:tcBorders>
            <w:shd w:val="clear" w:color="auto" w:fill="auto"/>
          </w:tcPr>
          <w:p w:rsidR="00AE4FC3" w:rsidRPr="00DE6979" w:rsidP="00AE4FC3" w14:paraId="398F5BF8" w14:textId="646D1F2A">
            <w:pPr>
              <w:spacing w:after="0"/>
              <w:rPr>
                <w:sz w:val="20"/>
                <w:szCs w:val="20"/>
              </w:rPr>
            </w:pPr>
            <w:r w:rsidRPr="00653988">
              <w:rPr>
                <w:rFonts w:eastAsia="Calibri"/>
                <w:sz w:val="20"/>
                <w:szCs w:val="20"/>
              </w:rPr>
              <w:t xml:space="preserve">Decrease </w:t>
            </w:r>
            <w:r w:rsidR="00514920">
              <w:rPr>
                <w:rFonts w:eastAsia="Calibri"/>
                <w:sz w:val="20"/>
                <w:szCs w:val="20"/>
              </w:rPr>
              <w:t xml:space="preserve">of </w:t>
            </w:r>
            <w:r w:rsidR="00967D63">
              <w:rPr>
                <w:rFonts w:eastAsia="Calibri"/>
                <w:sz w:val="20"/>
                <w:szCs w:val="20"/>
              </w:rPr>
              <w:t>312</w:t>
            </w:r>
            <w:r w:rsidR="006B1061">
              <w:rPr>
                <w:rFonts w:eastAsia="Calibri"/>
                <w:sz w:val="20"/>
                <w:szCs w:val="20"/>
              </w:rPr>
              <w:t xml:space="preserve"> respondents and</w:t>
            </w:r>
            <w:r w:rsidR="00967D63">
              <w:rPr>
                <w:rFonts w:eastAsia="Calibri"/>
                <w:sz w:val="20"/>
                <w:szCs w:val="20"/>
              </w:rPr>
              <w:t xml:space="preserve"> </w:t>
            </w:r>
            <w:r w:rsidR="00705E79">
              <w:rPr>
                <w:rFonts w:eastAsia="Calibri"/>
                <w:sz w:val="20"/>
                <w:szCs w:val="20"/>
              </w:rPr>
              <w:t>4,430</w:t>
            </w:r>
            <w:r w:rsidR="006B1061">
              <w:rPr>
                <w:rFonts w:eastAsia="Calibri"/>
                <w:sz w:val="20"/>
                <w:szCs w:val="20"/>
              </w:rPr>
              <w:t xml:space="preserve">  hours </w:t>
            </w:r>
            <w:r w:rsidRPr="00653988">
              <w:rPr>
                <w:rFonts w:eastAsia="Calibri"/>
                <w:sz w:val="20"/>
                <w:szCs w:val="20"/>
              </w:rPr>
              <w:t xml:space="preserve">due to the </w:t>
            </w:r>
            <w:r>
              <w:rPr>
                <w:rFonts w:eastAsia="Calibri"/>
                <w:sz w:val="20"/>
                <w:szCs w:val="20"/>
              </w:rPr>
              <w:t xml:space="preserve">estimated </w:t>
            </w:r>
            <w:r w:rsidRPr="00653988">
              <w:rPr>
                <w:rFonts w:eastAsia="Calibri"/>
                <w:sz w:val="20"/>
                <w:szCs w:val="20"/>
              </w:rPr>
              <w:t>increase in the number of respondents submitting for the MVP quality performance category via the claims collection type.</w:t>
            </w:r>
          </w:p>
        </w:tc>
        <w:tc>
          <w:tcPr>
            <w:tcW w:w="4230" w:type="dxa"/>
            <w:tcBorders>
              <w:top w:val="nil"/>
              <w:left w:val="nil"/>
              <w:bottom w:val="single" w:sz="4" w:space="0" w:color="auto"/>
              <w:right w:val="single" w:sz="4" w:space="0" w:color="auto"/>
            </w:tcBorders>
            <w:shd w:val="clear" w:color="auto" w:fill="auto"/>
          </w:tcPr>
          <w:p w:rsidR="00AE4FC3" w:rsidRPr="00DE6979" w:rsidP="00AE4FC3" w14:paraId="53690511" w14:textId="1442EC03">
            <w:pPr>
              <w:spacing w:after="0"/>
              <w:rPr>
                <w:i/>
                <w:iCs/>
                <w:sz w:val="20"/>
                <w:szCs w:val="20"/>
              </w:rPr>
            </w:pPr>
            <w:r>
              <w:rPr>
                <w:color w:val="000000" w:themeColor="text1"/>
                <w:sz w:val="20"/>
                <w:szCs w:val="20"/>
              </w:rPr>
              <w:t>Decrease of 1</w:t>
            </w:r>
            <w:r w:rsidR="003806C7">
              <w:rPr>
                <w:color w:val="000000" w:themeColor="text1"/>
                <w:sz w:val="20"/>
                <w:szCs w:val="20"/>
              </w:rPr>
              <w:t>,011</w:t>
            </w:r>
            <w:r>
              <w:rPr>
                <w:color w:val="000000" w:themeColor="text1"/>
                <w:sz w:val="20"/>
                <w:szCs w:val="20"/>
              </w:rPr>
              <w:t xml:space="preserve"> respondent</w:t>
            </w:r>
            <w:r w:rsidR="00DB5AD8">
              <w:rPr>
                <w:color w:val="000000" w:themeColor="text1"/>
                <w:sz w:val="20"/>
                <w:szCs w:val="20"/>
              </w:rPr>
              <w:t>s</w:t>
            </w:r>
            <w:r>
              <w:rPr>
                <w:color w:val="000000" w:themeColor="text1"/>
                <w:sz w:val="20"/>
                <w:szCs w:val="20"/>
              </w:rPr>
              <w:t xml:space="preserve"> and </w:t>
            </w:r>
            <w:r w:rsidR="003806C7">
              <w:rPr>
                <w:color w:val="000000" w:themeColor="text1"/>
                <w:sz w:val="20"/>
                <w:szCs w:val="20"/>
              </w:rPr>
              <w:t>14,35</w:t>
            </w:r>
            <w:r>
              <w:rPr>
                <w:color w:val="000000" w:themeColor="text1"/>
                <w:sz w:val="20"/>
                <w:szCs w:val="20"/>
              </w:rPr>
              <w:t>6 hours due to updated data</w:t>
            </w:r>
            <w:r w:rsidR="00B340A7">
              <w:rPr>
                <w:color w:val="000000" w:themeColor="text1"/>
                <w:sz w:val="20"/>
                <w:szCs w:val="20"/>
              </w:rPr>
              <w:t xml:space="preserve"> assumptions</w:t>
            </w:r>
            <w:r>
              <w:rPr>
                <w:color w:val="000000" w:themeColor="text1"/>
                <w:sz w:val="20"/>
                <w:szCs w:val="20"/>
              </w:rPr>
              <w:t>.</w:t>
            </w:r>
          </w:p>
        </w:tc>
      </w:tr>
      <w:tr w14:paraId="6F1327E3" w14:textId="4A7A5DE2"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7C39CBBD" w14:textId="4E690988">
            <w:pPr>
              <w:spacing w:after="0"/>
              <w:rPr>
                <w:sz w:val="20"/>
                <w:szCs w:val="20"/>
              </w:rPr>
            </w:pPr>
            <w:r w:rsidRPr="00DE6979">
              <w:rPr>
                <w:sz w:val="20"/>
                <w:szCs w:val="20"/>
              </w:rPr>
              <w:t xml:space="preserve">Table </w:t>
            </w:r>
            <w:r w:rsidR="00C77669">
              <w:rPr>
                <w:sz w:val="20"/>
                <w:szCs w:val="20"/>
              </w:rPr>
              <w:t>31</w:t>
            </w:r>
            <w:r w:rsidR="004E72DE">
              <w:rPr>
                <w:sz w:val="20"/>
                <w:szCs w:val="20"/>
              </w:rPr>
              <w:t>I</w:t>
            </w:r>
            <w:r w:rsidR="00C77669">
              <w:rPr>
                <w:sz w:val="20"/>
                <w:szCs w:val="20"/>
              </w:rPr>
              <w:t>:</w:t>
            </w:r>
            <w:r w:rsidR="00B068DC">
              <w:rPr>
                <w:sz w:val="20"/>
                <w:szCs w:val="20"/>
              </w:rPr>
              <w:t xml:space="preserve"> </w:t>
            </w:r>
            <w:r w:rsidRPr="00DE6979">
              <w:rPr>
                <w:sz w:val="20"/>
                <w:szCs w:val="20"/>
              </w:rPr>
              <w:t>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sz="4" w:space="0" w:color="auto"/>
              <w:right w:val="single" w:sz="4" w:space="0" w:color="auto"/>
            </w:tcBorders>
            <w:shd w:val="clear" w:color="auto" w:fill="auto"/>
          </w:tcPr>
          <w:p w:rsidR="00AE4FC3" w:rsidRPr="00DE6979" w:rsidP="00AE4FC3" w14:paraId="504A14DC" w14:textId="48D2F526">
            <w:pPr>
              <w:spacing w:after="0"/>
              <w:rPr>
                <w:sz w:val="20"/>
                <w:szCs w:val="20"/>
              </w:rPr>
            </w:pPr>
            <w:r w:rsidRPr="00653988">
              <w:rPr>
                <w:rFonts w:eastAsia="Calibri"/>
                <w:sz w:val="20"/>
                <w:szCs w:val="20"/>
              </w:rPr>
              <w:t xml:space="preserve">Decrease </w:t>
            </w:r>
            <w:r>
              <w:rPr>
                <w:rFonts w:eastAsia="Calibri"/>
                <w:sz w:val="20"/>
                <w:szCs w:val="20"/>
              </w:rPr>
              <w:t xml:space="preserve">of </w:t>
            </w:r>
            <w:r w:rsidR="00F422A7">
              <w:rPr>
                <w:rFonts w:eastAsia="Calibri"/>
                <w:sz w:val="20"/>
                <w:szCs w:val="20"/>
              </w:rPr>
              <w:t>386</w:t>
            </w:r>
            <w:r>
              <w:rPr>
                <w:rFonts w:eastAsia="Calibri"/>
                <w:sz w:val="20"/>
                <w:szCs w:val="20"/>
              </w:rPr>
              <w:t xml:space="preserve"> respondents and 3,</w:t>
            </w:r>
            <w:r w:rsidR="00F422A7">
              <w:rPr>
                <w:rFonts w:eastAsia="Calibri"/>
                <w:sz w:val="20"/>
                <w:szCs w:val="20"/>
              </w:rPr>
              <w:t>506</w:t>
            </w:r>
            <w:r>
              <w:rPr>
                <w:rFonts w:eastAsia="Calibri"/>
                <w:sz w:val="20"/>
                <w:szCs w:val="20"/>
              </w:rPr>
              <w:t xml:space="preserve"> hours </w:t>
            </w:r>
            <w:r w:rsidRPr="007323D1">
              <w:rPr>
                <w:rFonts w:eastAsia="Calibri"/>
                <w:sz w:val="20"/>
                <w:szCs w:val="20"/>
              </w:rPr>
              <w:t>due to the e</w:t>
            </w:r>
            <w:r>
              <w:rPr>
                <w:rFonts w:eastAsia="Calibri"/>
                <w:sz w:val="20"/>
                <w:szCs w:val="20"/>
              </w:rPr>
              <w:t>stimated</w:t>
            </w:r>
            <w:r w:rsidRPr="007323D1">
              <w:rPr>
                <w:rFonts w:eastAsia="Calibri"/>
                <w:sz w:val="20"/>
                <w:szCs w:val="20"/>
              </w:rPr>
              <w:t xml:space="preserve"> increase in the number of respondents submitting for the MVP quality performance category via the QCDR and MIPS CQM collection type.</w:t>
            </w:r>
          </w:p>
        </w:tc>
        <w:tc>
          <w:tcPr>
            <w:tcW w:w="4230" w:type="dxa"/>
            <w:tcBorders>
              <w:top w:val="nil"/>
              <w:left w:val="nil"/>
              <w:bottom w:val="single" w:sz="4" w:space="0" w:color="auto"/>
              <w:right w:val="single" w:sz="4" w:space="0" w:color="auto"/>
            </w:tcBorders>
            <w:shd w:val="clear" w:color="auto" w:fill="auto"/>
          </w:tcPr>
          <w:p w:rsidR="00AE4FC3" w:rsidRPr="00DE6979" w:rsidP="00AE4FC3" w14:paraId="450F17DC" w14:textId="56DFCD06">
            <w:pPr>
              <w:spacing w:after="0"/>
              <w:rPr>
                <w:i/>
                <w:iCs/>
                <w:sz w:val="20"/>
                <w:szCs w:val="20"/>
              </w:rPr>
            </w:pPr>
            <w:r>
              <w:rPr>
                <w:color w:val="000000" w:themeColor="text1"/>
                <w:sz w:val="20"/>
                <w:szCs w:val="20"/>
              </w:rPr>
              <w:t xml:space="preserve">Decrease of </w:t>
            </w:r>
            <w:r w:rsidR="00C17559">
              <w:rPr>
                <w:color w:val="000000" w:themeColor="text1"/>
                <w:sz w:val="20"/>
                <w:szCs w:val="20"/>
              </w:rPr>
              <w:t>898</w:t>
            </w:r>
            <w:r>
              <w:rPr>
                <w:color w:val="000000" w:themeColor="text1"/>
                <w:sz w:val="20"/>
                <w:szCs w:val="20"/>
              </w:rPr>
              <w:t xml:space="preserve"> respondent</w:t>
            </w:r>
            <w:r w:rsidR="00DB5AD8">
              <w:rPr>
                <w:color w:val="000000" w:themeColor="text1"/>
                <w:sz w:val="20"/>
                <w:szCs w:val="20"/>
              </w:rPr>
              <w:t>s</w:t>
            </w:r>
            <w:r>
              <w:rPr>
                <w:color w:val="000000" w:themeColor="text1"/>
                <w:sz w:val="20"/>
                <w:szCs w:val="20"/>
              </w:rPr>
              <w:t xml:space="preserve"> and 8</w:t>
            </w:r>
            <w:r w:rsidR="00C17559">
              <w:rPr>
                <w:color w:val="000000" w:themeColor="text1"/>
                <w:sz w:val="20"/>
                <w:szCs w:val="20"/>
              </w:rPr>
              <w:t>,157</w:t>
            </w:r>
            <w:r>
              <w:rPr>
                <w:color w:val="000000" w:themeColor="text1"/>
                <w:sz w:val="20"/>
                <w:szCs w:val="20"/>
              </w:rPr>
              <w:t xml:space="preserve"> hours due to</w:t>
            </w:r>
            <w:r w:rsidR="00C17559">
              <w:rPr>
                <w:color w:val="000000" w:themeColor="text1"/>
                <w:sz w:val="20"/>
                <w:szCs w:val="20"/>
              </w:rPr>
              <w:t xml:space="preserve"> </w:t>
            </w:r>
            <w:r>
              <w:rPr>
                <w:color w:val="000000" w:themeColor="text1"/>
                <w:sz w:val="20"/>
                <w:szCs w:val="20"/>
              </w:rPr>
              <w:t>updated data</w:t>
            </w:r>
            <w:r w:rsidR="00B340A7">
              <w:rPr>
                <w:color w:val="000000" w:themeColor="text1"/>
                <w:sz w:val="20"/>
                <w:szCs w:val="20"/>
              </w:rPr>
              <w:t xml:space="preserve"> assumptions</w:t>
            </w:r>
            <w:r>
              <w:rPr>
                <w:color w:val="000000" w:themeColor="text1"/>
                <w:sz w:val="20"/>
                <w:szCs w:val="20"/>
              </w:rPr>
              <w:t>.</w:t>
            </w:r>
          </w:p>
        </w:tc>
      </w:tr>
      <w:tr w14:paraId="074E09CF" w14:textId="100021D6"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4CEE2EEB" w14:textId="3DC4431C">
            <w:pPr>
              <w:spacing w:after="0"/>
              <w:rPr>
                <w:sz w:val="20"/>
                <w:szCs w:val="20"/>
              </w:rPr>
            </w:pPr>
            <w:r w:rsidRPr="00DE6979">
              <w:rPr>
                <w:sz w:val="20"/>
                <w:szCs w:val="20"/>
              </w:rPr>
              <w:t xml:space="preserve">Table </w:t>
            </w:r>
            <w:r w:rsidR="001E7CC7">
              <w:rPr>
                <w:sz w:val="20"/>
                <w:szCs w:val="20"/>
              </w:rPr>
              <w:t>31</w:t>
            </w:r>
            <w:r w:rsidR="004E72DE">
              <w:rPr>
                <w:sz w:val="20"/>
                <w:szCs w:val="20"/>
              </w:rPr>
              <w:t>J</w:t>
            </w:r>
            <w:r>
              <w:rPr>
                <w:sz w:val="20"/>
                <w:szCs w:val="20"/>
              </w:rPr>
              <w:t>:</w:t>
            </w:r>
            <w:r w:rsidRPr="00DE6979">
              <w:rPr>
                <w:sz w:val="20"/>
                <w:szCs w:val="20"/>
              </w:rPr>
              <w:t xml:space="preserve"> Quality Performance Category eCQM Collection Type</w:t>
            </w:r>
          </w:p>
        </w:tc>
        <w:tc>
          <w:tcPr>
            <w:tcW w:w="2875" w:type="dxa"/>
            <w:tcBorders>
              <w:top w:val="nil"/>
              <w:left w:val="nil"/>
              <w:bottom w:val="single" w:sz="4" w:space="0" w:color="auto"/>
              <w:right w:val="single" w:sz="4" w:space="0" w:color="auto"/>
            </w:tcBorders>
            <w:shd w:val="clear" w:color="auto" w:fill="auto"/>
          </w:tcPr>
          <w:p w:rsidR="00AE4FC3" w:rsidRPr="00DE6979" w:rsidP="00AE4FC3" w14:paraId="688AC629" w14:textId="5C9A669E">
            <w:pPr>
              <w:spacing w:after="0"/>
              <w:rPr>
                <w:sz w:val="20"/>
                <w:szCs w:val="20"/>
              </w:rPr>
            </w:pPr>
            <w:r w:rsidRPr="00653988">
              <w:rPr>
                <w:rFonts w:eastAsia="Calibri"/>
                <w:sz w:val="20"/>
                <w:szCs w:val="20"/>
              </w:rPr>
              <w:t xml:space="preserve">Decrease </w:t>
            </w:r>
            <w:r>
              <w:rPr>
                <w:rFonts w:eastAsia="Calibri"/>
                <w:sz w:val="20"/>
                <w:szCs w:val="20"/>
              </w:rPr>
              <w:t xml:space="preserve">of </w:t>
            </w:r>
            <w:r w:rsidR="00F426C2">
              <w:rPr>
                <w:rFonts w:eastAsia="Calibri"/>
                <w:sz w:val="20"/>
                <w:szCs w:val="20"/>
              </w:rPr>
              <w:t>667</w:t>
            </w:r>
            <w:r>
              <w:rPr>
                <w:rFonts w:eastAsia="Calibri"/>
                <w:sz w:val="20"/>
                <w:szCs w:val="20"/>
              </w:rPr>
              <w:t xml:space="preserve"> respondents and </w:t>
            </w:r>
            <w:r w:rsidR="00F426C2">
              <w:rPr>
                <w:rFonts w:eastAsia="Calibri"/>
                <w:sz w:val="20"/>
                <w:szCs w:val="20"/>
              </w:rPr>
              <w:t xml:space="preserve">5,336 </w:t>
            </w:r>
            <w:r>
              <w:rPr>
                <w:rFonts w:eastAsia="Calibri"/>
                <w:sz w:val="20"/>
                <w:szCs w:val="20"/>
              </w:rPr>
              <w:t xml:space="preserve">hours </w:t>
            </w:r>
            <w:r w:rsidRPr="00D80863">
              <w:rPr>
                <w:rFonts w:eastAsia="Calibri"/>
                <w:sz w:val="20"/>
                <w:szCs w:val="20"/>
              </w:rPr>
              <w:t xml:space="preserve">due to the </w:t>
            </w:r>
            <w:r>
              <w:rPr>
                <w:rFonts w:eastAsia="Calibri"/>
                <w:sz w:val="20"/>
                <w:szCs w:val="20"/>
              </w:rPr>
              <w:t>estimat</w:t>
            </w:r>
            <w:r w:rsidRPr="00D80863">
              <w:rPr>
                <w:rFonts w:eastAsia="Calibri"/>
                <w:sz w:val="20"/>
                <w:szCs w:val="20"/>
              </w:rPr>
              <w:t>ed increase in the number of respondents submitting for the MVP quality performance category via the eCQM collection type.</w:t>
            </w:r>
          </w:p>
        </w:tc>
        <w:tc>
          <w:tcPr>
            <w:tcW w:w="4230" w:type="dxa"/>
            <w:tcBorders>
              <w:top w:val="nil"/>
              <w:left w:val="nil"/>
              <w:bottom w:val="single" w:sz="4" w:space="0" w:color="auto"/>
              <w:right w:val="single" w:sz="4" w:space="0" w:color="auto"/>
            </w:tcBorders>
            <w:shd w:val="clear" w:color="auto" w:fill="auto"/>
          </w:tcPr>
          <w:p w:rsidR="00AE4FC3" w:rsidRPr="00DE6979" w:rsidP="00AE4FC3" w14:paraId="2EE0F61A" w14:textId="3079F07F">
            <w:pPr>
              <w:spacing w:after="0"/>
              <w:rPr>
                <w:i/>
                <w:iCs/>
                <w:sz w:val="20"/>
                <w:szCs w:val="20"/>
              </w:rPr>
            </w:pPr>
            <w:r>
              <w:rPr>
                <w:color w:val="000000" w:themeColor="text1"/>
                <w:sz w:val="20"/>
                <w:szCs w:val="20"/>
              </w:rPr>
              <w:t>Increase of 5,492 respondent</w:t>
            </w:r>
            <w:r w:rsidR="00DB5AD8">
              <w:rPr>
                <w:color w:val="000000" w:themeColor="text1"/>
                <w:sz w:val="20"/>
                <w:szCs w:val="20"/>
              </w:rPr>
              <w:t>s</w:t>
            </w:r>
            <w:r>
              <w:rPr>
                <w:color w:val="000000" w:themeColor="text1"/>
                <w:sz w:val="20"/>
                <w:szCs w:val="20"/>
              </w:rPr>
              <w:t xml:space="preserve"> and </w:t>
            </w:r>
            <w:r w:rsidR="00DB5AD8">
              <w:rPr>
                <w:color w:val="000000" w:themeColor="text1"/>
                <w:sz w:val="20"/>
                <w:szCs w:val="20"/>
              </w:rPr>
              <w:t>43,936</w:t>
            </w:r>
            <w:r>
              <w:rPr>
                <w:color w:val="000000" w:themeColor="text1"/>
                <w:sz w:val="20"/>
                <w:szCs w:val="20"/>
              </w:rPr>
              <w:t xml:space="preserve"> hours due to updated data</w:t>
            </w:r>
            <w:r w:rsidR="00B340A7">
              <w:rPr>
                <w:color w:val="000000" w:themeColor="text1"/>
                <w:sz w:val="20"/>
                <w:szCs w:val="20"/>
              </w:rPr>
              <w:t xml:space="preserve"> assumptions</w:t>
            </w:r>
            <w:r>
              <w:rPr>
                <w:color w:val="000000" w:themeColor="text1"/>
                <w:sz w:val="20"/>
                <w:szCs w:val="20"/>
              </w:rPr>
              <w:t>.</w:t>
            </w:r>
          </w:p>
        </w:tc>
      </w:tr>
      <w:tr w14:paraId="3BD4CE47" w14:textId="77777777" w:rsidTr="00223079">
        <w:tblPrEx>
          <w:tblW w:w="9805" w:type="dxa"/>
          <w:tblLook w:val="04A0"/>
        </w:tblPrEx>
        <w:trPr>
          <w:cantSplit/>
          <w:trHeight w:val="539"/>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3EDBE38E" w14:textId="0A75E76C">
            <w:pPr>
              <w:spacing w:after="0"/>
              <w:rPr>
                <w:sz w:val="20"/>
                <w:szCs w:val="20"/>
              </w:rPr>
            </w:pPr>
            <w:r>
              <w:rPr>
                <w:sz w:val="20"/>
                <w:szCs w:val="20"/>
              </w:rPr>
              <w:t xml:space="preserve">Table </w:t>
            </w:r>
            <w:r w:rsidR="001E7CC7">
              <w:rPr>
                <w:sz w:val="20"/>
                <w:szCs w:val="20"/>
              </w:rPr>
              <w:t>31</w:t>
            </w:r>
            <w:r w:rsidR="004E72DE">
              <w:rPr>
                <w:sz w:val="20"/>
                <w:szCs w:val="20"/>
              </w:rPr>
              <w:t>K</w:t>
            </w:r>
            <w:r>
              <w:rPr>
                <w:sz w:val="20"/>
                <w:szCs w:val="20"/>
              </w:rPr>
              <w:t xml:space="preserve"> MVP Registration</w:t>
            </w:r>
          </w:p>
        </w:tc>
        <w:tc>
          <w:tcPr>
            <w:tcW w:w="2875" w:type="dxa"/>
            <w:tcBorders>
              <w:top w:val="nil"/>
              <w:left w:val="nil"/>
              <w:bottom w:val="single" w:sz="4" w:space="0" w:color="auto"/>
              <w:right w:val="single" w:sz="4" w:space="0" w:color="auto"/>
            </w:tcBorders>
            <w:shd w:val="clear" w:color="auto" w:fill="auto"/>
            <w:vAlign w:val="center"/>
          </w:tcPr>
          <w:p w:rsidR="00AE4FC3" w:rsidRPr="003428D4" w:rsidP="00AE4FC3" w14:paraId="14B5876B" w14:textId="2C13F2D9">
            <w:pPr>
              <w:spacing w:after="0"/>
              <w:rPr>
                <w:rFonts w:eastAsia="Calibri"/>
                <w:sz w:val="20"/>
                <w:szCs w:val="20"/>
              </w:rPr>
            </w:pPr>
            <w:r w:rsidRPr="00356D13">
              <w:rPr>
                <w:color w:val="000000" w:themeColor="text1"/>
                <w:sz w:val="20"/>
                <w:szCs w:val="20"/>
              </w:rPr>
              <w:t xml:space="preserve">Increase of </w:t>
            </w:r>
            <w:r w:rsidR="006B1061">
              <w:rPr>
                <w:color w:val="000000" w:themeColor="text1"/>
                <w:sz w:val="20"/>
                <w:szCs w:val="20"/>
              </w:rPr>
              <w:t>1,</w:t>
            </w:r>
            <w:r w:rsidR="00264184">
              <w:rPr>
                <w:color w:val="000000" w:themeColor="text1"/>
                <w:sz w:val="20"/>
                <w:szCs w:val="20"/>
              </w:rPr>
              <w:t>365</w:t>
            </w:r>
            <w:r w:rsidR="006B1061">
              <w:rPr>
                <w:color w:val="000000" w:themeColor="text1"/>
                <w:sz w:val="20"/>
                <w:szCs w:val="20"/>
              </w:rPr>
              <w:t xml:space="preserve"> </w:t>
            </w:r>
            <w:r w:rsidRPr="00356D13">
              <w:rPr>
                <w:color w:val="000000" w:themeColor="text1"/>
                <w:sz w:val="20"/>
                <w:szCs w:val="20"/>
              </w:rPr>
              <w:t xml:space="preserve">respondents </w:t>
            </w:r>
            <w:r w:rsidR="006B1061">
              <w:rPr>
                <w:color w:val="000000" w:themeColor="text1"/>
                <w:sz w:val="20"/>
                <w:szCs w:val="20"/>
              </w:rPr>
              <w:t>and 3</w:t>
            </w:r>
            <w:r w:rsidR="00264184">
              <w:rPr>
                <w:color w:val="000000" w:themeColor="text1"/>
                <w:sz w:val="20"/>
                <w:szCs w:val="20"/>
              </w:rPr>
              <w:t>4</w:t>
            </w:r>
            <w:r w:rsidR="006B1061">
              <w:rPr>
                <w:color w:val="000000" w:themeColor="text1"/>
                <w:sz w:val="20"/>
                <w:szCs w:val="20"/>
              </w:rPr>
              <w:t xml:space="preserve">1 hours </w:t>
            </w:r>
            <w:r w:rsidRPr="00356D13">
              <w:rPr>
                <w:color w:val="000000" w:themeColor="text1"/>
                <w:sz w:val="20"/>
                <w:szCs w:val="20"/>
              </w:rPr>
              <w:t>due to</w:t>
            </w:r>
            <w:r w:rsidR="00227604">
              <w:rPr>
                <w:color w:val="000000" w:themeColor="text1"/>
                <w:sz w:val="20"/>
                <w:szCs w:val="20"/>
              </w:rPr>
              <w:t xml:space="preserve"> the</w:t>
            </w:r>
            <w:r w:rsidRPr="00356D13">
              <w:rPr>
                <w:color w:val="000000" w:themeColor="text1"/>
                <w:sz w:val="20"/>
                <w:szCs w:val="20"/>
              </w:rPr>
              <w:t xml:space="preserve"> addition of 5 new MVPs.</w:t>
            </w:r>
          </w:p>
        </w:tc>
        <w:tc>
          <w:tcPr>
            <w:tcW w:w="4230" w:type="dxa"/>
            <w:tcBorders>
              <w:top w:val="nil"/>
              <w:left w:val="nil"/>
              <w:bottom w:val="single" w:sz="4" w:space="0" w:color="auto"/>
              <w:right w:val="single" w:sz="4" w:space="0" w:color="auto"/>
            </w:tcBorders>
            <w:shd w:val="clear" w:color="auto" w:fill="auto"/>
          </w:tcPr>
          <w:p w:rsidR="00AE4FC3" w:rsidRPr="00B05DA4" w:rsidP="00AE4FC3" w14:paraId="1318DCA1" w14:textId="6C23DEF5">
            <w:pPr>
              <w:spacing w:after="0"/>
              <w:rPr>
                <w:rFonts w:eastAsia="Calibri"/>
                <w:iCs/>
                <w:sz w:val="20"/>
                <w:szCs w:val="20"/>
              </w:rPr>
            </w:pPr>
            <w:r>
              <w:rPr>
                <w:color w:val="000000" w:themeColor="text1"/>
                <w:sz w:val="20"/>
                <w:szCs w:val="20"/>
              </w:rPr>
              <w:t xml:space="preserve">Increase of </w:t>
            </w:r>
            <w:r w:rsidR="00F8728E">
              <w:rPr>
                <w:color w:val="000000" w:themeColor="text1"/>
                <w:sz w:val="20"/>
                <w:szCs w:val="20"/>
              </w:rPr>
              <w:t>489</w:t>
            </w:r>
            <w:r>
              <w:rPr>
                <w:color w:val="000000" w:themeColor="text1"/>
                <w:sz w:val="20"/>
                <w:szCs w:val="20"/>
              </w:rPr>
              <w:t xml:space="preserve"> respondents and </w:t>
            </w:r>
            <w:r w:rsidR="00F8728E">
              <w:rPr>
                <w:color w:val="000000" w:themeColor="text1"/>
                <w:sz w:val="20"/>
                <w:szCs w:val="20"/>
              </w:rPr>
              <w:t>122</w:t>
            </w:r>
            <w:r>
              <w:rPr>
                <w:color w:val="000000" w:themeColor="text1"/>
                <w:sz w:val="20"/>
                <w:szCs w:val="20"/>
              </w:rPr>
              <w:t xml:space="preserve"> hours due to updated data</w:t>
            </w:r>
            <w:r w:rsidR="00B340A7">
              <w:rPr>
                <w:color w:val="000000" w:themeColor="text1"/>
                <w:sz w:val="20"/>
                <w:szCs w:val="20"/>
              </w:rPr>
              <w:t xml:space="preserve"> assumptions</w:t>
            </w:r>
            <w:r>
              <w:rPr>
                <w:color w:val="000000" w:themeColor="text1"/>
                <w:sz w:val="20"/>
                <w:szCs w:val="20"/>
              </w:rPr>
              <w:t>.</w:t>
            </w:r>
          </w:p>
        </w:tc>
      </w:tr>
      <w:tr w14:paraId="6D1377A4" w14:textId="77777777" w:rsidTr="00D26368">
        <w:tblPrEx>
          <w:tblW w:w="9805" w:type="dxa"/>
          <w:tblLook w:val="04A0"/>
        </w:tblPrEx>
        <w:trPr>
          <w:cantSplit/>
          <w:trHeight w:val="539"/>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3A1AC07C" w14:textId="53C34B4C">
            <w:pPr>
              <w:spacing w:after="0"/>
              <w:rPr>
                <w:sz w:val="20"/>
                <w:szCs w:val="20"/>
              </w:rPr>
            </w:pPr>
            <w:r>
              <w:rPr>
                <w:sz w:val="20"/>
                <w:szCs w:val="20"/>
              </w:rPr>
              <w:t xml:space="preserve">Table </w:t>
            </w:r>
            <w:r w:rsidR="001E7CC7">
              <w:rPr>
                <w:sz w:val="20"/>
                <w:szCs w:val="20"/>
              </w:rPr>
              <w:t>31</w:t>
            </w:r>
            <w:r w:rsidR="004E72DE">
              <w:rPr>
                <w:sz w:val="20"/>
                <w:szCs w:val="20"/>
              </w:rPr>
              <w:t>L</w:t>
            </w:r>
            <w:r>
              <w:rPr>
                <w:sz w:val="20"/>
                <w:szCs w:val="20"/>
              </w:rPr>
              <w:t xml:space="preserve">: Subgroup Registration </w:t>
            </w:r>
          </w:p>
        </w:tc>
        <w:tc>
          <w:tcPr>
            <w:tcW w:w="2875" w:type="dxa"/>
            <w:tcBorders>
              <w:top w:val="nil"/>
              <w:left w:val="nil"/>
              <w:bottom w:val="single" w:sz="4" w:space="0" w:color="auto"/>
              <w:right w:val="single" w:sz="4" w:space="0" w:color="auto"/>
            </w:tcBorders>
            <w:shd w:val="clear" w:color="auto" w:fill="auto"/>
          </w:tcPr>
          <w:p w:rsidR="00AE4FC3" w:rsidRPr="003428D4" w:rsidP="00AE4FC3" w14:paraId="2F572020" w14:textId="101577BD">
            <w:pPr>
              <w:spacing w:after="0"/>
              <w:rPr>
                <w:rFonts w:eastAsia="Calibri"/>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B05DA4" w:rsidP="00AE4FC3" w14:paraId="3C78459D" w14:textId="1171828F">
            <w:pPr>
              <w:spacing w:after="0"/>
              <w:rPr>
                <w:rFonts w:eastAsia="Calibri"/>
                <w:iCs/>
                <w:sz w:val="20"/>
                <w:szCs w:val="20"/>
              </w:rPr>
            </w:pPr>
            <w:r>
              <w:rPr>
                <w:rFonts w:eastAsia="Calibri"/>
                <w:sz w:val="20"/>
                <w:szCs w:val="20"/>
              </w:rPr>
              <w:t>None</w:t>
            </w:r>
          </w:p>
        </w:tc>
      </w:tr>
      <w:tr w14:paraId="11FAA9E2" w14:textId="77777777" w:rsidTr="00D26368">
        <w:tblPrEx>
          <w:tblW w:w="9805" w:type="dxa"/>
          <w:tblLook w:val="04A0"/>
        </w:tblPrEx>
        <w:trPr>
          <w:cantSplit/>
          <w:trHeight w:val="539"/>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61693490" w14:textId="675F5E6F">
            <w:pPr>
              <w:spacing w:after="0"/>
              <w:rPr>
                <w:sz w:val="20"/>
                <w:szCs w:val="20"/>
              </w:rPr>
            </w:pPr>
            <w:r>
              <w:rPr>
                <w:sz w:val="20"/>
                <w:szCs w:val="20"/>
              </w:rPr>
              <w:t xml:space="preserve">Table </w:t>
            </w:r>
            <w:r w:rsidR="001E7CC7">
              <w:rPr>
                <w:sz w:val="20"/>
                <w:szCs w:val="20"/>
              </w:rPr>
              <w:t>3</w:t>
            </w:r>
            <w:r w:rsidR="004E72DE">
              <w:rPr>
                <w:sz w:val="20"/>
                <w:szCs w:val="20"/>
              </w:rPr>
              <w:t>1</w:t>
            </w:r>
            <w:r w:rsidR="005249FD">
              <w:rPr>
                <w:sz w:val="20"/>
                <w:szCs w:val="20"/>
              </w:rPr>
              <w:t>M:</w:t>
            </w:r>
            <w:r>
              <w:rPr>
                <w:sz w:val="20"/>
                <w:szCs w:val="20"/>
              </w:rPr>
              <w:t xml:space="preserve"> MVP Quality Performance Category Submission</w:t>
            </w:r>
          </w:p>
        </w:tc>
        <w:tc>
          <w:tcPr>
            <w:tcW w:w="2875" w:type="dxa"/>
            <w:tcBorders>
              <w:top w:val="nil"/>
              <w:left w:val="nil"/>
              <w:bottom w:val="single" w:sz="4" w:space="0" w:color="auto"/>
              <w:right w:val="single" w:sz="4" w:space="0" w:color="auto"/>
            </w:tcBorders>
            <w:shd w:val="clear" w:color="auto" w:fill="auto"/>
          </w:tcPr>
          <w:p w:rsidR="00AE4FC3" w:rsidRPr="003428D4" w:rsidP="00AE4FC3" w14:paraId="1C126722" w14:textId="298C4AB3">
            <w:pPr>
              <w:spacing w:after="0"/>
              <w:rPr>
                <w:rFonts w:eastAsia="Calibri"/>
                <w:sz w:val="20"/>
                <w:szCs w:val="20"/>
              </w:rPr>
            </w:pPr>
            <w:r w:rsidRPr="00D17BF2">
              <w:rPr>
                <w:rFonts w:eastAsia="Calibri"/>
                <w:sz w:val="20"/>
                <w:szCs w:val="20"/>
              </w:rPr>
              <w:t xml:space="preserve">Increase of </w:t>
            </w:r>
            <w:r w:rsidR="006E3680">
              <w:rPr>
                <w:rFonts w:eastAsia="Calibri"/>
                <w:sz w:val="20"/>
                <w:szCs w:val="20"/>
              </w:rPr>
              <w:t>1,</w:t>
            </w:r>
            <w:r w:rsidR="004802DC">
              <w:rPr>
                <w:rFonts w:eastAsia="Calibri"/>
                <w:sz w:val="20"/>
                <w:szCs w:val="20"/>
              </w:rPr>
              <w:t>365</w:t>
            </w:r>
            <w:r w:rsidR="006E3680">
              <w:rPr>
                <w:rFonts w:eastAsia="Calibri"/>
                <w:sz w:val="20"/>
                <w:szCs w:val="20"/>
              </w:rPr>
              <w:t xml:space="preserve"> </w:t>
            </w:r>
            <w:r w:rsidRPr="00D17BF2">
              <w:rPr>
                <w:rFonts w:eastAsia="Calibri"/>
                <w:sz w:val="20"/>
                <w:szCs w:val="20"/>
              </w:rPr>
              <w:t xml:space="preserve">respondents </w:t>
            </w:r>
            <w:r w:rsidR="006B1061">
              <w:rPr>
                <w:rFonts w:eastAsia="Calibri"/>
                <w:sz w:val="20"/>
                <w:szCs w:val="20"/>
              </w:rPr>
              <w:t xml:space="preserve">and </w:t>
            </w:r>
            <w:r w:rsidR="00435B7A">
              <w:rPr>
                <w:rFonts w:eastAsia="Calibri"/>
                <w:sz w:val="20"/>
                <w:szCs w:val="20"/>
              </w:rPr>
              <w:t>8,78</w:t>
            </w:r>
            <w:r w:rsidR="00A40C56">
              <w:rPr>
                <w:rFonts w:eastAsia="Calibri"/>
                <w:sz w:val="20"/>
                <w:szCs w:val="20"/>
              </w:rPr>
              <w:t>4</w:t>
            </w:r>
            <w:r w:rsidR="006B1061">
              <w:rPr>
                <w:rFonts w:eastAsia="Calibri"/>
                <w:sz w:val="20"/>
                <w:szCs w:val="20"/>
              </w:rPr>
              <w:t xml:space="preserve"> hours </w:t>
            </w:r>
            <w:r w:rsidRPr="00D17BF2">
              <w:rPr>
                <w:rFonts w:eastAsia="Calibri"/>
                <w:sz w:val="20"/>
                <w:szCs w:val="20"/>
              </w:rPr>
              <w:t xml:space="preserve">due to </w:t>
            </w:r>
            <w:r w:rsidR="00227604">
              <w:rPr>
                <w:rFonts w:eastAsia="Calibri"/>
                <w:sz w:val="20"/>
                <w:szCs w:val="20"/>
              </w:rPr>
              <w:t xml:space="preserve">the </w:t>
            </w:r>
            <w:r w:rsidRPr="00D17BF2">
              <w:rPr>
                <w:rFonts w:eastAsia="Calibri"/>
                <w:sz w:val="20"/>
                <w:szCs w:val="20"/>
              </w:rPr>
              <w:t>addition of 5 new MVPs.</w:t>
            </w:r>
          </w:p>
        </w:tc>
        <w:tc>
          <w:tcPr>
            <w:tcW w:w="4230" w:type="dxa"/>
            <w:tcBorders>
              <w:top w:val="nil"/>
              <w:left w:val="nil"/>
              <w:bottom w:val="single" w:sz="4" w:space="0" w:color="auto"/>
              <w:right w:val="single" w:sz="4" w:space="0" w:color="auto"/>
            </w:tcBorders>
            <w:shd w:val="clear" w:color="auto" w:fill="auto"/>
          </w:tcPr>
          <w:p w:rsidR="00AE4FC3" w:rsidRPr="00B05DA4" w:rsidP="00AE4FC3" w14:paraId="090B4FA2" w14:textId="418C077B">
            <w:pPr>
              <w:spacing w:after="0"/>
              <w:rPr>
                <w:rFonts w:eastAsia="Calibri"/>
                <w:iCs/>
                <w:sz w:val="20"/>
                <w:szCs w:val="20"/>
              </w:rPr>
            </w:pPr>
            <w:r>
              <w:rPr>
                <w:color w:val="000000" w:themeColor="text1"/>
                <w:sz w:val="20"/>
                <w:szCs w:val="20"/>
              </w:rPr>
              <w:t>Increase of 489 respondents and 1</w:t>
            </w:r>
            <w:r w:rsidR="00F51089">
              <w:rPr>
                <w:color w:val="000000" w:themeColor="text1"/>
                <w:sz w:val="20"/>
                <w:szCs w:val="20"/>
              </w:rPr>
              <w:t>,940</w:t>
            </w:r>
            <w:r>
              <w:rPr>
                <w:color w:val="000000" w:themeColor="text1"/>
                <w:sz w:val="20"/>
                <w:szCs w:val="20"/>
              </w:rPr>
              <w:t xml:space="preserve"> hours due to updated data</w:t>
            </w:r>
            <w:r w:rsidR="00B340A7">
              <w:rPr>
                <w:color w:val="000000" w:themeColor="text1"/>
                <w:sz w:val="20"/>
                <w:szCs w:val="20"/>
              </w:rPr>
              <w:t xml:space="preserve"> assumptions</w:t>
            </w:r>
            <w:r>
              <w:rPr>
                <w:color w:val="000000" w:themeColor="text1"/>
                <w:sz w:val="20"/>
                <w:szCs w:val="20"/>
              </w:rPr>
              <w:t>.</w:t>
            </w:r>
          </w:p>
        </w:tc>
      </w:tr>
      <w:tr w14:paraId="192EB4AB" w14:textId="2687EAA5" w:rsidTr="00D26368">
        <w:tblPrEx>
          <w:tblW w:w="9805" w:type="dxa"/>
          <w:tblLook w:val="04A0"/>
        </w:tblPrEx>
        <w:trPr>
          <w:cantSplit/>
          <w:trHeight w:val="539"/>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5E30FD0A" w14:textId="0B2443AA">
            <w:pPr>
              <w:spacing w:after="0"/>
              <w:rPr>
                <w:sz w:val="20"/>
                <w:szCs w:val="20"/>
              </w:rPr>
            </w:pPr>
            <w:r w:rsidRPr="00DE6979">
              <w:rPr>
                <w:sz w:val="20"/>
                <w:szCs w:val="20"/>
              </w:rPr>
              <w:t xml:space="preserve">Table </w:t>
            </w:r>
            <w:r w:rsidR="001E7CC7">
              <w:rPr>
                <w:sz w:val="20"/>
                <w:szCs w:val="20"/>
              </w:rPr>
              <w:t>31</w:t>
            </w:r>
            <w:r w:rsidR="005249FD">
              <w:rPr>
                <w:sz w:val="20"/>
                <w:szCs w:val="20"/>
              </w:rPr>
              <w:t>N:</w:t>
            </w:r>
            <w:r w:rsidRPr="00DE6979">
              <w:rPr>
                <w:sz w:val="20"/>
                <w:szCs w:val="20"/>
              </w:rPr>
              <w:t xml:space="preserve"> Call for Quality Measures</w:t>
            </w:r>
          </w:p>
        </w:tc>
        <w:tc>
          <w:tcPr>
            <w:tcW w:w="2875" w:type="dxa"/>
            <w:tcBorders>
              <w:top w:val="nil"/>
              <w:left w:val="nil"/>
              <w:bottom w:val="single" w:sz="4" w:space="0" w:color="auto"/>
              <w:right w:val="single" w:sz="4" w:space="0" w:color="auto"/>
            </w:tcBorders>
            <w:shd w:val="clear" w:color="auto" w:fill="auto"/>
          </w:tcPr>
          <w:p w:rsidR="00AE4FC3" w:rsidRPr="00485C90" w:rsidP="00AE4FC3" w14:paraId="186861B8" w14:textId="062D8E0C">
            <w:pPr>
              <w:spacing w:after="0"/>
              <w:rPr>
                <w:i/>
                <w:iCs/>
                <w:sz w:val="20"/>
                <w:szCs w:val="20"/>
              </w:rPr>
            </w:pPr>
            <w:r w:rsidRPr="003428D4">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DE6979" w:rsidP="00AE4FC3" w14:paraId="0EBD8F4A" w14:textId="5AF5B308">
            <w:pPr>
              <w:spacing w:after="0"/>
              <w:rPr>
                <w:iCs/>
                <w:sz w:val="20"/>
                <w:szCs w:val="20"/>
              </w:rPr>
            </w:pPr>
            <w:r w:rsidRPr="00E104DC">
              <w:rPr>
                <w:rFonts w:eastAsia="Calibri"/>
                <w:iCs/>
                <w:sz w:val="20"/>
                <w:szCs w:val="20"/>
              </w:rPr>
              <w:t xml:space="preserve">Increase of </w:t>
            </w:r>
            <w:r>
              <w:rPr>
                <w:rFonts w:eastAsia="Calibri"/>
                <w:iCs/>
                <w:sz w:val="20"/>
                <w:szCs w:val="20"/>
              </w:rPr>
              <w:t xml:space="preserve">2 </w:t>
            </w:r>
            <w:r w:rsidRPr="00E104DC">
              <w:rPr>
                <w:rFonts w:eastAsia="Calibri"/>
                <w:iCs/>
                <w:sz w:val="20"/>
                <w:szCs w:val="20"/>
              </w:rPr>
              <w:t xml:space="preserve">respondents </w:t>
            </w:r>
            <w:r>
              <w:rPr>
                <w:rFonts w:eastAsia="Calibri"/>
                <w:iCs/>
                <w:sz w:val="20"/>
                <w:szCs w:val="20"/>
              </w:rPr>
              <w:t>and 11 hours d</w:t>
            </w:r>
            <w:r w:rsidRPr="00E104DC">
              <w:rPr>
                <w:rFonts w:eastAsia="Calibri"/>
                <w:iCs/>
                <w:sz w:val="20"/>
                <w:szCs w:val="20"/>
              </w:rPr>
              <w:t xml:space="preserve">ue to updated </w:t>
            </w:r>
            <w:r w:rsidR="00B340A7">
              <w:rPr>
                <w:rFonts w:eastAsia="Calibri"/>
                <w:iCs/>
                <w:sz w:val="20"/>
                <w:szCs w:val="20"/>
              </w:rPr>
              <w:t xml:space="preserve">data </w:t>
            </w:r>
            <w:r w:rsidRPr="00E104DC">
              <w:rPr>
                <w:rFonts w:eastAsia="Calibri"/>
                <w:iCs/>
                <w:sz w:val="20"/>
                <w:szCs w:val="20"/>
              </w:rPr>
              <w:t>assumptions</w:t>
            </w:r>
            <w:r>
              <w:rPr>
                <w:color w:val="000000" w:themeColor="text1"/>
                <w:sz w:val="20"/>
                <w:szCs w:val="20"/>
              </w:rPr>
              <w:t>.</w:t>
            </w:r>
          </w:p>
        </w:tc>
      </w:tr>
      <w:tr w14:paraId="42E28208" w14:textId="0F2ACC4B" w:rsidTr="00223079">
        <w:tblPrEx>
          <w:tblW w:w="9805" w:type="dxa"/>
          <w:tblLook w:val="04A0"/>
        </w:tblPrEx>
        <w:trPr>
          <w:cantSplit/>
          <w:trHeight w:val="890"/>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2FD5D319" w14:textId="79B96D30">
            <w:pPr>
              <w:spacing w:after="0"/>
              <w:rPr>
                <w:sz w:val="20"/>
                <w:szCs w:val="20"/>
              </w:rPr>
            </w:pPr>
            <w:r w:rsidRPr="00DE6979">
              <w:rPr>
                <w:sz w:val="20"/>
                <w:szCs w:val="20"/>
              </w:rPr>
              <w:t xml:space="preserve">Table </w:t>
            </w:r>
            <w:r w:rsidR="001E7CC7">
              <w:rPr>
                <w:sz w:val="20"/>
                <w:szCs w:val="20"/>
              </w:rPr>
              <w:t>31</w:t>
            </w:r>
            <w:r w:rsidR="004E72DE">
              <w:rPr>
                <w:sz w:val="20"/>
                <w:szCs w:val="20"/>
              </w:rPr>
              <w:t>O</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sz="4" w:space="0" w:color="auto"/>
              <w:right w:val="single" w:sz="4" w:space="0" w:color="auto"/>
            </w:tcBorders>
            <w:shd w:val="clear" w:color="auto" w:fill="auto"/>
          </w:tcPr>
          <w:p w:rsidR="00AE4FC3" w:rsidRPr="00DE6979" w:rsidP="00AE4FC3" w14:paraId="39102ACB" w14:textId="7F5FEDD7">
            <w:pPr>
              <w:spacing w:after="0"/>
              <w:rPr>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vAlign w:val="center"/>
          </w:tcPr>
          <w:p w:rsidR="00AE4FC3" w:rsidRPr="00DE6979" w:rsidP="00AE4FC3" w14:paraId="764B5400" w14:textId="322ED106">
            <w:pPr>
              <w:spacing w:after="0"/>
              <w:rPr>
                <w:iCs/>
                <w:sz w:val="20"/>
                <w:szCs w:val="20"/>
              </w:rPr>
            </w:pPr>
            <w:r w:rsidRPr="003D29BA">
              <w:rPr>
                <w:rFonts w:eastAsia="Calibri"/>
                <w:iCs/>
                <w:sz w:val="20"/>
                <w:szCs w:val="20"/>
              </w:rPr>
              <w:t>In</w:t>
            </w:r>
            <w:r w:rsidRPr="003D29BA">
              <w:rPr>
                <w:rFonts w:eastAsia="Calibri"/>
                <w:iCs/>
                <w:sz w:val="20"/>
                <w:szCs w:val="20"/>
              </w:rPr>
              <w:t xml:space="preserve">crease of </w:t>
            </w:r>
            <w:r w:rsidR="002D3936">
              <w:rPr>
                <w:rFonts w:eastAsia="Calibri"/>
                <w:iCs/>
                <w:sz w:val="20"/>
                <w:szCs w:val="20"/>
              </w:rPr>
              <w:t xml:space="preserve">23,788 </w:t>
            </w:r>
            <w:r w:rsidRPr="003D29BA">
              <w:rPr>
                <w:rFonts w:eastAsia="Calibri"/>
                <w:iCs/>
                <w:sz w:val="20"/>
                <w:szCs w:val="20"/>
              </w:rPr>
              <w:t xml:space="preserve">respondents </w:t>
            </w:r>
            <w:r w:rsidR="002D3936">
              <w:rPr>
                <w:rFonts w:eastAsia="Calibri"/>
                <w:iCs/>
                <w:sz w:val="20"/>
                <w:szCs w:val="20"/>
              </w:rPr>
              <w:t xml:space="preserve">and 5,947 </w:t>
            </w:r>
            <w:r w:rsidR="000B0132">
              <w:rPr>
                <w:rFonts w:eastAsia="Calibri"/>
                <w:iCs/>
                <w:sz w:val="20"/>
                <w:szCs w:val="20"/>
              </w:rPr>
              <w:t xml:space="preserve">hours </w:t>
            </w:r>
            <w:r w:rsidR="002D3936">
              <w:rPr>
                <w:rFonts w:eastAsia="Calibri"/>
                <w:iCs/>
                <w:sz w:val="20"/>
                <w:szCs w:val="20"/>
              </w:rPr>
              <w:t>d</w:t>
            </w:r>
            <w:r w:rsidRPr="003D29BA">
              <w:rPr>
                <w:rFonts w:eastAsia="Calibri"/>
                <w:iCs/>
                <w:sz w:val="20"/>
                <w:szCs w:val="20"/>
              </w:rPr>
              <w:t xml:space="preserve">ue to updated </w:t>
            </w:r>
            <w:r w:rsidR="00B340A7">
              <w:rPr>
                <w:rFonts w:eastAsia="Calibri"/>
                <w:iCs/>
                <w:sz w:val="20"/>
                <w:szCs w:val="20"/>
              </w:rPr>
              <w:t xml:space="preserve">data </w:t>
            </w:r>
            <w:r w:rsidRPr="003D29BA">
              <w:rPr>
                <w:rFonts w:eastAsia="Calibri"/>
                <w:iCs/>
                <w:sz w:val="20"/>
                <w:szCs w:val="20"/>
              </w:rPr>
              <w:t>assumptions</w:t>
            </w:r>
            <w:r>
              <w:rPr>
                <w:color w:val="000000" w:themeColor="text1"/>
                <w:sz w:val="20"/>
                <w:szCs w:val="20"/>
              </w:rPr>
              <w:t>.</w:t>
            </w:r>
          </w:p>
        </w:tc>
      </w:tr>
      <w:tr w14:paraId="255363DC" w14:textId="0126F323" w:rsidTr="00D26368">
        <w:tblPrEx>
          <w:tblW w:w="9805" w:type="dxa"/>
          <w:tblLook w:val="04A0"/>
        </w:tblPrEx>
        <w:trPr>
          <w:cantSplit/>
          <w:trHeight w:val="1223"/>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06A33477" w14:textId="3538E547">
            <w:pPr>
              <w:spacing w:after="0"/>
              <w:rPr>
                <w:sz w:val="20"/>
                <w:szCs w:val="20"/>
              </w:rPr>
            </w:pPr>
            <w:r w:rsidRPr="00DE6979">
              <w:rPr>
                <w:sz w:val="20"/>
                <w:szCs w:val="20"/>
              </w:rPr>
              <w:t>Table</w:t>
            </w:r>
            <w:r>
              <w:rPr>
                <w:sz w:val="20"/>
                <w:szCs w:val="20"/>
              </w:rPr>
              <w:t xml:space="preserve">s </w:t>
            </w:r>
            <w:r w:rsidR="001E7CC7">
              <w:rPr>
                <w:sz w:val="20"/>
                <w:szCs w:val="20"/>
              </w:rPr>
              <w:t>31</w:t>
            </w:r>
            <w:r w:rsidR="004E72DE">
              <w:rPr>
                <w:sz w:val="20"/>
                <w:szCs w:val="20"/>
              </w:rPr>
              <w:t>P</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sz="4" w:space="0" w:color="auto"/>
              <w:right w:val="single" w:sz="4" w:space="0" w:color="auto"/>
            </w:tcBorders>
            <w:shd w:val="clear" w:color="auto" w:fill="auto"/>
          </w:tcPr>
          <w:p w:rsidR="00AE4FC3" w:rsidRPr="00DE6979" w:rsidP="00AE4FC3" w14:paraId="3E207E9D" w14:textId="4C987BFF">
            <w:pPr>
              <w:spacing w:after="0"/>
              <w:rPr>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DE6979" w:rsidP="00AE4FC3" w14:paraId="7FA62E83" w14:textId="0BB06736">
            <w:pPr>
              <w:spacing w:after="0"/>
              <w:rPr>
                <w:i/>
                <w:sz w:val="20"/>
                <w:szCs w:val="20"/>
              </w:rPr>
            </w:pPr>
            <w:r>
              <w:rPr>
                <w:rFonts w:eastAsia="Calibri"/>
                <w:sz w:val="20"/>
                <w:szCs w:val="20"/>
              </w:rPr>
              <w:t>None</w:t>
            </w:r>
          </w:p>
        </w:tc>
      </w:tr>
      <w:tr w14:paraId="33B91AEA" w14:textId="443D52D5" w:rsidTr="00D26368">
        <w:tblPrEx>
          <w:tblW w:w="9805" w:type="dxa"/>
          <w:tblLook w:val="04A0"/>
        </w:tblPrEx>
        <w:trPr>
          <w:cantSplit/>
          <w:trHeight w:val="800"/>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0B2AA39A" w14:textId="4D0688F7">
            <w:pPr>
              <w:spacing w:after="0"/>
              <w:rPr>
                <w:sz w:val="20"/>
                <w:szCs w:val="20"/>
              </w:rPr>
            </w:pPr>
            <w:r w:rsidRPr="00DE6979">
              <w:rPr>
                <w:sz w:val="20"/>
                <w:szCs w:val="20"/>
              </w:rPr>
              <w:t xml:space="preserve">Table </w:t>
            </w:r>
            <w:r w:rsidR="001E7CC7">
              <w:rPr>
                <w:sz w:val="20"/>
                <w:szCs w:val="20"/>
              </w:rPr>
              <w:t>31</w:t>
            </w:r>
            <w:r w:rsidR="004E72DE">
              <w:rPr>
                <w:sz w:val="20"/>
                <w:szCs w:val="20"/>
              </w:rPr>
              <w:t>Q</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sz="4" w:space="0" w:color="auto"/>
              <w:right w:val="single" w:sz="4" w:space="0" w:color="auto"/>
            </w:tcBorders>
            <w:shd w:val="clear" w:color="auto" w:fill="auto"/>
          </w:tcPr>
          <w:p w:rsidR="00AE4FC3" w:rsidRPr="00DE6979" w:rsidP="00AE4FC3" w14:paraId="7DD2F2A7" w14:textId="0EC14127">
            <w:pPr>
              <w:spacing w:after="0"/>
              <w:rPr>
                <w:sz w:val="20"/>
                <w:szCs w:val="20"/>
              </w:rPr>
            </w:pPr>
            <w:r w:rsidRPr="00CC2BFB">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0B0132" w:rsidRPr="003D29BA" w:rsidP="000B0132" w14:paraId="20B3FB36" w14:textId="3407C224">
            <w:pPr>
              <w:spacing w:after="0"/>
              <w:rPr>
                <w:rFonts w:eastAsia="Calibri"/>
                <w:sz w:val="20"/>
                <w:szCs w:val="20"/>
              </w:rPr>
            </w:pPr>
            <w:r>
              <w:rPr>
                <w:rFonts w:eastAsia="Calibri"/>
                <w:sz w:val="20"/>
                <w:szCs w:val="20"/>
              </w:rPr>
              <w:t xml:space="preserve">Decrease of 10 respondents and 5 hours due to </w:t>
            </w:r>
            <w:r w:rsidR="00003201">
              <w:rPr>
                <w:rFonts w:eastAsia="Calibri"/>
                <w:sz w:val="20"/>
                <w:szCs w:val="20"/>
              </w:rPr>
              <w:t xml:space="preserve">the </w:t>
            </w:r>
            <w:r>
              <w:rPr>
                <w:rFonts w:eastAsia="Calibri"/>
                <w:sz w:val="20"/>
                <w:szCs w:val="20"/>
              </w:rPr>
              <w:t>removal of ICR.</w:t>
            </w:r>
          </w:p>
        </w:tc>
      </w:tr>
      <w:tr w14:paraId="0A8B963F" w14:textId="4773AB89" w:rsidTr="00D26368">
        <w:tblPrEx>
          <w:tblW w:w="9805" w:type="dxa"/>
          <w:tblLook w:val="04A0"/>
        </w:tblPrEx>
        <w:trPr>
          <w:cantSplit/>
          <w:trHeight w:val="710"/>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5F4A43BF" w14:textId="134A3633">
            <w:pPr>
              <w:spacing w:after="0"/>
              <w:rPr>
                <w:sz w:val="20"/>
                <w:szCs w:val="20"/>
              </w:rPr>
            </w:pPr>
            <w:r w:rsidRPr="00DE6979">
              <w:rPr>
                <w:sz w:val="20"/>
                <w:szCs w:val="20"/>
              </w:rPr>
              <w:t xml:space="preserve">Table </w:t>
            </w:r>
            <w:r w:rsidR="001E7CC7">
              <w:rPr>
                <w:sz w:val="20"/>
                <w:szCs w:val="20"/>
              </w:rPr>
              <w:t>31</w:t>
            </w:r>
            <w:r w:rsidR="004E72DE">
              <w:rPr>
                <w:sz w:val="20"/>
                <w:szCs w:val="20"/>
              </w:rPr>
              <w:t>R</w:t>
            </w:r>
            <w:r w:rsidRPr="00DE6979">
              <w:rPr>
                <w:sz w:val="20"/>
                <w:szCs w:val="20"/>
              </w:rPr>
              <w:t>: Improvement Activities Submission</w:t>
            </w:r>
          </w:p>
        </w:tc>
        <w:tc>
          <w:tcPr>
            <w:tcW w:w="2875" w:type="dxa"/>
            <w:tcBorders>
              <w:top w:val="nil"/>
              <w:left w:val="nil"/>
              <w:bottom w:val="single" w:sz="4" w:space="0" w:color="auto"/>
              <w:right w:val="single" w:sz="4" w:space="0" w:color="auto"/>
            </w:tcBorders>
            <w:shd w:val="clear" w:color="auto" w:fill="auto"/>
          </w:tcPr>
          <w:p w:rsidR="00AE4FC3" w:rsidRPr="00DE6979" w:rsidP="00AE4FC3" w14:paraId="3F15CDD4" w14:textId="279A9651">
            <w:pPr>
              <w:spacing w:after="0"/>
              <w:rPr>
                <w:sz w:val="20"/>
                <w:szCs w:val="20"/>
              </w:rPr>
            </w:pPr>
            <w:r>
              <w:rPr>
                <w:rFonts w:eastAsia="Calibri"/>
                <w:sz w:val="20"/>
                <w:szCs w:val="20"/>
              </w:rPr>
              <w:t xml:space="preserve">None </w:t>
            </w:r>
          </w:p>
        </w:tc>
        <w:tc>
          <w:tcPr>
            <w:tcW w:w="4230" w:type="dxa"/>
            <w:tcBorders>
              <w:top w:val="nil"/>
              <w:left w:val="nil"/>
              <w:bottom w:val="single" w:sz="4" w:space="0" w:color="auto"/>
              <w:right w:val="single" w:sz="4" w:space="0" w:color="auto"/>
            </w:tcBorders>
            <w:shd w:val="clear" w:color="auto" w:fill="auto"/>
          </w:tcPr>
          <w:p w:rsidR="00AE4FC3" w:rsidRPr="00DE6979" w:rsidP="00AE4FC3" w14:paraId="2D289FEA" w14:textId="54BDC6A8">
            <w:pPr>
              <w:spacing w:after="0"/>
              <w:rPr>
                <w:sz w:val="20"/>
                <w:szCs w:val="20"/>
              </w:rPr>
            </w:pPr>
            <w:r>
              <w:rPr>
                <w:rFonts w:eastAsia="Calibri"/>
                <w:sz w:val="20"/>
                <w:szCs w:val="20"/>
              </w:rPr>
              <w:t>None</w:t>
            </w:r>
          </w:p>
        </w:tc>
      </w:tr>
      <w:tr w14:paraId="47068AB3" w14:textId="1C535E8A" w:rsidTr="00D26368">
        <w:tblPrEx>
          <w:tblW w:w="9805" w:type="dxa"/>
          <w:tblLook w:val="04A0"/>
        </w:tblPrEx>
        <w:trPr>
          <w:cantSplit/>
          <w:trHeight w:val="1259"/>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280FB83E" w14:textId="7B729C48">
            <w:pPr>
              <w:spacing w:after="0"/>
              <w:rPr>
                <w:sz w:val="20"/>
                <w:szCs w:val="20"/>
              </w:rPr>
            </w:pPr>
            <w:r w:rsidRPr="00DE6979">
              <w:rPr>
                <w:sz w:val="20"/>
                <w:szCs w:val="20"/>
              </w:rPr>
              <w:t xml:space="preserve">Table </w:t>
            </w:r>
            <w:r w:rsidR="001E7CC7">
              <w:rPr>
                <w:sz w:val="20"/>
                <w:szCs w:val="20"/>
              </w:rPr>
              <w:t>31</w:t>
            </w:r>
            <w:r w:rsidR="004E72DE">
              <w:rPr>
                <w:sz w:val="20"/>
                <w:szCs w:val="20"/>
              </w:rPr>
              <w:t>S</w:t>
            </w:r>
            <w:r w:rsidRPr="00DE6979">
              <w:rPr>
                <w:sz w:val="20"/>
                <w:szCs w:val="20"/>
              </w:rPr>
              <w:t xml:space="preserve">: Nomination of Improvement Activities </w:t>
            </w:r>
          </w:p>
        </w:tc>
        <w:tc>
          <w:tcPr>
            <w:tcW w:w="2875" w:type="dxa"/>
            <w:tcBorders>
              <w:top w:val="nil"/>
              <w:left w:val="nil"/>
              <w:bottom w:val="single" w:sz="4" w:space="0" w:color="auto"/>
              <w:right w:val="single" w:sz="4" w:space="0" w:color="auto"/>
            </w:tcBorders>
            <w:shd w:val="clear" w:color="auto" w:fill="auto"/>
          </w:tcPr>
          <w:p w:rsidR="00AE4FC3" w:rsidRPr="00DE6979" w:rsidP="00AE4FC3" w14:paraId="7E1BF5B1" w14:textId="76E2833E">
            <w:pPr>
              <w:spacing w:after="0"/>
              <w:rPr>
                <w:sz w:val="20"/>
                <w:szCs w:val="20"/>
              </w:rPr>
            </w:pPr>
            <w:r>
              <w:rPr>
                <w:rFonts w:eastAsia="Calibri"/>
                <w:sz w:val="20"/>
                <w:szCs w:val="20"/>
              </w:rPr>
              <w:t xml:space="preserve">None </w:t>
            </w:r>
          </w:p>
        </w:tc>
        <w:tc>
          <w:tcPr>
            <w:tcW w:w="4230" w:type="dxa"/>
            <w:tcBorders>
              <w:top w:val="nil"/>
              <w:left w:val="nil"/>
              <w:bottom w:val="single" w:sz="4" w:space="0" w:color="auto"/>
              <w:right w:val="single" w:sz="4" w:space="0" w:color="auto"/>
            </w:tcBorders>
            <w:shd w:val="clear" w:color="auto" w:fill="auto"/>
          </w:tcPr>
          <w:p w:rsidR="00AE4FC3" w:rsidRPr="00DE6979" w:rsidP="00AE4FC3" w14:paraId="11AD78F8" w14:textId="23050E56">
            <w:pPr>
              <w:spacing w:after="0"/>
              <w:rPr>
                <w:sz w:val="20"/>
                <w:szCs w:val="20"/>
              </w:rPr>
            </w:pPr>
            <w:r>
              <w:rPr>
                <w:rFonts w:eastAsia="Calibri"/>
                <w:iCs/>
                <w:sz w:val="20"/>
                <w:szCs w:val="20"/>
              </w:rPr>
              <w:t>De</w:t>
            </w:r>
            <w:r w:rsidRPr="00E104DC">
              <w:rPr>
                <w:rFonts w:eastAsia="Calibri"/>
                <w:iCs/>
                <w:sz w:val="20"/>
                <w:szCs w:val="20"/>
              </w:rPr>
              <w:t xml:space="preserve">crease of </w:t>
            </w:r>
            <w:r>
              <w:rPr>
                <w:rFonts w:eastAsia="Calibri"/>
                <w:iCs/>
                <w:sz w:val="20"/>
                <w:szCs w:val="20"/>
              </w:rPr>
              <w:t xml:space="preserve">16 </w:t>
            </w:r>
            <w:r w:rsidRPr="00E104DC">
              <w:rPr>
                <w:rFonts w:eastAsia="Calibri"/>
                <w:iCs/>
                <w:sz w:val="20"/>
                <w:szCs w:val="20"/>
              </w:rPr>
              <w:t xml:space="preserve">respondents </w:t>
            </w:r>
            <w:r>
              <w:rPr>
                <w:rFonts w:eastAsia="Calibri"/>
                <w:iCs/>
                <w:sz w:val="20"/>
                <w:szCs w:val="20"/>
              </w:rPr>
              <w:t>and 70 hours d</w:t>
            </w:r>
            <w:r w:rsidRPr="00E104DC">
              <w:rPr>
                <w:rFonts w:eastAsia="Calibri"/>
                <w:iCs/>
                <w:sz w:val="20"/>
                <w:szCs w:val="20"/>
              </w:rPr>
              <w:t xml:space="preserve">ue to updated </w:t>
            </w:r>
            <w:r w:rsidR="003664E6">
              <w:rPr>
                <w:rFonts w:eastAsia="Calibri"/>
                <w:iCs/>
                <w:sz w:val="20"/>
                <w:szCs w:val="20"/>
              </w:rPr>
              <w:t xml:space="preserve">data </w:t>
            </w:r>
            <w:r w:rsidRPr="00E104DC">
              <w:rPr>
                <w:rFonts w:eastAsia="Calibri"/>
                <w:iCs/>
                <w:sz w:val="20"/>
                <w:szCs w:val="20"/>
              </w:rPr>
              <w:t>assumptions</w:t>
            </w:r>
            <w:r>
              <w:rPr>
                <w:color w:val="000000" w:themeColor="text1"/>
                <w:sz w:val="20"/>
                <w:szCs w:val="20"/>
              </w:rPr>
              <w:t>.</w:t>
            </w:r>
          </w:p>
        </w:tc>
      </w:tr>
      <w:tr w14:paraId="67A8EC18" w14:textId="77777777" w:rsidTr="00D26368">
        <w:tblPrEx>
          <w:tblW w:w="9805" w:type="dxa"/>
          <w:tblLook w:val="04A0"/>
        </w:tblPrEx>
        <w:trPr>
          <w:cantSplit/>
          <w:trHeight w:val="710"/>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53DFFAA2" w14:textId="1874981D">
            <w:pPr>
              <w:spacing w:after="0"/>
              <w:rPr>
                <w:sz w:val="20"/>
                <w:szCs w:val="20"/>
              </w:rPr>
            </w:pPr>
            <w:r>
              <w:rPr>
                <w:sz w:val="20"/>
                <w:szCs w:val="20"/>
              </w:rPr>
              <w:t xml:space="preserve">Table </w:t>
            </w:r>
            <w:r w:rsidR="001E7CC7">
              <w:rPr>
                <w:sz w:val="20"/>
                <w:szCs w:val="20"/>
              </w:rPr>
              <w:t>31</w:t>
            </w:r>
            <w:r w:rsidR="004E72DE">
              <w:rPr>
                <w:sz w:val="20"/>
                <w:szCs w:val="20"/>
              </w:rPr>
              <w:t>T</w:t>
            </w:r>
            <w:r>
              <w:rPr>
                <w:sz w:val="20"/>
                <w:szCs w:val="20"/>
              </w:rPr>
              <w:t>: Nomination of MVPs</w:t>
            </w:r>
          </w:p>
        </w:tc>
        <w:tc>
          <w:tcPr>
            <w:tcW w:w="2875" w:type="dxa"/>
            <w:tcBorders>
              <w:top w:val="nil"/>
              <w:left w:val="nil"/>
              <w:bottom w:val="single" w:sz="4" w:space="0" w:color="auto"/>
              <w:right w:val="single" w:sz="4" w:space="0" w:color="auto"/>
            </w:tcBorders>
            <w:shd w:val="clear" w:color="auto" w:fill="auto"/>
          </w:tcPr>
          <w:p w:rsidR="00AE4FC3" w:rsidRPr="00CC2BFB" w:rsidP="00AE4FC3" w14:paraId="529EEF18" w14:textId="5552C636">
            <w:pPr>
              <w:spacing w:after="0"/>
              <w:rPr>
                <w:rFonts w:eastAsia="Calibri"/>
                <w:sz w:val="20"/>
                <w:szCs w:val="20"/>
              </w:rPr>
            </w:pPr>
            <w:r>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CC2BFB" w:rsidP="00AE4FC3" w14:paraId="3647482E" w14:textId="4BFC413D">
            <w:pPr>
              <w:spacing w:after="0"/>
              <w:rPr>
                <w:rFonts w:eastAsia="Calibri"/>
                <w:sz w:val="20"/>
                <w:szCs w:val="20"/>
              </w:rPr>
            </w:pPr>
            <w:r>
              <w:rPr>
                <w:rFonts w:eastAsia="Calibri"/>
                <w:sz w:val="20"/>
                <w:szCs w:val="20"/>
              </w:rPr>
              <w:t>None</w:t>
            </w:r>
          </w:p>
        </w:tc>
      </w:tr>
      <w:tr w14:paraId="2E5546F4" w14:textId="62C7493B" w:rsidTr="00D26368">
        <w:tblPrEx>
          <w:tblW w:w="9805" w:type="dxa"/>
          <w:tblLook w:val="04A0"/>
        </w:tblPrEx>
        <w:trPr>
          <w:cantSplit/>
          <w:trHeight w:val="638"/>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6103CF3D" w14:textId="1A2BDC47">
            <w:pPr>
              <w:spacing w:after="0"/>
              <w:rPr>
                <w:sz w:val="20"/>
                <w:szCs w:val="20"/>
              </w:rPr>
            </w:pPr>
            <w:r w:rsidRPr="00DE6979">
              <w:rPr>
                <w:sz w:val="20"/>
                <w:szCs w:val="20"/>
              </w:rPr>
              <w:t xml:space="preserve">Table </w:t>
            </w:r>
            <w:r w:rsidR="001E7CC7">
              <w:rPr>
                <w:sz w:val="20"/>
                <w:szCs w:val="20"/>
              </w:rPr>
              <w:t>31</w:t>
            </w:r>
            <w:r w:rsidR="004E72DE">
              <w:rPr>
                <w:sz w:val="20"/>
                <w:szCs w:val="20"/>
              </w:rPr>
              <w:t>U</w:t>
            </w:r>
            <w:r w:rsidRPr="00DE6979">
              <w:rPr>
                <w:sz w:val="20"/>
                <w:szCs w:val="20"/>
              </w:rPr>
              <w:t>: Partial QP Election</w:t>
            </w:r>
          </w:p>
        </w:tc>
        <w:tc>
          <w:tcPr>
            <w:tcW w:w="2875" w:type="dxa"/>
            <w:tcBorders>
              <w:top w:val="nil"/>
              <w:left w:val="nil"/>
              <w:bottom w:val="single" w:sz="4" w:space="0" w:color="auto"/>
              <w:right w:val="single" w:sz="4" w:space="0" w:color="auto"/>
            </w:tcBorders>
            <w:shd w:val="clear" w:color="auto" w:fill="auto"/>
          </w:tcPr>
          <w:p w:rsidR="00AE4FC3" w:rsidRPr="00DE6979" w:rsidP="00AE4FC3" w14:paraId="6A324BAC" w14:textId="4906B09E">
            <w:pPr>
              <w:spacing w:after="0"/>
              <w:rPr>
                <w:sz w:val="20"/>
                <w:szCs w:val="20"/>
              </w:rPr>
            </w:pPr>
            <w:r w:rsidRPr="00A06D61">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333EB4" w:rsidP="00AE4FC3" w14:paraId="268DF0A2" w14:textId="2919A0F9">
            <w:pPr>
              <w:spacing w:after="0"/>
              <w:rPr>
                <w:i/>
                <w:sz w:val="20"/>
                <w:szCs w:val="20"/>
              </w:rPr>
            </w:pPr>
            <w:r>
              <w:rPr>
                <w:rFonts w:eastAsia="Calibri"/>
                <w:sz w:val="20"/>
                <w:szCs w:val="20"/>
              </w:rPr>
              <w:t>None</w:t>
            </w:r>
          </w:p>
        </w:tc>
      </w:tr>
      <w:tr w14:paraId="7065083B" w14:textId="3C8E6C90" w:rsidTr="00D26368">
        <w:tblPrEx>
          <w:tblW w:w="9805" w:type="dxa"/>
          <w:tblLook w:val="04A0"/>
        </w:tblPrEx>
        <w:trPr>
          <w:cantSplit/>
          <w:trHeight w:val="764"/>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188FB8CA" w14:textId="1A5764FB">
            <w:pPr>
              <w:spacing w:after="0"/>
              <w:rPr>
                <w:sz w:val="20"/>
                <w:szCs w:val="20"/>
              </w:rPr>
            </w:pPr>
            <w:r w:rsidRPr="00DE6979">
              <w:rPr>
                <w:sz w:val="20"/>
                <w:szCs w:val="20"/>
              </w:rPr>
              <w:t xml:space="preserve">Table </w:t>
            </w:r>
            <w:r w:rsidR="001E7CC7">
              <w:rPr>
                <w:sz w:val="20"/>
                <w:szCs w:val="20"/>
              </w:rPr>
              <w:t>31</w:t>
            </w:r>
            <w:r w:rsidR="004E72DE">
              <w:rPr>
                <w:sz w:val="20"/>
                <w:szCs w:val="20"/>
              </w:rPr>
              <w:t>V</w:t>
            </w:r>
            <w:r w:rsidR="001E7CC7">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sz="4" w:space="0" w:color="auto"/>
              <w:right w:val="single" w:sz="4" w:space="0" w:color="auto"/>
            </w:tcBorders>
            <w:shd w:val="clear" w:color="auto" w:fill="auto"/>
          </w:tcPr>
          <w:p w:rsidR="00AE4FC3" w:rsidRPr="00DE6979" w:rsidP="00AE4FC3" w14:paraId="5CB0CF0F" w14:textId="25C9B465">
            <w:pPr>
              <w:spacing w:after="0"/>
              <w:rPr>
                <w:sz w:val="20"/>
                <w:szCs w:val="20"/>
              </w:rPr>
            </w:pPr>
            <w:r w:rsidRPr="00A06D61">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DE6979" w:rsidP="00AE4FC3" w14:paraId="06045CB4" w14:textId="07867819">
            <w:pPr>
              <w:spacing w:after="0"/>
              <w:rPr>
                <w:i/>
                <w:sz w:val="20"/>
                <w:szCs w:val="20"/>
              </w:rPr>
            </w:pPr>
            <w:r>
              <w:rPr>
                <w:rFonts w:eastAsia="Calibri"/>
                <w:sz w:val="20"/>
                <w:szCs w:val="20"/>
              </w:rPr>
              <w:t>None</w:t>
            </w:r>
          </w:p>
        </w:tc>
      </w:tr>
      <w:tr w14:paraId="2B2709F8" w14:textId="0B623016" w:rsidTr="00D26368">
        <w:tblPrEx>
          <w:tblW w:w="9805" w:type="dxa"/>
          <w:tblLook w:val="04A0"/>
        </w:tblPrEx>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6EF9AB07" w14:textId="7C91779A">
            <w:pPr>
              <w:spacing w:after="0"/>
              <w:rPr>
                <w:sz w:val="20"/>
                <w:szCs w:val="20"/>
              </w:rPr>
            </w:pPr>
            <w:r w:rsidRPr="00DE6979">
              <w:rPr>
                <w:sz w:val="20"/>
                <w:szCs w:val="20"/>
              </w:rPr>
              <w:t xml:space="preserve">Table </w:t>
            </w:r>
            <w:r w:rsidR="001E7CC7">
              <w:rPr>
                <w:sz w:val="20"/>
                <w:szCs w:val="20"/>
              </w:rPr>
              <w:t>31</w:t>
            </w:r>
            <w:r w:rsidR="004E72DE">
              <w:rPr>
                <w:sz w:val="20"/>
                <w:szCs w:val="20"/>
              </w:rPr>
              <w:t>W</w:t>
            </w:r>
            <w:r w:rsidR="001E7CC7">
              <w:rPr>
                <w:sz w:val="20"/>
                <w:szCs w:val="20"/>
              </w:rPr>
              <w:t xml:space="preserve">: </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sz="4" w:space="0" w:color="auto"/>
              <w:right w:val="single" w:sz="4" w:space="0" w:color="auto"/>
            </w:tcBorders>
            <w:shd w:val="clear" w:color="auto" w:fill="auto"/>
          </w:tcPr>
          <w:p w:rsidR="00AE4FC3" w:rsidRPr="00DE6979" w:rsidP="00AE4FC3" w14:paraId="7B232573" w14:textId="73A6457B">
            <w:pPr>
              <w:spacing w:after="0"/>
              <w:rPr>
                <w:sz w:val="20"/>
                <w:szCs w:val="20"/>
              </w:rPr>
            </w:pPr>
            <w:r w:rsidRPr="009C0029">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AA2D60" w:rsidP="00AE4FC3" w14:paraId="0E609B00" w14:textId="1E90A930">
            <w:pPr>
              <w:spacing w:after="0"/>
              <w:rPr>
                <w:sz w:val="20"/>
                <w:szCs w:val="20"/>
              </w:rPr>
            </w:pPr>
            <w:r>
              <w:rPr>
                <w:sz w:val="20"/>
                <w:szCs w:val="20"/>
              </w:rPr>
              <w:t>None</w:t>
            </w:r>
          </w:p>
        </w:tc>
      </w:tr>
      <w:tr w14:paraId="20408B34" w14:textId="7FE05C99" w:rsidTr="00D26368">
        <w:tblPrEx>
          <w:tblW w:w="9805" w:type="dxa"/>
          <w:tblLook w:val="04A0"/>
        </w:tblPrEx>
        <w:trPr>
          <w:cantSplit/>
          <w:trHeight w:val="1160"/>
        </w:trPr>
        <w:tc>
          <w:tcPr>
            <w:tcW w:w="2700" w:type="dxa"/>
            <w:tcBorders>
              <w:top w:val="nil"/>
              <w:left w:val="single" w:sz="4" w:space="0" w:color="auto"/>
              <w:bottom w:val="single" w:sz="4" w:space="0" w:color="auto"/>
              <w:right w:val="single" w:sz="4" w:space="0" w:color="auto"/>
            </w:tcBorders>
            <w:shd w:val="clear" w:color="auto" w:fill="auto"/>
          </w:tcPr>
          <w:p w:rsidR="00AE4FC3" w:rsidRPr="00DE6979" w:rsidP="00AE4FC3" w14:paraId="13B64710" w14:textId="6122ED0E">
            <w:pPr>
              <w:spacing w:after="0"/>
              <w:rPr>
                <w:sz w:val="20"/>
                <w:szCs w:val="20"/>
              </w:rPr>
            </w:pPr>
            <w:r w:rsidRPr="00DE6979">
              <w:rPr>
                <w:sz w:val="20"/>
                <w:szCs w:val="20"/>
              </w:rPr>
              <w:t xml:space="preserve">Table </w:t>
            </w:r>
            <w:r w:rsidR="001E7CC7">
              <w:rPr>
                <w:sz w:val="20"/>
                <w:szCs w:val="20"/>
              </w:rPr>
              <w:t>31</w:t>
            </w:r>
            <w:r w:rsidR="004E72DE">
              <w:rPr>
                <w:sz w:val="20"/>
                <w:szCs w:val="20"/>
              </w:rPr>
              <w:t>X</w:t>
            </w:r>
            <w:r w:rsidR="001E7CC7">
              <w:rPr>
                <w:sz w:val="20"/>
                <w:szCs w:val="20"/>
              </w:rPr>
              <w:t>:</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sz="4" w:space="0" w:color="auto"/>
              <w:right w:val="single" w:sz="4" w:space="0" w:color="auto"/>
            </w:tcBorders>
            <w:shd w:val="clear" w:color="auto" w:fill="auto"/>
          </w:tcPr>
          <w:p w:rsidR="00AE4FC3" w:rsidRPr="00DE6979" w:rsidP="00AE4FC3" w14:paraId="52D0EDBA" w14:textId="13ED1A04">
            <w:pPr>
              <w:spacing w:after="0"/>
              <w:rPr>
                <w:sz w:val="20"/>
                <w:szCs w:val="20"/>
              </w:rPr>
            </w:pPr>
            <w:r w:rsidRPr="00CC2BFB">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336813" w:rsidP="00AE4FC3" w14:paraId="343CEC43" w14:textId="0A0BBC76">
            <w:pPr>
              <w:spacing w:after="0"/>
              <w:rPr>
                <w:iCs/>
                <w:sz w:val="20"/>
                <w:szCs w:val="20"/>
              </w:rPr>
            </w:pPr>
            <w:r>
              <w:rPr>
                <w:rFonts w:eastAsia="Calibri"/>
                <w:sz w:val="20"/>
                <w:szCs w:val="20"/>
              </w:rPr>
              <w:t>None</w:t>
            </w:r>
          </w:p>
        </w:tc>
      </w:tr>
      <w:tr w14:paraId="225E06F0" w14:textId="30FB1725" w:rsidTr="00D26368">
        <w:tblPrEx>
          <w:tblW w:w="9805" w:type="dxa"/>
          <w:tblLook w:val="04A0"/>
        </w:tblPrEx>
        <w:trPr>
          <w:cantSplit/>
          <w:trHeight w:val="1160"/>
        </w:trPr>
        <w:tc>
          <w:tcPr>
            <w:tcW w:w="2700" w:type="dxa"/>
            <w:tcBorders>
              <w:top w:val="nil"/>
              <w:left w:val="single" w:sz="4" w:space="0" w:color="auto"/>
              <w:bottom w:val="single" w:sz="4" w:space="0" w:color="auto"/>
              <w:right w:val="single" w:sz="4" w:space="0" w:color="auto"/>
            </w:tcBorders>
            <w:shd w:val="clear" w:color="auto" w:fill="auto"/>
            <w:hideMark/>
          </w:tcPr>
          <w:p w:rsidR="00AE4FC3" w:rsidRPr="00DE6979" w:rsidP="00AE4FC3" w14:paraId="6728FA98" w14:textId="47818559">
            <w:pPr>
              <w:spacing w:after="0"/>
              <w:rPr>
                <w:sz w:val="20"/>
                <w:szCs w:val="20"/>
              </w:rPr>
            </w:pPr>
            <w:r w:rsidRPr="00DE6979">
              <w:rPr>
                <w:sz w:val="20"/>
                <w:szCs w:val="20"/>
              </w:rPr>
              <w:t xml:space="preserve">Table </w:t>
            </w:r>
            <w:r w:rsidR="001E7CC7">
              <w:rPr>
                <w:sz w:val="20"/>
                <w:szCs w:val="20"/>
              </w:rPr>
              <w:t>31</w:t>
            </w:r>
            <w:r w:rsidR="004E72DE">
              <w:rPr>
                <w:sz w:val="20"/>
                <w:szCs w:val="20"/>
              </w:rPr>
              <w:t>Y</w:t>
            </w:r>
            <w:r>
              <w:rPr>
                <w:sz w:val="20"/>
                <w:szCs w:val="20"/>
              </w:rPr>
              <w:t>:</w:t>
            </w:r>
            <w:r w:rsidRPr="00DE6979">
              <w:rPr>
                <w:sz w:val="20"/>
                <w:szCs w:val="20"/>
              </w:rPr>
              <w:t xml:space="preserve"> Voluntary Participants to Elect to Opt Out of Performance Data Display on Physician Compare</w:t>
            </w:r>
          </w:p>
        </w:tc>
        <w:tc>
          <w:tcPr>
            <w:tcW w:w="2875" w:type="dxa"/>
            <w:tcBorders>
              <w:top w:val="nil"/>
              <w:left w:val="nil"/>
              <w:bottom w:val="single" w:sz="4" w:space="0" w:color="auto"/>
              <w:right w:val="single" w:sz="4" w:space="0" w:color="auto"/>
            </w:tcBorders>
            <w:shd w:val="clear" w:color="auto" w:fill="auto"/>
          </w:tcPr>
          <w:p w:rsidR="00AE4FC3" w:rsidRPr="0095356F" w:rsidP="00AE4FC3" w14:paraId="2A22759B" w14:textId="4EE58F8F">
            <w:pPr>
              <w:spacing w:after="0"/>
              <w:rPr>
                <w:i/>
                <w:sz w:val="20"/>
                <w:szCs w:val="20"/>
              </w:rPr>
            </w:pPr>
            <w:r w:rsidRPr="00A06D61">
              <w:rPr>
                <w:rFonts w:eastAsia="Calibri"/>
                <w:sz w:val="20"/>
                <w:szCs w:val="20"/>
              </w:rPr>
              <w:t>None</w:t>
            </w:r>
          </w:p>
        </w:tc>
        <w:tc>
          <w:tcPr>
            <w:tcW w:w="4230" w:type="dxa"/>
            <w:tcBorders>
              <w:top w:val="nil"/>
              <w:left w:val="nil"/>
              <w:bottom w:val="single" w:sz="4" w:space="0" w:color="auto"/>
              <w:right w:val="single" w:sz="4" w:space="0" w:color="auto"/>
            </w:tcBorders>
            <w:shd w:val="clear" w:color="auto" w:fill="auto"/>
          </w:tcPr>
          <w:p w:rsidR="00AE4FC3" w:rsidRPr="00336813" w:rsidP="00AE4FC3" w14:paraId="070693BA" w14:textId="33C8F4A1">
            <w:pPr>
              <w:spacing w:after="0"/>
              <w:rPr>
                <w:iCs/>
                <w:sz w:val="20"/>
                <w:szCs w:val="20"/>
              </w:rPr>
            </w:pPr>
            <w:r>
              <w:rPr>
                <w:rFonts w:eastAsia="Calibri"/>
                <w:sz w:val="20"/>
                <w:szCs w:val="20"/>
              </w:rPr>
              <w:t>None</w:t>
            </w:r>
          </w:p>
        </w:tc>
      </w:tr>
    </w:tbl>
    <w:p w:rsidR="000F1CBE" w:rsidP="009D582F" w14:paraId="3E085A11" w14:textId="19DE5E2E">
      <w:pPr>
        <w:keepNext/>
        <w:keepLines/>
        <w:spacing w:before="200"/>
        <w:rPr>
          <w:rFonts w:eastAsiaTheme="majorEastAsia" w:cstheme="majorBidi"/>
          <w:snapToGrid w:val="0"/>
          <w:szCs w:val="26"/>
        </w:rPr>
      </w:pPr>
      <w:r>
        <w:rPr>
          <w:rFonts w:eastAsiaTheme="majorEastAsia" w:cstheme="majorBidi"/>
          <w:snapToGrid w:val="0"/>
          <w:szCs w:val="26"/>
        </w:rPr>
        <w:t>Table 3</w:t>
      </w:r>
      <w:r w:rsidR="004305BC">
        <w:rPr>
          <w:rFonts w:eastAsiaTheme="majorEastAsia" w:cstheme="majorBidi"/>
          <w:snapToGrid w:val="0"/>
          <w:szCs w:val="26"/>
        </w:rPr>
        <w:t>3</w:t>
      </w:r>
      <w:r>
        <w:rPr>
          <w:rFonts w:eastAsiaTheme="majorEastAsia" w:cstheme="majorBidi"/>
          <w:snapToGrid w:val="0"/>
          <w:szCs w:val="26"/>
        </w:rPr>
        <w:t xml:space="preserve"> below provides a snapshot of the estimated burden described above in Table 2</w:t>
      </w:r>
      <w:r w:rsidR="004305BC">
        <w:rPr>
          <w:rFonts w:eastAsiaTheme="majorEastAsia" w:cstheme="majorBidi"/>
          <w:snapToGrid w:val="0"/>
          <w:szCs w:val="26"/>
        </w:rPr>
        <w:t>9</w:t>
      </w:r>
      <w:r>
        <w:rPr>
          <w:rFonts w:eastAsiaTheme="majorEastAsia" w:cstheme="majorBidi"/>
          <w:snapToGrid w:val="0"/>
          <w:szCs w:val="26"/>
        </w:rPr>
        <w:t>. Additionally, we have included the estimated t</w:t>
      </w:r>
      <w:r w:rsidRPr="00570A19">
        <w:rPr>
          <w:rFonts w:eastAsiaTheme="majorEastAsia" w:cstheme="majorBidi"/>
          <w:snapToGrid w:val="0"/>
          <w:szCs w:val="26"/>
        </w:rPr>
        <w:t>otal number of unique respondents</w:t>
      </w:r>
      <w:r>
        <w:rPr>
          <w:rFonts w:eastAsiaTheme="majorEastAsia" w:cstheme="majorBidi"/>
          <w:snapToGrid w:val="0"/>
          <w:szCs w:val="26"/>
        </w:rPr>
        <w:t xml:space="preserve"> that will submit data for the</w:t>
      </w:r>
      <w:r w:rsidRPr="00570A19">
        <w:rPr>
          <w:rFonts w:eastAsiaTheme="majorEastAsia" w:cstheme="majorBidi"/>
          <w:snapToGrid w:val="0"/>
          <w:szCs w:val="26"/>
        </w:rPr>
        <w:t xml:space="preserve"> quality, Promoting Interoperability, and improvement activity performance categories</w:t>
      </w:r>
      <w:r>
        <w:rPr>
          <w:rFonts w:eastAsiaTheme="majorEastAsia" w:cstheme="majorBidi"/>
          <w:snapToGrid w:val="0"/>
          <w:szCs w:val="26"/>
        </w:rPr>
        <w:t xml:space="preserve"> in the CY 202</w:t>
      </w:r>
      <w:r w:rsidR="004305BC">
        <w:rPr>
          <w:rFonts w:eastAsiaTheme="majorEastAsia" w:cstheme="majorBidi"/>
          <w:snapToGrid w:val="0"/>
          <w:szCs w:val="26"/>
        </w:rPr>
        <w:t>4</w:t>
      </w:r>
      <w:r>
        <w:rPr>
          <w:rFonts w:eastAsiaTheme="majorEastAsia" w:cstheme="majorBidi"/>
          <w:snapToGrid w:val="0"/>
          <w:szCs w:val="26"/>
        </w:rPr>
        <w:t xml:space="preserve"> performance period/202</w:t>
      </w:r>
      <w:r w:rsidR="004305BC">
        <w:rPr>
          <w:rFonts w:eastAsiaTheme="majorEastAsia" w:cstheme="majorBidi"/>
          <w:snapToGrid w:val="0"/>
          <w:szCs w:val="26"/>
        </w:rPr>
        <w:t>6</w:t>
      </w:r>
      <w:r>
        <w:rPr>
          <w:rFonts w:eastAsiaTheme="majorEastAsia" w:cstheme="majorBidi"/>
          <w:snapToGrid w:val="0"/>
          <w:szCs w:val="26"/>
        </w:rPr>
        <w:t xml:space="preserve"> MIPS payment year. </w:t>
      </w:r>
      <w:r w:rsidRPr="00570A19">
        <w:rPr>
          <w:rFonts w:eastAsiaTheme="majorEastAsia" w:cstheme="majorBidi"/>
          <w:snapToGrid w:val="0"/>
          <w:szCs w:val="26"/>
        </w:rPr>
        <w:t>With the exception of</w:t>
      </w:r>
      <w:r w:rsidRPr="00570A19">
        <w:rPr>
          <w:rFonts w:eastAsiaTheme="majorEastAsia" w:cstheme="majorBidi"/>
          <w:snapToGrid w:val="0"/>
          <w:szCs w:val="26"/>
        </w:rPr>
        <w:t xml:space="preserve"> extreme and uncontrollable </w:t>
      </w:r>
      <w:r>
        <w:rPr>
          <w:rFonts w:eastAsiaTheme="majorEastAsia" w:cstheme="majorBidi"/>
          <w:snapToGrid w:val="0"/>
          <w:szCs w:val="26"/>
        </w:rPr>
        <w:t xml:space="preserve">circumstances </w:t>
      </w:r>
      <w:r w:rsidRPr="00570A19">
        <w:rPr>
          <w:rFonts w:eastAsiaTheme="majorEastAsia" w:cstheme="majorBidi"/>
          <w:snapToGrid w:val="0"/>
          <w:szCs w:val="26"/>
        </w:rPr>
        <w:t>exception applications, we assume remaining number of applications for reweighting are included in this total. We also assume that all voluntary participants that opt out of Physician Compare are included in this total.</w:t>
      </w:r>
      <w:r>
        <w:rPr>
          <w:rFonts w:eastAsiaTheme="majorEastAsia" w:cstheme="majorBidi"/>
          <w:snapToGrid w:val="0"/>
          <w:szCs w:val="26"/>
        </w:rPr>
        <w:t xml:space="preserve"> </w:t>
      </w:r>
      <w:r w:rsidRPr="00BF6A1B">
        <w:rPr>
          <w:rFonts w:eastAsiaTheme="majorEastAsia" w:cstheme="majorBidi"/>
          <w:snapToGrid w:val="0"/>
          <w:szCs w:val="26"/>
        </w:rPr>
        <w:t>With respect to the PRA, the</w:t>
      </w:r>
      <w:r w:rsidR="008914A9">
        <w:rPr>
          <w:rFonts w:eastAsiaTheme="majorEastAsia" w:cstheme="majorBidi"/>
          <w:snapToGrid w:val="0"/>
          <w:szCs w:val="26"/>
        </w:rPr>
        <w:t xml:space="preserve"> estimated burden in the</w:t>
      </w:r>
      <w:r w:rsidRPr="00BF6A1B">
        <w:rPr>
          <w:rFonts w:eastAsiaTheme="majorEastAsia" w:cstheme="majorBidi"/>
          <w:snapToGrid w:val="0"/>
          <w:szCs w:val="26"/>
        </w:rPr>
        <w:t xml:space="preserve"> CY 202</w:t>
      </w:r>
      <w:r w:rsidR="004305BC">
        <w:rPr>
          <w:rFonts w:eastAsiaTheme="majorEastAsia" w:cstheme="majorBidi"/>
          <w:snapToGrid w:val="0"/>
          <w:szCs w:val="26"/>
        </w:rPr>
        <w:t>4</w:t>
      </w:r>
      <w:r w:rsidRPr="00BF6A1B">
        <w:rPr>
          <w:rFonts w:eastAsiaTheme="majorEastAsia" w:cstheme="majorBidi"/>
          <w:snapToGrid w:val="0"/>
          <w:szCs w:val="26"/>
        </w:rPr>
        <w:t xml:space="preserve"> PFS </w:t>
      </w:r>
      <w:r w:rsidR="008B5552">
        <w:rPr>
          <w:rFonts w:eastAsiaTheme="majorEastAsia" w:cstheme="majorBidi"/>
          <w:snapToGrid w:val="0"/>
          <w:szCs w:val="26"/>
        </w:rPr>
        <w:t>final</w:t>
      </w:r>
      <w:r w:rsidRPr="00BF6A1B">
        <w:rPr>
          <w:rFonts w:eastAsiaTheme="majorEastAsia" w:cstheme="majorBidi"/>
          <w:snapToGrid w:val="0"/>
          <w:szCs w:val="26"/>
        </w:rPr>
        <w:t xml:space="preserve"> rule does not impose any non-labor costs.</w:t>
      </w:r>
    </w:p>
    <w:p w:rsidR="00662AFE" w:rsidRPr="00A40E1C" w:rsidP="3BFE85BF" w14:paraId="6D6C34EE" w14:textId="13620B41">
      <w:pPr>
        <w:keepNext/>
        <w:keepLines/>
        <w:jc w:val="center"/>
        <w:rPr>
          <w:b/>
          <w:bCs/>
        </w:rPr>
      </w:pPr>
      <w:r w:rsidRPr="3BFE85BF">
        <w:rPr>
          <w:b/>
          <w:bCs/>
        </w:rPr>
        <w:t xml:space="preserve">Table </w:t>
      </w:r>
      <w:r w:rsidRPr="3BFE85BF" w:rsidR="00884F10">
        <w:rPr>
          <w:b/>
          <w:bCs/>
        </w:rPr>
        <w:t>3</w:t>
      </w:r>
      <w:r w:rsidRPr="3BFE85BF" w:rsidR="004E72DE">
        <w:rPr>
          <w:b/>
          <w:bCs/>
        </w:rPr>
        <w:t>3</w:t>
      </w:r>
      <w:r w:rsidRPr="3BFE85BF">
        <w:rPr>
          <w:b/>
          <w:bCs/>
        </w:rPr>
        <w:t xml:space="preserve">: </w:t>
      </w:r>
      <w:r w:rsidRPr="3BFE85BF" w:rsidR="00C4386B">
        <w:rPr>
          <w:b/>
          <w:bCs/>
        </w:rPr>
        <w:t xml:space="preserve">Quality Payment Program </w:t>
      </w:r>
      <w:r w:rsidRPr="3BFE85BF" w:rsidR="00BE3A64">
        <w:rPr>
          <w:b/>
          <w:bCs/>
        </w:rPr>
        <w:t>Annual Requirements and Burden</w:t>
      </w:r>
      <w:r w:rsidRPr="3BFE85BF" w:rsidR="00870459">
        <w:rPr>
          <w:b/>
          <w:bCs/>
        </w:rPr>
        <w:t xml:space="preserve"> </w:t>
      </w:r>
      <w:r w:rsidRPr="3BFE85BF" w:rsidR="00C4386B">
        <w:rPr>
          <w:b/>
          <w:bCs/>
        </w:rPr>
        <w:t>Regulation Section(s) Under Title 42 of the CFR</w:t>
      </w:r>
    </w:p>
    <w:tbl>
      <w:tblPr>
        <w:tblStyle w:val="TableGrid"/>
        <w:tblW w:w="0" w:type="auto"/>
        <w:tblBorders>
          <w:insideH w:val="single" w:sz="6" w:space="0" w:color="auto"/>
          <w:insideV w:val="single" w:sz="6" w:space="0" w:color="auto"/>
        </w:tblBorders>
        <w:tblLook w:val="04A0"/>
      </w:tblPr>
      <w:tblGrid>
        <w:gridCol w:w="4675"/>
        <w:gridCol w:w="4675"/>
      </w:tblGrid>
      <w:tr w14:paraId="0F38E8F4" w14:textId="77777777" w:rsidTr="00AF3F09">
        <w:tblPrEx>
          <w:tblW w:w="0" w:type="auto"/>
          <w:tblBorders>
            <w:insideH w:val="single" w:sz="6" w:space="0" w:color="auto"/>
            <w:insideV w:val="single" w:sz="6" w:space="0" w:color="auto"/>
          </w:tblBorders>
          <w:tblLook w:val="04A0"/>
        </w:tblPrEx>
        <w:trPr>
          <w:cantSplit/>
          <w:tblHeader/>
        </w:trPr>
        <w:tc>
          <w:tcPr>
            <w:tcW w:w="4675" w:type="dxa"/>
          </w:tcPr>
          <w:p w:rsidR="00EC4678" w:rsidRPr="006F2CBD" w:rsidP="00B75605" w14:paraId="7D3E3BAE" w14:textId="3B2554C3">
            <w:pPr>
              <w:keepNext/>
              <w:keepLines/>
              <w:spacing w:after="160"/>
              <w:rPr>
                <w:b/>
                <w:bCs/>
                <w:sz w:val="20"/>
                <w:szCs w:val="20"/>
              </w:rPr>
            </w:pPr>
            <w:r w:rsidRPr="006F2CBD">
              <w:rPr>
                <w:b/>
                <w:bCs/>
                <w:sz w:val="20"/>
                <w:szCs w:val="20"/>
              </w:rPr>
              <w:t>Burden Category</w:t>
            </w:r>
          </w:p>
        </w:tc>
        <w:tc>
          <w:tcPr>
            <w:tcW w:w="4675" w:type="dxa"/>
          </w:tcPr>
          <w:p w:rsidR="00EC4678" w:rsidRPr="006F2CBD" w:rsidP="00B75605" w14:paraId="578472E7" w14:textId="77777777">
            <w:pPr>
              <w:keepNext/>
              <w:keepLines/>
              <w:spacing w:after="160"/>
              <w:jc w:val="center"/>
              <w:rPr>
                <w:b/>
                <w:bCs/>
                <w:sz w:val="20"/>
                <w:szCs w:val="20"/>
              </w:rPr>
            </w:pPr>
            <w:r w:rsidRPr="006F2CBD">
              <w:rPr>
                <w:b/>
                <w:bCs/>
                <w:sz w:val="20"/>
                <w:szCs w:val="20"/>
              </w:rPr>
              <w:t>Burden Estimate</w:t>
            </w:r>
          </w:p>
        </w:tc>
      </w:tr>
      <w:tr w14:paraId="7A2D47DA" w14:textId="77777777" w:rsidTr="4BF14CA9">
        <w:tblPrEx>
          <w:tblW w:w="0" w:type="auto"/>
          <w:tblLook w:val="04A0"/>
        </w:tblPrEx>
        <w:tc>
          <w:tcPr>
            <w:tcW w:w="4675" w:type="dxa"/>
          </w:tcPr>
          <w:p w:rsidR="00EC4678" w:rsidRPr="006F2CBD" w:rsidP="001938CA" w14:paraId="154D94BC" w14:textId="77777777">
            <w:pPr>
              <w:keepNext/>
              <w:keepLines/>
              <w:spacing w:after="160"/>
              <w:rPr>
                <w:sz w:val="20"/>
                <w:szCs w:val="20"/>
              </w:rPr>
            </w:pPr>
            <w:r w:rsidRPr="006F2CBD">
              <w:rPr>
                <w:sz w:val="20"/>
                <w:szCs w:val="20"/>
              </w:rPr>
              <w:t>No. of Unique Respondents</w:t>
            </w:r>
          </w:p>
        </w:tc>
        <w:tc>
          <w:tcPr>
            <w:tcW w:w="4675" w:type="dxa"/>
          </w:tcPr>
          <w:p w:rsidR="00EC4678" w:rsidRPr="006F2CBD" w:rsidP="001938CA" w14:paraId="5C4FBDB2" w14:textId="76588DC3">
            <w:pPr>
              <w:keepNext/>
              <w:keepLines/>
              <w:spacing w:after="160"/>
              <w:jc w:val="center"/>
              <w:rPr>
                <w:sz w:val="20"/>
                <w:szCs w:val="20"/>
              </w:rPr>
            </w:pPr>
            <w:r>
              <w:rPr>
                <w:sz w:val="20"/>
                <w:szCs w:val="20"/>
              </w:rPr>
              <w:t>92,604</w:t>
            </w:r>
          </w:p>
        </w:tc>
      </w:tr>
      <w:tr w14:paraId="6963A2E3" w14:textId="77777777" w:rsidTr="4BF14CA9">
        <w:tblPrEx>
          <w:tblW w:w="0" w:type="auto"/>
          <w:tblLook w:val="04A0"/>
        </w:tblPrEx>
        <w:tc>
          <w:tcPr>
            <w:tcW w:w="4675" w:type="dxa"/>
          </w:tcPr>
          <w:p w:rsidR="00EC4678" w:rsidRPr="006F2CBD" w:rsidP="001938CA" w14:paraId="362A6F81" w14:textId="77777777">
            <w:pPr>
              <w:keepNext/>
              <w:keepLines/>
              <w:spacing w:after="160"/>
              <w:rPr>
                <w:sz w:val="20"/>
                <w:szCs w:val="20"/>
              </w:rPr>
            </w:pPr>
            <w:r w:rsidRPr="006F2CBD">
              <w:rPr>
                <w:sz w:val="20"/>
                <w:szCs w:val="20"/>
              </w:rPr>
              <w:t>Total # of Responses</w:t>
            </w:r>
          </w:p>
        </w:tc>
        <w:tc>
          <w:tcPr>
            <w:tcW w:w="4675" w:type="dxa"/>
          </w:tcPr>
          <w:p w:rsidR="00EC4678" w:rsidRPr="006F2CBD" w:rsidP="001938CA" w14:paraId="150484B4" w14:textId="3E436C80">
            <w:pPr>
              <w:keepNext/>
              <w:keepLines/>
              <w:spacing w:after="160"/>
              <w:jc w:val="center"/>
              <w:rPr>
                <w:sz w:val="20"/>
                <w:szCs w:val="20"/>
              </w:rPr>
            </w:pPr>
            <w:r w:rsidRPr="006F2CBD">
              <w:rPr>
                <w:sz w:val="20"/>
                <w:szCs w:val="20"/>
              </w:rPr>
              <w:t>1</w:t>
            </w:r>
            <w:r w:rsidR="00512ABB">
              <w:rPr>
                <w:sz w:val="20"/>
                <w:szCs w:val="20"/>
              </w:rPr>
              <w:t>91,225</w:t>
            </w:r>
          </w:p>
        </w:tc>
      </w:tr>
      <w:tr w14:paraId="12D3456A" w14:textId="77777777" w:rsidTr="4BF14CA9">
        <w:tblPrEx>
          <w:tblW w:w="0" w:type="auto"/>
          <w:tblLook w:val="04A0"/>
        </w:tblPrEx>
        <w:tc>
          <w:tcPr>
            <w:tcW w:w="4675" w:type="dxa"/>
          </w:tcPr>
          <w:p w:rsidR="00EC4678" w:rsidRPr="006F2CBD" w:rsidP="006F2CBD" w14:paraId="2E6CD2D4" w14:textId="77777777">
            <w:pPr>
              <w:spacing w:after="160"/>
              <w:rPr>
                <w:sz w:val="20"/>
                <w:szCs w:val="20"/>
              </w:rPr>
            </w:pPr>
            <w:r w:rsidRPr="006F2CBD">
              <w:rPr>
                <w:sz w:val="20"/>
                <w:szCs w:val="20"/>
              </w:rPr>
              <w:t>Time per Response (Hours)</w:t>
            </w:r>
          </w:p>
        </w:tc>
        <w:tc>
          <w:tcPr>
            <w:tcW w:w="4675" w:type="dxa"/>
          </w:tcPr>
          <w:p w:rsidR="00EC4678" w:rsidRPr="006F2CBD" w:rsidP="00EC4678" w14:paraId="1FE0EC3B" w14:textId="77777777">
            <w:pPr>
              <w:spacing w:after="160"/>
              <w:jc w:val="center"/>
              <w:rPr>
                <w:sz w:val="20"/>
                <w:szCs w:val="20"/>
              </w:rPr>
            </w:pPr>
            <w:r w:rsidRPr="006F2CBD">
              <w:rPr>
                <w:sz w:val="20"/>
                <w:szCs w:val="20"/>
              </w:rPr>
              <w:t>Varies</w:t>
            </w:r>
          </w:p>
        </w:tc>
      </w:tr>
      <w:tr w14:paraId="5FC86218" w14:textId="77777777" w:rsidTr="4BF14CA9">
        <w:tblPrEx>
          <w:tblW w:w="0" w:type="auto"/>
          <w:tblLook w:val="04A0"/>
        </w:tblPrEx>
        <w:tc>
          <w:tcPr>
            <w:tcW w:w="4675" w:type="dxa"/>
          </w:tcPr>
          <w:p w:rsidR="00EC4678" w:rsidRPr="006F2CBD" w:rsidP="006F2CBD" w14:paraId="4E1AACE7" w14:textId="77777777">
            <w:pPr>
              <w:spacing w:after="160"/>
              <w:rPr>
                <w:sz w:val="20"/>
                <w:szCs w:val="20"/>
              </w:rPr>
            </w:pPr>
            <w:r w:rsidRPr="006F2CBD">
              <w:rPr>
                <w:sz w:val="20"/>
                <w:szCs w:val="20"/>
              </w:rPr>
              <w:t>Total Annual Time (Hours)</w:t>
            </w:r>
          </w:p>
        </w:tc>
        <w:tc>
          <w:tcPr>
            <w:tcW w:w="4675" w:type="dxa"/>
          </w:tcPr>
          <w:p w:rsidR="00EC4678" w:rsidRPr="006F2CBD" w:rsidP="00EC4678" w14:paraId="7067F900" w14:textId="744812E5">
            <w:pPr>
              <w:spacing w:after="160"/>
              <w:jc w:val="center"/>
              <w:rPr>
                <w:sz w:val="20"/>
                <w:szCs w:val="20"/>
              </w:rPr>
            </w:pPr>
            <w:r w:rsidRPr="006F2CBD">
              <w:rPr>
                <w:sz w:val="20"/>
                <w:szCs w:val="20"/>
              </w:rPr>
              <w:t>7</w:t>
            </w:r>
            <w:r w:rsidR="00790442">
              <w:rPr>
                <w:sz w:val="20"/>
                <w:szCs w:val="20"/>
              </w:rPr>
              <w:t>28,142</w:t>
            </w:r>
          </w:p>
        </w:tc>
      </w:tr>
      <w:tr w14:paraId="118041EA" w14:textId="77777777" w:rsidTr="4BF14CA9">
        <w:tblPrEx>
          <w:tblW w:w="0" w:type="auto"/>
          <w:tblLook w:val="04A0"/>
        </w:tblPrEx>
        <w:tc>
          <w:tcPr>
            <w:tcW w:w="4675" w:type="dxa"/>
          </w:tcPr>
          <w:p w:rsidR="00EC4678" w:rsidRPr="006F2CBD" w:rsidP="006F2CBD" w14:paraId="25681E8B" w14:textId="77777777">
            <w:pPr>
              <w:spacing w:after="160"/>
              <w:rPr>
                <w:sz w:val="20"/>
                <w:szCs w:val="20"/>
              </w:rPr>
            </w:pPr>
            <w:r w:rsidRPr="006F2CBD">
              <w:rPr>
                <w:sz w:val="20"/>
                <w:szCs w:val="20"/>
              </w:rPr>
              <w:t>Labor Cost ($/hr)</w:t>
            </w:r>
          </w:p>
        </w:tc>
        <w:tc>
          <w:tcPr>
            <w:tcW w:w="4675" w:type="dxa"/>
          </w:tcPr>
          <w:p w:rsidR="00EC4678" w:rsidRPr="006F2CBD" w:rsidP="00EC4678" w14:paraId="26687C96" w14:textId="77777777">
            <w:pPr>
              <w:spacing w:after="160"/>
              <w:jc w:val="center"/>
              <w:rPr>
                <w:sz w:val="20"/>
                <w:szCs w:val="20"/>
              </w:rPr>
            </w:pPr>
            <w:r w:rsidRPr="006F2CBD">
              <w:rPr>
                <w:sz w:val="20"/>
                <w:szCs w:val="20"/>
              </w:rPr>
              <w:t>Varies</w:t>
            </w:r>
          </w:p>
        </w:tc>
      </w:tr>
      <w:tr w14:paraId="1FF952F1" w14:textId="77777777" w:rsidTr="4BF14CA9">
        <w:tblPrEx>
          <w:tblW w:w="0" w:type="auto"/>
          <w:tblLook w:val="04A0"/>
        </w:tblPrEx>
        <w:trPr>
          <w:trHeight w:val="53"/>
        </w:trPr>
        <w:tc>
          <w:tcPr>
            <w:tcW w:w="4675" w:type="dxa"/>
          </w:tcPr>
          <w:p w:rsidR="00EC4678" w:rsidRPr="006F2CBD" w:rsidP="006F2CBD" w14:paraId="006D6310" w14:textId="77777777">
            <w:pPr>
              <w:spacing w:after="160"/>
              <w:rPr>
                <w:sz w:val="20"/>
                <w:szCs w:val="20"/>
              </w:rPr>
            </w:pPr>
            <w:r w:rsidRPr="006F2CBD">
              <w:rPr>
                <w:sz w:val="20"/>
                <w:szCs w:val="20"/>
              </w:rPr>
              <w:t>Total Cost ($)</w:t>
            </w:r>
          </w:p>
        </w:tc>
        <w:tc>
          <w:tcPr>
            <w:tcW w:w="4675" w:type="dxa"/>
          </w:tcPr>
          <w:p w:rsidR="00EC4678" w:rsidRPr="006F2CBD" w:rsidP="00EC4678" w14:paraId="7F7E0100" w14:textId="7C41F789">
            <w:pPr>
              <w:spacing w:after="160"/>
              <w:jc w:val="center"/>
              <w:rPr>
                <w:sz w:val="20"/>
                <w:szCs w:val="20"/>
              </w:rPr>
            </w:pPr>
            <w:r w:rsidRPr="4BF14CA9">
              <w:rPr>
                <w:sz w:val="20"/>
                <w:szCs w:val="20"/>
              </w:rPr>
              <w:t>8</w:t>
            </w:r>
            <w:r w:rsidRPr="4BF14CA9" w:rsidR="00F00C27">
              <w:rPr>
                <w:sz w:val="20"/>
                <w:szCs w:val="20"/>
              </w:rPr>
              <w:t>2,202,558</w:t>
            </w:r>
          </w:p>
        </w:tc>
      </w:tr>
    </w:tbl>
    <w:p w:rsidR="00E14493" w:rsidRPr="00223079" w:rsidP="0037692C" w14:paraId="09F5DA86" w14:textId="5A34F349">
      <w:pPr>
        <w:jc w:val="center"/>
      </w:pPr>
    </w:p>
    <w:p w:rsidR="002E06AF" w:rsidRPr="00136D86" w:rsidP="0011028A" w14:paraId="6FDC9D40" w14:textId="1180BE45">
      <w:pPr>
        <w:pStyle w:val="Heading2"/>
      </w:pPr>
      <w:r w:rsidRPr="00136D86">
        <w:t>Publication and Tabulation Dates</w:t>
      </w:r>
    </w:p>
    <w:p w:rsidR="00602344" w:rsidP="00E12B53" w14:paraId="07921F62" w14:textId="008D1F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order t</w:t>
      </w:r>
      <w:r w:rsidRPr="00602344">
        <w:t>o</w:t>
      </w:r>
      <w:r w:rsidRPr="00602344">
        <w:t xml:space="preserve"> provide expert feedback to clinicians and </w:t>
      </w:r>
      <w:r w:rsidRPr="00602344" w:rsidR="00CE754A">
        <w:t>third</w:t>
      </w:r>
      <w:r w:rsidR="00BB7E63">
        <w:t>-</w:t>
      </w:r>
      <w:r w:rsidRPr="00602344" w:rsidR="00CE754A">
        <w:t>party</w:t>
      </w:r>
      <w:r w:rsidRPr="00602344">
        <w:t xml:space="preserve">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t xml:space="preserve">.  These reports </w:t>
      </w:r>
      <w:r w:rsidR="00390730">
        <w:t>were made</w:t>
      </w:r>
      <w:r w:rsidRPr="00602344">
        <w:t xml:space="preserve"> available starting in July 2018 at qpp.cms.gov. We </w:t>
      </w:r>
      <w:r w:rsidR="00390730">
        <w:t>have also</w:t>
      </w:r>
      <w:r w:rsidRPr="00602344">
        <w:t xml:space="preserve"> </w:t>
      </w:r>
      <w:r w:rsidR="004E6E6D">
        <w:t>provided</w:t>
      </w:r>
      <w:r w:rsidRPr="00602344">
        <w:t xml:space="preserv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rsidR="003D2026" w:rsidP="00E12B53" w14:paraId="53C5E5DB" w14:textId="0CD17C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BC322D">
        <w:rPr>
          <w:rFonts w:eastAsia="Calibri"/>
        </w:rPr>
        <w:t xml:space="preserve">MIPS information </w:t>
      </w:r>
      <w:r w:rsidR="00064D6F">
        <w:rPr>
          <w:rFonts w:eastAsia="Calibri"/>
        </w:rPr>
        <w:t>is public</w:t>
      </w:r>
      <w:r w:rsidR="007E5083">
        <w:rPr>
          <w:rFonts w:eastAsia="Calibri"/>
        </w:rPr>
        <w:t xml:space="preserve">ly reported </w:t>
      </w:r>
      <w:r w:rsidRPr="00BC322D">
        <w:rPr>
          <w:rFonts w:eastAsia="Calibri"/>
        </w:rPr>
        <w:t>through the</w:t>
      </w:r>
      <w:r w:rsidRPr="000B4434">
        <w:rPr>
          <w:rFonts w:eastAsia="Calibri"/>
        </w:rPr>
        <w:t xml:space="preserve"> Compare</w:t>
      </w:r>
      <w:r w:rsidR="00B05DC1">
        <w:rPr>
          <w:rFonts w:eastAsia="Calibri"/>
        </w:rPr>
        <w:t xml:space="preserve"> Tools</w:t>
      </w:r>
      <w:r w:rsidRPr="00BC322D">
        <w:rPr>
          <w:rFonts w:eastAsia="Calibri"/>
        </w:rPr>
        <w:t xml:space="preserve"> website</w:t>
      </w:r>
      <w:r>
        <w:rPr>
          <w:rFonts w:eastAsia="Calibri"/>
        </w:rPr>
        <w:t xml:space="preserve"> </w:t>
      </w:r>
      <w:r w:rsidR="002259A9">
        <w:rPr>
          <w:rFonts w:eastAsia="Calibri"/>
        </w:rPr>
        <w:t>(</w:t>
      </w:r>
      <w:hyperlink r:id="rId9" w:history="1">
        <w:r w:rsidRPr="009B6BAB" w:rsidR="00C810E9">
          <w:rPr>
            <w:rStyle w:val="Hyperlink"/>
            <w:rFonts w:eastAsia="Calibri"/>
          </w:rPr>
          <w:t>https://www.medicare.gov/care-compare/</w:t>
        </w:r>
      </w:hyperlink>
      <w:r w:rsidR="002259A9">
        <w:rPr>
          <w:rFonts w:eastAsia="Calibri"/>
        </w:rPr>
        <w:t>)</w:t>
      </w:r>
      <w:r w:rsidR="00C810E9">
        <w:rPr>
          <w:rFonts w:eastAsia="Calibri"/>
        </w:rPr>
        <w:t xml:space="preserve"> </w:t>
      </w:r>
      <w:r w:rsidR="007E5083">
        <w:rPr>
          <w:rFonts w:eastAsia="Calibri"/>
        </w:rPr>
        <w:t>both</w:t>
      </w:r>
      <w:r w:rsidRPr="00661E59">
        <w:rPr>
          <w:rFonts w:eastAsia="Calibri"/>
        </w:rPr>
        <w:t xml:space="preserve"> on public profile pages </w:t>
      </w:r>
      <w:r w:rsidR="007E5083">
        <w:rPr>
          <w:rFonts w:eastAsia="Calibri"/>
        </w:rPr>
        <w:t>and</w:t>
      </w:r>
      <w:r w:rsidRPr="00661E59">
        <w:rPr>
          <w:rFonts w:eastAsia="Calibri"/>
        </w:rPr>
        <w:t xml:space="preserve"> via the Downloadable Database </w:t>
      </w:r>
      <w:r w:rsidR="000E7BB4">
        <w:rPr>
          <w:rFonts w:eastAsia="Calibri"/>
        </w:rPr>
        <w:t xml:space="preserve">as discussed at </w:t>
      </w:r>
      <w:hyperlink r:id="rId10" w:history="1">
        <w:r w:rsidRPr="002368E8" w:rsidR="000E7BB4">
          <w:rPr>
            <w:rStyle w:val="Hyperlink"/>
            <w:snapToGrid w:val="0"/>
            <w:lang w:val="en"/>
          </w:rPr>
          <w:t>https://www.cms.gov/medicare/quality-initiatives-patient-assessment-instruments/physician-compare-initiative/</w:t>
        </w:r>
      </w:hyperlink>
      <w:r w:rsidR="000E7BB4">
        <w:rPr>
          <w:rStyle w:val="Hyperlink"/>
          <w:snapToGrid w:val="0"/>
          <w:lang w:val="en"/>
        </w:rPr>
        <w:t>.</w:t>
      </w:r>
      <w:r w:rsidRPr="008101FB" w:rsidR="000E7BB4">
        <w:rPr>
          <w:rStyle w:val="Hyperlink"/>
          <w:snapToGrid w:val="0"/>
          <w:u w:val="none"/>
          <w:lang w:val="en"/>
        </w:rPr>
        <w:t xml:space="preserve">  </w:t>
      </w:r>
      <w:r w:rsidR="00485488">
        <w:rPr>
          <w:rFonts w:eastAsia="Calibri"/>
        </w:rPr>
        <w:t>2017, 2018</w:t>
      </w:r>
      <w:r w:rsidR="00F834F5">
        <w:rPr>
          <w:rFonts w:eastAsia="Calibri"/>
        </w:rPr>
        <w:t>, 2019</w:t>
      </w:r>
      <w:r w:rsidR="001F64F2">
        <w:rPr>
          <w:rFonts w:eastAsia="Calibri"/>
        </w:rPr>
        <w:t>, 2020 and 2021</w:t>
      </w:r>
      <w:r w:rsidR="009B7334">
        <w:rPr>
          <w:rFonts w:eastAsia="Calibri"/>
        </w:rPr>
        <w:t xml:space="preserve"> </w:t>
      </w:r>
      <w:r w:rsidR="002E0702">
        <w:rPr>
          <w:rFonts w:eastAsia="Calibri"/>
        </w:rPr>
        <w:t xml:space="preserve">Quality Payment Program performance information has been made available </w:t>
      </w:r>
      <w:r w:rsidR="00E21D5D">
        <w:rPr>
          <w:rFonts w:eastAsia="Calibri"/>
        </w:rPr>
        <w:t>for public review</w:t>
      </w:r>
      <w:r w:rsidR="00BB7F72">
        <w:rPr>
          <w:rFonts w:eastAsia="Calibri"/>
        </w:rPr>
        <w:t>.</w:t>
      </w:r>
    </w:p>
    <w:p w:rsidR="0078551D" w:rsidP="00E12B53" w14:paraId="154B23CF" w14:textId="188157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w:t>
      </w:r>
      <w:r w:rsidRPr="00214390" w:rsidR="00485488">
        <w:t>federally funded</w:t>
      </w:r>
      <w:r w:rsidRPr="00214390">
        <w:t xml:space="preserve"> health benefit programs, payment and claims processes, quality improvement outreach and reviews, and transparency projects.</w:t>
      </w:r>
    </w:p>
    <w:p w:rsidR="002E06AF" w:rsidRPr="00136D86" w:rsidP="0011028A" w14:paraId="74767B5A" w14:textId="53DDB143">
      <w:pPr>
        <w:pStyle w:val="Heading2"/>
      </w:pPr>
      <w:r w:rsidRPr="00136D86">
        <w:t>Expiration Date</w:t>
      </w:r>
    </w:p>
    <w:p w:rsidR="0078551D" w:rsidP="0023292D" w14:paraId="2703DFBE" w14:textId="3772C30C">
      <w:pPr>
        <w:keepNext/>
        <w:keepLines/>
        <w:jc w:val="both"/>
        <w:rPr>
          <w:szCs w:val="20"/>
        </w:rPr>
      </w:pPr>
      <w:r w:rsidRPr="0000329D">
        <w:rPr>
          <w:szCs w:val="20"/>
        </w:rPr>
        <w:t xml:space="preserve">The expiration date </w:t>
      </w:r>
      <w:r w:rsidR="001B46E4">
        <w:rPr>
          <w:szCs w:val="20"/>
        </w:rPr>
        <w:t xml:space="preserve">is </w:t>
      </w:r>
      <w:r w:rsidRPr="0000329D">
        <w:rPr>
          <w:szCs w:val="20"/>
        </w:rPr>
        <w:t xml:space="preserve">displayed on </w:t>
      </w:r>
      <w:r>
        <w:rPr>
          <w:szCs w:val="20"/>
        </w:rPr>
        <w:t xml:space="preserve">all </w:t>
      </w:r>
      <w:r w:rsidRPr="0000329D">
        <w:rPr>
          <w:szCs w:val="20"/>
        </w:rPr>
        <w:t>web-based data collection forms</w:t>
      </w:r>
      <w:r>
        <w:rPr>
          <w:szCs w:val="20"/>
        </w:rPr>
        <w:t>.</w:t>
      </w:r>
    </w:p>
    <w:p w:rsidR="002E06AF" w:rsidRPr="00136D86" w:rsidP="0011028A" w14:paraId="7FB4A24D" w14:textId="0F66DDA4">
      <w:pPr>
        <w:pStyle w:val="Heading2"/>
      </w:pPr>
      <w:r w:rsidRPr="00136D86">
        <w:t>Certification Statement</w:t>
      </w:r>
    </w:p>
    <w:p w:rsidR="00A64ED4" w:rsidRPr="00A95513" w:rsidP="00EB5476" w14:paraId="7E5277CC" w14:textId="159C04B5">
      <w:pPr>
        <w:jc w:val="both"/>
        <w:rPr>
          <w:b/>
          <w:u w:val="single"/>
        </w:rPr>
      </w:pPr>
      <w:r w:rsidRPr="0007426C">
        <w:rPr>
          <w:szCs w:val="20"/>
        </w:rPr>
        <w:t>There are no exceptions to the certification statement.</w:t>
      </w:r>
    </w:p>
    <w:sectPr w:rsidSect="00333EB4">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F24D56" w14:paraId="1CCAC9E7" w14:textId="0DDD4B1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3E8A" w:rsidP="007D4251" w14:paraId="7E558D5B" w14:textId="77777777">
      <w:r>
        <w:separator/>
      </w:r>
    </w:p>
  </w:footnote>
  <w:footnote w:type="continuationSeparator" w:id="1">
    <w:p w:rsidR="00973E8A" w:rsidP="007D4251" w14:paraId="75F87F8C" w14:textId="77777777">
      <w:r>
        <w:continuationSeparator/>
      </w:r>
    </w:p>
  </w:footnote>
  <w:footnote w:type="continuationNotice" w:id="2">
    <w:p w:rsidR="00973E8A" w14:paraId="58FDF82E" w14:textId="77777777"/>
  </w:footnote>
  <w:footnote w:id="3">
    <w:p w:rsidR="00F24D56" w:rsidRPr="00D15988" w:rsidP="00F01CD0" w14:paraId="223CA378" w14:textId="5EC7B36F">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Cost performance category measures do not require the collection of additional data because they are derived from the Medicare claims.</w:t>
      </w:r>
    </w:p>
  </w:footnote>
  <w:footnote w:id="4">
    <w:p w:rsidR="00F24D56" w:rsidRPr="00D15988" w:rsidP="00F049CC" w14:paraId="448D18FA" w14:textId="5D4FBF7F">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The use of CMS-approved survey vendors is not included in this PRA package. CMS </w:t>
      </w:r>
      <w:r>
        <w:rPr>
          <w:rFonts w:ascii="Times New Roman" w:hAnsi="Times New Roman" w:cs="Times New Roman"/>
          <w:sz w:val="20"/>
        </w:rPr>
        <w:t>will request</w:t>
      </w:r>
      <w:r w:rsidRPr="00D15988">
        <w:rPr>
          <w:rFonts w:ascii="Times New Roman" w:hAnsi="Times New Roman" w:cs="Times New Roman"/>
          <w:sz w:val="20"/>
        </w:rPr>
        <w:t xml:space="preserve"> approval for the collection of CAHPS for MIPS data via CMS-approved survey vendors in a separate PRA package (OMB Control Number 0938-1222).</w:t>
      </w:r>
    </w:p>
  </w:footnote>
  <w:footnote w:id="5">
    <w:p w:rsidR="00F24D56" w:rsidRPr="00D15988" w:rsidP="003022E0" w14:paraId="1DB45198" w14:textId="1B7F780B">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For further detail on MIPS exclusions, see Supporting Statement B and the Regulatory Impact Analysis Section of the CY 202</w:t>
      </w:r>
      <w:r>
        <w:rPr>
          <w:rFonts w:ascii="Times New Roman" w:hAnsi="Times New Roman" w:cs="Times New Roman"/>
          <w:sz w:val="20"/>
        </w:rPr>
        <w:t>4</w:t>
      </w:r>
      <w:r w:rsidRPr="00D15988">
        <w:rPr>
          <w:rFonts w:ascii="Times New Roman" w:hAnsi="Times New Roman" w:cs="Times New Roman"/>
          <w:sz w:val="20"/>
        </w:rPr>
        <w:t xml:space="preserve"> PFS </w:t>
      </w:r>
      <w:r w:rsidR="00964C04">
        <w:rPr>
          <w:rFonts w:ascii="Times New Roman" w:hAnsi="Times New Roman" w:cs="Times New Roman"/>
          <w:sz w:val="20"/>
        </w:rPr>
        <w:t>final</w:t>
      </w:r>
      <w:r w:rsidRPr="00D15988">
        <w:rPr>
          <w:rFonts w:ascii="Times New Roman" w:hAnsi="Times New Roman" w:cs="Times New Roman"/>
          <w:sz w:val="20"/>
        </w:rPr>
        <w:t xml:space="preserve"> rule.</w:t>
      </w:r>
    </w:p>
  </w:footnote>
  <w:footnote w:id="6">
    <w:p w:rsidR="00F24D56" w:rsidRPr="00D15988" w14:paraId="34022E9B" w14:textId="3EBD8436">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Lawrence P. Casalino et al, “US Physician Practices Spend More than $15.4 Billion Annually to Report Quality Measures,” Health Affairs, 35, no. 3 (2016): 401-406.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D2659"/>
    <w:multiLevelType w:val="hybridMultilevel"/>
    <w:tmpl w:val="A57E5680"/>
    <w:lvl w:ilvl="0">
      <w:start w:val="1"/>
      <w:numFmt w:val="lowerRoman"/>
      <w:pStyle w:val="Heading4"/>
      <w:lvlText w:val="%1."/>
      <w:lvlJc w:val="right"/>
      <w:pPr>
        <w:ind w:left="2520" w:hanging="360"/>
      </w:pPr>
    </w:lvl>
    <w:lvl w:ilvl="1" w:tentative="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3B733A0"/>
    <w:multiLevelType w:val="hybridMultilevel"/>
    <w:tmpl w:val="2A50933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9562B8"/>
    <w:multiLevelType w:val="hybridMultilevel"/>
    <w:tmpl w:val="BED6C1A0"/>
    <w:lvl w:ilvl="0">
      <w:start w:val="1"/>
      <w:numFmt w:val="upperLetter"/>
      <w:lvlText w:val="%1"/>
      <w:lvlJc w:val="left"/>
      <w:pPr>
        <w:ind w:left="720" w:hanging="360"/>
      </w:pPr>
      <w:rPr>
        <w:rFonts w:hint="default"/>
      </w:rPr>
    </w:lvl>
    <w:lvl w:ilvl="1">
      <w:start w:val="1"/>
      <w:numFmt w:val="decimal"/>
      <w:lvlText w:val="%2."/>
      <w:lvlJc w:val="left"/>
      <w:pPr>
        <w:ind w:left="162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nsid w:val="0981542C"/>
    <w:multiLevelType w:val="hybridMultilevel"/>
    <w:tmpl w:val="E7FE9874"/>
    <w:lvl w:ilvl="0">
      <w:start w:val="1"/>
      <w:numFmt w:val="upperLetter"/>
      <w:lvlText w:val="%1"/>
      <w:lvlJc w:val="left"/>
      <w:pPr>
        <w:ind w:left="720" w:hanging="360"/>
      </w:pPr>
      <w:rPr>
        <w:rFonts w:hint="default"/>
      </w:rPr>
    </w:lvl>
    <w:lvl w:ilvl="1">
      <w:start w:val="1"/>
      <w:numFmt w:val="decimal"/>
      <w:lvlText w:val="%2."/>
      <w:lvlJc w:val="left"/>
      <w:pPr>
        <w:ind w:left="135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176D68A5"/>
    <w:multiLevelType w:val="hybridMultilevel"/>
    <w:tmpl w:val="3E8852F6"/>
    <w:lvl w:ilvl="0">
      <w:start w:val="1"/>
      <w:numFmt w:val="upperLetter"/>
      <w:lvlText w:val="%1"/>
      <w:lvlJc w:val="left"/>
      <w:pPr>
        <w:ind w:left="720" w:hanging="360"/>
      </w:pPr>
      <w:rPr>
        <w:rFonts w:hint="default"/>
      </w:rPr>
    </w:lvl>
    <w:lvl w:ilvl="1">
      <w:start w:val="1"/>
      <w:numFmt w:val="decimal"/>
      <w:pStyle w:val="Heading2"/>
      <w:lvlText w:val="%2."/>
      <w:lvlJc w:val="left"/>
      <w:pPr>
        <w:ind w:left="153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nsid w:val="1C7C6F64"/>
    <w:multiLevelType w:val="multilevel"/>
    <w:tmpl w:val="0616E6C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
    <w:nsid w:val="1FAC5016"/>
    <w:multiLevelType w:val="hybridMultilevel"/>
    <w:tmpl w:val="3FC25BE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pStyle w:val="Heading3"/>
      <w:lvlText w:val="%3."/>
      <w:lvlJc w:val="right"/>
      <w:pPr>
        <w:ind w:left="198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7">
    <w:nsid w:val="200C2DC2"/>
    <w:multiLevelType w:val="hybridMultilevel"/>
    <w:tmpl w:val="AEBAB086"/>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31A66553"/>
    <w:multiLevelType w:val="hybridMultilevel"/>
    <w:tmpl w:val="195C6700"/>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32CA2CAA"/>
    <w:multiLevelType w:val="hybridMultilevel"/>
    <w:tmpl w:val="E01664E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iCs w:val="0"/>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2C0411"/>
    <w:multiLevelType w:val="hybridMultilevel"/>
    <w:tmpl w:val="7BD04F66"/>
    <w:lvl w:ilvl="0">
      <w:start w:val="1"/>
      <w:numFmt w:val="lowerLetter"/>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D673F8"/>
    <w:multiLevelType w:val="hybridMultilevel"/>
    <w:tmpl w:val="D1B82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863374"/>
    <w:multiLevelType w:val="hybridMultilevel"/>
    <w:tmpl w:val="28E2A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AA6584"/>
    <w:multiLevelType w:val="hybridMultilevel"/>
    <w:tmpl w:val="945898E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92254E8"/>
    <w:multiLevelType w:val="hybridMultilevel"/>
    <w:tmpl w:val="FEFE1C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B31005"/>
    <w:multiLevelType w:val="hybridMultilevel"/>
    <w:tmpl w:val="341EDAF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1980" w:hanging="360"/>
      </w:p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9">
    <w:nsid w:val="5E1D38D1"/>
    <w:multiLevelType w:val="hybridMultilevel"/>
    <w:tmpl w:val="D39A3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8427A9"/>
    <w:multiLevelType w:val="hybridMultilevel"/>
    <w:tmpl w:val="CA141DE4"/>
    <w:lvl w:ilvl="0">
      <w:start w:val="1"/>
      <w:numFmt w:val="upperLetter"/>
      <w:lvlText w:val="%1"/>
      <w:lvlJc w:val="left"/>
      <w:pPr>
        <w:ind w:left="720" w:hanging="360"/>
      </w:pPr>
      <w:rPr>
        <w:rFonts w:hint="default"/>
      </w:rPr>
    </w:lvl>
    <w:lvl w:ilvl="1">
      <w:start w:val="1"/>
      <w:numFmt w:val="decimal"/>
      <w:lvlText w:val="%2."/>
      <w:lvlJc w:val="left"/>
      <w:pPr>
        <w:ind w:left="162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1">
    <w:nsid w:val="6D9671BA"/>
    <w:multiLevelType w:val="hybridMultilevel"/>
    <w:tmpl w:val="C8FABF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CC7D93"/>
    <w:multiLevelType w:val="hybridMultilevel"/>
    <w:tmpl w:val="6DF275B2"/>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5922547"/>
    <w:multiLevelType w:val="hybridMultilevel"/>
    <w:tmpl w:val="2342E67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AE5D32"/>
    <w:multiLevelType w:val="hybridMultilevel"/>
    <w:tmpl w:val="26F008B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8EB2E62"/>
    <w:multiLevelType w:val="hybridMultilevel"/>
    <w:tmpl w:val="65141D0E"/>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16cid:durableId="198012114">
    <w:abstractNumId w:val="15"/>
  </w:num>
  <w:num w:numId="2" w16cid:durableId="1426344103">
    <w:abstractNumId w:val="7"/>
  </w:num>
  <w:num w:numId="3" w16cid:durableId="1154562232">
    <w:abstractNumId w:val="22"/>
  </w:num>
  <w:num w:numId="4" w16cid:durableId="1793667680">
    <w:abstractNumId w:val="19"/>
  </w:num>
  <w:num w:numId="5" w16cid:durableId="1050154301">
    <w:abstractNumId w:val="9"/>
  </w:num>
  <w:num w:numId="6" w16cid:durableId="184632939">
    <w:abstractNumId w:val="4"/>
  </w:num>
  <w:num w:numId="7" w16cid:durableId="2002730429">
    <w:abstractNumId w:val="3"/>
  </w:num>
  <w:num w:numId="8" w16cid:durableId="498351231">
    <w:abstractNumId w:val="6"/>
  </w:num>
  <w:num w:numId="9" w16cid:durableId="527068815">
    <w:abstractNumId w:val="5"/>
  </w:num>
  <w:num w:numId="10" w16cid:durableId="77217308">
    <w:abstractNumId w:val="1"/>
  </w:num>
  <w:num w:numId="11" w16cid:durableId="1022784314">
    <w:abstractNumId w:val="23"/>
  </w:num>
  <w:num w:numId="12" w16cid:durableId="1892963260">
    <w:abstractNumId w:val="11"/>
  </w:num>
  <w:num w:numId="13" w16cid:durableId="1016342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4633976">
    <w:abstractNumId w:val="10"/>
  </w:num>
  <w:num w:numId="15" w16cid:durableId="606814785">
    <w:abstractNumId w:val="8"/>
  </w:num>
  <w:num w:numId="16" w16cid:durableId="29383332">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953172">
    <w:abstractNumId w:val="8"/>
    <w:lvlOverride w:ilvl="0">
      <w:startOverride w:val="1"/>
    </w:lvlOverride>
  </w:num>
  <w:num w:numId="18" w16cid:durableId="1277251148">
    <w:abstractNumId w:val="8"/>
    <w:lvlOverride w:ilvl="0">
      <w:startOverride w:val="1"/>
    </w:lvlOverride>
  </w:num>
  <w:num w:numId="19" w16cid:durableId="1782528001">
    <w:abstractNumId w:val="8"/>
    <w:lvlOverride w:ilvl="0">
      <w:startOverride w:val="1"/>
    </w:lvlOverride>
  </w:num>
  <w:num w:numId="20" w16cid:durableId="464007499">
    <w:abstractNumId w:val="8"/>
    <w:lvlOverride w:ilvl="0">
      <w:startOverride w:val="1"/>
    </w:lvlOverride>
  </w:num>
  <w:num w:numId="21" w16cid:durableId="1039744356">
    <w:abstractNumId w:val="0"/>
  </w:num>
  <w:num w:numId="22" w16cid:durableId="1377074443">
    <w:abstractNumId w:val="20"/>
  </w:num>
  <w:num w:numId="23" w16cid:durableId="599142684">
    <w:abstractNumId w:val="2"/>
  </w:num>
  <w:num w:numId="24" w16cid:durableId="77679000">
    <w:abstractNumId w:val="0"/>
  </w:num>
  <w:num w:numId="25" w16cid:durableId="904340968">
    <w:abstractNumId w:val="0"/>
  </w:num>
  <w:num w:numId="26" w16cid:durableId="718894219">
    <w:abstractNumId w:val="0"/>
  </w:num>
  <w:num w:numId="27" w16cid:durableId="1287199998">
    <w:abstractNumId w:val="0"/>
  </w:num>
  <w:num w:numId="28" w16cid:durableId="1195774413">
    <w:abstractNumId w:val="0"/>
  </w:num>
  <w:num w:numId="29" w16cid:durableId="1201090366">
    <w:abstractNumId w:val="0"/>
  </w:num>
  <w:num w:numId="30" w16cid:durableId="2064600156">
    <w:abstractNumId w:val="6"/>
  </w:num>
  <w:num w:numId="31" w16cid:durableId="8797923">
    <w:abstractNumId w:val="25"/>
  </w:num>
  <w:num w:numId="32" w16cid:durableId="1036276439">
    <w:abstractNumId w:val="16"/>
  </w:num>
  <w:num w:numId="33" w16cid:durableId="1228960499">
    <w:abstractNumId w:val="6"/>
  </w:num>
  <w:num w:numId="34" w16cid:durableId="1511525083">
    <w:abstractNumId w:val="6"/>
  </w:num>
  <w:num w:numId="35" w16cid:durableId="1912886099">
    <w:abstractNumId w:val="6"/>
  </w:num>
  <w:num w:numId="36" w16cid:durableId="37243069">
    <w:abstractNumId w:val="21"/>
  </w:num>
  <w:num w:numId="37" w16cid:durableId="1425613434">
    <w:abstractNumId w:val="12"/>
  </w:num>
  <w:num w:numId="38" w16cid:durableId="334573556">
    <w:abstractNumId w:val="14"/>
  </w:num>
  <w:num w:numId="39" w16cid:durableId="1658191954">
    <w:abstractNumId w:val="13"/>
  </w:num>
  <w:num w:numId="40" w16cid:durableId="739406695">
    <w:abstractNumId w:val="17"/>
  </w:num>
  <w:num w:numId="41" w16cid:durableId="564803674">
    <w:abstractNumId w:val="3"/>
  </w:num>
  <w:num w:numId="42" w16cid:durableId="450902023">
    <w:abstractNumId w:val="0"/>
  </w:num>
  <w:num w:numId="43" w16cid:durableId="828134699">
    <w:abstractNumId w:val="24"/>
  </w:num>
  <w:num w:numId="44" w16cid:durableId="64694806">
    <w:abstractNumId w:val="0"/>
  </w:num>
  <w:num w:numId="45" w16cid:durableId="2059741120">
    <w:abstractNumId w:val="18"/>
  </w:num>
  <w:num w:numId="46" w16cid:durableId="142235262">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view w:val="normal"/>
  <w:zoom w:percent="2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4"/>
    <w:rsid w:val="00000132"/>
    <w:rsid w:val="00000177"/>
    <w:rsid w:val="00000322"/>
    <w:rsid w:val="00000341"/>
    <w:rsid w:val="0000054B"/>
    <w:rsid w:val="0000068E"/>
    <w:rsid w:val="00000945"/>
    <w:rsid w:val="00000A82"/>
    <w:rsid w:val="00000AC4"/>
    <w:rsid w:val="00000E02"/>
    <w:rsid w:val="00001272"/>
    <w:rsid w:val="00001454"/>
    <w:rsid w:val="0000177A"/>
    <w:rsid w:val="00001818"/>
    <w:rsid w:val="0000185B"/>
    <w:rsid w:val="000018ED"/>
    <w:rsid w:val="00001AD4"/>
    <w:rsid w:val="00001B01"/>
    <w:rsid w:val="00001BAD"/>
    <w:rsid w:val="000027AB"/>
    <w:rsid w:val="00002B04"/>
    <w:rsid w:val="00002C57"/>
    <w:rsid w:val="00002E1C"/>
    <w:rsid w:val="00002EA2"/>
    <w:rsid w:val="00002EB6"/>
    <w:rsid w:val="00003063"/>
    <w:rsid w:val="00003201"/>
    <w:rsid w:val="0000326D"/>
    <w:rsid w:val="0000329D"/>
    <w:rsid w:val="000034A6"/>
    <w:rsid w:val="000037A3"/>
    <w:rsid w:val="00003875"/>
    <w:rsid w:val="00003880"/>
    <w:rsid w:val="000038DC"/>
    <w:rsid w:val="00003A13"/>
    <w:rsid w:val="00003ABA"/>
    <w:rsid w:val="00003CAB"/>
    <w:rsid w:val="00003CEF"/>
    <w:rsid w:val="000042B9"/>
    <w:rsid w:val="0000434B"/>
    <w:rsid w:val="00004523"/>
    <w:rsid w:val="000049F4"/>
    <w:rsid w:val="00004AD3"/>
    <w:rsid w:val="00004C8F"/>
    <w:rsid w:val="000053DC"/>
    <w:rsid w:val="000057DC"/>
    <w:rsid w:val="00005A1D"/>
    <w:rsid w:val="00005BDD"/>
    <w:rsid w:val="00005BE8"/>
    <w:rsid w:val="000061F1"/>
    <w:rsid w:val="000062C7"/>
    <w:rsid w:val="000067D2"/>
    <w:rsid w:val="00006A28"/>
    <w:rsid w:val="00006D74"/>
    <w:rsid w:val="00007047"/>
    <w:rsid w:val="000072E2"/>
    <w:rsid w:val="00007330"/>
    <w:rsid w:val="00007333"/>
    <w:rsid w:val="0000733E"/>
    <w:rsid w:val="00007392"/>
    <w:rsid w:val="000073A6"/>
    <w:rsid w:val="00007529"/>
    <w:rsid w:val="00007F0C"/>
    <w:rsid w:val="000102E0"/>
    <w:rsid w:val="00010400"/>
    <w:rsid w:val="0001111E"/>
    <w:rsid w:val="000112E5"/>
    <w:rsid w:val="00011420"/>
    <w:rsid w:val="00011801"/>
    <w:rsid w:val="000118D8"/>
    <w:rsid w:val="000118DF"/>
    <w:rsid w:val="00011A84"/>
    <w:rsid w:val="00011DCF"/>
    <w:rsid w:val="0001219A"/>
    <w:rsid w:val="000123FA"/>
    <w:rsid w:val="000124DD"/>
    <w:rsid w:val="000125A7"/>
    <w:rsid w:val="000125C4"/>
    <w:rsid w:val="000127C9"/>
    <w:rsid w:val="00012880"/>
    <w:rsid w:val="00012BA9"/>
    <w:rsid w:val="00012CEA"/>
    <w:rsid w:val="000138AF"/>
    <w:rsid w:val="0001395A"/>
    <w:rsid w:val="00013F37"/>
    <w:rsid w:val="0001401A"/>
    <w:rsid w:val="00014098"/>
    <w:rsid w:val="0001418A"/>
    <w:rsid w:val="00014194"/>
    <w:rsid w:val="00014265"/>
    <w:rsid w:val="000142F5"/>
    <w:rsid w:val="0001456E"/>
    <w:rsid w:val="000146D2"/>
    <w:rsid w:val="000146DA"/>
    <w:rsid w:val="00014752"/>
    <w:rsid w:val="00014796"/>
    <w:rsid w:val="00014933"/>
    <w:rsid w:val="00014B8C"/>
    <w:rsid w:val="00014C8D"/>
    <w:rsid w:val="00014D48"/>
    <w:rsid w:val="00014FB4"/>
    <w:rsid w:val="00014FDE"/>
    <w:rsid w:val="0001500B"/>
    <w:rsid w:val="000151CC"/>
    <w:rsid w:val="000153E4"/>
    <w:rsid w:val="000157FC"/>
    <w:rsid w:val="000158CB"/>
    <w:rsid w:val="000160D9"/>
    <w:rsid w:val="000162D2"/>
    <w:rsid w:val="000163A4"/>
    <w:rsid w:val="000163A7"/>
    <w:rsid w:val="00016456"/>
    <w:rsid w:val="000167FE"/>
    <w:rsid w:val="00016891"/>
    <w:rsid w:val="00017458"/>
    <w:rsid w:val="000175E0"/>
    <w:rsid w:val="000176F9"/>
    <w:rsid w:val="000178CD"/>
    <w:rsid w:val="00017B99"/>
    <w:rsid w:val="00017D3E"/>
    <w:rsid w:val="000200AE"/>
    <w:rsid w:val="000200B1"/>
    <w:rsid w:val="0002015D"/>
    <w:rsid w:val="00020465"/>
    <w:rsid w:val="0002052B"/>
    <w:rsid w:val="0002055B"/>
    <w:rsid w:val="000205A9"/>
    <w:rsid w:val="000209FB"/>
    <w:rsid w:val="00020A6E"/>
    <w:rsid w:val="00020C8A"/>
    <w:rsid w:val="00020DB7"/>
    <w:rsid w:val="00020F33"/>
    <w:rsid w:val="000211FD"/>
    <w:rsid w:val="00021309"/>
    <w:rsid w:val="00021493"/>
    <w:rsid w:val="00021E0F"/>
    <w:rsid w:val="00021E23"/>
    <w:rsid w:val="00021F21"/>
    <w:rsid w:val="00021F96"/>
    <w:rsid w:val="00022124"/>
    <w:rsid w:val="000221D0"/>
    <w:rsid w:val="00022792"/>
    <w:rsid w:val="000228C1"/>
    <w:rsid w:val="00022A43"/>
    <w:rsid w:val="00022B08"/>
    <w:rsid w:val="00022CEE"/>
    <w:rsid w:val="00022F9D"/>
    <w:rsid w:val="00023485"/>
    <w:rsid w:val="00023731"/>
    <w:rsid w:val="000239B0"/>
    <w:rsid w:val="00023BCB"/>
    <w:rsid w:val="00023C52"/>
    <w:rsid w:val="00023D09"/>
    <w:rsid w:val="00023FE0"/>
    <w:rsid w:val="0002405E"/>
    <w:rsid w:val="0002421D"/>
    <w:rsid w:val="0002497D"/>
    <w:rsid w:val="00024CDD"/>
    <w:rsid w:val="00024F4A"/>
    <w:rsid w:val="00024F8C"/>
    <w:rsid w:val="000250A0"/>
    <w:rsid w:val="000250A1"/>
    <w:rsid w:val="000250F1"/>
    <w:rsid w:val="000250F7"/>
    <w:rsid w:val="00025105"/>
    <w:rsid w:val="000252CE"/>
    <w:rsid w:val="00025387"/>
    <w:rsid w:val="00025B7F"/>
    <w:rsid w:val="00026306"/>
    <w:rsid w:val="0002633A"/>
    <w:rsid w:val="0002634F"/>
    <w:rsid w:val="0002637C"/>
    <w:rsid w:val="0002662F"/>
    <w:rsid w:val="00026901"/>
    <w:rsid w:val="00026B41"/>
    <w:rsid w:val="00026C23"/>
    <w:rsid w:val="00026CFD"/>
    <w:rsid w:val="00026EEE"/>
    <w:rsid w:val="000270EC"/>
    <w:rsid w:val="000273E1"/>
    <w:rsid w:val="000273E3"/>
    <w:rsid w:val="000274D8"/>
    <w:rsid w:val="00027698"/>
    <w:rsid w:val="00027E15"/>
    <w:rsid w:val="0003005F"/>
    <w:rsid w:val="000300FC"/>
    <w:rsid w:val="000305C5"/>
    <w:rsid w:val="0003065E"/>
    <w:rsid w:val="000307CC"/>
    <w:rsid w:val="000308AE"/>
    <w:rsid w:val="00030ABB"/>
    <w:rsid w:val="00030B83"/>
    <w:rsid w:val="00030E25"/>
    <w:rsid w:val="00030F3D"/>
    <w:rsid w:val="00030FF4"/>
    <w:rsid w:val="0003127B"/>
    <w:rsid w:val="0003134F"/>
    <w:rsid w:val="00031441"/>
    <w:rsid w:val="000314AA"/>
    <w:rsid w:val="00031987"/>
    <w:rsid w:val="00031B94"/>
    <w:rsid w:val="00031C96"/>
    <w:rsid w:val="00031D8B"/>
    <w:rsid w:val="00031FC7"/>
    <w:rsid w:val="00031FDF"/>
    <w:rsid w:val="0003262F"/>
    <w:rsid w:val="000328C7"/>
    <w:rsid w:val="00032990"/>
    <w:rsid w:val="00032B74"/>
    <w:rsid w:val="00032E71"/>
    <w:rsid w:val="000330C4"/>
    <w:rsid w:val="00033326"/>
    <w:rsid w:val="00033583"/>
    <w:rsid w:val="00033654"/>
    <w:rsid w:val="000338AC"/>
    <w:rsid w:val="000339E6"/>
    <w:rsid w:val="00033B74"/>
    <w:rsid w:val="000343B7"/>
    <w:rsid w:val="00034583"/>
    <w:rsid w:val="00034668"/>
    <w:rsid w:val="00034A8C"/>
    <w:rsid w:val="00034AF7"/>
    <w:rsid w:val="00034C38"/>
    <w:rsid w:val="00034E68"/>
    <w:rsid w:val="000351CB"/>
    <w:rsid w:val="00035384"/>
    <w:rsid w:val="000355A5"/>
    <w:rsid w:val="000355E3"/>
    <w:rsid w:val="000359E5"/>
    <w:rsid w:val="00035DB2"/>
    <w:rsid w:val="00035F7D"/>
    <w:rsid w:val="00036095"/>
    <w:rsid w:val="00036231"/>
    <w:rsid w:val="000363EB"/>
    <w:rsid w:val="00036518"/>
    <w:rsid w:val="00036545"/>
    <w:rsid w:val="000368ED"/>
    <w:rsid w:val="00036D07"/>
    <w:rsid w:val="000372DF"/>
    <w:rsid w:val="00037475"/>
    <w:rsid w:val="00037685"/>
    <w:rsid w:val="00037779"/>
    <w:rsid w:val="000377C2"/>
    <w:rsid w:val="00037833"/>
    <w:rsid w:val="00037929"/>
    <w:rsid w:val="00037ADF"/>
    <w:rsid w:val="00037F10"/>
    <w:rsid w:val="00037FF8"/>
    <w:rsid w:val="00040001"/>
    <w:rsid w:val="00040287"/>
    <w:rsid w:val="00040767"/>
    <w:rsid w:val="000408F2"/>
    <w:rsid w:val="000412AB"/>
    <w:rsid w:val="00041327"/>
    <w:rsid w:val="00041916"/>
    <w:rsid w:val="000419C8"/>
    <w:rsid w:val="00041A6A"/>
    <w:rsid w:val="00041F68"/>
    <w:rsid w:val="0004215B"/>
    <w:rsid w:val="000425C0"/>
    <w:rsid w:val="00042650"/>
    <w:rsid w:val="0004268F"/>
    <w:rsid w:val="000427D0"/>
    <w:rsid w:val="000429FC"/>
    <w:rsid w:val="00042A05"/>
    <w:rsid w:val="00042EAA"/>
    <w:rsid w:val="00042EE3"/>
    <w:rsid w:val="00042FF0"/>
    <w:rsid w:val="000430D1"/>
    <w:rsid w:val="000434B3"/>
    <w:rsid w:val="000436CB"/>
    <w:rsid w:val="00043761"/>
    <w:rsid w:val="000439B5"/>
    <w:rsid w:val="00043C38"/>
    <w:rsid w:val="00043CF6"/>
    <w:rsid w:val="00044169"/>
    <w:rsid w:val="00044304"/>
    <w:rsid w:val="00044692"/>
    <w:rsid w:val="0004495F"/>
    <w:rsid w:val="000449C4"/>
    <w:rsid w:val="00044D0E"/>
    <w:rsid w:val="00044D61"/>
    <w:rsid w:val="00044EEB"/>
    <w:rsid w:val="00044FD5"/>
    <w:rsid w:val="00044FE3"/>
    <w:rsid w:val="00045313"/>
    <w:rsid w:val="00045417"/>
    <w:rsid w:val="0004549B"/>
    <w:rsid w:val="000458CF"/>
    <w:rsid w:val="00045A79"/>
    <w:rsid w:val="00045BB5"/>
    <w:rsid w:val="00045C28"/>
    <w:rsid w:val="00045FB9"/>
    <w:rsid w:val="0004604A"/>
    <w:rsid w:val="000462E6"/>
    <w:rsid w:val="0004677F"/>
    <w:rsid w:val="0004680F"/>
    <w:rsid w:val="00046908"/>
    <w:rsid w:val="00046ACA"/>
    <w:rsid w:val="00046E4E"/>
    <w:rsid w:val="000470E8"/>
    <w:rsid w:val="00047146"/>
    <w:rsid w:val="0004737C"/>
    <w:rsid w:val="0004783F"/>
    <w:rsid w:val="000478C1"/>
    <w:rsid w:val="00047949"/>
    <w:rsid w:val="000479D5"/>
    <w:rsid w:val="00047A3C"/>
    <w:rsid w:val="00047C66"/>
    <w:rsid w:val="00047D27"/>
    <w:rsid w:val="00047D78"/>
    <w:rsid w:val="00047E7A"/>
    <w:rsid w:val="00047F9F"/>
    <w:rsid w:val="000502BF"/>
    <w:rsid w:val="00050464"/>
    <w:rsid w:val="000504DC"/>
    <w:rsid w:val="000504E4"/>
    <w:rsid w:val="00050642"/>
    <w:rsid w:val="00050972"/>
    <w:rsid w:val="00050A69"/>
    <w:rsid w:val="00050AEB"/>
    <w:rsid w:val="00050D6C"/>
    <w:rsid w:val="00050DA1"/>
    <w:rsid w:val="000510E2"/>
    <w:rsid w:val="000510ED"/>
    <w:rsid w:val="000510F3"/>
    <w:rsid w:val="00051118"/>
    <w:rsid w:val="00051326"/>
    <w:rsid w:val="000513E1"/>
    <w:rsid w:val="00051452"/>
    <w:rsid w:val="000518E0"/>
    <w:rsid w:val="00051C3E"/>
    <w:rsid w:val="00051CD1"/>
    <w:rsid w:val="00051DF6"/>
    <w:rsid w:val="000526A6"/>
    <w:rsid w:val="0005284E"/>
    <w:rsid w:val="0005288D"/>
    <w:rsid w:val="00052EAE"/>
    <w:rsid w:val="000531B4"/>
    <w:rsid w:val="0005321D"/>
    <w:rsid w:val="000534C3"/>
    <w:rsid w:val="00053715"/>
    <w:rsid w:val="0005374C"/>
    <w:rsid w:val="000537A9"/>
    <w:rsid w:val="00053903"/>
    <w:rsid w:val="00053ADD"/>
    <w:rsid w:val="00053C11"/>
    <w:rsid w:val="00053D7D"/>
    <w:rsid w:val="00053F1B"/>
    <w:rsid w:val="00053F3D"/>
    <w:rsid w:val="0005428C"/>
    <w:rsid w:val="000542F3"/>
    <w:rsid w:val="00054336"/>
    <w:rsid w:val="00054407"/>
    <w:rsid w:val="00054566"/>
    <w:rsid w:val="00054713"/>
    <w:rsid w:val="00054BFA"/>
    <w:rsid w:val="00055104"/>
    <w:rsid w:val="000551E3"/>
    <w:rsid w:val="00055324"/>
    <w:rsid w:val="0005543A"/>
    <w:rsid w:val="000557B4"/>
    <w:rsid w:val="00055B18"/>
    <w:rsid w:val="00055DD6"/>
    <w:rsid w:val="000569F4"/>
    <w:rsid w:val="00056ACD"/>
    <w:rsid w:val="00056BEA"/>
    <w:rsid w:val="00057624"/>
    <w:rsid w:val="00057B77"/>
    <w:rsid w:val="00057F3C"/>
    <w:rsid w:val="0006017A"/>
    <w:rsid w:val="000601D3"/>
    <w:rsid w:val="0006028D"/>
    <w:rsid w:val="00060351"/>
    <w:rsid w:val="00060472"/>
    <w:rsid w:val="0006093D"/>
    <w:rsid w:val="00060B7C"/>
    <w:rsid w:val="00060D91"/>
    <w:rsid w:val="0006119E"/>
    <w:rsid w:val="0006119F"/>
    <w:rsid w:val="00061279"/>
    <w:rsid w:val="00061ABB"/>
    <w:rsid w:val="00061AC7"/>
    <w:rsid w:val="00061ACC"/>
    <w:rsid w:val="00061D37"/>
    <w:rsid w:val="00061F2B"/>
    <w:rsid w:val="00061F97"/>
    <w:rsid w:val="00061FD4"/>
    <w:rsid w:val="00061FF8"/>
    <w:rsid w:val="0006240E"/>
    <w:rsid w:val="000624FE"/>
    <w:rsid w:val="00062C4A"/>
    <w:rsid w:val="00062D49"/>
    <w:rsid w:val="0006333E"/>
    <w:rsid w:val="000634EF"/>
    <w:rsid w:val="00063599"/>
    <w:rsid w:val="000636DC"/>
    <w:rsid w:val="000638B0"/>
    <w:rsid w:val="000638C0"/>
    <w:rsid w:val="00063C29"/>
    <w:rsid w:val="00063CA3"/>
    <w:rsid w:val="00063DB0"/>
    <w:rsid w:val="0006410A"/>
    <w:rsid w:val="000642D0"/>
    <w:rsid w:val="0006437B"/>
    <w:rsid w:val="00064397"/>
    <w:rsid w:val="000643A8"/>
    <w:rsid w:val="000646E7"/>
    <w:rsid w:val="00064719"/>
    <w:rsid w:val="00064A2B"/>
    <w:rsid w:val="00064D6F"/>
    <w:rsid w:val="00064D96"/>
    <w:rsid w:val="00064DFC"/>
    <w:rsid w:val="00064E03"/>
    <w:rsid w:val="0006542C"/>
    <w:rsid w:val="00065938"/>
    <w:rsid w:val="00065C26"/>
    <w:rsid w:val="000661CE"/>
    <w:rsid w:val="000663A0"/>
    <w:rsid w:val="000664EA"/>
    <w:rsid w:val="00066981"/>
    <w:rsid w:val="00066998"/>
    <w:rsid w:val="000669BC"/>
    <w:rsid w:val="000669E7"/>
    <w:rsid w:val="00066B2B"/>
    <w:rsid w:val="00066B73"/>
    <w:rsid w:val="00066E97"/>
    <w:rsid w:val="00066EA3"/>
    <w:rsid w:val="00066FB6"/>
    <w:rsid w:val="00067362"/>
    <w:rsid w:val="00067364"/>
    <w:rsid w:val="0006756B"/>
    <w:rsid w:val="000675D6"/>
    <w:rsid w:val="0006779E"/>
    <w:rsid w:val="0006780D"/>
    <w:rsid w:val="00067B1A"/>
    <w:rsid w:val="00067B45"/>
    <w:rsid w:val="00067E3E"/>
    <w:rsid w:val="00067E7E"/>
    <w:rsid w:val="00070627"/>
    <w:rsid w:val="000709BE"/>
    <w:rsid w:val="00070A46"/>
    <w:rsid w:val="00070A95"/>
    <w:rsid w:val="00070C17"/>
    <w:rsid w:val="00070CB1"/>
    <w:rsid w:val="00070F8D"/>
    <w:rsid w:val="00071076"/>
    <w:rsid w:val="000710D0"/>
    <w:rsid w:val="000714F8"/>
    <w:rsid w:val="00071739"/>
    <w:rsid w:val="000719C7"/>
    <w:rsid w:val="00071AA3"/>
    <w:rsid w:val="000721DB"/>
    <w:rsid w:val="00072469"/>
    <w:rsid w:val="0007248C"/>
    <w:rsid w:val="000724EF"/>
    <w:rsid w:val="000726D8"/>
    <w:rsid w:val="0007271D"/>
    <w:rsid w:val="00072ABB"/>
    <w:rsid w:val="00072DB4"/>
    <w:rsid w:val="00072E7A"/>
    <w:rsid w:val="0007309D"/>
    <w:rsid w:val="00073191"/>
    <w:rsid w:val="000731E6"/>
    <w:rsid w:val="0007360B"/>
    <w:rsid w:val="0007360C"/>
    <w:rsid w:val="00073706"/>
    <w:rsid w:val="00073B9A"/>
    <w:rsid w:val="00073D51"/>
    <w:rsid w:val="00073E56"/>
    <w:rsid w:val="0007426C"/>
    <w:rsid w:val="0007435F"/>
    <w:rsid w:val="000744BF"/>
    <w:rsid w:val="00074674"/>
    <w:rsid w:val="000747BD"/>
    <w:rsid w:val="00074930"/>
    <w:rsid w:val="00074B48"/>
    <w:rsid w:val="00074B93"/>
    <w:rsid w:val="000753D5"/>
    <w:rsid w:val="00075663"/>
    <w:rsid w:val="00075892"/>
    <w:rsid w:val="0007596D"/>
    <w:rsid w:val="00075A45"/>
    <w:rsid w:val="00075B8A"/>
    <w:rsid w:val="00075E52"/>
    <w:rsid w:val="00076024"/>
    <w:rsid w:val="00076056"/>
    <w:rsid w:val="0007635C"/>
    <w:rsid w:val="0007638C"/>
    <w:rsid w:val="000764A5"/>
    <w:rsid w:val="000764B3"/>
    <w:rsid w:val="00076C0B"/>
    <w:rsid w:val="00076EB7"/>
    <w:rsid w:val="00076EF1"/>
    <w:rsid w:val="00076FD0"/>
    <w:rsid w:val="00077156"/>
    <w:rsid w:val="00077526"/>
    <w:rsid w:val="00077766"/>
    <w:rsid w:val="000778A0"/>
    <w:rsid w:val="000778A1"/>
    <w:rsid w:val="00077A80"/>
    <w:rsid w:val="00077C7D"/>
    <w:rsid w:val="00077CCE"/>
    <w:rsid w:val="00077DD5"/>
    <w:rsid w:val="00080109"/>
    <w:rsid w:val="000803AC"/>
    <w:rsid w:val="0008057B"/>
    <w:rsid w:val="0008060F"/>
    <w:rsid w:val="0008062E"/>
    <w:rsid w:val="00080AB9"/>
    <w:rsid w:val="00080C89"/>
    <w:rsid w:val="00081041"/>
    <w:rsid w:val="00081292"/>
    <w:rsid w:val="000814C8"/>
    <w:rsid w:val="00081800"/>
    <w:rsid w:val="00081807"/>
    <w:rsid w:val="00081A5A"/>
    <w:rsid w:val="00081E3C"/>
    <w:rsid w:val="00081E76"/>
    <w:rsid w:val="00081EEE"/>
    <w:rsid w:val="00081F2D"/>
    <w:rsid w:val="00082356"/>
    <w:rsid w:val="0008256E"/>
    <w:rsid w:val="000826BE"/>
    <w:rsid w:val="000826CA"/>
    <w:rsid w:val="00082A13"/>
    <w:rsid w:val="00082BBE"/>
    <w:rsid w:val="00082C13"/>
    <w:rsid w:val="00082C6F"/>
    <w:rsid w:val="00082CE0"/>
    <w:rsid w:val="00083171"/>
    <w:rsid w:val="000833AA"/>
    <w:rsid w:val="00083787"/>
    <w:rsid w:val="00083AAB"/>
    <w:rsid w:val="000841B9"/>
    <w:rsid w:val="000841E7"/>
    <w:rsid w:val="000844C0"/>
    <w:rsid w:val="0008451E"/>
    <w:rsid w:val="000845C7"/>
    <w:rsid w:val="000848A8"/>
    <w:rsid w:val="000848E5"/>
    <w:rsid w:val="00084F60"/>
    <w:rsid w:val="00084FA8"/>
    <w:rsid w:val="00085065"/>
    <w:rsid w:val="000850FA"/>
    <w:rsid w:val="000853A8"/>
    <w:rsid w:val="00085ADB"/>
    <w:rsid w:val="00085E61"/>
    <w:rsid w:val="00085F86"/>
    <w:rsid w:val="00086457"/>
    <w:rsid w:val="000866C8"/>
    <w:rsid w:val="000866D0"/>
    <w:rsid w:val="000867B5"/>
    <w:rsid w:val="000869B2"/>
    <w:rsid w:val="00086A59"/>
    <w:rsid w:val="00086C47"/>
    <w:rsid w:val="00086E49"/>
    <w:rsid w:val="00087024"/>
    <w:rsid w:val="000870D3"/>
    <w:rsid w:val="00087511"/>
    <w:rsid w:val="000878E0"/>
    <w:rsid w:val="00087C7F"/>
    <w:rsid w:val="00087DA5"/>
    <w:rsid w:val="00087E44"/>
    <w:rsid w:val="00087F30"/>
    <w:rsid w:val="00090650"/>
    <w:rsid w:val="000906C9"/>
    <w:rsid w:val="00090AE4"/>
    <w:rsid w:val="00090BDE"/>
    <w:rsid w:val="000913AB"/>
    <w:rsid w:val="00091623"/>
    <w:rsid w:val="00091D7D"/>
    <w:rsid w:val="00091F14"/>
    <w:rsid w:val="00092069"/>
    <w:rsid w:val="00092107"/>
    <w:rsid w:val="0009225B"/>
    <w:rsid w:val="00092667"/>
    <w:rsid w:val="00092C2E"/>
    <w:rsid w:val="00092C3D"/>
    <w:rsid w:val="00092DEE"/>
    <w:rsid w:val="00092F54"/>
    <w:rsid w:val="0009356F"/>
    <w:rsid w:val="0009360A"/>
    <w:rsid w:val="00093718"/>
    <w:rsid w:val="00093842"/>
    <w:rsid w:val="00093904"/>
    <w:rsid w:val="000939FB"/>
    <w:rsid w:val="00093D26"/>
    <w:rsid w:val="00093F49"/>
    <w:rsid w:val="00093F91"/>
    <w:rsid w:val="0009418B"/>
    <w:rsid w:val="00094949"/>
    <w:rsid w:val="0009499A"/>
    <w:rsid w:val="000949B6"/>
    <w:rsid w:val="000949BF"/>
    <w:rsid w:val="00094B4E"/>
    <w:rsid w:val="00094BDE"/>
    <w:rsid w:val="0009503C"/>
    <w:rsid w:val="00095187"/>
    <w:rsid w:val="0009524A"/>
    <w:rsid w:val="0009568B"/>
    <w:rsid w:val="00095776"/>
    <w:rsid w:val="000958F1"/>
    <w:rsid w:val="00095C06"/>
    <w:rsid w:val="00095C79"/>
    <w:rsid w:val="000964B4"/>
    <w:rsid w:val="000965E0"/>
    <w:rsid w:val="000967B8"/>
    <w:rsid w:val="00096D28"/>
    <w:rsid w:val="00096E42"/>
    <w:rsid w:val="00096EA2"/>
    <w:rsid w:val="00096EF5"/>
    <w:rsid w:val="000970CA"/>
    <w:rsid w:val="00097A47"/>
    <w:rsid w:val="00097BC5"/>
    <w:rsid w:val="00097CA9"/>
    <w:rsid w:val="00097D8D"/>
    <w:rsid w:val="000A0331"/>
    <w:rsid w:val="000A0467"/>
    <w:rsid w:val="000A0746"/>
    <w:rsid w:val="000A07E1"/>
    <w:rsid w:val="000A085E"/>
    <w:rsid w:val="000A0A8F"/>
    <w:rsid w:val="000A0D7A"/>
    <w:rsid w:val="000A0F22"/>
    <w:rsid w:val="000A1130"/>
    <w:rsid w:val="000A141B"/>
    <w:rsid w:val="000A146E"/>
    <w:rsid w:val="000A14E5"/>
    <w:rsid w:val="000A16D7"/>
    <w:rsid w:val="000A1900"/>
    <w:rsid w:val="000A19D8"/>
    <w:rsid w:val="000A1AEC"/>
    <w:rsid w:val="000A1BC2"/>
    <w:rsid w:val="000A1D69"/>
    <w:rsid w:val="000A1DF3"/>
    <w:rsid w:val="000A1F8E"/>
    <w:rsid w:val="000A219C"/>
    <w:rsid w:val="000A2399"/>
    <w:rsid w:val="000A2B0A"/>
    <w:rsid w:val="000A2B1F"/>
    <w:rsid w:val="000A2C4E"/>
    <w:rsid w:val="000A2CDA"/>
    <w:rsid w:val="000A2DD0"/>
    <w:rsid w:val="000A2FA7"/>
    <w:rsid w:val="000A322F"/>
    <w:rsid w:val="000A3594"/>
    <w:rsid w:val="000A3C7A"/>
    <w:rsid w:val="000A3FD3"/>
    <w:rsid w:val="000A41D8"/>
    <w:rsid w:val="000A4377"/>
    <w:rsid w:val="000A455B"/>
    <w:rsid w:val="000A459A"/>
    <w:rsid w:val="000A4653"/>
    <w:rsid w:val="000A4812"/>
    <w:rsid w:val="000A48DD"/>
    <w:rsid w:val="000A4A41"/>
    <w:rsid w:val="000A4AAB"/>
    <w:rsid w:val="000A4C69"/>
    <w:rsid w:val="000A4DCD"/>
    <w:rsid w:val="000A4E97"/>
    <w:rsid w:val="000A4ECB"/>
    <w:rsid w:val="000A50C8"/>
    <w:rsid w:val="000A55AF"/>
    <w:rsid w:val="000A55E4"/>
    <w:rsid w:val="000A5BF2"/>
    <w:rsid w:val="000A616F"/>
    <w:rsid w:val="000A633B"/>
    <w:rsid w:val="000A6AAC"/>
    <w:rsid w:val="000A6BE1"/>
    <w:rsid w:val="000A6E3E"/>
    <w:rsid w:val="000A6F28"/>
    <w:rsid w:val="000A762D"/>
    <w:rsid w:val="000A786C"/>
    <w:rsid w:val="000A79CB"/>
    <w:rsid w:val="000A7E15"/>
    <w:rsid w:val="000A7ECC"/>
    <w:rsid w:val="000A7F22"/>
    <w:rsid w:val="000B002A"/>
    <w:rsid w:val="000B003C"/>
    <w:rsid w:val="000B0132"/>
    <w:rsid w:val="000B0149"/>
    <w:rsid w:val="000B0853"/>
    <w:rsid w:val="000B0ADB"/>
    <w:rsid w:val="000B0D8B"/>
    <w:rsid w:val="000B0DFC"/>
    <w:rsid w:val="000B0EE7"/>
    <w:rsid w:val="000B0F60"/>
    <w:rsid w:val="000B10AA"/>
    <w:rsid w:val="000B10C9"/>
    <w:rsid w:val="000B112E"/>
    <w:rsid w:val="000B11C0"/>
    <w:rsid w:val="000B1691"/>
    <w:rsid w:val="000B16B7"/>
    <w:rsid w:val="000B176E"/>
    <w:rsid w:val="000B17D3"/>
    <w:rsid w:val="000B1ADB"/>
    <w:rsid w:val="000B1AE5"/>
    <w:rsid w:val="000B1B9F"/>
    <w:rsid w:val="000B1CD7"/>
    <w:rsid w:val="000B231D"/>
    <w:rsid w:val="000B238F"/>
    <w:rsid w:val="000B240C"/>
    <w:rsid w:val="000B24DF"/>
    <w:rsid w:val="000B2A23"/>
    <w:rsid w:val="000B2B70"/>
    <w:rsid w:val="000B2BB1"/>
    <w:rsid w:val="000B2CA4"/>
    <w:rsid w:val="000B2D36"/>
    <w:rsid w:val="000B2E99"/>
    <w:rsid w:val="000B2FDC"/>
    <w:rsid w:val="000B3039"/>
    <w:rsid w:val="000B30B7"/>
    <w:rsid w:val="000B3193"/>
    <w:rsid w:val="000B387D"/>
    <w:rsid w:val="000B3BBB"/>
    <w:rsid w:val="000B3DE1"/>
    <w:rsid w:val="000B400C"/>
    <w:rsid w:val="000B420E"/>
    <w:rsid w:val="000B4321"/>
    <w:rsid w:val="000B4434"/>
    <w:rsid w:val="000B4C31"/>
    <w:rsid w:val="000B4D25"/>
    <w:rsid w:val="000B4F1E"/>
    <w:rsid w:val="000B4FFF"/>
    <w:rsid w:val="000B57FF"/>
    <w:rsid w:val="000B5976"/>
    <w:rsid w:val="000B5D71"/>
    <w:rsid w:val="000B61D1"/>
    <w:rsid w:val="000B6263"/>
    <w:rsid w:val="000B64F7"/>
    <w:rsid w:val="000B65F9"/>
    <w:rsid w:val="000B66E0"/>
    <w:rsid w:val="000B68FB"/>
    <w:rsid w:val="000B695B"/>
    <w:rsid w:val="000B6F7A"/>
    <w:rsid w:val="000B7213"/>
    <w:rsid w:val="000B7382"/>
    <w:rsid w:val="000B7549"/>
    <w:rsid w:val="000C0055"/>
    <w:rsid w:val="000C013E"/>
    <w:rsid w:val="000C0616"/>
    <w:rsid w:val="000C0652"/>
    <w:rsid w:val="000C089B"/>
    <w:rsid w:val="000C0CFC"/>
    <w:rsid w:val="000C0D05"/>
    <w:rsid w:val="000C1030"/>
    <w:rsid w:val="000C16A1"/>
    <w:rsid w:val="000C1859"/>
    <w:rsid w:val="000C1ECC"/>
    <w:rsid w:val="000C1EF6"/>
    <w:rsid w:val="000C1FBF"/>
    <w:rsid w:val="000C1FC7"/>
    <w:rsid w:val="000C205A"/>
    <w:rsid w:val="000C2375"/>
    <w:rsid w:val="000C2540"/>
    <w:rsid w:val="000C256D"/>
    <w:rsid w:val="000C25D7"/>
    <w:rsid w:val="000C2819"/>
    <w:rsid w:val="000C2D57"/>
    <w:rsid w:val="000C2D7C"/>
    <w:rsid w:val="000C2D86"/>
    <w:rsid w:val="000C3165"/>
    <w:rsid w:val="000C3495"/>
    <w:rsid w:val="000C38D6"/>
    <w:rsid w:val="000C3D13"/>
    <w:rsid w:val="000C3DD5"/>
    <w:rsid w:val="000C3E5D"/>
    <w:rsid w:val="000C3E71"/>
    <w:rsid w:val="000C3FC1"/>
    <w:rsid w:val="000C4086"/>
    <w:rsid w:val="000C410F"/>
    <w:rsid w:val="000C4727"/>
    <w:rsid w:val="000C4731"/>
    <w:rsid w:val="000C4A69"/>
    <w:rsid w:val="000C4AF5"/>
    <w:rsid w:val="000C4B5F"/>
    <w:rsid w:val="000C4BBE"/>
    <w:rsid w:val="000C4FEE"/>
    <w:rsid w:val="000C50DC"/>
    <w:rsid w:val="000C50E9"/>
    <w:rsid w:val="000C51E8"/>
    <w:rsid w:val="000C54AD"/>
    <w:rsid w:val="000C54E3"/>
    <w:rsid w:val="000C563F"/>
    <w:rsid w:val="000C57B1"/>
    <w:rsid w:val="000C5907"/>
    <w:rsid w:val="000C6257"/>
    <w:rsid w:val="000C629B"/>
    <w:rsid w:val="000C632F"/>
    <w:rsid w:val="000C6621"/>
    <w:rsid w:val="000C671D"/>
    <w:rsid w:val="000C6A73"/>
    <w:rsid w:val="000C6ADD"/>
    <w:rsid w:val="000C6C1C"/>
    <w:rsid w:val="000C6E3A"/>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699"/>
    <w:rsid w:val="000D2784"/>
    <w:rsid w:val="000D28AC"/>
    <w:rsid w:val="000D2A9D"/>
    <w:rsid w:val="000D2AF4"/>
    <w:rsid w:val="000D2CAB"/>
    <w:rsid w:val="000D2CE0"/>
    <w:rsid w:val="000D2D8F"/>
    <w:rsid w:val="000D2E35"/>
    <w:rsid w:val="000D2F13"/>
    <w:rsid w:val="000D3027"/>
    <w:rsid w:val="000D3106"/>
    <w:rsid w:val="000D3364"/>
    <w:rsid w:val="000D3874"/>
    <w:rsid w:val="000D3936"/>
    <w:rsid w:val="000D396D"/>
    <w:rsid w:val="000D39CE"/>
    <w:rsid w:val="000D3A0E"/>
    <w:rsid w:val="000D3C24"/>
    <w:rsid w:val="000D3C8B"/>
    <w:rsid w:val="000D3ED4"/>
    <w:rsid w:val="000D3F9A"/>
    <w:rsid w:val="000D412C"/>
    <w:rsid w:val="000D4225"/>
    <w:rsid w:val="000D4417"/>
    <w:rsid w:val="000D4452"/>
    <w:rsid w:val="000D49B1"/>
    <w:rsid w:val="000D49D0"/>
    <w:rsid w:val="000D4A56"/>
    <w:rsid w:val="000D4CA1"/>
    <w:rsid w:val="000D4E6B"/>
    <w:rsid w:val="000D4EB4"/>
    <w:rsid w:val="000D4FEC"/>
    <w:rsid w:val="000D5035"/>
    <w:rsid w:val="000D52DE"/>
    <w:rsid w:val="000D5378"/>
    <w:rsid w:val="000D5495"/>
    <w:rsid w:val="000D57EF"/>
    <w:rsid w:val="000D5A66"/>
    <w:rsid w:val="000D5A7F"/>
    <w:rsid w:val="000D5E91"/>
    <w:rsid w:val="000D6125"/>
    <w:rsid w:val="000D6266"/>
    <w:rsid w:val="000D63C2"/>
    <w:rsid w:val="000D6508"/>
    <w:rsid w:val="000D6804"/>
    <w:rsid w:val="000D6848"/>
    <w:rsid w:val="000D696E"/>
    <w:rsid w:val="000D6DBD"/>
    <w:rsid w:val="000D6FA7"/>
    <w:rsid w:val="000D7110"/>
    <w:rsid w:val="000D7165"/>
    <w:rsid w:val="000D720B"/>
    <w:rsid w:val="000D7512"/>
    <w:rsid w:val="000D7878"/>
    <w:rsid w:val="000D78AD"/>
    <w:rsid w:val="000D797E"/>
    <w:rsid w:val="000D7D72"/>
    <w:rsid w:val="000D7D76"/>
    <w:rsid w:val="000E0673"/>
    <w:rsid w:val="000E077A"/>
    <w:rsid w:val="000E0957"/>
    <w:rsid w:val="000E0A28"/>
    <w:rsid w:val="000E1010"/>
    <w:rsid w:val="000E123C"/>
    <w:rsid w:val="000E14EC"/>
    <w:rsid w:val="000E1583"/>
    <w:rsid w:val="000E16C4"/>
    <w:rsid w:val="000E182D"/>
    <w:rsid w:val="000E1833"/>
    <w:rsid w:val="000E19DB"/>
    <w:rsid w:val="000E1BA0"/>
    <w:rsid w:val="000E1D7B"/>
    <w:rsid w:val="000E1EBC"/>
    <w:rsid w:val="000E1FE3"/>
    <w:rsid w:val="000E2341"/>
    <w:rsid w:val="000E2358"/>
    <w:rsid w:val="000E23BD"/>
    <w:rsid w:val="000E24EB"/>
    <w:rsid w:val="000E28F2"/>
    <w:rsid w:val="000E2938"/>
    <w:rsid w:val="000E2B16"/>
    <w:rsid w:val="000E2BA4"/>
    <w:rsid w:val="000E32B9"/>
    <w:rsid w:val="000E32D5"/>
    <w:rsid w:val="000E3949"/>
    <w:rsid w:val="000E399A"/>
    <w:rsid w:val="000E3F2E"/>
    <w:rsid w:val="000E3F74"/>
    <w:rsid w:val="000E4298"/>
    <w:rsid w:val="000E44DF"/>
    <w:rsid w:val="000E46BD"/>
    <w:rsid w:val="000E4776"/>
    <w:rsid w:val="000E48AB"/>
    <w:rsid w:val="000E4C1F"/>
    <w:rsid w:val="000E53A9"/>
    <w:rsid w:val="000E550C"/>
    <w:rsid w:val="000E56B6"/>
    <w:rsid w:val="000E57F6"/>
    <w:rsid w:val="000E57F7"/>
    <w:rsid w:val="000E5B05"/>
    <w:rsid w:val="000E5B07"/>
    <w:rsid w:val="000E60E3"/>
    <w:rsid w:val="000E6370"/>
    <w:rsid w:val="000E64B7"/>
    <w:rsid w:val="000E6875"/>
    <w:rsid w:val="000E68A3"/>
    <w:rsid w:val="000E6A3F"/>
    <w:rsid w:val="000E6E20"/>
    <w:rsid w:val="000E72EA"/>
    <w:rsid w:val="000E7805"/>
    <w:rsid w:val="000E794A"/>
    <w:rsid w:val="000E7BB4"/>
    <w:rsid w:val="000E7CDD"/>
    <w:rsid w:val="000E7E06"/>
    <w:rsid w:val="000F017D"/>
    <w:rsid w:val="000F0280"/>
    <w:rsid w:val="000F02F5"/>
    <w:rsid w:val="000F031E"/>
    <w:rsid w:val="000F0505"/>
    <w:rsid w:val="000F0838"/>
    <w:rsid w:val="000F0B82"/>
    <w:rsid w:val="000F0C2E"/>
    <w:rsid w:val="000F0FE3"/>
    <w:rsid w:val="000F11FB"/>
    <w:rsid w:val="000F172F"/>
    <w:rsid w:val="000F1CBE"/>
    <w:rsid w:val="000F1CD0"/>
    <w:rsid w:val="000F2020"/>
    <w:rsid w:val="000F208F"/>
    <w:rsid w:val="000F2475"/>
    <w:rsid w:val="000F2802"/>
    <w:rsid w:val="000F28AD"/>
    <w:rsid w:val="000F2A58"/>
    <w:rsid w:val="000F2AE3"/>
    <w:rsid w:val="000F2B2C"/>
    <w:rsid w:val="000F2EDC"/>
    <w:rsid w:val="000F363A"/>
    <w:rsid w:val="000F37D1"/>
    <w:rsid w:val="000F3E22"/>
    <w:rsid w:val="000F3E36"/>
    <w:rsid w:val="000F3FCD"/>
    <w:rsid w:val="000F3FCE"/>
    <w:rsid w:val="000F486D"/>
    <w:rsid w:val="000F4877"/>
    <w:rsid w:val="000F4AA1"/>
    <w:rsid w:val="000F4D03"/>
    <w:rsid w:val="000F4D45"/>
    <w:rsid w:val="000F4DF0"/>
    <w:rsid w:val="000F4F57"/>
    <w:rsid w:val="000F51EC"/>
    <w:rsid w:val="000F5300"/>
    <w:rsid w:val="000F53A7"/>
    <w:rsid w:val="000F5803"/>
    <w:rsid w:val="000F598C"/>
    <w:rsid w:val="000F5AE3"/>
    <w:rsid w:val="000F5B2B"/>
    <w:rsid w:val="000F5D5E"/>
    <w:rsid w:val="000F5D8E"/>
    <w:rsid w:val="000F5F52"/>
    <w:rsid w:val="000F6241"/>
    <w:rsid w:val="000F6485"/>
    <w:rsid w:val="000F65C7"/>
    <w:rsid w:val="000F65F8"/>
    <w:rsid w:val="000F6C9F"/>
    <w:rsid w:val="000F6D3B"/>
    <w:rsid w:val="000F6DED"/>
    <w:rsid w:val="000F6F79"/>
    <w:rsid w:val="000F72AA"/>
    <w:rsid w:val="000F72FA"/>
    <w:rsid w:val="000F7454"/>
    <w:rsid w:val="000F7642"/>
    <w:rsid w:val="000F7880"/>
    <w:rsid w:val="000F78D3"/>
    <w:rsid w:val="000F7900"/>
    <w:rsid w:val="000F7A73"/>
    <w:rsid w:val="000F7ACC"/>
    <w:rsid w:val="000F7CBA"/>
    <w:rsid w:val="000F7EAA"/>
    <w:rsid w:val="000F7F36"/>
    <w:rsid w:val="000F7FB5"/>
    <w:rsid w:val="00100061"/>
    <w:rsid w:val="001000D9"/>
    <w:rsid w:val="001001A6"/>
    <w:rsid w:val="00100758"/>
    <w:rsid w:val="00100A3B"/>
    <w:rsid w:val="00100BA5"/>
    <w:rsid w:val="0010104F"/>
    <w:rsid w:val="0010115D"/>
    <w:rsid w:val="00101640"/>
    <w:rsid w:val="001016DC"/>
    <w:rsid w:val="001017DC"/>
    <w:rsid w:val="00101C90"/>
    <w:rsid w:val="00101D1B"/>
    <w:rsid w:val="00101E91"/>
    <w:rsid w:val="00101F88"/>
    <w:rsid w:val="001022C2"/>
    <w:rsid w:val="001026E3"/>
    <w:rsid w:val="00102850"/>
    <w:rsid w:val="001028B7"/>
    <w:rsid w:val="00102C09"/>
    <w:rsid w:val="00102ED0"/>
    <w:rsid w:val="00103019"/>
    <w:rsid w:val="0010317E"/>
    <w:rsid w:val="001035E0"/>
    <w:rsid w:val="00103E72"/>
    <w:rsid w:val="0010403D"/>
    <w:rsid w:val="00104D79"/>
    <w:rsid w:val="00104DB2"/>
    <w:rsid w:val="00104E66"/>
    <w:rsid w:val="00104ED5"/>
    <w:rsid w:val="00104FB4"/>
    <w:rsid w:val="001055F6"/>
    <w:rsid w:val="00105C9B"/>
    <w:rsid w:val="00105D15"/>
    <w:rsid w:val="001060F6"/>
    <w:rsid w:val="0010613E"/>
    <w:rsid w:val="001061AB"/>
    <w:rsid w:val="00106546"/>
    <w:rsid w:val="0010683B"/>
    <w:rsid w:val="001069A1"/>
    <w:rsid w:val="00106B13"/>
    <w:rsid w:val="00106BE9"/>
    <w:rsid w:val="00106C8A"/>
    <w:rsid w:val="00106D5B"/>
    <w:rsid w:val="00106F52"/>
    <w:rsid w:val="00107056"/>
    <w:rsid w:val="001071ED"/>
    <w:rsid w:val="001074E3"/>
    <w:rsid w:val="001075FA"/>
    <w:rsid w:val="001078E7"/>
    <w:rsid w:val="00107D7D"/>
    <w:rsid w:val="00107DFD"/>
    <w:rsid w:val="001101A9"/>
    <w:rsid w:val="0011028A"/>
    <w:rsid w:val="0011036C"/>
    <w:rsid w:val="00110377"/>
    <w:rsid w:val="00110388"/>
    <w:rsid w:val="001103D8"/>
    <w:rsid w:val="001103DB"/>
    <w:rsid w:val="001103ED"/>
    <w:rsid w:val="001105E0"/>
    <w:rsid w:val="001107BF"/>
    <w:rsid w:val="001108C4"/>
    <w:rsid w:val="00110A7B"/>
    <w:rsid w:val="00110B96"/>
    <w:rsid w:val="00110E29"/>
    <w:rsid w:val="00110EA5"/>
    <w:rsid w:val="0011108C"/>
    <w:rsid w:val="00111338"/>
    <w:rsid w:val="001114E5"/>
    <w:rsid w:val="001116BA"/>
    <w:rsid w:val="0011170B"/>
    <w:rsid w:val="00111AB0"/>
    <w:rsid w:val="00111B78"/>
    <w:rsid w:val="00111B8C"/>
    <w:rsid w:val="00111BCB"/>
    <w:rsid w:val="00111DDE"/>
    <w:rsid w:val="00111E92"/>
    <w:rsid w:val="00111ECC"/>
    <w:rsid w:val="00112A29"/>
    <w:rsid w:val="00112D6F"/>
    <w:rsid w:val="00112DD2"/>
    <w:rsid w:val="00112DDD"/>
    <w:rsid w:val="00112DDF"/>
    <w:rsid w:val="00112F2A"/>
    <w:rsid w:val="00113427"/>
    <w:rsid w:val="001136C7"/>
    <w:rsid w:val="001136CE"/>
    <w:rsid w:val="00113A70"/>
    <w:rsid w:val="00113AC8"/>
    <w:rsid w:val="00113CFB"/>
    <w:rsid w:val="00114248"/>
    <w:rsid w:val="001142D4"/>
    <w:rsid w:val="001145C3"/>
    <w:rsid w:val="00114812"/>
    <w:rsid w:val="0011517B"/>
    <w:rsid w:val="00115463"/>
    <w:rsid w:val="001157C3"/>
    <w:rsid w:val="00115849"/>
    <w:rsid w:val="00115BD1"/>
    <w:rsid w:val="00116015"/>
    <w:rsid w:val="00116547"/>
    <w:rsid w:val="0011657A"/>
    <w:rsid w:val="0011664C"/>
    <w:rsid w:val="001167CE"/>
    <w:rsid w:val="0011693E"/>
    <w:rsid w:val="00116FAD"/>
    <w:rsid w:val="00117131"/>
    <w:rsid w:val="00117152"/>
    <w:rsid w:val="001171DA"/>
    <w:rsid w:val="00117831"/>
    <w:rsid w:val="001179EA"/>
    <w:rsid w:val="00117B2D"/>
    <w:rsid w:val="00117FAE"/>
    <w:rsid w:val="001200A6"/>
    <w:rsid w:val="00120448"/>
    <w:rsid w:val="001204BA"/>
    <w:rsid w:val="00120615"/>
    <w:rsid w:val="00120738"/>
    <w:rsid w:val="00120D69"/>
    <w:rsid w:val="00120DEE"/>
    <w:rsid w:val="00120E58"/>
    <w:rsid w:val="0012106B"/>
    <w:rsid w:val="001212DF"/>
    <w:rsid w:val="001212E7"/>
    <w:rsid w:val="00121535"/>
    <w:rsid w:val="00121551"/>
    <w:rsid w:val="001216C8"/>
    <w:rsid w:val="001217F3"/>
    <w:rsid w:val="00121DF2"/>
    <w:rsid w:val="00121F48"/>
    <w:rsid w:val="00122072"/>
    <w:rsid w:val="00122120"/>
    <w:rsid w:val="001222BE"/>
    <w:rsid w:val="001225A9"/>
    <w:rsid w:val="0012265B"/>
    <w:rsid w:val="00123280"/>
    <w:rsid w:val="001232FA"/>
    <w:rsid w:val="001234F3"/>
    <w:rsid w:val="00123509"/>
    <w:rsid w:val="001237C2"/>
    <w:rsid w:val="00123922"/>
    <w:rsid w:val="00123B05"/>
    <w:rsid w:val="00123BAB"/>
    <w:rsid w:val="00123F20"/>
    <w:rsid w:val="00123FC4"/>
    <w:rsid w:val="00123FDE"/>
    <w:rsid w:val="001241A3"/>
    <w:rsid w:val="001245BF"/>
    <w:rsid w:val="001246BA"/>
    <w:rsid w:val="001248C6"/>
    <w:rsid w:val="0012498F"/>
    <w:rsid w:val="00124B53"/>
    <w:rsid w:val="00124B74"/>
    <w:rsid w:val="00124B8C"/>
    <w:rsid w:val="00124FE6"/>
    <w:rsid w:val="00125289"/>
    <w:rsid w:val="001252E8"/>
    <w:rsid w:val="00125378"/>
    <w:rsid w:val="00125452"/>
    <w:rsid w:val="0012545D"/>
    <w:rsid w:val="001255E8"/>
    <w:rsid w:val="0012571E"/>
    <w:rsid w:val="001259D3"/>
    <w:rsid w:val="00125A5E"/>
    <w:rsid w:val="00125B16"/>
    <w:rsid w:val="00125BDE"/>
    <w:rsid w:val="00125CE1"/>
    <w:rsid w:val="00125EC5"/>
    <w:rsid w:val="0012607A"/>
    <w:rsid w:val="001260D0"/>
    <w:rsid w:val="001261B9"/>
    <w:rsid w:val="00126AF3"/>
    <w:rsid w:val="00126CEF"/>
    <w:rsid w:val="00126DDB"/>
    <w:rsid w:val="001275A0"/>
    <w:rsid w:val="00127A77"/>
    <w:rsid w:val="00127E82"/>
    <w:rsid w:val="001300E4"/>
    <w:rsid w:val="001302BE"/>
    <w:rsid w:val="001305FB"/>
    <w:rsid w:val="0013069A"/>
    <w:rsid w:val="0013069D"/>
    <w:rsid w:val="001306B6"/>
    <w:rsid w:val="001306F6"/>
    <w:rsid w:val="00130837"/>
    <w:rsid w:val="00130BD9"/>
    <w:rsid w:val="00130C05"/>
    <w:rsid w:val="00130E58"/>
    <w:rsid w:val="00130E87"/>
    <w:rsid w:val="001313A3"/>
    <w:rsid w:val="0013142C"/>
    <w:rsid w:val="00132555"/>
    <w:rsid w:val="00132571"/>
    <w:rsid w:val="00132787"/>
    <w:rsid w:val="00132B46"/>
    <w:rsid w:val="00132E55"/>
    <w:rsid w:val="00132E94"/>
    <w:rsid w:val="00132FCB"/>
    <w:rsid w:val="0013319E"/>
    <w:rsid w:val="0013321B"/>
    <w:rsid w:val="001332AB"/>
    <w:rsid w:val="00133395"/>
    <w:rsid w:val="001335E5"/>
    <w:rsid w:val="001336B0"/>
    <w:rsid w:val="0013383E"/>
    <w:rsid w:val="00133C8E"/>
    <w:rsid w:val="00133D8E"/>
    <w:rsid w:val="00133ED6"/>
    <w:rsid w:val="00133FED"/>
    <w:rsid w:val="00134112"/>
    <w:rsid w:val="001344E4"/>
    <w:rsid w:val="0013456D"/>
    <w:rsid w:val="001345F2"/>
    <w:rsid w:val="001347E0"/>
    <w:rsid w:val="00134969"/>
    <w:rsid w:val="00134BC8"/>
    <w:rsid w:val="00134C31"/>
    <w:rsid w:val="00134C37"/>
    <w:rsid w:val="00134E7A"/>
    <w:rsid w:val="00134FCD"/>
    <w:rsid w:val="0013505B"/>
    <w:rsid w:val="00135074"/>
    <w:rsid w:val="001350CD"/>
    <w:rsid w:val="0013511E"/>
    <w:rsid w:val="001351E4"/>
    <w:rsid w:val="0013561E"/>
    <w:rsid w:val="00135A30"/>
    <w:rsid w:val="00135D79"/>
    <w:rsid w:val="00135E9B"/>
    <w:rsid w:val="001361A1"/>
    <w:rsid w:val="0013632B"/>
    <w:rsid w:val="00136330"/>
    <w:rsid w:val="0013664B"/>
    <w:rsid w:val="001366FC"/>
    <w:rsid w:val="00136733"/>
    <w:rsid w:val="00136A32"/>
    <w:rsid w:val="00136D0B"/>
    <w:rsid w:val="00136D86"/>
    <w:rsid w:val="00136E74"/>
    <w:rsid w:val="00137142"/>
    <w:rsid w:val="00137149"/>
    <w:rsid w:val="0013735F"/>
    <w:rsid w:val="001375BC"/>
    <w:rsid w:val="00137665"/>
    <w:rsid w:val="001376EC"/>
    <w:rsid w:val="00137993"/>
    <w:rsid w:val="00137A6C"/>
    <w:rsid w:val="0014000E"/>
    <w:rsid w:val="0014004F"/>
    <w:rsid w:val="0014007B"/>
    <w:rsid w:val="001403BF"/>
    <w:rsid w:val="00140533"/>
    <w:rsid w:val="00140797"/>
    <w:rsid w:val="001408EE"/>
    <w:rsid w:val="001409CC"/>
    <w:rsid w:val="00140AFE"/>
    <w:rsid w:val="00140EB8"/>
    <w:rsid w:val="00140EC5"/>
    <w:rsid w:val="00140F61"/>
    <w:rsid w:val="00140F8F"/>
    <w:rsid w:val="00140FC5"/>
    <w:rsid w:val="00140FDB"/>
    <w:rsid w:val="00141359"/>
    <w:rsid w:val="0014173D"/>
    <w:rsid w:val="00141AAD"/>
    <w:rsid w:val="00141F5B"/>
    <w:rsid w:val="001423E2"/>
    <w:rsid w:val="001428BD"/>
    <w:rsid w:val="001429F7"/>
    <w:rsid w:val="00142A3B"/>
    <w:rsid w:val="00142C6F"/>
    <w:rsid w:val="00143534"/>
    <w:rsid w:val="0014362A"/>
    <w:rsid w:val="0014363C"/>
    <w:rsid w:val="00143674"/>
    <w:rsid w:val="00143A3D"/>
    <w:rsid w:val="001440B8"/>
    <w:rsid w:val="00144537"/>
    <w:rsid w:val="001446E5"/>
    <w:rsid w:val="00144734"/>
    <w:rsid w:val="001447E2"/>
    <w:rsid w:val="001447EC"/>
    <w:rsid w:val="00144908"/>
    <w:rsid w:val="001453C0"/>
    <w:rsid w:val="001455D0"/>
    <w:rsid w:val="00145808"/>
    <w:rsid w:val="00146248"/>
    <w:rsid w:val="0014630C"/>
    <w:rsid w:val="00146322"/>
    <w:rsid w:val="0014637A"/>
    <w:rsid w:val="001464B9"/>
    <w:rsid w:val="001465AD"/>
    <w:rsid w:val="0014674E"/>
    <w:rsid w:val="00146832"/>
    <w:rsid w:val="00146CBA"/>
    <w:rsid w:val="001470F8"/>
    <w:rsid w:val="001471D5"/>
    <w:rsid w:val="00147280"/>
    <w:rsid w:val="00147484"/>
    <w:rsid w:val="001474D0"/>
    <w:rsid w:val="00147539"/>
    <w:rsid w:val="0014756E"/>
    <w:rsid w:val="00147814"/>
    <w:rsid w:val="001479CA"/>
    <w:rsid w:val="00147AB1"/>
    <w:rsid w:val="00147B51"/>
    <w:rsid w:val="00147E96"/>
    <w:rsid w:val="00147F5B"/>
    <w:rsid w:val="00150359"/>
    <w:rsid w:val="0015036D"/>
    <w:rsid w:val="001505DF"/>
    <w:rsid w:val="00150D35"/>
    <w:rsid w:val="00150D39"/>
    <w:rsid w:val="00150FAC"/>
    <w:rsid w:val="00151161"/>
    <w:rsid w:val="0015124B"/>
    <w:rsid w:val="001515D1"/>
    <w:rsid w:val="00151638"/>
    <w:rsid w:val="001519A4"/>
    <w:rsid w:val="00151AAE"/>
    <w:rsid w:val="00151B1E"/>
    <w:rsid w:val="00151DB9"/>
    <w:rsid w:val="00151E3B"/>
    <w:rsid w:val="00151EF8"/>
    <w:rsid w:val="00151F15"/>
    <w:rsid w:val="00151FE6"/>
    <w:rsid w:val="001528B2"/>
    <w:rsid w:val="0015290C"/>
    <w:rsid w:val="00152973"/>
    <w:rsid w:val="001537FA"/>
    <w:rsid w:val="00153914"/>
    <w:rsid w:val="00153CEE"/>
    <w:rsid w:val="00153F26"/>
    <w:rsid w:val="001541D9"/>
    <w:rsid w:val="00154394"/>
    <w:rsid w:val="001544C5"/>
    <w:rsid w:val="001547DE"/>
    <w:rsid w:val="00154B45"/>
    <w:rsid w:val="00154BBB"/>
    <w:rsid w:val="00154BC3"/>
    <w:rsid w:val="00154E73"/>
    <w:rsid w:val="001553B6"/>
    <w:rsid w:val="0015550E"/>
    <w:rsid w:val="00155563"/>
    <w:rsid w:val="001557F2"/>
    <w:rsid w:val="0015592E"/>
    <w:rsid w:val="00155998"/>
    <w:rsid w:val="00155A3C"/>
    <w:rsid w:val="00155B27"/>
    <w:rsid w:val="00155BDA"/>
    <w:rsid w:val="00155C20"/>
    <w:rsid w:val="00155C23"/>
    <w:rsid w:val="00155FB0"/>
    <w:rsid w:val="001562FE"/>
    <w:rsid w:val="00156399"/>
    <w:rsid w:val="00156506"/>
    <w:rsid w:val="001566E8"/>
    <w:rsid w:val="001568DA"/>
    <w:rsid w:val="00156BEC"/>
    <w:rsid w:val="00156EBB"/>
    <w:rsid w:val="00156F47"/>
    <w:rsid w:val="00157066"/>
    <w:rsid w:val="001572AE"/>
    <w:rsid w:val="001572E5"/>
    <w:rsid w:val="00157334"/>
    <w:rsid w:val="001576AB"/>
    <w:rsid w:val="00157851"/>
    <w:rsid w:val="00157DB9"/>
    <w:rsid w:val="001604AF"/>
    <w:rsid w:val="00160608"/>
    <w:rsid w:val="001608B1"/>
    <w:rsid w:val="001609BE"/>
    <w:rsid w:val="001609C6"/>
    <w:rsid w:val="00160A32"/>
    <w:rsid w:val="00160BE5"/>
    <w:rsid w:val="00160D2B"/>
    <w:rsid w:val="00160FA5"/>
    <w:rsid w:val="0016102D"/>
    <w:rsid w:val="001618B2"/>
    <w:rsid w:val="00161E65"/>
    <w:rsid w:val="00161E70"/>
    <w:rsid w:val="00161F01"/>
    <w:rsid w:val="00162117"/>
    <w:rsid w:val="00162207"/>
    <w:rsid w:val="0016244B"/>
    <w:rsid w:val="0016248E"/>
    <w:rsid w:val="001629A1"/>
    <w:rsid w:val="00162B30"/>
    <w:rsid w:val="00162CB6"/>
    <w:rsid w:val="00162E11"/>
    <w:rsid w:val="00162F39"/>
    <w:rsid w:val="00162F6D"/>
    <w:rsid w:val="00163131"/>
    <w:rsid w:val="001631FC"/>
    <w:rsid w:val="00163247"/>
    <w:rsid w:val="00163345"/>
    <w:rsid w:val="0016391C"/>
    <w:rsid w:val="00164065"/>
    <w:rsid w:val="0016406C"/>
    <w:rsid w:val="001642CA"/>
    <w:rsid w:val="0016476D"/>
    <w:rsid w:val="00164DAD"/>
    <w:rsid w:val="00164FBF"/>
    <w:rsid w:val="001652E6"/>
    <w:rsid w:val="00165354"/>
    <w:rsid w:val="00165517"/>
    <w:rsid w:val="00165D66"/>
    <w:rsid w:val="00165E31"/>
    <w:rsid w:val="00165F39"/>
    <w:rsid w:val="00165FAC"/>
    <w:rsid w:val="001662A5"/>
    <w:rsid w:val="00166368"/>
    <w:rsid w:val="00166462"/>
    <w:rsid w:val="001664C2"/>
    <w:rsid w:val="001667FB"/>
    <w:rsid w:val="00166A2D"/>
    <w:rsid w:val="00166B17"/>
    <w:rsid w:val="00166B6F"/>
    <w:rsid w:val="00166DB6"/>
    <w:rsid w:val="00167090"/>
    <w:rsid w:val="0016714B"/>
    <w:rsid w:val="0016737E"/>
    <w:rsid w:val="00167428"/>
    <w:rsid w:val="00167584"/>
    <w:rsid w:val="001675EF"/>
    <w:rsid w:val="00167DDE"/>
    <w:rsid w:val="00167E75"/>
    <w:rsid w:val="00167E90"/>
    <w:rsid w:val="001700F1"/>
    <w:rsid w:val="001702AE"/>
    <w:rsid w:val="001705AC"/>
    <w:rsid w:val="00170702"/>
    <w:rsid w:val="001709D2"/>
    <w:rsid w:val="00170F6F"/>
    <w:rsid w:val="00171143"/>
    <w:rsid w:val="001711C0"/>
    <w:rsid w:val="00171293"/>
    <w:rsid w:val="001712F9"/>
    <w:rsid w:val="00171424"/>
    <w:rsid w:val="00171754"/>
    <w:rsid w:val="00171872"/>
    <w:rsid w:val="00171907"/>
    <w:rsid w:val="00171ABC"/>
    <w:rsid w:val="00171B73"/>
    <w:rsid w:val="00171F52"/>
    <w:rsid w:val="001721A6"/>
    <w:rsid w:val="00172434"/>
    <w:rsid w:val="001726ED"/>
    <w:rsid w:val="0017272E"/>
    <w:rsid w:val="00172763"/>
    <w:rsid w:val="001728D0"/>
    <w:rsid w:val="00172ACA"/>
    <w:rsid w:val="00172D3B"/>
    <w:rsid w:val="001731F8"/>
    <w:rsid w:val="00173D96"/>
    <w:rsid w:val="00173E04"/>
    <w:rsid w:val="00173E43"/>
    <w:rsid w:val="00173ECA"/>
    <w:rsid w:val="00173FA2"/>
    <w:rsid w:val="00173FBF"/>
    <w:rsid w:val="0017428F"/>
    <w:rsid w:val="001742C7"/>
    <w:rsid w:val="00174832"/>
    <w:rsid w:val="00174CCD"/>
    <w:rsid w:val="00174DE0"/>
    <w:rsid w:val="00174EF9"/>
    <w:rsid w:val="001754CE"/>
    <w:rsid w:val="001756B3"/>
    <w:rsid w:val="00175D5B"/>
    <w:rsid w:val="001760B2"/>
    <w:rsid w:val="00176119"/>
    <w:rsid w:val="001763BA"/>
    <w:rsid w:val="00176A18"/>
    <w:rsid w:val="00176EA5"/>
    <w:rsid w:val="001771E7"/>
    <w:rsid w:val="001773E5"/>
    <w:rsid w:val="00177540"/>
    <w:rsid w:val="001775B3"/>
    <w:rsid w:val="00177623"/>
    <w:rsid w:val="00177699"/>
    <w:rsid w:val="001776AF"/>
    <w:rsid w:val="0017777A"/>
    <w:rsid w:val="001778A0"/>
    <w:rsid w:val="001779D3"/>
    <w:rsid w:val="00177B8B"/>
    <w:rsid w:val="00177CB6"/>
    <w:rsid w:val="00177E42"/>
    <w:rsid w:val="00177E55"/>
    <w:rsid w:val="00177E5D"/>
    <w:rsid w:val="001800F0"/>
    <w:rsid w:val="0018029F"/>
    <w:rsid w:val="00180458"/>
    <w:rsid w:val="001806DB"/>
    <w:rsid w:val="00180863"/>
    <w:rsid w:val="00180942"/>
    <w:rsid w:val="00180B3E"/>
    <w:rsid w:val="00180B53"/>
    <w:rsid w:val="00180C51"/>
    <w:rsid w:val="00180DC4"/>
    <w:rsid w:val="00180E63"/>
    <w:rsid w:val="00181558"/>
    <w:rsid w:val="00181CE4"/>
    <w:rsid w:val="00181D53"/>
    <w:rsid w:val="0018231D"/>
    <w:rsid w:val="0018273C"/>
    <w:rsid w:val="001827DF"/>
    <w:rsid w:val="00182C5C"/>
    <w:rsid w:val="00182CE8"/>
    <w:rsid w:val="00182EFD"/>
    <w:rsid w:val="00182FDD"/>
    <w:rsid w:val="0018334A"/>
    <w:rsid w:val="001833FB"/>
    <w:rsid w:val="00183449"/>
    <w:rsid w:val="0018360B"/>
    <w:rsid w:val="0018370C"/>
    <w:rsid w:val="0018388B"/>
    <w:rsid w:val="00183A4D"/>
    <w:rsid w:val="00183A77"/>
    <w:rsid w:val="001841B2"/>
    <w:rsid w:val="00184388"/>
    <w:rsid w:val="0018457C"/>
    <w:rsid w:val="00184984"/>
    <w:rsid w:val="00184B11"/>
    <w:rsid w:val="00184C0E"/>
    <w:rsid w:val="00184E80"/>
    <w:rsid w:val="00184F1E"/>
    <w:rsid w:val="0018509E"/>
    <w:rsid w:val="0018550F"/>
    <w:rsid w:val="00185750"/>
    <w:rsid w:val="00185824"/>
    <w:rsid w:val="00185AD8"/>
    <w:rsid w:val="00185E91"/>
    <w:rsid w:val="00186874"/>
    <w:rsid w:val="00186989"/>
    <w:rsid w:val="00186EA9"/>
    <w:rsid w:val="00186EB6"/>
    <w:rsid w:val="00187218"/>
    <w:rsid w:val="001877EC"/>
    <w:rsid w:val="00187911"/>
    <w:rsid w:val="00187F0F"/>
    <w:rsid w:val="001905CD"/>
    <w:rsid w:val="00190607"/>
    <w:rsid w:val="0019082C"/>
    <w:rsid w:val="00190E46"/>
    <w:rsid w:val="00190EE1"/>
    <w:rsid w:val="00190FAD"/>
    <w:rsid w:val="00191039"/>
    <w:rsid w:val="0019115A"/>
    <w:rsid w:val="00191161"/>
    <w:rsid w:val="00191459"/>
    <w:rsid w:val="001918C4"/>
    <w:rsid w:val="00191B57"/>
    <w:rsid w:val="00191CFB"/>
    <w:rsid w:val="00191E0C"/>
    <w:rsid w:val="00191EFB"/>
    <w:rsid w:val="00191F16"/>
    <w:rsid w:val="0019245B"/>
    <w:rsid w:val="001927A7"/>
    <w:rsid w:val="00192C20"/>
    <w:rsid w:val="00192E1D"/>
    <w:rsid w:val="00192E2E"/>
    <w:rsid w:val="00193483"/>
    <w:rsid w:val="00193562"/>
    <w:rsid w:val="00193611"/>
    <w:rsid w:val="001937CE"/>
    <w:rsid w:val="001937DE"/>
    <w:rsid w:val="001938CA"/>
    <w:rsid w:val="00193BB8"/>
    <w:rsid w:val="00193CD9"/>
    <w:rsid w:val="00193DA3"/>
    <w:rsid w:val="00193F2F"/>
    <w:rsid w:val="00193F41"/>
    <w:rsid w:val="00193F6D"/>
    <w:rsid w:val="001941DF"/>
    <w:rsid w:val="00194258"/>
    <w:rsid w:val="00194296"/>
    <w:rsid w:val="0019452C"/>
    <w:rsid w:val="00194668"/>
    <w:rsid w:val="001946F9"/>
    <w:rsid w:val="00194898"/>
    <w:rsid w:val="00194979"/>
    <w:rsid w:val="00194CB8"/>
    <w:rsid w:val="00195186"/>
    <w:rsid w:val="0019567D"/>
    <w:rsid w:val="001957C9"/>
    <w:rsid w:val="00195A69"/>
    <w:rsid w:val="00195D1A"/>
    <w:rsid w:val="00195EE4"/>
    <w:rsid w:val="00196217"/>
    <w:rsid w:val="00196262"/>
    <w:rsid w:val="001963EE"/>
    <w:rsid w:val="0019647C"/>
    <w:rsid w:val="001964ED"/>
    <w:rsid w:val="0019660B"/>
    <w:rsid w:val="00196712"/>
    <w:rsid w:val="00196745"/>
    <w:rsid w:val="00196858"/>
    <w:rsid w:val="00196B45"/>
    <w:rsid w:val="00196C2A"/>
    <w:rsid w:val="00196F48"/>
    <w:rsid w:val="00196F50"/>
    <w:rsid w:val="00197473"/>
    <w:rsid w:val="001975BA"/>
    <w:rsid w:val="0019795C"/>
    <w:rsid w:val="001979D4"/>
    <w:rsid w:val="00197DFB"/>
    <w:rsid w:val="00197E44"/>
    <w:rsid w:val="001A00B4"/>
    <w:rsid w:val="001A00DE"/>
    <w:rsid w:val="001A0168"/>
    <w:rsid w:val="001A02E5"/>
    <w:rsid w:val="001A04A1"/>
    <w:rsid w:val="001A07B4"/>
    <w:rsid w:val="001A086A"/>
    <w:rsid w:val="001A0B22"/>
    <w:rsid w:val="001A0E84"/>
    <w:rsid w:val="001A111A"/>
    <w:rsid w:val="001A13A0"/>
    <w:rsid w:val="001A1650"/>
    <w:rsid w:val="001A179C"/>
    <w:rsid w:val="001A17AD"/>
    <w:rsid w:val="001A1834"/>
    <w:rsid w:val="001A1DE5"/>
    <w:rsid w:val="001A2026"/>
    <w:rsid w:val="001A208D"/>
    <w:rsid w:val="001A20C8"/>
    <w:rsid w:val="001A245E"/>
    <w:rsid w:val="001A2492"/>
    <w:rsid w:val="001A26D9"/>
    <w:rsid w:val="001A3195"/>
    <w:rsid w:val="001A36A7"/>
    <w:rsid w:val="001A3907"/>
    <w:rsid w:val="001A399F"/>
    <w:rsid w:val="001A3B27"/>
    <w:rsid w:val="001A3CAE"/>
    <w:rsid w:val="001A3D70"/>
    <w:rsid w:val="001A3F89"/>
    <w:rsid w:val="001A42BD"/>
    <w:rsid w:val="001A4337"/>
    <w:rsid w:val="001A4348"/>
    <w:rsid w:val="001A4B2B"/>
    <w:rsid w:val="001A4CDD"/>
    <w:rsid w:val="001A4EBA"/>
    <w:rsid w:val="001A4F37"/>
    <w:rsid w:val="001A5879"/>
    <w:rsid w:val="001A5A85"/>
    <w:rsid w:val="001A5ACD"/>
    <w:rsid w:val="001A5B54"/>
    <w:rsid w:val="001A5C33"/>
    <w:rsid w:val="001A5C9F"/>
    <w:rsid w:val="001A5D17"/>
    <w:rsid w:val="001A5D7B"/>
    <w:rsid w:val="001A5EC2"/>
    <w:rsid w:val="001A60AD"/>
    <w:rsid w:val="001A6764"/>
    <w:rsid w:val="001A6AA8"/>
    <w:rsid w:val="001A6ADF"/>
    <w:rsid w:val="001A6C30"/>
    <w:rsid w:val="001A6CBC"/>
    <w:rsid w:val="001A7031"/>
    <w:rsid w:val="001A7083"/>
    <w:rsid w:val="001B000A"/>
    <w:rsid w:val="001B0110"/>
    <w:rsid w:val="001B0212"/>
    <w:rsid w:val="001B02C9"/>
    <w:rsid w:val="001B02FF"/>
    <w:rsid w:val="001B0793"/>
    <w:rsid w:val="001B0A18"/>
    <w:rsid w:val="001B0A87"/>
    <w:rsid w:val="001B0AEC"/>
    <w:rsid w:val="001B0D5B"/>
    <w:rsid w:val="001B0E19"/>
    <w:rsid w:val="001B0FD5"/>
    <w:rsid w:val="001B114F"/>
    <w:rsid w:val="001B12E0"/>
    <w:rsid w:val="001B13AD"/>
    <w:rsid w:val="001B1443"/>
    <w:rsid w:val="001B173E"/>
    <w:rsid w:val="001B1E8B"/>
    <w:rsid w:val="001B2269"/>
    <w:rsid w:val="001B23D2"/>
    <w:rsid w:val="001B2558"/>
    <w:rsid w:val="001B255E"/>
    <w:rsid w:val="001B25F0"/>
    <w:rsid w:val="001B28D6"/>
    <w:rsid w:val="001B2AFD"/>
    <w:rsid w:val="001B2C82"/>
    <w:rsid w:val="001B305E"/>
    <w:rsid w:val="001B3074"/>
    <w:rsid w:val="001B3121"/>
    <w:rsid w:val="001B313A"/>
    <w:rsid w:val="001B3459"/>
    <w:rsid w:val="001B35B5"/>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CD9"/>
    <w:rsid w:val="001B6EBA"/>
    <w:rsid w:val="001B6F36"/>
    <w:rsid w:val="001B7241"/>
    <w:rsid w:val="001B726A"/>
    <w:rsid w:val="001B77B5"/>
    <w:rsid w:val="001B786B"/>
    <w:rsid w:val="001B7A11"/>
    <w:rsid w:val="001B7AE3"/>
    <w:rsid w:val="001B7D13"/>
    <w:rsid w:val="001B7F68"/>
    <w:rsid w:val="001B7F98"/>
    <w:rsid w:val="001C0008"/>
    <w:rsid w:val="001C0129"/>
    <w:rsid w:val="001C0316"/>
    <w:rsid w:val="001C0839"/>
    <w:rsid w:val="001C0B26"/>
    <w:rsid w:val="001C13E3"/>
    <w:rsid w:val="001C1617"/>
    <w:rsid w:val="001C183F"/>
    <w:rsid w:val="001C1BD1"/>
    <w:rsid w:val="001C1C97"/>
    <w:rsid w:val="001C2190"/>
    <w:rsid w:val="001C292C"/>
    <w:rsid w:val="001C2F74"/>
    <w:rsid w:val="001C3141"/>
    <w:rsid w:val="001C31BF"/>
    <w:rsid w:val="001C31C8"/>
    <w:rsid w:val="001C33D8"/>
    <w:rsid w:val="001C3677"/>
    <w:rsid w:val="001C36F4"/>
    <w:rsid w:val="001C3C3D"/>
    <w:rsid w:val="001C3CC1"/>
    <w:rsid w:val="001C3E9C"/>
    <w:rsid w:val="001C3EA0"/>
    <w:rsid w:val="001C4004"/>
    <w:rsid w:val="001C4129"/>
    <w:rsid w:val="001C417C"/>
    <w:rsid w:val="001C41C5"/>
    <w:rsid w:val="001C42F4"/>
    <w:rsid w:val="001C4443"/>
    <w:rsid w:val="001C4752"/>
    <w:rsid w:val="001C4765"/>
    <w:rsid w:val="001C47C8"/>
    <w:rsid w:val="001C4C7C"/>
    <w:rsid w:val="001C5096"/>
    <w:rsid w:val="001C50DD"/>
    <w:rsid w:val="001C553C"/>
    <w:rsid w:val="001C5B06"/>
    <w:rsid w:val="001C5B3B"/>
    <w:rsid w:val="001C5D06"/>
    <w:rsid w:val="001C5D27"/>
    <w:rsid w:val="001C5F6D"/>
    <w:rsid w:val="001C601D"/>
    <w:rsid w:val="001C60DE"/>
    <w:rsid w:val="001C6451"/>
    <w:rsid w:val="001C64F9"/>
    <w:rsid w:val="001C651D"/>
    <w:rsid w:val="001C674C"/>
    <w:rsid w:val="001C6762"/>
    <w:rsid w:val="001C685C"/>
    <w:rsid w:val="001C6950"/>
    <w:rsid w:val="001C6D04"/>
    <w:rsid w:val="001C6DB5"/>
    <w:rsid w:val="001C6FCC"/>
    <w:rsid w:val="001C7248"/>
    <w:rsid w:val="001D00CA"/>
    <w:rsid w:val="001D0403"/>
    <w:rsid w:val="001D0A7C"/>
    <w:rsid w:val="001D0A90"/>
    <w:rsid w:val="001D0AE4"/>
    <w:rsid w:val="001D0B32"/>
    <w:rsid w:val="001D0C7D"/>
    <w:rsid w:val="001D0CB3"/>
    <w:rsid w:val="001D0E4A"/>
    <w:rsid w:val="001D0EE9"/>
    <w:rsid w:val="001D1174"/>
    <w:rsid w:val="001D13C4"/>
    <w:rsid w:val="001D1467"/>
    <w:rsid w:val="001D15B0"/>
    <w:rsid w:val="001D15C5"/>
    <w:rsid w:val="001D19AA"/>
    <w:rsid w:val="001D1B7E"/>
    <w:rsid w:val="001D1C02"/>
    <w:rsid w:val="001D1DE8"/>
    <w:rsid w:val="001D213E"/>
    <w:rsid w:val="001D2348"/>
    <w:rsid w:val="001D243D"/>
    <w:rsid w:val="001D2451"/>
    <w:rsid w:val="001D2754"/>
    <w:rsid w:val="001D283D"/>
    <w:rsid w:val="001D2E29"/>
    <w:rsid w:val="001D358E"/>
    <w:rsid w:val="001D3797"/>
    <w:rsid w:val="001D3CAA"/>
    <w:rsid w:val="001D3CBC"/>
    <w:rsid w:val="001D3E91"/>
    <w:rsid w:val="001D3F05"/>
    <w:rsid w:val="001D42CC"/>
    <w:rsid w:val="001D4467"/>
    <w:rsid w:val="001D477D"/>
    <w:rsid w:val="001D4CA8"/>
    <w:rsid w:val="001D4D3D"/>
    <w:rsid w:val="001D4E94"/>
    <w:rsid w:val="001D50BA"/>
    <w:rsid w:val="001D5307"/>
    <w:rsid w:val="001D55E5"/>
    <w:rsid w:val="001D56A8"/>
    <w:rsid w:val="001D56CD"/>
    <w:rsid w:val="001D5825"/>
    <w:rsid w:val="001D5887"/>
    <w:rsid w:val="001D598C"/>
    <w:rsid w:val="001D5B59"/>
    <w:rsid w:val="001D6019"/>
    <w:rsid w:val="001D6028"/>
    <w:rsid w:val="001D6295"/>
    <w:rsid w:val="001D657C"/>
    <w:rsid w:val="001D664C"/>
    <w:rsid w:val="001D6823"/>
    <w:rsid w:val="001D6826"/>
    <w:rsid w:val="001D69C4"/>
    <w:rsid w:val="001D69F5"/>
    <w:rsid w:val="001D6A7C"/>
    <w:rsid w:val="001D6B5C"/>
    <w:rsid w:val="001D6EC4"/>
    <w:rsid w:val="001D7250"/>
    <w:rsid w:val="001D72DB"/>
    <w:rsid w:val="001D765C"/>
    <w:rsid w:val="001D7723"/>
    <w:rsid w:val="001D78F1"/>
    <w:rsid w:val="001D7DEB"/>
    <w:rsid w:val="001D7E09"/>
    <w:rsid w:val="001D7F3E"/>
    <w:rsid w:val="001E0315"/>
    <w:rsid w:val="001E04BD"/>
    <w:rsid w:val="001E0653"/>
    <w:rsid w:val="001E0735"/>
    <w:rsid w:val="001E0970"/>
    <w:rsid w:val="001E149E"/>
    <w:rsid w:val="001E16F2"/>
    <w:rsid w:val="001E1895"/>
    <w:rsid w:val="001E1C42"/>
    <w:rsid w:val="001E1CF0"/>
    <w:rsid w:val="001E1DC1"/>
    <w:rsid w:val="001E2232"/>
    <w:rsid w:val="001E2477"/>
    <w:rsid w:val="001E263A"/>
    <w:rsid w:val="001E2806"/>
    <w:rsid w:val="001E287C"/>
    <w:rsid w:val="001E2B04"/>
    <w:rsid w:val="001E2BEB"/>
    <w:rsid w:val="001E2C41"/>
    <w:rsid w:val="001E2D61"/>
    <w:rsid w:val="001E2F41"/>
    <w:rsid w:val="001E2F4F"/>
    <w:rsid w:val="001E34B7"/>
    <w:rsid w:val="001E34F7"/>
    <w:rsid w:val="001E3574"/>
    <w:rsid w:val="001E37B4"/>
    <w:rsid w:val="001E3A2B"/>
    <w:rsid w:val="001E3A85"/>
    <w:rsid w:val="001E3B3B"/>
    <w:rsid w:val="001E3F6B"/>
    <w:rsid w:val="001E40BE"/>
    <w:rsid w:val="001E4163"/>
    <w:rsid w:val="001E450D"/>
    <w:rsid w:val="001E4611"/>
    <w:rsid w:val="001E49D7"/>
    <w:rsid w:val="001E4BF5"/>
    <w:rsid w:val="001E4DBE"/>
    <w:rsid w:val="001E4FA3"/>
    <w:rsid w:val="001E4FE1"/>
    <w:rsid w:val="001E5055"/>
    <w:rsid w:val="001E5671"/>
    <w:rsid w:val="001E57AB"/>
    <w:rsid w:val="001E57B0"/>
    <w:rsid w:val="001E57C6"/>
    <w:rsid w:val="001E58F6"/>
    <w:rsid w:val="001E599A"/>
    <w:rsid w:val="001E602D"/>
    <w:rsid w:val="001E6389"/>
    <w:rsid w:val="001E65DE"/>
    <w:rsid w:val="001E65DF"/>
    <w:rsid w:val="001E673E"/>
    <w:rsid w:val="001E6A66"/>
    <w:rsid w:val="001E6F34"/>
    <w:rsid w:val="001E7224"/>
    <w:rsid w:val="001E727F"/>
    <w:rsid w:val="001E7285"/>
    <w:rsid w:val="001E72B4"/>
    <w:rsid w:val="001E7357"/>
    <w:rsid w:val="001E753F"/>
    <w:rsid w:val="001E7BCA"/>
    <w:rsid w:val="001E7CC7"/>
    <w:rsid w:val="001E7DBC"/>
    <w:rsid w:val="001E7DCC"/>
    <w:rsid w:val="001E7F22"/>
    <w:rsid w:val="001F019F"/>
    <w:rsid w:val="001F03D7"/>
    <w:rsid w:val="001F0477"/>
    <w:rsid w:val="001F090F"/>
    <w:rsid w:val="001F0989"/>
    <w:rsid w:val="001F0A4A"/>
    <w:rsid w:val="001F0BAB"/>
    <w:rsid w:val="001F0BDD"/>
    <w:rsid w:val="001F0CC8"/>
    <w:rsid w:val="001F0CF2"/>
    <w:rsid w:val="001F100D"/>
    <w:rsid w:val="001F11EC"/>
    <w:rsid w:val="001F163A"/>
    <w:rsid w:val="001F1981"/>
    <w:rsid w:val="001F19F3"/>
    <w:rsid w:val="001F229E"/>
    <w:rsid w:val="001F2515"/>
    <w:rsid w:val="001F254A"/>
    <w:rsid w:val="001F2AD7"/>
    <w:rsid w:val="001F3152"/>
    <w:rsid w:val="001F3B0B"/>
    <w:rsid w:val="001F3B2E"/>
    <w:rsid w:val="001F3BB0"/>
    <w:rsid w:val="001F3CFA"/>
    <w:rsid w:val="001F3D6F"/>
    <w:rsid w:val="001F3F78"/>
    <w:rsid w:val="001F4C40"/>
    <w:rsid w:val="001F4DAF"/>
    <w:rsid w:val="001F4FCD"/>
    <w:rsid w:val="001F5120"/>
    <w:rsid w:val="001F5476"/>
    <w:rsid w:val="001F5654"/>
    <w:rsid w:val="001F589B"/>
    <w:rsid w:val="001F59AE"/>
    <w:rsid w:val="001F5BF2"/>
    <w:rsid w:val="001F5CB7"/>
    <w:rsid w:val="001F5D47"/>
    <w:rsid w:val="001F5F71"/>
    <w:rsid w:val="001F630B"/>
    <w:rsid w:val="001F64F2"/>
    <w:rsid w:val="001F6604"/>
    <w:rsid w:val="001F6A15"/>
    <w:rsid w:val="001F6A96"/>
    <w:rsid w:val="001F6AD8"/>
    <w:rsid w:val="001F6C25"/>
    <w:rsid w:val="001F6D0A"/>
    <w:rsid w:val="001F6EA5"/>
    <w:rsid w:val="001F706E"/>
    <w:rsid w:val="001F72D4"/>
    <w:rsid w:val="001F7325"/>
    <w:rsid w:val="001F7349"/>
    <w:rsid w:val="001F7639"/>
    <w:rsid w:val="001F770B"/>
    <w:rsid w:val="001F7E39"/>
    <w:rsid w:val="00200243"/>
    <w:rsid w:val="00200B79"/>
    <w:rsid w:val="00200C12"/>
    <w:rsid w:val="002010FF"/>
    <w:rsid w:val="0020111E"/>
    <w:rsid w:val="002012CC"/>
    <w:rsid w:val="00201F7B"/>
    <w:rsid w:val="00201FD2"/>
    <w:rsid w:val="00202168"/>
    <w:rsid w:val="002023D5"/>
    <w:rsid w:val="002025F9"/>
    <w:rsid w:val="00202799"/>
    <w:rsid w:val="002027CD"/>
    <w:rsid w:val="00202ABF"/>
    <w:rsid w:val="00202E1C"/>
    <w:rsid w:val="00203186"/>
    <w:rsid w:val="002032CD"/>
    <w:rsid w:val="002032DF"/>
    <w:rsid w:val="00203416"/>
    <w:rsid w:val="00203608"/>
    <w:rsid w:val="00203639"/>
    <w:rsid w:val="002036BE"/>
    <w:rsid w:val="00203854"/>
    <w:rsid w:val="002038F5"/>
    <w:rsid w:val="00203ED8"/>
    <w:rsid w:val="0020454E"/>
    <w:rsid w:val="002048E0"/>
    <w:rsid w:val="0020499B"/>
    <w:rsid w:val="00204DC3"/>
    <w:rsid w:val="00204E6E"/>
    <w:rsid w:val="00205021"/>
    <w:rsid w:val="002050F7"/>
    <w:rsid w:val="00205254"/>
    <w:rsid w:val="00205570"/>
    <w:rsid w:val="00205724"/>
    <w:rsid w:val="0020599E"/>
    <w:rsid w:val="00205C35"/>
    <w:rsid w:val="00205FE4"/>
    <w:rsid w:val="00206145"/>
    <w:rsid w:val="002062FB"/>
    <w:rsid w:val="0020647D"/>
    <w:rsid w:val="00206695"/>
    <w:rsid w:val="002068BE"/>
    <w:rsid w:val="002069E3"/>
    <w:rsid w:val="00206AA4"/>
    <w:rsid w:val="00206C5F"/>
    <w:rsid w:val="00206D1C"/>
    <w:rsid w:val="00206D86"/>
    <w:rsid w:val="00206E29"/>
    <w:rsid w:val="00207015"/>
    <w:rsid w:val="0020715B"/>
    <w:rsid w:val="00207186"/>
    <w:rsid w:val="002071AA"/>
    <w:rsid w:val="0020720C"/>
    <w:rsid w:val="002072A7"/>
    <w:rsid w:val="002072A9"/>
    <w:rsid w:val="0020743C"/>
    <w:rsid w:val="002074C0"/>
    <w:rsid w:val="002079C7"/>
    <w:rsid w:val="00207C7B"/>
    <w:rsid w:val="00207C9A"/>
    <w:rsid w:val="00207C9D"/>
    <w:rsid w:val="00207E0A"/>
    <w:rsid w:val="00207F72"/>
    <w:rsid w:val="00207FF4"/>
    <w:rsid w:val="0021008C"/>
    <w:rsid w:val="0021010A"/>
    <w:rsid w:val="00210492"/>
    <w:rsid w:val="0021097B"/>
    <w:rsid w:val="00210B46"/>
    <w:rsid w:val="00210C4A"/>
    <w:rsid w:val="00210ED9"/>
    <w:rsid w:val="00210F08"/>
    <w:rsid w:val="00210F80"/>
    <w:rsid w:val="002110EE"/>
    <w:rsid w:val="002111DC"/>
    <w:rsid w:val="002112BE"/>
    <w:rsid w:val="002117CC"/>
    <w:rsid w:val="00211A07"/>
    <w:rsid w:val="00211A17"/>
    <w:rsid w:val="00211A51"/>
    <w:rsid w:val="00211EAA"/>
    <w:rsid w:val="00211F39"/>
    <w:rsid w:val="002126FF"/>
    <w:rsid w:val="002127E2"/>
    <w:rsid w:val="00212852"/>
    <w:rsid w:val="0021296B"/>
    <w:rsid w:val="00212E13"/>
    <w:rsid w:val="00212E66"/>
    <w:rsid w:val="002134B6"/>
    <w:rsid w:val="002134F5"/>
    <w:rsid w:val="002136B0"/>
    <w:rsid w:val="002136EE"/>
    <w:rsid w:val="00213A22"/>
    <w:rsid w:val="00213AB3"/>
    <w:rsid w:val="00213F32"/>
    <w:rsid w:val="00213F4F"/>
    <w:rsid w:val="0021408A"/>
    <w:rsid w:val="0021436C"/>
    <w:rsid w:val="00214390"/>
    <w:rsid w:val="00214444"/>
    <w:rsid w:val="00214486"/>
    <w:rsid w:val="002144E6"/>
    <w:rsid w:val="002146BB"/>
    <w:rsid w:val="002146F2"/>
    <w:rsid w:val="00214CE5"/>
    <w:rsid w:val="00214D87"/>
    <w:rsid w:val="002150F1"/>
    <w:rsid w:val="002152DD"/>
    <w:rsid w:val="002153C4"/>
    <w:rsid w:val="00215493"/>
    <w:rsid w:val="002155C5"/>
    <w:rsid w:val="00215616"/>
    <w:rsid w:val="0021579C"/>
    <w:rsid w:val="00215856"/>
    <w:rsid w:val="00215A6C"/>
    <w:rsid w:val="00215F52"/>
    <w:rsid w:val="0021629B"/>
    <w:rsid w:val="002165EF"/>
    <w:rsid w:val="002166CF"/>
    <w:rsid w:val="00216766"/>
    <w:rsid w:val="00216948"/>
    <w:rsid w:val="002169D7"/>
    <w:rsid w:val="00216C92"/>
    <w:rsid w:val="00216CDF"/>
    <w:rsid w:val="00216D7F"/>
    <w:rsid w:val="00216E41"/>
    <w:rsid w:val="00216F07"/>
    <w:rsid w:val="00217757"/>
    <w:rsid w:val="002177F0"/>
    <w:rsid w:val="00217AB6"/>
    <w:rsid w:val="00217B82"/>
    <w:rsid w:val="00217F26"/>
    <w:rsid w:val="00220092"/>
    <w:rsid w:val="0022031D"/>
    <w:rsid w:val="002206DC"/>
    <w:rsid w:val="0022078F"/>
    <w:rsid w:val="002208FC"/>
    <w:rsid w:val="00220965"/>
    <w:rsid w:val="002212C2"/>
    <w:rsid w:val="00221354"/>
    <w:rsid w:val="00221441"/>
    <w:rsid w:val="002217AE"/>
    <w:rsid w:val="0022187B"/>
    <w:rsid w:val="00221A67"/>
    <w:rsid w:val="00221B58"/>
    <w:rsid w:val="00222083"/>
    <w:rsid w:val="002222B9"/>
    <w:rsid w:val="002222BD"/>
    <w:rsid w:val="00222300"/>
    <w:rsid w:val="00222346"/>
    <w:rsid w:val="0022293D"/>
    <w:rsid w:val="00222A2B"/>
    <w:rsid w:val="00222C85"/>
    <w:rsid w:val="00222D1B"/>
    <w:rsid w:val="00222E86"/>
    <w:rsid w:val="00223079"/>
    <w:rsid w:val="002231F0"/>
    <w:rsid w:val="002234AC"/>
    <w:rsid w:val="00223DC7"/>
    <w:rsid w:val="00223DC9"/>
    <w:rsid w:val="00223F82"/>
    <w:rsid w:val="00223FA0"/>
    <w:rsid w:val="00224129"/>
    <w:rsid w:val="00224344"/>
    <w:rsid w:val="002245A8"/>
    <w:rsid w:val="0022469E"/>
    <w:rsid w:val="0022470E"/>
    <w:rsid w:val="00224BBB"/>
    <w:rsid w:val="00224D05"/>
    <w:rsid w:val="00224DDB"/>
    <w:rsid w:val="002251D3"/>
    <w:rsid w:val="00225483"/>
    <w:rsid w:val="00225915"/>
    <w:rsid w:val="002259A9"/>
    <w:rsid w:val="00225B37"/>
    <w:rsid w:val="00225C8A"/>
    <w:rsid w:val="00225DB5"/>
    <w:rsid w:val="00226001"/>
    <w:rsid w:val="002261E1"/>
    <w:rsid w:val="00226210"/>
    <w:rsid w:val="00226696"/>
    <w:rsid w:val="00226749"/>
    <w:rsid w:val="002267AF"/>
    <w:rsid w:val="002268A0"/>
    <w:rsid w:val="00226B1A"/>
    <w:rsid w:val="00226C2D"/>
    <w:rsid w:val="00226C49"/>
    <w:rsid w:val="00226D4A"/>
    <w:rsid w:val="00226EB4"/>
    <w:rsid w:val="00226FCB"/>
    <w:rsid w:val="00227237"/>
    <w:rsid w:val="0022737C"/>
    <w:rsid w:val="00227604"/>
    <w:rsid w:val="0022776A"/>
    <w:rsid w:val="002277E5"/>
    <w:rsid w:val="002279F5"/>
    <w:rsid w:val="00227FE1"/>
    <w:rsid w:val="002302F2"/>
    <w:rsid w:val="0023055B"/>
    <w:rsid w:val="00230709"/>
    <w:rsid w:val="00230A31"/>
    <w:rsid w:val="00231090"/>
    <w:rsid w:val="0023115F"/>
    <w:rsid w:val="00231273"/>
    <w:rsid w:val="00231411"/>
    <w:rsid w:val="0023190F"/>
    <w:rsid w:val="002319B1"/>
    <w:rsid w:val="00231A63"/>
    <w:rsid w:val="00231CB1"/>
    <w:rsid w:val="00231DE5"/>
    <w:rsid w:val="00231F38"/>
    <w:rsid w:val="0023200C"/>
    <w:rsid w:val="00232049"/>
    <w:rsid w:val="00232639"/>
    <w:rsid w:val="0023292D"/>
    <w:rsid w:val="00232B7F"/>
    <w:rsid w:val="00232BE8"/>
    <w:rsid w:val="00232D9D"/>
    <w:rsid w:val="00232EAE"/>
    <w:rsid w:val="002331F5"/>
    <w:rsid w:val="002331FC"/>
    <w:rsid w:val="0023345A"/>
    <w:rsid w:val="0023389A"/>
    <w:rsid w:val="00233B0B"/>
    <w:rsid w:val="00233EE4"/>
    <w:rsid w:val="0023477E"/>
    <w:rsid w:val="00234A16"/>
    <w:rsid w:val="00234D99"/>
    <w:rsid w:val="00235341"/>
    <w:rsid w:val="0023549C"/>
    <w:rsid w:val="002354A3"/>
    <w:rsid w:val="002355A9"/>
    <w:rsid w:val="00235766"/>
    <w:rsid w:val="0023595B"/>
    <w:rsid w:val="00235BF3"/>
    <w:rsid w:val="00235EA7"/>
    <w:rsid w:val="00235F2B"/>
    <w:rsid w:val="00235FFD"/>
    <w:rsid w:val="002360BD"/>
    <w:rsid w:val="00236153"/>
    <w:rsid w:val="002362E1"/>
    <w:rsid w:val="002367E5"/>
    <w:rsid w:val="002368E8"/>
    <w:rsid w:val="002369B9"/>
    <w:rsid w:val="00236A49"/>
    <w:rsid w:val="00236C82"/>
    <w:rsid w:val="00236DF2"/>
    <w:rsid w:val="00236FF1"/>
    <w:rsid w:val="002371F8"/>
    <w:rsid w:val="002372D9"/>
    <w:rsid w:val="002372FA"/>
    <w:rsid w:val="0023733C"/>
    <w:rsid w:val="00237988"/>
    <w:rsid w:val="00237A14"/>
    <w:rsid w:val="00237A77"/>
    <w:rsid w:val="00237AB7"/>
    <w:rsid w:val="00237B61"/>
    <w:rsid w:val="00237F40"/>
    <w:rsid w:val="002402D4"/>
    <w:rsid w:val="00240322"/>
    <w:rsid w:val="00240382"/>
    <w:rsid w:val="002404DA"/>
    <w:rsid w:val="0024057F"/>
    <w:rsid w:val="002406BF"/>
    <w:rsid w:val="00240738"/>
    <w:rsid w:val="0024090E"/>
    <w:rsid w:val="002409F3"/>
    <w:rsid w:val="00240C82"/>
    <w:rsid w:val="00240E2B"/>
    <w:rsid w:val="00240F50"/>
    <w:rsid w:val="002414E6"/>
    <w:rsid w:val="0024173D"/>
    <w:rsid w:val="00241B7F"/>
    <w:rsid w:val="00241BDE"/>
    <w:rsid w:val="00241CEE"/>
    <w:rsid w:val="00241F11"/>
    <w:rsid w:val="00242348"/>
    <w:rsid w:val="00242468"/>
    <w:rsid w:val="00242535"/>
    <w:rsid w:val="0024255C"/>
    <w:rsid w:val="002426B4"/>
    <w:rsid w:val="00242725"/>
    <w:rsid w:val="00242E90"/>
    <w:rsid w:val="00242ED6"/>
    <w:rsid w:val="002432E1"/>
    <w:rsid w:val="0024339E"/>
    <w:rsid w:val="002435A0"/>
    <w:rsid w:val="00243B17"/>
    <w:rsid w:val="00243D13"/>
    <w:rsid w:val="00243DE4"/>
    <w:rsid w:val="00243DEA"/>
    <w:rsid w:val="00244505"/>
    <w:rsid w:val="00244567"/>
    <w:rsid w:val="002445EF"/>
    <w:rsid w:val="00244883"/>
    <w:rsid w:val="002448FD"/>
    <w:rsid w:val="00244A6F"/>
    <w:rsid w:val="00244B04"/>
    <w:rsid w:val="00244CD4"/>
    <w:rsid w:val="0024505F"/>
    <w:rsid w:val="0024508B"/>
    <w:rsid w:val="002450CF"/>
    <w:rsid w:val="00245326"/>
    <w:rsid w:val="002453C9"/>
    <w:rsid w:val="00245655"/>
    <w:rsid w:val="00245CE3"/>
    <w:rsid w:val="00246048"/>
    <w:rsid w:val="00246229"/>
    <w:rsid w:val="002464A8"/>
    <w:rsid w:val="00246854"/>
    <w:rsid w:val="0024686F"/>
    <w:rsid w:val="00246AA0"/>
    <w:rsid w:val="00246B4F"/>
    <w:rsid w:val="00246B97"/>
    <w:rsid w:val="00246BBC"/>
    <w:rsid w:val="00246D74"/>
    <w:rsid w:val="002471B6"/>
    <w:rsid w:val="002471CF"/>
    <w:rsid w:val="002472D2"/>
    <w:rsid w:val="002473C7"/>
    <w:rsid w:val="002475EC"/>
    <w:rsid w:val="0024770B"/>
    <w:rsid w:val="00247B24"/>
    <w:rsid w:val="00247FD9"/>
    <w:rsid w:val="002500EA"/>
    <w:rsid w:val="002508E4"/>
    <w:rsid w:val="00250A41"/>
    <w:rsid w:val="00250A89"/>
    <w:rsid w:val="00250E4B"/>
    <w:rsid w:val="00250E52"/>
    <w:rsid w:val="00251068"/>
    <w:rsid w:val="002510D1"/>
    <w:rsid w:val="002515B4"/>
    <w:rsid w:val="002515BF"/>
    <w:rsid w:val="00251826"/>
    <w:rsid w:val="00251AC4"/>
    <w:rsid w:val="00251B2D"/>
    <w:rsid w:val="00251C04"/>
    <w:rsid w:val="00251D89"/>
    <w:rsid w:val="00252258"/>
    <w:rsid w:val="002522BF"/>
    <w:rsid w:val="002525CD"/>
    <w:rsid w:val="00252796"/>
    <w:rsid w:val="00252846"/>
    <w:rsid w:val="0025296A"/>
    <w:rsid w:val="002529A4"/>
    <w:rsid w:val="00252A00"/>
    <w:rsid w:val="00252C69"/>
    <w:rsid w:val="00252CA6"/>
    <w:rsid w:val="00253471"/>
    <w:rsid w:val="00253937"/>
    <w:rsid w:val="00253B53"/>
    <w:rsid w:val="00253B84"/>
    <w:rsid w:val="00253CB4"/>
    <w:rsid w:val="00253E12"/>
    <w:rsid w:val="002541CC"/>
    <w:rsid w:val="0025426A"/>
    <w:rsid w:val="002544C1"/>
    <w:rsid w:val="0025451F"/>
    <w:rsid w:val="00254763"/>
    <w:rsid w:val="00254880"/>
    <w:rsid w:val="002549A5"/>
    <w:rsid w:val="00254CAA"/>
    <w:rsid w:val="00254CB8"/>
    <w:rsid w:val="00254D0E"/>
    <w:rsid w:val="00254DB1"/>
    <w:rsid w:val="00255528"/>
    <w:rsid w:val="0025554D"/>
    <w:rsid w:val="002556A5"/>
    <w:rsid w:val="002559D9"/>
    <w:rsid w:val="00255A3E"/>
    <w:rsid w:val="00255B70"/>
    <w:rsid w:val="00255C3D"/>
    <w:rsid w:val="00255DE8"/>
    <w:rsid w:val="00255E60"/>
    <w:rsid w:val="002566A1"/>
    <w:rsid w:val="002574BB"/>
    <w:rsid w:val="00257512"/>
    <w:rsid w:val="00257690"/>
    <w:rsid w:val="0025773B"/>
    <w:rsid w:val="00257ABC"/>
    <w:rsid w:val="00257C4F"/>
    <w:rsid w:val="00257C8E"/>
    <w:rsid w:val="00257F36"/>
    <w:rsid w:val="002603B9"/>
    <w:rsid w:val="00260B76"/>
    <w:rsid w:val="00260CBB"/>
    <w:rsid w:val="00261720"/>
    <w:rsid w:val="002617C0"/>
    <w:rsid w:val="00261C1E"/>
    <w:rsid w:val="00261CDA"/>
    <w:rsid w:val="00261D0F"/>
    <w:rsid w:val="00261E46"/>
    <w:rsid w:val="0026206B"/>
    <w:rsid w:val="00262133"/>
    <w:rsid w:val="00262304"/>
    <w:rsid w:val="002623DD"/>
    <w:rsid w:val="00262406"/>
    <w:rsid w:val="002629D9"/>
    <w:rsid w:val="00262CC0"/>
    <w:rsid w:val="0026330A"/>
    <w:rsid w:val="00263350"/>
    <w:rsid w:val="002635CF"/>
    <w:rsid w:val="002636DE"/>
    <w:rsid w:val="002637F5"/>
    <w:rsid w:val="00263825"/>
    <w:rsid w:val="00263A54"/>
    <w:rsid w:val="00263E33"/>
    <w:rsid w:val="00263F15"/>
    <w:rsid w:val="0026417C"/>
    <w:rsid w:val="00264184"/>
    <w:rsid w:val="00264262"/>
    <w:rsid w:val="002642F2"/>
    <w:rsid w:val="0026457E"/>
    <w:rsid w:val="0026480F"/>
    <w:rsid w:val="00264878"/>
    <w:rsid w:val="00264970"/>
    <w:rsid w:val="00264973"/>
    <w:rsid w:val="002649E1"/>
    <w:rsid w:val="00264CF2"/>
    <w:rsid w:val="00264E26"/>
    <w:rsid w:val="00264EF1"/>
    <w:rsid w:val="00264F32"/>
    <w:rsid w:val="0026504B"/>
    <w:rsid w:val="00265165"/>
    <w:rsid w:val="00265169"/>
    <w:rsid w:val="00265188"/>
    <w:rsid w:val="0026525A"/>
    <w:rsid w:val="0026534C"/>
    <w:rsid w:val="00265432"/>
    <w:rsid w:val="002657FA"/>
    <w:rsid w:val="0026587F"/>
    <w:rsid w:val="002658C1"/>
    <w:rsid w:val="00265CAE"/>
    <w:rsid w:val="002660FE"/>
    <w:rsid w:val="0026613F"/>
    <w:rsid w:val="0026646C"/>
    <w:rsid w:val="00266614"/>
    <w:rsid w:val="0026692E"/>
    <w:rsid w:val="00266FA1"/>
    <w:rsid w:val="002670B3"/>
    <w:rsid w:val="00267187"/>
    <w:rsid w:val="00267743"/>
    <w:rsid w:val="002678F7"/>
    <w:rsid w:val="00267A3D"/>
    <w:rsid w:val="00267BEE"/>
    <w:rsid w:val="00267D62"/>
    <w:rsid w:val="00267E03"/>
    <w:rsid w:val="00267E26"/>
    <w:rsid w:val="00267EFD"/>
    <w:rsid w:val="00270371"/>
    <w:rsid w:val="00270706"/>
    <w:rsid w:val="00270824"/>
    <w:rsid w:val="00270AB7"/>
    <w:rsid w:val="00270D44"/>
    <w:rsid w:val="00270DC1"/>
    <w:rsid w:val="00270F5F"/>
    <w:rsid w:val="00271262"/>
    <w:rsid w:val="00271352"/>
    <w:rsid w:val="00271A64"/>
    <w:rsid w:val="00271ADC"/>
    <w:rsid w:val="00271E36"/>
    <w:rsid w:val="00271F11"/>
    <w:rsid w:val="00272369"/>
    <w:rsid w:val="00272431"/>
    <w:rsid w:val="00272822"/>
    <w:rsid w:val="00272A39"/>
    <w:rsid w:val="00272BB1"/>
    <w:rsid w:val="00272E69"/>
    <w:rsid w:val="00272F8E"/>
    <w:rsid w:val="002737A3"/>
    <w:rsid w:val="0027394D"/>
    <w:rsid w:val="00273A36"/>
    <w:rsid w:val="00273C0B"/>
    <w:rsid w:val="00273ED4"/>
    <w:rsid w:val="0027442E"/>
    <w:rsid w:val="002744D6"/>
    <w:rsid w:val="002746D5"/>
    <w:rsid w:val="0027482E"/>
    <w:rsid w:val="002748AA"/>
    <w:rsid w:val="00274964"/>
    <w:rsid w:val="00274980"/>
    <w:rsid w:val="002749D2"/>
    <w:rsid w:val="00274DB5"/>
    <w:rsid w:val="00275045"/>
    <w:rsid w:val="002751ED"/>
    <w:rsid w:val="002753A0"/>
    <w:rsid w:val="002753EA"/>
    <w:rsid w:val="00275407"/>
    <w:rsid w:val="00275E35"/>
    <w:rsid w:val="0027607E"/>
    <w:rsid w:val="0027611E"/>
    <w:rsid w:val="0027634A"/>
    <w:rsid w:val="00276399"/>
    <w:rsid w:val="0027645F"/>
    <w:rsid w:val="00276AE3"/>
    <w:rsid w:val="00276B6A"/>
    <w:rsid w:val="00276D4C"/>
    <w:rsid w:val="00276DBB"/>
    <w:rsid w:val="00276DD0"/>
    <w:rsid w:val="00277024"/>
    <w:rsid w:val="0027739E"/>
    <w:rsid w:val="00277925"/>
    <w:rsid w:val="00277989"/>
    <w:rsid w:val="00277D0C"/>
    <w:rsid w:val="0028049B"/>
    <w:rsid w:val="0028051E"/>
    <w:rsid w:val="00280561"/>
    <w:rsid w:val="00280707"/>
    <w:rsid w:val="00280B56"/>
    <w:rsid w:val="00280C0C"/>
    <w:rsid w:val="00280D29"/>
    <w:rsid w:val="00280D2D"/>
    <w:rsid w:val="002810D2"/>
    <w:rsid w:val="002817E3"/>
    <w:rsid w:val="00281915"/>
    <w:rsid w:val="00281CA9"/>
    <w:rsid w:val="00281DDF"/>
    <w:rsid w:val="00282152"/>
    <w:rsid w:val="00282256"/>
    <w:rsid w:val="0028266F"/>
    <w:rsid w:val="00282981"/>
    <w:rsid w:val="00282B04"/>
    <w:rsid w:val="00283468"/>
    <w:rsid w:val="002834C4"/>
    <w:rsid w:val="00283650"/>
    <w:rsid w:val="002838D1"/>
    <w:rsid w:val="00283B9E"/>
    <w:rsid w:val="00283F1E"/>
    <w:rsid w:val="00284084"/>
    <w:rsid w:val="00284473"/>
    <w:rsid w:val="0028463D"/>
    <w:rsid w:val="00284EBF"/>
    <w:rsid w:val="00284F47"/>
    <w:rsid w:val="00285075"/>
    <w:rsid w:val="0028532E"/>
    <w:rsid w:val="00285405"/>
    <w:rsid w:val="002855DB"/>
    <w:rsid w:val="00285632"/>
    <w:rsid w:val="00285954"/>
    <w:rsid w:val="002859F7"/>
    <w:rsid w:val="00285B7B"/>
    <w:rsid w:val="00285D3B"/>
    <w:rsid w:val="00285F98"/>
    <w:rsid w:val="0028612D"/>
    <w:rsid w:val="002861F9"/>
    <w:rsid w:val="00286250"/>
    <w:rsid w:val="002862A2"/>
    <w:rsid w:val="002863D2"/>
    <w:rsid w:val="0028643C"/>
    <w:rsid w:val="002866C0"/>
    <w:rsid w:val="002867FC"/>
    <w:rsid w:val="0028693E"/>
    <w:rsid w:val="0028693F"/>
    <w:rsid w:val="002869FB"/>
    <w:rsid w:val="00286AAE"/>
    <w:rsid w:val="00286E86"/>
    <w:rsid w:val="00286F1E"/>
    <w:rsid w:val="00287469"/>
    <w:rsid w:val="0028765D"/>
    <w:rsid w:val="002876B1"/>
    <w:rsid w:val="00287EE1"/>
    <w:rsid w:val="0029020B"/>
    <w:rsid w:val="00290224"/>
    <w:rsid w:val="00290378"/>
    <w:rsid w:val="002903FB"/>
    <w:rsid w:val="0029069C"/>
    <w:rsid w:val="002908D2"/>
    <w:rsid w:val="00290AE9"/>
    <w:rsid w:val="00290BB7"/>
    <w:rsid w:val="00290CA9"/>
    <w:rsid w:val="00290DB1"/>
    <w:rsid w:val="00290F48"/>
    <w:rsid w:val="002912A4"/>
    <w:rsid w:val="002912E5"/>
    <w:rsid w:val="002916FE"/>
    <w:rsid w:val="00291764"/>
    <w:rsid w:val="002917D5"/>
    <w:rsid w:val="002918C1"/>
    <w:rsid w:val="002918D0"/>
    <w:rsid w:val="002925DB"/>
    <w:rsid w:val="00292604"/>
    <w:rsid w:val="00292878"/>
    <w:rsid w:val="0029299C"/>
    <w:rsid w:val="00292ACC"/>
    <w:rsid w:val="00292BF0"/>
    <w:rsid w:val="00292C1E"/>
    <w:rsid w:val="00292EB1"/>
    <w:rsid w:val="00292EFD"/>
    <w:rsid w:val="00292FB3"/>
    <w:rsid w:val="002931DB"/>
    <w:rsid w:val="002934C7"/>
    <w:rsid w:val="0029376D"/>
    <w:rsid w:val="00293786"/>
    <w:rsid w:val="002939E9"/>
    <w:rsid w:val="00293A33"/>
    <w:rsid w:val="00293D2F"/>
    <w:rsid w:val="00293F6B"/>
    <w:rsid w:val="002943A9"/>
    <w:rsid w:val="00294418"/>
    <w:rsid w:val="002944E2"/>
    <w:rsid w:val="002945DF"/>
    <w:rsid w:val="00294617"/>
    <w:rsid w:val="00294649"/>
    <w:rsid w:val="00294A46"/>
    <w:rsid w:val="00294B38"/>
    <w:rsid w:val="00294EF6"/>
    <w:rsid w:val="00294F5E"/>
    <w:rsid w:val="00295170"/>
    <w:rsid w:val="0029539C"/>
    <w:rsid w:val="002954AC"/>
    <w:rsid w:val="00295756"/>
    <w:rsid w:val="002959F7"/>
    <w:rsid w:val="00295CE6"/>
    <w:rsid w:val="00295E5F"/>
    <w:rsid w:val="002964E3"/>
    <w:rsid w:val="00296620"/>
    <w:rsid w:val="00297193"/>
    <w:rsid w:val="002971FE"/>
    <w:rsid w:val="0029786C"/>
    <w:rsid w:val="00297C10"/>
    <w:rsid w:val="00297C33"/>
    <w:rsid w:val="00297F38"/>
    <w:rsid w:val="002A0030"/>
    <w:rsid w:val="002A020B"/>
    <w:rsid w:val="002A0452"/>
    <w:rsid w:val="002A0699"/>
    <w:rsid w:val="002A127A"/>
    <w:rsid w:val="002A1499"/>
    <w:rsid w:val="002A16AA"/>
    <w:rsid w:val="002A1833"/>
    <w:rsid w:val="002A19F1"/>
    <w:rsid w:val="002A1CCE"/>
    <w:rsid w:val="002A1D5A"/>
    <w:rsid w:val="002A1F75"/>
    <w:rsid w:val="002A21FA"/>
    <w:rsid w:val="002A24B4"/>
    <w:rsid w:val="002A27DB"/>
    <w:rsid w:val="002A2CEF"/>
    <w:rsid w:val="002A2CF9"/>
    <w:rsid w:val="002A2E05"/>
    <w:rsid w:val="002A2FAC"/>
    <w:rsid w:val="002A301A"/>
    <w:rsid w:val="002A3196"/>
    <w:rsid w:val="002A3301"/>
    <w:rsid w:val="002A3392"/>
    <w:rsid w:val="002A357A"/>
    <w:rsid w:val="002A3683"/>
    <w:rsid w:val="002A37B0"/>
    <w:rsid w:val="002A3DCF"/>
    <w:rsid w:val="002A3DE8"/>
    <w:rsid w:val="002A3DF6"/>
    <w:rsid w:val="002A3E3A"/>
    <w:rsid w:val="002A3F69"/>
    <w:rsid w:val="002A40F9"/>
    <w:rsid w:val="002A4166"/>
    <w:rsid w:val="002A41FD"/>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883"/>
    <w:rsid w:val="002A58D6"/>
    <w:rsid w:val="002A5ED8"/>
    <w:rsid w:val="002A5F37"/>
    <w:rsid w:val="002A601D"/>
    <w:rsid w:val="002A60E6"/>
    <w:rsid w:val="002A622F"/>
    <w:rsid w:val="002A631F"/>
    <w:rsid w:val="002A638F"/>
    <w:rsid w:val="002A6569"/>
    <w:rsid w:val="002A669C"/>
    <w:rsid w:val="002A6C48"/>
    <w:rsid w:val="002A6D39"/>
    <w:rsid w:val="002A6EE9"/>
    <w:rsid w:val="002A7067"/>
    <w:rsid w:val="002A72C3"/>
    <w:rsid w:val="002A73A9"/>
    <w:rsid w:val="002A73D5"/>
    <w:rsid w:val="002A75D5"/>
    <w:rsid w:val="002A7708"/>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15F"/>
    <w:rsid w:val="002B11A9"/>
    <w:rsid w:val="002B13B2"/>
    <w:rsid w:val="002B158F"/>
    <w:rsid w:val="002B15D7"/>
    <w:rsid w:val="002B1884"/>
    <w:rsid w:val="002B198A"/>
    <w:rsid w:val="002B19CF"/>
    <w:rsid w:val="002B1FAE"/>
    <w:rsid w:val="002B232D"/>
    <w:rsid w:val="002B23D9"/>
    <w:rsid w:val="002B258D"/>
    <w:rsid w:val="002B25B0"/>
    <w:rsid w:val="002B2673"/>
    <w:rsid w:val="002B2834"/>
    <w:rsid w:val="002B2AF2"/>
    <w:rsid w:val="002B2ED8"/>
    <w:rsid w:val="002B33B4"/>
    <w:rsid w:val="002B35C5"/>
    <w:rsid w:val="002B399A"/>
    <w:rsid w:val="002B3B9E"/>
    <w:rsid w:val="002B3F87"/>
    <w:rsid w:val="002B4009"/>
    <w:rsid w:val="002B4573"/>
    <w:rsid w:val="002B479B"/>
    <w:rsid w:val="002B4B60"/>
    <w:rsid w:val="002B4E2D"/>
    <w:rsid w:val="002B5070"/>
    <w:rsid w:val="002B516C"/>
    <w:rsid w:val="002B5757"/>
    <w:rsid w:val="002B5D20"/>
    <w:rsid w:val="002B5D50"/>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539"/>
    <w:rsid w:val="002C05C6"/>
    <w:rsid w:val="002C05E2"/>
    <w:rsid w:val="002C0C2D"/>
    <w:rsid w:val="002C0DA6"/>
    <w:rsid w:val="002C0E08"/>
    <w:rsid w:val="002C103A"/>
    <w:rsid w:val="002C1054"/>
    <w:rsid w:val="002C10E7"/>
    <w:rsid w:val="002C144A"/>
    <w:rsid w:val="002C174A"/>
    <w:rsid w:val="002C2326"/>
    <w:rsid w:val="002C25E8"/>
    <w:rsid w:val="002C2746"/>
    <w:rsid w:val="002C28EE"/>
    <w:rsid w:val="002C2CC4"/>
    <w:rsid w:val="002C2D14"/>
    <w:rsid w:val="002C3145"/>
    <w:rsid w:val="002C3204"/>
    <w:rsid w:val="002C3295"/>
    <w:rsid w:val="002C344D"/>
    <w:rsid w:val="002C3C93"/>
    <w:rsid w:val="002C3C9F"/>
    <w:rsid w:val="002C3E10"/>
    <w:rsid w:val="002C3F8F"/>
    <w:rsid w:val="002C4059"/>
    <w:rsid w:val="002C4074"/>
    <w:rsid w:val="002C41A6"/>
    <w:rsid w:val="002C4436"/>
    <w:rsid w:val="002C444F"/>
    <w:rsid w:val="002C472E"/>
    <w:rsid w:val="002C4891"/>
    <w:rsid w:val="002C4A15"/>
    <w:rsid w:val="002C4A94"/>
    <w:rsid w:val="002C4B4E"/>
    <w:rsid w:val="002C4C0D"/>
    <w:rsid w:val="002C5146"/>
    <w:rsid w:val="002C54E1"/>
    <w:rsid w:val="002C5A79"/>
    <w:rsid w:val="002C5B3E"/>
    <w:rsid w:val="002C5B8A"/>
    <w:rsid w:val="002C5CB8"/>
    <w:rsid w:val="002C5E69"/>
    <w:rsid w:val="002C6692"/>
    <w:rsid w:val="002C6AF0"/>
    <w:rsid w:val="002C6C8D"/>
    <w:rsid w:val="002C6D3C"/>
    <w:rsid w:val="002C6DA4"/>
    <w:rsid w:val="002C735C"/>
    <w:rsid w:val="002C746A"/>
    <w:rsid w:val="002C74B8"/>
    <w:rsid w:val="002C7B84"/>
    <w:rsid w:val="002C7F7C"/>
    <w:rsid w:val="002C7FD9"/>
    <w:rsid w:val="002D00C5"/>
    <w:rsid w:val="002D011C"/>
    <w:rsid w:val="002D0233"/>
    <w:rsid w:val="002D05D8"/>
    <w:rsid w:val="002D061B"/>
    <w:rsid w:val="002D0822"/>
    <w:rsid w:val="002D0A83"/>
    <w:rsid w:val="002D0B7D"/>
    <w:rsid w:val="002D0CEA"/>
    <w:rsid w:val="002D0F2E"/>
    <w:rsid w:val="002D1023"/>
    <w:rsid w:val="002D16A2"/>
    <w:rsid w:val="002D1705"/>
    <w:rsid w:val="002D1855"/>
    <w:rsid w:val="002D18FF"/>
    <w:rsid w:val="002D1908"/>
    <w:rsid w:val="002D1979"/>
    <w:rsid w:val="002D1A3D"/>
    <w:rsid w:val="002D1C5C"/>
    <w:rsid w:val="002D1FE5"/>
    <w:rsid w:val="002D20C1"/>
    <w:rsid w:val="002D2511"/>
    <w:rsid w:val="002D262D"/>
    <w:rsid w:val="002D26F4"/>
    <w:rsid w:val="002D2701"/>
    <w:rsid w:val="002D27FE"/>
    <w:rsid w:val="002D29D0"/>
    <w:rsid w:val="002D2CC0"/>
    <w:rsid w:val="002D2D62"/>
    <w:rsid w:val="002D2F3C"/>
    <w:rsid w:val="002D31BB"/>
    <w:rsid w:val="002D345D"/>
    <w:rsid w:val="002D3474"/>
    <w:rsid w:val="002D3606"/>
    <w:rsid w:val="002D3936"/>
    <w:rsid w:val="002D3A13"/>
    <w:rsid w:val="002D3B3E"/>
    <w:rsid w:val="002D3CAA"/>
    <w:rsid w:val="002D3DDD"/>
    <w:rsid w:val="002D3E73"/>
    <w:rsid w:val="002D3EB7"/>
    <w:rsid w:val="002D3F12"/>
    <w:rsid w:val="002D3FF5"/>
    <w:rsid w:val="002D45F0"/>
    <w:rsid w:val="002D4600"/>
    <w:rsid w:val="002D47D9"/>
    <w:rsid w:val="002D494E"/>
    <w:rsid w:val="002D4A77"/>
    <w:rsid w:val="002D4DB5"/>
    <w:rsid w:val="002D4E22"/>
    <w:rsid w:val="002D4F33"/>
    <w:rsid w:val="002D5108"/>
    <w:rsid w:val="002D51DE"/>
    <w:rsid w:val="002D51E2"/>
    <w:rsid w:val="002D527B"/>
    <w:rsid w:val="002D5486"/>
    <w:rsid w:val="002D56FF"/>
    <w:rsid w:val="002D5D0A"/>
    <w:rsid w:val="002D6364"/>
    <w:rsid w:val="002D6662"/>
    <w:rsid w:val="002D67F5"/>
    <w:rsid w:val="002D6A68"/>
    <w:rsid w:val="002D6CDB"/>
    <w:rsid w:val="002D70C8"/>
    <w:rsid w:val="002D72DC"/>
    <w:rsid w:val="002D74D0"/>
    <w:rsid w:val="002D76B5"/>
    <w:rsid w:val="002D7B3A"/>
    <w:rsid w:val="002D7B84"/>
    <w:rsid w:val="002D7F32"/>
    <w:rsid w:val="002E00EC"/>
    <w:rsid w:val="002E01E1"/>
    <w:rsid w:val="002E0221"/>
    <w:rsid w:val="002E04E3"/>
    <w:rsid w:val="002E055F"/>
    <w:rsid w:val="002E0639"/>
    <w:rsid w:val="002E06AF"/>
    <w:rsid w:val="002E0702"/>
    <w:rsid w:val="002E09C3"/>
    <w:rsid w:val="002E0C9A"/>
    <w:rsid w:val="002E0CC4"/>
    <w:rsid w:val="002E1047"/>
    <w:rsid w:val="002E1094"/>
    <w:rsid w:val="002E142B"/>
    <w:rsid w:val="002E1441"/>
    <w:rsid w:val="002E151C"/>
    <w:rsid w:val="002E1805"/>
    <w:rsid w:val="002E18D3"/>
    <w:rsid w:val="002E1B2A"/>
    <w:rsid w:val="002E1B76"/>
    <w:rsid w:val="002E1C0E"/>
    <w:rsid w:val="002E1C13"/>
    <w:rsid w:val="002E1D6E"/>
    <w:rsid w:val="002E1E3A"/>
    <w:rsid w:val="002E1FCA"/>
    <w:rsid w:val="002E217E"/>
    <w:rsid w:val="002E23F6"/>
    <w:rsid w:val="002E2787"/>
    <w:rsid w:val="002E2815"/>
    <w:rsid w:val="002E283D"/>
    <w:rsid w:val="002E2AE3"/>
    <w:rsid w:val="002E2F62"/>
    <w:rsid w:val="002E2FE8"/>
    <w:rsid w:val="002E312D"/>
    <w:rsid w:val="002E324A"/>
    <w:rsid w:val="002E3269"/>
    <w:rsid w:val="002E35DF"/>
    <w:rsid w:val="002E396F"/>
    <w:rsid w:val="002E3A1E"/>
    <w:rsid w:val="002E412D"/>
    <w:rsid w:val="002E46A1"/>
    <w:rsid w:val="002E4733"/>
    <w:rsid w:val="002E4900"/>
    <w:rsid w:val="002E4D72"/>
    <w:rsid w:val="002E4F35"/>
    <w:rsid w:val="002E4FAF"/>
    <w:rsid w:val="002E51A5"/>
    <w:rsid w:val="002E5262"/>
    <w:rsid w:val="002E5265"/>
    <w:rsid w:val="002E54E4"/>
    <w:rsid w:val="002E563B"/>
    <w:rsid w:val="002E5E8C"/>
    <w:rsid w:val="002E62F2"/>
    <w:rsid w:val="002E63AF"/>
    <w:rsid w:val="002E63B4"/>
    <w:rsid w:val="002E645C"/>
    <w:rsid w:val="002E674F"/>
    <w:rsid w:val="002E6DE1"/>
    <w:rsid w:val="002E7166"/>
    <w:rsid w:val="002E725C"/>
    <w:rsid w:val="002E75AC"/>
    <w:rsid w:val="002E767A"/>
    <w:rsid w:val="002E77D0"/>
    <w:rsid w:val="002E799B"/>
    <w:rsid w:val="002E7E8F"/>
    <w:rsid w:val="002F0025"/>
    <w:rsid w:val="002F0227"/>
    <w:rsid w:val="002F02C5"/>
    <w:rsid w:val="002F0462"/>
    <w:rsid w:val="002F05C4"/>
    <w:rsid w:val="002F06BB"/>
    <w:rsid w:val="002F090D"/>
    <w:rsid w:val="002F0971"/>
    <w:rsid w:val="002F0A33"/>
    <w:rsid w:val="002F0B23"/>
    <w:rsid w:val="002F0DAC"/>
    <w:rsid w:val="002F0EDC"/>
    <w:rsid w:val="002F0F2F"/>
    <w:rsid w:val="002F0FE4"/>
    <w:rsid w:val="002F1361"/>
    <w:rsid w:val="002F146A"/>
    <w:rsid w:val="002F1539"/>
    <w:rsid w:val="002F1637"/>
    <w:rsid w:val="002F193D"/>
    <w:rsid w:val="002F196C"/>
    <w:rsid w:val="002F1B48"/>
    <w:rsid w:val="002F1BFD"/>
    <w:rsid w:val="002F1D51"/>
    <w:rsid w:val="002F1EB9"/>
    <w:rsid w:val="002F1FE3"/>
    <w:rsid w:val="002F21D1"/>
    <w:rsid w:val="002F2652"/>
    <w:rsid w:val="002F2925"/>
    <w:rsid w:val="002F2CA4"/>
    <w:rsid w:val="002F33BF"/>
    <w:rsid w:val="002F39A2"/>
    <w:rsid w:val="002F3A14"/>
    <w:rsid w:val="002F3B21"/>
    <w:rsid w:val="002F402A"/>
    <w:rsid w:val="002F415E"/>
    <w:rsid w:val="002F41AB"/>
    <w:rsid w:val="002F4370"/>
    <w:rsid w:val="002F44C4"/>
    <w:rsid w:val="002F4543"/>
    <w:rsid w:val="002F4823"/>
    <w:rsid w:val="002F4CEF"/>
    <w:rsid w:val="002F4CF7"/>
    <w:rsid w:val="002F4EB4"/>
    <w:rsid w:val="002F5006"/>
    <w:rsid w:val="002F5339"/>
    <w:rsid w:val="002F55A6"/>
    <w:rsid w:val="002F5CAF"/>
    <w:rsid w:val="002F5DFC"/>
    <w:rsid w:val="002F5ED5"/>
    <w:rsid w:val="002F6769"/>
    <w:rsid w:val="002F6E3B"/>
    <w:rsid w:val="002F6F24"/>
    <w:rsid w:val="002F70D5"/>
    <w:rsid w:val="002F714D"/>
    <w:rsid w:val="002F72AF"/>
    <w:rsid w:val="002F756F"/>
    <w:rsid w:val="002F7695"/>
    <w:rsid w:val="002F7812"/>
    <w:rsid w:val="002F7F14"/>
    <w:rsid w:val="003000B4"/>
    <w:rsid w:val="003002CA"/>
    <w:rsid w:val="0030062A"/>
    <w:rsid w:val="00300639"/>
    <w:rsid w:val="0030082F"/>
    <w:rsid w:val="003008E2"/>
    <w:rsid w:val="0030094B"/>
    <w:rsid w:val="00300ACB"/>
    <w:rsid w:val="00300DF0"/>
    <w:rsid w:val="00300E13"/>
    <w:rsid w:val="00300ED2"/>
    <w:rsid w:val="003014BE"/>
    <w:rsid w:val="00301827"/>
    <w:rsid w:val="00301AAA"/>
    <w:rsid w:val="00301B57"/>
    <w:rsid w:val="00301D15"/>
    <w:rsid w:val="00301E1B"/>
    <w:rsid w:val="00302229"/>
    <w:rsid w:val="003022E0"/>
    <w:rsid w:val="0030233B"/>
    <w:rsid w:val="0030238F"/>
    <w:rsid w:val="00302399"/>
    <w:rsid w:val="00302739"/>
    <w:rsid w:val="00302CF0"/>
    <w:rsid w:val="00302D8A"/>
    <w:rsid w:val="003031FF"/>
    <w:rsid w:val="00303206"/>
    <w:rsid w:val="003034A9"/>
    <w:rsid w:val="00303545"/>
    <w:rsid w:val="00303571"/>
    <w:rsid w:val="0030368A"/>
    <w:rsid w:val="00303998"/>
    <w:rsid w:val="00303D8E"/>
    <w:rsid w:val="00303E9C"/>
    <w:rsid w:val="00303EB6"/>
    <w:rsid w:val="00303EFE"/>
    <w:rsid w:val="003042A0"/>
    <w:rsid w:val="00304440"/>
    <w:rsid w:val="00304565"/>
    <w:rsid w:val="003045AD"/>
    <w:rsid w:val="003046F5"/>
    <w:rsid w:val="00304790"/>
    <w:rsid w:val="003049DE"/>
    <w:rsid w:val="00304F3A"/>
    <w:rsid w:val="00304FB5"/>
    <w:rsid w:val="003050E7"/>
    <w:rsid w:val="003050EB"/>
    <w:rsid w:val="00305493"/>
    <w:rsid w:val="003055BF"/>
    <w:rsid w:val="003056CD"/>
    <w:rsid w:val="00305884"/>
    <w:rsid w:val="00305905"/>
    <w:rsid w:val="00305EF2"/>
    <w:rsid w:val="00305F11"/>
    <w:rsid w:val="00305F93"/>
    <w:rsid w:val="003064C2"/>
    <w:rsid w:val="003065CD"/>
    <w:rsid w:val="003068DA"/>
    <w:rsid w:val="003068E6"/>
    <w:rsid w:val="003069E2"/>
    <w:rsid w:val="00306AA5"/>
    <w:rsid w:val="00306D14"/>
    <w:rsid w:val="00306D1F"/>
    <w:rsid w:val="00306E72"/>
    <w:rsid w:val="00306E88"/>
    <w:rsid w:val="00307649"/>
    <w:rsid w:val="003078E7"/>
    <w:rsid w:val="00307904"/>
    <w:rsid w:val="00307998"/>
    <w:rsid w:val="00307A27"/>
    <w:rsid w:val="00307D5B"/>
    <w:rsid w:val="00307E38"/>
    <w:rsid w:val="003102B6"/>
    <w:rsid w:val="003104E6"/>
    <w:rsid w:val="00310DC0"/>
    <w:rsid w:val="00310E5B"/>
    <w:rsid w:val="00311198"/>
    <w:rsid w:val="003111CB"/>
    <w:rsid w:val="00311206"/>
    <w:rsid w:val="003113CD"/>
    <w:rsid w:val="003115BB"/>
    <w:rsid w:val="003117A4"/>
    <w:rsid w:val="00311A9B"/>
    <w:rsid w:val="00311DF5"/>
    <w:rsid w:val="00311FB2"/>
    <w:rsid w:val="003124C9"/>
    <w:rsid w:val="00312597"/>
    <w:rsid w:val="00312658"/>
    <w:rsid w:val="003128F6"/>
    <w:rsid w:val="0031291E"/>
    <w:rsid w:val="00312A7B"/>
    <w:rsid w:val="00312BC8"/>
    <w:rsid w:val="00312C29"/>
    <w:rsid w:val="00312D3E"/>
    <w:rsid w:val="00312E88"/>
    <w:rsid w:val="00312F0C"/>
    <w:rsid w:val="00313099"/>
    <w:rsid w:val="00313232"/>
    <w:rsid w:val="003133B4"/>
    <w:rsid w:val="00313BF4"/>
    <w:rsid w:val="00313CD5"/>
    <w:rsid w:val="00313E77"/>
    <w:rsid w:val="00313EED"/>
    <w:rsid w:val="00314186"/>
    <w:rsid w:val="003141D8"/>
    <w:rsid w:val="00314258"/>
    <w:rsid w:val="00314536"/>
    <w:rsid w:val="0031482D"/>
    <w:rsid w:val="00314A3A"/>
    <w:rsid w:val="00314BFB"/>
    <w:rsid w:val="00314DD6"/>
    <w:rsid w:val="003154CD"/>
    <w:rsid w:val="003159C5"/>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7099"/>
    <w:rsid w:val="00317151"/>
    <w:rsid w:val="00317277"/>
    <w:rsid w:val="0031780D"/>
    <w:rsid w:val="00317A78"/>
    <w:rsid w:val="00317ACF"/>
    <w:rsid w:val="00317C07"/>
    <w:rsid w:val="00317C3A"/>
    <w:rsid w:val="00317E87"/>
    <w:rsid w:val="00317F69"/>
    <w:rsid w:val="00320039"/>
    <w:rsid w:val="0032010C"/>
    <w:rsid w:val="0032016A"/>
    <w:rsid w:val="0032034D"/>
    <w:rsid w:val="00320486"/>
    <w:rsid w:val="003206E6"/>
    <w:rsid w:val="00320B4C"/>
    <w:rsid w:val="00320D23"/>
    <w:rsid w:val="00320E81"/>
    <w:rsid w:val="0032101D"/>
    <w:rsid w:val="00321190"/>
    <w:rsid w:val="00321200"/>
    <w:rsid w:val="003212D7"/>
    <w:rsid w:val="00321678"/>
    <w:rsid w:val="0032182B"/>
    <w:rsid w:val="00321B64"/>
    <w:rsid w:val="00321BA6"/>
    <w:rsid w:val="00321C69"/>
    <w:rsid w:val="0032222F"/>
    <w:rsid w:val="0032258C"/>
    <w:rsid w:val="003226AC"/>
    <w:rsid w:val="003226B1"/>
    <w:rsid w:val="003227EB"/>
    <w:rsid w:val="003228A7"/>
    <w:rsid w:val="00322B26"/>
    <w:rsid w:val="003232DC"/>
    <w:rsid w:val="003235A7"/>
    <w:rsid w:val="003236C2"/>
    <w:rsid w:val="003239A4"/>
    <w:rsid w:val="00323BD1"/>
    <w:rsid w:val="00323BFB"/>
    <w:rsid w:val="00323F17"/>
    <w:rsid w:val="00324A12"/>
    <w:rsid w:val="00324B7C"/>
    <w:rsid w:val="00325054"/>
    <w:rsid w:val="00325103"/>
    <w:rsid w:val="003253E0"/>
    <w:rsid w:val="0032573F"/>
    <w:rsid w:val="003257A9"/>
    <w:rsid w:val="00325D17"/>
    <w:rsid w:val="00325E37"/>
    <w:rsid w:val="00325F29"/>
    <w:rsid w:val="00325FC4"/>
    <w:rsid w:val="00325FF4"/>
    <w:rsid w:val="0032603B"/>
    <w:rsid w:val="0032646C"/>
    <w:rsid w:val="0032654B"/>
    <w:rsid w:val="00326783"/>
    <w:rsid w:val="00326915"/>
    <w:rsid w:val="00326B14"/>
    <w:rsid w:val="00326C07"/>
    <w:rsid w:val="00326D87"/>
    <w:rsid w:val="00326DBA"/>
    <w:rsid w:val="00326F3C"/>
    <w:rsid w:val="00327359"/>
    <w:rsid w:val="003273F8"/>
    <w:rsid w:val="0032782E"/>
    <w:rsid w:val="00327856"/>
    <w:rsid w:val="0032799F"/>
    <w:rsid w:val="00327AD6"/>
    <w:rsid w:val="00327B47"/>
    <w:rsid w:val="00327B52"/>
    <w:rsid w:val="003303E5"/>
    <w:rsid w:val="00330609"/>
    <w:rsid w:val="00330788"/>
    <w:rsid w:val="003307D3"/>
    <w:rsid w:val="0033099B"/>
    <w:rsid w:val="00330AA0"/>
    <w:rsid w:val="00330D0C"/>
    <w:rsid w:val="00331804"/>
    <w:rsid w:val="00331A1D"/>
    <w:rsid w:val="00331BCC"/>
    <w:rsid w:val="00331BFE"/>
    <w:rsid w:val="00331D3A"/>
    <w:rsid w:val="003320CA"/>
    <w:rsid w:val="0033211B"/>
    <w:rsid w:val="003328E2"/>
    <w:rsid w:val="00332A98"/>
    <w:rsid w:val="00332E0E"/>
    <w:rsid w:val="00332EE4"/>
    <w:rsid w:val="00332FE8"/>
    <w:rsid w:val="00333314"/>
    <w:rsid w:val="00333670"/>
    <w:rsid w:val="003337CF"/>
    <w:rsid w:val="00333B84"/>
    <w:rsid w:val="00333C5B"/>
    <w:rsid w:val="00333EB4"/>
    <w:rsid w:val="003341AC"/>
    <w:rsid w:val="00334306"/>
    <w:rsid w:val="003348BE"/>
    <w:rsid w:val="00335191"/>
    <w:rsid w:val="0033525D"/>
    <w:rsid w:val="003355C1"/>
    <w:rsid w:val="003355CA"/>
    <w:rsid w:val="003361BC"/>
    <w:rsid w:val="0033647A"/>
    <w:rsid w:val="003366A8"/>
    <w:rsid w:val="00336783"/>
    <w:rsid w:val="00336813"/>
    <w:rsid w:val="003368BC"/>
    <w:rsid w:val="003369BE"/>
    <w:rsid w:val="00336BBF"/>
    <w:rsid w:val="00336FF1"/>
    <w:rsid w:val="0033755A"/>
    <w:rsid w:val="003375ED"/>
    <w:rsid w:val="0033775F"/>
    <w:rsid w:val="00337826"/>
    <w:rsid w:val="003378D7"/>
    <w:rsid w:val="00337EA3"/>
    <w:rsid w:val="00337ECE"/>
    <w:rsid w:val="00337F02"/>
    <w:rsid w:val="00337F71"/>
    <w:rsid w:val="00340261"/>
    <w:rsid w:val="0034080E"/>
    <w:rsid w:val="003409E5"/>
    <w:rsid w:val="00340E38"/>
    <w:rsid w:val="00340E5E"/>
    <w:rsid w:val="00340F2E"/>
    <w:rsid w:val="00340F8A"/>
    <w:rsid w:val="003412F9"/>
    <w:rsid w:val="0034156D"/>
    <w:rsid w:val="00341A43"/>
    <w:rsid w:val="00341B55"/>
    <w:rsid w:val="00341C9F"/>
    <w:rsid w:val="00341CBF"/>
    <w:rsid w:val="00342193"/>
    <w:rsid w:val="0034219A"/>
    <w:rsid w:val="00342258"/>
    <w:rsid w:val="003428D4"/>
    <w:rsid w:val="003429B0"/>
    <w:rsid w:val="003429B1"/>
    <w:rsid w:val="003429D4"/>
    <w:rsid w:val="003429D6"/>
    <w:rsid w:val="00342D6D"/>
    <w:rsid w:val="00342EA6"/>
    <w:rsid w:val="003430AB"/>
    <w:rsid w:val="003436AD"/>
    <w:rsid w:val="00343E7C"/>
    <w:rsid w:val="00343F23"/>
    <w:rsid w:val="00344270"/>
    <w:rsid w:val="0034431F"/>
    <w:rsid w:val="00344383"/>
    <w:rsid w:val="0034443E"/>
    <w:rsid w:val="00344742"/>
    <w:rsid w:val="003447F1"/>
    <w:rsid w:val="003449E4"/>
    <w:rsid w:val="00344B33"/>
    <w:rsid w:val="00344F5F"/>
    <w:rsid w:val="00345297"/>
    <w:rsid w:val="0034552B"/>
    <w:rsid w:val="003457BD"/>
    <w:rsid w:val="00345B15"/>
    <w:rsid w:val="00345BDC"/>
    <w:rsid w:val="00345D97"/>
    <w:rsid w:val="0034611C"/>
    <w:rsid w:val="003461A2"/>
    <w:rsid w:val="00346459"/>
    <w:rsid w:val="00346725"/>
    <w:rsid w:val="00346DFA"/>
    <w:rsid w:val="0034717F"/>
    <w:rsid w:val="0034731D"/>
    <w:rsid w:val="00347387"/>
    <w:rsid w:val="00347746"/>
    <w:rsid w:val="00347945"/>
    <w:rsid w:val="00347B86"/>
    <w:rsid w:val="00347F61"/>
    <w:rsid w:val="0035000E"/>
    <w:rsid w:val="00350382"/>
    <w:rsid w:val="0035076B"/>
    <w:rsid w:val="003507A9"/>
    <w:rsid w:val="0035092C"/>
    <w:rsid w:val="00350A36"/>
    <w:rsid w:val="00350A59"/>
    <w:rsid w:val="00350AF0"/>
    <w:rsid w:val="00350EE0"/>
    <w:rsid w:val="00351087"/>
    <w:rsid w:val="003512A6"/>
    <w:rsid w:val="003514C7"/>
    <w:rsid w:val="0035169D"/>
    <w:rsid w:val="00351702"/>
    <w:rsid w:val="0035181D"/>
    <w:rsid w:val="00351B46"/>
    <w:rsid w:val="00351F0F"/>
    <w:rsid w:val="00352284"/>
    <w:rsid w:val="0035255F"/>
    <w:rsid w:val="00352739"/>
    <w:rsid w:val="003528A1"/>
    <w:rsid w:val="00352B1F"/>
    <w:rsid w:val="00352D00"/>
    <w:rsid w:val="00352F40"/>
    <w:rsid w:val="00353549"/>
    <w:rsid w:val="003537D9"/>
    <w:rsid w:val="0035394D"/>
    <w:rsid w:val="00353C5B"/>
    <w:rsid w:val="00353CAF"/>
    <w:rsid w:val="00354017"/>
    <w:rsid w:val="00354645"/>
    <w:rsid w:val="003546EE"/>
    <w:rsid w:val="00354F2B"/>
    <w:rsid w:val="003555D1"/>
    <w:rsid w:val="00355828"/>
    <w:rsid w:val="00355908"/>
    <w:rsid w:val="0035592A"/>
    <w:rsid w:val="00355C3A"/>
    <w:rsid w:val="00355D15"/>
    <w:rsid w:val="00355D36"/>
    <w:rsid w:val="00355ECA"/>
    <w:rsid w:val="003560E7"/>
    <w:rsid w:val="003561BE"/>
    <w:rsid w:val="003562C1"/>
    <w:rsid w:val="0035633D"/>
    <w:rsid w:val="003564CB"/>
    <w:rsid w:val="00356765"/>
    <w:rsid w:val="00356825"/>
    <w:rsid w:val="00356827"/>
    <w:rsid w:val="0035691C"/>
    <w:rsid w:val="00356B31"/>
    <w:rsid w:val="00356D13"/>
    <w:rsid w:val="00356D71"/>
    <w:rsid w:val="0035711C"/>
    <w:rsid w:val="0035731F"/>
    <w:rsid w:val="00357391"/>
    <w:rsid w:val="003573D3"/>
    <w:rsid w:val="003573DD"/>
    <w:rsid w:val="00357470"/>
    <w:rsid w:val="00357508"/>
    <w:rsid w:val="003579D1"/>
    <w:rsid w:val="00357A19"/>
    <w:rsid w:val="00357A6E"/>
    <w:rsid w:val="00357B14"/>
    <w:rsid w:val="00357D55"/>
    <w:rsid w:val="00357E02"/>
    <w:rsid w:val="00360243"/>
    <w:rsid w:val="00360256"/>
    <w:rsid w:val="0036040B"/>
    <w:rsid w:val="00360661"/>
    <w:rsid w:val="00360750"/>
    <w:rsid w:val="003608FA"/>
    <w:rsid w:val="00360CA4"/>
    <w:rsid w:val="00360CD6"/>
    <w:rsid w:val="0036115B"/>
    <w:rsid w:val="0036159C"/>
    <w:rsid w:val="00361742"/>
    <w:rsid w:val="00361B80"/>
    <w:rsid w:val="00361D1E"/>
    <w:rsid w:val="00361F7C"/>
    <w:rsid w:val="00361FF3"/>
    <w:rsid w:val="00362307"/>
    <w:rsid w:val="00362371"/>
    <w:rsid w:val="0036275C"/>
    <w:rsid w:val="00362B25"/>
    <w:rsid w:val="00362BE5"/>
    <w:rsid w:val="00362E49"/>
    <w:rsid w:val="00362FEA"/>
    <w:rsid w:val="00363170"/>
    <w:rsid w:val="0036356A"/>
    <w:rsid w:val="003636F6"/>
    <w:rsid w:val="00363A31"/>
    <w:rsid w:val="00363AAC"/>
    <w:rsid w:val="00363AC8"/>
    <w:rsid w:val="00363BEC"/>
    <w:rsid w:val="00363C84"/>
    <w:rsid w:val="00363D28"/>
    <w:rsid w:val="00363E37"/>
    <w:rsid w:val="00363F6B"/>
    <w:rsid w:val="003643BD"/>
    <w:rsid w:val="00364439"/>
    <w:rsid w:val="003646DF"/>
    <w:rsid w:val="00364784"/>
    <w:rsid w:val="003647AD"/>
    <w:rsid w:val="003648FC"/>
    <w:rsid w:val="00364D88"/>
    <w:rsid w:val="00364E07"/>
    <w:rsid w:val="00364EA5"/>
    <w:rsid w:val="00364EC2"/>
    <w:rsid w:val="00364EEC"/>
    <w:rsid w:val="00364F8E"/>
    <w:rsid w:val="00364F8F"/>
    <w:rsid w:val="00365213"/>
    <w:rsid w:val="00365395"/>
    <w:rsid w:val="003655C6"/>
    <w:rsid w:val="003655F6"/>
    <w:rsid w:val="0036570E"/>
    <w:rsid w:val="0036598C"/>
    <w:rsid w:val="00365A4F"/>
    <w:rsid w:val="00365F3A"/>
    <w:rsid w:val="00365FD6"/>
    <w:rsid w:val="003660C3"/>
    <w:rsid w:val="003660DC"/>
    <w:rsid w:val="003664E6"/>
    <w:rsid w:val="00366B60"/>
    <w:rsid w:val="00366D33"/>
    <w:rsid w:val="0036721C"/>
    <w:rsid w:val="00367238"/>
    <w:rsid w:val="00367468"/>
    <w:rsid w:val="003674D9"/>
    <w:rsid w:val="00367710"/>
    <w:rsid w:val="0036785E"/>
    <w:rsid w:val="00367B08"/>
    <w:rsid w:val="0037007F"/>
    <w:rsid w:val="003702F3"/>
    <w:rsid w:val="003704DF"/>
    <w:rsid w:val="00371333"/>
    <w:rsid w:val="00371447"/>
    <w:rsid w:val="0037149B"/>
    <w:rsid w:val="003716A9"/>
    <w:rsid w:val="00371942"/>
    <w:rsid w:val="00371D4F"/>
    <w:rsid w:val="00372197"/>
    <w:rsid w:val="003722CB"/>
    <w:rsid w:val="0037244A"/>
    <w:rsid w:val="00372656"/>
    <w:rsid w:val="00372869"/>
    <w:rsid w:val="00372917"/>
    <w:rsid w:val="00372A3C"/>
    <w:rsid w:val="00372A7E"/>
    <w:rsid w:val="00372C0E"/>
    <w:rsid w:val="00373293"/>
    <w:rsid w:val="0037351A"/>
    <w:rsid w:val="003735BC"/>
    <w:rsid w:val="0037392F"/>
    <w:rsid w:val="00373AF4"/>
    <w:rsid w:val="00373D70"/>
    <w:rsid w:val="00374339"/>
    <w:rsid w:val="00374887"/>
    <w:rsid w:val="003749F4"/>
    <w:rsid w:val="00374FDB"/>
    <w:rsid w:val="0037519B"/>
    <w:rsid w:val="0037525B"/>
    <w:rsid w:val="0037548B"/>
    <w:rsid w:val="00375498"/>
    <w:rsid w:val="0037567B"/>
    <w:rsid w:val="00375803"/>
    <w:rsid w:val="00375A59"/>
    <w:rsid w:val="003763CD"/>
    <w:rsid w:val="003763ED"/>
    <w:rsid w:val="0037671C"/>
    <w:rsid w:val="0037692C"/>
    <w:rsid w:val="0037693B"/>
    <w:rsid w:val="0037695D"/>
    <w:rsid w:val="00376AF5"/>
    <w:rsid w:val="00376ED6"/>
    <w:rsid w:val="00377419"/>
    <w:rsid w:val="00377517"/>
    <w:rsid w:val="0037779D"/>
    <w:rsid w:val="00377B23"/>
    <w:rsid w:val="00377BEA"/>
    <w:rsid w:val="00377D29"/>
    <w:rsid w:val="00377D5A"/>
    <w:rsid w:val="00377DB0"/>
    <w:rsid w:val="00377E40"/>
    <w:rsid w:val="00380373"/>
    <w:rsid w:val="00380529"/>
    <w:rsid w:val="003806C7"/>
    <w:rsid w:val="00380B9C"/>
    <w:rsid w:val="00380EE3"/>
    <w:rsid w:val="0038105F"/>
    <w:rsid w:val="003811E8"/>
    <w:rsid w:val="003813FE"/>
    <w:rsid w:val="00381435"/>
    <w:rsid w:val="00381507"/>
    <w:rsid w:val="003817FC"/>
    <w:rsid w:val="00381E36"/>
    <w:rsid w:val="00381E40"/>
    <w:rsid w:val="00382198"/>
    <w:rsid w:val="003821CD"/>
    <w:rsid w:val="003821E0"/>
    <w:rsid w:val="003821EA"/>
    <w:rsid w:val="003826E1"/>
    <w:rsid w:val="00382950"/>
    <w:rsid w:val="00382CFE"/>
    <w:rsid w:val="00382FBF"/>
    <w:rsid w:val="003830B0"/>
    <w:rsid w:val="0038397D"/>
    <w:rsid w:val="00383CB2"/>
    <w:rsid w:val="00383FC9"/>
    <w:rsid w:val="00383FE9"/>
    <w:rsid w:val="00384221"/>
    <w:rsid w:val="0038423F"/>
    <w:rsid w:val="00384478"/>
    <w:rsid w:val="0038472C"/>
    <w:rsid w:val="00384A98"/>
    <w:rsid w:val="00384ABE"/>
    <w:rsid w:val="003851BC"/>
    <w:rsid w:val="00385341"/>
    <w:rsid w:val="0038547D"/>
    <w:rsid w:val="003856A8"/>
    <w:rsid w:val="003856DB"/>
    <w:rsid w:val="0038579A"/>
    <w:rsid w:val="00385A8A"/>
    <w:rsid w:val="00385E1B"/>
    <w:rsid w:val="003862CB"/>
    <w:rsid w:val="00386543"/>
    <w:rsid w:val="003868CC"/>
    <w:rsid w:val="00386C0B"/>
    <w:rsid w:val="00386E74"/>
    <w:rsid w:val="00387479"/>
    <w:rsid w:val="00387536"/>
    <w:rsid w:val="0038755A"/>
    <w:rsid w:val="0038762C"/>
    <w:rsid w:val="00387857"/>
    <w:rsid w:val="003879F0"/>
    <w:rsid w:val="00387BAF"/>
    <w:rsid w:val="00387F36"/>
    <w:rsid w:val="00390042"/>
    <w:rsid w:val="003906E3"/>
    <w:rsid w:val="00390704"/>
    <w:rsid w:val="00390730"/>
    <w:rsid w:val="003907B5"/>
    <w:rsid w:val="00390867"/>
    <w:rsid w:val="003909AC"/>
    <w:rsid w:val="00390AAB"/>
    <w:rsid w:val="00390CCF"/>
    <w:rsid w:val="00390DEA"/>
    <w:rsid w:val="0039100B"/>
    <w:rsid w:val="003912F2"/>
    <w:rsid w:val="00391488"/>
    <w:rsid w:val="0039154D"/>
    <w:rsid w:val="00391683"/>
    <w:rsid w:val="003917C8"/>
    <w:rsid w:val="00391AA6"/>
    <w:rsid w:val="00391BA7"/>
    <w:rsid w:val="003920B0"/>
    <w:rsid w:val="0039233A"/>
    <w:rsid w:val="003925D1"/>
    <w:rsid w:val="00392A93"/>
    <w:rsid w:val="00392B45"/>
    <w:rsid w:val="00392C20"/>
    <w:rsid w:val="003930CC"/>
    <w:rsid w:val="0039331E"/>
    <w:rsid w:val="00393484"/>
    <w:rsid w:val="00393726"/>
    <w:rsid w:val="003937B7"/>
    <w:rsid w:val="003937BB"/>
    <w:rsid w:val="00394231"/>
    <w:rsid w:val="00394782"/>
    <w:rsid w:val="00394B6C"/>
    <w:rsid w:val="0039506B"/>
    <w:rsid w:val="003952BF"/>
    <w:rsid w:val="003954EC"/>
    <w:rsid w:val="00395505"/>
    <w:rsid w:val="0039554B"/>
    <w:rsid w:val="00395FBF"/>
    <w:rsid w:val="00395FEC"/>
    <w:rsid w:val="003960F0"/>
    <w:rsid w:val="0039677E"/>
    <w:rsid w:val="00396A0A"/>
    <w:rsid w:val="00396BB7"/>
    <w:rsid w:val="00396BE2"/>
    <w:rsid w:val="00396C71"/>
    <w:rsid w:val="00396C77"/>
    <w:rsid w:val="00397179"/>
    <w:rsid w:val="003972E4"/>
    <w:rsid w:val="003973CD"/>
    <w:rsid w:val="00397587"/>
    <w:rsid w:val="00397859"/>
    <w:rsid w:val="00397B1C"/>
    <w:rsid w:val="00397B58"/>
    <w:rsid w:val="00397C02"/>
    <w:rsid w:val="00397E24"/>
    <w:rsid w:val="00397E51"/>
    <w:rsid w:val="003A0038"/>
    <w:rsid w:val="003A0575"/>
    <w:rsid w:val="003A07D1"/>
    <w:rsid w:val="003A08BC"/>
    <w:rsid w:val="003A091D"/>
    <w:rsid w:val="003A0991"/>
    <w:rsid w:val="003A0B8C"/>
    <w:rsid w:val="003A0C85"/>
    <w:rsid w:val="003A1091"/>
    <w:rsid w:val="003A10C9"/>
    <w:rsid w:val="003A139A"/>
    <w:rsid w:val="003A13B2"/>
    <w:rsid w:val="003A14E5"/>
    <w:rsid w:val="003A16FD"/>
    <w:rsid w:val="003A187E"/>
    <w:rsid w:val="003A1BC4"/>
    <w:rsid w:val="003A2414"/>
    <w:rsid w:val="003A2458"/>
    <w:rsid w:val="003A2551"/>
    <w:rsid w:val="003A28A7"/>
    <w:rsid w:val="003A28D9"/>
    <w:rsid w:val="003A2D0C"/>
    <w:rsid w:val="003A30C9"/>
    <w:rsid w:val="003A33BD"/>
    <w:rsid w:val="003A343F"/>
    <w:rsid w:val="003A349C"/>
    <w:rsid w:val="003A34ED"/>
    <w:rsid w:val="003A355D"/>
    <w:rsid w:val="003A3633"/>
    <w:rsid w:val="003A36EF"/>
    <w:rsid w:val="003A3760"/>
    <w:rsid w:val="003A3FE6"/>
    <w:rsid w:val="003A4649"/>
    <w:rsid w:val="003A467A"/>
    <w:rsid w:val="003A46BB"/>
    <w:rsid w:val="003A47AE"/>
    <w:rsid w:val="003A4B24"/>
    <w:rsid w:val="003A4BD9"/>
    <w:rsid w:val="003A4DE9"/>
    <w:rsid w:val="003A4EA7"/>
    <w:rsid w:val="003A51AE"/>
    <w:rsid w:val="003A54DC"/>
    <w:rsid w:val="003A5886"/>
    <w:rsid w:val="003A5937"/>
    <w:rsid w:val="003A5A70"/>
    <w:rsid w:val="003A6264"/>
    <w:rsid w:val="003A648F"/>
    <w:rsid w:val="003A658D"/>
    <w:rsid w:val="003A659B"/>
    <w:rsid w:val="003A67E5"/>
    <w:rsid w:val="003A6A93"/>
    <w:rsid w:val="003A6C1E"/>
    <w:rsid w:val="003A6FE0"/>
    <w:rsid w:val="003A7145"/>
    <w:rsid w:val="003A7444"/>
    <w:rsid w:val="003A7599"/>
    <w:rsid w:val="003A75BD"/>
    <w:rsid w:val="003A7C36"/>
    <w:rsid w:val="003A7F83"/>
    <w:rsid w:val="003B0A20"/>
    <w:rsid w:val="003B0C28"/>
    <w:rsid w:val="003B0D8A"/>
    <w:rsid w:val="003B1071"/>
    <w:rsid w:val="003B107A"/>
    <w:rsid w:val="003B108A"/>
    <w:rsid w:val="003B120A"/>
    <w:rsid w:val="003B1274"/>
    <w:rsid w:val="003B1A98"/>
    <w:rsid w:val="003B1AC4"/>
    <w:rsid w:val="003B1C15"/>
    <w:rsid w:val="003B1C8F"/>
    <w:rsid w:val="003B1E21"/>
    <w:rsid w:val="003B1ED7"/>
    <w:rsid w:val="003B2026"/>
    <w:rsid w:val="003B2189"/>
    <w:rsid w:val="003B2735"/>
    <w:rsid w:val="003B2895"/>
    <w:rsid w:val="003B2A40"/>
    <w:rsid w:val="003B2B8B"/>
    <w:rsid w:val="003B2DD6"/>
    <w:rsid w:val="003B2EBC"/>
    <w:rsid w:val="003B31F4"/>
    <w:rsid w:val="003B32E2"/>
    <w:rsid w:val="003B3696"/>
    <w:rsid w:val="003B37A7"/>
    <w:rsid w:val="003B3820"/>
    <w:rsid w:val="003B3B64"/>
    <w:rsid w:val="003B3BFC"/>
    <w:rsid w:val="003B3E87"/>
    <w:rsid w:val="003B3F64"/>
    <w:rsid w:val="003B3FC2"/>
    <w:rsid w:val="003B439B"/>
    <w:rsid w:val="003B4925"/>
    <w:rsid w:val="003B4994"/>
    <w:rsid w:val="003B49B6"/>
    <w:rsid w:val="003B4B15"/>
    <w:rsid w:val="003B4C8B"/>
    <w:rsid w:val="003B509E"/>
    <w:rsid w:val="003B5196"/>
    <w:rsid w:val="003B563A"/>
    <w:rsid w:val="003B5684"/>
    <w:rsid w:val="003B568B"/>
    <w:rsid w:val="003B571B"/>
    <w:rsid w:val="003B5A3E"/>
    <w:rsid w:val="003B5BEA"/>
    <w:rsid w:val="003B5E0B"/>
    <w:rsid w:val="003B5F11"/>
    <w:rsid w:val="003B61D5"/>
    <w:rsid w:val="003B6251"/>
    <w:rsid w:val="003B643F"/>
    <w:rsid w:val="003B64F3"/>
    <w:rsid w:val="003B6808"/>
    <w:rsid w:val="003B69F0"/>
    <w:rsid w:val="003B6E75"/>
    <w:rsid w:val="003B716D"/>
    <w:rsid w:val="003B71EB"/>
    <w:rsid w:val="003B73A4"/>
    <w:rsid w:val="003B774C"/>
    <w:rsid w:val="003B775F"/>
    <w:rsid w:val="003B7967"/>
    <w:rsid w:val="003B7D7F"/>
    <w:rsid w:val="003B7F4A"/>
    <w:rsid w:val="003B7FAF"/>
    <w:rsid w:val="003B7FB1"/>
    <w:rsid w:val="003C00CB"/>
    <w:rsid w:val="003C03E6"/>
    <w:rsid w:val="003C03EE"/>
    <w:rsid w:val="003C05EC"/>
    <w:rsid w:val="003C0A6E"/>
    <w:rsid w:val="003C0AD7"/>
    <w:rsid w:val="003C0B1C"/>
    <w:rsid w:val="003C0C07"/>
    <w:rsid w:val="003C0D5C"/>
    <w:rsid w:val="003C0D66"/>
    <w:rsid w:val="003C0F74"/>
    <w:rsid w:val="003C1012"/>
    <w:rsid w:val="003C104C"/>
    <w:rsid w:val="003C10CD"/>
    <w:rsid w:val="003C1394"/>
    <w:rsid w:val="003C1775"/>
    <w:rsid w:val="003C1A99"/>
    <w:rsid w:val="003C1AE6"/>
    <w:rsid w:val="003C1CD0"/>
    <w:rsid w:val="003C1D94"/>
    <w:rsid w:val="003C1F46"/>
    <w:rsid w:val="003C1FF2"/>
    <w:rsid w:val="003C20E0"/>
    <w:rsid w:val="003C240A"/>
    <w:rsid w:val="003C258E"/>
    <w:rsid w:val="003C2803"/>
    <w:rsid w:val="003C292A"/>
    <w:rsid w:val="003C295A"/>
    <w:rsid w:val="003C29CA"/>
    <w:rsid w:val="003C2AAF"/>
    <w:rsid w:val="003C2B5D"/>
    <w:rsid w:val="003C2E45"/>
    <w:rsid w:val="003C3027"/>
    <w:rsid w:val="003C3512"/>
    <w:rsid w:val="003C376E"/>
    <w:rsid w:val="003C37DA"/>
    <w:rsid w:val="003C37F0"/>
    <w:rsid w:val="003C380B"/>
    <w:rsid w:val="003C3848"/>
    <w:rsid w:val="003C3A4F"/>
    <w:rsid w:val="003C3A67"/>
    <w:rsid w:val="003C3D42"/>
    <w:rsid w:val="003C3EA3"/>
    <w:rsid w:val="003C41A4"/>
    <w:rsid w:val="003C4278"/>
    <w:rsid w:val="003C43D1"/>
    <w:rsid w:val="003C43FE"/>
    <w:rsid w:val="003C4544"/>
    <w:rsid w:val="003C4605"/>
    <w:rsid w:val="003C4A28"/>
    <w:rsid w:val="003C4AC8"/>
    <w:rsid w:val="003C4C15"/>
    <w:rsid w:val="003C4D58"/>
    <w:rsid w:val="003C4F07"/>
    <w:rsid w:val="003C5063"/>
    <w:rsid w:val="003C546C"/>
    <w:rsid w:val="003C5709"/>
    <w:rsid w:val="003C572B"/>
    <w:rsid w:val="003C5AA5"/>
    <w:rsid w:val="003C5B2D"/>
    <w:rsid w:val="003C5CCF"/>
    <w:rsid w:val="003C5DCA"/>
    <w:rsid w:val="003C5EB6"/>
    <w:rsid w:val="003C6793"/>
    <w:rsid w:val="003C6B81"/>
    <w:rsid w:val="003C6CBF"/>
    <w:rsid w:val="003C6CDD"/>
    <w:rsid w:val="003C6D38"/>
    <w:rsid w:val="003C6E16"/>
    <w:rsid w:val="003C718B"/>
    <w:rsid w:val="003C719F"/>
    <w:rsid w:val="003C723A"/>
    <w:rsid w:val="003C7350"/>
    <w:rsid w:val="003C76A5"/>
    <w:rsid w:val="003C76D4"/>
    <w:rsid w:val="003C77BF"/>
    <w:rsid w:val="003C79BB"/>
    <w:rsid w:val="003C7A48"/>
    <w:rsid w:val="003C7F2A"/>
    <w:rsid w:val="003C7F58"/>
    <w:rsid w:val="003C7F78"/>
    <w:rsid w:val="003D0078"/>
    <w:rsid w:val="003D01D6"/>
    <w:rsid w:val="003D033C"/>
    <w:rsid w:val="003D0441"/>
    <w:rsid w:val="003D05B2"/>
    <w:rsid w:val="003D0A18"/>
    <w:rsid w:val="003D0B2E"/>
    <w:rsid w:val="003D0BD2"/>
    <w:rsid w:val="003D0E8A"/>
    <w:rsid w:val="003D0EB7"/>
    <w:rsid w:val="003D10B7"/>
    <w:rsid w:val="003D1350"/>
    <w:rsid w:val="003D13B1"/>
    <w:rsid w:val="003D1710"/>
    <w:rsid w:val="003D189B"/>
    <w:rsid w:val="003D197A"/>
    <w:rsid w:val="003D19B4"/>
    <w:rsid w:val="003D1D08"/>
    <w:rsid w:val="003D1D2F"/>
    <w:rsid w:val="003D1ED7"/>
    <w:rsid w:val="003D1F66"/>
    <w:rsid w:val="003D1FAD"/>
    <w:rsid w:val="003D2010"/>
    <w:rsid w:val="003D2026"/>
    <w:rsid w:val="003D21A4"/>
    <w:rsid w:val="003D28B3"/>
    <w:rsid w:val="003D2973"/>
    <w:rsid w:val="003D29BA"/>
    <w:rsid w:val="003D2BD3"/>
    <w:rsid w:val="003D2E11"/>
    <w:rsid w:val="003D330A"/>
    <w:rsid w:val="003D330D"/>
    <w:rsid w:val="003D3417"/>
    <w:rsid w:val="003D341A"/>
    <w:rsid w:val="003D3586"/>
    <w:rsid w:val="003D36EC"/>
    <w:rsid w:val="003D38E5"/>
    <w:rsid w:val="003D3A50"/>
    <w:rsid w:val="003D3C15"/>
    <w:rsid w:val="003D3CC3"/>
    <w:rsid w:val="003D401B"/>
    <w:rsid w:val="003D44D2"/>
    <w:rsid w:val="003D47DA"/>
    <w:rsid w:val="003D485B"/>
    <w:rsid w:val="003D4918"/>
    <w:rsid w:val="003D4D10"/>
    <w:rsid w:val="003D4DA0"/>
    <w:rsid w:val="003D4ED3"/>
    <w:rsid w:val="003D5288"/>
    <w:rsid w:val="003D552B"/>
    <w:rsid w:val="003D58FC"/>
    <w:rsid w:val="003D5CA0"/>
    <w:rsid w:val="003D5E8B"/>
    <w:rsid w:val="003D5EFE"/>
    <w:rsid w:val="003D5F26"/>
    <w:rsid w:val="003D5F84"/>
    <w:rsid w:val="003D6432"/>
    <w:rsid w:val="003D66B4"/>
    <w:rsid w:val="003D689F"/>
    <w:rsid w:val="003D69F3"/>
    <w:rsid w:val="003D6B56"/>
    <w:rsid w:val="003D6E90"/>
    <w:rsid w:val="003D6EA2"/>
    <w:rsid w:val="003D713D"/>
    <w:rsid w:val="003D7144"/>
    <w:rsid w:val="003D73AE"/>
    <w:rsid w:val="003D78D9"/>
    <w:rsid w:val="003D7986"/>
    <w:rsid w:val="003D7BB8"/>
    <w:rsid w:val="003D7D78"/>
    <w:rsid w:val="003D7D7F"/>
    <w:rsid w:val="003D7DFE"/>
    <w:rsid w:val="003E00AC"/>
    <w:rsid w:val="003E01CA"/>
    <w:rsid w:val="003E01D7"/>
    <w:rsid w:val="003E0518"/>
    <w:rsid w:val="003E09DD"/>
    <w:rsid w:val="003E0CDB"/>
    <w:rsid w:val="003E0CF3"/>
    <w:rsid w:val="003E10F4"/>
    <w:rsid w:val="003E1105"/>
    <w:rsid w:val="003E129E"/>
    <w:rsid w:val="003E175D"/>
    <w:rsid w:val="003E1C12"/>
    <w:rsid w:val="003E1D81"/>
    <w:rsid w:val="003E2288"/>
    <w:rsid w:val="003E2463"/>
    <w:rsid w:val="003E2B20"/>
    <w:rsid w:val="003E2EC8"/>
    <w:rsid w:val="003E3142"/>
    <w:rsid w:val="003E3186"/>
    <w:rsid w:val="003E31AA"/>
    <w:rsid w:val="003E3E34"/>
    <w:rsid w:val="003E40E1"/>
    <w:rsid w:val="003E4160"/>
    <w:rsid w:val="003E43E9"/>
    <w:rsid w:val="003E4510"/>
    <w:rsid w:val="003E470C"/>
    <w:rsid w:val="003E4719"/>
    <w:rsid w:val="003E4942"/>
    <w:rsid w:val="003E4A59"/>
    <w:rsid w:val="003E4F59"/>
    <w:rsid w:val="003E5322"/>
    <w:rsid w:val="003E54B9"/>
    <w:rsid w:val="003E5501"/>
    <w:rsid w:val="003E5575"/>
    <w:rsid w:val="003E562A"/>
    <w:rsid w:val="003E5B36"/>
    <w:rsid w:val="003E5CC4"/>
    <w:rsid w:val="003E5F3D"/>
    <w:rsid w:val="003E6122"/>
    <w:rsid w:val="003E6153"/>
    <w:rsid w:val="003E652A"/>
    <w:rsid w:val="003E670E"/>
    <w:rsid w:val="003E67AE"/>
    <w:rsid w:val="003E6844"/>
    <w:rsid w:val="003E6989"/>
    <w:rsid w:val="003E6E2C"/>
    <w:rsid w:val="003E708D"/>
    <w:rsid w:val="003E7577"/>
    <w:rsid w:val="003E78F7"/>
    <w:rsid w:val="003E7A55"/>
    <w:rsid w:val="003E7C16"/>
    <w:rsid w:val="003E7C69"/>
    <w:rsid w:val="003F0061"/>
    <w:rsid w:val="003F038A"/>
    <w:rsid w:val="003F03F2"/>
    <w:rsid w:val="003F05CD"/>
    <w:rsid w:val="003F07C9"/>
    <w:rsid w:val="003F13C6"/>
    <w:rsid w:val="003F159D"/>
    <w:rsid w:val="003F16DD"/>
    <w:rsid w:val="003F1931"/>
    <w:rsid w:val="003F1A66"/>
    <w:rsid w:val="003F1B39"/>
    <w:rsid w:val="003F1DAF"/>
    <w:rsid w:val="003F1E38"/>
    <w:rsid w:val="003F1F36"/>
    <w:rsid w:val="003F22E8"/>
    <w:rsid w:val="003F2700"/>
    <w:rsid w:val="003F2A73"/>
    <w:rsid w:val="003F2C5F"/>
    <w:rsid w:val="003F2C8B"/>
    <w:rsid w:val="003F3082"/>
    <w:rsid w:val="003F3125"/>
    <w:rsid w:val="003F312B"/>
    <w:rsid w:val="003F32E6"/>
    <w:rsid w:val="003F3558"/>
    <w:rsid w:val="003F3638"/>
    <w:rsid w:val="003F3817"/>
    <w:rsid w:val="003F388D"/>
    <w:rsid w:val="003F38EB"/>
    <w:rsid w:val="003F3E36"/>
    <w:rsid w:val="003F402B"/>
    <w:rsid w:val="003F4329"/>
    <w:rsid w:val="003F4358"/>
    <w:rsid w:val="003F437B"/>
    <w:rsid w:val="003F4383"/>
    <w:rsid w:val="003F53F0"/>
    <w:rsid w:val="003F55AC"/>
    <w:rsid w:val="003F5633"/>
    <w:rsid w:val="003F5738"/>
    <w:rsid w:val="003F5D03"/>
    <w:rsid w:val="003F5E98"/>
    <w:rsid w:val="003F6059"/>
    <w:rsid w:val="003F6346"/>
    <w:rsid w:val="003F63DE"/>
    <w:rsid w:val="003F64CD"/>
    <w:rsid w:val="003F6632"/>
    <w:rsid w:val="003F673C"/>
    <w:rsid w:val="003F69B9"/>
    <w:rsid w:val="003F7087"/>
    <w:rsid w:val="003F7178"/>
    <w:rsid w:val="003F7480"/>
    <w:rsid w:val="003F74C6"/>
    <w:rsid w:val="003F7563"/>
    <w:rsid w:val="003F7953"/>
    <w:rsid w:val="003F7A8A"/>
    <w:rsid w:val="003F7B8B"/>
    <w:rsid w:val="00400206"/>
    <w:rsid w:val="0040029B"/>
    <w:rsid w:val="0040031D"/>
    <w:rsid w:val="004004F7"/>
    <w:rsid w:val="004006ED"/>
    <w:rsid w:val="0040081B"/>
    <w:rsid w:val="004009B0"/>
    <w:rsid w:val="00400BE5"/>
    <w:rsid w:val="00400C21"/>
    <w:rsid w:val="00400C5F"/>
    <w:rsid w:val="00400C72"/>
    <w:rsid w:val="004010A9"/>
    <w:rsid w:val="004013EA"/>
    <w:rsid w:val="00401A45"/>
    <w:rsid w:val="00401EA9"/>
    <w:rsid w:val="004020D9"/>
    <w:rsid w:val="004027B4"/>
    <w:rsid w:val="004028A1"/>
    <w:rsid w:val="00402900"/>
    <w:rsid w:val="00402924"/>
    <w:rsid w:val="00402A26"/>
    <w:rsid w:val="00402C99"/>
    <w:rsid w:val="00402D53"/>
    <w:rsid w:val="00402DF2"/>
    <w:rsid w:val="00402F1E"/>
    <w:rsid w:val="00403104"/>
    <w:rsid w:val="004031A4"/>
    <w:rsid w:val="004032CD"/>
    <w:rsid w:val="004036A8"/>
    <w:rsid w:val="00403BC9"/>
    <w:rsid w:val="00403CB1"/>
    <w:rsid w:val="00403D53"/>
    <w:rsid w:val="00403F0C"/>
    <w:rsid w:val="00404300"/>
    <w:rsid w:val="0040454E"/>
    <w:rsid w:val="00404623"/>
    <w:rsid w:val="004047A7"/>
    <w:rsid w:val="004047B8"/>
    <w:rsid w:val="00404A1D"/>
    <w:rsid w:val="00405364"/>
    <w:rsid w:val="0040551D"/>
    <w:rsid w:val="004056FC"/>
    <w:rsid w:val="004057BF"/>
    <w:rsid w:val="00405AD4"/>
    <w:rsid w:val="00405E2C"/>
    <w:rsid w:val="00405E92"/>
    <w:rsid w:val="00405EF6"/>
    <w:rsid w:val="00406015"/>
    <w:rsid w:val="004063CA"/>
    <w:rsid w:val="00406637"/>
    <w:rsid w:val="004069F6"/>
    <w:rsid w:val="00406AB5"/>
    <w:rsid w:val="00406B59"/>
    <w:rsid w:val="00406BAB"/>
    <w:rsid w:val="00406D5F"/>
    <w:rsid w:val="00406FC4"/>
    <w:rsid w:val="004070AC"/>
    <w:rsid w:val="0040737B"/>
    <w:rsid w:val="004073FB"/>
    <w:rsid w:val="004077DC"/>
    <w:rsid w:val="00407A03"/>
    <w:rsid w:val="00407B83"/>
    <w:rsid w:val="00410103"/>
    <w:rsid w:val="0041015E"/>
    <w:rsid w:val="0041050D"/>
    <w:rsid w:val="00410780"/>
    <w:rsid w:val="00410843"/>
    <w:rsid w:val="0041097E"/>
    <w:rsid w:val="00410C38"/>
    <w:rsid w:val="00410F38"/>
    <w:rsid w:val="00411084"/>
    <w:rsid w:val="0041114B"/>
    <w:rsid w:val="0041161E"/>
    <w:rsid w:val="00411E92"/>
    <w:rsid w:val="00411FAB"/>
    <w:rsid w:val="004122F3"/>
    <w:rsid w:val="00412588"/>
    <w:rsid w:val="00412731"/>
    <w:rsid w:val="0041278E"/>
    <w:rsid w:val="00412798"/>
    <w:rsid w:val="00412867"/>
    <w:rsid w:val="004129BA"/>
    <w:rsid w:val="00412B36"/>
    <w:rsid w:val="00412D5F"/>
    <w:rsid w:val="00413022"/>
    <w:rsid w:val="0041351E"/>
    <w:rsid w:val="00413879"/>
    <w:rsid w:val="004138EB"/>
    <w:rsid w:val="00413E8B"/>
    <w:rsid w:val="00414016"/>
    <w:rsid w:val="004144D9"/>
    <w:rsid w:val="0041468A"/>
    <w:rsid w:val="00414779"/>
    <w:rsid w:val="00414A57"/>
    <w:rsid w:val="00414D9D"/>
    <w:rsid w:val="00414DE5"/>
    <w:rsid w:val="00414F15"/>
    <w:rsid w:val="0041541C"/>
    <w:rsid w:val="0041551A"/>
    <w:rsid w:val="004157A7"/>
    <w:rsid w:val="00415939"/>
    <w:rsid w:val="00415990"/>
    <w:rsid w:val="00415CF8"/>
    <w:rsid w:val="00415EAA"/>
    <w:rsid w:val="00416041"/>
    <w:rsid w:val="00416287"/>
    <w:rsid w:val="00416499"/>
    <w:rsid w:val="004167B9"/>
    <w:rsid w:val="00416828"/>
    <w:rsid w:val="00416AEF"/>
    <w:rsid w:val="00416B9B"/>
    <w:rsid w:val="00416EBB"/>
    <w:rsid w:val="004171FB"/>
    <w:rsid w:val="00417C4E"/>
    <w:rsid w:val="00417CEB"/>
    <w:rsid w:val="00417DA6"/>
    <w:rsid w:val="00417E7D"/>
    <w:rsid w:val="00417E99"/>
    <w:rsid w:val="00417E9B"/>
    <w:rsid w:val="00420011"/>
    <w:rsid w:val="00420358"/>
    <w:rsid w:val="004204A6"/>
    <w:rsid w:val="00420623"/>
    <w:rsid w:val="00420679"/>
    <w:rsid w:val="004207B6"/>
    <w:rsid w:val="004208B2"/>
    <w:rsid w:val="004209C6"/>
    <w:rsid w:val="00420A8C"/>
    <w:rsid w:val="00420B09"/>
    <w:rsid w:val="00420D0D"/>
    <w:rsid w:val="004214DB"/>
    <w:rsid w:val="004214DF"/>
    <w:rsid w:val="00421636"/>
    <w:rsid w:val="00421716"/>
    <w:rsid w:val="0042180C"/>
    <w:rsid w:val="0042186D"/>
    <w:rsid w:val="00421992"/>
    <w:rsid w:val="00421BCA"/>
    <w:rsid w:val="00421CC6"/>
    <w:rsid w:val="00422245"/>
    <w:rsid w:val="004222D2"/>
    <w:rsid w:val="00422324"/>
    <w:rsid w:val="00422429"/>
    <w:rsid w:val="004224F6"/>
    <w:rsid w:val="004227D4"/>
    <w:rsid w:val="00422828"/>
    <w:rsid w:val="00422E3C"/>
    <w:rsid w:val="00422EBC"/>
    <w:rsid w:val="00422FE6"/>
    <w:rsid w:val="00423207"/>
    <w:rsid w:val="00423220"/>
    <w:rsid w:val="0042348E"/>
    <w:rsid w:val="00423796"/>
    <w:rsid w:val="0042389C"/>
    <w:rsid w:val="004239ED"/>
    <w:rsid w:val="00423A87"/>
    <w:rsid w:val="00423A9B"/>
    <w:rsid w:val="00423D13"/>
    <w:rsid w:val="00423D16"/>
    <w:rsid w:val="0042421D"/>
    <w:rsid w:val="0042422E"/>
    <w:rsid w:val="004242A4"/>
    <w:rsid w:val="00424459"/>
    <w:rsid w:val="00424712"/>
    <w:rsid w:val="004248DC"/>
    <w:rsid w:val="00424A47"/>
    <w:rsid w:val="00424D3E"/>
    <w:rsid w:val="00424E2D"/>
    <w:rsid w:val="00424E2E"/>
    <w:rsid w:val="0042523E"/>
    <w:rsid w:val="00425532"/>
    <w:rsid w:val="0042558C"/>
    <w:rsid w:val="004255ED"/>
    <w:rsid w:val="00425AAD"/>
    <w:rsid w:val="00425C89"/>
    <w:rsid w:val="00425EAE"/>
    <w:rsid w:val="00425FF9"/>
    <w:rsid w:val="004260BF"/>
    <w:rsid w:val="00426129"/>
    <w:rsid w:val="0042617E"/>
    <w:rsid w:val="00426215"/>
    <w:rsid w:val="00426411"/>
    <w:rsid w:val="004264A4"/>
    <w:rsid w:val="0042672C"/>
    <w:rsid w:val="0042673E"/>
    <w:rsid w:val="0042682F"/>
    <w:rsid w:val="0042686B"/>
    <w:rsid w:val="00426C0D"/>
    <w:rsid w:val="00427079"/>
    <w:rsid w:val="00427185"/>
    <w:rsid w:val="004272EE"/>
    <w:rsid w:val="004276D6"/>
    <w:rsid w:val="00427705"/>
    <w:rsid w:val="0042771C"/>
    <w:rsid w:val="004277EC"/>
    <w:rsid w:val="00427988"/>
    <w:rsid w:val="00427C90"/>
    <w:rsid w:val="00427EBE"/>
    <w:rsid w:val="00427F23"/>
    <w:rsid w:val="00430545"/>
    <w:rsid w:val="0043056C"/>
    <w:rsid w:val="004305BC"/>
    <w:rsid w:val="004305FE"/>
    <w:rsid w:val="004306D9"/>
    <w:rsid w:val="0043080D"/>
    <w:rsid w:val="00430CCF"/>
    <w:rsid w:val="00430F58"/>
    <w:rsid w:val="00430F64"/>
    <w:rsid w:val="004310F4"/>
    <w:rsid w:val="00431482"/>
    <w:rsid w:val="004315FB"/>
    <w:rsid w:val="004319CB"/>
    <w:rsid w:val="00431F23"/>
    <w:rsid w:val="00431F29"/>
    <w:rsid w:val="00431F50"/>
    <w:rsid w:val="00431F71"/>
    <w:rsid w:val="00432016"/>
    <w:rsid w:val="0043240D"/>
    <w:rsid w:val="00432459"/>
    <w:rsid w:val="004325DC"/>
    <w:rsid w:val="004327D4"/>
    <w:rsid w:val="004327ED"/>
    <w:rsid w:val="00432AEA"/>
    <w:rsid w:val="00432C2D"/>
    <w:rsid w:val="00432D8A"/>
    <w:rsid w:val="004330C9"/>
    <w:rsid w:val="0043337A"/>
    <w:rsid w:val="00433401"/>
    <w:rsid w:val="0043348D"/>
    <w:rsid w:val="00433632"/>
    <w:rsid w:val="00433786"/>
    <w:rsid w:val="0043390B"/>
    <w:rsid w:val="00433A1E"/>
    <w:rsid w:val="00433A85"/>
    <w:rsid w:val="00433B20"/>
    <w:rsid w:val="00433B46"/>
    <w:rsid w:val="00433E04"/>
    <w:rsid w:val="00434262"/>
    <w:rsid w:val="00434A41"/>
    <w:rsid w:val="00434C19"/>
    <w:rsid w:val="00434C53"/>
    <w:rsid w:val="00435006"/>
    <w:rsid w:val="0043521C"/>
    <w:rsid w:val="004353C2"/>
    <w:rsid w:val="004357D4"/>
    <w:rsid w:val="00435A04"/>
    <w:rsid w:val="00435B7A"/>
    <w:rsid w:val="00435C32"/>
    <w:rsid w:val="00435E5F"/>
    <w:rsid w:val="00435E98"/>
    <w:rsid w:val="00435EAA"/>
    <w:rsid w:val="00435EE9"/>
    <w:rsid w:val="00435FBD"/>
    <w:rsid w:val="004362E6"/>
    <w:rsid w:val="00436667"/>
    <w:rsid w:val="004367EF"/>
    <w:rsid w:val="00436C25"/>
    <w:rsid w:val="00436D3D"/>
    <w:rsid w:val="004372B9"/>
    <w:rsid w:val="00437695"/>
    <w:rsid w:val="00437912"/>
    <w:rsid w:val="00437919"/>
    <w:rsid w:val="0043791C"/>
    <w:rsid w:val="00437D43"/>
    <w:rsid w:val="0044035F"/>
    <w:rsid w:val="004405B2"/>
    <w:rsid w:val="00440933"/>
    <w:rsid w:val="00440A65"/>
    <w:rsid w:val="00440AA8"/>
    <w:rsid w:val="00440E8D"/>
    <w:rsid w:val="00440EF3"/>
    <w:rsid w:val="00441062"/>
    <w:rsid w:val="0044145B"/>
    <w:rsid w:val="004414A5"/>
    <w:rsid w:val="0044154F"/>
    <w:rsid w:val="00441672"/>
    <w:rsid w:val="004416B6"/>
    <w:rsid w:val="00441857"/>
    <w:rsid w:val="00441A14"/>
    <w:rsid w:val="00441D48"/>
    <w:rsid w:val="00441ED3"/>
    <w:rsid w:val="00441F8E"/>
    <w:rsid w:val="004420C0"/>
    <w:rsid w:val="0044230B"/>
    <w:rsid w:val="00442417"/>
    <w:rsid w:val="00442549"/>
    <w:rsid w:val="004425EF"/>
    <w:rsid w:val="0044286B"/>
    <w:rsid w:val="004428FA"/>
    <w:rsid w:val="00442CD1"/>
    <w:rsid w:val="00442D46"/>
    <w:rsid w:val="00442D6A"/>
    <w:rsid w:val="00443265"/>
    <w:rsid w:val="004436CF"/>
    <w:rsid w:val="00443718"/>
    <w:rsid w:val="004437AB"/>
    <w:rsid w:val="0044380A"/>
    <w:rsid w:val="004438EA"/>
    <w:rsid w:val="00443F02"/>
    <w:rsid w:val="0044407E"/>
    <w:rsid w:val="00444193"/>
    <w:rsid w:val="004442AE"/>
    <w:rsid w:val="00444D7C"/>
    <w:rsid w:val="00444E27"/>
    <w:rsid w:val="00444FD3"/>
    <w:rsid w:val="00445830"/>
    <w:rsid w:val="004458D8"/>
    <w:rsid w:val="00445915"/>
    <w:rsid w:val="004459B7"/>
    <w:rsid w:val="00445A74"/>
    <w:rsid w:val="00445B52"/>
    <w:rsid w:val="00445B90"/>
    <w:rsid w:val="00445C09"/>
    <w:rsid w:val="00445C13"/>
    <w:rsid w:val="00446138"/>
    <w:rsid w:val="00446257"/>
    <w:rsid w:val="004464B2"/>
    <w:rsid w:val="0044676D"/>
    <w:rsid w:val="004469A4"/>
    <w:rsid w:val="00446B28"/>
    <w:rsid w:val="00446BD9"/>
    <w:rsid w:val="00446D4B"/>
    <w:rsid w:val="00447030"/>
    <w:rsid w:val="0044716B"/>
    <w:rsid w:val="00447258"/>
    <w:rsid w:val="004475EE"/>
    <w:rsid w:val="00447635"/>
    <w:rsid w:val="00447A37"/>
    <w:rsid w:val="00447AA3"/>
    <w:rsid w:val="00447AD2"/>
    <w:rsid w:val="00447DAC"/>
    <w:rsid w:val="00447EEE"/>
    <w:rsid w:val="00447F85"/>
    <w:rsid w:val="0045019E"/>
    <w:rsid w:val="0045091E"/>
    <w:rsid w:val="00450CAF"/>
    <w:rsid w:val="00451021"/>
    <w:rsid w:val="00451282"/>
    <w:rsid w:val="00451306"/>
    <w:rsid w:val="0045137A"/>
    <w:rsid w:val="004519F2"/>
    <w:rsid w:val="00451A75"/>
    <w:rsid w:val="00451B01"/>
    <w:rsid w:val="004520E8"/>
    <w:rsid w:val="004522FE"/>
    <w:rsid w:val="0045235B"/>
    <w:rsid w:val="00452368"/>
    <w:rsid w:val="00452434"/>
    <w:rsid w:val="0045266D"/>
    <w:rsid w:val="004528FD"/>
    <w:rsid w:val="00452B46"/>
    <w:rsid w:val="00452B94"/>
    <w:rsid w:val="00452C05"/>
    <w:rsid w:val="00452CB6"/>
    <w:rsid w:val="00452D5C"/>
    <w:rsid w:val="00453031"/>
    <w:rsid w:val="004531D5"/>
    <w:rsid w:val="004532B9"/>
    <w:rsid w:val="0045349C"/>
    <w:rsid w:val="0045386F"/>
    <w:rsid w:val="004538C4"/>
    <w:rsid w:val="00453E4A"/>
    <w:rsid w:val="00453FA1"/>
    <w:rsid w:val="00453FFF"/>
    <w:rsid w:val="0045400C"/>
    <w:rsid w:val="0045415A"/>
    <w:rsid w:val="004544A4"/>
    <w:rsid w:val="004545C0"/>
    <w:rsid w:val="00454612"/>
    <w:rsid w:val="0045461A"/>
    <w:rsid w:val="00454626"/>
    <w:rsid w:val="004547F3"/>
    <w:rsid w:val="004548F6"/>
    <w:rsid w:val="00454BDB"/>
    <w:rsid w:val="00454C4D"/>
    <w:rsid w:val="00454EF0"/>
    <w:rsid w:val="00455678"/>
    <w:rsid w:val="00455733"/>
    <w:rsid w:val="004558E9"/>
    <w:rsid w:val="004559FD"/>
    <w:rsid w:val="00455BE9"/>
    <w:rsid w:val="00455D27"/>
    <w:rsid w:val="00455EE0"/>
    <w:rsid w:val="00455FBB"/>
    <w:rsid w:val="00456020"/>
    <w:rsid w:val="004565B1"/>
    <w:rsid w:val="0045663C"/>
    <w:rsid w:val="00456652"/>
    <w:rsid w:val="004567FC"/>
    <w:rsid w:val="00456883"/>
    <w:rsid w:val="00456C4D"/>
    <w:rsid w:val="00456E65"/>
    <w:rsid w:val="00456EA0"/>
    <w:rsid w:val="0045754D"/>
    <w:rsid w:val="004575A3"/>
    <w:rsid w:val="0045763F"/>
    <w:rsid w:val="00457777"/>
    <w:rsid w:val="004577CC"/>
    <w:rsid w:val="0045788D"/>
    <w:rsid w:val="00457971"/>
    <w:rsid w:val="00457A2F"/>
    <w:rsid w:val="00457A73"/>
    <w:rsid w:val="00457C49"/>
    <w:rsid w:val="00457D05"/>
    <w:rsid w:val="00460137"/>
    <w:rsid w:val="00460240"/>
    <w:rsid w:val="00460282"/>
    <w:rsid w:val="004602E4"/>
    <w:rsid w:val="004603D0"/>
    <w:rsid w:val="00460437"/>
    <w:rsid w:val="004607DF"/>
    <w:rsid w:val="00460985"/>
    <w:rsid w:val="00460A11"/>
    <w:rsid w:val="00460AD4"/>
    <w:rsid w:val="004610A6"/>
    <w:rsid w:val="00461189"/>
    <w:rsid w:val="004612DC"/>
    <w:rsid w:val="00461D52"/>
    <w:rsid w:val="004621DB"/>
    <w:rsid w:val="004623A2"/>
    <w:rsid w:val="0046257C"/>
    <w:rsid w:val="0046282F"/>
    <w:rsid w:val="00462A2C"/>
    <w:rsid w:val="00462EFF"/>
    <w:rsid w:val="00462F11"/>
    <w:rsid w:val="00463066"/>
    <w:rsid w:val="004632F2"/>
    <w:rsid w:val="0046341D"/>
    <w:rsid w:val="0046356B"/>
    <w:rsid w:val="0046384C"/>
    <w:rsid w:val="004642D2"/>
    <w:rsid w:val="00464402"/>
    <w:rsid w:val="004646EA"/>
    <w:rsid w:val="0046484B"/>
    <w:rsid w:val="00464A4C"/>
    <w:rsid w:val="00464B33"/>
    <w:rsid w:val="00464BD0"/>
    <w:rsid w:val="00464D0A"/>
    <w:rsid w:val="00464DC7"/>
    <w:rsid w:val="00464E1E"/>
    <w:rsid w:val="00464E67"/>
    <w:rsid w:val="0046515C"/>
    <w:rsid w:val="0046516B"/>
    <w:rsid w:val="004658B1"/>
    <w:rsid w:val="004658C7"/>
    <w:rsid w:val="00465CCE"/>
    <w:rsid w:val="00465DC9"/>
    <w:rsid w:val="00465FE2"/>
    <w:rsid w:val="004665D1"/>
    <w:rsid w:val="00466862"/>
    <w:rsid w:val="00466A1F"/>
    <w:rsid w:val="00466BA6"/>
    <w:rsid w:val="00466BEB"/>
    <w:rsid w:val="00466BF6"/>
    <w:rsid w:val="00466D3E"/>
    <w:rsid w:val="00466D55"/>
    <w:rsid w:val="00466DCE"/>
    <w:rsid w:val="004670FE"/>
    <w:rsid w:val="0046726E"/>
    <w:rsid w:val="00467327"/>
    <w:rsid w:val="00467554"/>
    <w:rsid w:val="004675E5"/>
    <w:rsid w:val="00467863"/>
    <w:rsid w:val="00467A00"/>
    <w:rsid w:val="00467C50"/>
    <w:rsid w:val="00467CA3"/>
    <w:rsid w:val="00467CE3"/>
    <w:rsid w:val="00467F54"/>
    <w:rsid w:val="00467FB3"/>
    <w:rsid w:val="0047028F"/>
    <w:rsid w:val="00470447"/>
    <w:rsid w:val="004707F8"/>
    <w:rsid w:val="0047099D"/>
    <w:rsid w:val="004711EE"/>
    <w:rsid w:val="0047129B"/>
    <w:rsid w:val="00471860"/>
    <w:rsid w:val="0047194B"/>
    <w:rsid w:val="00471B0F"/>
    <w:rsid w:val="00472096"/>
    <w:rsid w:val="0047236F"/>
    <w:rsid w:val="004728F1"/>
    <w:rsid w:val="00472BF6"/>
    <w:rsid w:val="00472DA0"/>
    <w:rsid w:val="00472DAA"/>
    <w:rsid w:val="00473017"/>
    <w:rsid w:val="00473490"/>
    <w:rsid w:val="00473661"/>
    <w:rsid w:val="004736BB"/>
    <w:rsid w:val="0047388C"/>
    <w:rsid w:val="0047391A"/>
    <w:rsid w:val="00473B40"/>
    <w:rsid w:val="00473B41"/>
    <w:rsid w:val="00473B6C"/>
    <w:rsid w:val="004740EF"/>
    <w:rsid w:val="004741F2"/>
    <w:rsid w:val="0047440F"/>
    <w:rsid w:val="00474534"/>
    <w:rsid w:val="00474671"/>
    <w:rsid w:val="0047482B"/>
    <w:rsid w:val="00474BAC"/>
    <w:rsid w:val="00474C3D"/>
    <w:rsid w:val="00474DFD"/>
    <w:rsid w:val="004750B6"/>
    <w:rsid w:val="004751BF"/>
    <w:rsid w:val="004751CD"/>
    <w:rsid w:val="00475264"/>
    <w:rsid w:val="004759AD"/>
    <w:rsid w:val="00475BDA"/>
    <w:rsid w:val="00476012"/>
    <w:rsid w:val="00476404"/>
    <w:rsid w:val="00476486"/>
    <w:rsid w:val="0047654A"/>
    <w:rsid w:val="0047669D"/>
    <w:rsid w:val="00476743"/>
    <w:rsid w:val="00476F3F"/>
    <w:rsid w:val="00477117"/>
    <w:rsid w:val="00477299"/>
    <w:rsid w:val="004772EF"/>
    <w:rsid w:val="0047750F"/>
    <w:rsid w:val="0047777B"/>
    <w:rsid w:val="00477BA1"/>
    <w:rsid w:val="00477D6F"/>
    <w:rsid w:val="00477DD7"/>
    <w:rsid w:val="00477DFD"/>
    <w:rsid w:val="00477E9C"/>
    <w:rsid w:val="004800C5"/>
    <w:rsid w:val="004801C9"/>
    <w:rsid w:val="004802DC"/>
    <w:rsid w:val="00480358"/>
    <w:rsid w:val="004803D1"/>
    <w:rsid w:val="00480607"/>
    <w:rsid w:val="00480954"/>
    <w:rsid w:val="004809FD"/>
    <w:rsid w:val="00480B34"/>
    <w:rsid w:val="00480D9A"/>
    <w:rsid w:val="00480DD5"/>
    <w:rsid w:val="00480FAF"/>
    <w:rsid w:val="004814DE"/>
    <w:rsid w:val="0048156A"/>
    <w:rsid w:val="004816CB"/>
    <w:rsid w:val="00481710"/>
    <w:rsid w:val="00481A2D"/>
    <w:rsid w:val="00481A31"/>
    <w:rsid w:val="00481D2F"/>
    <w:rsid w:val="004821CC"/>
    <w:rsid w:val="0048285E"/>
    <w:rsid w:val="00482BCD"/>
    <w:rsid w:val="004838D1"/>
    <w:rsid w:val="00483AFF"/>
    <w:rsid w:val="0048447D"/>
    <w:rsid w:val="0048483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B6E"/>
    <w:rsid w:val="00485C90"/>
    <w:rsid w:val="00485D7E"/>
    <w:rsid w:val="00485E28"/>
    <w:rsid w:val="00485EFA"/>
    <w:rsid w:val="004861FA"/>
    <w:rsid w:val="0048626E"/>
    <w:rsid w:val="004865D0"/>
    <w:rsid w:val="0048673A"/>
    <w:rsid w:val="004867D0"/>
    <w:rsid w:val="00486894"/>
    <w:rsid w:val="004868A0"/>
    <w:rsid w:val="004869C2"/>
    <w:rsid w:val="00486A9C"/>
    <w:rsid w:val="00486D91"/>
    <w:rsid w:val="00487949"/>
    <w:rsid w:val="00487BE3"/>
    <w:rsid w:val="00487C78"/>
    <w:rsid w:val="00487CB4"/>
    <w:rsid w:val="00490272"/>
    <w:rsid w:val="00490381"/>
    <w:rsid w:val="004905BE"/>
    <w:rsid w:val="0049095E"/>
    <w:rsid w:val="0049129B"/>
    <w:rsid w:val="0049144D"/>
    <w:rsid w:val="00491452"/>
    <w:rsid w:val="00491487"/>
    <w:rsid w:val="004914E1"/>
    <w:rsid w:val="004916E0"/>
    <w:rsid w:val="004919BA"/>
    <w:rsid w:val="00491CE8"/>
    <w:rsid w:val="0049208B"/>
    <w:rsid w:val="0049219B"/>
    <w:rsid w:val="0049227E"/>
    <w:rsid w:val="004925CA"/>
    <w:rsid w:val="00492ACC"/>
    <w:rsid w:val="00492CC7"/>
    <w:rsid w:val="00492EAE"/>
    <w:rsid w:val="00492F28"/>
    <w:rsid w:val="004932CB"/>
    <w:rsid w:val="004938DD"/>
    <w:rsid w:val="00493F4D"/>
    <w:rsid w:val="00494187"/>
    <w:rsid w:val="0049439F"/>
    <w:rsid w:val="00494451"/>
    <w:rsid w:val="00494779"/>
    <w:rsid w:val="004947BC"/>
    <w:rsid w:val="004947D2"/>
    <w:rsid w:val="0049483B"/>
    <w:rsid w:val="00494C5F"/>
    <w:rsid w:val="00494F4D"/>
    <w:rsid w:val="00495090"/>
    <w:rsid w:val="004950D3"/>
    <w:rsid w:val="004952A9"/>
    <w:rsid w:val="00495480"/>
    <w:rsid w:val="00495BFD"/>
    <w:rsid w:val="004961F7"/>
    <w:rsid w:val="004964ED"/>
    <w:rsid w:val="00496976"/>
    <w:rsid w:val="00496B0D"/>
    <w:rsid w:val="00496D93"/>
    <w:rsid w:val="004970E9"/>
    <w:rsid w:val="004971EA"/>
    <w:rsid w:val="00497244"/>
    <w:rsid w:val="0049745C"/>
    <w:rsid w:val="00497536"/>
    <w:rsid w:val="004976D1"/>
    <w:rsid w:val="00497AD4"/>
    <w:rsid w:val="00497BD2"/>
    <w:rsid w:val="00497DFF"/>
    <w:rsid w:val="00497EB4"/>
    <w:rsid w:val="00497F95"/>
    <w:rsid w:val="004A003B"/>
    <w:rsid w:val="004A054F"/>
    <w:rsid w:val="004A058A"/>
    <w:rsid w:val="004A09C5"/>
    <w:rsid w:val="004A0A2F"/>
    <w:rsid w:val="004A0B0E"/>
    <w:rsid w:val="004A0B45"/>
    <w:rsid w:val="004A0D03"/>
    <w:rsid w:val="004A0D09"/>
    <w:rsid w:val="004A10CB"/>
    <w:rsid w:val="004A1144"/>
    <w:rsid w:val="004A116A"/>
    <w:rsid w:val="004A1521"/>
    <w:rsid w:val="004A170B"/>
    <w:rsid w:val="004A1880"/>
    <w:rsid w:val="004A19EF"/>
    <w:rsid w:val="004A1A9B"/>
    <w:rsid w:val="004A1AE7"/>
    <w:rsid w:val="004A1B8E"/>
    <w:rsid w:val="004A1FE5"/>
    <w:rsid w:val="004A23DF"/>
    <w:rsid w:val="004A24C1"/>
    <w:rsid w:val="004A2775"/>
    <w:rsid w:val="004A2990"/>
    <w:rsid w:val="004A2F48"/>
    <w:rsid w:val="004A32E2"/>
    <w:rsid w:val="004A35C8"/>
    <w:rsid w:val="004A37A5"/>
    <w:rsid w:val="004A38C4"/>
    <w:rsid w:val="004A3908"/>
    <w:rsid w:val="004A39E3"/>
    <w:rsid w:val="004A3ACE"/>
    <w:rsid w:val="004A3B10"/>
    <w:rsid w:val="004A3B76"/>
    <w:rsid w:val="004A3C99"/>
    <w:rsid w:val="004A3CB4"/>
    <w:rsid w:val="004A3EFB"/>
    <w:rsid w:val="004A44A0"/>
    <w:rsid w:val="004A453B"/>
    <w:rsid w:val="004A4A1B"/>
    <w:rsid w:val="004A4ADA"/>
    <w:rsid w:val="004A4CAF"/>
    <w:rsid w:val="004A4CBE"/>
    <w:rsid w:val="004A5122"/>
    <w:rsid w:val="004A52F9"/>
    <w:rsid w:val="004A5444"/>
    <w:rsid w:val="004A5883"/>
    <w:rsid w:val="004A5DC2"/>
    <w:rsid w:val="004A5E34"/>
    <w:rsid w:val="004A6049"/>
    <w:rsid w:val="004A6235"/>
    <w:rsid w:val="004A6379"/>
    <w:rsid w:val="004A6484"/>
    <w:rsid w:val="004A6487"/>
    <w:rsid w:val="004A65FD"/>
    <w:rsid w:val="004A6841"/>
    <w:rsid w:val="004A68B2"/>
    <w:rsid w:val="004A69A7"/>
    <w:rsid w:val="004A6AAC"/>
    <w:rsid w:val="004A6B2E"/>
    <w:rsid w:val="004A6BE4"/>
    <w:rsid w:val="004A6CAB"/>
    <w:rsid w:val="004A6CE2"/>
    <w:rsid w:val="004A6DE5"/>
    <w:rsid w:val="004A6E57"/>
    <w:rsid w:val="004A7093"/>
    <w:rsid w:val="004A7355"/>
    <w:rsid w:val="004A7687"/>
    <w:rsid w:val="004A7A33"/>
    <w:rsid w:val="004A7B79"/>
    <w:rsid w:val="004A7BD9"/>
    <w:rsid w:val="004A7D23"/>
    <w:rsid w:val="004A7D59"/>
    <w:rsid w:val="004A7EA6"/>
    <w:rsid w:val="004B00FE"/>
    <w:rsid w:val="004B0169"/>
    <w:rsid w:val="004B038A"/>
    <w:rsid w:val="004B06FF"/>
    <w:rsid w:val="004B07AB"/>
    <w:rsid w:val="004B0B52"/>
    <w:rsid w:val="004B0C68"/>
    <w:rsid w:val="004B103F"/>
    <w:rsid w:val="004B1110"/>
    <w:rsid w:val="004B1121"/>
    <w:rsid w:val="004B14A6"/>
    <w:rsid w:val="004B16E3"/>
    <w:rsid w:val="004B18B1"/>
    <w:rsid w:val="004B19E9"/>
    <w:rsid w:val="004B1AC5"/>
    <w:rsid w:val="004B1B37"/>
    <w:rsid w:val="004B1C31"/>
    <w:rsid w:val="004B1C6F"/>
    <w:rsid w:val="004B1E43"/>
    <w:rsid w:val="004B1EC7"/>
    <w:rsid w:val="004B1FD5"/>
    <w:rsid w:val="004B2596"/>
    <w:rsid w:val="004B26BE"/>
    <w:rsid w:val="004B2787"/>
    <w:rsid w:val="004B278F"/>
    <w:rsid w:val="004B2C86"/>
    <w:rsid w:val="004B2DF9"/>
    <w:rsid w:val="004B2E72"/>
    <w:rsid w:val="004B301F"/>
    <w:rsid w:val="004B3028"/>
    <w:rsid w:val="004B302C"/>
    <w:rsid w:val="004B318A"/>
    <w:rsid w:val="004B3213"/>
    <w:rsid w:val="004B368A"/>
    <w:rsid w:val="004B376E"/>
    <w:rsid w:val="004B37AE"/>
    <w:rsid w:val="004B3813"/>
    <w:rsid w:val="004B39DF"/>
    <w:rsid w:val="004B3AFB"/>
    <w:rsid w:val="004B3D33"/>
    <w:rsid w:val="004B3FB8"/>
    <w:rsid w:val="004B4333"/>
    <w:rsid w:val="004B444B"/>
    <w:rsid w:val="004B445A"/>
    <w:rsid w:val="004B4475"/>
    <w:rsid w:val="004B4614"/>
    <w:rsid w:val="004B4648"/>
    <w:rsid w:val="004B4A8B"/>
    <w:rsid w:val="004B4C3F"/>
    <w:rsid w:val="004B4C85"/>
    <w:rsid w:val="004B4CA1"/>
    <w:rsid w:val="004B4CC7"/>
    <w:rsid w:val="004B4CE7"/>
    <w:rsid w:val="004B53B9"/>
    <w:rsid w:val="004B56D9"/>
    <w:rsid w:val="004B588A"/>
    <w:rsid w:val="004B5899"/>
    <w:rsid w:val="004B59B4"/>
    <w:rsid w:val="004B59D3"/>
    <w:rsid w:val="004B5A18"/>
    <w:rsid w:val="004B5C34"/>
    <w:rsid w:val="004B605E"/>
    <w:rsid w:val="004B631D"/>
    <w:rsid w:val="004B6363"/>
    <w:rsid w:val="004B64D2"/>
    <w:rsid w:val="004B66B8"/>
    <w:rsid w:val="004B688C"/>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C0014"/>
    <w:rsid w:val="004C00AF"/>
    <w:rsid w:val="004C02E4"/>
    <w:rsid w:val="004C037B"/>
    <w:rsid w:val="004C0596"/>
    <w:rsid w:val="004C05F6"/>
    <w:rsid w:val="004C07C7"/>
    <w:rsid w:val="004C07DD"/>
    <w:rsid w:val="004C08AF"/>
    <w:rsid w:val="004C0D29"/>
    <w:rsid w:val="004C0DD3"/>
    <w:rsid w:val="004C0DDF"/>
    <w:rsid w:val="004C0F06"/>
    <w:rsid w:val="004C1131"/>
    <w:rsid w:val="004C1249"/>
    <w:rsid w:val="004C12FD"/>
    <w:rsid w:val="004C150A"/>
    <w:rsid w:val="004C195B"/>
    <w:rsid w:val="004C1ABF"/>
    <w:rsid w:val="004C1CBC"/>
    <w:rsid w:val="004C1E26"/>
    <w:rsid w:val="004C2070"/>
    <w:rsid w:val="004C219E"/>
    <w:rsid w:val="004C2376"/>
    <w:rsid w:val="004C23DB"/>
    <w:rsid w:val="004C2782"/>
    <w:rsid w:val="004C29CB"/>
    <w:rsid w:val="004C2BB3"/>
    <w:rsid w:val="004C2E49"/>
    <w:rsid w:val="004C3206"/>
    <w:rsid w:val="004C326B"/>
    <w:rsid w:val="004C3507"/>
    <w:rsid w:val="004C35B9"/>
    <w:rsid w:val="004C37F9"/>
    <w:rsid w:val="004C39AC"/>
    <w:rsid w:val="004C3AFE"/>
    <w:rsid w:val="004C3F07"/>
    <w:rsid w:val="004C4087"/>
    <w:rsid w:val="004C4556"/>
    <w:rsid w:val="004C45D2"/>
    <w:rsid w:val="004C473D"/>
    <w:rsid w:val="004C475A"/>
    <w:rsid w:val="004C4B07"/>
    <w:rsid w:val="004C4CBD"/>
    <w:rsid w:val="004C4E56"/>
    <w:rsid w:val="004C515E"/>
    <w:rsid w:val="004C577E"/>
    <w:rsid w:val="004C5857"/>
    <w:rsid w:val="004C5A07"/>
    <w:rsid w:val="004C5A2C"/>
    <w:rsid w:val="004C5CFE"/>
    <w:rsid w:val="004C5D81"/>
    <w:rsid w:val="004C5EEC"/>
    <w:rsid w:val="004C60D2"/>
    <w:rsid w:val="004C6253"/>
    <w:rsid w:val="004C631A"/>
    <w:rsid w:val="004C6554"/>
    <w:rsid w:val="004C655C"/>
    <w:rsid w:val="004C6B48"/>
    <w:rsid w:val="004C6BFC"/>
    <w:rsid w:val="004C7425"/>
    <w:rsid w:val="004C75CC"/>
    <w:rsid w:val="004C7708"/>
    <w:rsid w:val="004C7893"/>
    <w:rsid w:val="004C7C6C"/>
    <w:rsid w:val="004C7DD7"/>
    <w:rsid w:val="004C7DEF"/>
    <w:rsid w:val="004D011D"/>
    <w:rsid w:val="004D023E"/>
    <w:rsid w:val="004D0475"/>
    <w:rsid w:val="004D08B1"/>
    <w:rsid w:val="004D0ADF"/>
    <w:rsid w:val="004D0B3A"/>
    <w:rsid w:val="004D0F0A"/>
    <w:rsid w:val="004D11A3"/>
    <w:rsid w:val="004D13FE"/>
    <w:rsid w:val="004D159E"/>
    <w:rsid w:val="004D175C"/>
    <w:rsid w:val="004D179D"/>
    <w:rsid w:val="004D19F5"/>
    <w:rsid w:val="004D1A88"/>
    <w:rsid w:val="004D1CAE"/>
    <w:rsid w:val="004D2110"/>
    <w:rsid w:val="004D212B"/>
    <w:rsid w:val="004D22F3"/>
    <w:rsid w:val="004D23E8"/>
    <w:rsid w:val="004D2590"/>
    <w:rsid w:val="004D26D8"/>
    <w:rsid w:val="004D26F4"/>
    <w:rsid w:val="004D2735"/>
    <w:rsid w:val="004D285A"/>
    <w:rsid w:val="004D289E"/>
    <w:rsid w:val="004D302F"/>
    <w:rsid w:val="004D3040"/>
    <w:rsid w:val="004D35F4"/>
    <w:rsid w:val="004D3692"/>
    <w:rsid w:val="004D3864"/>
    <w:rsid w:val="004D3AA8"/>
    <w:rsid w:val="004D3AF0"/>
    <w:rsid w:val="004D3E97"/>
    <w:rsid w:val="004D3F80"/>
    <w:rsid w:val="004D3FB4"/>
    <w:rsid w:val="004D4352"/>
    <w:rsid w:val="004D45DE"/>
    <w:rsid w:val="004D4924"/>
    <w:rsid w:val="004D496A"/>
    <w:rsid w:val="004D4A2A"/>
    <w:rsid w:val="004D51D5"/>
    <w:rsid w:val="004D562E"/>
    <w:rsid w:val="004D56CE"/>
    <w:rsid w:val="004D58B8"/>
    <w:rsid w:val="004D5C38"/>
    <w:rsid w:val="004D6029"/>
    <w:rsid w:val="004D60FA"/>
    <w:rsid w:val="004D61BA"/>
    <w:rsid w:val="004D64D2"/>
    <w:rsid w:val="004D68AE"/>
    <w:rsid w:val="004D68C4"/>
    <w:rsid w:val="004D6A8D"/>
    <w:rsid w:val="004D6B0C"/>
    <w:rsid w:val="004D6C0A"/>
    <w:rsid w:val="004D6C57"/>
    <w:rsid w:val="004D6CB1"/>
    <w:rsid w:val="004D6D15"/>
    <w:rsid w:val="004D7202"/>
    <w:rsid w:val="004D73ED"/>
    <w:rsid w:val="004D7608"/>
    <w:rsid w:val="004D7918"/>
    <w:rsid w:val="004D7A64"/>
    <w:rsid w:val="004D7B08"/>
    <w:rsid w:val="004D7CE6"/>
    <w:rsid w:val="004D7D5D"/>
    <w:rsid w:val="004D7DA0"/>
    <w:rsid w:val="004D7E58"/>
    <w:rsid w:val="004D7F37"/>
    <w:rsid w:val="004E01A9"/>
    <w:rsid w:val="004E01D7"/>
    <w:rsid w:val="004E02BD"/>
    <w:rsid w:val="004E0307"/>
    <w:rsid w:val="004E07BF"/>
    <w:rsid w:val="004E0B00"/>
    <w:rsid w:val="004E0D30"/>
    <w:rsid w:val="004E1231"/>
    <w:rsid w:val="004E13F7"/>
    <w:rsid w:val="004E15E4"/>
    <w:rsid w:val="004E1925"/>
    <w:rsid w:val="004E19BF"/>
    <w:rsid w:val="004E1B23"/>
    <w:rsid w:val="004E1C55"/>
    <w:rsid w:val="004E1CCF"/>
    <w:rsid w:val="004E2923"/>
    <w:rsid w:val="004E2DB1"/>
    <w:rsid w:val="004E305C"/>
    <w:rsid w:val="004E314F"/>
    <w:rsid w:val="004E3176"/>
    <w:rsid w:val="004E31EE"/>
    <w:rsid w:val="004E36E9"/>
    <w:rsid w:val="004E390D"/>
    <w:rsid w:val="004E3A4D"/>
    <w:rsid w:val="004E3BD6"/>
    <w:rsid w:val="004E3FEA"/>
    <w:rsid w:val="004E4008"/>
    <w:rsid w:val="004E40EF"/>
    <w:rsid w:val="004E42F1"/>
    <w:rsid w:val="004E4507"/>
    <w:rsid w:val="004E4530"/>
    <w:rsid w:val="004E4733"/>
    <w:rsid w:val="004E4C23"/>
    <w:rsid w:val="004E4DB6"/>
    <w:rsid w:val="004E5063"/>
    <w:rsid w:val="004E5173"/>
    <w:rsid w:val="004E52BA"/>
    <w:rsid w:val="004E5384"/>
    <w:rsid w:val="004E54F5"/>
    <w:rsid w:val="004E5611"/>
    <w:rsid w:val="004E5717"/>
    <w:rsid w:val="004E5796"/>
    <w:rsid w:val="004E5A3C"/>
    <w:rsid w:val="004E5CC7"/>
    <w:rsid w:val="004E64E1"/>
    <w:rsid w:val="004E678A"/>
    <w:rsid w:val="004E6928"/>
    <w:rsid w:val="004E6A00"/>
    <w:rsid w:val="004E6ACA"/>
    <w:rsid w:val="004E6BF1"/>
    <w:rsid w:val="004E6D65"/>
    <w:rsid w:val="004E6E6D"/>
    <w:rsid w:val="004E6FB1"/>
    <w:rsid w:val="004E7025"/>
    <w:rsid w:val="004E72D4"/>
    <w:rsid w:val="004E72DE"/>
    <w:rsid w:val="004E7434"/>
    <w:rsid w:val="004E7626"/>
    <w:rsid w:val="004E77A0"/>
    <w:rsid w:val="004E7A04"/>
    <w:rsid w:val="004E7B49"/>
    <w:rsid w:val="004E7B70"/>
    <w:rsid w:val="004E7B8B"/>
    <w:rsid w:val="004F0342"/>
    <w:rsid w:val="004F045C"/>
    <w:rsid w:val="004F069B"/>
    <w:rsid w:val="004F0D5D"/>
    <w:rsid w:val="004F0E48"/>
    <w:rsid w:val="004F129E"/>
    <w:rsid w:val="004F147F"/>
    <w:rsid w:val="004F1549"/>
    <w:rsid w:val="004F1748"/>
    <w:rsid w:val="004F18BD"/>
    <w:rsid w:val="004F199C"/>
    <w:rsid w:val="004F1A68"/>
    <w:rsid w:val="004F1BA0"/>
    <w:rsid w:val="004F1CEE"/>
    <w:rsid w:val="004F1DA6"/>
    <w:rsid w:val="004F1E7A"/>
    <w:rsid w:val="004F1FA1"/>
    <w:rsid w:val="004F2393"/>
    <w:rsid w:val="004F25BB"/>
    <w:rsid w:val="004F285F"/>
    <w:rsid w:val="004F28B6"/>
    <w:rsid w:val="004F2928"/>
    <w:rsid w:val="004F2FC8"/>
    <w:rsid w:val="004F32C6"/>
    <w:rsid w:val="004F3C8C"/>
    <w:rsid w:val="004F3D14"/>
    <w:rsid w:val="004F4204"/>
    <w:rsid w:val="004F42D6"/>
    <w:rsid w:val="004F4604"/>
    <w:rsid w:val="004F4711"/>
    <w:rsid w:val="004F4753"/>
    <w:rsid w:val="004F4A5E"/>
    <w:rsid w:val="004F4CE0"/>
    <w:rsid w:val="004F4DBC"/>
    <w:rsid w:val="004F4E57"/>
    <w:rsid w:val="004F4F67"/>
    <w:rsid w:val="004F502E"/>
    <w:rsid w:val="004F5125"/>
    <w:rsid w:val="004F512C"/>
    <w:rsid w:val="004F51B9"/>
    <w:rsid w:val="004F5370"/>
    <w:rsid w:val="004F5966"/>
    <w:rsid w:val="004F5E54"/>
    <w:rsid w:val="004F66BE"/>
    <w:rsid w:val="004F684E"/>
    <w:rsid w:val="004F6B99"/>
    <w:rsid w:val="004F6DB7"/>
    <w:rsid w:val="004F7068"/>
    <w:rsid w:val="004F7237"/>
    <w:rsid w:val="004F7294"/>
    <w:rsid w:val="004F73D3"/>
    <w:rsid w:val="004F741B"/>
    <w:rsid w:val="004F74AA"/>
    <w:rsid w:val="004F79AD"/>
    <w:rsid w:val="004F7D43"/>
    <w:rsid w:val="004F7D86"/>
    <w:rsid w:val="004F7EB8"/>
    <w:rsid w:val="005002B4"/>
    <w:rsid w:val="005006B5"/>
    <w:rsid w:val="00500753"/>
    <w:rsid w:val="00500800"/>
    <w:rsid w:val="00500977"/>
    <w:rsid w:val="00500992"/>
    <w:rsid w:val="00500E9A"/>
    <w:rsid w:val="00500F04"/>
    <w:rsid w:val="005010EC"/>
    <w:rsid w:val="005011E5"/>
    <w:rsid w:val="005014D8"/>
    <w:rsid w:val="0050191C"/>
    <w:rsid w:val="0050195E"/>
    <w:rsid w:val="00501AF7"/>
    <w:rsid w:val="00501E0A"/>
    <w:rsid w:val="00502002"/>
    <w:rsid w:val="0050231B"/>
    <w:rsid w:val="00502350"/>
    <w:rsid w:val="005029FF"/>
    <w:rsid w:val="00502BD4"/>
    <w:rsid w:val="00502CC7"/>
    <w:rsid w:val="00502E1A"/>
    <w:rsid w:val="00503097"/>
    <w:rsid w:val="005030FD"/>
    <w:rsid w:val="005038D2"/>
    <w:rsid w:val="005038E4"/>
    <w:rsid w:val="0050390D"/>
    <w:rsid w:val="0050399F"/>
    <w:rsid w:val="005039A7"/>
    <w:rsid w:val="005039E4"/>
    <w:rsid w:val="00503A62"/>
    <w:rsid w:val="00503A74"/>
    <w:rsid w:val="00503B5A"/>
    <w:rsid w:val="00503DE3"/>
    <w:rsid w:val="00503DF7"/>
    <w:rsid w:val="00504141"/>
    <w:rsid w:val="0050445F"/>
    <w:rsid w:val="0050448B"/>
    <w:rsid w:val="0050454A"/>
    <w:rsid w:val="00504555"/>
    <w:rsid w:val="0050460F"/>
    <w:rsid w:val="00504769"/>
    <w:rsid w:val="00504925"/>
    <w:rsid w:val="00504C80"/>
    <w:rsid w:val="0050508C"/>
    <w:rsid w:val="00505271"/>
    <w:rsid w:val="005057A6"/>
    <w:rsid w:val="005057FC"/>
    <w:rsid w:val="005058E1"/>
    <w:rsid w:val="00505C83"/>
    <w:rsid w:val="00505D52"/>
    <w:rsid w:val="0050644D"/>
    <w:rsid w:val="00506500"/>
    <w:rsid w:val="00506896"/>
    <w:rsid w:val="00506CF8"/>
    <w:rsid w:val="00506F9C"/>
    <w:rsid w:val="005070BE"/>
    <w:rsid w:val="00507190"/>
    <w:rsid w:val="00507681"/>
    <w:rsid w:val="005079FB"/>
    <w:rsid w:val="00507C60"/>
    <w:rsid w:val="00507C7E"/>
    <w:rsid w:val="00507D1D"/>
    <w:rsid w:val="00507D3E"/>
    <w:rsid w:val="00507ED1"/>
    <w:rsid w:val="00507F8D"/>
    <w:rsid w:val="0051025E"/>
    <w:rsid w:val="0051035A"/>
    <w:rsid w:val="005104AD"/>
    <w:rsid w:val="00510528"/>
    <w:rsid w:val="005105A8"/>
    <w:rsid w:val="00510B2A"/>
    <w:rsid w:val="00510B93"/>
    <w:rsid w:val="00510F3C"/>
    <w:rsid w:val="0051107D"/>
    <w:rsid w:val="005110C6"/>
    <w:rsid w:val="00511720"/>
    <w:rsid w:val="00511864"/>
    <w:rsid w:val="005118AB"/>
    <w:rsid w:val="00511B12"/>
    <w:rsid w:val="00511C1F"/>
    <w:rsid w:val="005120A1"/>
    <w:rsid w:val="00512427"/>
    <w:rsid w:val="00512559"/>
    <w:rsid w:val="005125A4"/>
    <w:rsid w:val="00512778"/>
    <w:rsid w:val="005128E9"/>
    <w:rsid w:val="005129A3"/>
    <w:rsid w:val="00512A4C"/>
    <w:rsid w:val="00512ABB"/>
    <w:rsid w:val="00512AED"/>
    <w:rsid w:val="00513558"/>
    <w:rsid w:val="00513686"/>
    <w:rsid w:val="00513EB7"/>
    <w:rsid w:val="005144CA"/>
    <w:rsid w:val="00514636"/>
    <w:rsid w:val="005147A4"/>
    <w:rsid w:val="00514837"/>
    <w:rsid w:val="0051487D"/>
    <w:rsid w:val="00514920"/>
    <w:rsid w:val="00514BE6"/>
    <w:rsid w:val="00514C50"/>
    <w:rsid w:val="00514C53"/>
    <w:rsid w:val="00514E6C"/>
    <w:rsid w:val="00514EBE"/>
    <w:rsid w:val="005150E1"/>
    <w:rsid w:val="0051559E"/>
    <w:rsid w:val="005156BC"/>
    <w:rsid w:val="005158C9"/>
    <w:rsid w:val="00515A29"/>
    <w:rsid w:val="00515A53"/>
    <w:rsid w:val="00516593"/>
    <w:rsid w:val="005166EE"/>
    <w:rsid w:val="00516B1C"/>
    <w:rsid w:val="00517266"/>
    <w:rsid w:val="005173E8"/>
    <w:rsid w:val="0051751F"/>
    <w:rsid w:val="00517563"/>
    <w:rsid w:val="005175BA"/>
    <w:rsid w:val="00517781"/>
    <w:rsid w:val="00517BAD"/>
    <w:rsid w:val="00517CB3"/>
    <w:rsid w:val="00517F05"/>
    <w:rsid w:val="00517F6B"/>
    <w:rsid w:val="00517F94"/>
    <w:rsid w:val="00520404"/>
    <w:rsid w:val="0052048F"/>
    <w:rsid w:val="00520549"/>
    <w:rsid w:val="00520658"/>
    <w:rsid w:val="00520CC6"/>
    <w:rsid w:val="00520EAA"/>
    <w:rsid w:val="00521013"/>
    <w:rsid w:val="005210CA"/>
    <w:rsid w:val="00521297"/>
    <w:rsid w:val="005213D0"/>
    <w:rsid w:val="00521493"/>
    <w:rsid w:val="0052159B"/>
    <w:rsid w:val="005215F4"/>
    <w:rsid w:val="0052169E"/>
    <w:rsid w:val="005216E7"/>
    <w:rsid w:val="0052171D"/>
    <w:rsid w:val="005217B6"/>
    <w:rsid w:val="005217EF"/>
    <w:rsid w:val="00521814"/>
    <w:rsid w:val="0052181A"/>
    <w:rsid w:val="005218B5"/>
    <w:rsid w:val="00521A99"/>
    <w:rsid w:val="00522229"/>
    <w:rsid w:val="0052256A"/>
    <w:rsid w:val="005225FD"/>
    <w:rsid w:val="00522717"/>
    <w:rsid w:val="005227F8"/>
    <w:rsid w:val="005229E4"/>
    <w:rsid w:val="00522F62"/>
    <w:rsid w:val="005230D4"/>
    <w:rsid w:val="0052315D"/>
    <w:rsid w:val="00523961"/>
    <w:rsid w:val="00523BE6"/>
    <w:rsid w:val="00523DCE"/>
    <w:rsid w:val="005240E0"/>
    <w:rsid w:val="005240FF"/>
    <w:rsid w:val="00524306"/>
    <w:rsid w:val="005244C8"/>
    <w:rsid w:val="00524642"/>
    <w:rsid w:val="005249FD"/>
    <w:rsid w:val="00524AD0"/>
    <w:rsid w:val="00524B65"/>
    <w:rsid w:val="00524CDA"/>
    <w:rsid w:val="00524D57"/>
    <w:rsid w:val="00524F4D"/>
    <w:rsid w:val="00524FD2"/>
    <w:rsid w:val="005255DD"/>
    <w:rsid w:val="005257A1"/>
    <w:rsid w:val="0052598F"/>
    <w:rsid w:val="005259BE"/>
    <w:rsid w:val="00525B5E"/>
    <w:rsid w:val="00525F58"/>
    <w:rsid w:val="005266D0"/>
    <w:rsid w:val="00526912"/>
    <w:rsid w:val="00526AC6"/>
    <w:rsid w:val="00526B6F"/>
    <w:rsid w:val="00526E62"/>
    <w:rsid w:val="00527010"/>
    <w:rsid w:val="005271B6"/>
    <w:rsid w:val="0052721A"/>
    <w:rsid w:val="0052727A"/>
    <w:rsid w:val="00527387"/>
    <w:rsid w:val="005276F1"/>
    <w:rsid w:val="00527C8D"/>
    <w:rsid w:val="00527DC0"/>
    <w:rsid w:val="00527DD0"/>
    <w:rsid w:val="00530100"/>
    <w:rsid w:val="00530723"/>
    <w:rsid w:val="0053082B"/>
    <w:rsid w:val="0053082F"/>
    <w:rsid w:val="00530835"/>
    <w:rsid w:val="0053088B"/>
    <w:rsid w:val="0053089D"/>
    <w:rsid w:val="00530A03"/>
    <w:rsid w:val="00530A16"/>
    <w:rsid w:val="00530ABA"/>
    <w:rsid w:val="00530C21"/>
    <w:rsid w:val="00530D01"/>
    <w:rsid w:val="00530F7F"/>
    <w:rsid w:val="00530FDB"/>
    <w:rsid w:val="005311C4"/>
    <w:rsid w:val="00531259"/>
    <w:rsid w:val="00531444"/>
    <w:rsid w:val="00531580"/>
    <w:rsid w:val="00531837"/>
    <w:rsid w:val="00531A8D"/>
    <w:rsid w:val="00531B89"/>
    <w:rsid w:val="00531C1A"/>
    <w:rsid w:val="0053222B"/>
    <w:rsid w:val="0053248F"/>
    <w:rsid w:val="00532569"/>
    <w:rsid w:val="0053262C"/>
    <w:rsid w:val="005327D4"/>
    <w:rsid w:val="0053285B"/>
    <w:rsid w:val="005328EA"/>
    <w:rsid w:val="00532B06"/>
    <w:rsid w:val="00532B0E"/>
    <w:rsid w:val="00532F21"/>
    <w:rsid w:val="00533003"/>
    <w:rsid w:val="00533172"/>
    <w:rsid w:val="00533334"/>
    <w:rsid w:val="0053346F"/>
    <w:rsid w:val="00533543"/>
    <w:rsid w:val="00533683"/>
    <w:rsid w:val="00533688"/>
    <w:rsid w:val="00533AF6"/>
    <w:rsid w:val="00533EC1"/>
    <w:rsid w:val="00533FDC"/>
    <w:rsid w:val="00534005"/>
    <w:rsid w:val="005341D6"/>
    <w:rsid w:val="00534251"/>
    <w:rsid w:val="0053459C"/>
    <w:rsid w:val="005347F9"/>
    <w:rsid w:val="005348CC"/>
    <w:rsid w:val="0053493F"/>
    <w:rsid w:val="00534D06"/>
    <w:rsid w:val="00534EA9"/>
    <w:rsid w:val="00535475"/>
    <w:rsid w:val="00535D27"/>
    <w:rsid w:val="00535D43"/>
    <w:rsid w:val="00536031"/>
    <w:rsid w:val="00536110"/>
    <w:rsid w:val="00536405"/>
    <w:rsid w:val="0053664A"/>
    <w:rsid w:val="005366B1"/>
    <w:rsid w:val="00536839"/>
    <w:rsid w:val="00536B25"/>
    <w:rsid w:val="00536C39"/>
    <w:rsid w:val="00536C8A"/>
    <w:rsid w:val="00536C94"/>
    <w:rsid w:val="00536DD8"/>
    <w:rsid w:val="00537019"/>
    <w:rsid w:val="005370F4"/>
    <w:rsid w:val="0053716C"/>
    <w:rsid w:val="00537897"/>
    <w:rsid w:val="00537CEB"/>
    <w:rsid w:val="00537DFD"/>
    <w:rsid w:val="005400D0"/>
    <w:rsid w:val="0054055B"/>
    <w:rsid w:val="0054068C"/>
    <w:rsid w:val="005406EC"/>
    <w:rsid w:val="00540946"/>
    <w:rsid w:val="005409A5"/>
    <w:rsid w:val="00540C11"/>
    <w:rsid w:val="00540C94"/>
    <w:rsid w:val="005412B0"/>
    <w:rsid w:val="00541438"/>
    <w:rsid w:val="00541468"/>
    <w:rsid w:val="00541474"/>
    <w:rsid w:val="005414FF"/>
    <w:rsid w:val="00541545"/>
    <w:rsid w:val="00541866"/>
    <w:rsid w:val="00541B79"/>
    <w:rsid w:val="00541B89"/>
    <w:rsid w:val="00541DC1"/>
    <w:rsid w:val="0054203D"/>
    <w:rsid w:val="0054258F"/>
    <w:rsid w:val="005427AE"/>
    <w:rsid w:val="00542E46"/>
    <w:rsid w:val="00542E6C"/>
    <w:rsid w:val="00542E6F"/>
    <w:rsid w:val="00542E9F"/>
    <w:rsid w:val="00543614"/>
    <w:rsid w:val="005437CB"/>
    <w:rsid w:val="005439CE"/>
    <w:rsid w:val="00543AEE"/>
    <w:rsid w:val="00543E10"/>
    <w:rsid w:val="00543EED"/>
    <w:rsid w:val="00543EFD"/>
    <w:rsid w:val="00543F0F"/>
    <w:rsid w:val="005440B1"/>
    <w:rsid w:val="005441DE"/>
    <w:rsid w:val="005442B6"/>
    <w:rsid w:val="00544313"/>
    <w:rsid w:val="00544535"/>
    <w:rsid w:val="005446AE"/>
    <w:rsid w:val="005449DE"/>
    <w:rsid w:val="00545354"/>
    <w:rsid w:val="0054539E"/>
    <w:rsid w:val="0054576E"/>
    <w:rsid w:val="00545897"/>
    <w:rsid w:val="00545910"/>
    <w:rsid w:val="00545FD4"/>
    <w:rsid w:val="00546224"/>
    <w:rsid w:val="00546358"/>
    <w:rsid w:val="00546450"/>
    <w:rsid w:val="0054650D"/>
    <w:rsid w:val="00546DC5"/>
    <w:rsid w:val="0054719D"/>
    <w:rsid w:val="0054723E"/>
    <w:rsid w:val="005474AA"/>
    <w:rsid w:val="00547694"/>
    <w:rsid w:val="005477CC"/>
    <w:rsid w:val="005477E6"/>
    <w:rsid w:val="0054788B"/>
    <w:rsid w:val="00547BF0"/>
    <w:rsid w:val="005505C2"/>
    <w:rsid w:val="005505E4"/>
    <w:rsid w:val="00550635"/>
    <w:rsid w:val="005506D1"/>
    <w:rsid w:val="00550830"/>
    <w:rsid w:val="0055090C"/>
    <w:rsid w:val="005509C0"/>
    <w:rsid w:val="00550F2B"/>
    <w:rsid w:val="0055104D"/>
    <w:rsid w:val="00551142"/>
    <w:rsid w:val="00551151"/>
    <w:rsid w:val="0055135D"/>
    <w:rsid w:val="00551404"/>
    <w:rsid w:val="0055143D"/>
    <w:rsid w:val="0055173A"/>
    <w:rsid w:val="00551EBF"/>
    <w:rsid w:val="00551FC4"/>
    <w:rsid w:val="005520C5"/>
    <w:rsid w:val="0055231C"/>
    <w:rsid w:val="005523E8"/>
    <w:rsid w:val="00552603"/>
    <w:rsid w:val="005529F5"/>
    <w:rsid w:val="0055314C"/>
    <w:rsid w:val="0055338B"/>
    <w:rsid w:val="00553770"/>
    <w:rsid w:val="005537AF"/>
    <w:rsid w:val="00553A88"/>
    <w:rsid w:val="00553EC1"/>
    <w:rsid w:val="00554147"/>
    <w:rsid w:val="00554150"/>
    <w:rsid w:val="00554710"/>
    <w:rsid w:val="00554885"/>
    <w:rsid w:val="00554A3D"/>
    <w:rsid w:val="00554C2F"/>
    <w:rsid w:val="00554C8C"/>
    <w:rsid w:val="00554E7A"/>
    <w:rsid w:val="00555018"/>
    <w:rsid w:val="0055512F"/>
    <w:rsid w:val="00555217"/>
    <w:rsid w:val="005552C1"/>
    <w:rsid w:val="0055554F"/>
    <w:rsid w:val="0055556C"/>
    <w:rsid w:val="00555DEF"/>
    <w:rsid w:val="0055639E"/>
    <w:rsid w:val="005563AE"/>
    <w:rsid w:val="00556466"/>
    <w:rsid w:val="005566E7"/>
    <w:rsid w:val="00556828"/>
    <w:rsid w:val="0055685A"/>
    <w:rsid w:val="00556C4E"/>
    <w:rsid w:val="00556CC0"/>
    <w:rsid w:val="00556EA6"/>
    <w:rsid w:val="00556FA3"/>
    <w:rsid w:val="00556FDC"/>
    <w:rsid w:val="0055738B"/>
    <w:rsid w:val="00557485"/>
    <w:rsid w:val="0055762F"/>
    <w:rsid w:val="00557690"/>
    <w:rsid w:val="0055773E"/>
    <w:rsid w:val="0055778C"/>
    <w:rsid w:val="00557860"/>
    <w:rsid w:val="00557B17"/>
    <w:rsid w:val="00557E91"/>
    <w:rsid w:val="005600B5"/>
    <w:rsid w:val="00560405"/>
    <w:rsid w:val="00560760"/>
    <w:rsid w:val="00560970"/>
    <w:rsid w:val="00560B58"/>
    <w:rsid w:val="00560EB8"/>
    <w:rsid w:val="00560F0A"/>
    <w:rsid w:val="00560FDE"/>
    <w:rsid w:val="00560FE4"/>
    <w:rsid w:val="005610D8"/>
    <w:rsid w:val="0056144D"/>
    <w:rsid w:val="005614DA"/>
    <w:rsid w:val="00561869"/>
    <w:rsid w:val="0056197B"/>
    <w:rsid w:val="00561A55"/>
    <w:rsid w:val="00561D9D"/>
    <w:rsid w:val="00561E27"/>
    <w:rsid w:val="00561EAD"/>
    <w:rsid w:val="0056224C"/>
    <w:rsid w:val="00562A62"/>
    <w:rsid w:val="00562D50"/>
    <w:rsid w:val="005634DD"/>
    <w:rsid w:val="00563840"/>
    <w:rsid w:val="00563A17"/>
    <w:rsid w:val="00563C74"/>
    <w:rsid w:val="0056401B"/>
    <w:rsid w:val="00564179"/>
    <w:rsid w:val="005641AF"/>
    <w:rsid w:val="00564265"/>
    <w:rsid w:val="0056429F"/>
    <w:rsid w:val="00564308"/>
    <w:rsid w:val="0056439B"/>
    <w:rsid w:val="005647E1"/>
    <w:rsid w:val="00564A8B"/>
    <w:rsid w:val="00564EA8"/>
    <w:rsid w:val="00565160"/>
    <w:rsid w:val="005652D4"/>
    <w:rsid w:val="00565372"/>
    <w:rsid w:val="00565881"/>
    <w:rsid w:val="005658B2"/>
    <w:rsid w:val="00565920"/>
    <w:rsid w:val="0056594E"/>
    <w:rsid w:val="00565D74"/>
    <w:rsid w:val="00565E28"/>
    <w:rsid w:val="005660A4"/>
    <w:rsid w:val="005661A8"/>
    <w:rsid w:val="005663C2"/>
    <w:rsid w:val="00566494"/>
    <w:rsid w:val="005664AD"/>
    <w:rsid w:val="00566A32"/>
    <w:rsid w:val="00566A6E"/>
    <w:rsid w:val="00566B1A"/>
    <w:rsid w:val="00566B3C"/>
    <w:rsid w:val="00566EA1"/>
    <w:rsid w:val="005671C8"/>
    <w:rsid w:val="00567278"/>
    <w:rsid w:val="0056727B"/>
    <w:rsid w:val="00567407"/>
    <w:rsid w:val="005675A6"/>
    <w:rsid w:val="00567823"/>
    <w:rsid w:val="00567943"/>
    <w:rsid w:val="00567B08"/>
    <w:rsid w:val="00567BF2"/>
    <w:rsid w:val="005702C7"/>
    <w:rsid w:val="00570637"/>
    <w:rsid w:val="00570845"/>
    <w:rsid w:val="005709D0"/>
    <w:rsid w:val="005709E3"/>
    <w:rsid w:val="00570A19"/>
    <w:rsid w:val="00570A22"/>
    <w:rsid w:val="00570A53"/>
    <w:rsid w:val="00570BCE"/>
    <w:rsid w:val="00570CD5"/>
    <w:rsid w:val="00570D1A"/>
    <w:rsid w:val="005711A5"/>
    <w:rsid w:val="00571451"/>
    <w:rsid w:val="0057156D"/>
    <w:rsid w:val="00571CC0"/>
    <w:rsid w:val="00571D24"/>
    <w:rsid w:val="00571D87"/>
    <w:rsid w:val="0057210C"/>
    <w:rsid w:val="0057238E"/>
    <w:rsid w:val="00572674"/>
    <w:rsid w:val="00572BDE"/>
    <w:rsid w:val="00572FFB"/>
    <w:rsid w:val="00573035"/>
    <w:rsid w:val="0057303C"/>
    <w:rsid w:val="005732AC"/>
    <w:rsid w:val="0057376F"/>
    <w:rsid w:val="0057378E"/>
    <w:rsid w:val="00573845"/>
    <w:rsid w:val="00573CBC"/>
    <w:rsid w:val="00573EB4"/>
    <w:rsid w:val="00573EF8"/>
    <w:rsid w:val="00574285"/>
    <w:rsid w:val="005742A4"/>
    <w:rsid w:val="00574327"/>
    <w:rsid w:val="0057453C"/>
    <w:rsid w:val="005746CC"/>
    <w:rsid w:val="0057492A"/>
    <w:rsid w:val="00575004"/>
    <w:rsid w:val="0057542C"/>
    <w:rsid w:val="00575549"/>
    <w:rsid w:val="0057592D"/>
    <w:rsid w:val="00575B12"/>
    <w:rsid w:val="00575B38"/>
    <w:rsid w:val="00575E5D"/>
    <w:rsid w:val="00575FA7"/>
    <w:rsid w:val="005768FB"/>
    <w:rsid w:val="005769A3"/>
    <w:rsid w:val="005772E1"/>
    <w:rsid w:val="00577657"/>
    <w:rsid w:val="005777F1"/>
    <w:rsid w:val="00577882"/>
    <w:rsid w:val="00577D0B"/>
    <w:rsid w:val="00577D86"/>
    <w:rsid w:val="00577F12"/>
    <w:rsid w:val="00577F37"/>
    <w:rsid w:val="0058018E"/>
    <w:rsid w:val="00580609"/>
    <w:rsid w:val="005808DF"/>
    <w:rsid w:val="005809DA"/>
    <w:rsid w:val="00580A66"/>
    <w:rsid w:val="0058167F"/>
    <w:rsid w:val="00581A9E"/>
    <w:rsid w:val="00581D25"/>
    <w:rsid w:val="00582293"/>
    <w:rsid w:val="00582663"/>
    <w:rsid w:val="00582A9C"/>
    <w:rsid w:val="00582B8E"/>
    <w:rsid w:val="00582D01"/>
    <w:rsid w:val="00582F55"/>
    <w:rsid w:val="0058347D"/>
    <w:rsid w:val="00583599"/>
    <w:rsid w:val="005835AF"/>
    <w:rsid w:val="005836FC"/>
    <w:rsid w:val="00583747"/>
    <w:rsid w:val="00583786"/>
    <w:rsid w:val="00583814"/>
    <w:rsid w:val="00583881"/>
    <w:rsid w:val="00583EC8"/>
    <w:rsid w:val="0058413E"/>
    <w:rsid w:val="005841C5"/>
    <w:rsid w:val="005841D7"/>
    <w:rsid w:val="005841F5"/>
    <w:rsid w:val="00584388"/>
    <w:rsid w:val="0058467B"/>
    <w:rsid w:val="00584814"/>
    <w:rsid w:val="00584F07"/>
    <w:rsid w:val="00585045"/>
    <w:rsid w:val="00585903"/>
    <w:rsid w:val="0058596E"/>
    <w:rsid w:val="00585973"/>
    <w:rsid w:val="005859B6"/>
    <w:rsid w:val="00585D3D"/>
    <w:rsid w:val="00586085"/>
    <w:rsid w:val="005860CF"/>
    <w:rsid w:val="0058632D"/>
    <w:rsid w:val="00586642"/>
    <w:rsid w:val="00586972"/>
    <w:rsid w:val="0058699B"/>
    <w:rsid w:val="00586EF2"/>
    <w:rsid w:val="005872CD"/>
    <w:rsid w:val="00587644"/>
    <w:rsid w:val="005876F8"/>
    <w:rsid w:val="0058775B"/>
    <w:rsid w:val="00587971"/>
    <w:rsid w:val="00587BE3"/>
    <w:rsid w:val="00587CAB"/>
    <w:rsid w:val="00587CE2"/>
    <w:rsid w:val="00587F6B"/>
    <w:rsid w:val="00590183"/>
    <w:rsid w:val="00590356"/>
    <w:rsid w:val="0059049C"/>
    <w:rsid w:val="005905F0"/>
    <w:rsid w:val="005909E3"/>
    <w:rsid w:val="00590A33"/>
    <w:rsid w:val="00590FF7"/>
    <w:rsid w:val="0059117F"/>
    <w:rsid w:val="00591366"/>
    <w:rsid w:val="00591587"/>
    <w:rsid w:val="005917AB"/>
    <w:rsid w:val="00591967"/>
    <w:rsid w:val="00591C16"/>
    <w:rsid w:val="00591E78"/>
    <w:rsid w:val="00591FED"/>
    <w:rsid w:val="0059200B"/>
    <w:rsid w:val="005920D0"/>
    <w:rsid w:val="00592309"/>
    <w:rsid w:val="00592400"/>
    <w:rsid w:val="00592525"/>
    <w:rsid w:val="005927D7"/>
    <w:rsid w:val="00592D6D"/>
    <w:rsid w:val="005930F2"/>
    <w:rsid w:val="00593589"/>
    <w:rsid w:val="00593629"/>
    <w:rsid w:val="0059379F"/>
    <w:rsid w:val="00593871"/>
    <w:rsid w:val="00593A86"/>
    <w:rsid w:val="00593C39"/>
    <w:rsid w:val="00593DB5"/>
    <w:rsid w:val="00593E11"/>
    <w:rsid w:val="00593EEE"/>
    <w:rsid w:val="005942E7"/>
    <w:rsid w:val="005945A5"/>
    <w:rsid w:val="0059477A"/>
    <w:rsid w:val="0059477B"/>
    <w:rsid w:val="00594793"/>
    <w:rsid w:val="00594D7D"/>
    <w:rsid w:val="00594ED0"/>
    <w:rsid w:val="00595054"/>
    <w:rsid w:val="005955AE"/>
    <w:rsid w:val="00595759"/>
    <w:rsid w:val="00595826"/>
    <w:rsid w:val="00595A5B"/>
    <w:rsid w:val="00595CFC"/>
    <w:rsid w:val="00595F34"/>
    <w:rsid w:val="0059611E"/>
    <w:rsid w:val="005963F6"/>
    <w:rsid w:val="005964F9"/>
    <w:rsid w:val="005968AF"/>
    <w:rsid w:val="0059698B"/>
    <w:rsid w:val="00596C48"/>
    <w:rsid w:val="00596D03"/>
    <w:rsid w:val="00596E37"/>
    <w:rsid w:val="00596ED8"/>
    <w:rsid w:val="00597021"/>
    <w:rsid w:val="0059705F"/>
    <w:rsid w:val="00597240"/>
    <w:rsid w:val="005972D8"/>
    <w:rsid w:val="00597674"/>
    <w:rsid w:val="00597766"/>
    <w:rsid w:val="00597820"/>
    <w:rsid w:val="00597B28"/>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40B"/>
    <w:rsid w:val="005A1559"/>
    <w:rsid w:val="005A1597"/>
    <w:rsid w:val="005A1C7E"/>
    <w:rsid w:val="005A20AA"/>
    <w:rsid w:val="005A21E0"/>
    <w:rsid w:val="005A21E9"/>
    <w:rsid w:val="005A225E"/>
    <w:rsid w:val="005A23FC"/>
    <w:rsid w:val="005A2414"/>
    <w:rsid w:val="005A27CB"/>
    <w:rsid w:val="005A2873"/>
    <w:rsid w:val="005A2C58"/>
    <w:rsid w:val="005A2ECB"/>
    <w:rsid w:val="005A2ECC"/>
    <w:rsid w:val="005A3220"/>
    <w:rsid w:val="005A33BD"/>
    <w:rsid w:val="005A33E0"/>
    <w:rsid w:val="005A3502"/>
    <w:rsid w:val="005A36F6"/>
    <w:rsid w:val="005A3876"/>
    <w:rsid w:val="005A3912"/>
    <w:rsid w:val="005A3D5C"/>
    <w:rsid w:val="005A409C"/>
    <w:rsid w:val="005A4148"/>
    <w:rsid w:val="005A45F4"/>
    <w:rsid w:val="005A46B4"/>
    <w:rsid w:val="005A46E0"/>
    <w:rsid w:val="005A4717"/>
    <w:rsid w:val="005A4740"/>
    <w:rsid w:val="005A4F62"/>
    <w:rsid w:val="005A5256"/>
    <w:rsid w:val="005A52F3"/>
    <w:rsid w:val="005A5A12"/>
    <w:rsid w:val="005A5C75"/>
    <w:rsid w:val="005A5FBC"/>
    <w:rsid w:val="005A5FC5"/>
    <w:rsid w:val="005A634A"/>
    <w:rsid w:val="005A6569"/>
    <w:rsid w:val="005A6761"/>
    <w:rsid w:val="005A67BF"/>
    <w:rsid w:val="005A69F2"/>
    <w:rsid w:val="005A6B37"/>
    <w:rsid w:val="005A6B59"/>
    <w:rsid w:val="005A6BA0"/>
    <w:rsid w:val="005A6DFF"/>
    <w:rsid w:val="005A6F49"/>
    <w:rsid w:val="005A6FC0"/>
    <w:rsid w:val="005A70F8"/>
    <w:rsid w:val="005A7165"/>
    <w:rsid w:val="005A7323"/>
    <w:rsid w:val="005A7392"/>
    <w:rsid w:val="005A74B4"/>
    <w:rsid w:val="005A768D"/>
    <w:rsid w:val="005A7782"/>
    <w:rsid w:val="005A787C"/>
    <w:rsid w:val="005A78E3"/>
    <w:rsid w:val="005A7952"/>
    <w:rsid w:val="005A7A32"/>
    <w:rsid w:val="005A7EC2"/>
    <w:rsid w:val="005B0330"/>
    <w:rsid w:val="005B03E8"/>
    <w:rsid w:val="005B08C1"/>
    <w:rsid w:val="005B0E35"/>
    <w:rsid w:val="005B0E56"/>
    <w:rsid w:val="005B0FF7"/>
    <w:rsid w:val="005B1131"/>
    <w:rsid w:val="005B12FD"/>
    <w:rsid w:val="005B1713"/>
    <w:rsid w:val="005B18C4"/>
    <w:rsid w:val="005B18F7"/>
    <w:rsid w:val="005B195E"/>
    <w:rsid w:val="005B1ADF"/>
    <w:rsid w:val="005B1BEF"/>
    <w:rsid w:val="005B1EA4"/>
    <w:rsid w:val="005B2010"/>
    <w:rsid w:val="005B20B4"/>
    <w:rsid w:val="005B20D7"/>
    <w:rsid w:val="005B2178"/>
    <w:rsid w:val="005B22F1"/>
    <w:rsid w:val="005B27F4"/>
    <w:rsid w:val="005B2EAC"/>
    <w:rsid w:val="005B3087"/>
    <w:rsid w:val="005B322F"/>
    <w:rsid w:val="005B3397"/>
    <w:rsid w:val="005B34F4"/>
    <w:rsid w:val="005B35D7"/>
    <w:rsid w:val="005B36AA"/>
    <w:rsid w:val="005B3727"/>
    <w:rsid w:val="005B3A1C"/>
    <w:rsid w:val="005B3BAF"/>
    <w:rsid w:val="005B3C8B"/>
    <w:rsid w:val="005B3DFD"/>
    <w:rsid w:val="005B4144"/>
    <w:rsid w:val="005B4623"/>
    <w:rsid w:val="005B48D7"/>
    <w:rsid w:val="005B4AF9"/>
    <w:rsid w:val="005B4D7C"/>
    <w:rsid w:val="005B50CE"/>
    <w:rsid w:val="005B54F8"/>
    <w:rsid w:val="005B55F0"/>
    <w:rsid w:val="005B5D61"/>
    <w:rsid w:val="005B6434"/>
    <w:rsid w:val="005B68BE"/>
    <w:rsid w:val="005B6A75"/>
    <w:rsid w:val="005B7383"/>
    <w:rsid w:val="005B768B"/>
    <w:rsid w:val="005B76CD"/>
    <w:rsid w:val="005B7872"/>
    <w:rsid w:val="005B790C"/>
    <w:rsid w:val="005B79E5"/>
    <w:rsid w:val="005B79FC"/>
    <w:rsid w:val="005B7BB5"/>
    <w:rsid w:val="005B7BB7"/>
    <w:rsid w:val="005B7DB3"/>
    <w:rsid w:val="005B7E32"/>
    <w:rsid w:val="005B7E74"/>
    <w:rsid w:val="005B7FEB"/>
    <w:rsid w:val="005C0374"/>
    <w:rsid w:val="005C06C6"/>
    <w:rsid w:val="005C0AA8"/>
    <w:rsid w:val="005C0B0C"/>
    <w:rsid w:val="005C1092"/>
    <w:rsid w:val="005C10DC"/>
    <w:rsid w:val="005C1106"/>
    <w:rsid w:val="005C17BD"/>
    <w:rsid w:val="005C1813"/>
    <w:rsid w:val="005C19C4"/>
    <w:rsid w:val="005C2180"/>
    <w:rsid w:val="005C2493"/>
    <w:rsid w:val="005C25AE"/>
    <w:rsid w:val="005C27BA"/>
    <w:rsid w:val="005C2B0C"/>
    <w:rsid w:val="005C2EB0"/>
    <w:rsid w:val="005C2F87"/>
    <w:rsid w:val="005C3080"/>
    <w:rsid w:val="005C33BD"/>
    <w:rsid w:val="005C3817"/>
    <w:rsid w:val="005C386F"/>
    <w:rsid w:val="005C3D03"/>
    <w:rsid w:val="005C3F87"/>
    <w:rsid w:val="005C4432"/>
    <w:rsid w:val="005C46AE"/>
    <w:rsid w:val="005C48BA"/>
    <w:rsid w:val="005C4929"/>
    <w:rsid w:val="005C4AEA"/>
    <w:rsid w:val="005C4BD1"/>
    <w:rsid w:val="005C4EC3"/>
    <w:rsid w:val="005C4F96"/>
    <w:rsid w:val="005C516C"/>
    <w:rsid w:val="005C5315"/>
    <w:rsid w:val="005C5584"/>
    <w:rsid w:val="005C55A7"/>
    <w:rsid w:val="005C576A"/>
    <w:rsid w:val="005C5795"/>
    <w:rsid w:val="005C57AD"/>
    <w:rsid w:val="005C57FE"/>
    <w:rsid w:val="005C5B4F"/>
    <w:rsid w:val="005C64DC"/>
    <w:rsid w:val="005C65B6"/>
    <w:rsid w:val="005C68DE"/>
    <w:rsid w:val="005C6A18"/>
    <w:rsid w:val="005C6A56"/>
    <w:rsid w:val="005C6C98"/>
    <w:rsid w:val="005C6D2A"/>
    <w:rsid w:val="005C6F48"/>
    <w:rsid w:val="005C703E"/>
    <w:rsid w:val="005C7270"/>
    <w:rsid w:val="005C763A"/>
    <w:rsid w:val="005C76A2"/>
    <w:rsid w:val="005C7917"/>
    <w:rsid w:val="005C7FC2"/>
    <w:rsid w:val="005D04C5"/>
    <w:rsid w:val="005D099D"/>
    <w:rsid w:val="005D09F0"/>
    <w:rsid w:val="005D0B0B"/>
    <w:rsid w:val="005D0B88"/>
    <w:rsid w:val="005D0DEF"/>
    <w:rsid w:val="005D1185"/>
    <w:rsid w:val="005D11FB"/>
    <w:rsid w:val="005D120E"/>
    <w:rsid w:val="005D1470"/>
    <w:rsid w:val="005D14D3"/>
    <w:rsid w:val="005D1713"/>
    <w:rsid w:val="005D183C"/>
    <w:rsid w:val="005D198E"/>
    <w:rsid w:val="005D19F5"/>
    <w:rsid w:val="005D1A79"/>
    <w:rsid w:val="005D20B7"/>
    <w:rsid w:val="005D2534"/>
    <w:rsid w:val="005D27B7"/>
    <w:rsid w:val="005D280F"/>
    <w:rsid w:val="005D2C97"/>
    <w:rsid w:val="005D2E8E"/>
    <w:rsid w:val="005D31A0"/>
    <w:rsid w:val="005D324D"/>
    <w:rsid w:val="005D37FE"/>
    <w:rsid w:val="005D38B1"/>
    <w:rsid w:val="005D3B72"/>
    <w:rsid w:val="005D3E02"/>
    <w:rsid w:val="005D3ED8"/>
    <w:rsid w:val="005D3FDB"/>
    <w:rsid w:val="005D4188"/>
    <w:rsid w:val="005D41B6"/>
    <w:rsid w:val="005D4215"/>
    <w:rsid w:val="005D4468"/>
    <w:rsid w:val="005D4927"/>
    <w:rsid w:val="005D4B8A"/>
    <w:rsid w:val="005D4D35"/>
    <w:rsid w:val="005D4D46"/>
    <w:rsid w:val="005D53C8"/>
    <w:rsid w:val="005D58C7"/>
    <w:rsid w:val="005D5EC0"/>
    <w:rsid w:val="005D6016"/>
    <w:rsid w:val="005D6106"/>
    <w:rsid w:val="005D6256"/>
    <w:rsid w:val="005D62E1"/>
    <w:rsid w:val="005D658A"/>
    <w:rsid w:val="005D666E"/>
    <w:rsid w:val="005D68B2"/>
    <w:rsid w:val="005D6E2F"/>
    <w:rsid w:val="005D6E42"/>
    <w:rsid w:val="005D703D"/>
    <w:rsid w:val="005D7051"/>
    <w:rsid w:val="005D7081"/>
    <w:rsid w:val="005D7416"/>
    <w:rsid w:val="005D7422"/>
    <w:rsid w:val="005D7489"/>
    <w:rsid w:val="005D755A"/>
    <w:rsid w:val="005D7588"/>
    <w:rsid w:val="005D7914"/>
    <w:rsid w:val="005D7B7D"/>
    <w:rsid w:val="005D7DFA"/>
    <w:rsid w:val="005D7FBC"/>
    <w:rsid w:val="005E00A1"/>
    <w:rsid w:val="005E0176"/>
    <w:rsid w:val="005E054C"/>
    <w:rsid w:val="005E0591"/>
    <w:rsid w:val="005E07F2"/>
    <w:rsid w:val="005E09BB"/>
    <w:rsid w:val="005E1020"/>
    <w:rsid w:val="005E11E6"/>
    <w:rsid w:val="005E134C"/>
    <w:rsid w:val="005E142B"/>
    <w:rsid w:val="005E16EF"/>
    <w:rsid w:val="005E1991"/>
    <w:rsid w:val="005E2211"/>
    <w:rsid w:val="005E2455"/>
    <w:rsid w:val="005E24E9"/>
    <w:rsid w:val="005E280C"/>
    <w:rsid w:val="005E2995"/>
    <w:rsid w:val="005E3142"/>
    <w:rsid w:val="005E3519"/>
    <w:rsid w:val="005E35CA"/>
    <w:rsid w:val="005E3664"/>
    <w:rsid w:val="005E390A"/>
    <w:rsid w:val="005E3CCD"/>
    <w:rsid w:val="005E3E65"/>
    <w:rsid w:val="005E3ED5"/>
    <w:rsid w:val="005E400B"/>
    <w:rsid w:val="005E40E4"/>
    <w:rsid w:val="005E4277"/>
    <w:rsid w:val="005E459C"/>
    <w:rsid w:val="005E467C"/>
    <w:rsid w:val="005E46D7"/>
    <w:rsid w:val="005E474F"/>
    <w:rsid w:val="005E4F4E"/>
    <w:rsid w:val="005E4F8C"/>
    <w:rsid w:val="005E501D"/>
    <w:rsid w:val="005E5096"/>
    <w:rsid w:val="005E5277"/>
    <w:rsid w:val="005E5733"/>
    <w:rsid w:val="005E6377"/>
    <w:rsid w:val="005E65AE"/>
    <w:rsid w:val="005E6666"/>
    <w:rsid w:val="005E66E2"/>
    <w:rsid w:val="005E6830"/>
    <w:rsid w:val="005E685B"/>
    <w:rsid w:val="005E68A5"/>
    <w:rsid w:val="005E6A2A"/>
    <w:rsid w:val="005E6AFC"/>
    <w:rsid w:val="005E6CC6"/>
    <w:rsid w:val="005E6DDE"/>
    <w:rsid w:val="005E6E62"/>
    <w:rsid w:val="005E7187"/>
    <w:rsid w:val="005E76FF"/>
    <w:rsid w:val="005E7A43"/>
    <w:rsid w:val="005E7AA2"/>
    <w:rsid w:val="005E7CEE"/>
    <w:rsid w:val="005E7E23"/>
    <w:rsid w:val="005F0063"/>
    <w:rsid w:val="005F0342"/>
    <w:rsid w:val="005F04B0"/>
    <w:rsid w:val="005F0565"/>
    <w:rsid w:val="005F07C2"/>
    <w:rsid w:val="005F0BF2"/>
    <w:rsid w:val="005F0CBC"/>
    <w:rsid w:val="005F0D52"/>
    <w:rsid w:val="005F104F"/>
    <w:rsid w:val="005F10CC"/>
    <w:rsid w:val="005F1167"/>
    <w:rsid w:val="005F122D"/>
    <w:rsid w:val="005F130F"/>
    <w:rsid w:val="005F1380"/>
    <w:rsid w:val="005F13B2"/>
    <w:rsid w:val="005F142E"/>
    <w:rsid w:val="005F1635"/>
    <w:rsid w:val="005F168D"/>
    <w:rsid w:val="005F1727"/>
    <w:rsid w:val="005F1A92"/>
    <w:rsid w:val="005F1C42"/>
    <w:rsid w:val="005F1F24"/>
    <w:rsid w:val="005F1F7D"/>
    <w:rsid w:val="005F2010"/>
    <w:rsid w:val="005F2230"/>
    <w:rsid w:val="005F22DE"/>
    <w:rsid w:val="005F233B"/>
    <w:rsid w:val="005F25F0"/>
    <w:rsid w:val="005F2609"/>
    <w:rsid w:val="005F264D"/>
    <w:rsid w:val="005F2685"/>
    <w:rsid w:val="005F2E2C"/>
    <w:rsid w:val="005F2FAB"/>
    <w:rsid w:val="005F31CF"/>
    <w:rsid w:val="005F320D"/>
    <w:rsid w:val="005F3274"/>
    <w:rsid w:val="005F34C1"/>
    <w:rsid w:val="005F34C3"/>
    <w:rsid w:val="005F3792"/>
    <w:rsid w:val="005F3C77"/>
    <w:rsid w:val="005F3D97"/>
    <w:rsid w:val="005F4018"/>
    <w:rsid w:val="005F4066"/>
    <w:rsid w:val="005F4145"/>
    <w:rsid w:val="005F42D9"/>
    <w:rsid w:val="005F42EF"/>
    <w:rsid w:val="005F4406"/>
    <w:rsid w:val="005F44F3"/>
    <w:rsid w:val="005F4856"/>
    <w:rsid w:val="005F48D2"/>
    <w:rsid w:val="005F4B49"/>
    <w:rsid w:val="005F4D3D"/>
    <w:rsid w:val="005F4FD5"/>
    <w:rsid w:val="005F5003"/>
    <w:rsid w:val="005F504B"/>
    <w:rsid w:val="005F523F"/>
    <w:rsid w:val="005F565C"/>
    <w:rsid w:val="005F5ED6"/>
    <w:rsid w:val="005F669E"/>
    <w:rsid w:val="005F68C5"/>
    <w:rsid w:val="005F6CC2"/>
    <w:rsid w:val="005F6DAA"/>
    <w:rsid w:val="005F6DAC"/>
    <w:rsid w:val="005F6E33"/>
    <w:rsid w:val="005F6F12"/>
    <w:rsid w:val="005F722A"/>
    <w:rsid w:val="005F738C"/>
    <w:rsid w:val="005F74EC"/>
    <w:rsid w:val="005F764B"/>
    <w:rsid w:val="005F7B12"/>
    <w:rsid w:val="005F7B1F"/>
    <w:rsid w:val="0060007C"/>
    <w:rsid w:val="00600332"/>
    <w:rsid w:val="0060036A"/>
    <w:rsid w:val="00600647"/>
    <w:rsid w:val="00600706"/>
    <w:rsid w:val="006009EE"/>
    <w:rsid w:val="00600A38"/>
    <w:rsid w:val="00600B1B"/>
    <w:rsid w:val="00600BF5"/>
    <w:rsid w:val="00600F29"/>
    <w:rsid w:val="0060187E"/>
    <w:rsid w:val="00601BF0"/>
    <w:rsid w:val="0060221F"/>
    <w:rsid w:val="0060225C"/>
    <w:rsid w:val="00602297"/>
    <w:rsid w:val="00602344"/>
    <w:rsid w:val="006026A9"/>
    <w:rsid w:val="00602D09"/>
    <w:rsid w:val="00602DA3"/>
    <w:rsid w:val="00602F24"/>
    <w:rsid w:val="006033FF"/>
    <w:rsid w:val="006037DC"/>
    <w:rsid w:val="00603903"/>
    <w:rsid w:val="006039A4"/>
    <w:rsid w:val="00603ECE"/>
    <w:rsid w:val="00604262"/>
    <w:rsid w:val="006042C9"/>
    <w:rsid w:val="00604371"/>
    <w:rsid w:val="0060446C"/>
    <w:rsid w:val="006045A2"/>
    <w:rsid w:val="00604966"/>
    <w:rsid w:val="00604A19"/>
    <w:rsid w:val="00604B48"/>
    <w:rsid w:val="00604C94"/>
    <w:rsid w:val="00604F87"/>
    <w:rsid w:val="006050B2"/>
    <w:rsid w:val="006052B7"/>
    <w:rsid w:val="006054DA"/>
    <w:rsid w:val="00605589"/>
    <w:rsid w:val="006057A4"/>
    <w:rsid w:val="006059B3"/>
    <w:rsid w:val="00605AB1"/>
    <w:rsid w:val="00605C90"/>
    <w:rsid w:val="00606033"/>
    <w:rsid w:val="006060BB"/>
    <w:rsid w:val="0060619D"/>
    <w:rsid w:val="00606226"/>
    <w:rsid w:val="00606332"/>
    <w:rsid w:val="006069E3"/>
    <w:rsid w:val="00606C6E"/>
    <w:rsid w:val="00606DBF"/>
    <w:rsid w:val="00606EE6"/>
    <w:rsid w:val="0060784E"/>
    <w:rsid w:val="00607882"/>
    <w:rsid w:val="00607B1F"/>
    <w:rsid w:val="00607D16"/>
    <w:rsid w:val="00607EBA"/>
    <w:rsid w:val="00607F55"/>
    <w:rsid w:val="006104BA"/>
    <w:rsid w:val="00610563"/>
    <w:rsid w:val="00610CB4"/>
    <w:rsid w:val="00610D45"/>
    <w:rsid w:val="00610F16"/>
    <w:rsid w:val="006110D7"/>
    <w:rsid w:val="0061162F"/>
    <w:rsid w:val="00611F6F"/>
    <w:rsid w:val="006120AD"/>
    <w:rsid w:val="00612535"/>
    <w:rsid w:val="0061263F"/>
    <w:rsid w:val="006127BC"/>
    <w:rsid w:val="00612993"/>
    <w:rsid w:val="00612B4C"/>
    <w:rsid w:val="00612B67"/>
    <w:rsid w:val="00612CB2"/>
    <w:rsid w:val="00612D28"/>
    <w:rsid w:val="0061309E"/>
    <w:rsid w:val="006130CA"/>
    <w:rsid w:val="006131B2"/>
    <w:rsid w:val="00613988"/>
    <w:rsid w:val="006139A9"/>
    <w:rsid w:val="00613BBC"/>
    <w:rsid w:val="00613C3E"/>
    <w:rsid w:val="00613C8F"/>
    <w:rsid w:val="00613CE4"/>
    <w:rsid w:val="00613E2E"/>
    <w:rsid w:val="00613EF2"/>
    <w:rsid w:val="006140C8"/>
    <w:rsid w:val="006141F9"/>
    <w:rsid w:val="0061423A"/>
    <w:rsid w:val="006142C5"/>
    <w:rsid w:val="0061468D"/>
    <w:rsid w:val="00614748"/>
    <w:rsid w:val="0061486F"/>
    <w:rsid w:val="00614B9D"/>
    <w:rsid w:val="0061521C"/>
    <w:rsid w:val="006152C6"/>
    <w:rsid w:val="00615426"/>
    <w:rsid w:val="006156C6"/>
    <w:rsid w:val="0061593D"/>
    <w:rsid w:val="00615C1E"/>
    <w:rsid w:val="00615C22"/>
    <w:rsid w:val="00615DEC"/>
    <w:rsid w:val="00615DF2"/>
    <w:rsid w:val="00615FF5"/>
    <w:rsid w:val="00616690"/>
    <w:rsid w:val="006166F8"/>
    <w:rsid w:val="00616B0C"/>
    <w:rsid w:val="00617023"/>
    <w:rsid w:val="00617024"/>
    <w:rsid w:val="0061705E"/>
    <w:rsid w:val="006173E1"/>
    <w:rsid w:val="00617405"/>
    <w:rsid w:val="00617569"/>
    <w:rsid w:val="00617585"/>
    <w:rsid w:val="00617884"/>
    <w:rsid w:val="0061797E"/>
    <w:rsid w:val="00617B79"/>
    <w:rsid w:val="00620249"/>
    <w:rsid w:val="00620552"/>
    <w:rsid w:val="00620832"/>
    <w:rsid w:val="006209CA"/>
    <w:rsid w:val="00620B1B"/>
    <w:rsid w:val="00620DA9"/>
    <w:rsid w:val="0062113D"/>
    <w:rsid w:val="006217D9"/>
    <w:rsid w:val="0062193A"/>
    <w:rsid w:val="006219F7"/>
    <w:rsid w:val="00621A7A"/>
    <w:rsid w:val="00621AC9"/>
    <w:rsid w:val="00621AEB"/>
    <w:rsid w:val="00621B9E"/>
    <w:rsid w:val="00621F59"/>
    <w:rsid w:val="00622020"/>
    <w:rsid w:val="006220AE"/>
    <w:rsid w:val="00622528"/>
    <w:rsid w:val="006225AC"/>
    <w:rsid w:val="006228E4"/>
    <w:rsid w:val="006229F6"/>
    <w:rsid w:val="00622A6E"/>
    <w:rsid w:val="00622C26"/>
    <w:rsid w:val="00622D2F"/>
    <w:rsid w:val="00623040"/>
    <w:rsid w:val="00623062"/>
    <w:rsid w:val="006232CD"/>
    <w:rsid w:val="00623338"/>
    <w:rsid w:val="006237ED"/>
    <w:rsid w:val="00623DCA"/>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38E"/>
    <w:rsid w:val="00625AB7"/>
    <w:rsid w:val="00625AD5"/>
    <w:rsid w:val="00625B17"/>
    <w:rsid w:val="00625F41"/>
    <w:rsid w:val="00626243"/>
    <w:rsid w:val="00626393"/>
    <w:rsid w:val="006263BB"/>
    <w:rsid w:val="0062686C"/>
    <w:rsid w:val="00626871"/>
    <w:rsid w:val="006268A1"/>
    <w:rsid w:val="00626B2E"/>
    <w:rsid w:val="00627232"/>
    <w:rsid w:val="00627259"/>
    <w:rsid w:val="00627317"/>
    <w:rsid w:val="00627324"/>
    <w:rsid w:val="0062745F"/>
    <w:rsid w:val="00627AE2"/>
    <w:rsid w:val="00627CA5"/>
    <w:rsid w:val="00627DDE"/>
    <w:rsid w:val="00627E2B"/>
    <w:rsid w:val="00627E5A"/>
    <w:rsid w:val="00627EDA"/>
    <w:rsid w:val="0063000D"/>
    <w:rsid w:val="00630042"/>
    <w:rsid w:val="00630078"/>
    <w:rsid w:val="00630108"/>
    <w:rsid w:val="00630199"/>
    <w:rsid w:val="006302F1"/>
    <w:rsid w:val="0063049C"/>
    <w:rsid w:val="006307B3"/>
    <w:rsid w:val="00630873"/>
    <w:rsid w:val="006308DB"/>
    <w:rsid w:val="00630ABA"/>
    <w:rsid w:val="00630BE4"/>
    <w:rsid w:val="0063104A"/>
    <w:rsid w:val="006310AE"/>
    <w:rsid w:val="0063111B"/>
    <w:rsid w:val="00631144"/>
    <w:rsid w:val="00631199"/>
    <w:rsid w:val="006311C1"/>
    <w:rsid w:val="00631A5F"/>
    <w:rsid w:val="00631A80"/>
    <w:rsid w:val="00631BA5"/>
    <w:rsid w:val="00631C23"/>
    <w:rsid w:val="00631D66"/>
    <w:rsid w:val="00631E0A"/>
    <w:rsid w:val="00631F5A"/>
    <w:rsid w:val="00632145"/>
    <w:rsid w:val="0063218C"/>
    <w:rsid w:val="00632382"/>
    <w:rsid w:val="0063240C"/>
    <w:rsid w:val="006325A1"/>
    <w:rsid w:val="006326F9"/>
    <w:rsid w:val="006328ED"/>
    <w:rsid w:val="00632A42"/>
    <w:rsid w:val="00632BCD"/>
    <w:rsid w:val="00632BE3"/>
    <w:rsid w:val="00632F4B"/>
    <w:rsid w:val="00633012"/>
    <w:rsid w:val="006330BC"/>
    <w:rsid w:val="00633553"/>
    <w:rsid w:val="0063363C"/>
    <w:rsid w:val="006336EB"/>
    <w:rsid w:val="00633978"/>
    <w:rsid w:val="00633BD5"/>
    <w:rsid w:val="00633D13"/>
    <w:rsid w:val="00633F47"/>
    <w:rsid w:val="00633FA4"/>
    <w:rsid w:val="006342A8"/>
    <w:rsid w:val="006345B4"/>
    <w:rsid w:val="006345BE"/>
    <w:rsid w:val="0063487A"/>
    <w:rsid w:val="00634A1E"/>
    <w:rsid w:val="00634CCD"/>
    <w:rsid w:val="00634E16"/>
    <w:rsid w:val="00634E37"/>
    <w:rsid w:val="0063525A"/>
    <w:rsid w:val="00635610"/>
    <w:rsid w:val="006357B9"/>
    <w:rsid w:val="0063585D"/>
    <w:rsid w:val="00635B85"/>
    <w:rsid w:val="00635C17"/>
    <w:rsid w:val="00635F31"/>
    <w:rsid w:val="006361B8"/>
    <w:rsid w:val="00636443"/>
    <w:rsid w:val="0063662E"/>
    <w:rsid w:val="006366C5"/>
    <w:rsid w:val="006366CE"/>
    <w:rsid w:val="006366E2"/>
    <w:rsid w:val="00636A76"/>
    <w:rsid w:val="00636B19"/>
    <w:rsid w:val="00636B30"/>
    <w:rsid w:val="00636C4F"/>
    <w:rsid w:val="00636CCC"/>
    <w:rsid w:val="00637289"/>
    <w:rsid w:val="00637464"/>
    <w:rsid w:val="0063763E"/>
    <w:rsid w:val="006376A9"/>
    <w:rsid w:val="006378C2"/>
    <w:rsid w:val="00637AEC"/>
    <w:rsid w:val="00637C50"/>
    <w:rsid w:val="00637F56"/>
    <w:rsid w:val="0064013B"/>
    <w:rsid w:val="00640473"/>
    <w:rsid w:val="0064050D"/>
    <w:rsid w:val="006406D8"/>
    <w:rsid w:val="006407E7"/>
    <w:rsid w:val="00640806"/>
    <w:rsid w:val="00640856"/>
    <w:rsid w:val="006408C0"/>
    <w:rsid w:val="00640932"/>
    <w:rsid w:val="00640D25"/>
    <w:rsid w:val="00640E79"/>
    <w:rsid w:val="00640F30"/>
    <w:rsid w:val="006410F4"/>
    <w:rsid w:val="006412B2"/>
    <w:rsid w:val="00641426"/>
    <w:rsid w:val="006414FB"/>
    <w:rsid w:val="00641670"/>
    <w:rsid w:val="00641896"/>
    <w:rsid w:val="00641B70"/>
    <w:rsid w:val="00641C07"/>
    <w:rsid w:val="00641D6E"/>
    <w:rsid w:val="00641FD9"/>
    <w:rsid w:val="0064245F"/>
    <w:rsid w:val="00642854"/>
    <w:rsid w:val="00642BBE"/>
    <w:rsid w:val="00642D40"/>
    <w:rsid w:val="00642EC9"/>
    <w:rsid w:val="00642F2C"/>
    <w:rsid w:val="0064322C"/>
    <w:rsid w:val="0064330D"/>
    <w:rsid w:val="00643618"/>
    <w:rsid w:val="00643BC3"/>
    <w:rsid w:val="00643C07"/>
    <w:rsid w:val="00643C13"/>
    <w:rsid w:val="00643C5B"/>
    <w:rsid w:val="00643DE8"/>
    <w:rsid w:val="00643FB8"/>
    <w:rsid w:val="00644026"/>
    <w:rsid w:val="006441F8"/>
    <w:rsid w:val="006444B2"/>
    <w:rsid w:val="006444CE"/>
    <w:rsid w:val="00644B61"/>
    <w:rsid w:val="00644BC3"/>
    <w:rsid w:val="00644CC7"/>
    <w:rsid w:val="00644F42"/>
    <w:rsid w:val="0064531E"/>
    <w:rsid w:val="00645436"/>
    <w:rsid w:val="00645569"/>
    <w:rsid w:val="006456E5"/>
    <w:rsid w:val="00645C61"/>
    <w:rsid w:val="00645D95"/>
    <w:rsid w:val="0064698B"/>
    <w:rsid w:val="006469B9"/>
    <w:rsid w:val="006469F0"/>
    <w:rsid w:val="00647542"/>
    <w:rsid w:val="0064754D"/>
    <w:rsid w:val="0064759D"/>
    <w:rsid w:val="006475D3"/>
    <w:rsid w:val="006475DF"/>
    <w:rsid w:val="006477EC"/>
    <w:rsid w:val="006479AA"/>
    <w:rsid w:val="006479BD"/>
    <w:rsid w:val="00647B0D"/>
    <w:rsid w:val="00647D6A"/>
    <w:rsid w:val="0065035B"/>
    <w:rsid w:val="00650738"/>
    <w:rsid w:val="006509F9"/>
    <w:rsid w:val="00650B6F"/>
    <w:rsid w:val="00650B9D"/>
    <w:rsid w:val="00650F34"/>
    <w:rsid w:val="00651057"/>
    <w:rsid w:val="00651243"/>
    <w:rsid w:val="006514A4"/>
    <w:rsid w:val="006514B0"/>
    <w:rsid w:val="006514EE"/>
    <w:rsid w:val="00651790"/>
    <w:rsid w:val="006518B9"/>
    <w:rsid w:val="006519CE"/>
    <w:rsid w:val="00651B05"/>
    <w:rsid w:val="00651DBA"/>
    <w:rsid w:val="00651E17"/>
    <w:rsid w:val="006522EE"/>
    <w:rsid w:val="0065230A"/>
    <w:rsid w:val="00652447"/>
    <w:rsid w:val="006525DB"/>
    <w:rsid w:val="00652613"/>
    <w:rsid w:val="00652D98"/>
    <w:rsid w:val="00653141"/>
    <w:rsid w:val="0065323D"/>
    <w:rsid w:val="00653385"/>
    <w:rsid w:val="0065343D"/>
    <w:rsid w:val="0065348B"/>
    <w:rsid w:val="0065357B"/>
    <w:rsid w:val="00653648"/>
    <w:rsid w:val="00653988"/>
    <w:rsid w:val="00653C95"/>
    <w:rsid w:val="00653E12"/>
    <w:rsid w:val="00653E56"/>
    <w:rsid w:val="006540ED"/>
    <w:rsid w:val="00654205"/>
    <w:rsid w:val="00654212"/>
    <w:rsid w:val="0065427D"/>
    <w:rsid w:val="0065439E"/>
    <w:rsid w:val="006549F5"/>
    <w:rsid w:val="00654AE8"/>
    <w:rsid w:val="00654CE2"/>
    <w:rsid w:val="00654E3C"/>
    <w:rsid w:val="00654F6D"/>
    <w:rsid w:val="006550C5"/>
    <w:rsid w:val="0065528E"/>
    <w:rsid w:val="0065534B"/>
    <w:rsid w:val="006553D7"/>
    <w:rsid w:val="0065543B"/>
    <w:rsid w:val="00655545"/>
    <w:rsid w:val="00655FEF"/>
    <w:rsid w:val="00656133"/>
    <w:rsid w:val="006561B8"/>
    <w:rsid w:val="00656237"/>
    <w:rsid w:val="006562B6"/>
    <w:rsid w:val="006569FF"/>
    <w:rsid w:val="00656B53"/>
    <w:rsid w:val="00657205"/>
    <w:rsid w:val="00657247"/>
    <w:rsid w:val="006575A4"/>
    <w:rsid w:val="0065765D"/>
    <w:rsid w:val="00657683"/>
    <w:rsid w:val="006579BD"/>
    <w:rsid w:val="00657C51"/>
    <w:rsid w:val="00657D10"/>
    <w:rsid w:val="00657D88"/>
    <w:rsid w:val="00657E0A"/>
    <w:rsid w:val="00657EB8"/>
    <w:rsid w:val="00660171"/>
    <w:rsid w:val="00660CEE"/>
    <w:rsid w:val="00660CF0"/>
    <w:rsid w:val="00660DB1"/>
    <w:rsid w:val="00660ED2"/>
    <w:rsid w:val="00661092"/>
    <w:rsid w:val="00661098"/>
    <w:rsid w:val="0066122F"/>
    <w:rsid w:val="006615A0"/>
    <w:rsid w:val="006615B5"/>
    <w:rsid w:val="00661790"/>
    <w:rsid w:val="006619B5"/>
    <w:rsid w:val="00661A3A"/>
    <w:rsid w:val="00661E24"/>
    <w:rsid w:val="00661E59"/>
    <w:rsid w:val="00661EEF"/>
    <w:rsid w:val="00662161"/>
    <w:rsid w:val="00662412"/>
    <w:rsid w:val="00662637"/>
    <w:rsid w:val="00662731"/>
    <w:rsid w:val="00662957"/>
    <w:rsid w:val="00662AFE"/>
    <w:rsid w:val="00662B45"/>
    <w:rsid w:val="00662BE7"/>
    <w:rsid w:val="00662DAE"/>
    <w:rsid w:val="00662FA7"/>
    <w:rsid w:val="0066301E"/>
    <w:rsid w:val="00663387"/>
    <w:rsid w:val="006633BE"/>
    <w:rsid w:val="0066340A"/>
    <w:rsid w:val="006636FB"/>
    <w:rsid w:val="00663727"/>
    <w:rsid w:val="0066385A"/>
    <w:rsid w:val="00663B38"/>
    <w:rsid w:val="00663B92"/>
    <w:rsid w:val="006640CF"/>
    <w:rsid w:val="00664180"/>
    <w:rsid w:val="00664386"/>
    <w:rsid w:val="00664419"/>
    <w:rsid w:val="00664592"/>
    <w:rsid w:val="00664877"/>
    <w:rsid w:val="006648B7"/>
    <w:rsid w:val="00664903"/>
    <w:rsid w:val="006649BC"/>
    <w:rsid w:val="00664B42"/>
    <w:rsid w:val="00664C9B"/>
    <w:rsid w:val="006651BC"/>
    <w:rsid w:val="00665257"/>
    <w:rsid w:val="0066529B"/>
    <w:rsid w:val="00665319"/>
    <w:rsid w:val="0066536B"/>
    <w:rsid w:val="00665396"/>
    <w:rsid w:val="006653AC"/>
    <w:rsid w:val="00665872"/>
    <w:rsid w:val="00665BBA"/>
    <w:rsid w:val="00665BC8"/>
    <w:rsid w:val="00665CED"/>
    <w:rsid w:val="00665DAD"/>
    <w:rsid w:val="0066660B"/>
    <w:rsid w:val="00666854"/>
    <w:rsid w:val="00666B85"/>
    <w:rsid w:val="00666BE7"/>
    <w:rsid w:val="00666F05"/>
    <w:rsid w:val="00666F56"/>
    <w:rsid w:val="00666FF1"/>
    <w:rsid w:val="00667070"/>
    <w:rsid w:val="006674CC"/>
    <w:rsid w:val="00667651"/>
    <w:rsid w:val="006676D7"/>
    <w:rsid w:val="00667773"/>
    <w:rsid w:val="006677CD"/>
    <w:rsid w:val="00667814"/>
    <w:rsid w:val="00667A32"/>
    <w:rsid w:val="00667B1B"/>
    <w:rsid w:val="00667D00"/>
    <w:rsid w:val="00667F7F"/>
    <w:rsid w:val="00667F99"/>
    <w:rsid w:val="0067030C"/>
    <w:rsid w:val="0067037B"/>
    <w:rsid w:val="0067062C"/>
    <w:rsid w:val="00670AC5"/>
    <w:rsid w:val="00670CB1"/>
    <w:rsid w:val="006710EA"/>
    <w:rsid w:val="00671372"/>
    <w:rsid w:val="00671476"/>
    <w:rsid w:val="006715BD"/>
    <w:rsid w:val="006715CC"/>
    <w:rsid w:val="00671789"/>
    <w:rsid w:val="006718A8"/>
    <w:rsid w:val="00671900"/>
    <w:rsid w:val="00671BD1"/>
    <w:rsid w:val="00671C9C"/>
    <w:rsid w:val="006723C1"/>
    <w:rsid w:val="006723E8"/>
    <w:rsid w:val="0067244D"/>
    <w:rsid w:val="00672499"/>
    <w:rsid w:val="006726BC"/>
    <w:rsid w:val="00672715"/>
    <w:rsid w:val="00672942"/>
    <w:rsid w:val="006729C8"/>
    <w:rsid w:val="00672F58"/>
    <w:rsid w:val="006730F5"/>
    <w:rsid w:val="006732D2"/>
    <w:rsid w:val="00673365"/>
    <w:rsid w:val="00673837"/>
    <w:rsid w:val="006739B4"/>
    <w:rsid w:val="006739FD"/>
    <w:rsid w:val="00673B34"/>
    <w:rsid w:val="0067412B"/>
    <w:rsid w:val="006741AF"/>
    <w:rsid w:val="006746E4"/>
    <w:rsid w:val="0067485B"/>
    <w:rsid w:val="006748E7"/>
    <w:rsid w:val="00674E49"/>
    <w:rsid w:val="00674F25"/>
    <w:rsid w:val="006750AE"/>
    <w:rsid w:val="00675252"/>
    <w:rsid w:val="006756C1"/>
    <w:rsid w:val="00675AAB"/>
    <w:rsid w:val="00675AF1"/>
    <w:rsid w:val="00675D16"/>
    <w:rsid w:val="006761C3"/>
    <w:rsid w:val="0067685A"/>
    <w:rsid w:val="00676C48"/>
    <w:rsid w:val="00676D84"/>
    <w:rsid w:val="006775CA"/>
    <w:rsid w:val="006777A9"/>
    <w:rsid w:val="0067780B"/>
    <w:rsid w:val="00677C06"/>
    <w:rsid w:val="00677D75"/>
    <w:rsid w:val="00677E06"/>
    <w:rsid w:val="00677F4A"/>
    <w:rsid w:val="006803A2"/>
    <w:rsid w:val="006808B9"/>
    <w:rsid w:val="0068090C"/>
    <w:rsid w:val="00680986"/>
    <w:rsid w:val="00680A4B"/>
    <w:rsid w:val="00680B4B"/>
    <w:rsid w:val="00680D65"/>
    <w:rsid w:val="00680FC9"/>
    <w:rsid w:val="006811A4"/>
    <w:rsid w:val="006811E4"/>
    <w:rsid w:val="0068120C"/>
    <w:rsid w:val="00681503"/>
    <w:rsid w:val="0068175E"/>
    <w:rsid w:val="00681B24"/>
    <w:rsid w:val="00681FC9"/>
    <w:rsid w:val="006827A7"/>
    <w:rsid w:val="006828B4"/>
    <w:rsid w:val="0068290A"/>
    <w:rsid w:val="00682F31"/>
    <w:rsid w:val="00683327"/>
    <w:rsid w:val="006833A5"/>
    <w:rsid w:val="00683451"/>
    <w:rsid w:val="006834AB"/>
    <w:rsid w:val="00683523"/>
    <w:rsid w:val="006836BC"/>
    <w:rsid w:val="00683926"/>
    <w:rsid w:val="00683B78"/>
    <w:rsid w:val="00683D5D"/>
    <w:rsid w:val="00683E10"/>
    <w:rsid w:val="00683F2C"/>
    <w:rsid w:val="0068419D"/>
    <w:rsid w:val="006843A5"/>
    <w:rsid w:val="0068495A"/>
    <w:rsid w:val="00684A8C"/>
    <w:rsid w:val="00684C27"/>
    <w:rsid w:val="00684C60"/>
    <w:rsid w:val="00685036"/>
    <w:rsid w:val="006853EA"/>
    <w:rsid w:val="006855F8"/>
    <w:rsid w:val="00685787"/>
    <w:rsid w:val="006858EF"/>
    <w:rsid w:val="00685AE4"/>
    <w:rsid w:val="00685B14"/>
    <w:rsid w:val="00685B36"/>
    <w:rsid w:val="00685D55"/>
    <w:rsid w:val="006860E6"/>
    <w:rsid w:val="00686195"/>
    <w:rsid w:val="00686524"/>
    <w:rsid w:val="0068663C"/>
    <w:rsid w:val="00686855"/>
    <w:rsid w:val="00686A6D"/>
    <w:rsid w:val="0068747D"/>
    <w:rsid w:val="00687543"/>
    <w:rsid w:val="00690109"/>
    <w:rsid w:val="00690116"/>
    <w:rsid w:val="00690132"/>
    <w:rsid w:val="006903DC"/>
    <w:rsid w:val="0069073F"/>
    <w:rsid w:val="00690990"/>
    <w:rsid w:val="00690EEE"/>
    <w:rsid w:val="0069103B"/>
    <w:rsid w:val="00691178"/>
    <w:rsid w:val="006911EB"/>
    <w:rsid w:val="00691412"/>
    <w:rsid w:val="0069150F"/>
    <w:rsid w:val="006915CB"/>
    <w:rsid w:val="00691660"/>
    <w:rsid w:val="00691861"/>
    <w:rsid w:val="00691BB9"/>
    <w:rsid w:val="00691E9E"/>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75E"/>
    <w:rsid w:val="0069393F"/>
    <w:rsid w:val="00693C77"/>
    <w:rsid w:val="00693D3A"/>
    <w:rsid w:val="00693DE6"/>
    <w:rsid w:val="00693EA0"/>
    <w:rsid w:val="00694107"/>
    <w:rsid w:val="006941D2"/>
    <w:rsid w:val="006942EA"/>
    <w:rsid w:val="006942F1"/>
    <w:rsid w:val="0069464A"/>
    <w:rsid w:val="00694844"/>
    <w:rsid w:val="006949DB"/>
    <w:rsid w:val="00694E33"/>
    <w:rsid w:val="00694EB0"/>
    <w:rsid w:val="00694F13"/>
    <w:rsid w:val="00695316"/>
    <w:rsid w:val="006953E5"/>
    <w:rsid w:val="006956E7"/>
    <w:rsid w:val="00695892"/>
    <w:rsid w:val="006958E0"/>
    <w:rsid w:val="00695A17"/>
    <w:rsid w:val="00695C86"/>
    <w:rsid w:val="006961D0"/>
    <w:rsid w:val="0069660C"/>
    <w:rsid w:val="0069691F"/>
    <w:rsid w:val="00696A7F"/>
    <w:rsid w:val="00696BC3"/>
    <w:rsid w:val="00696C26"/>
    <w:rsid w:val="00696C50"/>
    <w:rsid w:val="00696DB3"/>
    <w:rsid w:val="00696DD6"/>
    <w:rsid w:val="006970B3"/>
    <w:rsid w:val="00697337"/>
    <w:rsid w:val="00697567"/>
    <w:rsid w:val="00697866"/>
    <w:rsid w:val="00697911"/>
    <w:rsid w:val="00697CE7"/>
    <w:rsid w:val="00697EBD"/>
    <w:rsid w:val="00697FC9"/>
    <w:rsid w:val="006A0038"/>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A9C"/>
    <w:rsid w:val="006A1C44"/>
    <w:rsid w:val="006A2092"/>
    <w:rsid w:val="006A276C"/>
    <w:rsid w:val="006A2942"/>
    <w:rsid w:val="006A299F"/>
    <w:rsid w:val="006A2C63"/>
    <w:rsid w:val="006A301A"/>
    <w:rsid w:val="006A3270"/>
    <w:rsid w:val="006A331C"/>
    <w:rsid w:val="006A371A"/>
    <w:rsid w:val="006A3963"/>
    <w:rsid w:val="006A3A11"/>
    <w:rsid w:val="006A3CE8"/>
    <w:rsid w:val="006A40C3"/>
    <w:rsid w:val="006A4656"/>
    <w:rsid w:val="006A470C"/>
    <w:rsid w:val="006A4908"/>
    <w:rsid w:val="006A4B39"/>
    <w:rsid w:val="006A4BCE"/>
    <w:rsid w:val="006A4C7C"/>
    <w:rsid w:val="006A5096"/>
    <w:rsid w:val="006A54B3"/>
    <w:rsid w:val="006A57A6"/>
    <w:rsid w:val="006A57F8"/>
    <w:rsid w:val="006A5A8C"/>
    <w:rsid w:val="006A5AB2"/>
    <w:rsid w:val="006A5D59"/>
    <w:rsid w:val="006A5EE1"/>
    <w:rsid w:val="006A600D"/>
    <w:rsid w:val="006A6349"/>
    <w:rsid w:val="006A6882"/>
    <w:rsid w:val="006A69C3"/>
    <w:rsid w:val="006A6B9B"/>
    <w:rsid w:val="006A7303"/>
    <w:rsid w:val="006A7779"/>
    <w:rsid w:val="006A7A97"/>
    <w:rsid w:val="006A7BF8"/>
    <w:rsid w:val="006A7E5B"/>
    <w:rsid w:val="006A7ED9"/>
    <w:rsid w:val="006A7EEB"/>
    <w:rsid w:val="006B0022"/>
    <w:rsid w:val="006B0084"/>
    <w:rsid w:val="006B024F"/>
    <w:rsid w:val="006B0628"/>
    <w:rsid w:val="006B0836"/>
    <w:rsid w:val="006B0F6D"/>
    <w:rsid w:val="006B1061"/>
    <w:rsid w:val="006B131F"/>
    <w:rsid w:val="006B168D"/>
    <w:rsid w:val="006B1893"/>
    <w:rsid w:val="006B1EF6"/>
    <w:rsid w:val="006B20F0"/>
    <w:rsid w:val="006B22A9"/>
    <w:rsid w:val="006B26EC"/>
    <w:rsid w:val="006B2C02"/>
    <w:rsid w:val="006B3294"/>
    <w:rsid w:val="006B3A65"/>
    <w:rsid w:val="006B409F"/>
    <w:rsid w:val="006B40AC"/>
    <w:rsid w:val="006B434D"/>
    <w:rsid w:val="006B4399"/>
    <w:rsid w:val="006B44F0"/>
    <w:rsid w:val="006B4537"/>
    <w:rsid w:val="006B4556"/>
    <w:rsid w:val="006B4561"/>
    <w:rsid w:val="006B46C9"/>
    <w:rsid w:val="006B4818"/>
    <w:rsid w:val="006B4867"/>
    <w:rsid w:val="006B4A38"/>
    <w:rsid w:val="006B4EF6"/>
    <w:rsid w:val="006B50BC"/>
    <w:rsid w:val="006B5126"/>
    <w:rsid w:val="006B542D"/>
    <w:rsid w:val="006B5648"/>
    <w:rsid w:val="006B58BA"/>
    <w:rsid w:val="006B5B10"/>
    <w:rsid w:val="006B63F0"/>
    <w:rsid w:val="006B69FC"/>
    <w:rsid w:val="006B6B0E"/>
    <w:rsid w:val="006B6B16"/>
    <w:rsid w:val="006B6C4E"/>
    <w:rsid w:val="006B70F6"/>
    <w:rsid w:val="006B7309"/>
    <w:rsid w:val="006B73F5"/>
    <w:rsid w:val="006B74A9"/>
    <w:rsid w:val="006B74B2"/>
    <w:rsid w:val="006B784A"/>
    <w:rsid w:val="006B7949"/>
    <w:rsid w:val="006B7AAA"/>
    <w:rsid w:val="006B7BA4"/>
    <w:rsid w:val="006B7BE6"/>
    <w:rsid w:val="006B7CCF"/>
    <w:rsid w:val="006B7E5A"/>
    <w:rsid w:val="006C01A1"/>
    <w:rsid w:val="006C0296"/>
    <w:rsid w:val="006C03C5"/>
    <w:rsid w:val="006C04D6"/>
    <w:rsid w:val="006C04E8"/>
    <w:rsid w:val="006C0533"/>
    <w:rsid w:val="006C085E"/>
    <w:rsid w:val="006C08F9"/>
    <w:rsid w:val="006C0AEA"/>
    <w:rsid w:val="006C0D1B"/>
    <w:rsid w:val="006C0F6F"/>
    <w:rsid w:val="006C1169"/>
    <w:rsid w:val="006C1492"/>
    <w:rsid w:val="006C193D"/>
    <w:rsid w:val="006C19FF"/>
    <w:rsid w:val="006C2447"/>
    <w:rsid w:val="006C2631"/>
    <w:rsid w:val="006C2725"/>
    <w:rsid w:val="006C27F8"/>
    <w:rsid w:val="006C28D8"/>
    <w:rsid w:val="006C2934"/>
    <w:rsid w:val="006C29AB"/>
    <w:rsid w:val="006C2A68"/>
    <w:rsid w:val="006C2BCF"/>
    <w:rsid w:val="006C2CAA"/>
    <w:rsid w:val="006C30D8"/>
    <w:rsid w:val="006C31CB"/>
    <w:rsid w:val="006C33C2"/>
    <w:rsid w:val="006C3B6C"/>
    <w:rsid w:val="006C3C22"/>
    <w:rsid w:val="006C449C"/>
    <w:rsid w:val="006C44BE"/>
    <w:rsid w:val="006C46F6"/>
    <w:rsid w:val="006C4CD3"/>
    <w:rsid w:val="006C4DBF"/>
    <w:rsid w:val="006C4F1A"/>
    <w:rsid w:val="006C4FF1"/>
    <w:rsid w:val="006C5050"/>
    <w:rsid w:val="006C53C4"/>
    <w:rsid w:val="006C5569"/>
    <w:rsid w:val="006C5961"/>
    <w:rsid w:val="006C5A86"/>
    <w:rsid w:val="006C5D74"/>
    <w:rsid w:val="006C5EAA"/>
    <w:rsid w:val="006C6311"/>
    <w:rsid w:val="006C6501"/>
    <w:rsid w:val="006C6916"/>
    <w:rsid w:val="006C6A67"/>
    <w:rsid w:val="006C6C42"/>
    <w:rsid w:val="006C6DDF"/>
    <w:rsid w:val="006C6E0E"/>
    <w:rsid w:val="006C777F"/>
    <w:rsid w:val="006C7859"/>
    <w:rsid w:val="006C7928"/>
    <w:rsid w:val="006C7B6D"/>
    <w:rsid w:val="006C7D95"/>
    <w:rsid w:val="006D012C"/>
    <w:rsid w:val="006D01D8"/>
    <w:rsid w:val="006D027B"/>
    <w:rsid w:val="006D05F5"/>
    <w:rsid w:val="006D07F0"/>
    <w:rsid w:val="006D0AC1"/>
    <w:rsid w:val="006D0DBB"/>
    <w:rsid w:val="006D0DE1"/>
    <w:rsid w:val="006D0FE3"/>
    <w:rsid w:val="006D11CC"/>
    <w:rsid w:val="006D1416"/>
    <w:rsid w:val="006D179F"/>
    <w:rsid w:val="006D18D5"/>
    <w:rsid w:val="006D1B7D"/>
    <w:rsid w:val="006D1EDE"/>
    <w:rsid w:val="006D20BA"/>
    <w:rsid w:val="006D23CA"/>
    <w:rsid w:val="006D2541"/>
    <w:rsid w:val="006D25D4"/>
    <w:rsid w:val="006D282E"/>
    <w:rsid w:val="006D2AA6"/>
    <w:rsid w:val="006D2AF0"/>
    <w:rsid w:val="006D2FD8"/>
    <w:rsid w:val="006D311A"/>
    <w:rsid w:val="006D3252"/>
    <w:rsid w:val="006D3449"/>
    <w:rsid w:val="006D35C5"/>
    <w:rsid w:val="006D3707"/>
    <w:rsid w:val="006D3AB8"/>
    <w:rsid w:val="006D3AC6"/>
    <w:rsid w:val="006D4078"/>
    <w:rsid w:val="006D40A4"/>
    <w:rsid w:val="006D4562"/>
    <w:rsid w:val="006D48AF"/>
    <w:rsid w:val="006D49B9"/>
    <w:rsid w:val="006D5182"/>
    <w:rsid w:val="006D548C"/>
    <w:rsid w:val="006D54F4"/>
    <w:rsid w:val="006D5804"/>
    <w:rsid w:val="006D58AB"/>
    <w:rsid w:val="006D58C5"/>
    <w:rsid w:val="006D5DA1"/>
    <w:rsid w:val="006D61EB"/>
    <w:rsid w:val="006D62CE"/>
    <w:rsid w:val="006D672D"/>
    <w:rsid w:val="006D6845"/>
    <w:rsid w:val="006D6884"/>
    <w:rsid w:val="006D694B"/>
    <w:rsid w:val="006D69B9"/>
    <w:rsid w:val="006D7222"/>
    <w:rsid w:val="006D7390"/>
    <w:rsid w:val="006D74CA"/>
    <w:rsid w:val="006D76CB"/>
    <w:rsid w:val="006D7942"/>
    <w:rsid w:val="006D7CF9"/>
    <w:rsid w:val="006D7EA5"/>
    <w:rsid w:val="006E00F7"/>
    <w:rsid w:val="006E0347"/>
    <w:rsid w:val="006E03E1"/>
    <w:rsid w:val="006E04A5"/>
    <w:rsid w:val="006E05EA"/>
    <w:rsid w:val="006E0904"/>
    <w:rsid w:val="006E091A"/>
    <w:rsid w:val="006E0E3B"/>
    <w:rsid w:val="006E0E53"/>
    <w:rsid w:val="006E1092"/>
    <w:rsid w:val="006E12E4"/>
    <w:rsid w:val="006E1569"/>
    <w:rsid w:val="006E1625"/>
    <w:rsid w:val="006E1D61"/>
    <w:rsid w:val="006E1F35"/>
    <w:rsid w:val="006E1F68"/>
    <w:rsid w:val="006E20B8"/>
    <w:rsid w:val="006E213C"/>
    <w:rsid w:val="006E21A9"/>
    <w:rsid w:val="006E2493"/>
    <w:rsid w:val="006E252E"/>
    <w:rsid w:val="006E2653"/>
    <w:rsid w:val="006E274A"/>
    <w:rsid w:val="006E2C5E"/>
    <w:rsid w:val="006E2E5A"/>
    <w:rsid w:val="006E3151"/>
    <w:rsid w:val="006E3244"/>
    <w:rsid w:val="006E3358"/>
    <w:rsid w:val="006E3680"/>
    <w:rsid w:val="006E3C71"/>
    <w:rsid w:val="006E3DF5"/>
    <w:rsid w:val="006E3E3A"/>
    <w:rsid w:val="006E3E52"/>
    <w:rsid w:val="006E404F"/>
    <w:rsid w:val="006E4132"/>
    <w:rsid w:val="006E4459"/>
    <w:rsid w:val="006E45CA"/>
    <w:rsid w:val="006E47B9"/>
    <w:rsid w:val="006E480B"/>
    <w:rsid w:val="006E4886"/>
    <w:rsid w:val="006E4A20"/>
    <w:rsid w:val="006E4B97"/>
    <w:rsid w:val="006E529C"/>
    <w:rsid w:val="006E55ED"/>
    <w:rsid w:val="006E582D"/>
    <w:rsid w:val="006E5D35"/>
    <w:rsid w:val="006E5D94"/>
    <w:rsid w:val="006E5E80"/>
    <w:rsid w:val="006E5F55"/>
    <w:rsid w:val="006E60BE"/>
    <w:rsid w:val="006E6217"/>
    <w:rsid w:val="006E62A3"/>
    <w:rsid w:val="006E6687"/>
    <w:rsid w:val="006E6729"/>
    <w:rsid w:val="006E6819"/>
    <w:rsid w:val="006E6884"/>
    <w:rsid w:val="006E6C88"/>
    <w:rsid w:val="006E6F08"/>
    <w:rsid w:val="006E6F59"/>
    <w:rsid w:val="006E74F2"/>
    <w:rsid w:val="006E7872"/>
    <w:rsid w:val="006E7B57"/>
    <w:rsid w:val="006E7CE4"/>
    <w:rsid w:val="006E7E92"/>
    <w:rsid w:val="006F0022"/>
    <w:rsid w:val="006F0390"/>
    <w:rsid w:val="006F0548"/>
    <w:rsid w:val="006F056B"/>
    <w:rsid w:val="006F05F5"/>
    <w:rsid w:val="006F0838"/>
    <w:rsid w:val="006F0903"/>
    <w:rsid w:val="006F0986"/>
    <w:rsid w:val="006F1214"/>
    <w:rsid w:val="006F1553"/>
    <w:rsid w:val="006F155C"/>
    <w:rsid w:val="006F1602"/>
    <w:rsid w:val="006F1A6F"/>
    <w:rsid w:val="006F1AE7"/>
    <w:rsid w:val="006F1BA2"/>
    <w:rsid w:val="006F1C3D"/>
    <w:rsid w:val="006F215C"/>
    <w:rsid w:val="006F21FD"/>
    <w:rsid w:val="006F228A"/>
    <w:rsid w:val="006F2CBD"/>
    <w:rsid w:val="006F2DCF"/>
    <w:rsid w:val="006F3045"/>
    <w:rsid w:val="006F348C"/>
    <w:rsid w:val="006F385A"/>
    <w:rsid w:val="006F3B44"/>
    <w:rsid w:val="006F3E8B"/>
    <w:rsid w:val="006F4098"/>
    <w:rsid w:val="006F40AE"/>
    <w:rsid w:val="006F4474"/>
    <w:rsid w:val="006F49B4"/>
    <w:rsid w:val="006F4A9B"/>
    <w:rsid w:val="006F504C"/>
    <w:rsid w:val="006F5091"/>
    <w:rsid w:val="006F53C8"/>
    <w:rsid w:val="006F53E7"/>
    <w:rsid w:val="006F56B0"/>
    <w:rsid w:val="006F581F"/>
    <w:rsid w:val="006F5947"/>
    <w:rsid w:val="006F5D2B"/>
    <w:rsid w:val="006F5D5E"/>
    <w:rsid w:val="006F5DC1"/>
    <w:rsid w:val="006F5F02"/>
    <w:rsid w:val="006F6794"/>
    <w:rsid w:val="006F6C12"/>
    <w:rsid w:val="006F6F8D"/>
    <w:rsid w:val="006F7310"/>
    <w:rsid w:val="006F7758"/>
    <w:rsid w:val="006F77B5"/>
    <w:rsid w:val="006F7989"/>
    <w:rsid w:val="006F7B18"/>
    <w:rsid w:val="006F7B27"/>
    <w:rsid w:val="006F7E5E"/>
    <w:rsid w:val="006F7E82"/>
    <w:rsid w:val="007000E2"/>
    <w:rsid w:val="00700234"/>
    <w:rsid w:val="00700361"/>
    <w:rsid w:val="007003EC"/>
    <w:rsid w:val="0070059D"/>
    <w:rsid w:val="007005AA"/>
    <w:rsid w:val="007005D0"/>
    <w:rsid w:val="00700730"/>
    <w:rsid w:val="00700742"/>
    <w:rsid w:val="00700780"/>
    <w:rsid w:val="00700921"/>
    <w:rsid w:val="00700D27"/>
    <w:rsid w:val="00700D30"/>
    <w:rsid w:val="00700DFD"/>
    <w:rsid w:val="007010F2"/>
    <w:rsid w:val="0070116A"/>
    <w:rsid w:val="0070128C"/>
    <w:rsid w:val="00701460"/>
    <w:rsid w:val="0070170E"/>
    <w:rsid w:val="00701AEF"/>
    <w:rsid w:val="00701D26"/>
    <w:rsid w:val="00701D54"/>
    <w:rsid w:val="00701D5A"/>
    <w:rsid w:val="00701EBC"/>
    <w:rsid w:val="00701F66"/>
    <w:rsid w:val="00702012"/>
    <w:rsid w:val="0070202B"/>
    <w:rsid w:val="0070240E"/>
    <w:rsid w:val="0070275D"/>
    <w:rsid w:val="00702792"/>
    <w:rsid w:val="00702BBB"/>
    <w:rsid w:val="00702F40"/>
    <w:rsid w:val="00702F4A"/>
    <w:rsid w:val="00703040"/>
    <w:rsid w:val="007033B6"/>
    <w:rsid w:val="007038CF"/>
    <w:rsid w:val="0070392F"/>
    <w:rsid w:val="00703BC2"/>
    <w:rsid w:val="00704113"/>
    <w:rsid w:val="00704117"/>
    <w:rsid w:val="0070434D"/>
    <w:rsid w:val="00704503"/>
    <w:rsid w:val="0070489A"/>
    <w:rsid w:val="00704979"/>
    <w:rsid w:val="00704DA2"/>
    <w:rsid w:val="00704F66"/>
    <w:rsid w:val="00705122"/>
    <w:rsid w:val="00705314"/>
    <w:rsid w:val="0070547B"/>
    <w:rsid w:val="00705920"/>
    <w:rsid w:val="00705A32"/>
    <w:rsid w:val="00705AEB"/>
    <w:rsid w:val="00705CF1"/>
    <w:rsid w:val="00705E79"/>
    <w:rsid w:val="00705E9C"/>
    <w:rsid w:val="00705EDD"/>
    <w:rsid w:val="00706088"/>
    <w:rsid w:val="0070637E"/>
    <w:rsid w:val="00706515"/>
    <w:rsid w:val="00706CBD"/>
    <w:rsid w:val="00706D89"/>
    <w:rsid w:val="00706DDF"/>
    <w:rsid w:val="00706FCB"/>
    <w:rsid w:val="00707096"/>
    <w:rsid w:val="00707913"/>
    <w:rsid w:val="0071031C"/>
    <w:rsid w:val="0071034C"/>
    <w:rsid w:val="007103CE"/>
    <w:rsid w:val="0071054B"/>
    <w:rsid w:val="007107B1"/>
    <w:rsid w:val="00710966"/>
    <w:rsid w:val="00710A0F"/>
    <w:rsid w:val="00710AC6"/>
    <w:rsid w:val="00710B28"/>
    <w:rsid w:val="00710BED"/>
    <w:rsid w:val="00710D24"/>
    <w:rsid w:val="00710DBB"/>
    <w:rsid w:val="00711620"/>
    <w:rsid w:val="007116FC"/>
    <w:rsid w:val="007117B6"/>
    <w:rsid w:val="00711917"/>
    <w:rsid w:val="00711D8E"/>
    <w:rsid w:val="0071213F"/>
    <w:rsid w:val="007121A3"/>
    <w:rsid w:val="00712384"/>
    <w:rsid w:val="007126F1"/>
    <w:rsid w:val="0071289D"/>
    <w:rsid w:val="007129FA"/>
    <w:rsid w:val="00712B10"/>
    <w:rsid w:val="00712F92"/>
    <w:rsid w:val="007130CF"/>
    <w:rsid w:val="007134A5"/>
    <w:rsid w:val="00713626"/>
    <w:rsid w:val="00713B17"/>
    <w:rsid w:val="00713DC0"/>
    <w:rsid w:val="00713EC6"/>
    <w:rsid w:val="007140CC"/>
    <w:rsid w:val="0071445D"/>
    <w:rsid w:val="00714739"/>
    <w:rsid w:val="0071481A"/>
    <w:rsid w:val="00714B80"/>
    <w:rsid w:val="00714D4F"/>
    <w:rsid w:val="00714EF5"/>
    <w:rsid w:val="00714FEC"/>
    <w:rsid w:val="007150A7"/>
    <w:rsid w:val="0071510C"/>
    <w:rsid w:val="007153A8"/>
    <w:rsid w:val="00715642"/>
    <w:rsid w:val="00715663"/>
    <w:rsid w:val="007159EA"/>
    <w:rsid w:val="00715C78"/>
    <w:rsid w:val="00715CDA"/>
    <w:rsid w:val="007162AB"/>
    <w:rsid w:val="00716461"/>
    <w:rsid w:val="007164A8"/>
    <w:rsid w:val="00716999"/>
    <w:rsid w:val="00716B0A"/>
    <w:rsid w:val="00716E06"/>
    <w:rsid w:val="00716F2C"/>
    <w:rsid w:val="0071709C"/>
    <w:rsid w:val="00717270"/>
    <w:rsid w:val="0071768B"/>
    <w:rsid w:val="00717C80"/>
    <w:rsid w:val="007204BF"/>
    <w:rsid w:val="00720655"/>
    <w:rsid w:val="0072073D"/>
    <w:rsid w:val="00720984"/>
    <w:rsid w:val="007209CA"/>
    <w:rsid w:val="00720B8F"/>
    <w:rsid w:val="00720C1A"/>
    <w:rsid w:val="00720D42"/>
    <w:rsid w:val="00720F82"/>
    <w:rsid w:val="007211DD"/>
    <w:rsid w:val="00721305"/>
    <w:rsid w:val="00721336"/>
    <w:rsid w:val="007213F4"/>
    <w:rsid w:val="00721444"/>
    <w:rsid w:val="0072147F"/>
    <w:rsid w:val="007215D6"/>
    <w:rsid w:val="00721C49"/>
    <w:rsid w:val="00721D53"/>
    <w:rsid w:val="00721DCA"/>
    <w:rsid w:val="00721EBD"/>
    <w:rsid w:val="007220DC"/>
    <w:rsid w:val="007222CB"/>
    <w:rsid w:val="0072241A"/>
    <w:rsid w:val="0072260F"/>
    <w:rsid w:val="007227E2"/>
    <w:rsid w:val="00722855"/>
    <w:rsid w:val="00722909"/>
    <w:rsid w:val="00722A2C"/>
    <w:rsid w:val="00722AEF"/>
    <w:rsid w:val="00722F51"/>
    <w:rsid w:val="00723649"/>
    <w:rsid w:val="0072386B"/>
    <w:rsid w:val="00723CE1"/>
    <w:rsid w:val="007242BA"/>
    <w:rsid w:val="007243C6"/>
    <w:rsid w:val="00724402"/>
    <w:rsid w:val="00724629"/>
    <w:rsid w:val="00725723"/>
    <w:rsid w:val="00725AAC"/>
    <w:rsid w:val="00725AC3"/>
    <w:rsid w:val="00725BB4"/>
    <w:rsid w:val="00725BE9"/>
    <w:rsid w:val="00725D71"/>
    <w:rsid w:val="00725F77"/>
    <w:rsid w:val="00725FB4"/>
    <w:rsid w:val="0072618A"/>
    <w:rsid w:val="007265C8"/>
    <w:rsid w:val="0072692E"/>
    <w:rsid w:val="00726CF0"/>
    <w:rsid w:val="00727118"/>
    <w:rsid w:val="00727228"/>
    <w:rsid w:val="007272DB"/>
    <w:rsid w:val="00727337"/>
    <w:rsid w:val="0072739A"/>
    <w:rsid w:val="00727460"/>
    <w:rsid w:val="00727775"/>
    <w:rsid w:val="007279A0"/>
    <w:rsid w:val="00727ACC"/>
    <w:rsid w:val="00727DC2"/>
    <w:rsid w:val="00727E42"/>
    <w:rsid w:val="00727E54"/>
    <w:rsid w:val="00727FDD"/>
    <w:rsid w:val="0073008D"/>
    <w:rsid w:val="0073020B"/>
    <w:rsid w:val="00730629"/>
    <w:rsid w:val="007307A4"/>
    <w:rsid w:val="00730AD0"/>
    <w:rsid w:val="00730BEF"/>
    <w:rsid w:val="0073104A"/>
    <w:rsid w:val="007310B2"/>
    <w:rsid w:val="0073147C"/>
    <w:rsid w:val="00731499"/>
    <w:rsid w:val="00731662"/>
    <w:rsid w:val="00731751"/>
    <w:rsid w:val="007319A9"/>
    <w:rsid w:val="00731B27"/>
    <w:rsid w:val="00731BB6"/>
    <w:rsid w:val="00731EB2"/>
    <w:rsid w:val="00732012"/>
    <w:rsid w:val="0073239F"/>
    <w:rsid w:val="007323D1"/>
    <w:rsid w:val="007324E3"/>
    <w:rsid w:val="007324E6"/>
    <w:rsid w:val="00732755"/>
    <w:rsid w:val="007328C4"/>
    <w:rsid w:val="00732DAA"/>
    <w:rsid w:val="00732FBE"/>
    <w:rsid w:val="00733041"/>
    <w:rsid w:val="0073326A"/>
    <w:rsid w:val="0073342D"/>
    <w:rsid w:val="0073362A"/>
    <w:rsid w:val="0073386B"/>
    <w:rsid w:val="00733908"/>
    <w:rsid w:val="0073397D"/>
    <w:rsid w:val="00733BF9"/>
    <w:rsid w:val="00733D0A"/>
    <w:rsid w:val="00733DDC"/>
    <w:rsid w:val="00733DFE"/>
    <w:rsid w:val="00733E03"/>
    <w:rsid w:val="00734117"/>
    <w:rsid w:val="00734C8A"/>
    <w:rsid w:val="007355CD"/>
    <w:rsid w:val="00735A48"/>
    <w:rsid w:val="00735ABB"/>
    <w:rsid w:val="00735EF9"/>
    <w:rsid w:val="00736090"/>
    <w:rsid w:val="0073641E"/>
    <w:rsid w:val="00736486"/>
    <w:rsid w:val="007365B0"/>
    <w:rsid w:val="007366B3"/>
    <w:rsid w:val="00736801"/>
    <w:rsid w:val="00736C2A"/>
    <w:rsid w:val="00736E22"/>
    <w:rsid w:val="00736EB3"/>
    <w:rsid w:val="0073722A"/>
    <w:rsid w:val="0073722C"/>
    <w:rsid w:val="007372EA"/>
    <w:rsid w:val="00737360"/>
    <w:rsid w:val="00737790"/>
    <w:rsid w:val="00737B92"/>
    <w:rsid w:val="00737BBD"/>
    <w:rsid w:val="00737BD0"/>
    <w:rsid w:val="00737F7B"/>
    <w:rsid w:val="00740010"/>
    <w:rsid w:val="0074016B"/>
    <w:rsid w:val="00740260"/>
    <w:rsid w:val="0074048C"/>
    <w:rsid w:val="00740573"/>
    <w:rsid w:val="007406B0"/>
    <w:rsid w:val="007408C8"/>
    <w:rsid w:val="00740907"/>
    <w:rsid w:val="0074116F"/>
    <w:rsid w:val="007411B4"/>
    <w:rsid w:val="00741643"/>
    <w:rsid w:val="0074172B"/>
    <w:rsid w:val="00741913"/>
    <w:rsid w:val="00741C8D"/>
    <w:rsid w:val="00742480"/>
    <w:rsid w:val="00742685"/>
    <w:rsid w:val="007426C6"/>
    <w:rsid w:val="00742CB7"/>
    <w:rsid w:val="00742DF1"/>
    <w:rsid w:val="0074351C"/>
    <w:rsid w:val="00743626"/>
    <w:rsid w:val="0074392B"/>
    <w:rsid w:val="00743AF8"/>
    <w:rsid w:val="007441C6"/>
    <w:rsid w:val="0074423B"/>
    <w:rsid w:val="0074441B"/>
    <w:rsid w:val="00744459"/>
    <w:rsid w:val="00744594"/>
    <w:rsid w:val="007447FE"/>
    <w:rsid w:val="00744A9F"/>
    <w:rsid w:val="00744B85"/>
    <w:rsid w:val="00744BDE"/>
    <w:rsid w:val="00744D6C"/>
    <w:rsid w:val="00744E89"/>
    <w:rsid w:val="00744EA1"/>
    <w:rsid w:val="00745010"/>
    <w:rsid w:val="00745449"/>
    <w:rsid w:val="00745552"/>
    <w:rsid w:val="0074573A"/>
    <w:rsid w:val="007457CA"/>
    <w:rsid w:val="00745833"/>
    <w:rsid w:val="007458C1"/>
    <w:rsid w:val="00745ABD"/>
    <w:rsid w:val="00745ABF"/>
    <w:rsid w:val="00745C27"/>
    <w:rsid w:val="00745E01"/>
    <w:rsid w:val="00746375"/>
    <w:rsid w:val="00746572"/>
    <w:rsid w:val="00746945"/>
    <w:rsid w:val="00746B17"/>
    <w:rsid w:val="00746B1C"/>
    <w:rsid w:val="00746B8F"/>
    <w:rsid w:val="00746CE7"/>
    <w:rsid w:val="0074733F"/>
    <w:rsid w:val="007473DD"/>
    <w:rsid w:val="0074741F"/>
    <w:rsid w:val="00747502"/>
    <w:rsid w:val="007475AA"/>
    <w:rsid w:val="0074774D"/>
    <w:rsid w:val="00747BDE"/>
    <w:rsid w:val="00747F98"/>
    <w:rsid w:val="00750038"/>
    <w:rsid w:val="00750811"/>
    <w:rsid w:val="0075089F"/>
    <w:rsid w:val="00750BC9"/>
    <w:rsid w:val="00750F71"/>
    <w:rsid w:val="0075105B"/>
    <w:rsid w:val="00751145"/>
    <w:rsid w:val="007511BA"/>
    <w:rsid w:val="007511F3"/>
    <w:rsid w:val="00751221"/>
    <w:rsid w:val="00751305"/>
    <w:rsid w:val="007513E7"/>
    <w:rsid w:val="00751561"/>
    <w:rsid w:val="007516A0"/>
    <w:rsid w:val="007517FF"/>
    <w:rsid w:val="00751D85"/>
    <w:rsid w:val="00751DAF"/>
    <w:rsid w:val="00751F48"/>
    <w:rsid w:val="00752155"/>
    <w:rsid w:val="0075282A"/>
    <w:rsid w:val="00752C47"/>
    <w:rsid w:val="00752D68"/>
    <w:rsid w:val="00752D6B"/>
    <w:rsid w:val="00752E70"/>
    <w:rsid w:val="0075349C"/>
    <w:rsid w:val="007535F6"/>
    <w:rsid w:val="00753638"/>
    <w:rsid w:val="007539E2"/>
    <w:rsid w:val="00753A75"/>
    <w:rsid w:val="00753C6D"/>
    <w:rsid w:val="00753D06"/>
    <w:rsid w:val="00753E2D"/>
    <w:rsid w:val="007542E9"/>
    <w:rsid w:val="00754333"/>
    <w:rsid w:val="0075447E"/>
    <w:rsid w:val="007546B3"/>
    <w:rsid w:val="007548D2"/>
    <w:rsid w:val="00754B4E"/>
    <w:rsid w:val="00754F34"/>
    <w:rsid w:val="00755322"/>
    <w:rsid w:val="0075572F"/>
    <w:rsid w:val="007557E8"/>
    <w:rsid w:val="00755F44"/>
    <w:rsid w:val="00755F99"/>
    <w:rsid w:val="007560FE"/>
    <w:rsid w:val="00756646"/>
    <w:rsid w:val="007566A6"/>
    <w:rsid w:val="0075677D"/>
    <w:rsid w:val="00756861"/>
    <w:rsid w:val="00756F07"/>
    <w:rsid w:val="007575F4"/>
    <w:rsid w:val="0075778D"/>
    <w:rsid w:val="0075783D"/>
    <w:rsid w:val="0075788F"/>
    <w:rsid w:val="007578BF"/>
    <w:rsid w:val="007601E7"/>
    <w:rsid w:val="0076071B"/>
    <w:rsid w:val="007608A5"/>
    <w:rsid w:val="00760AFE"/>
    <w:rsid w:val="00760CD7"/>
    <w:rsid w:val="0076129D"/>
    <w:rsid w:val="00761411"/>
    <w:rsid w:val="0076150D"/>
    <w:rsid w:val="00761572"/>
    <w:rsid w:val="00761668"/>
    <w:rsid w:val="00761727"/>
    <w:rsid w:val="007619D2"/>
    <w:rsid w:val="00761BF4"/>
    <w:rsid w:val="00761C45"/>
    <w:rsid w:val="00761E85"/>
    <w:rsid w:val="00761EC6"/>
    <w:rsid w:val="007621E9"/>
    <w:rsid w:val="007627AC"/>
    <w:rsid w:val="007629FC"/>
    <w:rsid w:val="00762ACE"/>
    <w:rsid w:val="00762CB8"/>
    <w:rsid w:val="00763028"/>
    <w:rsid w:val="007630CB"/>
    <w:rsid w:val="007633AA"/>
    <w:rsid w:val="00763512"/>
    <w:rsid w:val="00763E80"/>
    <w:rsid w:val="007642D4"/>
    <w:rsid w:val="00764423"/>
    <w:rsid w:val="007645DF"/>
    <w:rsid w:val="0076472E"/>
    <w:rsid w:val="00764917"/>
    <w:rsid w:val="00764933"/>
    <w:rsid w:val="00764941"/>
    <w:rsid w:val="00764B22"/>
    <w:rsid w:val="00764BFB"/>
    <w:rsid w:val="00764EA4"/>
    <w:rsid w:val="00764EF8"/>
    <w:rsid w:val="00765026"/>
    <w:rsid w:val="0076509B"/>
    <w:rsid w:val="0076514A"/>
    <w:rsid w:val="0076539F"/>
    <w:rsid w:val="007654A2"/>
    <w:rsid w:val="00765555"/>
    <w:rsid w:val="0076579E"/>
    <w:rsid w:val="00766319"/>
    <w:rsid w:val="0076636D"/>
    <w:rsid w:val="00766429"/>
    <w:rsid w:val="0076649C"/>
    <w:rsid w:val="00766540"/>
    <w:rsid w:val="007665AC"/>
    <w:rsid w:val="007668DF"/>
    <w:rsid w:val="00766B94"/>
    <w:rsid w:val="00766CBB"/>
    <w:rsid w:val="00766CD0"/>
    <w:rsid w:val="00766E8E"/>
    <w:rsid w:val="007672E0"/>
    <w:rsid w:val="0076796E"/>
    <w:rsid w:val="00770358"/>
    <w:rsid w:val="007704BE"/>
    <w:rsid w:val="0077054B"/>
    <w:rsid w:val="007709C5"/>
    <w:rsid w:val="00770A37"/>
    <w:rsid w:val="00770E02"/>
    <w:rsid w:val="0077109C"/>
    <w:rsid w:val="0077117A"/>
    <w:rsid w:val="007712FA"/>
    <w:rsid w:val="007712FB"/>
    <w:rsid w:val="007713B6"/>
    <w:rsid w:val="0077158A"/>
    <w:rsid w:val="0077158F"/>
    <w:rsid w:val="00771657"/>
    <w:rsid w:val="00771747"/>
    <w:rsid w:val="0077175E"/>
    <w:rsid w:val="00771999"/>
    <w:rsid w:val="00771D89"/>
    <w:rsid w:val="00771EBC"/>
    <w:rsid w:val="00771FF3"/>
    <w:rsid w:val="00772026"/>
    <w:rsid w:val="0077223A"/>
    <w:rsid w:val="007722F7"/>
    <w:rsid w:val="00772309"/>
    <w:rsid w:val="00772800"/>
    <w:rsid w:val="007728ED"/>
    <w:rsid w:val="00772B68"/>
    <w:rsid w:val="00772BDE"/>
    <w:rsid w:val="00772D65"/>
    <w:rsid w:val="00772F38"/>
    <w:rsid w:val="00772F80"/>
    <w:rsid w:val="00773184"/>
    <w:rsid w:val="007731B5"/>
    <w:rsid w:val="007731FF"/>
    <w:rsid w:val="007733BB"/>
    <w:rsid w:val="0077352A"/>
    <w:rsid w:val="00773596"/>
    <w:rsid w:val="007736CD"/>
    <w:rsid w:val="00773AC6"/>
    <w:rsid w:val="00773CD1"/>
    <w:rsid w:val="00773D83"/>
    <w:rsid w:val="00773DD1"/>
    <w:rsid w:val="00773E08"/>
    <w:rsid w:val="00774230"/>
    <w:rsid w:val="007743FC"/>
    <w:rsid w:val="0077495C"/>
    <w:rsid w:val="007749D9"/>
    <w:rsid w:val="00774A9B"/>
    <w:rsid w:val="00774C1E"/>
    <w:rsid w:val="0077525E"/>
    <w:rsid w:val="00775366"/>
    <w:rsid w:val="0077536B"/>
    <w:rsid w:val="00775480"/>
    <w:rsid w:val="007757C2"/>
    <w:rsid w:val="00775B37"/>
    <w:rsid w:val="00775C9B"/>
    <w:rsid w:val="00775E2E"/>
    <w:rsid w:val="00776053"/>
    <w:rsid w:val="007760AA"/>
    <w:rsid w:val="0077663E"/>
    <w:rsid w:val="00776D5D"/>
    <w:rsid w:val="0077714A"/>
    <w:rsid w:val="007775A7"/>
    <w:rsid w:val="007777A5"/>
    <w:rsid w:val="00777882"/>
    <w:rsid w:val="007779D4"/>
    <w:rsid w:val="00777A4C"/>
    <w:rsid w:val="00777C24"/>
    <w:rsid w:val="00777C57"/>
    <w:rsid w:val="00777CCF"/>
    <w:rsid w:val="00777D2C"/>
    <w:rsid w:val="00777D4F"/>
    <w:rsid w:val="00777D5D"/>
    <w:rsid w:val="00777DFB"/>
    <w:rsid w:val="00777F48"/>
    <w:rsid w:val="00777F7A"/>
    <w:rsid w:val="007804FE"/>
    <w:rsid w:val="0078055A"/>
    <w:rsid w:val="007805C4"/>
    <w:rsid w:val="007807F1"/>
    <w:rsid w:val="00780B27"/>
    <w:rsid w:val="00780B64"/>
    <w:rsid w:val="00780C0D"/>
    <w:rsid w:val="00780CDD"/>
    <w:rsid w:val="00780E8E"/>
    <w:rsid w:val="007810EC"/>
    <w:rsid w:val="0078111D"/>
    <w:rsid w:val="00781125"/>
    <w:rsid w:val="00781280"/>
    <w:rsid w:val="007812B8"/>
    <w:rsid w:val="007813B0"/>
    <w:rsid w:val="00781673"/>
    <w:rsid w:val="007816F7"/>
    <w:rsid w:val="00781791"/>
    <w:rsid w:val="00781828"/>
    <w:rsid w:val="00782019"/>
    <w:rsid w:val="007822D5"/>
    <w:rsid w:val="007824E7"/>
    <w:rsid w:val="00782563"/>
    <w:rsid w:val="00782A36"/>
    <w:rsid w:val="00782E79"/>
    <w:rsid w:val="00782F35"/>
    <w:rsid w:val="00782F9A"/>
    <w:rsid w:val="007833C6"/>
    <w:rsid w:val="00783489"/>
    <w:rsid w:val="007838D1"/>
    <w:rsid w:val="00783B1A"/>
    <w:rsid w:val="00783DED"/>
    <w:rsid w:val="00784320"/>
    <w:rsid w:val="007847CA"/>
    <w:rsid w:val="0078481B"/>
    <w:rsid w:val="00784909"/>
    <w:rsid w:val="00784BEF"/>
    <w:rsid w:val="00784D0F"/>
    <w:rsid w:val="0078522E"/>
    <w:rsid w:val="0078526C"/>
    <w:rsid w:val="007853E0"/>
    <w:rsid w:val="007853E7"/>
    <w:rsid w:val="0078551D"/>
    <w:rsid w:val="007856AD"/>
    <w:rsid w:val="007856BE"/>
    <w:rsid w:val="00785B1E"/>
    <w:rsid w:val="0078615A"/>
    <w:rsid w:val="00786235"/>
    <w:rsid w:val="00786491"/>
    <w:rsid w:val="007864CC"/>
    <w:rsid w:val="0078658A"/>
    <w:rsid w:val="00786664"/>
    <w:rsid w:val="00786AAF"/>
    <w:rsid w:val="00786CAC"/>
    <w:rsid w:val="00786CBB"/>
    <w:rsid w:val="007875CA"/>
    <w:rsid w:val="00787617"/>
    <w:rsid w:val="00787660"/>
    <w:rsid w:val="0078789C"/>
    <w:rsid w:val="00787CCE"/>
    <w:rsid w:val="0079026D"/>
    <w:rsid w:val="00790442"/>
    <w:rsid w:val="0079053D"/>
    <w:rsid w:val="007908CA"/>
    <w:rsid w:val="00790A69"/>
    <w:rsid w:val="00790B42"/>
    <w:rsid w:val="00790D19"/>
    <w:rsid w:val="007911FF"/>
    <w:rsid w:val="00791657"/>
    <w:rsid w:val="007916C7"/>
    <w:rsid w:val="00791919"/>
    <w:rsid w:val="00791B8E"/>
    <w:rsid w:val="00791CB6"/>
    <w:rsid w:val="00791F15"/>
    <w:rsid w:val="0079215C"/>
    <w:rsid w:val="007922A5"/>
    <w:rsid w:val="007922C3"/>
    <w:rsid w:val="00792397"/>
    <w:rsid w:val="00792876"/>
    <w:rsid w:val="00792A6E"/>
    <w:rsid w:val="00792D5B"/>
    <w:rsid w:val="00793536"/>
    <w:rsid w:val="0079377C"/>
    <w:rsid w:val="00793820"/>
    <w:rsid w:val="007939D1"/>
    <w:rsid w:val="00793C75"/>
    <w:rsid w:val="00793E92"/>
    <w:rsid w:val="0079411D"/>
    <w:rsid w:val="0079416B"/>
    <w:rsid w:val="007941C7"/>
    <w:rsid w:val="0079431F"/>
    <w:rsid w:val="007943B9"/>
    <w:rsid w:val="0079448C"/>
    <w:rsid w:val="0079452F"/>
    <w:rsid w:val="00794687"/>
    <w:rsid w:val="00794B98"/>
    <w:rsid w:val="00794F52"/>
    <w:rsid w:val="00794FB7"/>
    <w:rsid w:val="0079547D"/>
    <w:rsid w:val="00795618"/>
    <w:rsid w:val="0079563E"/>
    <w:rsid w:val="007956C5"/>
    <w:rsid w:val="0079590D"/>
    <w:rsid w:val="00795CA4"/>
    <w:rsid w:val="00795EC4"/>
    <w:rsid w:val="00796492"/>
    <w:rsid w:val="0079664C"/>
    <w:rsid w:val="00796753"/>
    <w:rsid w:val="0079695D"/>
    <w:rsid w:val="00796C88"/>
    <w:rsid w:val="00797551"/>
    <w:rsid w:val="00797709"/>
    <w:rsid w:val="00797740"/>
    <w:rsid w:val="00797AF3"/>
    <w:rsid w:val="00797C0B"/>
    <w:rsid w:val="00797F14"/>
    <w:rsid w:val="007A006B"/>
    <w:rsid w:val="007A0297"/>
    <w:rsid w:val="007A05E0"/>
    <w:rsid w:val="007A0773"/>
    <w:rsid w:val="007A09C8"/>
    <w:rsid w:val="007A0AB7"/>
    <w:rsid w:val="007A0AE7"/>
    <w:rsid w:val="007A0C1A"/>
    <w:rsid w:val="007A1272"/>
    <w:rsid w:val="007A136F"/>
    <w:rsid w:val="007A1495"/>
    <w:rsid w:val="007A1732"/>
    <w:rsid w:val="007A1BDC"/>
    <w:rsid w:val="007A200B"/>
    <w:rsid w:val="007A2514"/>
    <w:rsid w:val="007A2518"/>
    <w:rsid w:val="007A2613"/>
    <w:rsid w:val="007A27B6"/>
    <w:rsid w:val="007A284B"/>
    <w:rsid w:val="007A29A3"/>
    <w:rsid w:val="007A2AC5"/>
    <w:rsid w:val="007A2AD2"/>
    <w:rsid w:val="007A2AE8"/>
    <w:rsid w:val="007A31A4"/>
    <w:rsid w:val="007A3879"/>
    <w:rsid w:val="007A3C4D"/>
    <w:rsid w:val="007A3C57"/>
    <w:rsid w:val="007A3C86"/>
    <w:rsid w:val="007A3F16"/>
    <w:rsid w:val="007A4280"/>
    <w:rsid w:val="007A42D3"/>
    <w:rsid w:val="007A434A"/>
    <w:rsid w:val="007A43B6"/>
    <w:rsid w:val="007A4628"/>
    <w:rsid w:val="007A46EE"/>
    <w:rsid w:val="007A4A50"/>
    <w:rsid w:val="007A4E7C"/>
    <w:rsid w:val="007A511D"/>
    <w:rsid w:val="007A5184"/>
    <w:rsid w:val="007A520C"/>
    <w:rsid w:val="007A534A"/>
    <w:rsid w:val="007A541F"/>
    <w:rsid w:val="007A56FE"/>
    <w:rsid w:val="007A590A"/>
    <w:rsid w:val="007A5987"/>
    <w:rsid w:val="007A5A82"/>
    <w:rsid w:val="007A5B22"/>
    <w:rsid w:val="007A6152"/>
    <w:rsid w:val="007A6DF9"/>
    <w:rsid w:val="007A709E"/>
    <w:rsid w:val="007A7388"/>
    <w:rsid w:val="007A787A"/>
    <w:rsid w:val="007A7AA6"/>
    <w:rsid w:val="007A7CE9"/>
    <w:rsid w:val="007A7D98"/>
    <w:rsid w:val="007B07D4"/>
    <w:rsid w:val="007B07DA"/>
    <w:rsid w:val="007B08B1"/>
    <w:rsid w:val="007B0A12"/>
    <w:rsid w:val="007B0A78"/>
    <w:rsid w:val="007B0BF2"/>
    <w:rsid w:val="007B0E61"/>
    <w:rsid w:val="007B1096"/>
    <w:rsid w:val="007B1397"/>
    <w:rsid w:val="007B148C"/>
    <w:rsid w:val="007B1E7C"/>
    <w:rsid w:val="007B1F1F"/>
    <w:rsid w:val="007B1F87"/>
    <w:rsid w:val="007B1FDA"/>
    <w:rsid w:val="007B2000"/>
    <w:rsid w:val="007B2205"/>
    <w:rsid w:val="007B226A"/>
    <w:rsid w:val="007B22B3"/>
    <w:rsid w:val="007B28D6"/>
    <w:rsid w:val="007B2A70"/>
    <w:rsid w:val="007B2CD7"/>
    <w:rsid w:val="007B305A"/>
    <w:rsid w:val="007B3607"/>
    <w:rsid w:val="007B37C1"/>
    <w:rsid w:val="007B3AE0"/>
    <w:rsid w:val="007B406D"/>
    <w:rsid w:val="007B413E"/>
    <w:rsid w:val="007B43F2"/>
    <w:rsid w:val="007B453B"/>
    <w:rsid w:val="007B45EE"/>
    <w:rsid w:val="007B46C0"/>
    <w:rsid w:val="007B475F"/>
    <w:rsid w:val="007B4A64"/>
    <w:rsid w:val="007B4B55"/>
    <w:rsid w:val="007B4DD7"/>
    <w:rsid w:val="007B534C"/>
    <w:rsid w:val="007B56D3"/>
    <w:rsid w:val="007B5970"/>
    <w:rsid w:val="007B5AD7"/>
    <w:rsid w:val="007B5C8A"/>
    <w:rsid w:val="007B5CF3"/>
    <w:rsid w:val="007B6105"/>
    <w:rsid w:val="007B6268"/>
    <w:rsid w:val="007B64FD"/>
    <w:rsid w:val="007B6591"/>
    <w:rsid w:val="007B664F"/>
    <w:rsid w:val="007B690C"/>
    <w:rsid w:val="007B6DFF"/>
    <w:rsid w:val="007B6F08"/>
    <w:rsid w:val="007B70B9"/>
    <w:rsid w:val="007B732A"/>
    <w:rsid w:val="007B751D"/>
    <w:rsid w:val="007B757D"/>
    <w:rsid w:val="007B767D"/>
    <w:rsid w:val="007B7A7B"/>
    <w:rsid w:val="007B7D22"/>
    <w:rsid w:val="007B7E1C"/>
    <w:rsid w:val="007C009F"/>
    <w:rsid w:val="007C03BE"/>
    <w:rsid w:val="007C0775"/>
    <w:rsid w:val="007C0785"/>
    <w:rsid w:val="007C08AE"/>
    <w:rsid w:val="007C08F9"/>
    <w:rsid w:val="007C0B7E"/>
    <w:rsid w:val="007C10F8"/>
    <w:rsid w:val="007C1175"/>
    <w:rsid w:val="007C1278"/>
    <w:rsid w:val="007C12CB"/>
    <w:rsid w:val="007C12F1"/>
    <w:rsid w:val="007C1605"/>
    <w:rsid w:val="007C16E4"/>
    <w:rsid w:val="007C1953"/>
    <w:rsid w:val="007C267F"/>
    <w:rsid w:val="007C2848"/>
    <w:rsid w:val="007C29B0"/>
    <w:rsid w:val="007C2ACA"/>
    <w:rsid w:val="007C2AD6"/>
    <w:rsid w:val="007C2F39"/>
    <w:rsid w:val="007C3219"/>
    <w:rsid w:val="007C352E"/>
    <w:rsid w:val="007C3A9F"/>
    <w:rsid w:val="007C3C20"/>
    <w:rsid w:val="007C3F67"/>
    <w:rsid w:val="007C4296"/>
    <w:rsid w:val="007C42C4"/>
    <w:rsid w:val="007C4330"/>
    <w:rsid w:val="007C446A"/>
    <w:rsid w:val="007C44F0"/>
    <w:rsid w:val="007C4523"/>
    <w:rsid w:val="007C4566"/>
    <w:rsid w:val="007C46D0"/>
    <w:rsid w:val="007C4735"/>
    <w:rsid w:val="007C47AB"/>
    <w:rsid w:val="007C4809"/>
    <w:rsid w:val="007C486B"/>
    <w:rsid w:val="007C4ACA"/>
    <w:rsid w:val="007C4B96"/>
    <w:rsid w:val="007C4CD6"/>
    <w:rsid w:val="007C4E10"/>
    <w:rsid w:val="007C5122"/>
    <w:rsid w:val="007C52B7"/>
    <w:rsid w:val="007C52BE"/>
    <w:rsid w:val="007C557F"/>
    <w:rsid w:val="007C5725"/>
    <w:rsid w:val="007C57D1"/>
    <w:rsid w:val="007C59EC"/>
    <w:rsid w:val="007C5C8C"/>
    <w:rsid w:val="007C5E43"/>
    <w:rsid w:val="007C5E6C"/>
    <w:rsid w:val="007C5FA4"/>
    <w:rsid w:val="007C60E3"/>
    <w:rsid w:val="007C611C"/>
    <w:rsid w:val="007C6167"/>
    <w:rsid w:val="007C6292"/>
    <w:rsid w:val="007C672A"/>
    <w:rsid w:val="007C67F5"/>
    <w:rsid w:val="007C6DDF"/>
    <w:rsid w:val="007C6EEC"/>
    <w:rsid w:val="007C6F6F"/>
    <w:rsid w:val="007C6FAA"/>
    <w:rsid w:val="007C6FC0"/>
    <w:rsid w:val="007C7044"/>
    <w:rsid w:val="007C70F6"/>
    <w:rsid w:val="007C73E1"/>
    <w:rsid w:val="007C76CF"/>
    <w:rsid w:val="007C77E5"/>
    <w:rsid w:val="007C78A0"/>
    <w:rsid w:val="007C78DC"/>
    <w:rsid w:val="007C7AB7"/>
    <w:rsid w:val="007C7D28"/>
    <w:rsid w:val="007C7D2B"/>
    <w:rsid w:val="007C7D65"/>
    <w:rsid w:val="007C7DDC"/>
    <w:rsid w:val="007D009B"/>
    <w:rsid w:val="007D0259"/>
    <w:rsid w:val="007D084E"/>
    <w:rsid w:val="007D0866"/>
    <w:rsid w:val="007D08A1"/>
    <w:rsid w:val="007D0929"/>
    <w:rsid w:val="007D0AA9"/>
    <w:rsid w:val="007D0E70"/>
    <w:rsid w:val="007D0F08"/>
    <w:rsid w:val="007D12ED"/>
    <w:rsid w:val="007D13A3"/>
    <w:rsid w:val="007D1436"/>
    <w:rsid w:val="007D18FB"/>
    <w:rsid w:val="007D1CB0"/>
    <w:rsid w:val="007D21AD"/>
    <w:rsid w:val="007D220F"/>
    <w:rsid w:val="007D22FC"/>
    <w:rsid w:val="007D23DF"/>
    <w:rsid w:val="007D254C"/>
    <w:rsid w:val="007D28B5"/>
    <w:rsid w:val="007D2AE7"/>
    <w:rsid w:val="007D2B7C"/>
    <w:rsid w:val="007D2E75"/>
    <w:rsid w:val="007D2F3B"/>
    <w:rsid w:val="007D306A"/>
    <w:rsid w:val="007D328C"/>
    <w:rsid w:val="007D3803"/>
    <w:rsid w:val="007D3CE5"/>
    <w:rsid w:val="007D3ED1"/>
    <w:rsid w:val="007D3FCE"/>
    <w:rsid w:val="007D40EC"/>
    <w:rsid w:val="007D41AE"/>
    <w:rsid w:val="007D4251"/>
    <w:rsid w:val="007D42F2"/>
    <w:rsid w:val="007D43A5"/>
    <w:rsid w:val="007D48C7"/>
    <w:rsid w:val="007D4AF3"/>
    <w:rsid w:val="007D5882"/>
    <w:rsid w:val="007D5C70"/>
    <w:rsid w:val="007D5C7E"/>
    <w:rsid w:val="007D6077"/>
    <w:rsid w:val="007D6349"/>
    <w:rsid w:val="007D63C4"/>
    <w:rsid w:val="007D6B2B"/>
    <w:rsid w:val="007D6B81"/>
    <w:rsid w:val="007D742D"/>
    <w:rsid w:val="007D7472"/>
    <w:rsid w:val="007D756A"/>
    <w:rsid w:val="007D7574"/>
    <w:rsid w:val="007D7920"/>
    <w:rsid w:val="007D7BBD"/>
    <w:rsid w:val="007D7F82"/>
    <w:rsid w:val="007E0215"/>
    <w:rsid w:val="007E0301"/>
    <w:rsid w:val="007E05B9"/>
    <w:rsid w:val="007E0866"/>
    <w:rsid w:val="007E0AC3"/>
    <w:rsid w:val="007E13D1"/>
    <w:rsid w:val="007E1454"/>
    <w:rsid w:val="007E1591"/>
    <w:rsid w:val="007E17C5"/>
    <w:rsid w:val="007E18DD"/>
    <w:rsid w:val="007E1A78"/>
    <w:rsid w:val="007E1B59"/>
    <w:rsid w:val="007E1C7C"/>
    <w:rsid w:val="007E1D5E"/>
    <w:rsid w:val="007E1DE6"/>
    <w:rsid w:val="007E1EE2"/>
    <w:rsid w:val="007E218F"/>
    <w:rsid w:val="007E22BA"/>
    <w:rsid w:val="007E281A"/>
    <w:rsid w:val="007E28F5"/>
    <w:rsid w:val="007E28FB"/>
    <w:rsid w:val="007E2942"/>
    <w:rsid w:val="007E2BC4"/>
    <w:rsid w:val="007E2D03"/>
    <w:rsid w:val="007E38B5"/>
    <w:rsid w:val="007E4028"/>
    <w:rsid w:val="007E419A"/>
    <w:rsid w:val="007E4253"/>
    <w:rsid w:val="007E4272"/>
    <w:rsid w:val="007E45A3"/>
    <w:rsid w:val="007E478C"/>
    <w:rsid w:val="007E48D5"/>
    <w:rsid w:val="007E4933"/>
    <w:rsid w:val="007E4A66"/>
    <w:rsid w:val="007E4C0B"/>
    <w:rsid w:val="007E4F2C"/>
    <w:rsid w:val="007E4F8F"/>
    <w:rsid w:val="007E5083"/>
    <w:rsid w:val="007E5094"/>
    <w:rsid w:val="007E51DD"/>
    <w:rsid w:val="007E56EA"/>
    <w:rsid w:val="007E5AD5"/>
    <w:rsid w:val="007E5EAC"/>
    <w:rsid w:val="007E610C"/>
    <w:rsid w:val="007E61E5"/>
    <w:rsid w:val="007E62CD"/>
    <w:rsid w:val="007E6325"/>
    <w:rsid w:val="007E63CF"/>
    <w:rsid w:val="007E6712"/>
    <w:rsid w:val="007E6786"/>
    <w:rsid w:val="007E683C"/>
    <w:rsid w:val="007E687C"/>
    <w:rsid w:val="007E6C5A"/>
    <w:rsid w:val="007E6E4C"/>
    <w:rsid w:val="007E6EDE"/>
    <w:rsid w:val="007E726C"/>
    <w:rsid w:val="007E7AB8"/>
    <w:rsid w:val="007E7B2B"/>
    <w:rsid w:val="007E7BE6"/>
    <w:rsid w:val="007E7DF9"/>
    <w:rsid w:val="007F0163"/>
    <w:rsid w:val="007F0344"/>
    <w:rsid w:val="007F05A4"/>
    <w:rsid w:val="007F06B2"/>
    <w:rsid w:val="007F06F8"/>
    <w:rsid w:val="007F08FA"/>
    <w:rsid w:val="007F09F0"/>
    <w:rsid w:val="007F0AA4"/>
    <w:rsid w:val="007F0BF1"/>
    <w:rsid w:val="007F0CAF"/>
    <w:rsid w:val="007F0E56"/>
    <w:rsid w:val="007F137B"/>
    <w:rsid w:val="007F1C18"/>
    <w:rsid w:val="007F1C9D"/>
    <w:rsid w:val="007F1E47"/>
    <w:rsid w:val="007F2067"/>
    <w:rsid w:val="007F2557"/>
    <w:rsid w:val="007F2962"/>
    <w:rsid w:val="007F2A4B"/>
    <w:rsid w:val="007F2BB4"/>
    <w:rsid w:val="007F2C6B"/>
    <w:rsid w:val="007F2F93"/>
    <w:rsid w:val="007F35A5"/>
    <w:rsid w:val="007F3ED1"/>
    <w:rsid w:val="007F3F62"/>
    <w:rsid w:val="007F421C"/>
    <w:rsid w:val="007F42EF"/>
    <w:rsid w:val="007F4396"/>
    <w:rsid w:val="007F43C2"/>
    <w:rsid w:val="007F4569"/>
    <w:rsid w:val="007F4712"/>
    <w:rsid w:val="007F4876"/>
    <w:rsid w:val="007F4A74"/>
    <w:rsid w:val="007F4B2B"/>
    <w:rsid w:val="007F4C49"/>
    <w:rsid w:val="007F50B3"/>
    <w:rsid w:val="007F54F7"/>
    <w:rsid w:val="007F5613"/>
    <w:rsid w:val="007F58E1"/>
    <w:rsid w:val="007F5945"/>
    <w:rsid w:val="007F59F9"/>
    <w:rsid w:val="007F5A8C"/>
    <w:rsid w:val="007F5CFF"/>
    <w:rsid w:val="007F5DB9"/>
    <w:rsid w:val="007F5E91"/>
    <w:rsid w:val="007F5FD9"/>
    <w:rsid w:val="007F6423"/>
    <w:rsid w:val="007F64F4"/>
    <w:rsid w:val="007F679F"/>
    <w:rsid w:val="007F70D4"/>
    <w:rsid w:val="007F70DA"/>
    <w:rsid w:val="007F7664"/>
    <w:rsid w:val="007F7A80"/>
    <w:rsid w:val="007F7C08"/>
    <w:rsid w:val="008002BB"/>
    <w:rsid w:val="008003CA"/>
    <w:rsid w:val="008005FC"/>
    <w:rsid w:val="00800DCB"/>
    <w:rsid w:val="00800F67"/>
    <w:rsid w:val="00801268"/>
    <w:rsid w:val="008013D8"/>
    <w:rsid w:val="008014CE"/>
    <w:rsid w:val="0080152C"/>
    <w:rsid w:val="00801695"/>
    <w:rsid w:val="00801A28"/>
    <w:rsid w:val="00801B43"/>
    <w:rsid w:val="00801EAB"/>
    <w:rsid w:val="00801ED5"/>
    <w:rsid w:val="0080204F"/>
    <w:rsid w:val="00802091"/>
    <w:rsid w:val="00802119"/>
    <w:rsid w:val="008022FA"/>
    <w:rsid w:val="00802833"/>
    <w:rsid w:val="00802FD1"/>
    <w:rsid w:val="008030A1"/>
    <w:rsid w:val="008030B1"/>
    <w:rsid w:val="0080314E"/>
    <w:rsid w:val="0080316C"/>
    <w:rsid w:val="008034F5"/>
    <w:rsid w:val="008035F9"/>
    <w:rsid w:val="008038AA"/>
    <w:rsid w:val="00803A95"/>
    <w:rsid w:val="00804662"/>
    <w:rsid w:val="00804C23"/>
    <w:rsid w:val="00804D97"/>
    <w:rsid w:val="00805122"/>
    <w:rsid w:val="0080517D"/>
    <w:rsid w:val="00805240"/>
    <w:rsid w:val="00805B20"/>
    <w:rsid w:val="00805CF0"/>
    <w:rsid w:val="00805F4B"/>
    <w:rsid w:val="00805F9F"/>
    <w:rsid w:val="00806117"/>
    <w:rsid w:val="008061F4"/>
    <w:rsid w:val="0080622A"/>
    <w:rsid w:val="0080679E"/>
    <w:rsid w:val="008067E2"/>
    <w:rsid w:val="0080680C"/>
    <w:rsid w:val="00806841"/>
    <w:rsid w:val="00806903"/>
    <w:rsid w:val="00806A0C"/>
    <w:rsid w:val="00806A88"/>
    <w:rsid w:val="00806B63"/>
    <w:rsid w:val="00806F68"/>
    <w:rsid w:val="00806F6A"/>
    <w:rsid w:val="008070B3"/>
    <w:rsid w:val="00807122"/>
    <w:rsid w:val="00807130"/>
    <w:rsid w:val="008073A2"/>
    <w:rsid w:val="008075C4"/>
    <w:rsid w:val="0080775E"/>
    <w:rsid w:val="00807805"/>
    <w:rsid w:val="008078B8"/>
    <w:rsid w:val="00807C7F"/>
    <w:rsid w:val="00807CCB"/>
    <w:rsid w:val="00807CF1"/>
    <w:rsid w:val="00807E73"/>
    <w:rsid w:val="00807F1F"/>
    <w:rsid w:val="00807FBE"/>
    <w:rsid w:val="00807FC3"/>
    <w:rsid w:val="008101FB"/>
    <w:rsid w:val="008104D8"/>
    <w:rsid w:val="008109E5"/>
    <w:rsid w:val="00810A5D"/>
    <w:rsid w:val="00810D9C"/>
    <w:rsid w:val="00810E26"/>
    <w:rsid w:val="00810E32"/>
    <w:rsid w:val="0081131C"/>
    <w:rsid w:val="008113E2"/>
    <w:rsid w:val="0081163E"/>
    <w:rsid w:val="00811B15"/>
    <w:rsid w:val="00811B88"/>
    <w:rsid w:val="00811F9E"/>
    <w:rsid w:val="0081266F"/>
    <w:rsid w:val="00812D3D"/>
    <w:rsid w:val="00812F87"/>
    <w:rsid w:val="0081304E"/>
    <w:rsid w:val="008130C7"/>
    <w:rsid w:val="008133A1"/>
    <w:rsid w:val="0081369E"/>
    <w:rsid w:val="008137FB"/>
    <w:rsid w:val="00813BF7"/>
    <w:rsid w:val="00813D79"/>
    <w:rsid w:val="0081411C"/>
    <w:rsid w:val="008145A5"/>
    <w:rsid w:val="0081480E"/>
    <w:rsid w:val="00814967"/>
    <w:rsid w:val="00814B2D"/>
    <w:rsid w:val="00814BAD"/>
    <w:rsid w:val="00814D22"/>
    <w:rsid w:val="008152A5"/>
    <w:rsid w:val="00815465"/>
    <w:rsid w:val="008155D3"/>
    <w:rsid w:val="0081588E"/>
    <w:rsid w:val="00815A54"/>
    <w:rsid w:val="00815CC7"/>
    <w:rsid w:val="00815D60"/>
    <w:rsid w:val="008161A4"/>
    <w:rsid w:val="0081649F"/>
    <w:rsid w:val="00816851"/>
    <w:rsid w:val="0081696E"/>
    <w:rsid w:val="00816ADC"/>
    <w:rsid w:val="00816B42"/>
    <w:rsid w:val="00816BBC"/>
    <w:rsid w:val="00816D37"/>
    <w:rsid w:val="00816D3A"/>
    <w:rsid w:val="00816D75"/>
    <w:rsid w:val="00817DE9"/>
    <w:rsid w:val="00817EE7"/>
    <w:rsid w:val="00820175"/>
    <w:rsid w:val="0082034A"/>
    <w:rsid w:val="0082046D"/>
    <w:rsid w:val="008206EB"/>
    <w:rsid w:val="00820C12"/>
    <w:rsid w:val="00820C90"/>
    <w:rsid w:val="00820CC0"/>
    <w:rsid w:val="00820D58"/>
    <w:rsid w:val="008210CE"/>
    <w:rsid w:val="00821570"/>
    <w:rsid w:val="0082177E"/>
    <w:rsid w:val="00821785"/>
    <w:rsid w:val="00821795"/>
    <w:rsid w:val="00821B63"/>
    <w:rsid w:val="00821D81"/>
    <w:rsid w:val="0082209C"/>
    <w:rsid w:val="00822182"/>
    <w:rsid w:val="00822443"/>
    <w:rsid w:val="008224C4"/>
    <w:rsid w:val="0082289E"/>
    <w:rsid w:val="00822936"/>
    <w:rsid w:val="00822941"/>
    <w:rsid w:val="00822C4C"/>
    <w:rsid w:val="008230BF"/>
    <w:rsid w:val="0082319A"/>
    <w:rsid w:val="0082333B"/>
    <w:rsid w:val="00823417"/>
    <w:rsid w:val="0082361B"/>
    <w:rsid w:val="0082378D"/>
    <w:rsid w:val="00823A54"/>
    <w:rsid w:val="00823C1C"/>
    <w:rsid w:val="0082414F"/>
    <w:rsid w:val="00824208"/>
    <w:rsid w:val="008243B5"/>
    <w:rsid w:val="00824480"/>
    <w:rsid w:val="008244AA"/>
    <w:rsid w:val="008245CF"/>
    <w:rsid w:val="008247E3"/>
    <w:rsid w:val="008248D5"/>
    <w:rsid w:val="00824D2B"/>
    <w:rsid w:val="00824DEF"/>
    <w:rsid w:val="008250D9"/>
    <w:rsid w:val="00825296"/>
    <w:rsid w:val="008252F3"/>
    <w:rsid w:val="00825449"/>
    <w:rsid w:val="008258A6"/>
    <w:rsid w:val="00825E37"/>
    <w:rsid w:val="008260A4"/>
    <w:rsid w:val="0082616B"/>
    <w:rsid w:val="008261F4"/>
    <w:rsid w:val="008265D8"/>
    <w:rsid w:val="008265EA"/>
    <w:rsid w:val="0082679B"/>
    <w:rsid w:val="008267CE"/>
    <w:rsid w:val="00826B4C"/>
    <w:rsid w:val="00826DE0"/>
    <w:rsid w:val="00827284"/>
    <w:rsid w:val="00827359"/>
    <w:rsid w:val="00827BB8"/>
    <w:rsid w:val="00827C49"/>
    <w:rsid w:val="00827F68"/>
    <w:rsid w:val="00830572"/>
    <w:rsid w:val="008306EB"/>
    <w:rsid w:val="00830803"/>
    <w:rsid w:val="008308B3"/>
    <w:rsid w:val="00830A11"/>
    <w:rsid w:val="00830BA7"/>
    <w:rsid w:val="00830CFC"/>
    <w:rsid w:val="00830DDB"/>
    <w:rsid w:val="00831374"/>
    <w:rsid w:val="00831C6D"/>
    <w:rsid w:val="00831D5C"/>
    <w:rsid w:val="00831F4F"/>
    <w:rsid w:val="0083276A"/>
    <w:rsid w:val="0083282A"/>
    <w:rsid w:val="00832A72"/>
    <w:rsid w:val="00832F96"/>
    <w:rsid w:val="00833000"/>
    <w:rsid w:val="00833043"/>
    <w:rsid w:val="0083307F"/>
    <w:rsid w:val="00833733"/>
    <w:rsid w:val="008339A8"/>
    <w:rsid w:val="00833AFB"/>
    <w:rsid w:val="00833BB4"/>
    <w:rsid w:val="00833C18"/>
    <w:rsid w:val="00833D03"/>
    <w:rsid w:val="00833E3F"/>
    <w:rsid w:val="0083407E"/>
    <w:rsid w:val="008342FB"/>
    <w:rsid w:val="00834CB1"/>
    <w:rsid w:val="00835587"/>
    <w:rsid w:val="008355F6"/>
    <w:rsid w:val="008356B6"/>
    <w:rsid w:val="0083571D"/>
    <w:rsid w:val="008357A1"/>
    <w:rsid w:val="008359AC"/>
    <w:rsid w:val="008359D0"/>
    <w:rsid w:val="00835F7F"/>
    <w:rsid w:val="008362DC"/>
    <w:rsid w:val="00836567"/>
    <w:rsid w:val="00836574"/>
    <w:rsid w:val="008367F3"/>
    <w:rsid w:val="0083690A"/>
    <w:rsid w:val="00836BFA"/>
    <w:rsid w:val="00836DE2"/>
    <w:rsid w:val="00837024"/>
    <w:rsid w:val="0083734D"/>
    <w:rsid w:val="00837520"/>
    <w:rsid w:val="008378B0"/>
    <w:rsid w:val="00837AEE"/>
    <w:rsid w:val="00837F53"/>
    <w:rsid w:val="00837F97"/>
    <w:rsid w:val="0084017D"/>
    <w:rsid w:val="008402C2"/>
    <w:rsid w:val="00840320"/>
    <w:rsid w:val="00840642"/>
    <w:rsid w:val="008407BE"/>
    <w:rsid w:val="008408C6"/>
    <w:rsid w:val="00840996"/>
    <w:rsid w:val="008409C8"/>
    <w:rsid w:val="00840C2D"/>
    <w:rsid w:val="00840C79"/>
    <w:rsid w:val="00840E66"/>
    <w:rsid w:val="00841153"/>
    <w:rsid w:val="0084138A"/>
    <w:rsid w:val="00841429"/>
    <w:rsid w:val="008414B2"/>
    <w:rsid w:val="0084153A"/>
    <w:rsid w:val="00841590"/>
    <w:rsid w:val="00841679"/>
    <w:rsid w:val="00841869"/>
    <w:rsid w:val="00841873"/>
    <w:rsid w:val="008418FA"/>
    <w:rsid w:val="00841BA2"/>
    <w:rsid w:val="00841E37"/>
    <w:rsid w:val="00841F15"/>
    <w:rsid w:val="00841F41"/>
    <w:rsid w:val="00841FC2"/>
    <w:rsid w:val="0084241C"/>
    <w:rsid w:val="00842598"/>
    <w:rsid w:val="00842B3F"/>
    <w:rsid w:val="00842C7C"/>
    <w:rsid w:val="00842CA3"/>
    <w:rsid w:val="00842DB5"/>
    <w:rsid w:val="00842E0F"/>
    <w:rsid w:val="0084317B"/>
    <w:rsid w:val="008432A0"/>
    <w:rsid w:val="008432F6"/>
    <w:rsid w:val="00843776"/>
    <w:rsid w:val="00843C9C"/>
    <w:rsid w:val="00843EA6"/>
    <w:rsid w:val="00843FCD"/>
    <w:rsid w:val="00844039"/>
    <w:rsid w:val="008445A2"/>
    <w:rsid w:val="008448FB"/>
    <w:rsid w:val="008449BD"/>
    <w:rsid w:val="008449EB"/>
    <w:rsid w:val="00844BC8"/>
    <w:rsid w:val="00844EB5"/>
    <w:rsid w:val="00845494"/>
    <w:rsid w:val="00845691"/>
    <w:rsid w:val="008456CC"/>
    <w:rsid w:val="008456EC"/>
    <w:rsid w:val="008459F7"/>
    <w:rsid w:val="00845A1C"/>
    <w:rsid w:val="00845AAE"/>
    <w:rsid w:val="00845AB0"/>
    <w:rsid w:val="00845D17"/>
    <w:rsid w:val="00845E2B"/>
    <w:rsid w:val="00845EA3"/>
    <w:rsid w:val="008463EE"/>
    <w:rsid w:val="008465F9"/>
    <w:rsid w:val="008467BA"/>
    <w:rsid w:val="0084685B"/>
    <w:rsid w:val="00846C1B"/>
    <w:rsid w:val="008474E4"/>
    <w:rsid w:val="008477DF"/>
    <w:rsid w:val="0084782C"/>
    <w:rsid w:val="008479BC"/>
    <w:rsid w:val="00847D7B"/>
    <w:rsid w:val="008505A9"/>
    <w:rsid w:val="008507E4"/>
    <w:rsid w:val="00850982"/>
    <w:rsid w:val="00850EA5"/>
    <w:rsid w:val="008510EE"/>
    <w:rsid w:val="00851172"/>
    <w:rsid w:val="00851371"/>
    <w:rsid w:val="0085141A"/>
    <w:rsid w:val="008515B3"/>
    <w:rsid w:val="00851E45"/>
    <w:rsid w:val="00852045"/>
    <w:rsid w:val="008521EA"/>
    <w:rsid w:val="00852379"/>
    <w:rsid w:val="00852535"/>
    <w:rsid w:val="0085255D"/>
    <w:rsid w:val="008525EE"/>
    <w:rsid w:val="00852674"/>
    <w:rsid w:val="00852916"/>
    <w:rsid w:val="00852A6B"/>
    <w:rsid w:val="0085362F"/>
    <w:rsid w:val="008536DA"/>
    <w:rsid w:val="0085373C"/>
    <w:rsid w:val="0085379F"/>
    <w:rsid w:val="00853831"/>
    <w:rsid w:val="008538DF"/>
    <w:rsid w:val="00853A47"/>
    <w:rsid w:val="00853B06"/>
    <w:rsid w:val="00853E44"/>
    <w:rsid w:val="008544FD"/>
    <w:rsid w:val="008548AE"/>
    <w:rsid w:val="008548D7"/>
    <w:rsid w:val="008549F8"/>
    <w:rsid w:val="00854B08"/>
    <w:rsid w:val="00854C0B"/>
    <w:rsid w:val="00854DAA"/>
    <w:rsid w:val="00854E17"/>
    <w:rsid w:val="008550F1"/>
    <w:rsid w:val="0085511E"/>
    <w:rsid w:val="0085515F"/>
    <w:rsid w:val="00855173"/>
    <w:rsid w:val="008551E2"/>
    <w:rsid w:val="008554C6"/>
    <w:rsid w:val="00855503"/>
    <w:rsid w:val="0085557E"/>
    <w:rsid w:val="00855649"/>
    <w:rsid w:val="00855847"/>
    <w:rsid w:val="00855AAB"/>
    <w:rsid w:val="00855C8F"/>
    <w:rsid w:val="00855DB3"/>
    <w:rsid w:val="00855DED"/>
    <w:rsid w:val="00855E41"/>
    <w:rsid w:val="00855F10"/>
    <w:rsid w:val="008560F0"/>
    <w:rsid w:val="00856308"/>
    <w:rsid w:val="008566E5"/>
    <w:rsid w:val="00856BDD"/>
    <w:rsid w:val="00856E1A"/>
    <w:rsid w:val="00856E4E"/>
    <w:rsid w:val="00856FBA"/>
    <w:rsid w:val="008571F2"/>
    <w:rsid w:val="00857224"/>
    <w:rsid w:val="008573D5"/>
    <w:rsid w:val="008577C2"/>
    <w:rsid w:val="00857A55"/>
    <w:rsid w:val="00857D6F"/>
    <w:rsid w:val="00857FF8"/>
    <w:rsid w:val="0086011B"/>
    <w:rsid w:val="00860598"/>
    <w:rsid w:val="00860E3A"/>
    <w:rsid w:val="00860FED"/>
    <w:rsid w:val="0086107E"/>
    <w:rsid w:val="00861121"/>
    <w:rsid w:val="00861395"/>
    <w:rsid w:val="00861516"/>
    <w:rsid w:val="0086157B"/>
    <w:rsid w:val="00861B04"/>
    <w:rsid w:val="00861FEC"/>
    <w:rsid w:val="008621F0"/>
    <w:rsid w:val="00862237"/>
    <w:rsid w:val="008622C6"/>
    <w:rsid w:val="0086236B"/>
    <w:rsid w:val="00862515"/>
    <w:rsid w:val="0086253F"/>
    <w:rsid w:val="0086260A"/>
    <w:rsid w:val="008626F9"/>
    <w:rsid w:val="0086277E"/>
    <w:rsid w:val="00862837"/>
    <w:rsid w:val="008628B6"/>
    <w:rsid w:val="00862ABC"/>
    <w:rsid w:val="00862C11"/>
    <w:rsid w:val="00862CF1"/>
    <w:rsid w:val="00862FB3"/>
    <w:rsid w:val="00863254"/>
    <w:rsid w:val="0086332D"/>
    <w:rsid w:val="00863467"/>
    <w:rsid w:val="0086347A"/>
    <w:rsid w:val="00863614"/>
    <w:rsid w:val="008636F0"/>
    <w:rsid w:val="008637A7"/>
    <w:rsid w:val="00863C00"/>
    <w:rsid w:val="00864390"/>
    <w:rsid w:val="00864646"/>
    <w:rsid w:val="00864852"/>
    <w:rsid w:val="008649FB"/>
    <w:rsid w:val="00864BB1"/>
    <w:rsid w:val="00864D84"/>
    <w:rsid w:val="00865252"/>
    <w:rsid w:val="00865584"/>
    <w:rsid w:val="00865625"/>
    <w:rsid w:val="00865950"/>
    <w:rsid w:val="0086598B"/>
    <w:rsid w:val="00865C5D"/>
    <w:rsid w:val="00865CD8"/>
    <w:rsid w:val="00865D1F"/>
    <w:rsid w:val="00865D40"/>
    <w:rsid w:val="00865ED9"/>
    <w:rsid w:val="00866492"/>
    <w:rsid w:val="008667F9"/>
    <w:rsid w:val="00866C7F"/>
    <w:rsid w:val="008672A7"/>
    <w:rsid w:val="008672F0"/>
    <w:rsid w:val="00867618"/>
    <w:rsid w:val="0086779B"/>
    <w:rsid w:val="008678A3"/>
    <w:rsid w:val="00867B01"/>
    <w:rsid w:val="00867B7A"/>
    <w:rsid w:val="00867BEA"/>
    <w:rsid w:val="00867D08"/>
    <w:rsid w:val="00870108"/>
    <w:rsid w:val="00870178"/>
    <w:rsid w:val="0087018B"/>
    <w:rsid w:val="0087020E"/>
    <w:rsid w:val="00870306"/>
    <w:rsid w:val="00870459"/>
    <w:rsid w:val="0087062B"/>
    <w:rsid w:val="00870B20"/>
    <w:rsid w:val="00870D90"/>
    <w:rsid w:val="00870DD7"/>
    <w:rsid w:val="00870F08"/>
    <w:rsid w:val="00870F6A"/>
    <w:rsid w:val="00870F83"/>
    <w:rsid w:val="008711E4"/>
    <w:rsid w:val="008712A8"/>
    <w:rsid w:val="00871401"/>
    <w:rsid w:val="0087149E"/>
    <w:rsid w:val="008714F0"/>
    <w:rsid w:val="008714FC"/>
    <w:rsid w:val="0087172E"/>
    <w:rsid w:val="00871755"/>
    <w:rsid w:val="00871C68"/>
    <w:rsid w:val="00871D99"/>
    <w:rsid w:val="00871E51"/>
    <w:rsid w:val="008729FD"/>
    <w:rsid w:val="00872B52"/>
    <w:rsid w:val="00872BC4"/>
    <w:rsid w:val="00873075"/>
    <w:rsid w:val="0087321B"/>
    <w:rsid w:val="00873289"/>
    <w:rsid w:val="008733C4"/>
    <w:rsid w:val="00873755"/>
    <w:rsid w:val="0087377F"/>
    <w:rsid w:val="0087387B"/>
    <w:rsid w:val="008739AC"/>
    <w:rsid w:val="008739CB"/>
    <w:rsid w:val="00873BDF"/>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4F0"/>
    <w:rsid w:val="00875569"/>
    <w:rsid w:val="00875C4D"/>
    <w:rsid w:val="00875C94"/>
    <w:rsid w:val="00875D52"/>
    <w:rsid w:val="00875F4C"/>
    <w:rsid w:val="0087609B"/>
    <w:rsid w:val="008760B2"/>
    <w:rsid w:val="00876263"/>
    <w:rsid w:val="0087637D"/>
    <w:rsid w:val="00876C1D"/>
    <w:rsid w:val="00876CAE"/>
    <w:rsid w:val="00876DBF"/>
    <w:rsid w:val="00876E2B"/>
    <w:rsid w:val="00876EF2"/>
    <w:rsid w:val="00876F11"/>
    <w:rsid w:val="00877040"/>
    <w:rsid w:val="00877083"/>
    <w:rsid w:val="008771D2"/>
    <w:rsid w:val="00877C55"/>
    <w:rsid w:val="00877DBB"/>
    <w:rsid w:val="008801F1"/>
    <w:rsid w:val="00880762"/>
    <w:rsid w:val="008807BD"/>
    <w:rsid w:val="008807CA"/>
    <w:rsid w:val="008807F4"/>
    <w:rsid w:val="00880894"/>
    <w:rsid w:val="00880913"/>
    <w:rsid w:val="0088093F"/>
    <w:rsid w:val="00880958"/>
    <w:rsid w:val="00881324"/>
    <w:rsid w:val="00881899"/>
    <w:rsid w:val="00881903"/>
    <w:rsid w:val="00881DC4"/>
    <w:rsid w:val="0088204F"/>
    <w:rsid w:val="0088273C"/>
    <w:rsid w:val="00882912"/>
    <w:rsid w:val="00882B50"/>
    <w:rsid w:val="00882F35"/>
    <w:rsid w:val="0088301F"/>
    <w:rsid w:val="008832EF"/>
    <w:rsid w:val="008833D6"/>
    <w:rsid w:val="0088351C"/>
    <w:rsid w:val="00883D7F"/>
    <w:rsid w:val="008840E8"/>
    <w:rsid w:val="008841EB"/>
    <w:rsid w:val="00884226"/>
    <w:rsid w:val="00884536"/>
    <w:rsid w:val="0088464A"/>
    <w:rsid w:val="00884F10"/>
    <w:rsid w:val="00885183"/>
    <w:rsid w:val="008851CC"/>
    <w:rsid w:val="0088577F"/>
    <w:rsid w:val="00885A59"/>
    <w:rsid w:val="00885C70"/>
    <w:rsid w:val="00885DCA"/>
    <w:rsid w:val="00885E46"/>
    <w:rsid w:val="00885F50"/>
    <w:rsid w:val="0088609A"/>
    <w:rsid w:val="00886350"/>
    <w:rsid w:val="00886484"/>
    <w:rsid w:val="00886746"/>
    <w:rsid w:val="00886941"/>
    <w:rsid w:val="00886BD4"/>
    <w:rsid w:val="00886E2A"/>
    <w:rsid w:val="00886FF3"/>
    <w:rsid w:val="0088776B"/>
    <w:rsid w:val="00887DC9"/>
    <w:rsid w:val="008900DE"/>
    <w:rsid w:val="00890390"/>
    <w:rsid w:val="0089043D"/>
    <w:rsid w:val="008904D0"/>
    <w:rsid w:val="0089051E"/>
    <w:rsid w:val="00890579"/>
    <w:rsid w:val="008905FB"/>
    <w:rsid w:val="00890616"/>
    <w:rsid w:val="0089094A"/>
    <w:rsid w:val="00890C39"/>
    <w:rsid w:val="00890CB4"/>
    <w:rsid w:val="00890D26"/>
    <w:rsid w:val="008914A9"/>
    <w:rsid w:val="0089196E"/>
    <w:rsid w:val="00891A14"/>
    <w:rsid w:val="00891A27"/>
    <w:rsid w:val="00891A62"/>
    <w:rsid w:val="00891B6C"/>
    <w:rsid w:val="00891C3B"/>
    <w:rsid w:val="00891FD8"/>
    <w:rsid w:val="00892A82"/>
    <w:rsid w:val="00892EC1"/>
    <w:rsid w:val="00892FB6"/>
    <w:rsid w:val="00893089"/>
    <w:rsid w:val="0089320A"/>
    <w:rsid w:val="00893420"/>
    <w:rsid w:val="00893725"/>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A3"/>
    <w:rsid w:val="00894EF5"/>
    <w:rsid w:val="00894F96"/>
    <w:rsid w:val="0089512B"/>
    <w:rsid w:val="008951FB"/>
    <w:rsid w:val="00895741"/>
    <w:rsid w:val="0089579F"/>
    <w:rsid w:val="008958F0"/>
    <w:rsid w:val="00895B1A"/>
    <w:rsid w:val="00895D42"/>
    <w:rsid w:val="00895D7A"/>
    <w:rsid w:val="00895F08"/>
    <w:rsid w:val="008960B3"/>
    <w:rsid w:val="0089619A"/>
    <w:rsid w:val="008963AE"/>
    <w:rsid w:val="0089656F"/>
    <w:rsid w:val="00896AD3"/>
    <w:rsid w:val="008972B3"/>
    <w:rsid w:val="008973CF"/>
    <w:rsid w:val="0089749C"/>
    <w:rsid w:val="00897685"/>
    <w:rsid w:val="00897915"/>
    <w:rsid w:val="00897A04"/>
    <w:rsid w:val="00897CF3"/>
    <w:rsid w:val="008A0121"/>
    <w:rsid w:val="008A04DA"/>
    <w:rsid w:val="008A0701"/>
    <w:rsid w:val="008A0A95"/>
    <w:rsid w:val="008A0CEB"/>
    <w:rsid w:val="008A1AAE"/>
    <w:rsid w:val="008A1E6D"/>
    <w:rsid w:val="008A2248"/>
    <w:rsid w:val="008A27C4"/>
    <w:rsid w:val="008A2A08"/>
    <w:rsid w:val="008A3122"/>
    <w:rsid w:val="008A33A4"/>
    <w:rsid w:val="008A33B8"/>
    <w:rsid w:val="008A3663"/>
    <w:rsid w:val="008A38D5"/>
    <w:rsid w:val="008A3F10"/>
    <w:rsid w:val="008A4134"/>
    <w:rsid w:val="008A4420"/>
    <w:rsid w:val="008A45A4"/>
    <w:rsid w:val="008A4870"/>
    <w:rsid w:val="008A48CA"/>
    <w:rsid w:val="008A49EF"/>
    <w:rsid w:val="008A4A5C"/>
    <w:rsid w:val="008A4BBE"/>
    <w:rsid w:val="008A4F9C"/>
    <w:rsid w:val="008A510C"/>
    <w:rsid w:val="008A5529"/>
    <w:rsid w:val="008A5E5E"/>
    <w:rsid w:val="008A60E4"/>
    <w:rsid w:val="008A622A"/>
    <w:rsid w:val="008A6415"/>
    <w:rsid w:val="008A672D"/>
    <w:rsid w:val="008A69A0"/>
    <w:rsid w:val="008A6AC4"/>
    <w:rsid w:val="008A6DC7"/>
    <w:rsid w:val="008A6F15"/>
    <w:rsid w:val="008A71A5"/>
    <w:rsid w:val="008A735C"/>
    <w:rsid w:val="008A73B8"/>
    <w:rsid w:val="008A765D"/>
    <w:rsid w:val="008A7777"/>
    <w:rsid w:val="008A789F"/>
    <w:rsid w:val="008A79A4"/>
    <w:rsid w:val="008A79CA"/>
    <w:rsid w:val="008A7EA6"/>
    <w:rsid w:val="008A7F15"/>
    <w:rsid w:val="008B0195"/>
    <w:rsid w:val="008B02FE"/>
    <w:rsid w:val="008B03E6"/>
    <w:rsid w:val="008B054B"/>
    <w:rsid w:val="008B073A"/>
    <w:rsid w:val="008B0873"/>
    <w:rsid w:val="008B096C"/>
    <w:rsid w:val="008B0B70"/>
    <w:rsid w:val="008B0EBE"/>
    <w:rsid w:val="008B0EF1"/>
    <w:rsid w:val="008B0F8A"/>
    <w:rsid w:val="008B0FAB"/>
    <w:rsid w:val="008B1573"/>
    <w:rsid w:val="008B160D"/>
    <w:rsid w:val="008B1B96"/>
    <w:rsid w:val="008B1DEE"/>
    <w:rsid w:val="008B1E0F"/>
    <w:rsid w:val="008B1E82"/>
    <w:rsid w:val="008B1F83"/>
    <w:rsid w:val="008B2106"/>
    <w:rsid w:val="008B2A26"/>
    <w:rsid w:val="008B2A31"/>
    <w:rsid w:val="008B2CA4"/>
    <w:rsid w:val="008B2D42"/>
    <w:rsid w:val="008B2DA0"/>
    <w:rsid w:val="008B2FE9"/>
    <w:rsid w:val="008B322C"/>
    <w:rsid w:val="008B32AD"/>
    <w:rsid w:val="008B335B"/>
    <w:rsid w:val="008B355F"/>
    <w:rsid w:val="008B3F08"/>
    <w:rsid w:val="008B3F3C"/>
    <w:rsid w:val="008B3FC4"/>
    <w:rsid w:val="008B413E"/>
    <w:rsid w:val="008B4AFD"/>
    <w:rsid w:val="008B4B42"/>
    <w:rsid w:val="008B4D21"/>
    <w:rsid w:val="008B4D54"/>
    <w:rsid w:val="008B4F65"/>
    <w:rsid w:val="008B4FEA"/>
    <w:rsid w:val="008B50D9"/>
    <w:rsid w:val="008B5220"/>
    <w:rsid w:val="008B5398"/>
    <w:rsid w:val="008B54AA"/>
    <w:rsid w:val="008B54C1"/>
    <w:rsid w:val="008B5552"/>
    <w:rsid w:val="008B568F"/>
    <w:rsid w:val="008B56C9"/>
    <w:rsid w:val="008B587C"/>
    <w:rsid w:val="008B6075"/>
    <w:rsid w:val="008B6093"/>
    <w:rsid w:val="008B625E"/>
    <w:rsid w:val="008B656F"/>
    <w:rsid w:val="008B6723"/>
    <w:rsid w:val="008B6753"/>
    <w:rsid w:val="008B697A"/>
    <w:rsid w:val="008B6B4E"/>
    <w:rsid w:val="008B6BFB"/>
    <w:rsid w:val="008B6C20"/>
    <w:rsid w:val="008B6DAF"/>
    <w:rsid w:val="008B6F8C"/>
    <w:rsid w:val="008B7889"/>
    <w:rsid w:val="008B788C"/>
    <w:rsid w:val="008B798B"/>
    <w:rsid w:val="008B7B5B"/>
    <w:rsid w:val="008B7F1E"/>
    <w:rsid w:val="008B7F27"/>
    <w:rsid w:val="008C024F"/>
    <w:rsid w:val="008C03C6"/>
    <w:rsid w:val="008C045C"/>
    <w:rsid w:val="008C0699"/>
    <w:rsid w:val="008C0927"/>
    <w:rsid w:val="008C098E"/>
    <w:rsid w:val="008C0B7F"/>
    <w:rsid w:val="008C0B98"/>
    <w:rsid w:val="008C0E56"/>
    <w:rsid w:val="008C1190"/>
    <w:rsid w:val="008C11AF"/>
    <w:rsid w:val="008C1583"/>
    <w:rsid w:val="008C1699"/>
    <w:rsid w:val="008C18DC"/>
    <w:rsid w:val="008C1CAE"/>
    <w:rsid w:val="008C22F6"/>
    <w:rsid w:val="008C237D"/>
    <w:rsid w:val="008C2479"/>
    <w:rsid w:val="008C25E3"/>
    <w:rsid w:val="008C2678"/>
    <w:rsid w:val="008C272D"/>
    <w:rsid w:val="008C2D9B"/>
    <w:rsid w:val="008C2FC3"/>
    <w:rsid w:val="008C309A"/>
    <w:rsid w:val="008C3341"/>
    <w:rsid w:val="008C3347"/>
    <w:rsid w:val="008C38A4"/>
    <w:rsid w:val="008C3BD1"/>
    <w:rsid w:val="008C3DDB"/>
    <w:rsid w:val="008C42F8"/>
    <w:rsid w:val="008C454E"/>
    <w:rsid w:val="008C478E"/>
    <w:rsid w:val="008C4902"/>
    <w:rsid w:val="008C4A3A"/>
    <w:rsid w:val="008C4BBB"/>
    <w:rsid w:val="008C4D8C"/>
    <w:rsid w:val="008C4F96"/>
    <w:rsid w:val="008C4FFE"/>
    <w:rsid w:val="008C546F"/>
    <w:rsid w:val="008C5557"/>
    <w:rsid w:val="008C5865"/>
    <w:rsid w:val="008C5DD7"/>
    <w:rsid w:val="008C5E93"/>
    <w:rsid w:val="008C61FD"/>
    <w:rsid w:val="008C6566"/>
    <w:rsid w:val="008C6860"/>
    <w:rsid w:val="008C6B11"/>
    <w:rsid w:val="008C6C84"/>
    <w:rsid w:val="008C6D24"/>
    <w:rsid w:val="008C716F"/>
    <w:rsid w:val="008C71C2"/>
    <w:rsid w:val="008C77CE"/>
    <w:rsid w:val="008C78A6"/>
    <w:rsid w:val="008C7B9A"/>
    <w:rsid w:val="008C7BE9"/>
    <w:rsid w:val="008D015D"/>
    <w:rsid w:val="008D0434"/>
    <w:rsid w:val="008D04C1"/>
    <w:rsid w:val="008D0596"/>
    <w:rsid w:val="008D0643"/>
    <w:rsid w:val="008D0794"/>
    <w:rsid w:val="008D08AF"/>
    <w:rsid w:val="008D094A"/>
    <w:rsid w:val="008D0BF6"/>
    <w:rsid w:val="008D1154"/>
    <w:rsid w:val="008D1234"/>
    <w:rsid w:val="008D1460"/>
    <w:rsid w:val="008D156A"/>
    <w:rsid w:val="008D18B6"/>
    <w:rsid w:val="008D1975"/>
    <w:rsid w:val="008D1E84"/>
    <w:rsid w:val="008D1F89"/>
    <w:rsid w:val="008D209E"/>
    <w:rsid w:val="008D225D"/>
    <w:rsid w:val="008D23A5"/>
    <w:rsid w:val="008D2441"/>
    <w:rsid w:val="008D24BB"/>
    <w:rsid w:val="008D2609"/>
    <w:rsid w:val="008D2622"/>
    <w:rsid w:val="008D27EC"/>
    <w:rsid w:val="008D2858"/>
    <w:rsid w:val="008D28C1"/>
    <w:rsid w:val="008D3212"/>
    <w:rsid w:val="008D34E8"/>
    <w:rsid w:val="008D3666"/>
    <w:rsid w:val="008D3E85"/>
    <w:rsid w:val="008D4052"/>
    <w:rsid w:val="008D41AA"/>
    <w:rsid w:val="008D43B4"/>
    <w:rsid w:val="008D44E8"/>
    <w:rsid w:val="008D47A3"/>
    <w:rsid w:val="008D4836"/>
    <w:rsid w:val="008D4AEF"/>
    <w:rsid w:val="008D5226"/>
    <w:rsid w:val="008D5477"/>
    <w:rsid w:val="008D552C"/>
    <w:rsid w:val="008D56A9"/>
    <w:rsid w:val="008D5A49"/>
    <w:rsid w:val="008D5E54"/>
    <w:rsid w:val="008D5F2A"/>
    <w:rsid w:val="008D5FDD"/>
    <w:rsid w:val="008D6090"/>
    <w:rsid w:val="008D65A5"/>
    <w:rsid w:val="008D67D8"/>
    <w:rsid w:val="008D6810"/>
    <w:rsid w:val="008D685C"/>
    <w:rsid w:val="008D6B81"/>
    <w:rsid w:val="008D6BEE"/>
    <w:rsid w:val="008D6C20"/>
    <w:rsid w:val="008D7566"/>
    <w:rsid w:val="008D7900"/>
    <w:rsid w:val="008D7B31"/>
    <w:rsid w:val="008D7B98"/>
    <w:rsid w:val="008D7BCC"/>
    <w:rsid w:val="008D7C3C"/>
    <w:rsid w:val="008D7CF4"/>
    <w:rsid w:val="008D7D61"/>
    <w:rsid w:val="008D7DB5"/>
    <w:rsid w:val="008D7EA5"/>
    <w:rsid w:val="008E06E1"/>
    <w:rsid w:val="008E07C3"/>
    <w:rsid w:val="008E09C3"/>
    <w:rsid w:val="008E0BBE"/>
    <w:rsid w:val="008E0BD9"/>
    <w:rsid w:val="008E0CB0"/>
    <w:rsid w:val="008E1015"/>
    <w:rsid w:val="008E15F7"/>
    <w:rsid w:val="008E1B1D"/>
    <w:rsid w:val="008E1F12"/>
    <w:rsid w:val="008E1F57"/>
    <w:rsid w:val="008E2150"/>
    <w:rsid w:val="008E21DC"/>
    <w:rsid w:val="008E24D9"/>
    <w:rsid w:val="008E26D3"/>
    <w:rsid w:val="008E2985"/>
    <w:rsid w:val="008E2BA0"/>
    <w:rsid w:val="008E2BA7"/>
    <w:rsid w:val="008E2BD4"/>
    <w:rsid w:val="008E35BC"/>
    <w:rsid w:val="008E3878"/>
    <w:rsid w:val="008E38FD"/>
    <w:rsid w:val="008E3A53"/>
    <w:rsid w:val="008E3B44"/>
    <w:rsid w:val="008E3C8F"/>
    <w:rsid w:val="008E3CB5"/>
    <w:rsid w:val="008E3F55"/>
    <w:rsid w:val="008E417C"/>
    <w:rsid w:val="008E496D"/>
    <w:rsid w:val="008E4A29"/>
    <w:rsid w:val="008E4D69"/>
    <w:rsid w:val="008E4F20"/>
    <w:rsid w:val="008E4FB3"/>
    <w:rsid w:val="008E4FB5"/>
    <w:rsid w:val="008E50FD"/>
    <w:rsid w:val="008E5235"/>
    <w:rsid w:val="008E534C"/>
    <w:rsid w:val="008E53C0"/>
    <w:rsid w:val="008E547D"/>
    <w:rsid w:val="008E5570"/>
    <w:rsid w:val="008E5745"/>
    <w:rsid w:val="008E5771"/>
    <w:rsid w:val="008E5A2A"/>
    <w:rsid w:val="008E5A2D"/>
    <w:rsid w:val="008E5C40"/>
    <w:rsid w:val="008E5C53"/>
    <w:rsid w:val="008E5D94"/>
    <w:rsid w:val="008E5FC0"/>
    <w:rsid w:val="008E6268"/>
    <w:rsid w:val="008E65DC"/>
    <w:rsid w:val="008E692F"/>
    <w:rsid w:val="008E6A21"/>
    <w:rsid w:val="008E6B13"/>
    <w:rsid w:val="008E6E9A"/>
    <w:rsid w:val="008E6F3E"/>
    <w:rsid w:val="008E701F"/>
    <w:rsid w:val="008E7190"/>
    <w:rsid w:val="008E72A2"/>
    <w:rsid w:val="008E7338"/>
    <w:rsid w:val="008E76E0"/>
    <w:rsid w:val="008E7706"/>
    <w:rsid w:val="008E78CB"/>
    <w:rsid w:val="008E7A19"/>
    <w:rsid w:val="008E7B12"/>
    <w:rsid w:val="008E7B4A"/>
    <w:rsid w:val="008E7E69"/>
    <w:rsid w:val="008E7F78"/>
    <w:rsid w:val="008F00CD"/>
    <w:rsid w:val="008F036D"/>
    <w:rsid w:val="008F037A"/>
    <w:rsid w:val="008F0731"/>
    <w:rsid w:val="008F08EC"/>
    <w:rsid w:val="008F0962"/>
    <w:rsid w:val="008F0969"/>
    <w:rsid w:val="008F0A8A"/>
    <w:rsid w:val="008F0E85"/>
    <w:rsid w:val="008F0E9A"/>
    <w:rsid w:val="008F1255"/>
    <w:rsid w:val="008F12DD"/>
    <w:rsid w:val="008F133E"/>
    <w:rsid w:val="008F15C3"/>
    <w:rsid w:val="008F170D"/>
    <w:rsid w:val="008F1930"/>
    <w:rsid w:val="008F19F7"/>
    <w:rsid w:val="008F1A12"/>
    <w:rsid w:val="008F1AE0"/>
    <w:rsid w:val="008F1B3C"/>
    <w:rsid w:val="008F205F"/>
    <w:rsid w:val="008F20F7"/>
    <w:rsid w:val="008F211E"/>
    <w:rsid w:val="008F21B7"/>
    <w:rsid w:val="008F269F"/>
    <w:rsid w:val="008F273C"/>
    <w:rsid w:val="008F2746"/>
    <w:rsid w:val="008F28EB"/>
    <w:rsid w:val="008F2FF8"/>
    <w:rsid w:val="008F3234"/>
    <w:rsid w:val="008F35B2"/>
    <w:rsid w:val="008F3B3B"/>
    <w:rsid w:val="008F3BB5"/>
    <w:rsid w:val="008F3D81"/>
    <w:rsid w:val="008F3E7F"/>
    <w:rsid w:val="008F3FB6"/>
    <w:rsid w:val="008F41E8"/>
    <w:rsid w:val="008F434F"/>
    <w:rsid w:val="008F437B"/>
    <w:rsid w:val="008F445F"/>
    <w:rsid w:val="008F47E5"/>
    <w:rsid w:val="008F4AE9"/>
    <w:rsid w:val="008F4B62"/>
    <w:rsid w:val="008F4DD4"/>
    <w:rsid w:val="008F4EAC"/>
    <w:rsid w:val="008F524E"/>
    <w:rsid w:val="008F5334"/>
    <w:rsid w:val="008F5D25"/>
    <w:rsid w:val="008F6061"/>
    <w:rsid w:val="008F6744"/>
    <w:rsid w:val="008F6758"/>
    <w:rsid w:val="008F678E"/>
    <w:rsid w:val="008F689A"/>
    <w:rsid w:val="008F6988"/>
    <w:rsid w:val="008F6B7D"/>
    <w:rsid w:val="008F6F02"/>
    <w:rsid w:val="008F6FF9"/>
    <w:rsid w:val="008F727D"/>
    <w:rsid w:val="008F732F"/>
    <w:rsid w:val="008F734A"/>
    <w:rsid w:val="008F7428"/>
    <w:rsid w:val="008F76B1"/>
    <w:rsid w:val="008F7705"/>
    <w:rsid w:val="008F7881"/>
    <w:rsid w:val="008F7D4A"/>
    <w:rsid w:val="00900314"/>
    <w:rsid w:val="00900456"/>
    <w:rsid w:val="009004AF"/>
    <w:rsid w:val="00900AA9"/>
    <w:rsid w:val="00900DD0"/>
    <w:rsid w:val="00900F43"/>
    <w:rsid w:val="00901034"/>
    <w:rsid w:val="0090121B"/>
    <w:rsid w:val="009012EF"/>
    <w:rsid w:val="00901668"/>
    <w:rsid w:val="00901C18"/>
    <w:rsid w:val="00901E3B"/>
    <w:rsid w:val="00901E5A"/>
    <w:rsid w:val="00901F46"/>
    <w:rsid w:val="00902391"/>
    <w:rsid w:val="0090246D"/>
    <w:rsid w:val="00902538"/>
    <w:rsid w:val="00902610"/>
    <w:rsid w:val="00902893"/>
    <w:rsid w:val="00902B75"/>
    <w:rsid w:val="00902C70"/>
    <w:rsid w:val="00902D9A"/>
    <w:rsid w:val="0090340C"/>
    <w:rsid w:val="00903443"/>
    <w:rsid w:val="009035D1"/>
    <w:rsid w:val="00903707"/>
    <w:rsid w:val="0090379D"/>
    <w:rsid w:val="0090386B"/>
    <w:rsid w:val="00903924"/>
    <w:rsid w:val="00903AE8"/>
    <w:rsid w:val="00903BC8"/>
    <w:rsid w:val="00903FBC"/>
    <w:rsid w:val="00904008"/>
    <w:rsid w:val="0090421A"/>
    <w:rsid w:val="009044A4"/>
    <w:rsid w:val="009047EC"/>
    <w:rsid w:val="009049C0"/>
    <w:rsid w:val="00904AD8"/>
    <w:rsid w:val="00904B18"/>
    <w:rsid w:val="00904B80"/>
    <w:rsid w:val="00904DED"/>
    <w:rsid w:val="00904ED5"/>
    <w:rsid w:val="0090508B"/>
    <w:rsid w:val="00905219"/>
    <w:rsid w:val="0090528F"/>
    <w:rsid w:val="0090545A"/>
    <w:rsid w:val="009055C4"/>
    <w:rsid w:val="00905E09"/>
    <w:rsid w:val="00905FA6"/>
    <w:rsid w:val="00906350"/>
    <w:rsid w:val="00906435"/>
    <w:rsid w:val="0090645D"/>
    <w:rsid w:val="009064EF"/>
    <w:rsid w:val="00906770"/>
    <w:rsid w:val="00906CDC"/>
    <w:rsid w:val="00906EA5"/>
    <w:rsid w:val="00906ED3"/>
    <w:rsid w:val="00907019"/>
    <w:rsid w:val="009072E9"/>
    <w:rsid w:val="0090735B"/>
    <w:rsid w:val="009074FE"/>
    <w:rsid w:val="009075C0"/>
    <w:rsid w:val="00907CB1"/>
    <w:rsid w:val="00907EFE"/>
    <w:rsid w:val="00910003"/>
    <w:rsid w:val="00910037"/>
    <w:rsid w:val="009100AC"/>
    <w:rsid w:val="0091015F"/>
    <w:rsid w:val="009101EB"/>
    <w:rsid w:val="00910409"/>
    <w:rsid w:val="00910472"/>
    <w:rsid w:val="009109C4"/>
    <w:rsid w:val="00910C9F"/>
    <w:rsid w:val="00910E2D"/>
    <w:rsid w:val="00910EA1"/>
    <w:rsid w:val="00911587"/>
    <w:rsid w:val="00911682"/>
    <w:rsid w:val="00911801"/>
    <w:rsid w:val="0091196B"/>
    <w:rsid w:val="00911D7A"/>
    <w:rsid w:val="00912049"/>
    <w:rsid w:val="0091223D"/>
    <w:rsid w:val="00912526"/>
    <w:rsid w:val="0091252A"/>
    <w:rsid w:val="00912725"/>
    <w:rsid w:val="009127E9"/>
    <w:rsid w:val="00912B24"/>
    <w:rsid w:val="00912CC1"/>
    <w:rsid w:val="00912DEE"/>
    <w:rsid w:val="00913189"/>
    <w:rsid w:val="00913232"/>
    <w:rsid w:val="009134EF"/>
    <w:rsid w:val="009137A9"/>
    <w:rsid w:val="0091394F"/>
    <w:rsid w:val="00913A9B"/>
    <w:rsid w:val="00913B07"/>
    <w:rsid w:val="00913D29"/>
    <w:rsid w:val="00913E0E"/>
    <w:rsid w:val="00913E1D"/>
    <w:rsid w:val="00913FDA"/>
    <w:rsid w:val="00914406"/>
    <w:rsid w:val="0091455F"/>
    <w:rsid w:val="00914692"/>
    <w:rsid w:val="00914887"/>
    <w:rsid w:val="009149BB"/>
    <w:rsid w:val="009149C0"/>
    <w:rsid w:val="009149C9"/>
    <w:rsid w:val="00914BFA"/>
    <w:rsid w:val="00914D56"/>
    <w:rsid w:val="00914E86"/>
    <w:rsid w:val="009153A0"/>
    <w:rsid w:val="00915484"/>
    <w:rsid w:val="00915567"/>
    <w:rsid w:val="009155DE"/>
    <w:rsid w:val="00915739"/>
    <w:rsid w:val="00915BAA"/>
    <w:rsid w:val="00915E6D"/>
    <w:rsid w:val="00915FEC"/>
    <w:rsid w:val="0091620D"/>
    <w:rsid w:val="0091627F"/>
    <w:rsid w:val="00916283"/>
    <w:rsid w:val="009163AA"/>
    <w:rsid w:val="00916518"/>
    <w:rsid w:val="00916BC5"/>
    <w:rsid w:val="00916E4E"/>
    <w:rsid w:val="00916F35"/>
    <w:rsid w:val="0091728B"/>
    <w:rsid w:val="009176E2"/>
    <w:rsid w:val="00917728"/>
    <w:rsid w:val="0091798F"/>
    <w:rsid w:val="00917ACC"/>
    <w:rsid w:val="00917B10"/>
    <w:rsid w:val="00917D2E"/>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202F"/>
    <w:rsid w:val="009222E4"/>
    <w:rsid w:val="00922509"/>
    <w:rsid w:val="0092270A"/>
    <w:rsid w:val="009227F9"/>
    <w:rsid w:val="009228A1"/>
    <w:rsid w:val="00922961"/>
    <w:rsid w:val="00922CF6"/>
    <w:rsid w:val="00922E41"/>
    <w:rsid w:val="0092320F"/>
    <w:rsid w:val="00923453"/>
    <w:rsid w:val="00923550"/>
    <w:rsid w:val="00923623"/>
    <w:rsid w:val="00923A6B"/>
    <w:rsid w:val="00923ACC"/>
    <w:rsid w:val="00923B60"/>
    <w:rsid w:val="00923EE5"/>
    <w:rsid w:val="00923FF1"/>
    <w:rsid w:val="0092405B"/>
    <w:rsid w:val="00924195"/>
    <w:rsid w:val="0092438B"/>
    <w:rsid w:val="00924421"/>
    <w:rsid w:val="009246CE"/>
    <w:rsid w:val="00924764"/>
    <w:rsid w:val="00924769"/>
    <w:rsid w:val="009247B4"/>
    <w:rsid w:val="0092494D"/>
    <w:rsid w:val="009249E7"/>
    <w:rsid w:val="009249F5"/>
    <w:rsid w:val="00925052"/>
    <w:rsid w:val="00925227"/>
    <w:rsid w:val="00925407"/>
    <w:rsid w:val="00925658"/>
    <w:rsid w:val="009256A3"/>
    <w:rsid w:val="00925739"/>
    <w:rsid w:val="009257B2"/>
    <w:rsid w:val="00925830"/>
    <w:rsid w:val="00925EE7"/>
    <w:rsid w:val="009261F0"/>
    <w:rsid w:val="00926372"/>
    <w:rsid w:val="009264E0"/>
    <w:rsid w:val="00926603"/>
    <w:rsid w:val="00926AEC"/>
    <w:rsid w:val="00927146"/>
    <w:rsid w:val="00927163"/>
    <w:rsid w:val="009271B9"/>
    <w:rsid w:val="009271EC"/>
    <w:rsid w:val="0092744E"/>
    <w:rsid w:val="0092777A"/>
    <w:rsid w:val="00927AA3"/>
    <w:rsid w:val="00927AFA"/>
    <w:rsid w:val="00927D80"/>
    <w:rsid w:val="00927DE5"/>
    <w:rsid w:val="00927EF9"/>
    <w:rsid w:val="00930233"/>
    <w:rsid w:val="00930268"/>
    <w:rsid w:val="009302AE"/>
    <w:rsid w:val="009302C5"/>
    <w:rsid w:val="0093047B"/>
    <w:rsid w:val="00930492"/>
    <w:rsid w:val="00930508"/>
    <w:rsid w:val="00930D31"/>
    <w:rsid w:val="00930D8E"/>
    <w:rsid w:val="00931F49"/>
    <w:rsid w:val="0093230C"/>
    <w:rsid w:val="0093279B"/>
    <w:rsid w:val="009327D9"/>
    <w:rsid w:val="00932A5A"/>
    <w:rsid w:val="00932DDF"/>
    <w:rsid w:val="00932E94"/>
    <w:rsid w:val="00932FAA"/>
    <w:rsid w:val="0093326E"/>
    <w:rsid w:val="00933332"/>
    <w:rsid w:val="0093343E"/>
    <w:rsid w:val="009334B1"/>
    <w:rsid w:val="009335A4"/>
    <w:rsid w:val="00933603"/>
    <w:rsid w:val="00933679"/>
    <w:rsid w:val="009338E9"/>
    <w:rsid w:val="009339CE"/>
    <w:rsid w:val="00933A9A"/>
    <w:rsid w:val="00933FBD"/>
    <w:rsid w:val="00934697"/>
    <w:rsid w:val="00934987"/>
    <w:rsid w:val="00935130"/>
    <w:rsid w:val="00935BD7"/>
    <w:rsid w:val="00935CC2"/>
    <w:rsid w:val="00935FBF"/>
    <w:rsid w:val="00936084"/>
    <w:rsid w:val="009365FB"/>
    <w:rsid w:val="009369CB"/>
    <w:rsid w:val="00936D41"/>
    <w:rsid w:val="00936D46"/>
    <w:rsid w:val="00936E3E"/>
    <w:rsid w:val="009373EA"/>
    <w:rsid w:val="009375A8"/>
    <w:rsid w:val="0093769E"/>
    <w:rsid w:val="00937919"/>
    <w:rsid w:val="00937AB8"/>
    <w:rsid w:val="00937C37"/>
    <w:rsid w:val="00937E30"/>
    <w:rsid w:val="00937F79"/>
    <w:rsid w:val="00937FB5"/>
    <w:rsid w:val="009400BA"/>
    <w:rsid w:val="009401A9"/>
    <w:rsid w:val="00940290"/>
    <w:rsid w:val="00940334"/>
    <w:rsid w:val="00940342"/>
    <w:rsid w:val="0094050F"/>
    <w:rsid w:val="00940571"/>
    <w:rsid w:val="0094072A"/>
    <w:rsid w:val="00940890"/>
    <w:rsid w:val="00941043"/>
    <w:rsid w:val="009413AE"/>
    <w:rsid w:val="00941451"/>
    <w:rsid w:val="0094149A"/>
    <w:rsid w:val="00941BF4"/>
    <w:rsid w:val="00941D17"/>
    <w:rsid w:val="00941D87"/>
    <w:rsid w:val="00941FA5"/>
    <w:rsid w:val="009420AE"/>
    <w:rsid w:val="0094211A"/>
    <w:rsid w:val="00942318"/>
    <w:rsid w:val="0094232B"/>
    <w:rsid w:val="00942414"/>
    <w:rsid w:val="0094254B"/>
    <w:rsid w:val="00942617"/>
    <w:rsid w:val="009428C6"/>
    <w:rsid w:val="00942AAC"/>
    <w:rsid w:val="00942E08"/>
    <w:rsid w:val="00942F92"/>
    <w:rsid w:val="00942FC4"/>
    <w:rsid w:val="00942FEF"/>
    <w:rsid w:val="0094328C"/>
    <w:rsid w:val="00943517"/>
    <w:rsid w:val="00943730"/>
    <w:rsid w:val="0094380A"/>
    <w:rsid w:val="00943842"/>
    <w:rsid w:val="00943C5A"/>
    <w:rsid w:val="00943DE0"/>
    <w:rsid w:val="00943E69"/>
    <w:rsid w:val="00943FD2"/>
    <w:rsid w:val="0094410C"/>
    <w:rsid w:val="0094422C"/>
    <w:rsid w:val="009443E4"/>
    <w:rsid w:val="0094446F"/>
    <w:rsid w:val="009446B7"/>
    <w:rsid w:val="00944757"/>
    <w:rsid w:val="009448F5"/>
    <w:rsid w:val="00944C37"/>
    <w:rsid w:val="00944DC7"/>
    <w:rsid w:val="0094508F"/>
    <w:rsid w:val="0094522F"/>
    <w:rsid w:val="00945329"/>
    <w:rsid w:val="009453D0"/>
    <w:rsid w:val="0094551D"/>
    <w:rsid w:val="00945522"/>
    <w:rsid w:val="00945527"/>
    <w:rsid w:val="00945580"/>
    <w:rsid w:val="009456BA"/>
    <w:rsid w:val="009458A7"/>
    <w:rsid w:val="00945AD8"/>
    <w:rsid w:val="00945D8F"/>
    <w:rsid w:val="009468A5"/>
    <w:rsid w:val="00946A74"/>
    <w:rsid w:val="00946DD5"/>
    <w:rsid w:val="00946F3E"/>
    <w:rsid w:val="00947579"/>
    <w:rsid w:val="00947686"/>
    <w:rsid w:val="0094797F"/>
    <w:rsid w:val="0094798F"/>
    <w:rsid w:val="00947A55"/>
    <w:rsid w:val="00947A59"/>
    <w:rsid w:val="00947AAE"/>
    <w:rsid w:val="00947BC4"/>
    <w:rsid w:val="00947C0F"/>
    <w:rsid w:val="00950000"/>
    <w:rsid w:val="00950129"/>
    <w:rsid w:val="009501D5"/>
    <w:rsid w:val="009504BB"/>
    <w:rsid w:val="009507B4"/>
    <w:rsid w:val="00950908"/>
    <w:rsid w:val="00950A7A"/>
    <w:rsid w:val="0095117D"/>
    <w:rsid w:val="0095136C"/>
    <w:rsid w:val="0095146C"/>
    <w:rsid w:val="009515E0"/>
    <w:rsid w:val="00951787"/>
    <w:rsid w:val="00951B25"/>
    <w:rsid w:val="00951B53"/>
    <w:rsid w:val="00951C86"/>
    <w:rsid w:val="00951D42"/>
    <w:rsid w:val="00951F07"/>
    <w:rsid w:val="00951F90"/>
    <w:rsid w:val="009520D5"/>
    <w:rsid w:val="0095219E"/>
    <w:rsid w:val="00952533"/>
    <w:rsid w:val="009526B0"/>
    <w:rsid w:val="00952789"/>
    <w:rsid w:val="009527B4"/>
    <w:rsid w:val="0095291B"/>
    <w:rsid w:val="00952E10"/>
    <w:rsid w:val="009531BB"/>
    <w:rsid w:val="00953373"/>
    <w:rsid w:val="0095356F"/>
    <w:rsid w:val="00953757"/>
    <w:rsid w:val="0095384B"/>
    <w:rsid w:val="009538C2"/>
    <w:rsid w:val="00953AFC"/>
    <w:rsid w:val="00953C80"/>
    <w:rsid w:val="00953D18"/>
    <w:rsid w:val="00953FE8"/>
    <w:rsid w:val="009540DA"/>
    <w:rsid w:val="0095424E"/>
    <w:rsid w:val="009545E0"/>
    <w:rsid w:val="009548AF"/>
    <w:rsid w:val="00955023"/>
    <w:rsid w:val="00955385"/>
    <w:rsid w:val="00955438"/>
    <w:rsid w:val="009556F0"/>
    <w:rsid w:val="00955772"/>
    <w:rsid w:val="009558E9"/>
    <w:rsid w:val="00955A9F"/>
    <w:rsid w:val="00955C8E"/>
    <w:rsid w:val="00955FD6"/>
    <w:rsid w:val="00956017"/>
    <w:rsid w:val="009560E3"/>
    <w:rsid w:val="009563D5"/>
    <w:rsid w:val="009565FC"/>
    <w:rsid w:val="0095671D"/>
    <w:rsid w:val="00956902"/>
    <w:rsid w:val="00956916"/>
    <w:rsid w:val="00956A43"/>
    <w:rsid w:val="00956AC6"/>
    <w:rsid w:val="00956C1A"/>
    <w:rsid w:val="00956D56"/>
    <w:rsid w:val="00956F55"/>
    <w:rsid w:val="00957039"/>
    <w:rsid w:val="00957143"/>
    <w:rsid w:val="00957184"/>
    <w:rsid w:val="009575BC"/>
    <w:rsid w:val="00957686"/>
    <w:rsid w:val="009577EF"/>
    <w:rsid w:val="009578D1"/>
    <w:rsid w:val="00957947"/>
    <w:rsid w:val="009601AE"/>
    <w:rsid w:val="009604C9"/>
    <w:rsid w:val="009604F3"/>
    <w:rsid w:val="00960571"/>
    <w:rsid w:val="009605D1"/>
    <w:rsid w:val="0096069A"/>
    <w:rsid w:val="00960B56"/>
    <w:rsid w:val="00960BDE"/>
    <w:rsid w:val="00961135"/>
    <w:rsid w:val="00961166"/>
    <w:rsid w:val="009617B9"/>
    <w:rsid w:val="009618F9"/>
    <w:rsid w:val="00961985"/>
    <w:rsid w:val="009619C2"/>
    <w:rsid w:val="00961CED"/>
    <w:rsid w:val="00961D15"/>
    <w:rsid w:val="009620CD"/>
    <w:rsid w:val="0096215F"/>
    <w:rsid w:val="0096217D"/>
    <w:rsid w:val="00962521"/>
    <w:rsid w:val="009629C9"/>
    <w:rsid w:val="00962D41"/>
    <w:rsid w:val="00962F81"/>
    <w:rsid w:val="0096333A"/>
    <w:rsid w:val="0096343C"/>
    <w:rsid w:val="00963603"/>
    <w:rsid w:val="009637EC"/>
    <w:rsid w:val="0096394F"/>
    <w:rsid w:val="009639A9"/>
    <w:rsid w:val="00963B2A"/>
    <w:rsid w:val="00963C7F"/>
    <w:rsid w:val="00963D97"/>
    <w:rsid w:val="009641FA"/>
    <w:rsid w:val="00964282"/>
    <w:rsid w:val="00964321"/>
    <w:rsid w:val="0096442D"/>
    <w:rsid w:val="00964578"/>
    <w:rsid w:val="00964891"/>
    <w:rsid w:val="00964A33"/>
    <w:rsid w:val="00964ADF"/>
    <w:rsid w:val="00964C04"/>
    <w:rsid w:val="00964C4E"/>
    <w:rsid w:val="00964DC0"/>
    <w:rsid w:val="00964F47"/>
    <w:rsid w:val="00965121"/>
    <w:rsid w:val="00965172"/>
    <w:rsid w:val="009651EF"/>
    <w:rsid w:val="00965426"/>
    <w:rsid w:val="00965451"/>
    <w:rsid w:val="009654C8"/>
    <w:rsid w:val="00965680"/>
    <w:rsid w:val="00965807"/>
    <w:rsid w:val="0096580B"/>
    <w:rsid w:val="0096593D"/>
    <w:rsid w:val="00965A9D"/>
    <w:rsid w:val="00965BB7"/>
    <w:rsid w:val="00965D2A"/>
    <w:rsid w:val="00965E4A"/>
    <w:rsid w:val="00965F0C"/>
    <w:rsid w:val="00965FE5"/>
    <w:rsid w:val="00966025"/>
    <w:rsid w:val="00966103"/>
    <w:rsid w:val="0096657E"/>
    <w:rsid w:val="009666DD"/>
    <w:rsid w:val="009668CC"/>
    <w:rsid w:val="00966992"/>
    <w:rsid w:val="00966D89"/>
    <w:rsid w:val="009672C1"/>
    <w:rsid w:val="009674BB"/>
    <w:rsid w:val="00967573"/>
    <w:rsid w:val="0096760F"/>
    <w:rsid w:val="0096762F"/>
    <w:rsid w:val="0096770D"/>
    <w:rsid w:val="00967949"/>
    <w:rsid w:val="00967D52"/>
    <w:rsid w:val="00967D63"/>
    <w:rsid w:val="009701C7"/>
    <w:rsid w:val="0097023D"/>
    <w:rsid w:val="00970252"/>
    <w:rsid w:val="009703FD"/>
    <w:rsid w:val="00970572"/>
    <w:rsid w:val="00970772"/>
    <w:rsid w:val="00970B02"/>
    <w:rsid w:val="00970D3C"/>
    <w:rsid w:val="00970F32"/>
    <w:rsid w:val="00970F3F"/>
    <w:rsid w:val="00970F53"/>
    <w:rsid w:val="00970F64"/>
    <w:rsid w:val="00970FDA"/>
    <w:rsid w:val="0097110C"/>
    <w:rsid w:val="00971191"/>
    <w:rsid w:val="00971697"/>
    <w:rsid w:val="00971805"/>
    <w:rsid w:val="00971921"/>
    <w:rsid w:val="00971CC4"/>
    <w:rsid w:val="00971DD3"/>
    <w:rsid w:val="00971EE8"/>
    <w:rsid w:val="00972049"/>
    <w:rsid w:val="009721EA"/>
    <w:rsid w:val="00972302"/>
    <w:rsid w:val="00972546"/>
    <w:rsid w:val="00972800"/>
    <w:rsid w:val="00972B5F"/>
    <w:rsid w:val="00972B92"/>
    <w:rsid w:val="00972C15"/>
    <w:rsid w:val="0097311E"/>
    <w:rsid w:val="00973962"/>
    <w:rsid w:val="00973AF6"/>
    <w:rsid w:val="00973E17"/>
    <w:rsid w:val="00973E31"/>
    <w:rsid w:val="00973E64"/>
    <w:rsid w:val="00973E8A"/>
    <w:rsid w:val="00974152"/>
    <w:rsid w:val="00974206"/>
    <w:rsid w:val="009743A2"/>
    <w:rsid w:val="0097441C"/>
    <w:rsid w:val="009749A2"/>
    <w:rsid w:val="00974C79"/>
    <w:rsid w:val="00974CEB"/>
    <w:rsid w:val="00974FF2"/>
    <w:rsid w:val="00974FFF"/>
    <w:rsid w:val="00975125"/>
    <w:rsid w:val="00975413"/>
    <w:rsid w:val="00975499"/>
    <w:rsid w:val="00975902"/>
    <w:rsid w:val="0097595C"/>
    <w:rsid w:val="00975A3E"/>
    <w:rsid w:val="00975B12"/>
    <w:rsid w:val="00975B23"/>
    <w:rsid w:val="00975F02"/>
    <w:rsid w:val="009762C5"/>
    <w:rsid w:val="00976503"/>
    <w:rsid w:val="00976ADA"/>
    <w:rsid w:val="00976E76"/>
    <w:rsid w:val="009770E2"/>
    <w:rsid w:val="009774A6"/>
    <w:rsid w:val="009774B4"/>
    <w:rsid w:val="00977592"/>
    <w:rsid w:val="00977610"/>
    <w:rsid w:val="009778E8"/>
    <w:rsid w:val="00977A38"/>
    <w:rsid w:val="00977D6C"/>
    <w:rsid w:val="00977E74"/>
    <w:rsid w:val="0098047E"/>
    <w:rsid w:val="0098087B"/>
    <w:rsid w:val="00980D0A"/>
    <w:rsid w:val="00981028"/>
    <w:rsid w:val="009811E9"/>
    <w:rsid w:val="00981445"/>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558"/>
    <w:rsid w:val="00982820"/>
    <w:rsid w:val="00982ABB"/>
    <w:rsid w:val="00982B18"/>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3F75"/>
    <w:rsid w:val="009854A0"/>
    <w:rsid w:val="00985500"/>
    <w:rsid w:val="00985703"/>
    <w:rsid w:val="00985883"/>
    <w:rsid w:val="009858D0"/>
    <w:rsid w:val="00985A64"/>
    <w:rsid w:val="00985BCC"/>
    <w:rsid w:val="00985C21"/>
    <w:rsid w:val="00985CFA"/>
    <w:rsid w:val="00985EA3"/>
    <w:rsid w:val="00986074"/>
    <w:rsid w:val="009862EB"/>
    <w:rsid w:val="009862F5"/>
    <w:rsid w:val="00986414"/>
    <w:rsid w:val="0098690F"/>
    <w:rsid w:val="00986EFE"/>
    <w:rsid w:val="009871F7"/>
    <w:rsid w:val="009872DE"/>
    <w:rsid w:val="0098741B"/>
    <w:rsid w:val="00987704"/>
    <w:rsid w:val="00987791"/>
    <w:rsid w:val="0098798E"/>
    <w:rsid w:val="00987A56"/>
    <w:rsid w:val="00987AC6"/>
    <w:rsid w:val="00987BAD"/>
    <w:rsid w:val="00987D1F"/>
    <w:rsid w:val="00987EDD"/>
    <w:rsid w:val="00987FFB"/>
    <w:rsid w:val="009901CE"/>
    <w:rsid w:val="0099024D"/>
    <w:rsid w:val="009904B6"/>
    <w:rsid w:val="00990BEF"/>
    <w:rsid w:val="00990BFE"/>
    <w:rsid w:val="00990C21"/>
    <w:rsid w:val="00990E4D"/>
    <w:rsid w:val="00990EFA"/>
    <w:rsid w:val="00990F07"/>
    <w:rsid w:val="009914C3"/>
    <w:rsid w:val="0099162B"/>
    <w:rsid w:val="009917FA"/>
    <w:rsid w:val="009918D9"/>
    <w:rsid w:val="009920DB"/>
    <w:rsid w:val="00992209"/>
    <w:rsid w:val="00992711"/>
    <w:rsid w:val="00993163"/>
    <w:rsid w:val="009932A5"/>
    <w:rsid w:val="009932F8"/>
    <w:rsid w:val="00993A16"/>
    <w:rsid w:val="00993D81"/>
    <w:rsid w:val="00994328"/>
    <w:rsid w:val="0099451B"/>
    <w:rsid w:val="009945DA"/>
    <w:rsid w:val="0099471F"/>
    <w:rsid w:val="009947B7"/>
    <w:rsid w:val="00994EE0"/>
    <w:rsid w:val="00995149"/>
    <w:rsid w:val="0099514F"/>
    <w:rsid w:val="009954CE"/>
    <w:rsid w:val="00995849"/>
    <w:rsid w:val="009958D7"/>
    <w:rsid w:val="00995A73"/>
    <w:rsid w:val="00995B12"/>
    <w:rsid w:val="00995D5C"/>
    <w:rsid w:val="00995DB9"/>
    <w:rsid w:val="009961C0"/>
    <w:rsid w:val="009967CE"/>
    <w:rsid w:val="009968EF"/>
    <w:rsid w:val="0099691E"/>
    <w:rsid w:val="00996931"/>
    <w:rsid w:val="00996CE3"/>
    <w:rsid w:val="00997181"/>
    <w:rsid w:val="009971ED"/>
    <w:rsid w:val="00997AF7"/>
    <w:rsid w:val="00997AFB"/>
    <w:rsid w:val="00997F7B"/>
    <w:rsid w:val="009A005C"/>
    <w:rsid w:val="009A011A"/>
    <w:rsid w:val="009A02A5"/>
    <w:rsid w:val="009A02E0"/>
    <w:rsid w:val="009A0338"/>
    <w:rsid w:val="009A07E0"/>
    <w:rsid w:val="009A0AC1"/>
    <w:rsid w:val="009A0D71"/>
    <w:rsid w:val="009A116C"/>
    <w:rsid w:val="009A1616"/>
    <w:rsid w:val="009A16D2"/>
    <w:rsid w:val="009A172E"/>
    <w:rsid w:val="009A18E4"/>
    <w:rsid w:val="009A18F9"/>
    <w:rsid w:val="009A196D"/>
    <w:rsid w:val="009A1A8C"/>
    <w:rsid w:val="009A1AB4"/>
    <w:rsid w:val="009A1CDA"/>
    <w:rsid w:val="009A2566"/>
    <w:rsid w:val="009A28A9"/>
    <w:rsid w:val="009A2B0B"/>
    <w:rsid w:val="009A2F5B"/>
    <w:rsid w:val="009A3050"/>
    <w:rsid w:val="009A32F5"/>
    <w:rsid w:val="009A338B"/>
    <w:rsid w:val="009A3475"/>
    <w:rsid w:val="009A35D0"/>
    <w:rsid w:val="009A360C"/>
    <w:rsid w:val="009A3A00"/>
    <w:rsid w:val="009A3D63"/>
    <w:rsid w:val="009A3E2F"/>
    <w:rsid w:val="009A3E54"/>
    <w:rsid w:val="009A458C"/>
    <w:rsid w:val="009A45C6"/>
    <w:rsid w:val="009A49CF"/>
    <w:rsid w:val="009A4B30"/>
    <w:rsid w:val="009A4D1A"/>
    <w:rsid w:val="009A4D1D"/>
    <w:rsid w:val="009A4D9E"/>
    <w:rsid w:val="009A4F34"/>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60FF"/>
    <w:rsid w:val="009A621D"/>
    <w:rsid w:val="009A632C"/>
    <w:rsid w:val="009A6433"/>
    <w:rsid w:val="009A64F0"/>
    <w:rsid w:val="009A67D9"/>
    <w:rsid w:val="009A67F1"/>
    <w:rsid w:val="009A6AA5"/>
    <w:rsid w:val="009A7029"/>
    <w:rsid w:val="009A7252"/>
    <w:rsid w:val="009A739D"/>
    <w:rsid w:val="009A789E"/>
    <w:rsid w:val="009A798C"/>
    <w:rsid w:val="009A79CE"/>
    <w:rsid w:val="009A7CA0"/>
    <w:rsid w:val="009B0288"/>
    <w:rsid w:val="009B05FE"/>
    <w:rsid w:val="009B074F"/>
    <w:rsid w:val="009B0934"/>
    <w:rsid w:val="009B0954"/>
    <w:rsid w:val="009B0B10"/>
    <w:rsid w:val="009B0BDA"/>
    <w:rsid w:val="009B0EAD"/>
    <w:rsid w:val="009B0F72"/>
    <w:rsid w:val="009B105A"/>
    <w:rsid w:val="009B1293"/>
    <w:rsid w:val="009B13EA"/>
    <w:rsid w:val="009B14B0"/>
    <w:rsid w:val="009B17C8"/>
    <w:rsid w:val="009B17F9"/>
    <w:rsid w:val="009B19DB"/>
    <w:rsid w:val="009B1AA1"/>
    <w:rsid w:val="009B1CCB"/>
    <w:rsid w:val="009B1EC9"/>
    <w:rsid w:val="009B2388"/>
    <w:rsid w:val="009B267D"/>
    <w:rsid w:val="009B27B4"/>
    <w:rsid w:val="009B2C5F"/>
    <w:rsid w:val="009B2DFD"/>
    <w:rsid w:val="009B3359"/>
    <w:rsid w:val="009B3526"/>
    <w:rsid w:val="009B35F4"/>
    <w:rsid w:val="009B36AF"/>
    <w:rsid w:val="009B388B"/>
    <w:rsid w:val="009B3C1A"/>
    <w:rsid w:val="009B3F0A"/>
    <w:rsid w:val="009B4060"/>
    <w:rsid w:val="009B4538"/>
    <w:rsid w:val="009B464A"/>
    <w:rsid w:val="009B4679"/>
    <w:rsid w:val="009B49AD"/>
    <w:rsid w:val="009B49E1"/>
    <w:rsid w:val="009B4A2E"/>
    <w:rsid w:val="009B4B42"/>
    <w:rsid w:val="009B4DB7"/>
    <w:rsid w:val="009B4F28"/>
    <w:rsid w:val="009B503E"/>
    <w:rsid w:val="009B52DC"/>
    <w:rsid w:val="009B5A5C"/>
    <w:rsid w:val="009B5D62"/>
    <w:rsid w:val="009B5FD8"/>
    <w:rsid w:val="009B6540"/>
    <w:rsid w:val="009B6BAB"/>
    <w:rsid w:val="009B6CBF"/>
    <w:rsid w:val="009B6E30"/>
    <w:rsid w:val="009B6E91"/>
    <w:rsid w:val="009B6EC8"/>
    <w:rsid w:val="009B718A"/>
    <w:rsid w:val="009B7193"/>
    <w:rsid w:val="009B72EF"/>
    <w:rsid w:val="009B7334"/>
    <w:rsid w:val="009B73F8"/>
    <w:rsid w:val="009B786F"/>
    <w:rsid w:val="009B7916"/>
    <w:rsid w:val="009B7B0C"/>
    <w:rsid w:val="009B7B10"/>
    <w:rsid w:val="009B7BAA"/>
    <w:rsid w:val="009B7BCB"/>
    <w:rsid w:val="009B7E1D"/>
    <w:rsid w:val="009C0029"/>
    <w:rsid w:val="009C01C0"/>
    <w:rsid w:val="009C0229"/>
    <w:rsid w:val="009C033D"/>
    <w:rsid w:val="009C045E"/>
    <w:rsid w:val="009C0470"/>
    <w:rsid w:val="009C04D3"/>
    <w:rsid w:val="009C052A"/>
    <w:rsid w:val="009C061F"/>
    <w:rsid w:val="009C0A8F"/>
    <w:rsid w:val="009C102D"/>
    <w:rsid w:val="009C124B"/>
    <w:rsid w:val="009C12FC"/>
    <w:rsid w:val="009C131D"/>
    <w:rsid w:val="009C1475"/>
    <w:rsid w:val="009C1568"/>
    <w:rsid w:val="009C1692"/>
    <w:rsid w:val="009C16F1"/>
    <w:rsid w:val="009C1A1E"/>
    <w:rsid w:val="009C1B75"/>
    <w:rsid w:val="009C1BDA"/>
    <w:rsid w:val="009C1C64"/>
    <w:rsid w:val="009C2337"/>
    <w:rsid w:val="009C2E29"/>
    <w:rsid w:val="009C302A"/>
    <w:rsid w:val="009C303A"/>
    <w:rsid w:val="009C308B"/>
    <w:rsid w:val="009C33BD"/>
    <w:rsid w:val="009C344C"/>
    <w:rsid w:val="009C3505"/>
    <w:rsid w:val="009C38F6"/>
    <w:rsid w:val="009C396E"/>
    <w:rsid w:val="009C3D5F"/>
    <w:rsid w:val="009C3D8D"/>
    <w:rsid w:val="009C40E5"/>
    <w:rsid w:val="009C4AC0"/>
    <w:rsid w:val="009C4D33"/>
    <w:rsid w:val="009C5223"/>
    <w:rsid w:val="009C535A"/>
    <w:rsid w:val="009C5450"/>
    <w:rsid w:val="009C5BF5"/>
    <w:rsid w:val="009C5C58"/>
    <w:rsid w:val="009C62AC"/>
    <w:rsid w:val="009C66A5"/>
    <w:rsid w:val="009C69C0"/>
    <w:rsid w:val="009C6B43"/>
    <w:rsid w:val="009C6CAB"/>
    <w:rsid w:val="009C6EDD"/>
    <w:rsid w:val="009C7252"/>
    <w:rsid w:val="009C7311"/>
    <w:rsid w:val="009C7536"/>
    <w:rsid w:val="009C7620"/>
    <w:rsid w:val="009C7CB7"/>
    <w:rsid w:val="009C7F79"/>
    <w:rsid w:val="009C7FFB"/>
    <w:rsid w:val="009D0033"/>
    <w:rsid w:val="009D021A"/>
    <w:rsid w:val="009D055A"/>
    <w:rsid w:val="009D06E8"/>
    <w:rsid w:val="009D0A1D"/>
    <w:rsid w:val="009D0CFB"/>
    <w:rsid w:val="009D0EFD"/>
    <w:rsid w:val="009D1202"/>
    <w:rsid w:val="009D120C"/>
    <w:rsid w:val="009D14F7"/>
    <w:rsid w:val="009D1705"/>
    <w:rsid w:val="009D1C80"/>
    <w:rsid w:val="009D2153"/>
    <w:rsid w:val="009D21EE"/>
    <w:rsid w:val="009D24C3"/>
    <w:rsid w:val="009D25D0"/>
    <w:rsid w:val="009D265E"/>
    <w:rsid w:val="009D28C6"/>
    <w:rsid w:val="009D2921"/>
    <w:rsid w:val="009D2930"/>
    <w:rsid w:val="009D2B23"/>
    <w:rsid w:val="009D2E0C"/>
    <w:rsid w:val="009D2F62"/>
    <w:rsid w:val="009D3105"/>
    <w:rsid w:val="009D32CE"/>
    <w:rsid w:val="009D3549"/>
    <w:rsid w:val="009D3649"/>
    <w:rsid w:val="009D3994"/>
    <w:rsid w:val="009D3B28"/>
    <w:rsid w:val="009D3BF0"/>
    <w:rsid w:val="009D3CB3"/>
    <w:rsid w:val="009D4250"/>
    <w:rsid w:val="009D4295"/>
    <w:rsid w:val="009D42E3"/>
    <w:rsid w:val="009D443C"/>
    <w:rsid w:val="009D4691"/>
    <w:rsid w:val="009D4ACA"/>
    <w:rsid w:val="009D4E08"/>
    <w:rsid w:val="009D4E51"/>
    <w:rsid w:val="009D51F4"/>
    <w:rsid w:val="009D524C"/>
    <w:rsid w:val="009D53FA"/>
    <w:rsid w:val="009D582F"/>
    <w:rsid w:val="009D5997"/>
    <w:rsid w:val="009D5A7D"/>
    <w:rsid w:val="009D5ABA"/>
    <w:rsid w:val="009D5F3D"/>
    <w:rsid w:val="009D5F5E"/>
    <w:rsid w:val="009D64DF"/>
    <w:rsid w:val="009D6531"/>
    <w:rsid w:val="009D6566"/>
    <w:rsid w:val="009D65FD"/>
    <w:rsid w:val="009D67F3"/>
    <w:rsid w:val="009D6CDE"/>
    <w:rsid w:val="009D6DA6"/>
    <w:rsid w:val="009D71BA"/>
    <w:rsid w:val="009D72A2"/>
    <w:rsid w:val="009D7329"/>
    <w:rsid w:val="009D74ED"/>
    <w:rsid w:val="009D7574"/>
    <w:rsid w:val="009D75E8"/>
    <w:rsid w:val="009D7941"/>
    <w:rsid w:val="009D7C7C"/>
    <w:rsid w:val="009D7D12"/>
    <w:rsid w:val="009D7FFE"/>
    <w:rsid w:val="009E0626"/>
    <w:rsid w:val="009E06A6"/>
    <w:rsid w:val="009E0826"/>
    <w:rsid w:val="009E082D"/>
    <w:rsid w:val="009E0934"/>
    <w:rsid w:val="009E09AF"/>
    <w:rsid w:val="009E0AF0"/>
    <w:rsid w:val="009E0D23"/>
    <w:rsid w:val="009E0DBE"/>
    <w:rsid w:val="009E0E54"/>
    <w:rsid w:val="009E124C"/>
    <w:rsid w:val="009E154B"/>
    <w:rsid w:val="009E155C"/>
    <w:rsid w:val="009E1678"/>
    <w:rsid w:val="009E168D"/>
    <w:rsid w:val="009E177E"/>
    <w:rsid w:val="009E1A51"/>
    <w:rsid w:val="009E1A8E"/>
    <w:rsid w:val="009E1B0A"/>
    <w:rsid w:val="009E1C61"/>
    <w:rsid w:val="009E1E24"/>
    <w:rsid w:val="009E1F53"/>
    <w:rsid w:val="009E20D7"/>
    <w:rsid w:val="009E22CB"/>
    <w:rsid w:val="009E22E9"/>
    <w:rsid w:val="009E24C5"/>
    <w:rsid w:val="009E2A65"/>
    <w:rsid w:val="009E2AC9"/>
    <w:rsid w:val="009E2B40"/>
    <w:rsid w:val="009E2B6D"/>
    <w:rsid w:val="009E2D29"/>
    <w:rsid w:val="009E2F5E"/>
    <w:rsid w:val="009E30DF"/>
    <w:rsid w:val="009E3108"/>
    <w:rsid w:val="009E316C"/>
    <w:rsid w:val="009E316F"/>
    <w:rsid w:val="009E35B3"/>
    <w:rsid w:val="009E37D7"/>
    <w:rsid w:val="009E3A72"/>
    <w:rsid w:val="009E3BD7"/>
    <w:rsid w:val="009E3CC3"/>
    <w:rsid w:val="009E40D8"/>
    <w:rsid w:val="009E46B9"/>
    <w:rsid w:val="009E4ACD"/>
    <w:rsid w:val="009E4CA1"/>
    <w:rsid w:val="009E4F46"/>
    <w:rsid w:val="009E521E"/>
    <w:rsid w:val="009E52B2"/>
    <w:rsid w:val="009E5347"/>
    <w:rsid w:val="009E53B1"/>
    <w:rsid w:val="009E558D"/>
    <w:rsid w:val="009E56B9"/>
    <w:rsid w:val="009E5ABA"/>
    <w:rsid w:val="009E5E79"/>
    <w:rsid w:val="009E5F9A"/>
    <w:rsid w:val="009E5FD5"/>
    <w:rsid w:val="009E6470"/>
    <w:rsid w:val="009E64D9"/>
    <w:rsid w:val="009E6891"/>
    <w:rsid w:val="009E6B82"/>
    <w:rsid w:val="009E6F1C"/>
    <w:rsid w:val="009E721E"/>
    <w:rsid w:val="009E73F4"/>
    <w:rsid w:val="009E73F5"/>
    <w:rsid w:val="009E7591"/>
    <w:rsid w:val="009E782C"/>
    <w:rsid w:val="009E7C20"/>
    <w:rsid w:val="009E7F67"/>
    <w:rsid w:val="009F0017"/>
    <w:rsid w:val="009F03AB"/>
    <w:rsid w:val="009F03F9"/>
    <w:rsid w:val="009F04A5"/>
    <w:rsid w:val="009F054C"/>
    <w:rsid w:val="009F06F8"/>
    <w:rsid w:val="009F0CE2"/>
    <w:rsid w:val="009F0DF9"/>
    <w:rsid w:val="009F0F33"/>
    <w:rsid w:val="009F0FDF"/>
    <w:rsid w:val="009F135B"/>
    <w:rsid w:val="009F1639"/>
    <w:rsid w:val="009F1A67"/>
    <w:rsid w:val="009F1C42"/>
    <w:rsid w:val="009F1F3A"/>
    <w:rsid w:val="009F21A3"/>
    <w:rsid w:val="009F2460"/>
    <w:rsid w:val="009F24EE"/>
    <w:rsid w:val="009F2584"/>
    <w:rsid w:val="009F2738"/>
    <w:rsid w:val="009F28C6"/>
    <w:rsid w:val="009F29A5"/>
    <w:rsid w:val="009F2C41"/>
    <w:rsid w:val="009F2C75"/>
    <w:rsid w:val="009F2D27"/>
    <w:rsid w:val="009F31B9"/>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48E"/>
    <w:rsid w:val="009F44AE"/>
    <w:rsid w:val="009F45D5"/>
    <w:rsid w:val="009F462A"/>
    <w:rsid w:val="009F488E"/>
    <w:rsid w:val="009F4924"/>
    <w:rsid w:val="009F4A93"/>
    <w:rsid w:val="009F4E4A"/>
    <w:rsid w:val="009F54D7"/>
    <w:rsid w:val="009F5815"/>
    <w:rsid w:val="009F5B71"/>
    <w:rsid w:val="009F5E41"/>
    <w:rsid w:val="009F60F3"/>
    <w:rsid w:val="009F6194"/>
    <w:rsid w:val="009F628E"/>
    <w:rsid w:val="009F6327"/>
    <w:rsid w:val="009F6527"/>
    <w:rsid w:val="009F66D2"/>
    <w:rsid w:val="009F672D"/>
    <w:rsid w:val="009F6A3E"/>
    <w:rsid w:val="009F6BC9"/>
    <w:rsid w:val="009F6D23"/>
    <w:rsid w:val="009F6DD4"/>
    <w:rsid w:val="009F6E61"/>
    <w:rsid w:val="009F7159"/>
    <w:rsid w:val="009F7519"/>
    <w:rsid w:val="009F778B"/>
    <w:rsid w:val="009F784E"/>
    <w:rsid w:val="009F7881"/>
    <w:rsid w:val="009F7AFB"/>
    <w:rsid w:val="009F7DCD"/>
    <w:rsid w:val="009F7ECD"/>
    <w:rsid w:val="009F7F6F"/>
    <w:rsid w:val="00A004B0"/>
    <w:rsid w:val="00A005E7"/>
    <w:rsid w:val="00A006F3"/>
    <w:rsid w:val="00A0089F"/>
    <w:rsid w:val="00A008C5"/>
    <w:rsid w:val="00A00A93"/>
    <w:rsid w:val="00A00BEF"/>
    <w:rsid w:val="00A00C09"/>
    <w:rsid w:val="00A01128"/>
    <w:rsid w:val="00A0129A"/>
    <w:rsid w:val="00A01432"/>
    <w:rsid w:val="00A015F3"/>
    <w:rsid w:val="00A01750"/>
    <w:rsid w:val="00A01D34"/>
    <w:rsid w:val="00A01DEB"/>
    <w:rsid w:val="00A01E81"/>
    <w:rsid w:val="00A02156"/>
    <w:rsid w:val="00A0225A"/>
    <w:rsid w:val="00A026FD"/>
    <w:rsid w:val="00A02764"/>
    <w:rsid w:val="00A0285D"/>
    <w:rsid w:val="00A029BC"/>
    <w:rsid w:val="00A02E43"/>
    <w:rsid w:val="00A02E81"/>
    <w:rsid w:val="00A02EFB"/>
    <w:rsid w:val="00A02FA8"/>
    <w:rsid w:val="00A03142"/>
    <w:rsid w:val="00A03212"/>
    <w:rsid w:val="00A032A3"/>
    <w:rsid w:val="00A036CF"/>
    <w:rsid w:val="00A036E4"/>
    <w:rsid w:val="00A03E61"/>
    <w:rsid w:val="00A04115"/>
    <w:rsid w:val="00A0433D"/>
    <w:rsid w:val="00A04384"/>
    <w:rsid w:val="00A04684"/>
    <w:rsid w:val="00A04864"/>
    <w:rsid w:val="00A04868"/>
    <w:rsid w:val="00A04913"/>
    <w:rsid w:val="00A04B03"/>
    <w:rsid w:val="00A050C3"/>
    <w:rsid w:val="00A0549B"/>
    <w:rsid w:val="00A05632"/>
    <w:rsid w:val="00A058A3"/>
    <w:rsid w:val="00A05A9E"/>
    <w:rsid w:val="00A05B77"/>
    <w:rsid w:val="00A05C1B"/>
    <w:rsid w:val="00A05D0D"/>
    <w:rsid w:val="00A05D7C"/>
    <w:rsid w:val="00A05EDE"/>
    <w:rsid w:val="00A05F55"/>
    <w:rsid w:val="00A06125"/>
    <w:rsid w:val="00A06127"/>
    <w:rsid w:val="00A06671"/>
    <w:rsid w:val="00A06748"/>
    <w:rsid w:val="00A06B03"/>
    <w:rsid w:val="00A06C49"/>
    <w:rsid w:val="00A06D61"/>
    <w:rsid w:val="00A06E35"/>
    <w:rsid w:val="00A0749B"/>
    <w:rsid w:val="00A0766A"/>
    <w:rsid w:val="00A07787"/>
    <w:rsid w:val="00A07C5C"/>
    <w:rsid w:val="00A07E5F"/>
    <w:rsid w:val="00A07F0F"/>
    <w:rsid w:val="00A1023E"/>
    <w:rsid w:val="00A1027E"/>
    <w:rsid w:val="00A109A3"/>
    <w:rsid w:val="00A109B4"/>
    <w:rsid w:val="00A10A06"/>
    <w:rsid w:val="00A10AEF"/>
    <w:rsid w:val="00A10D2D"/>
    <w:rsid w:val="00A10F68"/>
    <w:rsid w:val="00A1129E"/>
    <w:rsid w:val="00A11568"/>
    <w:rsid w:val="00A1167F"/>
    <w:rsid w:val="00A11A10"/>
    <w:rsid w:val="00A11A96"/>
    <w:rsid w:val="00A11BA7"/>
    <w:rsid w:val="00A11BC5"/>
    <w:rsid w:val="00A11D2F"/>
    <w:rsid w:val="00A11E26"/>
    <w:rsid w:val="00A11FE8"/>
    <w:rsid w:val="00A11FEA"/>
    <w:rsid w:val="00A126D9"/>
    <w:rsid w:val="00A128F7"/>
    <w:rsid w:val="00A12935"/>
    <w:rsid w:val="00A12A7E"/>
    <w:rsid w:val="00A12A9F"/>
    <w:rsid w:val="00A12E56"/>
    <w:rsid w:val="00A12EB0"/>
    <w:rsid w:val="00A13006"/>
    <w:rsid w:val="00A13109"/>
    <w:rsid w:val="00A1317D"/>
    <w:rsid w:val="00A138E8"/>
    <w:rsid w:val="00A13A2A"/>
    <w:rsid w:val="00A13C65"/>
    <w:rsid w:val="00A13F62"/>
    <w:rsid w:val="00A13F83"/>
    <w:rsid w:val="00A13FCE"/>
    <w:rsid w:val="00A141A3"/>
    <w:rsid w:val="00A142CF"/>
    <w:rsid w:val="00A142D8"/>
    <w:rsid w:val="00A14511"/>
    <w:rsid w:val="00A1455E"/>
    <w:rsid w:val="00A146C9"/>
    <w:rsid w:val="00A148A2"/>
    <w:rsid w:val="00A1497D"/>
    <w:rsid w:val="00A149A5"/>
    <w:rsid w:val="00A149A7"/>
    <w:rsid w:val="00A14A04"/>
    <w:rsid w:val="00A14D2B"/>
    <w:rsid w:val="00A14E4B"/>
    <w:rsid w:val="00A14EDF"/>
    <w:rsid w:val="00A14EF0"/>
    <w:rsid w:val="00A152D7"/>
    <w:rsid w:val="00A154BB"/>
    <w:rsid w:val="00A156D5"/>
    <w:rsid w:val="00A15A05"/>
    <w:rsid w:val="00A15A91"/>
    <w:rsid w:val="00A15AC7"/>
    <w:rsid w:val="00A15C5B"/>
    <w:rsid w:val="00A15F53"/>
    <w:rsid w:val="00A1619C"/>
    <w:rsid w:val="00A161ED"/>
    <w:rsid w:val="00A16204"/>
    <w:rsid w:val="00A16BCD"/>
    <w:rsid w:val="00A16E43"/>
    <w:rsid w:val="00A16F69"/>
    <w:rsid w:val="00A16F78"/>
    <w:rsid w:val="00A17082"/>
    <w:rsid w:val="00A1720A"/>
    <w:rsid w:val="00A17590"/>
    <w:rsid w:val="00A17992"/>
    <w:rsid w:val="00A17D4A"/>
    <w:rsid w:val="00A17F70"/>
    <w:rsid w:val="00A20346"/>
    <w:rsid w:val="00A2039F"/>
    <w:rsid w:val="00A203B1"/>
    <w:rsid w:val="00A203CE"/>
    <w:rsid w:val="00A20673"/>
    <w:rsid w:val="00A206AA"/>
    <w:rsid w:val="00A2079E"/>
    <w:rsid w:val="00A208FF"/>
    <w:rsid w:val="00A20991"/>
    <w:rsid w:val="00A20ADD"/>
    <w:rsid w:val="00A20E26"/>
    <w:rsid w:val="00A210FC"/>
    <w:rsid w:val="00A21A8C"/>
    <w:rsid w:val="00A21B21"/>
    <w:rsid w:val="00A21C76"/>
    <w:rsid w:val="00A21D76"/>
    <w:rsid w:val="00A21DE1"/>
    <w:rsid w:val="00A21F58"/>
    <w:rsid w:val="00A2276E"/>
    <w:rsid w:val="00A228BD"/>
    <w:rsid w:val="00A22A8B"/>
    <w:rsid w:val="00A22C34"/>
    <w:rsid w:val="00A22C7B"/>
    <w:rsid w:val="00A22CDD"/>
    <w:rsid w:val="00A23114"/>
    <w:rsid w:val="00A2311A"/>
    <w:rsid w:val="00A23314"/>
    <w:rsid w:val="00A23356"/>
    <w:rsid w:val="00A23563"/>
    <w:rsid w:val="00A23A2C"/>
    <w:rsid w:val="00A23A66"/>
    <w:rsid w:val="00A23D91"/>
    <w:rsid w:val="00A242FB"/>
    <w:rsid w:val="00A244DC"/>
    <w:rsid w:val="00A24657"/>
    <w:rsid w:val="00A24725"/>
    <w:rsid w:val="00A24A20"/>
    <w:rsid w:val="00A24C1D"/>
    <w:rsid w:val="00A24C46"/>
    <w:rsid w:val="00A24D55"/>
    <w:rsid w:val="00A24DF9"/>
    <w:rsid w:val="00A24F3F"/>
    <w:rsid w:val="00A25158"/>
    <w:rsid w:val="00A252BC"/>
    <w:rsid w:val="00A2568B"/>
    <w:rsid w:val="00A25811"/>
    <w:rsid w:val="00A258B0"/>
    <w:rsid w:val="00A25BCE"/>
    <w:rsid w:val="00A25C32"/>
    <w:rsid w:val="00A25C76"/>
    <w:rsid w:val="00A25F69"/>
    <w:rsid w:val="00A260E5"/>
    <w:rsid w:val="00A264A7"/>
    <w:rsid w:val="00A26C78"/>
    <w:rsid w:val="00A26E3F"/>
    <w:rsid w:val="00A26EDC"/>
    <w:rsid w:val="00A2730C"/>
    <w:rsid w:val="00A274C3"/>
    <w:rsid w:val="00A2759E"/>
    <w:rsid w:val="00A27746"/>
    <w:rsid w:val="00A27ADD"/>
    <w:rsid w:val="00A27B99"/>
    <w:rsid w:val="00A30010"/>
    <w:rsid w:val="00A3026B"/>
    <w:rsid w:val="00A3055D"/>
    <w:rsid w:val="00A3064A"/>
    <w:rsid w:val="00A30A10"/>
    <w:rsid w:val="00A30A4D"/>
    <w:rsid w:val="00A30B53"/>
    <w:rsid w:val="00A30CAC"/>
    <w:rsid w:val="00A30DD4"/>
    <w:rsid w:val="00A30F4E"/>
    <w:rsid w:val="00A311B4"/>
    <w:rsid w:val="00A3122C"/>
    <w:rsid w:val="00A31340"/>
    <w:rsid w:val="00A313F7"/>
    <w:rsid w:val="00A315C8"/>
    <w:rsid w:val="00A31740"/>
    <w:rsid w:val="00A31CC3"/>
    <w:rsid w:val="00A31F2F"/>
    <w:rsid w:val="00A31FFB"/>
    <w:rsid w:val="00A32199"/>
    <w:rsid w:val="00A323B1"/>
    <w:rsid w:val="00A3280E"/>
    <w:rsid w:val="00A328E6"/>
    <w:rsid w:val="00A32FAB"/>
    <w:rsid w:val="00A33061"/>
    <w:rsid w:val="00A33248"/>
    <w:rsid w:val="00A336E6"/>
    <w:rsid w:val="00A336EC"/>
    <w:rsid w:val="00A3377A"/>
    <w:rsid w:val="00A337BA"/>
    <w:rsid w:val="00A33926"/>
    <w:rsid w:val="00A33AC8"/>
    <w:rsid w:val="00A33B73"/>
    <w:rsid w:val="00A3454A"/>
    <w:rsid w:val="00A346C4"/>
    <w:rsid w:val="00A34AF1"/>
    <w:rsid w:val="00A34C36"/>
    <w:rsid w:val="00A34E70"/>
    <w:rsid w:val="00A34FC5"/>
    <w:rsid w:val="00A350F1"/>
    <w:rsid w:val="00A35217"/>
    <w:rsid w:val="00A3528D"/>
    <w:rsid w:val="00A360B8"/>
    <w:rsid w:val="00A3612E"/>
    <w:rsid w:val="00A364A1"/>
    <w:rsid w:val="00A364E0"/>
    <w:rsid w:val="00A36BE7"/>
    <w:rsid w:val="00A36C7D"/>
    <w:rsid w:val="00A36CDE"/>
    <w:rsid w:val="00A36DC4"/>
    <w:rsid w:val="00A36E66"/>
    <w:rsid w:val="00A371DF"/>
    <w:rsid w:val="00A37370"/>
    <w:rsid w:val="00A3749B"/>
    <w:rsid w:val="00A37511"/>
    <w:rsid w:val="00A3756B"/>
    <w:rsid w:val="00A37AB4"/>
    <w:rsid w:val="00A37B6B"/>
    <w:rsid w:val="00A37CEB"/>
    <w:rsid w:val="00A37D56"/>
    <w:rsid w:val="00A37D7F"/>
    <w:rsid w:val="00A37DA3"/>
    <w:rsid w:val="00A37FA3"/>
    <w:rsid w:val="00A37FF4"/>
    <w:rsid w:val="00A4046A"/>
    <w:rsid w:val="00A40607"/>
    <w:rsid w:val="00A40667"/>
    <w:rsid w:val="00A408EB"/>
    <w:rsid w:val="00A4093D"/>
    <w:rsid w:val="00A40C56"/>
    <w:rsid w:val="00A40E1C"/>
    <w:rsid w:val="00A40E72"/>
    <w:rsid w:val="00A40E9E"/>
    <w:rsid w:val="00A40EB4"/>
    <w:rsid w:val="00A40EDC"/>
    <w:rsid w:val="00A41189"/>
    <w:rsid w:val="00A411F5"/>
    <w:rsid w:val="00A41227"/>
    <w:rsid w:val="00A41551"/>
    <w:rsid w:val="00A417F4"/>
    <w:rsid w:val="00A419C4"/>
    <w:rsid w:val="00A419E5"/>
    <w:rsid w:val="00A41BE4"/>
    <w:rsid w:val="00A41D92"/>
    <w:rsid w:val="00A41E20"/>
    <w:rsid w:val="00A420F5"/>
    <w:rsid w:val="00A42165"/>
    <w:rsid w:val="00A42518"/>
    <w:rsid w:val="00A425E1"/>
    <w:rsid w:val="00A42709"/>
    <w:rsid w:val="00A4279A"/>
    <w:rsid w:val="00A42839"/>
    <w:rsid w:val="00A42BDC"/>
    <w:rsid w:val="00A42C9F"/>
    <w:rsid w:val="00A42E89"/>
    <w:rsid w:val="00A4355A"/>
    <w:rsid w:val="00A43641"/>
    <w:rsid w:val="00A4365E"/>
    <w:rsid w:val="00A4399E"/>
    <w:rsid w:val="00A43A93"/>
    <w:rsid w:val="00A43C72"/>
    <w:rsid w:val="00A4439B"/>
    <w:rsid w:val="00A445C9"/>
    <w:rsid w:val="00A44846"/>
    <w:rsid w:val="00A448BF"/>
    <w:rsid w:val="00A44B66"/>
    <w:rsid w:val="00A44E8D"/>
    <w:rsid w:val="00A4500E"/>
    <w:rsid w:val="00A4528F"/>
    <w:rsid w:val="00A452F4"/>
    <w:rsid w:val="00A45373"/>
    <w:rsid w:val="00A454AF"/>
    <w:rsid w:val="00A46175"/>
    <w:rsid w:val="00A461DC"/>
    <w:rsid w:val="00A4626A"/>
    <w:rsid w:val="00A465F0"/>
    <w:rsid w:val="00A46723"/>
    <w:rsid w:val="00A4677A"/>
    <w:rsid w:val="00A46B05"/>
    <w:rsid w:val="00A470BC"/>
    <w:rsid w:val="00A47C90"/>
    <w:rsid w:val="00A47E12"/>
    <w:rsid w:val="00A501AC"/>
    <w:rsid w:val="00A5044E"/>
    <w:rsid w:val="00A50677"/>
    <w:rsid w:val="00A509EF"/>
    <w:rsid w:val="00A50B1C"/>
    <w:rsid w:val="00A5121C"/>
    <w:rsid w:val="00A5146E"/>
    <w:rsid w:val="00A516B3"/>
    <w:rsid w:val="00A51758"/>
    <w:rsid w:val="00A51812"/>
    <w:rsid w:val="00A51ADA"/>
    <w:rsid w:val="00A51BDB"/>
    <w:rsid w:val="00A52098"/>
    <w:rsid w:val="00A52315"/>
    <w:rsid w:val="00A5246C"/>
    <w:rsid w:val="00A526BE"/>
    <w:rsid w:val="00A527B9"/>
    <w:rsid w:val="00A52905"/>
    <w:rsid w:val="00A52A45"/>
    <w:rsid w:val="00A52DE5"/>
    <w:rsid w:val="00A52F39"/>
    <w:rsid w:val="00A52F78"/>
    <w:rsid w:val="00A530AA"/>
    <w:rsid w:val="00A530F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E44"/>
    <w:rsid w:val="00A54F42"/>
    <w:rsid w:val="00A551DB"/>
    <w:rsid w:val="00A55531"/>
    <w:rsid w:val="00A55FB3"/>
    <w:rsid w:val="00A560D0"/>
    <w:rsid w:val="00A560F2"/>
    <w:rsid w:val="00A561CB"/>
    <w:rsid w:val="00A56297"/>
    <w:rsid w:val="00A56476"/>
    <w:rsid w:val="00A564AE"/>
    <w:rsid w:val="00A567CB"/>
    <w:rsid w:val="00A56932"/>
    <w:rsid w:val="00A56B30"/>
    <w:rsid w:val="00A5702B"/>
    <w:rsid w:val="00A57082"/>
    <w:rsid w:val="00A57196"/>
    <w:rsid w:val="00A57A21"/>
    <w:rsid w:val="00A57D89"/>
    <w:rsid w:val="00A57D9C"/>
    <w:rsid w:val="00A57DB5"/>
    <w:rsid w:val="00A6002C"/>
    <w:rsid w:val="00A602D1"/>
    <w:rsid w:val="00A60764"/>
    <w:rsid w:val="00A608FA"/>
    <w:rsid w:val="00A6096D"/>
    <w:rsid w:val="00A60D14"/>
    <w:rsid w:val="00A61130"/>
    <w:rsid w:val="00A615BC"/>
    <w:rsid w:val="00A615C5"/>
    <w:rsid w:val="00A61BE8"/>
    <w:rsid w:val="00A61FB3"/>
    <w:rsid w:val="00A62487"/>
    <w:rsid w:val="00A627EF"/>
    <w:rsid w:val="00A628DB"/>
    <w:rsid w:val="00A62E01"/>
    <w:rsid w:val="00A62F99"/>
    <w:rsid w:val="00A634E8"/>
    <w:rsid w:val="00A63678"/>
    <w:rsid w:val="00A63696"/>
    <w:rsid w:val="00A636F9"/>
    <w:rsid w:val="00A63831"/>
    <w:rsid w:val="00A638AE"/>
    <w:rsid w:val="00A63923"/>
    <w:rsid w:val="00A639D4"/>
    <w:rsid w:val="00A63AA3"/>
    <w:rsid w:val="00A63B45"/>
    <w:rsid w:val="00A63BF5"/>
    <w:rsid w:val="00A63C3A"/>
    <w:rsid w:val="00A64437"/>
    <w:rsid w:val="00A646F5"/>
    <w:rsid w:val="00A64C2E"/>
    <w:rsid w:val="00A64ED4"/>
    <w:rsid w:val="00A652BE"/>
    <w:rsid w:val="00A65596"/>
    <w:rsid w:val="00A6559A"/>
    <w:rsid w:val="00A6591F"/>
    <w:rsid w:val="00A65945"/>
    <w:rsid w:val="00A65A41"/>
    <w:rsid w:val="00A65AA4"/>
    <w:rsid w:val="00A65ACB"/>
    <w:rsid w:val="00A65C8B"/>
    <w:rsid w:val="00A6605C"/>
    <w:rsid w:val="00A661C9"/>
    <w:rsid w:val="00A6628D"/>
    <w:rsid w:val="00A662C1"/>
    <w:rsid w:val="00A6667F"/>
    <w:rsid w:val="00A667E4"/>
    <w:rsid w:val="00A669F1"/>
    <w:rsid w:val="00A66A32"/>
    <w:rsid w:val="00A66B0C"/>
    <w:rsid w:val="00A66B33"/>
    <w:rsid w:val="00A66D31"/>
    <w:rsid w:val="00A66DD3"/>
    <w:rsid w:val="00A66E6B"/>
    <w:rsid w:val="00A66FFA"/>
    <w:rsid w:val="00A6759B"/>
    <w:rsid w:val="00A67649"/>
    <w:rsid w:val="00A6777F"/>
    <w:rsid w:val="00A679E7"/>
    <w:rsid w:val="00A67C21"/>
    <w:rsid w:val="00A67FD9"/>
    <w:rsid w:val="00A705BC"/>
    <w:rsid w:val="00A70805"/>
    <w:rsid w:val="00A70D04"/>
    <w:rsid w:val="00A71526"/>
    <w:rsid w:val="00A71A0B"/>
    <w:rsid w:val="00A71AAA"/>
    <w:rsid w:val="00A71B58"/>
    <w:rsid w:val="00A71C6F"/>
    <w:rsid w:val="00A71FA0"/>
    <w:rsid w:val="00A723E4"/>
    <w:rsid w:val="00A723EB"/>
    <w:rsid w:val="00A7259F"/>
    <w:rsid w:val="00A72777"/>
    <w:rsid w:val="00A72876"/>
    <w:rsid w:val="00A7297F"/>
    <w:rsid w:val="00A72A71"/>
    <w:rsid w:val="00A72C83"/>
    <w:rsid w:val="00A72E92"/>
    <w:rsid w:val="00A72FE9"/>
    <w:rsid w:val="00A732D3"/>
    <w:rsid w:val="00A7337E"/>
    <w:rsid w:val="00A733CB"/>
    <w:rsid w:val="00A73AB2"/>
    <w:rsid w:val="00A73D71"/>
    <w:rsid w:val="00A73E50"/>
    <w:rsid w:val="00A74134"/>
    <w:rsid w:val="00A741BF"/>
    <w:rsid w:val="00A744BB"/>
    <w:rsid w:val="00A7470E"/>
    <w:rsid w:val="00A7478F"/>
    <w:rsid w:val="00A7479F"/>
    <w:rsid w:val="00A747B9"/>
    <w:rsid w:val="00A74849"/>
    <w:rsid w:val="00A74983"/>
    <w:rsid w:val="00A74CE8"/>
    <w:rsid w:val="00A74D93"/>
    <w:rsid w:val="00A753EA"/>
    <w:rsid w:val="00A75540"/>
    <w:rsid w:val="00A755B1"/>
    <w:rsid w:val="00A756AF"/>
    <w:rsid w:val="00A75986"/>
    <w:rsid w:val="00A75A23"/>
    <w:rsid w:val="00A75A2B"/>
    <w:rsid w:val="00A760D4"/>
    <w:rsid w:val="00A76452"/>
    <w:rsid w:val="00A765C0"/>
    <w:rsid w:val="00A7669E"/>
    <w:rsid w:val="00A7688A"/>
    <w:rsid w:val="00A76AE1"/>
    <w:rsid w:val="00A76BFF"/>
    <w:rsid w:val="00A76C4D"/>
    <w:rsid w:val="00A76DD2"/>
    <w:rsid w:val="00A76F48"/>
    <w:rsid w:val="00A76FBA"/>
    <w:rsid w:val="00A77124"/>
    <w:rsid w:val="00A77315"/>
    <w:rsid w:val="00A773B4"/>
    <w:rsid w:val="00A7768A"/>
    <w:rsid w:val="00A776D8"/>
    <w:rsid w:val="00A777D6"/>
    <w:rsid w:val="00A77978"/>
    <w:rsid w:val="00A77A2A"/>
    <w:rsid w:val="00A77FDA"/>
    <w:rsid w:val="00A8000F"/>
    <w:rsid w:val="00A80244"/>
    <w:rsid w:val="00A802CE"/>
    <w:rsid w:val="00A802D9"/>
    <w:rsid w:val="00A803B2"/>
    <w:rsid w:val="00A8060D"/>
    <w:rsid w:val="00A80748"/>
    <w:rsid w:val="00A807E5"/>
    <w:rsid w:val="00A80A58"/>
    <w:rsid w:val="00A80B60"/>
    <w:rsid w:val="00A80E14"/>
    <w:rsid w:val="00A81271"/>
    <w:rsid w:val="00A812D7"/>
    <w:rsid w:val="00A814E5"/>
    <w:rsid w:val="00A81648"/>
    <w:rsid w:val="00A81714"/>
    <w:rsid w:val="00A81B56"/>
    <w:rsid w:val="00A81BBD"/>
    <w:rsid w:val="00A81FA8"/>
    <w:rsid w:val="00A82008"/>
    <w:rsid w:val="00A82314"/>
    <w:rsid w:val="00A82320"/>
    <w:rsid w:val="00A824B7"/>
    <w:rsid w:val="00A8283A"/>
    <w:rsid w:val="00A829E5"/>
    <w:rsid w:val="00A82FA9"/>
    <w:rsid w:val="00A82FFD"/>
    <w:rsid w:val="00A8325F"/>
    <w:rsid w:val="00A83284"/>
    <w:rsid w:val="00A8344B"/>
    <w:rsid w:val="00A835D5"/>
    <w:rsid w:val="00A835FC"/>
    <w:rsid w:val="00A8399D"/>
    <w:rsid w:val="00A839E7"/>
    <w:rsid w:val="00A83A76"/>
    <w:rsid w:val="00A83A87"/>
    <w:rsid w:val="00A83AD5"/>
    <w:rsid w:val="00A83C80"/>
    <w:rsid w:val="00A840EF"/>
    <w:rsid w:val="00A843E1"/>
    <w:rsid w:val="00A844FF"/>
    <w:rsid w:val="00A84608"/>
    <w:rsid w:val="00A8463A"/>
    <w:rsid w:val="00A847CD"/>
    <w:rsid w:val="00A84883"/>
    <w:rsid w:val="00A848C0"/>
    <w:rsid w:val="00A84948"/>
    <w:rsid w:val="00A852A6"/>
    <w:rsid w:val="00A852B4"/>
    <w:rsid w:val="00A85301"/>
    <w:rsid w:val="00A85334"/>
    <w:rsid w:val="00A854EB"/>
    <w:rsid w:val="00A856F8"/>
    <w:rsid w:val="00A85721"/>
    <w:rsid w:val="00A857AD"/>
    <w:rsid w:val="00A85D38"/>
    <w:rsid w:val="00A85D93"/>
    <w:rsid w:val="00A85EE2"/>
    <w:rsid w:val="00A861C5"/>
    <w:rsid w:val="00A862B3"/>
    <w:rsid w:val="00A8636F"/>
    <w:rsid w:val="00A86732"/>
    <w:rsid w:val="00A86849"/>
    <w:rsid w:val="00A868BF"/>
    <w:rsid w:val="00A86B52"/>
    <w:rsid w:val="00A86D67"/>
    <w:rsid w:val="00A87224"/>
    <w:rsid w:val="00A8723B"/>
    <w:rsid w:val="00A8732D"/>
    <w:rsid w:val="00A8739D"/>
    <w:rsid w:val="00A875E0"/>
    <w:rsid w:val="00A87849"/>
    <w:rsid w:val="00A879E9"/>
    <w:rsid w:val="00A87B12"/>
    <w:rsid w:val="00A87C05"/>
    <w:rsid w:val="00A90252"/>
    <w:rsid w:val="00A90723"/>
    <w:rsid w:val="00A90937"/>
    <w:rsid w:val="00A90B2D"/>
    <w:rsid w:val="00A90F45"/>
    <w:rsid w:val="00A91213"/>
    <w:rsid w:val="00A91220"/>
    <w:rsid w:val="00A91262"/>
    <w:rsid w:val="00A91625"/>
    <w:rsid w:val="00A9184D"/>
    <w:rsid w:val="00A9199C"/>
    <w:rsid w:val="00A91A83"/>
    <w:rsid w:val="00A91C67"/>
    <w:rsid w:val="00A91FBA"/>
    <w:rsid w:val="00A9206B"/>
    <w:rsid w:val="00A921D9"/>
    <w:rsid w:val="00A924BD"/>
    <w:rsid w:val="00A9268D"/>
    <w:rsid w:val="00A9283B"/>
    <w:rsid w:val="00A92CB3"/>
    <w:rsid w:val="00A92E75"/>
    <w:rsid w:val="00A92FDD"/>
    <w:rsid w:val="00A934D8"/>
    <w:rsid w:val="00A93548"/>
    <w:rsid w:val="00A93801"/>
    <w:rsid w:val="00A939D4"/>
    <w:rsid w:val="00A93B97"/>
    <w:rsid w:val="00A93D6C"/>
    <w:rsid w:val="00A93DD0"/>
    <w:rsid w:val="00A940D9"/>
    <w:rsid w:val="00A940EB"/>
    <w:rsid w:val="00A9429B"/>
    <w:rsid w:val="00A943D7"/>
    <w:rsid w:val="00A94411"/>
    <w:rsid w:val="00A94457"/>
    <w:rsid w:val="00A94483"/>
    <w:rsid w:val="00A94A04"/>
    <w:rsid w:val="00A94A34"/>
    <w:rsid w:val="00A94B6E"/>
    <w:rsid w:val="00A94D4C"/>
    <w:rsid w:val="00A94DC6"/>
    <w:rsid w:val="00A95246"/>
    <w:rsid w:val="00A953B8"/>
    <w:rsid w:val="00A95513"/>
    <w:rsid w:val="00A95585"/>
    <w:rsid w:val="00A95848"/>
    <w:rsid w:val="00A95A89"/>
    <w:rsid w:val="00A95AC2"/>
    <w:rsid w:val="00A95AEE"/>
    <w:rsid w:val="00A95CFB"/>
    <w:rsid w:val="00A95E02"/>
    <w:rsid w:val="00A96374"/>
    <w:rsid w:val="00A963B4"/>
    <w:rsid w:val="00A963C9"/>
    <w:rsid w:val="00A964CF"/>
    <w:rsid w:val="00A965B2"/>
    <w:rsid w:val="00A96648"/>
    <w:rsid w:val="00A966FE"/>
    <w:rsid w:val="00A968FA"/>
    <w:rsid w:val="00A96E06"/>
    <w:rsid w:val="00A971B5"/>
    <w:rsid w:val="00A972E1"/>
    <w:rsid w:val="00A976B2"/>
    <w:rsid w:val="00A976B4"/>
    <w:rsid w:val="00A97CF5"/>
    <w:rsid w:val="00A97E89"/>
    <w:rsid w:val="00AA024C"/>
    <w:rsid w:val="00AA03D8"/>
    <w:rsid w:val="00AA0607"/>
    <w:rsid w:val="00AA0817"/>
    <w:rsid w:val="00AA0ABE"/>
    <w:rsid w:val="00AA0AFD"/>
    <w:rsid w:val="00AA1080"/>
    <w:rsid w:val="00AA14D1"/>
    <w:rsid w:val="00AA1786"/>
    <w:rsid w:val="00AA1AB8"/>
    <w:rsid w:val="00AA1E6B"/>
    <w:rsid w:val="00AA1E85"/>
    <w:rsid w:val="00AA1F39"/>
    <w:rsid w:val="00AA20DE"/>
    <w:rsid w:val="00AA237B"/>
    <w:rsid w:val="00AA242F"/>
    <w:rsid w:val="00AA25A3"/>
    <w:rsid w:val="00AA2C2D"/>
    <w:rsid w:val="00AA2D60"/>
    <w:rsid w:val="00AA2F74"/>
    <w:rsid w:val="00AA30C6"/>
    <w:rsid w:val="00AA3126"/>
    <w:rsid w:val="00AA3868"/>
    <w:rsid w:val="00AA3E1F"/>
    <w:rsid w:val="00AA4053"/>
    <w:rsid w:val="00AA4086"/>
    <w:rsid w:val="00AA40AA"/>
    <w:rsid w:val="00AA41C3"/>
    <w:rsid w:val="00AA4250"/>
    <w:rsid w:val="00AA444B"/>
    <w:rsid w:val="00AA4492"/>
    <w:rsid w:val="00AA4839"/>
    <w:rsid w:val="00AA48D7"/>
    <w:rsid w:val="00AA499A"/>
    <w:rsid w:val="00AA4D04"/>
    <w:rsid w:val="00AA4D3F"/>
    <w:rsid w:val="00AA4EAE"/>
    <w:rsid w:val="00AA4F99"/>
    <w:rsid w:val="00AA5555"/>
    <w:rsid w:val="00AA5B8E"/>
    <w:rsid w:val="00AA5E55"/>
    <w:rsid w:val="00AA5EE8"/>
    <w:rsid w:val="00AA6093"/>
    <w:rsid w:val="00AA6513"/>
    <w:rsid w:val="00AA6AC8"/>
    <w:rsid w:val="00AA6EAB"/>
    <w:rsid w:val="00AA7030"/>
    <w:rsid w:val="00AA7290"/>
    <w:rsid w:val="00AA7803"/>
    <w:rsid w:val="00AA7CF2"/>
    <w:rsid w:val="00AA7FA0"/>
    <w:rsid w:val="00AB0027"/>
    <w:rsid w:val="00AB01E7"/>
    <w:rsid w:val="00AB03E7"/>
    <w:rsid w:val="00AB04F5"/>
    <w:rsid w:val="00AB0791"/>
    <w:rsid w:val="00AB0868"/>
    <w:rsid w:val="00AB09CA"/>
    <w:rsid w:val="00AB0A91"/>
    <w:rsid w:val="00AB0B74"/>
    <w:rsid w:val="00AB0DCE"/>
    <w:rsid w:val="00AB0E19"/>
    <w:rsid w:val="00AB0F14"/>
    <w:rsid w:val="00AB0F45"/>
    <w:rsid w:val="00AB0F96"/>
    <w:rsid w:val="00AB10A2"/>
    <w:rsid w:val="00AB1181"/>
    <w:rsid w:val="00AB1814"/>
    <w:rsid w:val="00AB1AE3"/>
    <w:rsid w:val="00AB1AF7"/>
    <w:rsid w:val="00AB1D4C"/>
    <w:rsid w:val="00AB22F2"/>
    <w:rsid w:val="00AB2313"/>
    <w:rsid w:val="00AB2B44"/>
    <w:rsid w:val="00AB2B87"/>
    <w:rsid w:val="00AB326C"/>
    <w:rsid w:val="00AB349F"/>
    <w:rsid w:val="00AB3709"/>
    <w:rsid w:val="00AB371D"/>
    <w:rsid w:val="00AB3764"/>
    <w:rsid w:val="00AB37A3"/>
    <w:rsid w:val="00AB39CF"/>
    <w:rsid w:val="00AB3AC5"/>
    <w:rsid w:val="00AB3B4A"/>
    <w:rsid w:val="00AB3F07"/>
    <w:rsid w:val="00AB3F20"/>
    <w:rsid w:val="00AB4196"/>
    <w:rsid w:val="00AB4581"/>
    <w:rsid w:val="00AB4734"/>
    <w:rsid w:val="00AB4956"/>
    <w:rsid w:val="00AB4B3D"/>
    <w:rsid w:val="00AB4C1D"/>
    <w:rsid w:val="00AB4E5B"/>
    <w:rsid w:val="00AB4F05"/>
    <w:rsid w:val="00AB55B3"/>
    <w:rsid w:val="00AB58A1"/>
    <w:rsid w:val="00AB5A74"/>
    <w:rsid w:val="00AB5B8C"/>
    <w:rsid w:val="00AB5BFA"/>
    <w:rsid w:val="00AB6182"/>
    <w:rsid w:val="00AB6246"/>
    <w:rsid w:val="00AB62D1"/>
    <w:rsid w:val="00AB62F6"/>
    <w:rsid w:val="00AB66E6"/>
    <w:rsid w:val="00AB6B44"/>
    <w:rsid w:val="00AB6F88"/>
    <w:rsid w:val="00AB700D"/>
    <w:rsid w:val="00AB712A"/>
    <w:rsid w:val="00AB71C9"/>
    <w:rsid w:val="00AB73C1"/>
    <w:rsid w:val="00AB7401"/>
    <w:rsid w:val="00AB7418"/>
    <w:rsid w:val="00AB749C"/>
    <w:rsid w:val="00AB7858"/>
    <w:rsid w:val="00AB7C0A"/>
    <w:rsid w:val="00AB7DAC"/>
    <w:rsid w:val="00AC01AD"/>
    <w:rsid w:val="00AC0A01"/>
    <w:rsid w:val="00AC0E6A"/>
    <w:rsid w:val="00AC0F7D"/>
    <w:rsid w:val="00AC1040"/>
    <w:rsid w:val="00AC12E1"/>
    <w:rsid w:val="00AC12FD"/>
    <w:rsid w:val="00AC145E"/>
    <w:rsid w:val="00AC1A65"/>
    <w:rsid w:val="00AC1AF7"/>
    <w:rsid w:val="00AC1B72"/>
    <w:rsid w:val="00AC1C75"/>
    <w:rsid w:val="00AC1DE5"/>
    <w:rsid w:val="00AC1E73"/>
    <w:rsid w:val="00AC2039"/>
    <w:rsid w:val="00AC214A"/>
    <w:rsid w:val="00AC2567"/>
    <w:rsid w:val="00AC2611"/>
    <w:rsid w:val="00AC26B2"/>
    <w:rsid w:val="00AC2EAA"/>
    <w:rsid w:val="00AC2F0F"/>
    <w:rsid w:val="00AC302A"/>
    <w:rsid w:val="00AC304D"/>
    <w:rsid w:val="00AC3334"/>
    <w:rsid w:val="00AC3698"/>
    <w:rsid w:val="00AC36CF"/>
    <w:rsid w:val="00AC36E1"/>
    <w:rsid w:val="00AC3805"/>
    <w:rsid w:val="00AC3845"/>
    <w:rsid w:val="00AC3942"/>
    <w:rsid w:val="00AC3A58"/>
    <w:rsid w:val="00AC3DBE"/>
    <w:rsid w:val="00AC3F48"/>
    <w:rsid w:val="00AC4516"/>
    <w:rsid w:val="00AC4656"/>
    <w:rsid w:val="00AC476B"/>
    <w:rsid w:val="00AC47BC"/>
    <w:rsid w:val="00AC4910"/>
    <w:rsid w:val="00AC495C"/>
    <w:rsid w:val="00AC4A1E"/>
    <w:rsid w:val="00AC5092"/>
    <w:rsid w:val="00AC50BA"/>
    <w:rsid w:val="00AC50BC"/>
    <w:rsid w:val="00AC50ED"/>
    <w:rsid w:val="00AC5143"/>
    <w:rsid w:val="00AC539E"/>
    <w:rsid w:val="00AC53AE"/>
    <w:rsid w:val="00AC544D"/>
    <w:rsid w:val="00AC585D"/>
    <w:rsid w:val="00AC5A13"/>
    <w:rsid w:val="00AC5F42"/>
    <w:rsid w:val="00AC5FEC"/>
    <w:rsid w:val="00AC61D5"/>
    <w:rsid w:val="00AC6236"/>
    <w:rsid w:val="00AC6283"/>
    <w:rsid w:val="00AC628C"/>
    <w:rsid w:val="00AC62A4"/>
    <w:rsid w:val="00AC6464"/>
    <w:rsid w:val="00AC6672"/>
    <w:rsid w:val="00AC672C"/>
    <w:rsid w:val="00AC68EC"/>
    <w:rsid w:val="00AC69EB"/>
    <w:rsid w:val="00AC6E49"/>
    <w:rsid w:val="00AC740C"/>
    <w:rsid w:val="00AC7558"/>
    <w:rsid w:val="00AC75D8"/>
    <w:rsid w:val="00AC788A"/>
    <w:rsid w:val="00AC7913"/>
    <w:rsid w:val="00AC7BA6"/>
    <w:rsid w:val="00AC7BB8"/>
    <w:rsid w:val="00AC7C0E"/>
    <w:rsid w:val="00AC7CC9"/>
    <w:rsid w:val="00AC7E5F"/>
    <w:rsid w:val="00AC7EA0"/>
    <w:rsid w:val="00AD01BE"/>
    <w:rsid w:val="00AD09B2"/>
    <w:rsid w:val="00AD09FF"/>
    <w:rsid w:val="00AD0A6F"/>
    <w:rsid w:val="00AD0B21"/>
    <w:rsid w:val="00AD0F99"/>
    <w:rsid w:val="00AD0FA9"/>
    <w:rsid w:val="00AD0FCA"/>
    <w:rsid w:val="00AD1106"/>
    <w:rsid w:val="00AD124B"/>
    <w:rsid w:val="00AD1264"/>
    <w:rsid w:val="00AD1357"/>
    <w:rsid w:val="00AD14D4"/>
    <w:rsid w:val="00AD1772"/>
    <w:rsid w:val="00AD179C"/>
    <w:rsid w:val="00AD17A8"/>
    <w:rsid w:val="00AD1800"/>
    <w:rsid w:val="00AD19F0"/>
    <w:rsid w:val="00AD1A79"/>
    <w:rsid w:val="00AD1CC9"/>
    <w:rsid w:val="00AD2094"/>
    <w:rsid w:val="00AD20D8"/>
    <w:rsid w:val="00AD2367"/>
    <w:rsid w:val="00AD2530"/>
    <w:rsid w:val="00AD2619"/>
    <w:rsid w:val="00AD274C"/>
    <w:rsid w:val="00AD275F"/>
    <w:rsid w:val="00AD2901"/>
    <w:rsid w:val="00AD2E87"/>
    <w:rsid w:val="00AD2FA6"/>
    <w:rsid w:val="00AD3426"/>
    <w:rsid w:val="00AD34D4"/>
    <w:rsid w:val="00AD364F"/>
    <w:rsid w:val="00AD36DE"/>
    <w:rsid w:val="00AD36E3"/>
    <w:rsid w:val="00AD37CD"/>
    <w:rsid w:val="00AD3C3B"/>
    <w:rsid w:val="00AD3CAE"/>
    <w:rsid w:val="00AD3E37"/>
    <w:rsid w:val="00AD3EE3"/>
    <w:rsid w:val="00AD40DC"/>
    <w:rsid w:val="00AD43FA"/>
    <w:rsid w:val="00AD4457"/>
    <w:rsid w:val="00AD49A7"/>
    <w:rsid w:val="00AD4FF2"/>
    <w:rsid w:val="00AD503B"/>
    <w:rsid w:val="00AD5085"/>
    <w:rsid w:val="00AD50D3"/>
    <w:rsid w:val="00AD510A"/>
    <w:rsid w:val="00AD540D"/>
    <w:rsid w:val="00AD545F"/>
    <w:rsid w:val="00AD5464"/>
    <w:rsid w:val="00AD5519"/>
    <w:rsid w:val="00AD5777"/>
    <w:rsid w:val="00AD58E6"/>
    <w:rsid w:val="00AD59C4"/>
    <w:rsid w:val="00AD59D8"/>
    <w:rsid w:val="00AD5AE7"/>
    <w:rsid w:val="00AD5C63"/>
    <w:rsid w:val="00AD5DB0"/>
    <w:rsid w:val="00AD61E2"/>
    <w:rsid w:val="00AD641B"/>
    <w:rsid w:val="00AD65AD"/>
    <w:rsid w:val="00AD67CB"/>
    <w:rsid w:val="00AD69B4"/>
    <w:rsid w:val="00AD6B5A"/>
    <w:rsid w:val="00AD6C03"/>
    <w:rsid w:val="00AD6E60"/>
    <w:rsid w:val="00AD7059"/>
    <w:rsid w:val="00AD70DD"/>
    <w:rsid w:val="00AD7698"/>
    <w:rsid w:val="00AD7830"/>
    <w:rsid w:val="00AD7D73"/>
    <w:rsid w:val="00AD7DB4"/>
    <w:rsid w:val="00AE03D3"/>
    <w:rsid w:val="00AE04DC"/>
    <w:rsid w:val="00AE09CC"/>
    <w:rsid w:val="00AE0A50"/>
    <w:rsid w:val="00AE0DAE"/>
    <w:rsid w:val="00AE0DC5"/>
    <w:rsid w:val="00AE0E04"/>
    <w:rsid w:val="00AE11B8"/>
    <w:rsid w:val="00AE1514"/>
    <w:rsid w:val="00AE15FB"/>
    <w:rsid w:val="00AE18C1"/>
    <w:rsid w:val="00AE19F8"/>
    <w:rsid w:val="00AE1AB3"/>
    <w:rsid w:val="00AE220D"/>
    <w:rsid w:val="00AE23AE"/>
    <w:rsid w:val="00AE23B7"/>
    <w:rsid w:val="00AE243C"/>
    <w:rsid w:val="00AE2586"/>
    <w:rsid w:val="00AE2B22"/>
    <w:rsid w:val="00AE2C67"/>
    <w:rsid w:val="00AE2C6E"/>
    <w:rsid w:val="00AE2D2E"/>
    <w:rsid w:val="00AE2EA5"/>
    <w:rsid w:val="00AE2F1F"/>
    <w:rsid w:val="00AE31CD"/>
    <w:rsid w:val="00AE31E7"/>
    <w:rsid w:val="00AE3396"/>
    <w:rsid w:val="00AE34EA"/>
    <w:rsid w:val="00AE34EF"/>
    <w:rsid w:val="00AE3508"/>
    <w:rsid w:val="00AE3707"/>
    <w:rsid w:val="00AE379C"/>
    <w:rsid w:val="00AE3D59"/>
    <w:rsid w:val="00AE3E0B"/>
    <w:rsid w:val="00AE42F0"/>
    <w:rsid w:val="00AE4C5A"/>
    <w:rsid w:val="00AE4D03"/>
    <w:rsid w:val="00AE4FC3"/>
    <w:rsid w:val="00AE501F"/>
    <w:rsid w:val="00AE5143"/>
    <w:rsid w:val="00AE51A4"/>
    <w:rsid w:val="00AE551F"/>
    <w:rsid w:val="00AE5635"/>
    <w:rsid w:val="00AE59C2"/>
    <w:rsid w:val="00AE59D3"/>
    <w:rsid w:val="00AE5A50"/>
    <w:rsid w:val="00AE5B1D"/>
    <w:rsid w:val="00AE5B8A"/>
    <w:rsid w:val="00AE6044"/>
    <w:rsid w:val="00AE66FC"/>
    <w:rsid w:val="00AE6773"/>
    <w:rsid w:val="00AE6B08"/>
    <w:rsid w:val="00AE7031"/>
    <w:rsid w:val="00AE71EE"/>
    <w:rsid w:val="00AE7279"/>
    <w:rsid w:val="00AE731D"/>
    <w:rsid w:val="00AE7767"/>
    <w:rsid w:val="00AE7C43"/>
    <w:rsid w:val="00AE7DD8"/>
    <w:rsid w:val="00AF0035"/>
    <w:rsid w:val="00AF0528"/>
    <w:rsid w:val="00AF054E"/>
    <w:rsid w:val="00AF0696"/>
    <w:rsid w:val="00AF0D65"/>
    <w:rsid w:val="00AF0D67"/>
    <w:rsid w:val="00AF10FF"/>
    <w:rsid w:val="00AF1D66"/>
    <w:rsid w:val="00AF1F4A"/>
    <w:rsid w:val="00AF1F78"/>
    <w:rsid w:val="00AF1FAD"/>
    <w:rsid w:val="00AF22B6"/>
    <w:rsid w:val="00AF22E4"/>
    <w:rsid w:val="00AF2665"/>
    <w:rsid w:val="00AF2CDF"/>
    <w:rsid w:val="00AF2F81"/>
    <w:rsid w:val="00AF304F"/>
    <w:rsid w:val="00AF3087"/>
    <w:rsid w:val="00AF31C6"/>
    <w:rsid w:val="00AF31E6"/>
    <w:rsid w:val="00AF3200"/>
    <w:rsid w:val="00AF322A"/>
    <w:rsid w:val="00AF3254"/>
    <w:rsid w:val="00AF364B"/>
    <w:rsid w:val="00AF37A8"/>
    <w:rsid w:val="00AF39D8"/>
    <w:rsid w:val="00AF3A30"/>
    <w:rsid w:val="00AF3C2B"/>
    <w:rsid w:val="00AF3D9F"/>
    <w:rsid w:val="00AF3F09"/>
    <w:rsid w:val="00AF3F68"/>
    <w:rsid w:val="00AF4220"/>
    <w:rsid w:val="00AF4412"/>
    <w:rsid w:val="00AF4584"/>
    <w:rsid w:val="00AF4733"/>
    <w:rsid w:val="00AF486F"/>
    <w:rsid w:val="00AF4A6E"/>
    <w:rsid w:val="00AF4C8F"/>
    <w:rsid w:val="00AF4D16"/>
    <w:rsid w:val="00AF55A5"/>
    <w:rsid w:val="00AF5856"/>
    <w:rsid w:val="00AF59C0"/>
    <w:rsid w:val="00AF5F09"/>
    <w:rsid w:val="00AF5F5D"/>
    <w:rsid w:val="00AF6022"/>
    <w:rsid w:val="00AF6380"/>
    <w:rsid w:val="00AF6662"/>
    <w:rsid w:val="00AF687E"/>
    <w:rsid w:val="00AF692D"/>
    <w:rsid w:val="00AF69C3"/>
    <w:rsid w:val="00AF6BF6"/>
    <w:rsid w:val="00AF6D5B"/>
    <w:rsid w:val="00AF6F0A"/>
    <w:rsid w:val="00AF73B5"/>
    <w:rsid w:val="00AF773A"/>
    <w:rsid w:val="00AF7797"/>
    <w:rsid w:val="00AF77BE"/>
    <w:rsid w:val="00AF7910"/>
    <w:rsid w:val="00AF7CA0"/>
    <w:rsid w:val="00AF7D71"/>
    <w:rsid w:val="00AF7DD4"/>
    <w:rsid w:val="00B000DF"/>
    <w:rsid w:val="00B00231"/>
    <w:rsid w:val="00B00319"/>
    <w:rsid w:val="00B00541"/>
    <w:rsid w:val="00B005DB"/>
    <w:rsid w:val="00B009B7"/>
    <w:rsid w:val="00B00A39"/>
    <w:rsid w:val="00B01280"/>
    <w:rsid w:val="00B01445"/>
    <w:rsid w:val="00B014F4"/>
    <w:rsid w:val="00B01535"/>
    <w:rsid w:val="00B01564"/>
    <w:rsid w:val="00B015D3"/>
    <w:rsid w:val="00B019AF"/>
    <w:rsid w:val="00B01B23"/>
    <w:rsid w:val="00B01CF6"/>
    <w:rsid w:val="00B01E66"/>
    <w:rsid w:val="00B01E91"/>
    <w:rsid w:val="00B01FE5"/>
    <w:rsid w:val="00B0260F"/>
    <w:rsid w:val="00B02880"/>
    <w:rsid w:val="00B03487"/>
    <w:rsid w:val="00B03519"/>
    <w:rsid w:val="00B039F1"/>
    <w:rsid w:val="00B03A42"/>
    <w:rsid w:val="00B03DA6"/>
    <w:rsid w:val="00B03DF7"/>
    <w:rsid w:val="00B03E19"/>
    <w:rsid w:val="00B04521"/>
    <w:rsid w:val="00B04680"/>
    <w:rsid w:val="00B04707"/>
    <w:rsid w:val="00B04AB2"/>
    <w:rsid w:val="00B04C76"/>
    <w:rsid w:val="00B04D3F"/>
    <w:rsid w:val="00B052D8"/>
    <w:rsid w:val="00B053FD"/>
    <w:rsid w:val="00B05796"/>
    <w:rsid w:val="00B05A23"/>
    <w:rsid w:val="00B05B18"/>
    <w:rsid w:val="00B05DA4"/>
    <w:rsid w:val="00B05DC1"/>
    <w:rsid w:val="00B0643E"/>
    <w:rsid w:val="00B0650B"/>
    <w:rsid w:val="00B0655F"/>
    <w:rsid w:val="00B065C9"/>
    <w:rsid w:val="00B068C6"/>
    <w:rsid w:val="00B068DC"/>
    <w:rsid w:val="00B06A38"/>
    <w:rsid w:val="00B06D89"/>
    <w:rsid w:val="00B06F44"/>
    <w:rsid w:val="00B06F65"/>
    <w:rsid w:val="00B0717E"/>
    <w:rsid w:val="00B07287"/>
    <w:rsid w:val="00B0730F"/>
    <w:rsid w:val="00B0742E"/>
    <w:rsid w:val="00B0768D"/>
    <w:rsid w:val="00B07708"/>
    <w:rsid w:val="00B078E7"/>
    <w:rsid w:val="00B07A8E"/>
    <w:rsid w:val="00B07CA9"/>
    <w:rsid w:val="00B100C3"/>
    <w:rsid w:val="00B10262"/>
    <w:rsid w:val="00B102CE"/>
    <w:rsid w:val="00B102DF"/>
    <w:rsid w:val="00B10518"/>
    <w:rsid w:val="00B105AC"/>
    <w:rsid w:val="00B10713"/>
    <w:rsid w:val="00B10717"/>
    <w:rsid w:val="00B10C19"/>
    <w:rsid w:val="00B1117C"/>
    <w:rsid w:val="00B11366"/>
    <w:rsid w:val="00B11372"/>
    <w:rsid w:val="00B11392"/>
    <w:rsid w:val="00B11641"/>
    <w:rsid w:val="00B1174D"/>
    <w:rsid w:val="00B119D4"/>
    <w:rsid w:val="00B1211A"/>
    <w:rsid w:val="00B12160"/>
    <w:rsid w:val="00B122FA"/>
    <w:rsid w:val="00B12384"/>
    <w:rsid w:val="00B125C6"/>
    <w:rsid w:val="00B12762"/>
    <w:rsid w:val="00B12A0A"/>
    <w:rsid w:val="00B12A1B"/>
    <w:rsid w:val="00B12BC5"/>
    <w:rsid w:val="00B12C22"/>
    <w:rsid w:val="00B12E7A"/>
    <w:rsid w:val="00B12F3A"/>
    <w:rsid w:val="00B13017"/>
    <w:rsid w:val="00B13450"/>
    <w:rsid w:val="00B139E5"/>
    <w:rsid w:val="00B13B21"/>
    <w:rsid w:val="00B13E75"/>
    <w:rsid w:val="00B14176"/>
    <w:rsid w:val="00B145D6"/>
    <w:rsid w:val="00B146F5"/>
    <w:rsid w:val="00B14852"/>
    <w:rsid w:val="00B14FA5"/>
    <w:rsid w:val="00B150A7"/>
    <w:rsid w:val="00B150FC"/>
    <w:rsid w:val="00B15348"/>
    <w:rsid w:val="00B15503"/>
    <w:rsid w:val="00B15B94"/>
    <w:rsid w:val="00B15F25"/>
    <w:rsid w:val="00B160D3"/>
    <w:rsid w:val="00B16979"/>
    <w:rsid w:val="00B16A4B"/>
    <w:rsid w:val="00B16EDA"/>
    <w:rsid w:val="00B16F66"/>
    <w:rsid w:val="00B16F83"/>
    <w:rsid w:val="00B171D0"/>
    <w:rsid w:val="00B17296"/>
    <w:rsid w:val="00B17629"/>
    <w:rsid w:val="00B17713"/>
    <w:rsid w:val="00B17994"/>
    <w:rsid w:val="00B17C66"/>
    <w:rsid w:val="00B17D98"/>
    <w:rsid w:val="00B17F5E"/>
    <w:rsid w:val="00B20742"/>
    <w:rsid w:val="00B20C02"/>
    <w:rsid w:val="00B20D46"/>
    <w:rsid w:val="00B2110A"/>
    <w:rsid w:val="00B2110C"/>
    <w:rsid w:val="00B21180"/>
    <w:rsid w:val="00B211A2"/>
    <w:rsid w:val="00B21668"/>
    <w:rsid w:val="00B216E4"/>
    <w:rsid w:val="00B2175F"/>
    <w:rsid w:val="00B218A0"/>
    <w:rsid w:val="00B21985"/>
    <w:rsid w:val="00B21CEE"/>
    <w:rsid w:val="00B21E5B"/>
    <w:rsid w:val="00B21E7E"/>
    <w:rsid w:val="00B21F69"/>
    <w:rsid w:val="00B223F6"/>
    <w:rsid w:val="00B22466"/>
    <w:rsid w:val="00B2247D"/>
    <w:rsid w:val="00B22614"/>
    <w:rsid w:val="00B22D81"/>
    <w:rsid w:val="00B23205"/>
    <w:rsid w:val="00B234C5"/>
    <w:rsid w:val="00B23552"/>
    <w:rsid w:val="00B2358C"/>
    <w:rsid w:val="00B237E8"/>
    <w:rsid w:val="00B239E9"/>
    <w:rsid w:val="00B23DE5"/>
    <w:rsid w:val="00B23EEC"/>
    <w:rsid w:val="00B23EF5"/>
    <w:rsid w:val="00B2444C"/>
    <w:rsid w:val="00B24458"/>
    <w:rsid w:val="00B2468D"/>
    <w:rsid w:val="00B24B82"/>
    <w:rsid w:val="00B2501B"/>
    <w:rsid w:val="00B25194"/>
    <w:rsid w:val="00B256A4"/>
    <w:rsid w:val="00B256F4"/>
    <w:rsid w:val="00B257BF"/>
    <w:rsid w:val="00B25DC7"/>
    <w:rsid w:val="00B26112"/>
    <w:rsid w:val="00B26261"/>
    <w:rsid w:val="00B265C1"/>
    <w:rsid w:val="00B26904"/>
    <w:rsid w:val="00B26E80"/>
    <w:rsid w:val="00B271D5"/>
    <w:rsid w:val="00B27259"/>
    <w:rsid w:val="00B27272"/>
    <w:rsid w:val="00B27405"/>
    <w:rsid w:val="00B275E9"/>
    <w:rsid w:val="00B27799"/>
    <w:rsid w:val="00B2788D"/>
    <w:rsid w:val="00B27B2B"/>
    <w:rsid w:val="00B27BBA"/>
    <w:rsid w:val="00B27D87"/>
    <w:rsid w:val="00B27E52"/>
    <w:rsid w:val="00B27E76"/>
    <w:rsid w:val="00B27F2B"/>
    <w:rsid w:val="00B30111"/>
    <w:rsid w:val="00B30137"/>
    <w:rsid w:val="00B30223"/>
    <w:rsid w:val="00B30351"/>
    <w:rsid w:val="00B303F8"/>
    <w:rsid w:val="00B304A0"/>
    <w:rsid w:val="00B304E1"/>
    <w:rsid w:val="00B30574"/>
    <w:rsid w:val="00B30713"/>
    <w:rsid w:val="00B30BBC"/>
    <w:rsid w:val="00B30BDD"/>
    <w:rsid w:val="00B30DAC"/>
    <w:rsid w:val="00B30F86"/>
    <w:rsid w:val="00B312B7"/>
    <w:rsid w:val="00B31932"/>
    <w:rsid w:val="00B32143"/>
    <w:rsid w:val="00B32499"/>
    <w:rsid w:val="00B32524"/>
    <w:rsid w:val="00B326A7"/>
    <w:rsid w:val="00B329CD"/>
    <w:rsid w:val="00B329D7"/>
    <w:rsid w:val="00B32B6B"/>
    <w:rsid w:val="00B32CB8"/>
    <w:rsid w:val="00B331BA"/>
    <w:rsid w:val="00B331F4"/>
    <w:rsid w:val="00B3371F"/>
    <w:rsid w:val="00B33819"/>
    <w:rsid w:val="00B338B7"/>
    <w:rsid w:val="00B3390A"/>
    <w:rsid w:val="00B33EB3"/>
    <w:rsid w:val="00B340A7"/>
    <w:rsid w:val="00B342C0"/>
    <w:rsid w:val="00B34455"/>
    <w:rsid w:val="00B34498"/>
    <w:rsid w:val="00B345D9"/>
    <w:rsid w:val="00B34C5D"/>
    <w:rsid w:val="00B34CE6"/>
    <w:rsid w:val="00B34D15"/>
    <w:rsid w:val="00B34E60"/>
    <w:rsid w:val="00B34E7D"/>
    <w:rsid w:val="00B34E9D"/>
    <w:rsid w:val="00B3501B"/>
    <w:rsid w:val="00B3519E"/>
    <w:rsid w:val="00B35505"/>
    <w:rsid w:val="00B35701"/>
    <w:rsid w:val="00B35738"/>
    <w:rsid w:val="00B35752"/>
    <w:rsid w:val="00B35A5D"/>
    <w:rsid w:val="00B35D3F"/>
    <w:rsid w:val="00B35DE8"/>
    <w:rsid w:val="00B35F12"/>
    <w:rsid w:val="00B360C0"/>
    <w:rsid w:val="00B36B88"/>
    <w:rsid w:val="00B36C17"/>
    <w:rsid w:val="00B36EB8"/>
    <w:rsid w:val="00B37085"/>
    <w:rsid w:val="00B37179"/>
    <w:rsid w:val="00B373BA"/>
    <w:rsid w:val="00B37447"/>
    <w:rsid w:val="00B375A5"/>
    <w:rsid w:val="00B375CF"/>
    <w:rsid w:val="00B37820"/>
    <w:rsid w:val="00B37993"/>
    <w:rsid w:val="00B379E7"/>
    <w:rsid w:val="00B37A22"/>
    <w:rsid w:val="00B37A64"/>
    <w:rsid w:val="00B37DE3"/>
    <w:rsid w:val="00B40004"/>
    <w:rsid w:val="00B4003D"/>
    <w:rsid w:val="00B400EA"/>
    <w:rsid w:val="00B404E4"/>
    <w:rsid w:val="00B404FD"/>
    <w:rsid w:val="00B40534"/>
    <w:rsid w:val="00B40755"/>
    <w:rsid w:val="00B40762"/>
    <w:rsid w:val="00B40C10"/>
    <w:rsid w:val="00B4147A"/>
    <w:rsid w:val="00B414AD"/>
    <w:rsid w:val="00B41BE0"/>
    <w:rsid w:val="00B41D6E"/>
    <w:rsid w:val="00B41DE5"/>
    <w:rsid w:val="00B42335"/>
    <w:rsid w:val="00B423BF"/>
    <w:rsid w:val="00B428A4"/>
    <w:rsid w:val="00B42908"/>
    <w:rsid w:val="00B42AA1"/>
    <w:rsid w:val="00B42B4E"/>
    <w:rsid w:val="00B42D7E"/>
    <w:rsid w:val="00B4313F"/>
    <w:rsid w:val="00B432A2"/>
    <w:rsid w:val="00B433F0"/>
    <w:rsid w:val="00B43534"/>
    <w:rsid w:val="00B4368C"/>
    <w:rsid w:val="00B43A1A"/>
    <w:rsid w:val="00B43AA2"/>
    <w:rsid w:val="00B43AC2"/>
    <w:rsid w:val="00B43F94"/>
    <w:rsid w:val="00B44098"/>
    <w:rsid w:val="00B44382"/>
    <w:rsid w:val="00B4441F"/>
    <w:rsid w:val="00B447FC"/>
    <w:rsid w:val="00B44900"/>
    <w:rsid w:val="00B44998"/>
    <w:rsid w:val="00B44AC7"/>
    <w:rsid w:val="00B44C21"/>
    <w:rsid w:val="00B44D00"/>
    <w:rsid w:val="00B44D62"/>
    <w:rsid w:val="00B44D88"/>
    <w:rsid w:val="00B44DAA"/>
    <w:rsid w:val="00B44E82"/>
    <w:rsid w:val="00B44E9D"/>
    <w:rsid w:val="00B450C3"/>
    <w:rsid w:val="00B4550E"/>
    <w:rsid w:val="00B4577A"/>
    <w:rsid w:val="00B45B76"/>
    <w:rsid w:val="00B45DE7"/>
    <w:rsid w:val="00B45F2C"/>
    <w:rsid w:val="00B45F44"/>
    <w:rsid w:val="00B466C9"/>
    <w:rsid w:val="00B46747"/>
    <w:rsid w:val="00B468F6"/>
    <w:rsid w:val="00B46A0D"/>
    <w:rsid w:val="00B46B45"/>
    <w:rsid w:val="00B46BAC"/>
    <w:rsid w:val="00B46C7D"/>
    <w:rsid w:val="00B47379"/>
    <w:rsid w:val="00B476AE"/>
    <w:rsid w:val="00B47B3F"/>
    <w:rsid w:val="00B47C44"/>
    <w:rsid w:val="00B5001B"/>
    <w:rsid w:val="00B50072"/>
    <w:rsid w:val="00B5031A"/>
    <w:rsid w:val="00B50702"/>
    <w:rsid w:val="00B50798"/>
    <w:rsid w:val="00B509FC"/>
    <w:rsid w:val="00B50A19"/>
    <w:rsid w:val="00B50B70"/>
    <w:rsid w:val="00B512BB"/>
    <w:rsid w:val="00B5139B"/>
    <w:rsid w:val="00B514E1"/>
    <w:rsid w:val="00B5160D"/>
    <w:rsid w:val="00B517E5"/>
    <w:rsid w:val="00B51ED6"/>
    <w:rsid w:val="00B51FFB"/>
    <w:rsid w:val="00B52438"/>
    <w:rsid w:val="00B525CB"/>
    <w:rsid w:val="00B5261B"/>
    <w:rsid w:val="00B52646"/>
    <w:rsid w:val="00B5266B"/>
    <w:rsid w:val="00B526AE"/>
    <w:rsid w:val="00B5271B"/>
    <w:rsid w:val="00B527AC"/>
    <w:rsid w:val="00B529B1"/>
    <w:rsid w:val="00B52B57"/>
    <w:rsid w:val="00B52F7C"/>
    <w:rsid w:val="00B530EC"/>
    <w:rsid w:val="00B530FA"/>
    <w:rsid w:val="00B5331B"/>
    <w:rsid w:val="00B534A0"/>
    <w:rsid w:val="00B537FC"/>
    <w:rsid w:val="00B5392B"/>
    <w:rsid w:val="00B53B2D"/>
    <w:rsid w:val="00B53BF5"/>
    <w:rsid w:val="00B53D3A"/>
    <w:rsid w:val="00B53EF1"/>
    <w:rsid w:val="00B540DA"/>
    <w:rsid w:val="00B54131"/>
    <w:rsid w:val="00B541C3"/>
    <w:rsid w:val="00B5476A"/>
    <w:rsid w:val="00B54B0E"/>
    <w:rsid w:val="00B54BB1"/>
    <w:rsid w:val="00B54E49"/>
    <w:rsid w:val="00B555FC"/>
    <w:rsid w:val="00B5566A"/>
    <w:rsid w:val="00B559B2"/>
    <w:rsid w:val="00B55E12"/>
    <w:rsid w:val="00B5626F"/>
    <w:rsid w:val="00B5655D"/>
    <w:rsid w:val="00B5662B"/>
    <w:rsid w:val="00B5672D"/>
    <w:rsid w:val="00B56900"/>
    <w:rsid w:val="00B56979"/>
    <w:rsid w:val="00B56C1B"/>
    <w:rsid w:val="00B56F2B"/>
    <w:rsid w:val="00B56FAB"/>
    <w:rsid w:val="00B5711F"/>
    <w:rsid w:val="00B572F2"/>
    <w:rsid w:val="00B57306"/>
    <w:rsid w:val="00B57ADB"/>
    <w:rsid w:val="00B57DBE"/>
    <w:rsid w:val="00B57EEC"/>
    <w:rsid w:val="00B6053F"/>
    <w:rsid w:val="00B605C6"/>
    <w:rsid w:val="00B6098C"/>
    <w:rsid w:val="00B60B60"/>
    <w:rsid w:val="00B60D64"/>
    <w:rsid w:val="00B61044"/>
    <w:rsid w:val="00B6108E"/>
    <w:rsid w:val="00B6137C"/>
    <w:rsid w:val="00B61579"/>
    <w:rsid w:val="00B61847"/>
    <w:rsid w:val="00B618AD"/>
    <w:rsid w:val="00B61AA7"/>
    <w:rsid w:val="00B61BC4"/>
    <w:rsid w:val="00B61BE5"/>
    <w:rsid w:val="00B61CD8"/>
    <w:rsid w:val="00B62454"/>
    <w:rsid w:val="00B625E8"/>
    <w:rsid w:val="00B62828"/>
    <w:rsid w:val="00B62A22"/>
    <w:rsid w:val="00B62AAE"/>
    <w:rsid w:val="00B62D15"/>
    <w:rsid w:val="00B62F78"/>
    <w:rsid w:val="00B6320D"/>
    <w:rsid w:val="00B6348A"/>
    <w:rsid w:val="00B634B1"/>
    <w:rsid w:val="00B6367D"/>
    <w:rsid w:val="00B636D9"/>
    <w:rsid w:val="00B63773"/>
    <w:rsid w:val="00B637F7"/>
    <w:rsid w:val="00B63CA0"/>
    <w:rsid w:val="00B63D6C"/>
    <w:rsid w:val="00B63EB8"/>
    <w:rsid w:val="00B63F28"/>
    <w:rsid w:val="00B6417C"/>
    <w:rsid w:val="00B6465E"/>
    <w:rsid w:val="00B6470B"/>
    <w:rsid w:val="00B6497C"/>
    <w:rsid w:val="00B653B2"/>
    <w:rsid w:val="00B65473"/>
    <w:rsid w:val="00B65738"/>
    <w:rsid w:val="00B65A20"/>
    <w:rsid w:val="00B65DF0"/>
    <w:rsid w:val="00B65E3E"/>
    <w:rsid w:val="00B66052"/>
    <w:rsid w:val="00B6631A"/>
    <w:rsid w:val="00B6633A"/>
    <w:rsid w:val="00B66E7D"/>
    <w:rsid w:val="00B67185"/>
    <w:rsid w:val="00B6718B"/>
    <w:rsid w:val="00B671BE"/>
    <w:rsid w:val="00B673FC"/>
    <w:rsid w:val="00B6779D"/>
    <w:rsid w:val="00B67908"/>
    <w:rsid w:val="00B67A5C"/>
    <w:rsid w:val="00B67C20"/>
    <w:rsid w:val="00B67D9F"/>
    <w:rsid w:val="00B67E93"/>
    <w:rsid w:val="00B700AE"/>
    <w:rsid w:val="00B70195"/>
    <w:rsid w:val="00B701A0"/>
    <w:rsid w:val="00B703C6"/>
    <w:rsid w:val="00B705CF"/>
    <w:rsid w:val="00B708CE"/>
    <w:rsid w:val="00B7095A"/>
    <w:rsid w:val="00B709CE"/>
    <w:rsid w:val="00B70D46"/>
    <w:rsid w:val="00B714FF"/>
    <w:rsid w:val="00B71669"/>
    <w:rsid w:val="00B71739"/>
    <w:rsid w:val="00B71747"/>
    <w:rsid w:val="00B71768"/>
    <w:rsid w:val="00B72025"/>
    <w:rsid w:val="00B72469"/>
    <w:rsid w:val="00B72682"/>
    <w:rsid w:val="00B7289D"/>
    <w:rsid w:val="00B72D45"/>
    <w:rsid w:val="00B73004"/>
    <w:rsid w:val="00B7342D"/>
    <w:rsid w:val="00B737C8"/>
    <w:rsid w:val="00B73803"/>
    <w:rsid w:val="00B73B24"/>
    <w:rsid w:val="00B73D83"/>
    <w:rsid w:val="00B73F79"/>
    <w:rsid w:val="00B740ED"/>
    <w:rsid w:val="00B74140"/>
    <w:rsid w:val="00B7420A"/>
    <w:rsid w:val="00B7420B"/>
    <w:rsid w:val="00B74239"/>
    <w:rsid w:val="00B74690"/>
    <w:rsid w:val="00B746A6"/>
    <w:rsid w:val="00B747F7"/>
    <w:rsid w:val="00B74F81"/>
    <w:rsid w:val="00B75325"/>
    <w:rsid w:val="00B754F0"/>
    <w:rsid w:val="00B75523"/>
    <w:rsid w:val="00B75605"/>
    <w:rsid w:val="00B75D3C"/>
    <w:rsid w:val="00B75EC4"/>
    <w:rsid w:val="00B75EFF"/>
    <w:rsid w:val="00B75FBE"/>
    <w:rsid w:val="00B765EF"/>
    <w:rsid w:val="00B766BA"/>
    <w:rsid w:val="00B76893"/>
    <w:rsid w:val="00B7697D"/>
    <w:rsid w:val="00B76E1D"/>
    <w:rsid w:val="00B76FCA"/>
    <w:rsid w:val="00B77222"/>
    <w:rsid w:val="00B7729E"/>
    <w:rsid w:val="00B77A2E"/>
    <w:rsid w:val="00B77A72"/>
    <w:rsid w:val="00B77D6E"/>
    <w:rsid w:val="00B77FD4"/>
    <w:rsid w:val="00B8009C"/>
    <w:rsid w:val="00B800E1"/>
    <w:rsid w:val="00B80227"/>
    <w:rsid w:val="00B802C3"/>
    <w:rsid w:val="00B80429"/>
    <w:rsid w:val="00B80AD5"/>
    <w:rsid w:val="00B80E34"/>
    <w:rsid w:val="00B80F1E"/>
    <w:rsid w:val="00B810E2"/>
    <w:rsid w:val="00B810E9"/>
    <w:rsid w:val="00B81105"/>
    <w:rsid w:val="00B811F4"/>
    <w:rsid w:val="00B81462"/>
    <w:rsid w:val="00B8172C"/>
    <w:rsid w:val="00B81889"/>
    <w:rsid w:val="00B818BB"/>
    <w:rsid w:val="00B81935"/>
    <w:rsid w:val="00B8196B"/>
    <w:rsid w:val="00B81A34"/>
    <w:rsid w:val="00B81B71"/>
    <w:rsid w:val="00B81CCD"/>
    <w:rsid w:val="00B81D0D"/>
    <w:rsid w:val="00B81E8E"/>
    <w:rsid w:val="00B8209E"/>
    <w:rsid w:val="00B8220B"/>
    <w:rsid w:val="00B8241C"/>
    <w:rsid w:val="00B8248D"/>
    <w:rsid w:val="00B8266C"/>
    <w:rsid w:val="00B82D53"/>
    <w:rsid w:val="00B82E03"/>
    <w:rsid w:val="00B82E10"/>
    <w:rsid w:val="00B82EC5"/>
    <w:rsid w:val="00B82F08"/>
    <w:rsid w:val="00B83198"/>
    <w:rsid w:val="00B83894"/>
    <w:rsid w:val="00B83CD8"/>
    <w:rsid w:val="00B83F08"/>
    <w:rsid w:val="00B83FE7"/>
    <w:rsid w:val="00B84045"/>
    <w:rsid w:val="00B84083"/>
    <w:rsid w:val="00B84190"/>
    <w:rsid w:val="00B8430E"/>
    <w:rsid w:val="00B844CD"/>
    <w:rsid w:val="00B8468E"/>
    <w:rsid w:val="00B84840"/>
    <w:rsid w:val="00B84B96"/>
    <w:rsid w:val="00B84EAE"/>
    <w:rsid w:val="00B84F21"/>
    <w:rsid w:val="00B85017"/>
    <w:rsid w:val="00B85239"/>
    <w:rsid w:val="00B8556D"/>
    <w:rsid w:val="00B85904"/>
    <w:rsid w:val="00B85B08"/>
    <w:rsid w:val="00B85E09"/>
    <w:rsid w:val="00B85EF2"/>
    <w:rsid w:val="00B86140"/>
    <w:rsid w:val="00B865BF"/>
    <w:rsid w:val="00B8665B"/>
    <w:rsid w:val="00B86762"/>
    <w:rsid w:val="00B86809"/>
    <w:rsid w:val="00B869A0"/>
    <w:rsid w:val="00B869A5"/>
    <w:rsid w:val="00B86B17"/>
    <w:rsid w:val="00B86F93"/>
    <w:rsid w:val="00B873E6"/>
    <w:rsid w:val="00B87764"/>
    <w:rsid w:val="00B87888"/>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B73"/>
    <w:rsid w:val="00B90D84"/>
    <w:rsid w:val="00B90F5F"/>
    <w:rsid w:val="00B911C2"/>
    <w:rsid w:val="00B9134C"/>
    <w:rsid w:val="00B91642"/>
    <w:rsid w:val="00B91986"/>
    <w:rsid w:val="00B919C0"/>
    <w:rsid w:val="00B91CAC"/>
    <w:rsid w:val="00B91CDA"/>
    <w:rsid w:val="00B91DA7"/>
    <w:rsid w:val="00B92067"/>
    <w:rsid w:val="00B92207"/>
    <w:rsid w:val="00B9260B"/>
    <w:rsid w:val="00B92A08"/>
    <w:rsid w:val="00B92C99"/>
    <w:rsid w:val="00B92E7B"/>
    <w:rsid w:val="00B92FE9"/>
    <w:rsid w:val="00B93257"/>
    <w:rsid w:val="00B93687"/>
    <w:rsid w:val="00B936AA"/>
    <w:rsid w:val="00B936D3"/>
    <w:rsid w:val="00B93763"/>
    <w:rsid w:val="00B93E7A"/>
    <w:rsid w:val="00B9400E"/>
    <w:rsid w:val="00B940F2"/>
    <w:rsid w:val="00B941ED"/>
    <w:rsid w:val="00B94217"/>
    <w:rsid w:val="00B94265"/>
    <w:rsid w:val="00B944B9"/>
    <w:rsid w:val="00B9469C"/>
    <w:rsid w:val="00B94899"/>
    <w:rsid w:val="00B94C82"/>
    <w:rsid w:val="00B94CCB"/>
    <w:rsid w:val="00B94CFE"/>
    <w:rsid w:val="00B94D8C"/>
    <w:rsid w:val="00B94DA1"/>
    <w:rsid w:val="00B94F53"/>
    <w:rsid w:val="00B95132"/>
    <w:rsid w:val="00B954F2"/>
    <w:rsid w:val="00B95842"/>
    <w:rsid w:val="00B961BF"/>
    <w:rsid w:val="00B96593"/>
    <w:rsid w:val="00B965DF"/>
    <w:rsid w:val="00B9683B"/>
    <w:rsid w:val="00B96862"/>
    <w:rsid w:val="00B9686B"/>
    <w:rsid w:val="00B96A20"/>
    <w:rsid w:val="00B96BCF"/>
    <w:rsid w:val="00B96E61"/>
    <w:rsid w:val="00B971DA"/>
    <w:rsid w:val="00B976A3"/>
    <w:rsid w:val="00B97757"/>
    <w:rsid w:val="00B979C0"/>
    <w:rsid w:val="00B97C04"/>
    <w:rsid w:val="00BA01DC"/>
    <w:rsid w:val="00BA08B6"/>
    <w:rsid w:val="00BA0A2A"/>
    <w:rsid w:val="00BA101A"/>
    <w:rsid w:val="00BA10D5"/>
    <w:rsid w:val="00BA16D6"/>
    <w:rsid w:val="00BA16EA"/>
    <w:rsid w:val="00BA1A64"/>
    <w:rsid w:val="00BA1BDA"/>
    <w:rsid w:val="00BA1C49"/>
    <w:rsid w:val="00BA1D1C"/>
    <w:rsid w:val="00BA1F45"/>
    <w:rsid w:val="00BA208A"/>
    <w:rsid w:val="00BA2234"/>
    <w:rsid w:val="00BA22AB"/>
    <w:rsid w:val="00BA2367"/>
    <w:rsid w:val="00BA251E"/>
    <w:rsid w:val="00BA25C7"/>
    <w:rsid w:val="00BA27D7"/>
    <w:rsid w:val="00BA2BDA"/>
    <w:rsid w:val="00BA2D60"/>
    <w:rsid w:val="00BA2ECB"/>
    <w:rsid w:val="00BA2FFA"/>
    <w:rsid w:val="00BA31D3"/>
    <w:rsid w:val="00BA3220"/>
    <w:rsid w:val="00BA3307"/>
    <w:rsid w:val="00BA3347"/>
    <w:rsid w:val="00BA338E"/>
    <w:rsid w:val="00BA35CC"/>
    <w:rsid w:val="00BA4451"/>
    <w:rsid w:val="00BA446D"/>
    <w:rsid w:val="00BA4CCB"/>
    <w:rsid w:val="00BA52DA"/>
    <w:rsid w:val="00BA5348"/>
    <w:rsid w:val="00BA53BF"/>
    <w:rsid w:val="00BA542B"/>
    <w:rsid w:val="00BA547B"/>
    <w:rsid w:val="00BA576E"/>
    <w:rsid w:val="00BA59FA"/>
    <w:rsid w:val="00BA5A17"/>
    <w:rsid w:val="00BA5B68"/>
    <w:rsid w:val="00BA5CA1"/>
    <w:rsid w:val="00BA5CCB"/>
    <w:rsid w:val="00BA60AD"/>
    <w:rsid w:val="00BA60F1"/>
    <w:rsid w:val="00BA6170"/>
    <w:rsid w:val="00BA6504"/>
    <w:rsid w:val="00BA660A"/>
    <w:rsid w:val="00BA6940"/>
    <w:rsid w:val="00BA6A13"/>
    <w:rsid w:val="00BA6A94"/>
    <w:rsid w:val="00BA6CD0"/>
    <w:rsid w:val="00BA77A3"/>
    <w:rsid w:val="00BA7840"/>
    <w:rsid w:val="00BA7BD3"/>
    <w:rsid w:val="00BA7C9D"/>
    <w:rsid w:val="00BA7CA6"/>
    <w:rsid w:val="00BA7D2C"/>
    <w:rsid w:val="00BA7DAD"/>
    <w:rsid w:val="00BB0073"/>
    <w:rsid w:val="00BB0116"/>
    <w:rsid w:val="00BB01AB"/>
    <w:rsid w:val="00BB04F9"/>
    <w:rsid w:val="00BB0598"/>
    <w:rsid w:val="00BB064D"/>
    <w:rsid w:val="00BB0792"/>
    <w:rsid w:val="00BB0826"/>
    <w:rsid w:val="00BB0B30"/>
    <w:rsid w:val="00BB0BB7"/>
    <w:rsid w:val="00BB0CD8"/>
    <w:rsid w:val="00BB101F"/>
    <w:rsid w:val="00BB10AB"/>
    <w:rsid w:val="00BB1313"/>
    <w:rsid w:val="00BB1347"/>
    <w:rsid w:val="00BB14E9"/>
    <w:rsid w:val="00BB1638"/>
    <w:rsid w:val="00BB187D"/>
    <w:rsid w:val="00BB18CA"/>
    <w:rsid w:val="00BB1953"/>
    <w:rsid w:val="00BB19AC"/>
    <w:rsid w:val="00BB1AC4"/>
    <w:rsid w:val="00BB1C6E"/>
    <w:rsid w:val="00BB1CAC"/>
    <w:rsid w:val="00BB1E80"/>
    <w:rsid w:val="00BB1FDC"/>
    <w:rsid w:val="00BB21CE"/>
    <w:rsid w:val="00BB24A3"/>
    <w:rsid w:val="00BB25B0"/>
    <w:rsid w:val="00BB29B8"/>
    <w:rsid w:val="00BB2A70"/>
    <w:rsid w:val="00BB2D2C"/>
    <w:rsid w:val="00BB2E3E"/>
    <w:rsid w:val="00BB3357"/>
    <w:rsid w:val="00BB3AF9"/>
    <w:rsid w:val="00BB3B90"/>
    <w:rsid w:val="00BB3D56"/>
    <w:rsid w:val="00BB439B"/>
    <w:rsid w:val="00BB466B"/>
    <w:rsid w:val="00BB47AF"/>
    <w:rsid w:val="00BB4E7D"/>
    <w:rsid w:val="00BB4FC5"/>
    <w:rsid w:val="00BB4FCF"/>
    <w:rsid w:val="00BB54CB"/>
    <w:rsid w:val="00BB55D2"/>
    <w:rsid w:val="00BB563E"/>
    <w:rsid w:val="00BB5694"/>
    <w:rsid w:val="00BB59F1"/>
    <w:rsid w:val="00BB606A"/>
    <w:rsid w:val="00BB6270"/>
    <w:rsid w:val="00BB6353"/>
    <w:rsid w:val="00BB657E"/>
    <w:rsid w:val="00BB6EFF"/>
    <w:rsid w:val="00BB6F22"/>
    <w:rsid w:val="00BB7053"/>
    <w:rsid w:val="00BB73B5"/>
    <w:rsid w:val="00BB74CB"/>
    <w:rsid w:val="00BB77C6"/>
    <w:rsid w:val="00BB79F7"/>
    <w:rsid w:val="00BB7A82"/>
    <w:rsid w:val="00BB7D39"/>
    <w:rsid w:val="00BB7E63"/>
    <w:rsid w:val="00BB7F4D"/>
    <w:rsid w:val="00BB7F72"/>
    <w:rsid w:val="00BC0442"/>
    <w:rsid w:val="00BC0505"/>
    <w:rsid w:val="00BC08D8"/>
    <w:rsid w:val="00BC0B9A"/>
    <w:rsid w:val="00BC0BD7"/>
    <w:rsid w:val="00BC0C70"/>
    <w:rsid w:val="00BC0DED"/>
    <w:rsid w:val="00BC0E7A"/>
    <w:rsid w:val="00BC0F53"/>
    <w:rsid w:val="00BC111B"/>
    <w:rsid w:val="00BC1613"/>
    <w:rsid w:val="00BC182D"/>
    <w:rsid w:val="00BC1995"/>
    <w:rsid w:val="00BC19AB"/>
    <w:rsid w:val="00BC1CE8"/>
    <w:rsid w:val="00BC1FE1"/>
    <w:rsid w:val="00BC20CD"/>
    <w:rsid w:val="00BC2154"/>
    <w:rsid w:val="00BC2326"/>
    <w:rsid w:val="00BC2347"/>
    <w:rsid w:val="00BC25AD"/>
    <w:rsid w:val="00BC2634"/>
    <w:rsid w:val="00BC2753"/>
    <w:rsid w:val="00BC2893"/>
    <w:rsid w:val="00BC28F9"/>
    <w:rsid w:val="00BC2A17"/>
    <w:rsid w:val="00BC2B96"/>
    <w:rsid w:val="00BC2C47"/>
    <w:rsid w:val="00BC2E34"/>
    <w:rsid w:val="00BC30C6"/>
    <w:rsid w:val="00BC3133"/>
    <w:rsid w:val="00BC322D"/>
    <w:rsid w:val="00BC36D7"/>
    <w:rsid w:val="00BC3840"/>
    <w:rsid w:val="00BC3890"/>
    <w:rsid w:val="00BC390F"/>
    <w:rsid w:val="00BC3929"/>
    <w:rsid w:val="00BC3A03"/>
    <w:rsid w:val="00BC3C0D"/>
    <w:rsid w:val="00BC3D4D"/>
    <w:rsid w:val="00BC3E62"/>
    <w:rsid w:val="00BC41A3"/>
    <w:rsid w:val="00BC42EE"/>
    <w:rsid w:val="00BC50CD"/>
    <w:rsid w:val="00BC5445"/>
    <w:rsid w:val="00BC561F"/>
    <w:rsid w:val="00BC583B"/>
    <w:rsid w:val="00BC5A61"/>
    <w:rsid w:val="00BC5BDD"/>
    <w:rsid w:val="00BC61F5"/>
    <w:rsid w:val="00BC6589"/>
    <w:rsid w:val="00BC66F0"/>
    <w:rsid w:val="00BC694C"/>
    <w:rsid w:val="00BC6954"/>
    <w:rsid w:val="00BC6A0F"/>
    <w:rsid w:val="00BC6D7A"/>
    <w:rsid w:val="00BC6F72"/>
    <w:rsid w:val="00BC71F2"/>
    <w:rsid w:val="00BC751B"/>
    <w:rsid w:val="00BC751D"/>
    <w:rsid w:val="00BC761C"/>
    <w:rsid w:val="00BC76D3"/>
    <w:rsid w:val="00BC7F0C"/>
    <w:rsid w:val="00BD0177"/>
    <w:rsid w:val="00BD03BA"/>
    <w:rsid w:val="00BD0457"/>
    <w:rsid w:val="00BD088E"/>
    <w:rsid w:val="00BD098D"/>
    <w:rsid w:val="00BD0B79"/>
    <w:rsid w:val="00BD0CE9"/>
    <w:rsid w:val="00BD0D67"/>
    <w:rsid w:val="00BD0DCD"/>
    <w:rsid w:val="00BD0EDC"/>
    <w:rsid w:val="00BD0FB4"/>
    <w:rsid w:val="00BD0FD6"/>
    <w:rsid w:val="00BD106F"/>
    <w:rsid w:val="00BD138D"/>
    <w:rsid w:val="00BD1418"/>
    <w:rsid w:val="00BD18BB"/>
    <w:rsid w:val="00BD1C00"/>
    <w:rsid w:val="00BD1E79"/>
    <w:rsid w:val="00BD1EE3"/>
    <w:rsid w:val="00BD2015"/>
    <w:rsid w:val="00BD204A"/>
    <w:rsid w:val="00BD2055"/>
    <w:rsid w:val="00BD21E2"/>
    <w:rsid w:val="00BD23C7"/>
    <w:rsid w:val="00BD2850"/>
    <w:rsid w:val="00BD2878"/>
    <w:rsid w:val="00BD290E"/>
    <w:rsid w:val="00BD29C3"/>
    <w:rsid w:val="00BD2A49"/>
    <w:rsid w:val="00BD2C33"/>
    <w:rsid w:val="00BD2F55"/>
    <w:rsid w:val="00BD3282"/>
    <w:rsid w:val="00BD33C3"/>
    <w:rsid w:val="00BD34DC"/>
    <w:rsid w:val="00BD3C17"/>
    <w:rsid w:val="00BD3CDF"/>
    <w:rsid w:val="00BD40D8"/>
    <w:rsid w:val="00BD41A9"/>
    <w:rsid w:val="00BD41BA"/>
    <w:rsid w:val="00BD43B6"/>
    <w:rsid w:val="00BD44BA"/>
    <w:rsid w:val="00BD4822"/>
    <w:rsid w:val="00BD4BBF"/>
    <w:rsid w:val="00BD4BE8"/>
    <w:rsid w:val="00BD510A"/>
    <w:rsid w:val="00BD5127"/>
    <w:rsid w:val="00BD5393"/>
    <w:rsid w:val="00BD541A"/>
    <w:rsid w:val="00BD56A6"/>
    <w:rsid w:val="00BD56D5"/>
    <w:rsid w:val="00BD5996"/>
    <w:rsid w:val="00BD5B18"/>
    <w:rsid w:val="00BD6122"/>
    <w:rsid w:val="00BD620E"/>
    <w:rsid w:val="00BD6456"/>
    <w:rsid w:val="00BD6520"/>
    <w:rsid w:val="00BD65B2"/>
    <w:rsid w:val="00BD67D9"/>
    <w:rsid w:val="00BD6CBE"/>
    <w:rsid w:val="00BD6CCD"/>
    <w:rsid w:val="00BD6D1A"/>
    <w:rsid w:val="00BD6EE0"/>
    <w:rsid w:val="00BD6F03"/>
    <w:rsid w:val="00BD71E9"/>
    <w:rsid w:val="00BD77DD"/>
    <w:rsid w:val="00BD7964"/>
    <w:rsid w:val="00BD7A89"/>
    <w:rsid w:val="00BD7D5D"/>
    <w:rsid w:val="00BD7DAB"/>
    <w:rsid w:val="00BD7E62"/>
    <w:rsid w:val="00BD7F76"/>
    <w:rsid w:val="00BD7FF4"/>
    <w:rsid w:val="00BE0168"/>
    <w:rsid w:val="00BE02E1"/>
    <w:rsid w:val="00BE02E4"/>
    <w:rsid w:val="00BE0336"/>
    <w:rsid w:val="00BE0373"/>
    <w:rsid w:val="00BE0582"/>
    <w:rsid w:val="00BE064F"/>
    <w:rsid w:val="00BE0651"/>
    <w:rsid w:val="00BE067F"/>
    <w:rsid w:val="00BE0784"/>
    <w:rsid w:val="00BE0929"/>
    <w:rsid w:val="00BE0A47"/>
    <w:rsid w:val="00BE0B09"/>
    <w:rsid w:val="00BE0FA5"/>
    <w:rsid w:val="00BE149B"/>
    <w:rsid w:val="00BE1570"/>
    <w:rsid w:val="00BE16B4"/>
    <w:rsid w:val="00BE19C3"/>
    <w:rsid w:val="00BE19DD"/>
    <w:rsid w:val="00BE1BCD"/>
    <w:rsid w:val="00BE1D91"/>
    <w:rsid w:val="00BE227C"/>
    <w:rsid w:val="00BE2410"/>
    <w:rsid w:val="00BE25F7"/>
    <w:rsid w:val="00BE2903"/>
    <w:rsid w:val="00BE2A5F"/>
    <w:rsid w:val="00BE2AFD"/>
    <w:rsid w:val="00BE2B9B"/>
    <w:rsid w:val="00BE2BE9"/>
    <w:rsid w:val="00BE2E23"/>
    <w:rsid w:val="00BE2E49"/>
    <w:rsid w:val="00BE2F70"/>
    <w:rsid w:val="00BE300B"/>
    <w:rsid w:val="00BE3134"/>
    <w:rsid w:val="00BE3396"/>
    <w:rsid w:val="00BE370C"/>
    <w:rsid w:val="00BE3A0E"/>
    <w:rsid w:val="00BE3A64"/>
    <w:rsid w:val="00BE3AB2"/>
    <w:rsid w:val="00BE3AF2"/>
    <w:rsid w:val="00BE3C6B"/>
    <w:rsid w:val="00BE3D9A"/>
    <w:rsid w:val="00BE3DFC"/>
    <w:rsid w:val="00BE40D2"/>
    <w:rsid w:val="00BE4703"/>
    <w:rsid w:val="00BE4779"/>
    <w:rsid w:val="00BE4A4E"/>
    <w:rsid w:val="00BE4AB5"/>
    <w:rsid w:val="00BE4CB2"/>
    <w:rsid w:val="00BE53C3"/>
    <w:rsid w:val="00BE543F"/>
    <w:rsid w:val="00BE549B"/>
    <w:rsid w:val="00BE54C7"/>
    <w:rsid w:val="00BE56B8"/>
    <w:rsid w:val="00BE571B"/>
    <w:rsid w:val="00BE5B87"/>
    <w:rsid w:val="00BE6105"/>
    <w:rsid w:val="00BE655F"/>
    <w:rsid w:val="00BE68B9"/>
    <w:rsid w:val="00BE69E4"/>
    <w:rsid w:val="00BE6DD2"/>
    <w:rsid w:val="00BE74E4"/>
    <w:rsid w:val="00BE7507"/>
    <w:rsid w:val="00BE792C"/>
    <w:rsid w:val="00BE799C"/>
    <w:rsid w:val="00BE7F3D"/>
    <w:rsid w:val="00BF00C4"/>
    <w:rsid w:val="00BF01B7"/>
    <w:rsid w:val="00BF0218"/>
    <w:rsid w:val="00BF045E"/>
    <w:rsid w:val="00BF0597"/>
    <w:rsid w:val="00BF0D0A"/>
    <w:rsid w:val="00BF0D7B"/>
    <w:rsid w:val="00BF1386"/>
    <w:rsid w:val="00BF15CE"/>
    <w:rsid w:val="00BF1609"/>
    <w:rsid w:val="00BF1701"/>
    <w:rsid w:val="00BF17D3"/>
    <w:rsid w:val="00BF1991"/>
    <w:rsid w:val="00BF1B23"/>
    <w:rsid w:val="00BF1DE6"/>
    <w:rsid w:val="00BF2056"/>
    <w:rsid w:val="00BF2177"/>
    <w:rsid w:val="00BF21D4"/>
    <w:rsid w:val="00BF2406"/>
    <w:rsid w:val="00BF2A15"/>
    <w:rsid w:val="00BF2CF9"/>
    <w:rsid w:val="00BF2F1B"/>
    <w:rsid w:val="00BF2FA8"/>
    <w:rsid w:val="00BF2FDA"/>
    <w:rsid w:val="00BF33B5"/>
    <w:rsid w:val="00BF33C5"/>
    <w:rsid w:val="00BF367C"/>
    <w:rsid w:val="00BF3711"/>
    <w:rsid w:val="00BF3BE8"/>
    <w:rsid w:val="00BF3BFB"/>
    <w:rsid w:val="00BF3FC4"/>
    <w:rsid w:val="00BF4258"/>
    <w:rsid w:val="00BF426B"/>
    <w:rsid w:val="00BF4523"/>
    <w:rsid w:val="00BF4578"/>
    <w:rsid w:val="00BF4A90"/>
    <w:rsid w:val="00BF4AC8"/>
    <w:rsid w:val="00BF51E2"/>
    <w:rsid w:val="00BF53A5"/>
    <w:rsid w:val="00BF53D6"/>
    <w:rsid w:val="00BF5821"/>
    <w:rsid w:val="00BF5935"/>
    <w:rsid w:val="00BF5E1C"/>
    <w:rsid w:val="00BF5FEC"/>
    <w:rsid w:val="00BF60EB"/>
    <w:rsid w:val="00BF61E8"/>
    <w:rsid w:val="00BF61F8"/>
    <w:rsid w:val="00BF640D"/>
    <w:rsid w:val="00BF66CE"/>
    <w:rsid w:val="00BF69A7"/>
    <w:rsid w:val="00BF6A1B"/>
    <w:rsid w:val="00BF6AD5"/>
    <w:rsid w:val="00BF6D5F"/>
    <w:rsid w:val="00BF6DBD"/>
    <w:rsid w:val="00BF7299"/>
    <w:rsid w:val="00BF732E"/>
    <w:rsid w:val="00BF735C"/>
    <w:rsid w:val="00BF738E"/>
    <w:rsid w:val="00BF7413"/>
    <w:rsid w:val="00BF7518"/>
    <w:rsid w:val="00BF7853"/>
    <w:rsid w:val="00BF7A88"/>
    <w:rsid w:val="00BF7D6B"/>
    <w:rsid w:val="00C0008E"/>
    <w:rsid w:val="00C00117"/>
    <w:rsid w:val="00C005C8"/>
    <w:rsid w:val="00C00872"/>
    <w:rsid w:val="00C00E1F"/>
    <w:rsid w:val="00C00E57"/>
    <w:rsid w:val="00C00F6E"/>
    <w:rsid w:val="00C00FA6"/>
    <w:rsid w:val="00C015A7"/>
    <w:rsid w:val="00C017BC"/>
    <w:rsid w:val="00C0190D"/>
    <w:rsid w:val="00C01C1C"/>
    <w:rsid w:val="00C01C80"/>
    <w:rsid w:val="00C02095"/>
    <w:rsid w:val="00C023EE"/>
    <w:rsid w:val="00C02594"/>
    <w:rsid w:val="00C027EF"/>
    <w:rsid w:val="00C02891"/>
    <w:rsid w:val="00C02BBD"/>
    <w:rsid w:val="00C02EB3"/>
    <w:rsid w:val="00C02F29"/>
    <w:rsid w:val="00C03473"/>
    <w:rsid w:val="00C034B9"/>
    <w:rsid w:val="00C034E9"/>
    <w:rsid w:val="00C03630"/>
    <w:rsid w:val="00C038B5"/>
    <w:rsid w:val="00C038CB"/>
    <w:rsid w:val="00C0399D"/>
    <w:rsid w:val="00C03A4D"/>
    <w:rsid w:val="00C03AC3"/>
    <w:rsid w:val="00C03B1E"/>
    <w:rsid w:val="00C03B2C"/>
    <w:rsid w:val="00C03CC9"/>
    <w:rsid w:val="00C03FCB"/>
    <w:rsid w:val="00C043BD"/>
    <w:rsid w:val="00C045CA"/>
    <w:rsid w:val="00C046D4"/>
    <w:rsid w:val="00C04868"/>
    <w:rsid w:val="00C048E4"/>
    <w:rsid w:val="00C04B5A"/>
    <w:rsid w:val="00C05023"/>
    <w:rsid w:val="00C05770"/>
    <w:rsid w:val="00C05801"/>
    <w:rsid w:val="00C05B5B"/>
    <w:rsid w:val="00C05E11"/>
    <w:rsid w:val="00C05F06"/>
    <w:rsid w:val="00C06067"/>
    <w:rsid w:val="00C06466"/>
    <w:rsid w:val="00C06AE8"/>
    <w:rsid w:val="00C06C41"/>
    <w:rsid w:val="00C06CD4"/>
    <w:rsid w:val="00C072CA"/>
    <w:rsid w:val="00C07474"/>
    <w:rsid w:val="00C074AB"/>
    <w:rsid w:val="00C07589"/>
    <w:rsid w:val="00C07668"/>
    <w:rsid w:val="00C076C2"/>
    <w:rsid w:val="00C0778A"/>
    <w:rsid w:val="00C07905"/>
    <w:rsid w:val="00C07AC0"/>
    <w:rsid w:val="00C07AF4"/>
    <w:rsid w:val="00C07B38"/>
    <w:rsid w:val="00C07BA0"/>
    <w:rsid w:val="00C07C50"/>
    <w:rsid w:val="00C07C95"/>
    <w:rsid w:val="00C07EE5"/>
    <w:rsid w:val="00C1021C"/>
    <w:rsid w:val="00C1024F"/>
    <w:rsid w:val="00C10681"/>
    <w:rsid w:val="00C10BDC"/>
    <w:rsid w:val="00C10C27"/>
    <w:rsid w:val="00C10E84"/>
    <w:rsid w:val="00C1132E"/>
    <w:rsid w:val="00C113BD"/>
    <w:rsid w:val="00C1141B"/>
    <w:rsid w:val="00C115BF"/>
    <w:rsid w:val="00C11F5D"/>
    <w:rsid w:val="00C120BA"/>
    <w:rsid w:val="00C12212"/>
    <w:rsid w:val="00C12223"/>
    <w:rsid w:val="00C123DE"/>
    <w:rsid w:val="00C1240F"/>
    <w:rsid w:val="00C1293B"/>
    <w:rsid w:val="00C12B12"/>
    <w:rsid w:val="00C12BD8"/>
    <w:rsid w:val="00C13342"/>
    <w:rsid w:val="00C13357"/>
    <w:rsid w:val="00C1361E"/>
    <w:rsid w:val="00C13E03"/>
    <w:rsid w:val="00C140B0"/>
    <w:rsid w:val="00C1422D"/>
    <w:rsid w:val="00C1436E"/>
    <w:rsid w:val="00C143E5"/>
    <w:rsid w:val="00C143EE"/>
    <w:rsid w:val="00C144D8"/>
    <w:rsid w:val="00C146AF"/>
    <w:rsid w:val="00C14713"/>
    <w:rsid w:val="00C14BC5"/>
    <w:rsid w:val="00C14E99"/>
    <w:rsid w:val="00C14FC5"/>
    <w:rsid w:val="00C1504A"/>
    <w:rsid w:val="00C15062"/>
    <w:rsid w:val="00C152A0"/>
    <w:rsid w:val="00C153E0"/>
    <w:rsid w:val="00C1541A"/>
    <w:rsid w:val="00C15A53"/>
    <w:rsid w:val="00C15CB0"/>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49B"/>
    <w:rsid w:val="00C17559"/>
    <w:rsid w:val="00C178DB"/>
    <w:rsid w:val="00C17B1C"/>
    <w:rsid w:val="00C17B87"/>
    <w:rsid w:val="00C17CB9"/>
    <w:rsid w:val="00C17DCF"/>
    <w:rsid w:val="00C17F0B"/>
    <w:rsid w:val="00C200C0"/>
    <w:rsid w:val="00C20704"/>
    <w:rsid w:val="00C20979"/>
    <w:rsid w:val="00C20B54"/>
    <w:rsid w:val="00C20C53"/>
    <w:rsid w:val="00C20EE0"/>
    <w:rsid w:val="00C2120E"/>
    <w:rsid w:val="00C21224"/>
    <w:rsid w:val="00C21485"/>
    <w:rsid w:val="00C217DE"/>
    <w:rsid w:val="00C21851"/>
    <w:rsid w:val="00C21AF3"/>
    <w:rsid w:val="00C21D92"/>
    <w:rsid w:val="00C21E0A"/>
    <w:rsid w:val="00C21F79"/>
    <w:rsid w:val="00C22136"/>
    <w:rsid w:val="00C223D8"/>
    <w:rsid w:val="00C228BF"/>
    <w:rsid w:val="00C22B62"/>
    <w:rsid w:val="00C22EA4"/>
    <w:rsid w:val="00C23129"/>
    <w:rsid w:val="00C231F5"/>
    <w:rsid w:val="00C2381F"/>
    <w:rsid w:val="00C23DA8"/>
    <w:rsid w:val="00C23F1B"/>
    <w:rsid w:val="00C241AB"/>
    <w:rsid w:val="00C2433D"/>
    <w:rsid w:val="00C244E7"/>
    <w:rsid w:val="00C2485A"/>
    <w:rsid w:val="00C24935"/>
    <w:rsid w:val="00C24BCC"/>
    <w:rsid w:val="00C24DDB"/>
    <w:rsid w:val="00C254B0"/>
    <w:rsid w:val="00C254D3"/>
    <w:rsid w:val="00C25945"/>
    <w:rsid w:val="00C25DD4"/>
    <w:rsid w:val="00C25E67"/>
    <w:rsid w:val="00C262BD"/>
    <w:rsid w:val="00C265CF"/>
    <w:rsid w:val="00C2665C"/>
    <w:rsid w:val="00C268DB"/>
    <w:rsid w:val="00C26A11"/>
    <w:rsid w:val="00C26A3A"/>
    <w:rsid w:val="00C26AF1"/>
    <w:rsid w:val="00C26EA7"/>
    <w:rsid w:val="00C26F76"/>
    <w:rsid w:val="00C276DE"/>
    <w:rsid w:val="00C27730"/>
    <w:rsid w:val="00C27936"/>
    <w:rsid w:val="00C2797D"/>
    <w:rsid w:val="00C27D0A"/>
    <w:rsid w:val="00C309B5"/>
    <w:rsid w:val="00C30E10"/>
    <w:rsid w:val="00C31514"/>
    <w:rsid w:val="00C31575"/>
    <w:rsid w:val="00C315EA"/>
    <w:rsid w:val="00C316BE"/>
    <w:rsid w:val="00C31A3F"/>
    <w:rsid w:val="00C31A85"/>
    <w:rsid w:val="00C31C93"/>
    <w:rsid w:val="00C31EAA"/>
    <w:rsid w:val="00C320FB"/>
    <w:rsid w:val="00C322A1"/>
    <w:rsid w:val="00C3231E"/>
    <w:rsid w:val="00C32550"/>
    <w:rsid w:val="00C32703"/>
    <w:rsid w:val="00C32AF3"/>
    <w:rsid w:val="00C32BE7"/>
    <w:rsid w:val="00C32D8B"/>
    <w:rsid w:val="00C33105"/>
    <w:rsid w:val="00C33550"/>
    <w:rsid w:val="00C33760"/>
    <w:rsid w:val="00C3387D"/>
    <w:rsid w:val="00C338EE"/>
    <w:rsid w:val="00C339AC"/>
    <w:rsid w:val="00C339AD"/>
    <w:rsid w:val="00C33C31"/>
    <w:rsid w:val="00C33DAA"/>
    <w:rsid w:val="00C33E04"/>
    <w:rsid w:val="00C33E19"/>
    <w:rsid w:val="00C33F71"/>
    <w:rsid w:val="00C34018"/>
    <w:rsid w:val="00C3444F"/>
    <w:rsid w:val="00C34978"/>
    <w:rsid w:val="00C34A01"/>
    <w:rsid w:val="00C34B4C"/>
    <w:rsid w:val="00C34C5C"/>
    <w:rsid w:val="00C34FF3"/>
    <w:rsid w:val="00C351ED"/>
    <w:rsid w:val="00C3528C"/>
    <w:rsid w:val="00C356BF"/>
    <w:rsid w:val="00C3586C"/>
    <w:rsid w:val="00C35DC3"/>
    <w:rsid w:val="00C3619E"/>
    <w:rsid w:val="00C3620A"/>
    <w:rsid w:val="00C362AC"/>
    <w:rsid w:val="00C362F5"/>
    <w:rsid w:val="00C36310"/>
    <w:rsid w:val="00C36323"/>
    <w:rsid w:val="00C366E9"/>
    <w:rsid w:val="00C36875"/>
    <w:rsid w:val="00C36A7C"/>
    <w:rsid w:val="00C36DEB"/>
    <w:rsid w:val="00C36E4C"/>
    <w:rsid w:val="00C36E5B"/>
    <w:rsid w:val="00C36F76"/>
    <w:rsid w:val="00C37169"/>
    <w:rsid w:val="00C3749E"/>
    <w:rsid w:val="00C3779F"/>
    <w:rsid w:val="00C37828"/>
    <w:rsid w:val="00C37885"/>
    <w:rsid w:val="00C37EB7"/>
    <w:rsid w:val="00C40280"/>
    <w:rsid w:val="00C40430"/>
    <w:rsid w:val="00C404A8"/>
    <w:rsid w:val="00C405DF"/>
    <w:rsid w:val="00C409E4"/>
    <w:rsid w:val="00C40B0B"/>
    <w:rsid w:val="00C40E42"/>
    <w:rsid w:val="00C414B0"/>
    <w:rsid w:val="00C414F4"/>
    <w:rsid w:val="00C41614"/>
    <w:rsid w:val="00C4165D"/>
    <w:rsid w:val="00C4174F"/>
    <w:rsid w:val="00C4178E"/>
    <w:rsid w:val="00C41912"/>
    <w:rsid w:val="00C41969"/>
    <w:rsid w:val="00C41B4E"/>
    <w:rsid w:val="00C41EDD"/>
    <w:rsid w:val="00C42759"/>
    <w:rsid w:val="00C42889"/>
    <w:rsid w:val="00C42A8A"/>
    <w:rsid w:val="00C42A95"/>
    <w:rsid w:val="00C42ACD"/>
    <w:rsid w:val="00C433D2"/>
    <w:rsid w:val="00C43785"/>
    <w:rsid w:val="00C4386B"/>
    <w:rsid w:val="00C43923"/>
    <w:rsid w:val="00C43A11"/>
    <w:rsid w:val="00C43A72"/>
    <w:rsid w:val="00C43F15"/>
    <w:rsid w:val="00C4422E"/>
    <w:rsid w:val="00C443B2"/>
    <w:rsid w:val="00C4454F"/>
    <w:rsid w:val="00C446E1"/>
    <w:rsid w:val="00C448C4"/>
    <w:rsid w:val="00C44C9F"/>
    <w:rsid w:val="00C44D4F"/>
    <w:rsid w:val="00C4518A"/>
    <w:rsid w:val="00C45198"/>
    <w:rsid w:val="00C4524F"/>
    <w:rsid w:val="00C4597D"/>
    <w:rsid w:val="00C45CF5"/>
    <w:rsid w:val="00C45D11"/>
    <w:rsid w:val="00C45FC4"/>
    <w:rsid w:val="00C4613F"/>
    <w:rsid w:val="00C4618D"/>
    <w:rsid w:val="00C462F6"/>
    <w:rsid w:val="00C463E6"/>
    <w:rsid w:val="00C4674D"/>
    <w:rsid w:val="00C467F5"/>
    <w:rsid w:val="00C46941"/>
    <w:rsid w:val="00C46E32"/>
    <w:rsid w:val="00C47150"/>
    <w:rsid w:val="00C4725D"/>
    <w:rsid w:val="00C4775C"/>
    <w:rsid w:val="00C47A79"/>
    <w:rsid w:val="00C47D4A"/>
    <w:rsid w:val="00C47EC5"/>
    <w:rsid w:val="00C502FE"/>
    <w:rsid w:val="00C5064A"/>
    <w:rsid w:val="00C508FA"/>
    <w:rsid w:val="00C50A98"/>
    <w:rsid w:val="00C50C3E"/>
    <w:rsid w:val="00C51078"/>
    <w:rsid w:val="00C519A5"/>
    <w:rsid w:val="00C51C47"/>
    <w:rsid w:val="00C52260"/>
    <w:rsid w:val="00C52330"/>
    <w:rsid w:val="00C523CB"/>
    <w:rsid w:val="00C525F6"/>
    <w:rsid w:val="00C52782"/>
    <w:rsid w:val="00C52869"/>
    <w:rsid w:val="00C528C8"/>
    <w:rsid w:val="00C52962"/>
    <w:rsid w:val="00C5298B"/>
    <w:rsid w:val="00C53291"/>
    <w:rsid w:val="00C5333D"/>
    <w:rsid w:val="00C5343C"/>
    <w:rsid w:val="00C536A4"/>
    <w:rsid w:val="00C5392C"/>
    <w:rsid w:val="00C53AD3"/>
    <w:rsid w:val="00C540B4"/>
    <w:rsid w:val="00C5425F"/>
    <w:rsid w:val="00C5438F"/>
    <w:rsid w:val="00C548D6"/>
    <w:rsid w:val="00C54BB9"/>
    <w:rsid w:val="00C54BED"/>
    <w:rsid w:val="00C54D26"/>
    <w:rsid w:val="00C54DEE"/>
    <w:rsid w:val="00C55211"/>
    <w:rsid w:val="00C554EF"/>
    <w:rsid w:val="00C5584E"/>
    <w:rsid w:val="00C5592E"/>
    <w:rsid w:val="00C55945"/>
    <w:rsid w:val="00C55E0E"/>
    <w:rsid w:val="00C55EE1"/>
    <w:rsid w:val="00C56123"/>
    <w:rsid w:val="00C5617C"/>
    <w:rsid w:val="00C5671E"/>
    <w:rsid w:val="00C56B51"/>
    <w:rsid w:val="00C56BC2"/>
    <w:rsid w:val="00C56BD2"/>
    <w:rsid w:val="00C56C33"/>
    <w:rsid w:val="00C56CCA"/>
    <w:rsid w:val="00C56DEF"/>
    <w:rsid w:val="00C56FD2"/>
    <w:rsid w:val="00C57343"/>
    <w:rsid w:val="00C5749B"/>
    <w:rsid w:val="00C574D4"/>
    <w:rsid w:val="00C575F5"/>
    <w:rsid w:val="00C57C48"/>
    <w:rsid w:val="00C57E26"/>
    <w:rsid w:val="00C60209"/>
    <w:rsid w:val="00C603D1"/>
    <w:rsid w:val="00C60626"/>
    <w:rsid w:val="00C607E0"/>
    <w:rsid w:val="00C60848"/>
    <w:rsid w:val="00C60937"/>
    <w:rsid w:val="00C609BA"/>
    <w:rsid w:val="00C609FF"/>
    <w:rsid w:val="00C60B14"/>
    <w:rsid w:val="00C60F89"/>
    <w:rsid w:val="00C61015"/>
    <w:rsid w:val="00C61394"/>
    <w:rsid w:val="00C619C0"/>
    <w:rsid w:val="00C61AED"/>
    <w:rsid w:val="00C624E6"/>
    <w:rsid w:val="00C625BD"/>
    <w:rsid w:val="00C626AA"/>
    <w:rsid w:val="00C626F1"/>
    <w:rsid w:val="00C62705"/>
    <w:rsid w:val="00C6289E"/>
    <w:rsid w:val="00C628C4"/>
    <w:rsid w:val="00C62C90"/>
    <w:rsid w:val="00C62CC3"/>
    <w:rsid w:val="00C62D74"/>
    <w:rsid w:val="00C632D5"/>
    <w:rsid w:val="00C638DC"/>
    <w:rsid w:val="00C63D8F"/>
    <w:rsid w:val="00C640A8"/>
    <w:rsid w:val="00C64137"/>
    <w:rsid w:val="00C641C5"/>
    <w:rsid w:val="00C645D5"/>
    <w:rsid w:val="00C6464A"/>
    <w:rsid w:val="00C646E8"/>
    <w:rsid w:val="00C6478A"/>
    <w:rsid w:val="00C6497D"/>
    <w:rsid w:val="00C64A97"/>
    <w:rsid w:val="00C64C9E"/>
    <w:rsid w:val="00C64CE5"/>
    <w:rsid w:val="00C64D28"/>
    <w:rsid w:val="00C64DB6"/>
    <w:rsid w:val="00C65260"/>
    <w:rsid w:val="00C65343"/>
    <w:rsid w:val="00C653B5"/>
    <w:rsid w:val="00C65546"/>
    <w:rsid w:val="00C65850"/>
    <w:rsid w:val="00C65AEC"/>
    <w:rsid w:val="00C65D1E"/>
    <w:rsid w:val="00C65E71"/>
    <w:rsid w:val="00C66100"/>
    <w:rsid w:val="00C661DC"/>
    <w:rsid w:val="00C66295"/>
    <w:rsid w:val="00C6629C"/>
    <w:rsid w:val="00C666BF"/>
    <w:rsid w:val="00C6698C"/>
    <w:rsid w:val="00C66B55"/>
    <w:rsid w:val="00C66BA0"/>
    <w:rsid w:val="00C66BB0"/>
    <w:rsid w:val="00C66CCA"/>
    <w:rsid w:val="00C66DDC"/>
    <w:rsid w:val="00C66F0D"/>
    <w:rsid w:val="00C66FFF"/>
    <w:rsid w:val="00C674F8"/>
    <w:rsid w:val="00C67A07"/>
    <w:rsid w:val="00C67AAA"/>
    <w:rsid w:val="00C67EE3"/>
    <w:rsid w:val="00C67FE0"/>
    <w:rsid w:val="00C6843A"/>
    <w:rsid w:val="00C7001D"/>
    <w:rsid w:val="00C70135"/>
    <w:rsid w:val="00C702E2"/>
    <w:rsid w:val="00C7044D"/>
    <w:rsid w:val="00C705A9"/>
    <w:rsid w:val="00C70A18"/>
    <w:rsid w:val="00C70BA5"/>
    <w:rsid w:val="00C70C03"/>
    <w:rsid w:val="00C71023"/>
    <w:rsid w:val="00C71049"/>
    <w:rsid w:val="00C71106"/>
    <w:rsid w:val="00C7115B"/>
    <w:rsid w:val="00C71ACC"/>
    <w:rsid w:val="00C71C56"/>
    <w:rsid w:val="00C72756"/>
    <w:rsid w:val="00C7276C"/>
    <w:rsid w:val="00C728A1"/>
    <w:rsid w:val="00C729CE"/>
    <w:rsid w:val="00C72B1F"/>
    <w:rsid w:val="00C72B7F"/>
    <w:rsid w:val="00C72D69"/>
    <w:rsid w:val="00C72DB1"/>
    <w:rsid w:val="00C7310B"/>
    <w:rsid w:val="00C73182"/>
    <w:rsid w:val="00C73238"/>
    <w:rsid w:val="00C734DC"/>
    <w:rsid w:val="00C73C08"/>
    <w:rsid w:val="00C73C46"/>
    <w:rsid w:val="00C73F9E"/>
    <w:rsid w:val="00C73FFE"/>
    <w:rsid w:val="00C74037"/>
    <w:rsid w:val="00C740D9"/>
    <w:rsid w:val="00C741C0"/>
    <w:rsid w:val="00C742E7"/>
    <w:rsid w:val="00C7454B"/>
    <w:rsid w:val="00C748DF"/>
    <w:rsid w:val="00C74966"/>
    <w:rsid w:val="00C74C46"/>
    <w:rsid w:val="00C74CBF"/>
    <w:rsid w:val="00C750AB"/>
    <w:rsid w:val="00C75665"/>
    <w:rsid w:val="00C75881"/>
    <w:rsid w:val="00C759B5"/>
    <w:rsid w:val="00C75B39"/>
    <w:rsid w:val="00C75F08"/>
    <w:rsid w:val="00C76275"/>
    <w:rsid w:val="00C7630F"/>
    <w:rsid w:val="00C7662D"/>
    <w:rsid w:val="00C769D9"/>
    <w:rsid w:val="00C76B70"/>
    <w:rsid w:val="00C76C1E"/>
    <w:rsid w:val="00C76D3B"/>
    <w:rsid w:val="00C76DCD"/>
    <w:rsid w:val="00C76E8F"/>
    <w:rsid w:val="00C7757C"/>
    <w:rsid w:val="00C77669"/>
    <w:rsid w:val="00C77D14"/>
    <w:rsid w:val="00C77DB9"/>
    <w:rsid w:val="00C77E75"/>
    <w:rsid w:val="00C77ECA"/>
    <w:rsid w:val="00C80095"/>
    <w:rsid w:val="00C800A1"/>
    <w:rsid w:val="00C800A2"/>
    <w:rsid w:val="00C8061A"/>
    <w:rsid w:val="00C80930"/>
    <w:rsid w:val="00C810C4"/>
    <w:rsid w:val="00C810E9"/>
    <w:rsid w:val="00C81153"/>
    <w:rsid w:val="00C812B7"/>
    <w:rsid w:val="00C813CF"/>
    <w:rsid w:val="00C81702"/>
    <w:rsid w:val="00C81794"/>
    <w:rsid w:val="00C81CEC"/>
    <w:rsid w:val="00C81D92"/>
    <w:rsid w:val="00C81F3A"/>
    <w:rsid w:val="00C824D4"/>
    <w:rsid w:val="00C8302E"/>
    <w:rsid w:val="00C830E6"/>
    <w:rsid w:val="00C83651"/>
    <w:rsid w:val="00C837F9"/>
    <w:rsid w:val="00C840E1"/>
    <w:rsid w:val="00C8411E"/>
    <w:rsid w:val="00C841B5"/>
    <w:rsid w:val="00C84473"/>
    <w:rsid w:val="00C84805"/>
    <w:rsid w:val="00C84B3B"/>
    <w:rsid w:val="00C84BB8"/>
    <w:rsid w:val="00C84E67"/>
    <w:rsid w:val="00C84E71"/>
    <w:rsid w:val="00C84EC6"/>
    <w:rsid w:val="00C8514A"/>
    <w:rsid w:val="00C8590D"/>
    <w:rsid w:val="00C859BA"/>
    <w:rsid w:val="00C85D80"/>
    <w:rsid w:val="00C85ED4"/>
    <w:rsid w:val="00C86151"/>
    <w:rsid w:val="00C8637D"/>
    <w:rsid w:val="00C8643D"/>
    <w:rsid w:val="00C864D7"/>
    <w:rsid w:val="00C86599"/>
    <w:rsid w:val="00C866A5"/>
    <w:rsid w:val="00C86785"/>
    <w:rsid w:val="00C86877"/>
    <w:rsid w:val="00C87364"/>
    <w:rsid w:val="00C876D6"/>
    <w:rsid w:val="00C87843"/>
    <w:rsid w:val="00C87F57"/>
    <w:rsid w:val="00C90045"/>
    <w:rsid w:val="00C90047"/>
    <w:rsid w:val="00C901ED"/>
    <w:rsid w:val="00C90360"/>
    <w:rsid w:val="00C90594"/>
    <w:rsid w:val="00C905CE"/>
    <w:rsid w:val="00C90922"/>
    <w:rsid w:val="00C90BF6"/>
    <w:rsid w:val="00C90C02"/>
    <w:rsid w:val="00C90C34"/>
    <w:rsid w:val="00C90C7F"/>
    <w:rsid w:val="00C912BA"/>
    <w:rsid w:val="00C91565"/>
    <w:rsid w:val="00C91769"/>
    <w:rsid w:val="00C9198F"/>
    <w:rsid w:val="00C919C4"/>
    <w:rsid w:val="00C91C03"/>
    <w:rsid w:val="00C91C09"/>
    <w:rsid w:val="00C91F74"/>
    <w:rsid w:val="00C91FA1"/>
    <w:rsid w:val="00C92A7A"/>
    <w:rsid w:val="00C92AD8"/>
    <w:rsid w:val="00C92E4B"/>
    <w:rsid w:val="00C93102"/>
    <w:rsid w:val="00C932D9"/>
    <w:rsid w:val="00C933DD"/>
    <w:rsid w:val="00C934C3"/>
    <w:rsid w:val="00C936CD"/>
    <w:rsid w:val="00C937CA"/>
    <w:rsid w:val="00C9385C"/>
    <w:rsid w:val="00C9393A"/>
    <w:rsid w:val="00C93F75"/>
    <w:rsid w:val="00C940BE"/>
    <w:rsid w:val="00C941AB"/>
    <w:rsid w:val="00C9435B"/>
    <w:rsid w:val="00C946C6"/>
    <w:rsid w:val="00C94C2A"/>
    <w:rsid w:val="00C94D4E"/>
    <w:rsid w:val="00C94F8F"/>
    <w:rsid w:val="00C953B0"/>
    <w:rsid w:val="00C95787"/>
    <w:rsid w:val="00C95AD9"/>
    <w:rsid w:val="00C95BA2"/>
    <w:rsid w:val="00C95BEA"/>
    <w:rsid w:val="00C95D3A"/>
    <w:rsid w:val="00C95DD1"/>
    <w:rsid w:val="00C964AD"/>
    <w:rsid w:val="00C96690"/>
    <w:rsid w:val="00C96E0A"/>
    <w:rsid w:val="00C971FF"/>
    <w:rsid w:val="00C973BD"/>
    <w:rsid w:val="00C97B26"/>
    <w:rsid w:val="00CA0374"/>
    <w:rsid w:val="00CA039A"/>
    <w:rsid w:val="00CA04A8"/>
    <w:rsid w:val="00CA0529"/>
    <w:rsid w:val="00CA07F9"/>
    <w:rsid w:val="00CA081D"/>
    <w:rsid w:val="00CA0940"/>
    <w:rsid w:val="00CA0B8A"/>
    <w:rsid w:val="00CA0CCE"/>
    <w:rsid w:val="00CA0D82"/>
    <w:rsid w:val="00CA0DD1"/>
    <w:rsid w:val="00CA0E72"/>
    <w:rsid w:val="00CA0F35"/>
    <w:rsid w:val="00CA1239"/>
    <w:rsid w:val="00CA1796"/>
    <w:rsid w:val="00CA1A0B"/>
    <w:rsid w:val="00CA1B28"/>
    <w:rsid w:val="00CA1C83"/>
    <w:rsid w:val="00CA1DCF"/>
    <w:rsid w:val="00CA1DE2"/>
    <w:rsid w:val="00CA1F02"/>
    <w:rsid w:val="00CA214E"/>
    <w:rsid w:val="00CA24F4"/>
    <w:rsid w:val="00CA2507"/>
    <w:rsid w:val="00CA272B"/>
    <w:rsid w:val="00CA290A"/>
    <w:rsid w:val="00CA2A25"/>
    <w:rsid w:val="00CA2B5A"/>
    <w:rsid w:val="00CA2C47"/>
    <w:rsid w:val="00CA3299"/>
    <w:rsid w:val="00CA3323"/>
    <w:rsid w:val="00CA33B8"/>
    <w:rsid w:val="00CA3BCF"/>
    <w:rsid w:val="00CA3C3A"/>
    <w:rsid w:val="00CA3F49"/>
    <w:rsid w:val="00CA3F7C"/>
    <w:rsid w:val="00CA40B5"/>
    <w:rsid w:val="00CA43A6"/>
    <w:rsid w:val="00CA44AC"/>
    <w:rsid w:val="00CA4509"/>
    <w:rsid w:val="00CA45CA"/>
    <w:rsid w:val="00CA46A4"/>
    <w:rsid w:val="00CA46B1"/>
    <w:rsid w:val="00CA4A50"/>
    <w:rsid w:val="00CA4C01"/>
    <w:rsid w:val="00CA4D6E"/>
    <w:rsid w:val="00CA5043"/>
    <w:rsid w:val="00CA506A"/>
    <w:rsid w:val="00CA52FE"/>
    <w:rsid w:val="00CA5389"/>
    <w:rsid w:val="00CA555D"/>
    <w:rsid w:val="00CA5A14"/>
    <w:rsid w:val="00CA5A87"/>
    <w:rsid w:val="00CA5C02"/>
    <w:rsid w:val="00CA5C81"/>
    <w:rsid w:val="00CA5EA4"/>
    <w:rsid w:val="00CA5F97"/>
    <w:rsid w:val="00CA6276"/>
    <w:rsid w:val="00CA6337"/>
    <w:rsid w:val="00CA63A7"/>
    <w:rsid w:val="00CA63C0"/>
    <w:rsid w:val="00CA6408"/>
    <w:rsid w:val="00CA6473"/>
    <w:rsid w:val="00CA67DC"/>
    <w:rsid w:val="00CA6DD0"/>
    <w:rsid w:val="00CA6F49"/>
    <w:rsid w:val="00CA7009"/>
    <w:rsid w:val="00CA703D"/>
    <w:rsid w:val="00CA75A0"/>
    <w:rsid w:val="00CA767B"/>
    <w:rsid w:val="00CA776C"/>
    <w:rsid w:val="00CA78B7"/>
    <w:rsid w:val="00CA7C30"/>
    <w:rsid w:val="00CB0272"/>
    <w:rsid w:val="00CB03DF"/>
    <w:rsid w:val="00CB06A1"/>
    <w:rsid w:val="00CB0743"/>
    <w:rsid w:val="00CB0AFB"/>
    <w:rsid w:val="00CB0E2C"/>
    <w:rsid w:val="00CB0F8D"/>
    <w:rsid w:val="00CB10E4"/>
    <w:rsid w:val="00CB110E"/>
    <w:rsid w:val="00CB1197"/>
    <w:rsid w:val="00CB13F2"/>
    <w:rsid w:val="00CB1502"/>
    <w:rsid w:val="00CB15CD"/>
    <w:rsid w:val="00CB17DB"/>
    <w:rsid w:val="00CB18C7"/>
    <w:rsid w:val="00CB18E7"/>
    <w:rsid w:val="00CB1969"/>
    <w:rsid w:val="00CB1A1B"/>
    <w:rsid w:val="00CB1AD6"/>
    <w:rsid w:val="00CB1BF3"/>
    <w:rsid w:val="00CB1C88"/>
    <w:rsid w:val="00CB1CD7"/>
    <w:rsid w:val="00CB2251"/>
    <w:rsid w:val="00CB2302"/>
    <w:rsid w:val="00CB247B"/>
    <w:rsid w:val="00CB26D7"/>
    <w:rsid w:val="00CB2AB1"/>
    <w:rsid w:val="00CB2D5C"/>
    <w:rsid w:val="00CB2FB5"/>
    <w:rsid w:val="00CB30F2"/>
    <w:rsid w:val="00CB323A"/>
    <w:rsid w:val="00CB385C"/>
    <w:rsid w:val="00CB38E3"/>
    <w:rsid w:val="00CB3D6F"/>
    <w:rsid w:val="00CB3EB4"/>
    <w:rsid w:val="00CB3F75"/>
    <w:rsid w:val="00CB4041"/>
    <w:rsid w:val="00CB407D"/>
    <w:rsid w:val="00CB40D0"/>
    <w:rsid w:val="00CB40FE"/>
    <w:rsid w:val="00CB4326"/>
    <w:rsid w:val="00CB4457"/>
    <w:rsid w:val="00CB447F"/>
    <w:rsid w:val="00CB4F33"/>
    <w:rsid w:val="00CB51E0"/>
    <w:rsid w:val="00CB52E9"/>
    <w:rsid w:val="00CB533D"/>
    <w:rsid w:val="00CB56D1"/>
    <w:rsid w:val="00CB579F"/>
    <w:rsid w:val="00CB594C"/>
    <w:rsid w:val="00CB5AF3"/>
    <w:rsid w:val="00CB5D82"/>
    <w:rsid w:val="00CB6E0C"/>
    <w:rsid w:val="00CB6EC4"/>
    <w:rsid w:val="00CB6F11"/>
    <w:rsid w:val="00CB70D9"/>
    <w:rsid w:val="00CB7185"/>
    <w:rsid w:val="00CB72A7"/>
    <w:rsid w:val="00CB72D3"/>
    <w:rsid w:val="00CB7526"/>
    <w:rsid w:val="00CB755D"/>
    <w:rsid w:val="00CB7855"/>
    <w:rsid w:val="00CB7A0F"/>
    <w:rsid w:val="00CB7F9A"/>
    <w:rsid w:val="00CC02E0"/>
    <w:rsid w:val="00CC06C4"/>
    <w:rsid w:val="00CC083B"/>
    <w:rsid w:val="00CC08E1"/>
    <w:rsid w:val="00CC0AF3"/>
    <w:rsid w:val="00CC0BAF"/>
    <w:rsid w:val="00CC0CBD"/>
    <w:rsid w:val="00CC1259"/>
    <w:rsid w:val="00CC1852"/>
    <w:rsid w:val="00CC1878"/>
    <w:rsid w:val="00CC1894"/>
    <w:rsid w:val="00CC1B5A"/>
    <w:rsid w:val="00CC1BE8"/>
    <w:rsid w:val="00CC1EB6"/>
    <w:rsid w:val="00CC21A9"/>
    <w:rsid w:val="00CC2398"/>
    <w:rsid w:val="00CC28F7"/>
    <w:rsid w:val="00CC2BEB"/>
    <w:rsid w:val="00CC2BFB"/>
    <w:rsid w:val="00CC2CD4"/>
    <w:rsid w:val="00CC2E8C"/>
    <w:rsid w:val="00CC2EB1"/>
    <w:rsid w:val="00CC2ED3"/>
    <w:rsid w:val="00CC2F1D"/>
    <w:rsid w:val="00CC3031"/>
    <w:rsid w:val="00CC3118"/>
    <w:rsid w:val="00CC3296"/>
    <w:rsid w:val="00CC34F8"/>
    <w:rsid w:val="00CC3608"/>
    <w:rsid w:val="00CC3697"/>
    <w:rsid w:val="00CC3A01"/>
    <w:rsid w:val="00CC4022"/>
    <w:rsid w:val="00CC43D1"/>
    <w:rsid w:val="00CC46D6"/>
    <w:rsid w:val="00CC4700"/>
    <w:rsid w:val="00CC4811"/>
    <w:rsid w:val="00CC49AA"/>
    <w:rsid w:val="00CC4A1A"/>
    <w:rsid w:val="00CC4BEB"/>
    <w:rsid w:val="00CC4CA1"/>
    <w:rsid w:val="00CC4CA8"/>
    <w:rsid w:val="00CC5233"/>
    <w:rsid w:val="00CC5332"/>
    <w:rsid w:val="00CC5389"/>
    <w:rsid w:val="00CC57C2"/>
    <w:rsid w:val="00CC5836"/>
    <w:rsid w:val="00CC5E5E"/>
    <w:rsid w:val="00CC5EB0"/>
    <w:rsid w:val="00CC5F44"/>
    <w:rsid w:val="00CC5FC2"/>
    <w:rsid w:val="00CC625D"/>
    <w:rsid w:val="00CC6268"/>
    <w:rsid w:val="00CC636B"/>
    <w:rsid w:val="00CC6882"/>
    <w:rsid w:val="00CC689C"/>
    <w:rsid w:val="00CC6A1D"/>
    <w:rsid w:val="00CC7152"/>
    <w:rsid w:val="00CC7278"/>
    <w:rsid w:val="00CC72AB"/>
    <w:rsid w:val="00CC72F7"/>
    <w:rsid w:val="00CC7842"/>
    <w:rsid w:val="00CC7E4B"/>
    <w:rsid w:val="00CC7F00"/>
    <w:rsid w:val="00CD0079"/>
    <w:rsid w:val="00CD009F"/>
    <w:rsid w:val="00CD0112"/>
    <w:rsid w:val="00CD023F"/>
    <w:rsid w:val="00CD035D"/>
    <w:rsid w:val="00CD0451"/>
    <w:rsid w:val="00CD0463"/>
    <w:rsid w:val="00CD0465"/>
    <w:rsid w:val="00CD067C"/>
    <w:rsid w:val="00CD08C7"/>
    <w:rsid w:val="00CD0CA8"/>
    <w:rsid w:val="00CD0E6E"/>
    <w:rsid w:val="00CD0FC0"/>
    <w:rsid w:val="00CD10BF"/>
    <w:rsid w:val="00CD11E3"/>
    <w:rsid w:val="00CD151F"/>
    <w:rsid w:val="00CD174A"/>
    <w:rsid w:val="00CD19EA"/>
    <w:rsid w:val="00CD1A30"/>
    <w:rsid w:val="00CD1ECB"/>
    <w:rsid w:val="00CD1EEE"/>
    <w:rsid w:val="00CD1F12"/>
    <w:rsid w:val="00CD1F85"/>
    <w:rsid w:val="00CD21B5"/>
    <w:rsid w:val="00CD2378"/>
    <w:rsid w:val="00CD2606"/>
    <w:rsid w:val="00CD2711"/>
    <w:rsid w:val="00CD2B23"/>
    <w:rsid w:val="00CD2C82"/>
    <w:rsid w:val="00CD3181"/>
    <w:rsid w:val="00CD31AD"/>
    <w:rsid w:val="00CD3205"/>
    <w:rsid w:val="00CD38DD"/>
    <w:rsid w:val="00CD39D9"/>
    <w:rsid w:val="00CD3A3C"/>
    <w:rsid w:val="00CD3AC7"/>
    <w:rsid w:val="00CD3BE3"/>
    <w:rsid w:val="00CD3CB6"/>
    <w:rsid w:val="00CD4457"/>
    <w:rsid w:val="00CD45BE"/>
    <w:rsid w:val="00CD4DC1"/>
    <w:rsid w:val="00CD4FC4"/>
    <w:rsid w:val="00CD50DA"/>
    <w:rsid w:val="00CD530F"/>
    <w:rsid w:val="00CD5337"/>
    <w:rsid w:val="00CD5799"/>
    <w:rsid w:val="00CD5A70"/>
    <w:rsid w:val="00CD5AFA"/>
    <w:rsid w:val="00CD5BC2"/>
    <w:rsid w:val="00CD5CC5"/>
    <w:rsid w:val="00CD5DE1"/>
    <w:rsid w:val="00CD5EAD"/>
    <w:rsid w:val="00CD6369"/>
    <w:rsid w:val="00CD6643"/>
    <w:rsid w:val="00CD664B"/>
    <w:rsid w:val="00CD6746"/>
    <w:rsid w:val="00CD6971"/>
    <w:rsid w:val="00CD6B3A"/>
    <w:rsid w:val="00CD6BA2"/>
    <w:rsid w:val="00CD6D2D"/>
    <w:rsid w:val="00CD6D57"/>
    <w:rsid w:val="00CD6E2E"/>
    <w:rsid w:val="00CD6E53"/>
    <w:rsid w:val="00CD6E93"/>
    <w:rsid w:val="00CD7506"/>
    <w:rsid w:val="00CD7570"/>
    <w:rsid w:val="00CD7766"/>
    <w:rsid w:val="00CD7A6B"/>
    <w:rsid w:val="00CD7AF9"/>
    <w:rsid w:val="00CD7C2D"/>
    <w:rsid w:val="00CE040E"/>
    <w:rsid w:val="00CE069D"/>
    <w:rsid w:val="00CE0C84"/>
    <w:rsid w:val="00CE0D12"/>
    <w:rsid w:val="00CE0D21"/>
    <w:rsid w:val="00CE0EFB"/>
    <w:rsid w:val="00CE0FD5"/>
    <w:rsid w:val="00CE121C"/>
    <w:rsid w:val="00CE13BB"/>
    <w:rsid w:val="00CE13DB"/>
    <w:rsid w:val="00CE1593"/>
    <w:rsid w:val="00CE166F"/>
    <w:rsid w:val="00CE167C"/>
    <w:rsid w:val="00CE18FC"/>
    <w:rsid w:val="00CE1971"/>
    <w:rsid w:val="00CE1C02"/>
    <w:rsid w:val="00CE1E9C"/>
    <w:rsid w:val="00CE1F63"/>
    <w:rsid w:val="00CE2086"/>
    <w:rsid w:val="00CE24EF"/>
    <w:rsid w:val="00CE2637"/>
    <w:rsid w:val="00CE28BD"/>
    <w:rsid w:val="00CE28CD"/>
    <w:rsid w:val="00CE2904"/>
    <w:rsid w:val="00CE2B55"/>
    <w:rsid w:val="00CE2F87"/>
    <w:rsid w:val="00CE3582"/>
    <w:rsid w:val="00CE3655"/>
    <w:rsid w:val="00CE3729"/>
    <w:rsid w:val="00CE382D"/>
    <w:rsid w:val="00CE385D"/>
    <w:rsid w:val="00CE39C1"/>
    <w:rsid w:val="00CE3A0A"/>
    <w:rsid w:val="00CE3C2C"/>
    <w:rsid w:val="00CE3D07"/>
    <w:rsid w:val="00CE40B0"/>
    <w:rsid w:val="00CE4108"/>
    <w:rsid w:val="00CE4244"/>
    <w:rsid w:val="00CE43EB"/>
    <w:rsid w:val="00CE4904"/>
    <w:rsid w:val="00CE4A05"/>
    <w:rsid w:val="00CE4B1B"/>
    <w:rsid w:val="00CE51A7"/>
    <w:rsid w:val="00CE52D7"/>
    <w:rsid w:val="00CE54E0"/>
    <w:rsid w:val="00CE5811"/>
    <w:rsid w:val="00CE5847"/>
    <w:rsid w:val="00CE608C"/>
    <w:rsid w:val="00CE60C1"/>
    <w:rsid w:val="00CE620C"/>
    <w:rsid w:val="00CE62FD"/>
    <w:rsid w:val="00CE6689"/>
    <w:rsid w:val="00CE6881"/>
    <w:rsid w:val="00CE696E"/>
    <w:rsid w:val="00CE6ABB"/>
    <w:rsid w:val="00CE6D08"/>
    <w:rsid w:val="00CE6E09"/>
    <w:rsid w:val="00CE72CA"/>
    <w:rsid w:val="00CE72EE"/>
    <w:rsid w:val="00CE74D6"/>
    <w:rsid w:val="00CE754A"/>
    <w:rsid w:val="00CE75C6"/>
    <w:rsid w:val="00CE783C"/>
    <w:rsid w:val="00CE7DF6"/>
    <w:rsid w:val="00CE7E57"/>
    <w:rsid w:val="00CE7EEF"/>
    <w:rsid w:val="00CF01B8"/>
    <w:rsid w:val="00CF05AF"/>
    <w:rsid w:val="00CF07C9"/>
    <w:rsid w:val="00CF0E7F"/>
    <w:rsid w:val="00CF0FC6"/>
    <w:rsid w:val="00CF13AD"/>
    <w:rsid w:val="00CF1424"/>
    <w:rsid w:val="00CF1810"/>
    <w:rsid w:val="00CF1883"/>
    <w:rsid w:val="00CF1FBE"/>
    <w:rsid w:val="00CF2335"/>
    <w:rsid w:val="00CF24C4"/>
    <w:rsid w:val="00CF2515"/>
    <w:rsid w:val="00CF261C"/>
    <w:rsid w:val="00CF2851"/>
    <w:rsid w:val="00CF28C0"/>
    <w:rsid w:val="00CF28FA"/>
    <w:rsid w:val="00CF2C26"/>
    <w:rsid w:val="00CF2CE3"/>
    <w:rsid w:val="00CF2ED7"/>
    <w:rsid w:val="00CF34B0"/>
    <w:rsid w:val="00CF38C9"/>
    <w:rsid w:val="00CF3ADF"/>
    <w:rsid w:val="00CF402A"/>
    <w:rsid w:val="00CF4534"/>
    <w:rsid w:val="00CF4675"/>
    <w:rsid w:val="00CF4734"/>
    <w:rsid w:val="00CF4BB7"/>
    <w:rsid w:val="00CF4C05"/>
    <w:rsid w:val="00CF4D7A"/>
    <w:rsid w:val="00CF534E"/>
    <w:rsid w:val="00CF538E"/>
    <w:rsid w:val="00CF5843"/>
    <w:rsid w:val="00CF59B8"/>
    <w:rsid w:val="00CF5B22"/>
    <w:rsid w:val="00CF5C90"/>
    <w:rsid w:val="00CF5CB4"/>
    <w:rsid w:val="00CF5D4A"/>
    <w:rsid w:val="00CF5D55"/>
    <w:rsid w:val="00CF5EFE"/>
    <w:rsid w:val="00CF60EA"/>
    <w:rsid w:val="00CF6249"/>
    <w:rsid w:val="00CF632B"/>
    <w:rsid w:val="00CF6541"/>
    <w:rsid w:val="00CF69B8"/>
    <w:rsid w:val="00CF6C78"/>
    <w:rsid w:val="00CF6E39"/>
    <w:rsid w:val="00CF6F8A"/>
    <w:rsid w:val="00CF711C"/>
    <w:rsid w:val="00CF7229"/>
    <w:rsid w:val="00CF74E5"/>
    <w:rsid w:val="00CF76A7"/>
    <w:rsid w:val="00CF7A16"/>
    <w:rsid w:val="00CF7A6D"/>
    <w:rsid w:val="00CF7B3E"/>
    <w:rsid w:val="00CF7C74"/>
    <w:rsid w:val="00D000F2"/>
    <w:rsid w:val="00D0084B"/>
    <w:rsid w:val="00D00D1C"/>
    <w:rsid w:val="00D00DDB"/>
    <w:rsid w:val="00D015A5"/>
    <w:rsid w:val="00D01AF1"/>
    <w:rsid w:val="00D02095"/>
    <w:rsid w:val="00D0216B"/>
    <w:rsid w:val="00D025CF"/>
    <w:rsid w:val="00D0263E"/>
    <w:rsid w:val="00D02650"/>
    <w:rsid w:val="00D026F4"/>
    <w:rsid w:val="00D028C8"/>
    <w:rsid w:val="00D02A76"/>
    <w:rsid w:val="00D02A81"/>
    <w:rsid w:val="00D02BA8"/>
    <w:rsid w:val="00D02C51"/>
    <w:rsid w:val="00D030A3"/>
    <w:rsid w:val="00D0335C"/>
    <w:rsid w:val="00D03724"/>
    <w:rsid w:val="00D03BE5"/>
    <w:rsid w:val="00D03C91"/>
    <w:rsid w:val="00D040FF"/>
    <w:rsid w:val="00D044CE"/>
    <w:rsid w:val="00D04787"/>
    <w:rsid w:val="00D04CD4"/>
    <w:rsid w:val="00D04CE7"/>
    <w:rsid w:val="00D04E6C"/>
    <w:rsid w:val="00D04EF7"/>
    <w:rsid w:val="00D05037"/>
    <w:rsid w:val="00D052B8"/>
    <w:rsid w:val="00D0579F"/>
    <w:rsid w:val="00D0585C"/>
    <w:rsid w:val="00D05B8A"/>
    <w:rsid w:val="00D05BC9"/>
    <w:rsid w:val="00D05D63"/>
    <w:rsid w:val="00D05DFB"/>
    <w:rsid w:val="00D05F9E"/>
    <w:rsid w:val="00D061B9"/>
    <w:rsid w:val="00D064F0"/>
    <w:rsid w:val="00D06B79"/>
    <w:rsid w:val="00D06DBF"/>
    <w:rsid w:val="00D06EBA"/>
    <w:rsid w:val="00D06FBB"/>
    <w:rsid w:val="00D07173"/>
    <w:rsid w:val="00D07375"/>
    <w:rsid w:val="00D073F6"/>
    <w:rsid w:val="00D07798"/>
    <w:rsid w:val="00D077E3"/>
    <w:rsid w:val="00D079D7"/>
    <w:rsid w:val="00D07D31"/>
    <w:rsid w:val="00D07D9A"/>
    <w:rsid w:val="00D07E58"/>
    <w:rsid w:val="00D07FB7"/>
    <w:rsid w:val="00D10574"/>
    <w:rsid w:val="00D10C17"/>
    <w:rsid w:val="00D10FCA"/>
    <w:rsid w:val="00D1110E"/>
    <w:rsid w:val="00D114B5"/>
    <w:rsid w:val="00D115E5"/>
    <w:rsid w:val="00D11736"/>
    <w:rsid w:val="00D118A9"/>
    <w:rsid w:val="00D11B1D"/>
    <w:rsid w:val="00D11E15"/>
    <w:rsid w:val="00D11F3C"/>
    <w:rsid w:val="00D1202C"/>
    <w:rsid w:val="00D12044"/>
    <w:rsid w:val="00D12079"/>
    <w:rsid w:val="00D12095"/>
    <w:rsid w:val="00D12268"/>
    <w:rsid w:val="00D12826"/>
    <w:rsid w:val="00D12A35"/>
    <w:rsid w:val="00D12BFD"/>
    <w:rsid w:val="00D12D9E"/>
    <w:rsid w:val="00D1352A"/>
    <w:rsid w:val="00D139A6"/>
    <w:rsid w:val="00D13C16"/>
    <w:rsid w:val="00D13C2C"/>
    <w:rsid w:val="00D13C79"/>
    <w:rsid w:val="00D13DA4"/>
    <w:rsid w:val="00D141D6"/>
    <w:rsid w:val="00D148F7"/>
    <w:rsid w:val="00D14A7F"/>
    <w:rsid w:val="00D14D1D"/>
    <w:rsid w:val="00D15124"/>
    <w:rsid w:val="00D15166"/>
    <w:rsid w:val="00D151D6"/>
    <w:rsid w:val="00D15369"/>
    <w:rsid w:val="00D15988"/>
    <w:rsid w:val="00D15C46"/>
    <w:rsid w:val="00D16125"/>
    <w:rsid w:val="00D16382"/>
    <w:rsid w:val="00D1659C"/>
    <w:rsid w:val="00D1660C"/>
    <w:rsid w:val="00D16630"/>
    <w:rsid w:val="00D16752"/>
    <w:rsid w:val="00D16A71"/>
    <w:rsid w:val="00D16A74"/>
    <w:rsid w:val="00D16A85"/>
    <w:rsid w:val="00D16B38"/>
    <w:rsid w:val="00D1794A"/>
    <w:rsid w:val="00D17A05"/>
    <w:rsid w:val="00D17BF2"/>
    <w:rsid w:val="00D17C46"/>
    <w:rsid w:val="00D17C92"/>
    <w:rsid w:val="00D17CE3"/>
    <w:rsid w:val="00D17D3C"/>
    <w:rsid w:val="00D201BB"/>
    <w:rsid w:val="00D20299"/>
    <w:rsid w:val="00D20A47"/>
    <w:rsid w:val="00D20B9D"/>
    <w:rsid w:val="00D20C5C"/>
    <w:rsid w:val="00D20C7A"/>
    <w:rsid w:val="00D20D60"/>
    <w:rsid w:val="00D21053"/>
    <w:rsid w:val="00D21700"/>
    <w:rsid w:val="00D21926"/>
    <w:rsid w:val="00D219B7"/>
    <w:rsid w:val="00D21AA7"/>
    <w:rsid w:val="00D21D30"/>
    <w:rsid w:val="00D21D79"/>
    <w:rsid w:val="00D22007"/>
    <w:rsid w:val="00D22570"/>
    <w:rsid w:val="00D228C1"/>
    <w:rsid w:val="00D228CB"/>
    <w:rsid w:val="00D229B3"/>
    <w:rsid w:val="00D22B19"/>
    <w:rsid w:val="00D22F1F"/>
    <w:rsid w:val="00D22F41"/>
    <w:rsid w:val="00D22F82"/>
    <w:rsid w:val="00D23175"/>
    <w:rsid w:val="00D23B30"/>
    <w:rsid w:val="00D23DFA"/>
    <w:rsid w:val="00D2424C"/>
    <w:rsid w:val="00D242B5"/>
    <w:rsid w:val="00D24508"/>
    <w:rsid w:val="00D247CB"/>
    <w:rsid w:val="00D248F7"/>
    <w:rsid w:val="00D24BC3"/>
    <w:rsid w:val="00D24D8E"/>
    <w:rsid w:val="00D24DBB"/>
    <w:rsid w:val="00D2522C"/>
    <w:rsid w:val="00D25692"/>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773"/>
    <w:rsid w:val="00D27CC7"/>
    <w:rsid w:val="00D27E3F"/>
    <w:rsid w:val="00D301DA"/>
    <w:rsid w:val="00D30549"/>
    <w:rsid w:val="00D307BF"/>
    <w:rsid w:val="00D30FA8"/>
    <w:rsid w:val="00D31516"/>
    <w:rsid w:val="00D31568"/>
    <w:rsid w:val="00D3163A"/>
    <w:rsid w:val="00D3176C"/>
    <w:rsid w:val="00D31874"/>
    <w:rsid w:val="00D31AAD"/>
    <w:rsid w:val="00D31B28"/>
    <w:rsid w:val="00D31B72"/>
    <w:rsid w:val="00D31DC5"/>
    <w:rsid w:val="00D31E55"/>
    <w:rsid w:val="00D32148"/>
    <w:rsid w:val="00D322A7"/>
    <w:rsid w:val="00D3260A"/>
    <w:rsid w:val="00D32B1A"/>
    <w:rsid w:val="00D32C3B"/>
    <w:rsid w:val="00D32E51"/>
    <w:rsid w:val="00D32F1F"/>
    <w:rsid w:val="00D331E0"/>
    <w:rsid w:val="00D333DC"/>
    <w:rsid w:val="00D3347C"/>
    <w:rsid w:val="00D3350D"/>
    <w:rsid w:val="00D33A75"/>
    <w:rsid w:val="00D33A86"/>
    <w:rsid w:val="00D33D9A"/>
    <w:rsid w:val="00D34266"/>
    <w:rsid w:val="00D3429D"/>
    <w:rsid w:val="00D342B4"/>
    <w:rsid w:val="00D343FF"/>
    <w:rsid w:val="00D3456E"/>
    <w:rsid w:val="00D347E0"/>
    <w:rsid w:val="00D34A41"/>
    <w:rsid w:val="00D34C3E"/>
    <w:rsid w:val="00D34DFA"/>
    <w:rsid w:val="00D34ED7"/>
    <w:rsid w:val="00D35101"/>
    <w:rsid w:val="00D3518C"/>
    <w:rsid w:val="00D3576E"/>
    <w:rsid w:val="00D35AF4"/>
    <w:rsid w:val="00D35B40"/>
    <w:rsid w:val="00D35C5D"/>
    <w:rsid w:val="00D35F78"/>
    <w:rsid w:val="00D363DC"/>
    <w:rsid w:val="00D36A48"/>
    <w:rsid w:val="00D36C61"/>
    <w:rsid w:val="00D37128"/>
    <w:rsid w:val="00D37157"/>
    <w:rsid w:val="00D373F9"/>
    <w:rsid w:val="00D37506"/>
    <w:rsid w:val="00D37593"/>
    <w:rsid w:val="00D375A8"/>
    <w:rsid w:val="00D375D8"/>
    <w:rsid w:val="00D37A92"/>
    <w:rsid w:val="00D37CBA"/>
    <w:rsid w:val="00D4006F"/>
    <w:rsid w:val="00D4020B"/>
    <w:rsid w:val="00D40670"/>
    <w:rsid w:val="00D40821"/>
    <w:rsid w:val="00D40851"/>
    <w:rsid w:val="00D40A97"/>
    <w:rsid w:val="00D40C91"/>
    <w:rsid w:val="00D40CA9"/>
    <w:rsid w:val="00D40D8E"/>
    <w:rsid w:val="00D40F41"/>
    <w:rsid w:val="00D40FF7"/>
    <w:rsid w:val="00D4110E"/>
    <w:rsid w:val="00D41363"/>
    <w:rsid w:val="00D41477"/>
    <w:rsid w:val="00D4156C"/>
    <w:rsid w:val="00D41644"/>
    <w:rsid w:val="00D416B9"/>
    <w:rsid w:val="00D41719"/>
    <w:rsid w:val="00D417C4"/>
    <w:rsid w:val="00D418F7"/>
    <w:rsid w:val="00D41E6A"/>
    <w:rsid w:val="00D42093"/>
    <w:rsid w:val="00D422F8"/>
    <w:rsid w:val="00D42304"/>
    <w:rsid w:val="00D423E5"/>
    <w:rsid w:val="00D428F6"/>
    <w:rsid w:val="00D4299B"/>
    <w:rsid w:val="00D42C6D"/>
    <w:rsid w:val="00D42D4B"/>
    <w:rsid w:val="00D42E24"/>
    <w:rsid w:val="00D42E74"/>
    <w:rsid w:val="00D42F7D"/>
    <w:rsid w:val="00D42FD2"/>
    <w:rsid w:val="00D4340E"/>
    <w:rsid w:val="00D4359A"/>
    <w:rsid w:val="00D435E1"/>
    <w:rsid w:val="00D440F0"/>
    <w:rsid w:val="00D4426B"/>
    <w:rsid w:val="00D4436D"/>
    <w:rsid w:val="00D4497A"/>
    <w:rsid w:val="00D44B08"/>
    <w:rsid w:val="00D44D6C"/>
    <w:rsid w:val="00D44EA2"/>
    <w:rsid w:val="00D44F13"/>
    <w:rsid w:val="00D45089"/>
    <w:rsid w:val="00D45152"/>
    <w:rsid w:val="00D4534F"/>
    <w:rsid w:val="00D45673"/>
    <w:rsid w:val="00D456E4"/>
    <w:rsid w:val="00D45700"/>
    <w:rsid w:val="00D458DE"/>
    <w:rsid w:val="00D46344"/>
    <w:rsid w:val="00D463BC"/>
    <w:rsid w:val="00D46519"/>
    <w:rsid w:val="00D467D1"/>
    <w:rsid w:val="00D46945"/>
    <w:rsid w:val="00D469B3"/>
    <w:rsid w:val="00D46AF0"/>
    <w:rsid w:val="00D46D11"/>
    <w:rsid w:val="00D46F60"/>
    <w:rsid w:val="00D4723A"/>
    <w:rsid w:val="00D476A4"/>
    <w:rsid w:val="00D47778"/>
    <w:rsid w:val="00D47FC7"/>
    <w:rsid w:val="00D5008C"/>
    <w:rsid w:val="00D505DD"/>
    <w:rsid w:val="00D50613"/>
    <w:rsid w:val="00D506E2"/>
    <w:rsid w:val="00D50B11"/>
    <w:rsid w:val="00D50BBB"/>
    <w:rsid w:val="00D51011"/>
    <w:rsid w:val="00D51279"/>
    <w:rsid w:val="00D5127B"/>
    <w:rsid w:val="00D51513"/>
    <w:rsid w:val="00D51658"/>
    <w:rsid w:val="00D51664"/>
    <w:rsid w:val="00D51D4F"/>
    <w:rsid w:val="00D51DD0"/>
    <w:rsid w:val="00D51E23"/>
    <w:rsid w:val="00D52262"/>
    <w:rsid w:val="00D5231F"/>
    <w:rsid w:val="00D5249B"/>
    <w:rsid w:val="00D52793"/>
    <w:rsid w:val="00D52AC9"/>
    <w:rsid w:val="00D52D09"/>
    <w:rsid w:val="00D52E58"/>
    <w:rsid w:val="00D52F35"/>
    <w:rsid w:val="00D532BA"/>
    <w:rsid w:val="00D53608"/>
    <w:rsid w:val="00D5385C"/>
    <w:rsid w:val="00D53AF4"/>
    <w:rsid w:val="00D53B72"/>
    <w:rsid w:val="00D53C6A"/>
    <w:rsid w:val="00D5402F"/>
    <w:rsid w:val="00D54354"/>
    <w:rsid w:val="00D548AC"/>
    <w:rsid w:val="00D54DB9"/>
    <w:rsid w:val="00D54F75"/>
    <w:rsid w:val="00D5516D"/>
    <w:rsid w:val="00D553AB"/>
    <w:rsid w:val="00D55589"/>
    <w:rsid w:val="00D55708"/>
    <w:rsid w:val="00D5582E"/>
    <w:rsid w:val="00D55965"/>
    <w:rsid w:val="00D559D3"/>
    <w:rsid w:val="00D55C48"/>
    <w:rsid w:val="00D5616E"/>
    <w:rsid w:val="00D56689"/>
    <w:rsid w:val="00D5680D"/>
    <w:rsid w:val="00D56979"/>
    <w:rsid w:val="00D56C3E"/>
    <w:rsid w:val="00D5711D"/>
    <w:rsid w:val="00D574BB"/>
    <w:rsid w:val="00D574FE"/>
    <w:rsid w:val="00D5783B"/>
    <w:rsid w:val="00D578B6"/>
    <w:rsid w:val="00D579BF"/>
    <w:rsid w:val="00D57D7E"/>
    <w:rsid w:val="00D602C0"/>
    <w:rsid w:val="00D60457"/>
    <w:rsid w:val="00D604F2"/>
    <w:rsid w:val="00D6053E"/>
    <w:rsid w:val="00D6056E"/>
    <w:rsid w:val="00D606DB"/>
    <w:rsid w:val="00D606F3"/>
    <w:rsid w:val="00D60767"/>
    <w:rsid w:val="00D607F2"/>
    <w:rsid w:val="00D60832"/>
    <w:rsid w:val="00D60899"/>
    <w:rsid w:val="00D60930"/>
    <w:rsid w:val="00D609CE"/>
    <w:rsid w:val="00D60A66"/>
    <w:rsid w:val="00D60A75"/>
    <w:rsid w:val="00D60EC9"/>
    <w:rsid w:val="00D611E7"/>
    <w:rsid w:val="00D6139D"/>
    <w:rsid w:val="00D614E0"/>
    <w:rsid w:val="00D617C4"/>
    <w:rsid w:val="00D619E4"/>
    <w:rsid w:val="00D61A24"/>
    <w:rsid w:val="00D61D3B"/>
    <w:rsid w:val="00D61E5D"/>
    <w:rsid w:val="00D62022"/>
    <w:rsid w:val="00D62086"/>
    <w:rsid w:val="00D6222F"/>
    <w:rsid w:val="00D62396"/>
    <w:rsid w:val="00D624D6"/>
    <w:rsid w:val="00D626A8"/>
    <w:rsid w:val="00D627E7"/>
    <w:rsid w:val="00D62B29"/>
    <w:rsid w:val="00D62E17"/>
    <w:rsid w:val="00D62EC0"/>
    <w:rsid w:val="00D630BB"/>
    <w:rsid w:val="00D63257"/>
    <w:rsid w:val="00D63332"/>
    <w:rsid w:val="00D63401"/>
    <w:rsid w:val="00D6340F"/>
    <w:rsid w:val="00D63426"/>
    <w:rsid w:val="00D63757"/>
    <w:rsid w:val="00D63A82"/>
    <w:rsid w:val="00D63E01"/>
    <w:rsid w:val="00D63E9F"/>
    <w:rsid w:val="00D64237"/>
    <w:rsid w:val="00D6431F"/>
    <w:rsid w:val="00D64D00"/>
    <w:rsid w:val="00D64D61"/>
    <w:rsid w:val="00D64DAB"/>
    <w:rsid w:val="00D64E75"/>
    <w:rsid w:val="00D64EC5"/>
    <w:rsid w:val="00D64F05"/>
    <w:rsid w:val="00D64F72"/>
    <w:rsid w:val="00D6506C"/>
    <w:rsid w:val="00D652C4"/>
    <w:rsid w:val="00D653F8"/>
    <w:rsid w:val="00D6540C"/>
    <w:rsid w:val="00D655AC"/>
    <w:rsid w:val="00D655F7"/>
    <w:rsid w:val="00D656FB"/>
    <w:rsid w:val="00D65719"/>
    <w:rsid w:val="00D65A4E"/>
    <w:rsid w:val="00D65BD7"/>
    <w:rsid w:val="00D65EE7"/>
    <w:rsid w:val="00D66088"/>
    <w:rsid w:val="00D66128"/>
    <w:rsid w:val="00D66416"/>
    <w:rsid w:val="00D667A6"/>
    <w:rsid w:val="00D668A5"/>
    <w:rsid w:val="00D66BF5"/>
    <w:rsid w:val="00D66D79"/>
    <w:rsid w:val="00D66DCE"/>
    <w:rsid w:val="00D66F08"/>
    <w:rsid w:val="00D6715C"/>
    <w:rsid w:val="00D67178"/>
    <w:rsid w:val="00D671B8"/>
    <w:rsid w:val="00D6750F"/>
    <w:rsid w:val="00D67558"/>
    <w:rsid w:val="00D67931"/>
    <w:rsid w:val="00D6795F"/>
    <w:rsid w:val="00D67973"/>
    <w:rsid w:val="00D679AB"/>
    <w:rsid w:val="00D67B19"/>
    <w:rsid w:val="00D67DFC"/>
    <w:rsid w:val="00D67EAB"/>
    <w:rsid w:val="00D67EF4"/>
    <w:rsid w:val="00D705B6"/>
    <w:rsid w:val="00D705B8"/>
    <w:rsid w:val="00D706A8"/>
    <w:rsid w:val="00D7081B"/>
    <w:rsid w:val="00D7094D"/>
    <w:rsid w:val="00D70A6B"/>
    <w:rsid w:val="00D70AE9"/>
    <w:rsid w:val="00D70BB0"/>
    <w:rsid w:val="00D70C6B"/>
    <w:rsid w:val="00D70E5C"/>
    <w:rsid w:val="00D70EEF"/>
    <w:rsid w:val="00D7126F"/>
    <w:rsid w:val="00D713FB"/>
    <w:rsid w:val="00D715BE"/>
    <w:rsid w:val="00D717EE"/>
    <w:rsid w:val="00D7186D"/>
    <w:rsid w:val="00D7190E"/>
    <w:rsid w:val="00D71937"/>
    <w:rsid w:val="00D719F1"/>
    <w:rsid w:val="00D71A74"/>
    <w:rsid w:val="00D71B3C"/>
    <w:rsid w:val="00D71B79"/>
    <w:rsid w:val="00D720B5"/>
    <w:rsid w:val="00D7219E"/>
    <w:rsid w:val="00D72816"/>
    <w:rsid w:val="00D7295D"/>
    <w:rsid w:val="00D72B0D"/>
    <w:rsid w:val="00D72BC3"/>
    <w:rsid w:val="00D73220"/>
    <w:rsid w:val="00D73297"/>
    <w:rsid w:val="00D736A2"/>
    <w:rsid w:val="00D73A1A"/>
    <w:rsid w:val="00D73B85"/>
    <w:rsid w:val="00D73FE1"/>
    <w:rsid w:val="00D7421B"/>
    <w:rsid w:val="00D742CF"/>
    <w:rsid w:val="00D74393"/>
    <w:rsid w:val="00D7459B"/>
    <w:rsid w:val="00D74A09"/>
    <w:rsid w:val="00D74A54"/>
    <w:rsid w:val="00D74D26"/>
    <w:rsid w:val="00D74D9C"/>
    <w:rsid w:val="00D74F5F"/>
    <w:rsid w:val="00D75002"/>
    <w:rsid w:val="00D75056"/>
    <w:rsid w:val="00D750DD"/>
    <w:rsid w:val="00D752B9"/>
    <w:rsid w:val="00D757BB"/>
    <w:rsid w:val="00D7580E"/>
    <w:rsid w:val="00D75864"/>
    <w:rsid w:val="00D758A1"/>
    <w:rsid w:val="00D75947"/>
    <w:rsid w:val="00D75D82"/>
    <w:rsid w:val="00D75EC0"/>
    <w:rsid w:val="00D75EC4"/>
    <w:rsid w:val="00D764CC"/>
    <w:rsid w:val="00D7660E"/>
    <w:rsid w:val="00D7678B"/>
    <w:rsid w:val="00D7685F"/>
    <w:rsid w:val="00D76E61"/>
    <w:rsid w:val="00D77020"/>
    <w:rsid w:val="00D775A0"/>
    <w:rsid w:val="00D77619"/>
    <w:rsid w:val="00D77644"/>
    <w:rsid w:val="00D7788C"/>
    <w:rsid w:val="00D778C9"/>
    <w:rsid w:val="00D800D7"/>
    <w:rsid w:val="00D803F1"/>
    <w:rsid w:val="00D8070E"/>
    <w:rsid w:val="00D80863"/>
    <w:rsid w:val="00D80898"/>
    <w:rsid w:val="00D808B1"/>
    <w:rsid w:val="00D80FEC"/>
    <w:rsid w:val="00D81083"/>
    <w:rsid w:val="00D813F0"/>
    <w:rsid w:val="00D81573"/>
    <w:rsid w:val="00D815BF"/>
    <w:rsid w:val="00D817EF"/>
    <w:rsid w:val="00D81A82"/>
    <w:rsid w:val="00D81DC4"/>
    <w:rsid w:val="00D82135"/>
    <w:rsid w:val="00D821FB"/>
    <w:rsid w:val="00D8222C"/>
    <w:rsid w:val="00D8242C"/>
    <w:rsid w:val="00D82514"/>
    <w:rsid w:val="00D8260A"/>
    <w:rsid w:val="00D8279B"/>
    <w:rsid w:val="00D828C6"/>
    <w:rsid w:val="00D82990"/>
    <w:rsid w:val="00D82992"/>
    <w:rsid w:val="00D82A7A"/>
    <w:rsid w:val="00D82B07"/>
    <w:rsid w:val="00D82B64"/>
    <w:rsid w:val="00D831EF"/>
    <w:rsid w:val="00D8379C"/>
    <w:rsid w:val="00D840E6"/>
    <w:rsid w:val="00D840F7"/>
    <w:rsid w:val="00D84269"/>
    <w:rsid w:val="00D843AE"/>
    <w:rsid w:val="00D843B6"/>
    <w:rsid w:val="00D84419"/>
    <w:rsid w:val="00D8477B"/>
    <w:rsid w:val="00D84874"/>
    <w:rsid w:val="00D84BA4"/>
    <w:rsid w:val="00D84DA9"/>
    <w:rsid w:val="00D84DD8"/>
    <w:rsid w:val="00D8503A"/>
    <w:rsid w:val="00D85138"/>
    <w:rsid w:val="00D85139"/>
    <w:rsid w:val="00D8563F"/>
    <w:rsid w:val="00D85918"/>
    <w:rsid w:val="00D8597D"/>
    <w:rsid w:val="00D85DF2"/>
    <w:rsid w:val="00D86131"/>
    <w:rsid w:val="00D86440"/>
    <w:rsid w:val="00D86511"/>
    <w:rsid w:val="00D86659"/>
    <w:rsid w:val="00D868C6"/>
    <w:rsid w:val="00D86B80"/>
    <w:rsid w:val="00D86C8D"/>
    <w:rsid w:val="00D86D6A"/>
    <w:rsid w:val="00D872CB"/>
    <w:rsid w:val="00D87DC8"/>
    <w:rsid w:val="00D90176"/>
    <w:rsid w:val="00D901FE"/>
    <w:rsid w:val="00D90238"/>
    <w:rsid w:val="00D90304"/>
    <w:rsid w:val="00D9069E"/>
    <w:rsid w:val="00D90A3F"/>
    <w:rsid w:val="00D90B24"/>
    <w:rsid w:val="00D90EFE"/>
    <w:rsid w:val="00D90F8B"/>
    <w:rsid w:val="00D91280"/>
    <w:rsid w:val="00D91420"/>
    <w:rsid w:val="00D9151B"/>
    <w:rsid w:val="00D915F6"/>
    <w:rsid w:val="00D91907"/>
    <w:rsid w:val="00D919A4"/>
    <w:rsid w:val="00D91A84"/>
    <w:rsid w:val="00D91D36"/>
    <w:rsid w:val="00D9212A"/>
    <w:rsid w:val="00D92164"/>
    <w:rsid w:val="00D92B6C"/>
    <w:rsid w:val="00D92DF6"/>
    <w:rsid w:val="00D93053"/>
    <w:rsid w:val="00D93376"/>
    <w:rsid w:val="00D933FB"/>
    <w:rsid w:val="00D93AFD"/>
    <w:rsid w:val="00D93B40"/>
    <w:rsid w:val="00D93D90"/>
    <w:rsid w:val="00D93FE3"/>
    <w:rsid w:val="00D94000"/>
    <w:rsid w:val="00D942EB"/>
    <w:rsid w:val="00D9432D"/>
    <w:rsid w:val="00D944CF"/>
    <w:rsid w:val="00D94C55"/>
    <w:rsid w:val="00D94ECE"/>
    <w:rsid w:val="00D950B2"/>
    <w:rsid w:val="00D95640"/>
    <w:rsid w:val="00D957F0"/>
    <w:rsid w:val="00D95A50"/>
    <w:rsid w:val="00D95EEB"/>
    <w:rsid w:val="00D95EF7"/>
    <w:rsid w:val="00D95EFA"/>
    <w:rsid w:val="00D95F15"/>
    <w:rsid w:val="00D9608D"/>
    <w:rsid w:val="00D960F2"/>
    <w:rsid w:val="00D9629C"/>
    <w:rsid w:val="00D96352"/>
    <w:rsid w:val="00D96441"/>
    <w:rsid w:val="00D96727"/>
    <w:rsid w:val="00D96A26"/>
    <w:rsid w:val="00D96BB3"/>
    <w:rsid w:val="00D97140"/>
    <w:rsid w:val="00D97224"/>
    <w:rsid w:val="00D9776A"/>
    <w:rsid w:val="00D97872"/>
    <w:rsid w:val="00D979BD"/>
    <w:rsid w:val="00D97D34"/>
    <w:rsid w:val="00D97D3A"/>
    <w:rsid w:val="00DA04F9"/>
    <w:rsid w:val="00DA0561"/>
    <w:rsid w:val="00DA0F08"/>
    <w:rsid w:val="00DA0FD0"/>
    <w:rsid w:val="00DA1049"/>
    <w:rsid w:val="00DA10E3"/>
    <w:rsid w:val="00DA1252"/>
    <w:rsid w:val="00DA16E4"/>
    <w:rsid w:val="00DA1780"/>
    <w:rsid w:val="00DA1782"/>
    <w:rsid w:val="00DA1FE6"/>
    <w:rsid w:val="00DA20F6"/>
    <w:rsid w:val="00DA2227"/>
    <w:rsid w:val="00DA226D"/>
    <w:rsid w:val="00DA236F"/>
    <w:rsid w:val="00DA23CE"/>
    <w:rsid w:val="00DA25B5"/>
    <w:rsid w:val="00DA25CB"/>
    <w:rsid w:val="00DA25DF"/>
    <w:rsid w:val="00DA27B9"/>
    <w:rsid w:val="00DA282E"/>
    <w:rsid w:val="00DA2893"/>
    <w:rsid w:val="00DA28BC"/>
    <w:rsid w:val="00DA298E"/>
    <w:rsid w:val="00DA299C"/>
    <w:rsid w:val="00DA299D"/>
    <w:rsid w:val="00DA29D3"/>
    <w:rsid w:val="00DA2A15"/>
    <w:rsid w:val="00DA2A7D"/>
    <w:rsid w:val="00DA2CFA"/>
    <w:rsid w:val="00DA2E0C"/>
    <w:rsid w:val="00DA2F9B"/>
    <w:rsid w:val="00DA34DC"/>
    <w:rsid w:val="00DA3B93"/>
    <w:rsid w:val="00DA3BC3"/>
    <w:rsid w:val="00DA3C6A"/>
    <w:rsid w:val="00DA3D79"/>
    <w:rsid w:val="00DA3D8C"/>
    <w:rsid w:val="00DA3D8D"/>
    <w:rsid w:val="00DA3DB5"/>
    <w:rsid w:val="00DA3E00"/>
    <w:rsid w:val="00DA3EC0"/>
    <w:rsid w:val="00DA4070"/>
    <w:rsid w:val="00DA40CA"/>
    <w:rsid w:val="00DA42ED"/>
    <w:rsid w:val="00DA45B3"/>
    <w:rsid w:val="00DA476D"/>
    <w:rsid w:val="00DA47A3"/>
    <w:rsid w:val="00DA47F2"/>
    <w:rsid w:val="00DA4FD4"/>
    <w:rsid w:val="00DA52F4"/>
    <w:rsid w:val="00DA531E"/>
    <w:rsid w:val="00DA563A"/>
    <w:rsid w:val="00DA57CC"/>
    <w:rsid w:val="00DA593D"/>
    <w:rsid w:val="00DA5982"/>
    <w:rsid w:val="00DA5AF0"/>
    <w:rsid w:val="00DA5C5D"/>
    <w:rsid w:val="00DA5D79"/>
    <w:rsid w:val="00DA5F60"/>
    <w:rsid w:val="00DA62D6"/>
    <w:rsid w:val="00DA6963"/>
    <w:rsid w:val="00DA6A5F"/>
    <w:rsid w:val="00DA7228"/>
    <w:rsid w:val="00DA781E"/>
    <w:rsid w:val="00DA78D5"/>
    <w:rsid w:val="00DA7A48"/>
    <w:rsid w:val="00DA7ABE"/>
    <w:rsid w:val="00DA7D22"/>
    <w:rsid w:val="00DA7E46"/>
    <w:rsid w:val="00DB00E7"/>
    <w:rsid w:val="00DB0107"/>
    <w:rsid w:val="00DB0131"/>
    <w:rsid w:val="00DB0253"/>
    <w:rsid w:val="00DB03A7"/>
    <w:rsid w:val="00DB040A"/>
    <w:rsid w:val="00DB0596"/>
    <w:rsid w:val="00DB071F"/>
    <w:rsid w:val="00DB082D"/>
    <w:rsid w:val="00DB0DD5"/>
    <w:rsid w:val="00DB10D6"/>
    <w:rsid w:val="00DB12A7"/>
    <w:rsid w:val="00DB170E"/>
    <w:rsid w:val="00DB1B14"/>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519A"/>
    <w:rsid w:val="00DB52E3"/>
    <w:rsid w:val="00DB53F8"/>
    <w:rsid w:val="00DB58D9"/>
    <w:rsid w:val="00DB5A0C"/>
    <w:rsid w:val="00DB5AB8"/>
    <w:rsid w:val="00DB5AD8"/>
    <w:rsid w:val="00DB5B24"/>
    <w:rsid w:val="00DB5B68"/>
    <w:rsid w:val="00DB5BDD"/>
    <w:rsid w:val="00DB5DF1"/>
    <w:rsid w:val="00DB5EB4"/>
    <w:rsid w:val="00DB5FE1"/>
    <w:rsid w:val="00DB602A"/>
    <w:rsid w:val="00DB6077"/>
    <w:rsid w:val="00DB6112"/>
    <w:rsid w:val="00DB6184"/>
    <w:rsid w:val="00DB6283"/>
    <w:rsid w:val="00DB63A5"/>
    <w:rsid w:val="00DB63D5"/>
    <w:rsid w:val="00DB6595"/>
    <w:rsid w:val="00DB661B"/>
    <w:rsid w:val="00DB6786"/>
    <w:rsid w:val="00DB67C1"/>
    <w:rsid w:val="00DB6A0F"/>
    <w:rsid w:val="00DB6AB6"/>
    <w:rsid w:val="00DB6BAF"/>
    <w:rsid w:val="00DB6F34"/>
    <w:rsid w:val="00DB7034"/>
    <w:rsid w:val="00DB7244"/>
    <w:rsid w:val="00DB7300"/>
    <w:rsid w:val="00DB7732"/>
    <w:rsid w:val="00DB7894"/>
    <w:rsid w:val="00DB7A10"/>
    <w:rsid w:val="00DB7A8F"/>
    <w:rsid w:val="00DB7B0B"/>
    <w:rsid w:val="00DB7B73"/>
    <w:rsid w:val="00DB7BBF"/>
    <w:rsid w:val="00DB7C53"/>
    <w:rsid w:val="00DB7C78"/>
    <w:rsid w:val="00DB7F7D"/>
    <w:rsid w:val="00DC0141"/>
    <w:rsid w:val="00DC01BA"/>
    <w:rsid w:val="00DC062E"/>
    <w:rsid w:val="00DC093B"/>
    <w:rsid w:val="00DC0EC3"/>
    <w:rsid w:val="00DC0EC8"/>
    <w:rsid w:val="00DC11F0"/>
    <w:rsid w:val="00DC1210"/>
    <w:rsid w:val="00DC1433"/>
    <w:rsid w:val="00DC15B6"/>
    <w:rsid w:val="00DC1611"/>
    <w:rsid w:val="00DC1783"/>
    <w:rsid w:val="00DC1E3B"/>
    <w:rsid w:val="00DC23C4"/>
    <w:rsid w:val="00DC24DC"/>
    <w:rsid w:val="00DC2761"/>
    <w:rsid w:val="00DC2818"/>
    <w:rsid w:val="00DC28F7"/>
    <w:rsid w:val="00DC2B2E"/>
    <w:rsid w:val="00DC2D91"/>
    <w:rsid w:val="00DC322F"/>
    <w:rsid w:val="00DC34CE"/>
    <w:rsid w:val="00DC3540"/>
    <w:rsid w:val="00DC3BD9"/>
    <w:rsid w:val="00DC3E35"/>
    <w:rsid w:val="00DC3E9F"/>
    <w:rsid w:val="00DC3EE4"/>
    <w:rsid w:val="00DC4028"/>
    <w:rsid w:val="00DC4537"/>
    <w:rsid w:val="00DC4586"/>
    <w:rsid w:val="00DC468F"/>
    <w:rsid w:val="00DC48AD"/>
    <w:rsid w:val="00DC49BD"/>
    <w:rsid w:val="00DC4D7A"/>
    <w:rsid w:val="00DC4DCE"/>
    <w:rsid w:val="00DC4F92"/>
    <w:rsid w:val="00DC4FE3"/>
    <w:rsid w:val="00DC566C"/>
    <w:rsid w:val="00DC5934"/>
    <w:rsid w:val="00DC59BA"/>
    <w:rsid w:val="00DC5B25"/>
    <w:rsid w:val="00DC5CE4"/>
    <w:rsid w:val="00DC5F0D"/>
    <w:rsid w:val="00DC6765"/>
    <w:rsid w:val="00DC6AB7"/>
    <w:rsid w:val="00DC6DB5"/>
    <w:rsid w:val="00DC7119"/>
    <w:rsid w:val="00DC71CF"/>
    <w:rsid w:val="00DC768B"/>
    <w:rsid w:val="00DC7A30"/>
    <w:rsid w:val="00DD0278"/>
    <w:rsid w:val="00DD0686"/>
    <w:rsid w:val="00DD0704"/>
    <w:rsid w:val="00DD0AAD"/>
    <w:rsid w:val="00DD0D59"/>
    <w:rsid w:val="00DD0D93"/>
    <w:rsid w:val="00DD0F49"/>
    <w:rsid w:val="00DD114D"/>
    <w:rsid w:val="00DD1355"/>
    <w:rsid w:val="00DD147F"/>
    <w:rsid w:val="00DD17A7"/>
    <w:rsid w:val="00DD17D4"/>
    <w:rsid w:val="00DD1B9B"/>
    <w:rsid w:val="00DD20BF"/>
    <w:rsid w:val="00DD211A"/>
    <w:rsid w:val="00DD21EB"/>
    <w:rsid w:val="00DD223D"/>
    <w:rsid w:val="00DD2286"/>
    <w:rsid w:val="00DD2358"/>
    <w:rsid w:val="00DD2399"/>
    <w:rsid w:val="00DD259E"/>
    <w:rsid w:val="00DD286B"/>
    <w:rsid w:val="00DD2DD9"/>
    <w:rsid w:val="00DD30A2"/>
    <w:rsid w:val="00DD3435"/>
    <w:rsid w:val="00DD34A1"/>
    <w:rsid w:val="00DD3F8D"/>
    <w:rsid w:val="00DD4342"/>
    <w:rsid w:val="00DD4549"/>
    <w:rsid w:val="00DD463A"/>
    <w:rsid w:val="00DD4857"/>
    <w:rsid w:val="00DD4964"/>
    <w:rsid w:val="00DD49D3"/>
    <w:rsid w:val="00DD4BC1"/>
    <w:rsid w:val="00DD4D26"/>
    <w:rsid w:val="00DD4F77"/>
    <w:rsid w:val="00DD5558"/>
    <w:rsid w:val="00DD57A4"/>
    <w:rsid w:val="00DD5AC8"/>
    <w:rsid w:val="00DD61AF"/>
    <w:rsid w:val="00DD657A"/>
    <w:rsid w:val="00DD69D9"/>
    <w:rsid w:val="00DD69E8"/>
    <w:rsid w:val="00DD6AD2"/>
    <w:rsid w:val="00DD6CC8"/>
    <w:rsid w:val="00DD6D18"/>
    <w:rsid w:val="00DD6F5C"/>
    <w:rsid w:val="00DD6F79"/>
    <w:rsid w:val="00DD71B4"/>
    <w:rsid w:val="00DD7228"/>
    <w:rsid w:val="00DD722E"/>
    <w:rsid w:val="00DD73A9"/>
    <w:rsid w:val="00DD7432"/>
    <w:rsid w:val="00DD7ADC"/>
    <w:rsid w:val="00DD7BE6"/>
    <w:rsid w:val="00DD7E6F"/>
    <w:rsid w:val="00DD7E9C"/>
    <w:rsid w:val="00DE021B"/>
    <w:rsid w:val="00DE06DC"/>
    <w:rsid w:val="00DE09EA"/>
    <w:rsid w:val="00DE0AB6"/>
    <w:rsid w:val="00DE0B0C"/>
    <w:rsid w:val="00DE0BC7"/>
    <w:rsid w:val="00DE0C68"/>
    <w:rsid w:val="00DE0E95"/>
    <w:rsid w:val="00DE12EA"/>
    <w:rsid w:val="00DE140F"/>
    <w:rsid w:val="00DE1474"/>
    <w:rsid w:val="00DE14C1"/>
    <w:rsid w:val="00DE16AE"/>
    <w:rsid w:val="00DE1CE3"/>
    <w:rsid w:val="00DE1D7D"/>
    <w:rsid w:val="00DE2009"/>
    <w:rsid w:val="00DE2226"/>
    <w:rsid w:val="00DE234A"/>
    <w:rsid w:val="00DE25B6"/>
    <w:rsid w:val="00DE2B70"/>
    <w:rsid w:val="00DE2D4A"/>
    <w:rsid w:val="00DE2FE5"/>
    <w:rsid w:val="00DE302C"/>
    <w:rsid w:val="00DE31E1"/>
    <w:rsid w:val="00DE3351"/>
    <w:rsid w:val="00DE367B"/>
    <w:rsid w:val="00DE381D"/>
    <w:rsid w:val="00DE38DD"/>
    <w:rsid w:val="00DE3A63"/>
    <w:rsid w:val="00DE3E6C"/>
    <w:rsid w:val="00DE41F9"/>
    <w:rsid w:val="00DE42C8"/>
    <w:rsid w:val="00DE45D7"/>
    <w:rsid w:val="00DE4719"/>
    <w:rsid w:val="00DE4729"/>
    <w:rsid w:val="00DE4752"/>
    <w:rsid w:val="00DE477E"/>
    <w:rsid w:val="00DE4892"/>
    <w:rsid w:val="00DE48C5"/>
    <w:rsid w:val="00DE4973"/>
    <w:rsid w:val="00DE4B4F"/>
    <w:rsid w:val="00DE4C38"/>
    <w:rsid w:val="00DE4CAE"/>
    <w:rsid w:val="00DE4FB6"/>
    <w:rsid w:val="00DE5420"/>
    <w:rsid w:val="00DE5638"/>
    <w:rsid w:val="00DE59A2"/>
    <w:rsid w:val="00DE59FC"/>
    <w:rsid w:val="00DE5ABA"/>
    <w:rsid w:val="00DE5B2B"/>
    <w:rsid w:val="00DE5BA7"/>
    <w:rsid w:val="00DE5C30"/>
    <w:rsid w:val="00DE5E26"/>
    <w:rsid w:val="00DE5FEA"/>
    <w:rsid w:val="00DE618E"/>
    <w:rsid w:val="00DE6805"/>
    <w:rsid w:val="00DE68B4"/>
    <w:rsid w:val="00DE68F1"/>
    <w:rsid w:val="00DE6979"/>
    <w:rsid w:val="00DE6BD8"/>
    <w:rsid w:val="00DE7015"/>
    <w:rsid w:val="00DE71CD"/>
    <w:rsid w:val="00DE737B"/>
    <w:rsid w:val="00DE765F"/>
    <w:rsid w:val="00DE7692"/>
    <w:rsid w:val="00DE783E"/>
    <w:rsid w:val="00DE7934"/>
    <w:rsid w:val="00DE7A5A"/>
    <w:rsid w:val="00DE7A8E"/>
    <w:rsid w:val="00DE7D16"/>
    <w:rsid w:val="00DE7D17"/>
    <w:rsid w:val="00DE7E85"/>
    <w:rsid w:val="00DF0043"/>
    <w:rsid w:val="00DF023D"/>
    <w:rsid w:val="00DF059C"/>
    <w:rsid w:val="00DF06D6"/>
    <w:rsid w:val="00DF06F0"/>
    <w:rsid w:val="00DF0750"/>
    <w:rsid w:val="00DF07C7"/>
    <w:rsid w:val="00DF0844"/>
    <w:rsid w:val="00DF0946"/>
    <w:rsid w:val="00DF0E74"/>
    <w:rsid w:val="00DF12C6"/>
    <w:rsid w:val="00DF131A"/>
    <w:rsid w:val="00DF1533"/>
    <w:rsid w:val="00DF1824"/>
    <w:rsid w:val="00DF1988"/>
    <w:rsid w:val="00DF1CA2"/>
    <w:rsid w:val="00DF1F5E"/>
    <w:rsid w:val="00DF22C3"/>
    <w:rsid w:val="00DF22D4"/>
    <w:rsid w:val="00DF2470"/>
    <w:rsid w:val="00DF2861"/>
    <w:rsid w:val="00DF29E2"/>
    <w:rsid w:val="00DF2E15"/>
    <w:rsid w:val="00DF2F92"/>
    <w:rsid w:val="00DF2FA9"/>
    <w:rsid w:val="00DF3037"/>
    <w:rsid w:val="00DF3070"/>
    <w:rsid w:val="00DF3437"/>
    <w:rsid w:val="00DF3539"/>
    <w:rsid w:val="00DF3AC7"/>
    <w:rsid w:val="00DF3DF0"/>
    <w:rsid w:val="00DF4016"/>
    <w:rsid w:val="00DF4195"/>
    <w:rsid w:val="00DF4367"/>
    <w:rsid w:val="00DF451D"/>
    <w:rsid w:val="00DF4A91"/>
    <w:rsid w:val="00DF585F"/>
    <w:rsid w:val="00DF58E0"/>
    <w:rsid w:val="00DF59CB"/>
    <w:rsid w:val="00DF5AC2"/>
    <w:rsid w:val="00DF60A5"/>
    <w:rsid w:val="00DF6125"/>
    <w:rsid w:val="00DF6BD6"/>
    <w:rsid w:val="00DF6C91"/>
    <w:rsid w:val="00DF6F8A"/>
    <w:rsid w:val="00DF6FB2"/>
    <w:rsid w:val="00DF72EC"/>
    <w:rsid w:val="00DF760D"/>
    <w:rsid w:val="00DF7717"/>
    <w:rsid w:val="00E000C8"/>
    <w:rsid w:val="00E00385"/>
    <w:rsid w:val="00E005BA"/>
    <w:rsid w:val="00E00679"/>
    <w:rsid w:val="00E00FB3"/>
    <w:rsid w:val="00E0106E"/>
    <w:rsid w:val="00E01221"/>
    <w:rsid w:val="00E01531"/>
    <w:rsid w:val="00E015C2"/>
    <w:rsid w:val="00E01772"/>
    <w:rsid w:val="00E0177E"/>
    <w:rsid w:val="00E019D6"/>
    <w:rsid w:val="00E019F5"/>
    <w:rsid w:val="00E01A69"/>
    <w:rsid w:val="00E01BE9"/>
    <w:rsid w:val="00E01DCF"/>
    <w:rsid w:val="00E0206E"/>
    <w:rsid w:val="00E02076"/>
    <w:rsid w:val="00E021A4"/>
    <w:rsid w:val="00E0224C"/>
    <w:rsid w:val="00E023B0"/>
    <w:rsid w:val="00E02F0D"/>
    <w:rsid w:val="00E03029"/>
    <w:rsid w:val="00E030FD"/>
    <w:rsid w:val="00E0345A"/>
    <w:rsid w:val="00E03559"/>
    <w:rsid w:val="00E03635"/>
    <w:rsid w:val="00E038C1"/>
    <w:rsid w:val="00E03924"/>
    <w:rsid w:val="00E03ABD"/>
    <w:rsid w:val="00E03BB4"/>
    <w:rsid w:val="00E03C4D"/>
    <w:rsid w:val="00E03F0A"/>
    <w:rsid w:val="00E03F1F"/>
    <w:rsid w:val="00E040BE"/>
    <w:rsid w:val="00E04392"/>
    <w:rsid w:val="00E0487C"/>
    <w:rsid w:val="00E04B93"/>
    <w:rsid w:val="00E04BD0"/>
    <w:rsid w:val="00E04E2D"/>
    <w:rsid w:val="00E04E45"/>
    <w:rsid w:val="00E05223"/>
    <w:rsid w:val="00E054CE"/>
    <w:rsid w:val="00E058CB"/>
    <w:rsid w:val="00E059B9"/>
    <w:rsid w:val="00E05F42"/>
    <w:rsid w:val="00E06214"/>
    <w:rsid w:val="00E0621D"/>
    <w:rsid w:val="00E06270"/>
    <w:rsid w:val="00E06600"/>
    <w:rsid w:val="00E066E6"/>
    <w:rsid w:val="00E066ED"/>
    <w:rsid w:val="00E069C5"/>
    <w:rsid w:val="00E06A6A"/>
    <w:rsid w:val="00E06A9A"/>
    <w:rsid w:val="00E06C5B"/>
    <w:rsid w:val="00E06D04"/>
    <w:rsid w:val="00E06DC5"/>
    <w:rsid w:val="00E070A6"/>
    <w:rsid w:val="00E073CC"/>
    <w:rsid w:val="00E076A2"/>
    <w:rsid w:val="00E076E8"/>
    <w:rsid w:val="00E078A7"/>
    <w:rsid w:val="00E1010E"/>
    <w:rsid w:val="00E10146"/>
    <w:rsid w:val="00E10281"/>
    <w:rsid w:val="00E104DC"/>
    <w:rsid w:val="00E105DA"/>
    <w:rsid w:val="00E108BD"/>
    <w:rsid w:val="00E10AC2"/>
    <w:rsid w:val="00E10D5B"/>
    <w:rsid w:val="00E10E3A"/>
    <w:rsid w:val="00E10E63"/>
    <w:rsid w:val="00E1116E"/>
    <w:rsid w:val="00E117F8"/>
    <w:rsid w:val="00E11927"/>
    <w:rsid w:val="00E11CC2"/>
    <w:rsid w:val="00E11D0D"/>
    <w:rsid w:val="00E11D98"/>
    <w:rsid w:val="00E11E66"/>
    <w:rsid w:val="00E1229A"/>
    <w:rsid w:val="00E122E1"/>
    <w:rsid w:val="00E12445"/>
    <w:rsid w:val="00E12841"/>
    <w:rsid w:val="00E12A03"/>
    <w:rsid w:val="00E12AE6"/>
    <w:rsid w:val="00E12B0D"/>
    <w:rsid w:val="00E12B53"/>
    <w:rsid w:val="00E12CF1"/>
    <w:rsid w:val="00E12D9D"/>
    <w:rsid w:val="00E12E96"/>
    <w:rsid w:val="00E12FB6"/>
    <w:rsid w:val="00E13305"/>
    <w:rsid w:val="00E13392"/>
    <w:rsid w:val="00E134F2"/>
    <w:rsid w:val="00E1377E"/>
    <w:rsid w:val="00E138DD"/>
    <w:rsid w:val="00E1396B"/>
    <w:rsid w:val="00E13F4C"/>
    <w:rsid w:val="00E141F5"/>
    <w:rsid w:val="00E14418"/>
    <w:rsid w:val="00E14493"/>
    <w:rsid w:val="00E14550"/>
    <w:rsid w:val="00E14659"/>
    <w:rsid w:val="00E147E8"/>
    <w:rsid w:val="00E14844"/>
    <w:rsid w:val="00E14979"/>
    <w:rsid w:val="00E14A7F"/>
    <w:rsid w:val="00E14BFD"/>
    <w:rsid w:val="00E14CB8"/>
    <w:rsid w:val="00E14F01"/>
    <w:rsid w:val="00E14F68"/>
    <w:rsid w:val="00E15687"/>
    <w:rsid w:val="00E15A0E"/>
    <w:rsid w:val="00E15A3B"/>
    <w:rsid w:val="00E16176"/>
    <w:rsid w:val="00E163C5"/>
    <w:rsid w:val="00E166DC"/>
    <w:rsid w:val="00E16878"/>
    <w:rsid w:val="00E16B39"/>
    <w:rsid w:val="00E16F0E"/>
    <w:rsid w:val="00E17709"/>
    <w:rsid w:val="00E1776E"/>
    <w:rsid w:val="00E17A28"/>
    <w:rsid w:val="00E17B6A"/>
    <w:rsid w:val="00E17B7D"/>
    <w:rsid w:val="00E17C8B"/>
    <w:rsid w:val="00E2068C"/>
    <w:rsid w:val="00E20862"/>
    <w:rsid w:val="00E2092F"/>
    <w:rsid w:val="00E2094C"/>
    <w:rsid w:val="00E20A00"/>
    <w:rsid w:val="00E20FEB"/>
    <w:rsid w:val="00E21026"/>
    <w:rsid w:val="00E21065"/>
    <w:rsid w:val="00E2106E"/>
    <w:rsid w:val="00E2122F"/>
    <w:rsid w:val="00E21347"/>
    <w:rsid w:val="00E214F6"/>
    <w:rsid w:val="00E21611"/>
    <w:rsid w:val="00E21800"/>
    <w:rsid w:val="00E218AE"/>
    <w:rsid w:val="00E21D5D"/>
    <w:rsid w:val="00E2201C"/>
    <w:rsid w:val="00E221B8"/>
    <w:rsid w:val="00E225B5"/>
    <w:rsid w:val="00E22707"/>
    <w:rsid w:val="00E227ED"/>
    <w:rsid w:val="00E22A8F"/>
    <w:rsid w:val="00E22B72"/>
    <w:rsid w:val="00E22C91"/>
    <w:rsid w:val="00E22E95"/>
    <w:rsid w:val="00E22F59"/>
    <w:rsid w:val="00E23025"/>
    <w:rsid w:val="00E23079"/>
    <w:rsid w:val="00E233C0"/>
    <w:rsid w:val="00E23783"/>
    <w:rsid w:val="00E237B0"/>
    <w:rsid w:val="00E23B74"/>
    <w:rsid w:val="00E240DC"/>
    <w:rsid w:val="00E241EE"/>
    <w:rsid w:val="00E2434E"/>
    <w:rsid w:val="00E2448F"/>
    <w:rsid w:val="00E2452D"/>
    <w:rsid w:val="00E24779"/>
    <w:rsid w:val="00E24909"/>
    <w:rsid w:val="00E249A9"/>
    <w:rsid w:val="00E24A2C"/>
    <w:rsid w:val="00E24A56"/>
    <w:rsid w:val="00E24CFC"/>
    <w:rsid w:val="00E24D05"/>
    <w:rsid w:val="00E24F2F"/>
    <w:rsid w:val="00E24FBA"/>
    <w:rsid w:val="00E25125"/>
    <w:rsid w:val="00E253C0"/>
    <w:rsid w:val="00E2554C"/>
    <w:rsid w:val="00E2572A"/>
    <w:rsid w:val="00E25834"/>
    <w:rsid w:val="00E25942"/>
    <w:rsid w:val="00E25B9F"/>
    <w:rsid w:val="00E25DF3"/>
    <w:rsid w:val="00E25DFA"/>
    <w:rsid w:val="00E2608B"/>
    <w:rsid w:val="00E26145"/>
    <w:rsid w:val="00E261C4"/>
    <w:rsid w:val="00E2645C"/>
    <w:rsid w:val="00E2657E"/>
    <w:rsid w:val="00E265F3"/>
    <w:rsid w:val="00E26714"/>
    <w:rsid w:val="00E26C2F"/>
    <w:rsid w:val="00E26CBD"/>
    <w:rsid w:val="00E26F63"/>
    <w:rsid w:val="00E27236"/>
    <w:rsid w:val="00E27747"/>
    <w:rsid w:val="00E27C0D"/>
    <w:rsid w:val="00E27CD6"/>
    <w:rsid w:val="00E27D42"/>
    <w:rsid w:val="00E27F80"/>
    <w:rsid w:val="00E27FE4"/>
    <w:rsid w:val="00E3024B"/>
    <w:rsid w:val="00E3061C"/>
    <w:rsid w:val="00E3079C"/>
    <w:rsid w:val="00E307EB"/>
    <w:rsid w:val="00E307F8"/>
    <w:rsid w:val="00E30927"/>
    <w:rsid w:val="00E30CF4"/>
    <w:rsid w:val="00E30E22"/>
    <w:rsid w:val="00E30F29"/>
    <w:rsid w:val="00E30FDC"/>
    <w:rsid w:val="00E31657"/>
    <w:rsid w:val="00E31780"/>
    <w:rsid w:val="00E31943"/>
    <w:rsid w:val="00E31A59"/>
    <w:rsid w:val="00E31ACA"/>
    <w:rsid w:val="00E31BA4"/>
    <w:rsid w:val="00E31C59"/>
    <w:rsid w:val="00E31E4B"/>
    <w:rsid w:val="00E321D8"/>
    <w:rsid w:val="00E32485"/>
    <w:rsid w:val="00E326A7"/>
    <w:rsid w:val="00E32759"/>
    <w:rsid w:val="00E32840"/>
    <w:rsid w:val="00E3288A"/>
    <w:rsid w:val="00E3294F"/>
    <w:rsid w:val="00E32A93"/>
    <w:rsid w:val="00E32AF2"/>
    <w:rsid w:val="00E32C0D"/>
    <w:rsid w:val="00E330EE"/>
    <w:rsid w:val="00E33229"/>
    <w:rsid w:val="00E33329"/>
    <w:rsid w:val="00E337D8"/>
    <w:rsid w:val="00E33828"/>
    <w:rsid w:val="00E3382B"/>
    <w:rsid w:val="00E3399E"/>
    <w:rsid w:val="00E33A26"/>
    <w:rsid w:val="00E33C6E"/>
    <w:rsid w:val="00E33CC4"/>
    <w:rsid w:val="00E33DC6"/>
    <w:rsid w:val="00E34254"/>
    <w:rsid w:val="00E34424"/>
    <w:rsid w:val="00E34578"/>
    <w:rsid w:val="00E346C0"/>
    <w:rsid w:val="00E34766"/>
    <w:rsid w:val="00E347B3"/>
    <w:rsid w:val="00E34927"/>
    <w:rsid w:val="00E3492F"/>
    <w:rsid w:val="00E34A8D"/>
    <w:rsid w:val="00E34DAD"/>
    <w:rsid w:val="00E34F0E"/>
    <w:rsid w:val="00E3508F"/>
    <w:rsid w:val="00E350C9"/>
    <w:rsid w:val="00E35318"/>
    <w:rsid w:val="00E35448"/>
    <w:rsid w:val="00E35561"/>
    <w:rsid w:val="00E3562A"/>
    <w:rsid w:val="00E35684"/>
    <w:rsid w:val="00E35851"/>
    <w:rsid w:val="00E35BC7"/>
    <w:rsid w:val="00E35E99"/>
    <w:rsid w:val="00E3602A"/>
    <w:rsid w:val="00E36132"/>
    <w:rsid w:val="00E361CB"/>
    <w:rsid w:val="00E36301"/>
    <w:rsid w:val="00E365D3"/>
    <w:rsid w:val="00E365F9"/>
    <w:rsid w:val="00E36AF9"/>
    <w:rsid w:val="00E36E4E"/>
    <w:rsid w:val="00E36E50"/>
    <w:rsid w:val="00E36F4F"/>
    <w:rsid w:val="00E37248"/>
    <w:rsid w:val="00E37317"/>
    <w:rsid w:val="00E373B7"/>
    <w:rsid w:val="00E375A6"/>
    <w:rsid w:val="00E37697"/>
    <w:rsid w:val="00E37729"/>
    <w:rsid w:val="00E378E4"/>
    <w:rsid w:val="00E37EAB"/>
    <w:rsid w:val="00E401E3"/>
    <w:rsid w:val="00E40259"/>
    <w:rsid w:val="00E403A9"/>
    <w:rsid w:val="00E40694"/>
    <w:rsid w:val="00E40AE5"/>
    <w:rsid w:val="00E40B09"/>
    <w:rsid w:val="00E40B7D"/>
    <w:rsid w:val="00E40CA4"/>
    <w:rsid w:val="00E40CC1"/>
    <w:rsid w:val="00E40D13"/>
    <w:rsid w:val="00E40EBA"/>
    <w:rsid w:val="00E41211"/>
    <w:rsid w:val="00E413A2"/>
    <w:rsid w:val="00E41464"/>
    <w:rsid w:val="00E414C5"/>
    <w:rsid w:val="00E4155D"/>
    <w:rsid w:val="00E416DC"/>
    <w:rsid w:val="00E4172E"/>
    <w:rsid w:val="00E417E8"/>
    <w:rsid w:val="00E418E0"/>
    <w:rsid w:val="00E41956"/>
    <w:rsid w:val="00E419C6"/>
    <w:rsid w:val="00E41D09"/>
    <w:rsid w:val="00E41E30"/>
    <w:rsid w:val="00E42192"/>
    <w:rsid w:val="00E42227"/>
    <w:rsid w:val="00E42264"/>
    <w:rsid w:val="00E42277"/>
    <w:rsid w:val="00E4238B"/>
    <w:rsid w:val="00E4275C"/>
    <w:rsid w:val="00E42B02"/>
    <w:rsid w:val="00E42DEF"/>
    <w:rsid w:val="00E430A2"/>
    <w:rsid w:val="00E43122"/>
    <w:rsid w:val="00E431F8"/>
    <w:rsid w:val="00E438A0"/>
    <w:rsid w:val="00E4397B"/>
    <w:rsid w:val="00E43D34"/>
    <w:rsid w:val="00E43E67"/>
    <w:rsid w:val="00E43E72"/>
    <w:rsid w:val="00E43EF0"/>
    <w:rsid w:val="00E43FBF"/>
    <w:rsid w:val="00E442B4"/>
    <w:rsid w:val="00E443A8"/>
    <w:rsid w:val="00E44519"/>
    <w:rsid w:val="00E44581"/>
    <w:rsid w:val="00E44880"/>
    <w:rsid w:val="00E4492C"/>
    <w:rsid w:val="00E44ACC"/>
    <w:rsid w:val="00E44DA8"/>
    <w:rsid w:val="00E44DD8"/>
    <w:rsid w:val="00E45035"/>
    <w:rsid w:val="00E45146"/>
    <w:rsid w:val="00E452C3"/>
    <w:rsid w:val="00E45701"/>
    <w:rsid w:val="00E45769"/>
    <w:rsid w:val="00E45AD2"/>
    <w:rsid w:val="00E45B9A"/>
    <w:rsid w:val="00E45C7E"/>
    <w:rsid w:val="00E45DBE"/>
    <w:rsid w:val="00E462DF"/>
    <w:rsid w:val="00E4630B"/>
    <w:rsid w:val="00E4635E"/>
    <w:rsid w:val="00E46511"/>
    <w:rsid w:val="00E4654E"/>
    <w:rsid w:val="00E466B5"/>
    <w:rsid w:val="00E46794"/>
    <w:rsid w:val="00E46B29"/>
    <w:rsid w:val="00E46F1D"/>
    <w:rsid w:val="00E471BB"/>
    <w:rsid w:val="00E47318"/>
    <w:rsid w:val="00E47550"/>
    <w:rsid w:val="00E4782F"/>
    <w:rsid w:val="00E47967"/>
    <w:rsid w:val="00E47EE4"/>
    <w:rsid w:val="00E50328"/>
    <w:rsid w:val="00E50332"/>
    <w:rsid w:val="00E5038E"/>
    <w:rsid w:val="00E5087C"/>
    <w:rsid w:val="00E508AB"/>
    <w:rsid w:val="00E50A4D"/>
    <w:rsid w:val="00E50B82"/>
    <w:rsid w:val="00E50BC4"/>
    <w:rsid w:val="00E513E1"/>
    <w:rsid w:val="00E514F3"/>
    <w:rsid w:val="00E5154D"/>
    <w:rsid w:val="00E515CC"/>
    <w:rsid w:val="00E517F8"/>
    <w:rsid w:val="00E51822"/>
    <w:rsid w:val="00E5184D"/>
    <w:rsid w:val="00E51A09"/>
    <w:rsid w:val="00E51ABC"/>
    <w:rsid w:val="00E520D3"/>
    <w:rsid w:val="00E52258"/>
    <w:rsid w:val="00E52363"/>
    <w:rsid w:val="00E52416"/>
    <w:rsid w:val="00E527F5"/>
    <w:rsid w:val="00E52B3E"/>
    <w:rsid w:val="00E52BBE"/>
    <w:rsid w:val="00E52CF6"/>
    <w:rsid w:val="00E52DB4"/>
    <w:rsid w:val="00E52E35"/>
    <w:rsid w:val="00E53126"/>
    <w:rsid w:val="00E533F3"/>
    <w:rsid w:val="00E5343C"/>
    <w:rsid w:val="00E53522"/>
    <w:rsid w:val="00E53530"/>
    <w:rsid w:val="00E535B6"/>
    <w:rsid w:val="00E53612"/>
    <w:rsid w:val="00E538DA"/>
    <w:rsid w:val="00E53A5D"/>
    <w:rsid w:val="00E53D2A"/>
    <w:rsid w:val="00E53DCB"/>
    <w:rsid w:val="00E53E05"/>
    <w:rsid w:val="00E53FF0"/>
    <w:rsid w:val="00E54346"/>
    <w:rsid w:val="00E543D9"/>
    <w:rsid w:val="00E546D3"/>
    <w:rsid w:val="00E548F2"/>
    <w:rsid w:val="00E54C17"/>
    <w:rsid w:val="00E54DDA"/>
    <w:rsid w:val="00E54F22"/>
    <w:rsid w:val="00E5509F"/>
    <w:rsid w:val="00E55187"/>
    <w:rsid w:val="00E55189"/>
    <w:rsid w:val="00E5527C"/>
    <w:rsid w:val="00E5546D"/>
    <w:rsid w:val="00E55517"/>
    <w:rsid w:val="00E557F9"/>
    <w:rsid w:val="00E55BC9"/>
    <w:rsid w:val="00E55EAF"/>
    <w:rsid w:val="00E55ED5"/>
    <w:rsid w:val="00E560D6"/>
    <w:rsid w:val="00E561A2"/>
    <w:rsid w:val="00E564A0"/>
    <w:rsid w:val="00E567BE"/>
    <w:rsid w:val="00E56F5D"/>
    <w:rsid w:val="00E570BE"/>
    <w:rsid w:val="00E572FC"/>
    <w:rsid w:val="00E574BB"/>
    <w:rsid w:val="00E57630"/>
    <w:rsid w:val="00E57785"/>
    <w:rsid w:val="00E579AD"/>
    <w:rsid w:val="00E57C00"/>
    <w:rsid w:val="00E57C6A"/>
    <w:rsid w:val="00E60148"/>
    <w:rsid w:val="00E60412"/>
    <w:rsid w:val="00E604F0"/>
    <w:rsid w:val="00E60513"/>
    <w:rsid w:val="00E60695"/>
    <w:rsid w:val="00E60728"/>
    <w:rsid w:val="00E60A36"/>
    <w:rsid w:val="00E60ABA"/>
    <w:rsid w:val="00E60F73"/>
    <w:rsid w:val="00E610CD"/>
    <w:rsid w:val="00E6150B"/>
    <w:rsid w:val="00E61825"/>
    <w:rsid w:val="00E6194A"/>
    <w:rsid w:val="00E619C9"/>
    <w:rsid w:val="00E619F3"/>
    <w:rsid w:val="00E61B5A"/>
    <w:rsid w:val="00E61CDA"/>
    <w:rsid w:val="00E61D45"/>
    <w:rsid w:val="00E61E11"/>
    <w:rsid w:val="00E61E99"/>
    <w:rsid w:val="00E61EC3"/>
    <w:rsid w:val="00E620FD"/>
    <w:rsid w:val="00E6224B"/>
    <w:rsid w:val="00E623A1"/>
    <w:rsid w:val="00E6240D"/>
    <w:rsid w:val="00E62562"/>
    <w:rsid w:val="00E6280E"/>
    <w:rsid w:val="00E62E62"/>
    <w:rsid w:val="00E62FBC"/>
    <w:rsid w:val="00E62FF6"/>
    <w:rsid w:val="00E636BB"/>
    <w:rsid w:val="00E638FC"/>
    <w:rsid w:val="00E63940"/>
    <w:rsid w:val="00E639EE"/>
    <w:rsid w:val="00E63E92"/>
    <w:rsid w:val="00E63E94"/>
    <w:rsid w:val="00E642AE"/>
    <w:rsid w:val="00E643C1"/>
    <w:rsid w:val="00E64555"/>
    <w:rsid w:val="00E64646"/>
    <w:rsid w:val="00E64691"/>
    <w:rsid w:val="00E646E8"/>
    <w:rsid w:val="00E6472E"/>
    <w:rsid w:val="00E6476C"/>
    <w:rsid w:val="00E647FE"/>
    <w:rsid w:val="00E6489A"/>
    <w:rsid w:val="00E64FB1"/>
    <w:rsid w:val="00E65015"/>
    <w:rsid w:val="00E65225"/>
    <w:rsid w:val="00E655A8"/>
    <w:rsid w:val="00E6580D"/>
    <w:rsid w:val="00E65A75"/>
    <w:rsid w:val="00E65B47"/>
    <w:rsid w:val="00E66084"/>
    <w:rsid w:val="00E6630B"/>
    <w:rsid w:val="00E663B1"/>
    <w:rsid w:val="00E66A0E"/>
    <w:rsid w:val="00E66FA3"/>
    <w:rsid w:val="00E671FF"/>
    <w:rsid w:val="00E677CC"/>
    <w:rsid w:val="00E6780C"/>
    <w:rsid w:val="00E6782E"/>
    <w:rsid w:val="00E67CC7"/>
    <w:rsid w:val="00E67DD1"/>
    <w:rsid w:val="00E67EC8"/>
    <w:rsid w:val="00E67FB7"/>
    <w:rsid w:val="00E67FEF"/>
    <w:rsid w:val="00E70108"/>
    <w:rsid w:val="00E7047B"/>
    <w:rsid w:val="00E706E1"/>
    <w:rsid w:val="00E70901"/>
    <w:rsid w:val="00E70988"/>
    <w:rsid w:val="00E71286"/>
    <w:rsid w:val="00E71312"/>
    <w:rsid w:val="00E7131D"/>
    <w:rsid w:val="00E714DC"/>
    <w:rsid w:val="00E71783"/>
    <w:rsid w:val="00E7192B"/>
    <w:rsid w:val="00E71CBD"/>
    <w:rsid w:val="00E71E1C"/>
    <w:rsid w:val="00E71E68"/>
    <w:rsid w:val="00E71F60"/>
    <w:rsid w:val="00E7203E"/>
    <w:rsid w:val="00E72141"/>
    <w:rsid w:val="00E727CB"/>
    <w:rsid w:val="00E72866"/>
    <w:rsid w:val="00E72B62"/>
    <w:rsid w:val="00E72DBE"/>
    <w:rsid w:val="00E73014"/>
    <w:rsid w:val="00E73437"/>
    <w:rsid w:val="00E736E3"/>
    <w:rsid w:val="00E73765"/>
    <w:rsid w:val="00E738D0"/>
    <w:rsid w:val="00E7394C"/>
    <w:rsid w:val="00E73A3B"/>
    <w:rsid w:val="00E73B7B"/>
    <w:rsid w:val="00E73BA2"/>
    <w:rsid w:val="00E73BF4"/>
    <w:rsid w:val="00E73C2F"/>
    <w:rsid w:val="00E73CD3"/>
    <w:rsid w:val="00E73D1B"/>
    <w:rsid w:val="00E73F79"/>
    <w:rsid w:val="00E74047"/>
    <w:rsid w:val="00E74114"/>
    <w:rsid w:val="00E74247"/>
    <w:rsid w:val="00E7452D"/>
    <w:rsid w:val="00E745FA"/>
    <w:rsid w:val="00E74637"/>
    <w:rsid w:val="00E74857"/>
    <w:rsid w:val="00E748C0"/>
    <w:rsid w:val="00E7498A"/>
    <w:rsid w:val="00E74B0E"/>
    <w:rsid w:val="00E74E29"/>
    <w:rsid w:val="00E74EF3"/>
    <w:rsid w:val="00E75005"/>
    <w:rsid w:val="00E75461"/>
    <w:rsid w:val="00E75B93"/>
    <w:rsid w:val="00E765D0"/>
    <w:rsid w:val="00E769FB"/>
    <w:rsid w:val="00E76B34"/>
    <w:rsid w:val="00E76D3F"/>
    <w:rsid w:val="00E76DA3"/>
    <w:rsid w:val="00E76E2A"/>
    <w:rsid w:val="00E76E9F"/>
    <w:rsid w:val="00E76FA3"/>
    <w:rsid w:val="00E770BF"/>
    <w:rsid w:val="00E770C9"/>
    <w:rsid w:val="00E77735"/>
    <w:rsid w:val="00E77B79"/>
    <w:rsid w:val="00E77CB4"/>
    <w:rsid w:val="00E77D34"/>
    <w:rsid w:val="00E80118"/>
    <w:rsid w:val="00E80525"/>
    <w:rsid w:val="00E80660"/>
    <w:rsid w:val="00E8071B"/>
    <w:rsid w:val="00E80886"/>
    <w:rsid w:val="00E80C56"/>
    <w:rsid w:val="00E80F25"/>
    <w:rsid w:val="00E81428"/>
    <w:rsid w:val="00E8164C"/>
    <w:rsid w:val="00E817F7"/>
    <w:rsid w:val="00E8187C"/>
    <w:rsid w:val="00E81B0D"/>
    <w:rsid w:val="00E81E2C"/>
    <w:rsid w:val="00E81E41"/>
    <w:rsid w:val="00E825DB"/>
    <w:rsid w:val="00E8268B"/>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8A"/>
    <w:rsid w:val="00E84663"/>
    <w:rsid w:val="00E84706"/>
    <w:rsid w:val="00E84792"/>
    <w:rsid w:val="00E856F6"/>
    <w:rsid w:val="00E85B39"/>
    <w:rsid w:val="00E85E7D"/>
    <w:rsid w:val="00E85EBF"/>
    <w:rsid w:val="00E85FD2"/>
    <w:rsid w:val="00E8613D"/>
    <w:rsid w:val="00E863E9"/>
    <w:rsid w:val="00E86703"/>
    <w:rsid w:val="00E868D4"/>
    <w:rsid w:val="00E86976"/>
    <w:rsid w:val="00E869A2"/>
    <w:rsid w:val="00E869FC"/>
    <w:rsid w:val="00E86B53"/>
    <w:rsid w:val="00E87012"/>
    <w:rsid w:val="00E872C6"/>
    <w:rsid w:val="00E8748C"/>
    <w:rsid w:val="00E87492"/>
    <w:rsid w:val="00E8756A"/>
    <w:rsid w:val="00E8757B"/>
    <w:rsid w:val="00E87915"/>
    <w:rsid w:val="00E87A5B"/>
    <w:rsid w:val="00E87D8F"/>
    <w:rsid w:val="00E87DF3"/>
    <w:rsid w:val="00E87EFC"/>
    <w:rsid w:val="00E87F6C"/>
    <w:rsid w:val="00E90795"/>
    <w:rsid w:val="00E90A8A"/>
    <w:rsid w:val="00E90C3F"/>
    <w:rsid w:val="00E90DAE"/>
    <w:rsid w:val="00E90E09"/>
    <w:rsid w:val="00E90FC4"/>
    <w:rsid w:val="00E910E8"/>
    <w:rsid w:val="00E912DE"/>
    <w:rsid w:val="00E918BB"/>
    <w:rsid w:val="00E91942"/>
    <w:rsid w:val="00E91C42"/>
    <w:rsid w:val="00E91DD0"/>
    <w:rsid w:val="00E92150"/>
    <w:rsid w:val="00E92702"/>
    <w:rsid w:val="00E92760"/>
    <w:rsid w:val="00E92AC0"/>
    <w:rsid w:val="00E92DF1"/>
    <w:rsid w:val="00E92ED6"/>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3B4"/>
    <w:rsid w:val="00E943EC"/>
    <w:rsid w:val="00E944D7"/>
    <w:rsid w:val="00E9479D"/>
    <w:rsid w:val="00E947D0"/>
    <w:rsid w:val="00E94845"/>
    <w:rsid w:val="00E94886"/>
    <w:rsid w:val="00E94A7C"/>
    <w:rsid w:val="00E94D5A"/>
    <w:rsid w:val="00E94E0A"/>
    <w:rsid w:val="00E955E9"/>
    <w:rsid w:val="00E9578D"/>
    <w:rsid w:val="00E9598D"/>
    <w:rsid w:val="00E95A07"/>
    <w:rsid w:val="00E95FC1"/>
    <w:rsid w:val="00E96093"/>
    <w:rsid w:val="00E961D3"/>
    <w:rsid w:val="00E9623B"/>
    <w:rsid w:val="00E9649A"/>
    <w:rsid w:val="00E96FD2"/>
    <w:rsid w:val="00E974CF"/>
    <w:rsid w:val="00E976FA"/>
    <w:rsid w:val="00E97B3A"/>
    <w:rsid w:val="00EA0229"/>
    <w:rsid w:val="00EA03D7"/>
    <w:rsid w:val="00EA04C5"/>
    <w:rsid w:val="00EA05EE"/>
    <w:rsid w:val="00EA0684"/>
    <w:rsid w:val="00EA0CB0"/>
    <w:rsid w:val="00EA141A"/>
    <w:rsid w:val="00EA14A6"/>
    <w:rsid w:val="00EA174E"/>
    <w:rsid w:val="00EA1766"/>
    <w:rsid w:val="00EA18CD"/>
    <w:rsid w:val="00EA1A4E"/>
    <w:rsid w:val="00EA1A61"/>
    <w:rsid w:val="00EA1E7E"/>
    <w:rsid w:val="00EA204A"/>
    <w:rsid w:val="00EA20BA"/>
    <w:rsid w:val="00EA2145"/>
    <w:rsid w:val="00EA227F"/>
    <w:rsid w:val="00EA22D2"/>
    <w:rsid w:val="00EA24D0"/>
    <w:rsid w:val="00EA2D0A"/>
    <w:rsid w:val="00EA2E7C"/>
    <w:rsid w:val="00EA342D"/>
    <w:rsid w:val="00EA3825"/>
    <w:rsid w:val="00EA3A81"/>
    <w:rsid w:val="00EA3AEA"/>
    <w:rsid w:val="00EA3C2F"/>
    <w:rsid w:val="00EA4257"/>
    <w:rsid w:val="00EA43E2"/>
    <w:rsid w:val="00EA46DE"/>
    <w:rsid w:val="00EA47BA"/>
    <w:rsid w:val="00EA4895"/>
    <w:rsid w:val="00EA4C44"/>
    <w:rsid w:val="00EA4D3E"/>
    <w:rsid w:val="00EA4E47"/>
    <w:rsid w:val="00EA4ED8"/>
    <w:rsid w:val="00EA520D"/>
    <w:rsid w:val="00EA5225"/>
    <w:rsid w:val="00EA5397"/>
    <w:rsid w:val="00EA560D"/>
    <w:rsid w:val="00EA56C4"/>
    <w:rsid w:val="00EA5764"/>
    <w:rsid w:val="00EA593B"/>
    <w:rsid w:val="00EA5AD2"/>
    <w:rsid w:val="00EA5BF1"/>
    <w:rsid w:val="00EA5CC7"/>
    <w:rsid w:val="00EA5F28"/>
    <w:rsid w:val="00EA614E"/>
    <w:rsid w:val="00EA6789"/>
    <w:rsid w:val="00EA6B3A"/>
    <w:rsid w:val="00EA6D44"/>
    <w:rsid w:val="00EA7119"/>
    <w:rsid w:val="00EA711A"/>
    <w:rsid w:val="00EA74A0"/>
    <w:rsid w:val="00EA7646"/>
    <w:rsid w:val="00EA76DD"/>
    <w:rsid w:val="00EA77EC"/>
    <w:rsid w:val="00EA780A"/>
    <w:rsid w:val="00EA7B6E"/>
    <w:rsid w:val="00EA7C44"/>
    <w:rsid w:val="00EB040E"/>
    <w:rsid w:val="00EB0529"/>
    <w:rsid w:val="00EB06F2"/>
    <w:rsid w:val="00EB06FE"/>
    <w:rsid w:val="00EB0F69"/>
    <w:rsid w:val="00EB0F9C"/>
    <w:rsid w:val="00EB136A"/>
    <w:rsid w:val="00EB1770"/>
    <w:rsid w:val="00EB19C7"/>
    <w:rsid w:val="00EB1A75"/>
    <w:rsid w:val="00EB1D66"/>
    <w:rsid w:val="00EB22C5"/>
    <w:rsid w:val="00EB236A"/>
    <w:rsid w:val="00EB2397"/>
    <w:rsid w:val="00EB23EA"/>
    <w:rsid w:val="00EB2442"/>
    <w:rsid w:val="00EB244A"/>
    <w:rsid w:val="00EB27F7"/>
    <w:rsid w:val="00EB2CA9"/>
    <w:rsid w:val="00EB2D0B"/>
    <w:rsid w:val="00EB2D3D"/>
    <w:rsid w:val="00EB2E1F"/>
    <w:rsid w:val="00EB2F06"/>
    <w:rsid w:val="00EB2F28"/>
    <w:rsid w:val="00EB308A"/>
    <w:rsid w:val="00EB30BA"/>
    <w:rsid w:val="00EB312F"/>
    <w:rsid w:val="00EB31E5"/>
    <w:rsid w:val="00EB3309"/>
    <w:rsid w:val="00EB3328"/>
    <w:rsid w:val="00EB3582"/>
    <w:rsid w:val="00EB3668"/>
    <w:rsid w:val="00EB39EF"/>
    <w:rsid w:val="00EB3C2F"/>
    <w:rsid w:val="00EB3FFB"/>
    <w:rsid w:val="00EB4132"/>
    <w:rsid w:val="00EB43D3"/>
    <w:rsid w:val="00EB46CF"/>
    <w:rsid w:val="00EB4C05"/>
    <w:rsid w:val="00EB4CC0"/>
    <w:rsid w:val="00EB5042"/>
    <w:rsid w:val="00EB5168"/>
    <w:rsid w:val="00EB51DB"/>
    <w:rsid w:val="00EB5476"/>
    <w:rsid w:val="00EB5494"/>
    <w:rsid w:val="00EB54A5"/>
    <w:rsid w:val="00EB5525"/>
    <w:rsid w:val="00EB5621"/>
    <w:rsid w:val="00EB563B"/>
    <w:rsid w:val="00EB56F7"/>
    <w:rsid w:val="00EB5971"/>
    <w:rsid w:val="00EB600B"/>
    <w:rsid w:val="00EB6054"/>
    <w:rsid w:val="00EB6267"/>
    <w:rsid w:val="00EB62EC"/>
    <w:rsid w:val="00EB64AF"/>
    <w:rsid w:val="00EB68C2"/>
    <w:rsid w:val="00EB693F"/>
    <w:rsid w:val="00EB6950"/>
    <w:rsid w:val="00EB6B65"/>
    <w:rsid w:val="00EB6CC5"/>
    <w:rsid w:val="00EB6D85"/>
    <w:rsid w:val="00EB6FED"/>
    <w:rsid w:val="00EB7018"/>
    <w:rsid w:val="00EB7062"/>
    <w:rsid w:val="00EB72E5"/>
    <w:rsid w:val="00EB7488"/>
    <w:rsid w:val="00EB7489"/>
    <w:rsid w:val="00EB7C0B"/>
    <w:rsid w:val="00EB7F95"/>
    <w:rsid w:val="00EC0016"/>
    <w:rsid w:val="00EC009D"/>
    <w:rsid w:val="00EC04A5"/>
    <w:rsid w:val="00EC050E"/>
    <w:rsid w:val="00EC0526"/>
    <w:rsid w:val="00EC072E"/>
    <w:rsid w:val="00EC087E"/>
    <w:rsid w:val="00EC0B8D"/>
    <w:rsid w:val="00EC0D89"/>
    <w:rsid w:val="00EC102A"/>
    <w:rsid w:val="00EC1116"/>
    <w:rsid w:val="00EC11FB"/>
    <w:rsid w:val="00EC12FB"/>
    <w:rsid w:val="00EC14FD"/>
    <w:rsid w:val="00EC169D"/>
    <w:rsid w:val="00EC181B"/>
    <w:rsid w:val="00EC1976"/>
    <w:rsid w:val="00EC1A24"/>
    <w:rsid w:val="00EC1AE3"/>
    <w:rsid w:val="00EC1B24"/>
    <w:rsid w:val="00EC1EE3"/>
    <w:rsid w:val="00EC1F6F"/>
    <w:rsid w:val="00EC1FFC"/>
    <w:rsid w:val="00EC2058"/>
    <w:rsid w:val="00EC20BC"/>
    <w:rsid w:val="00EC2246"/>
    <w:rsid w:val="00EC26DF"/>
    <w:rsid w:val="00EC27E7"/>
    <w:rsid w:val="00EC2C84"/>
    <w:rsid w:val="00EC2DE1"/>
    <w:rsid w:val="00EC3156"/>
    <w:rsid w:val="00EC3279"/>
    <w:rsid w:val="00EC3380"/>
    <w:rsid w:val="00EC34E4"/>
    <w:rsid w:val="00EC354F"/>
    <w:rsid w:val="00EC359F"/>
    <w:rsid w:val="00EC37E3"/>
    <w:rsid w:val="00EC39BE"/>
    <w:rsid w:val="00EC3BF7"/>
    <w:rsid w:val="00EC3CB5"/>
    <w:rsid w:val="00EC3E53"/>
    <w:rsid w:val="00EC43AB"/>
    <w:rsid w:val="00EC4486"/>
    <w:rsid w:val="00EC4678"/>
    <w:rsid w:val="00EC4741"/>
    <w:rsid w:val="00EC475F"/>
    <w:rsid w:val="00EC4973"/>
    <w:rsid w:val="00EC4B03"/>
    <w:rsid w:val="00EC4B37"/>
    <w:rsid w:val="00EC4C56"/>
    <w:rsid w:val="00EC4C60"/>
    <w:rsid w:val="00EC4D0E"/>
    <w:rsid w:val="00EC5267"/>
    <w:rsid w:val="00EC553F"/>
    <w:rsid w:val="00EC568D"/>
    <w:rsid w:val="00EC57AB"/>
    <w:rsid w:val="00EC58A4"/>
    <w:rsid w:val="00EC5930"/>
    <w:rsid w:val="00EC593D"/>
    <w:rsid w:val="00EC5A8F"/>
    <w:rsid w:val="00EC5B97"/>
    <w:rsid w:val="00EC6218"/>
    <w:rsid w:val="00EC642F"/>
    <w:rsid w:val="00EC6457"/>
    <w:rsid w:val="00EC6570"/>
    <w:rsid w:val="00EC6620"/>
    <w:rsid w:val="00EC669A"/>
    <w:rsid w:val="00EC68CB"/>
    <w:rsid w:val="00EC6D50"/>
    <w:rsid w:val="00EC6DA2"/>
    <w:rsid w:val="00EC6F6D"/>
    <w:rsid w:val="00EC6FAF"/>
    <w:rsid w:val="00EC708D"/>
    <w:rsid w:val="00EC7248"/>
    <w:rsid w:val="00EC7517"/>
    <w:rsid w:val="00EC78EF"/>
    <w:rsid w:val="00EC7941"/>
    <w:rsid w:val="00EC79E0"/>
    <w:rsid w:val="00EC7BCA"/>
    <w:rsid w:val="00EC7C5B"/>
    <w:rsid w:val="00ED0122"/>
    <w:rsid w:val="00ED030C"/>
    <w:rsid w:val="00ED04A8"/>
    <w:rsid w:val="00ED04DC"/>
    <w:rsid w:val="00ED052D"/>
    <w:rsid w:val="00ED0665"/>
    <w:rsid w:val="00ED06E1"/>
    <w:rsid w:val="00ED0889"/>
    <w:rsid w:val="00ED0B8B"/>
    <w:rsid w:val="00ED0B8D"/>
    <w:rsid w:val="00ED1209"/>
    <w:rsid w:val="00ED1687"/>
    <w:rsid w:val="00ED1AF4"/>
    <w:rsid w:val="00ED1B75"/>
    <w:rsid w:val="00ED1D76"/>
    <w:rsid w:val="00ED1E0F"/>
    <w:rsid w:val="00ED1E2D"/>
    <w:rsid w:val="00ED1FA6"/>
    <w:rsid w:val="00ED1FF5"/>
    <w:rsid w:val="00ED2125"/>
    <w:rsid w:val="00ED23C1"/>
    <w:rsid w:val="00ED245B"/>
    <w:rsid w:val="00ED2583"/>
    <w:rsid w:val="00ED2AFE"/>
    <w:rsid w:val="00ED2BC3"/>
    <w:rsid w:val="00ED2C0F"/>
    <w:rsid w:val="00ED2D3E"/>
    <w:rsid w:val="00ED329E"/>
    <w:rsid w:val="00ED340D"/>
    <w:rsid w:val="00ED35AB"/>
    <w:rsid w:val="00ED35B8"/>
    <w:rsid w:val="00ED36E1"/>
    <w:rsid w:val="00ED3AB8"/>
    <w:rsid w:val="00ED4293"/>
    <w:rsid w:val="00ED45B6"/>
    <w:rsid w:val="00ED4627"/>
    <w:rsid w:val="00ED49B2"/>
    <w:rsid w:val="00ED4B1D"/>
    <w:rsid w:val="00ED4B22"/>
    <w:rsid w:val="00ED4BD7"/>
    <w:rsid w:val="00ED4EF4"/>
    <w:rsid w:val="00ED501F"/>
    <w:rsid w:val="00ED51D2"/>
    <w:rsid w:val="00ED533C"/>
    <w:rsid w:val="00ED5999"/>
    <w:rsid w:val="00ED5EF8"/>
    <w:rsid w:val="00ED5F82"/>
    <w:rsid w:val="00ED6C1A"/>
    <w:rsid w:val="00ED703F"/>
    <w:rsid w:val="00ED708C"/>
    <w:rsid w:val="00ED7125"/>
    <w:rsid w:val="00ED7193"/>
    <w:rsid w:val="00ED728E"/>
    <w:rsid w:val="00ED75D6"/>
    <w:rsid w:val="00ED76C5"/>
    <w:rsid w:val="00ED784C"/>
    <w:rsid w:val="00ED7AD0"/>
    <w:rsid w:val="00ED7BAF"/>
    <w:rsid w:val="00ED7DA8"/>
    <w:rsid w:val="00ED7DFA"/>
    <w:rsid w:val="00ED7F61"/>
    <w:rsid w:val="00ED7FD1"/>
    <w:rsid w:val="00EE0231"/>
    <w:rsid w:val="00EE0292"/>
    <w:rsid w:val="00EE0339"/>
    <w:rsid w:val="00EE08BB"/>
    <w:rsid w:val="00EE0C3D"/>
    <w:rsid w:val="00EE0F11"/>
    <w:rsid w:val="00EE141E"/>
    <w:rsid w:val="00EE1712"/>
    <w:rsid w:val="00EE1F5D"/>
    <w:rsid w:val="00EE1F88"/>
    <w:rsid w:val="00EE21D7"/>
    <w:rsid w:val="00EE21F6"/>
    <w:rsid w:val="00EE22F7"/>
    <w:rsid w:val="00EE257A"/>
    <w:rsid w:val="00EE2A30"/>
    <w:rsid w:val="00EE3229"/>
    <w:rsid w:val="00EE3528"/>
    <w:rsid w:val="00EE368E"/>
    <w:rsid w:val="00EE36DE"/>
    <w:rsid w:val="00EE376D"/>
    <w:rsid w:val="00EE393D"/>
    <w:rsid w:val="00EE39BB"/>
    <w:rsid w:val="00EE3BC0"/>
    <w:rsid w:val="00EE3BC4"/>
    <w:rsid w:val="00EE3C1A"/>
    <w:rsid w:val="00EE3C5D"/>
    <w:rsid w:val="00EE3CAD"/>
    <w:rsid w:val="00EE3D1F"/>
    <w:rsid w:val="00EE4247"/>
    <w:rsid w:val="00EE4A92"/>
    <w:rsid w:val="00EE4ABD"/>
    <w:rsid w:val="00EE4F23"/>
    <w:rsid w:val="00EE5052"/>
    <w:rsid w:val="00EE553F"/>
    <w:rsid w:val="00EE5607"/>
    <w:rsid w:val="00EE5AD7"/>
    <w:rsid w:val="00EE5AE5"/>
    <w:rsid w:val="00EE5D62"/>
    <w:rsid w:val="00EE5EF3"/>
    <w:rsid w:val="00EE5F92"/>
    <w:rsid w:val="00EE609F"/>
    <w:rsid w:val="00EE6B71"/>
    <w:rsid w:val="00EE6D31"/>
    <w:rsid w:val="00EE75EC"/>
    <w:rsid w:val="00EE7704"/>
    <w:rsid w:val="00EF01BB"/>
    <w:rsid w:val="00EF02D8"/>
    <w:rsid w:val="00EF0368"/>
    <w:rsid w:val="00EF03DD"/>
    <w:rsid w:val="00EF0CEB"/>
    <w:rsid w:val="00EF1001"/>
    <w:rsid w:val="00EF11B6"/>
    <w:rsid w:val="00EF18A7"/>
    <w:rsid w:val="00EF1AA0"/>
    <w:rsid w:val="00EF1C22"/>
    <w:rsid w:val="00EF1DF5"/>
    <w:rsid w:val="00EF2058"/>
    <w:rsid w:val="00EF20BF"/>
    <w:rsid w:val="00EF20DB"/>
    <w:rsid w:val="00EF21DD"/>
    <w:rsid w:val="00EF227B"/>
    <w:rsid w:val="00EF25DD"/>
    <w:rsid w:val="00EF2697"/>
    <w:rsid w:val="00EF27C4"/>
    <w:rsid w:val="00EF28CF"/>
    <w:rsid w:val="00EF2DE6"/>
    <w:rsid w:val="00EF3556"/>
    <w:rsid w:val="00EF36E1"/>
    <w:rsid w:val="00EF3CE4"/>
    <w:rsid w:val="00EF3F3B"/>
    <w:rsid w:val="00EF3F3F"/>
    <w:rsid w:val="00EF431A"/>
    <w:rsid w:val="00EF4333"/>
    <w:rsid w:val="00EF43A5"/>
    <w:rsid w:val="00EF460C"/>
    <w:rsid w:val="00EF4ABB"/>
    <w:rsid w:val="00EF4F3E"/>
    <w:rsid w:val="00EF54DD"/>
    <w:rsid w:val="00EF5929"/>
    <w:rsid w:val="00EF5B3B"/>
    <w:rsid w:val="00EF5CC3"/>
    <w:rsid w:val="00EF5F6E"/>
    <w:rsid w:val="00EF5F7B"/>
    <w:rsid w:val="00EF5FAF"/>
    <w:rsid w:val="00EF622F"/>
    <w:rsid w:val="00EF666F"/>
    <w:rsid w:val="00EF69D5"/>
    <w:rsid w:val="00EF6A71"/>
    <w:rsid w:val="00EF6DDE"/>
    <w:rsid w:val="00EF6E25"/>
    <w:rsid w:val="00EF719F"/>
    <w:rsid w:val="00EF71C9"/>
    <w:rsid w:val="00EF73FF"/>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75"/>
    <w:rsid w:val="00F01182"/>
    <w:rsid w:val="00F01204"/>
    <w:rsid w:val="00F0139B"/>
    <w:rsid w:val="00F0161F"/>
    <w:rsid w:val="00F0163A"/>
    <w:rsid w:val="00F01A00"/>
    <w:rsid w:val="00F01B4A"/>
    <w:rsid w:val="00F01CD0"/>
    <w:rsid w:val="00F01D06"/>
    <w:rsid w:val="00F01E92"/>
    <w:rsid w:val="00F0200C"/>
    <w:rsid w:val="00F020B4"/>
    <w:rsid w:val="00F020C5"/>
    <w:rsid w:val="00F027DC"/>
    <w:rsid w:val="00F02C6D"/>
    <w:rsid w:val="00F02F8E"/>
    <w:rsid w:val="00F033F2"/>
    <w:rsid w:val="00F036D4"/>
    <w:rsid w:val="00F03714"/>
    <w:rsid w:val="00F038B3"/>
    <w:rsid w:val="00F03DE8"/>
    <w:rsid w:val="00F03F34"/>
    <w:rsid w:val="00F03FF2"/>
    <w:rsid w:val="00F040D0"/>
    <w:rsid w:val="00F0412C"/>
    <w:rsid w:val="00F045BB"/>
    <w:rsid w:val="00F04684"/>
    <w:rsid w:val="00F04828"/>
    <w:rsid w:val="00F048A6"/>
    <w:rsid w:val="00F049CC"/>
    <w:rsid w:val="00F04AC2"/>
    <w:rsid w:val="00F04C3D"/>
    <w:rsid w:val="00F04E33"/>
    <w:rsid w:val="00F04EE2"/>
    <w:rsid w:val="00F04F5B"/>
    <w:rsid w:val="00F04FF6"/>
    <w:rsid w:val="00F05138"/>
    <w:rsid w:val="00F05161"/>
    <w:rsid w:val="00F0525D"/>
    <w:rsid w:val="00F056DD"/>
    <w:rsid w:val="00F059C3"/>
    <w:rsid w:val="00F05A11"/>
    <w:rsid w:val="00F05C8B"/>
    <w:rsid w:val="00F05CC0"/>
    <w:rsid w:val="00F06007"/>
    <w:rsid w:val="00F0604C"/>
    <w:rsid w:val="00F06204"/>
    <w:rsid w:val="00F06391"/>
    <w:rsid w:val="00F06B98"/>
    <w:rsid w:val="00F06D37"/>
    <w:rsid w:val="00F06DC3"/>
    <w:rsid w:val="00F06E93"/>
    <w:rsid w:val="00F0708E"/>
    <w:rsid w:val="00F072FD"/>
    <w:rsid w:val="00F073B5"/>
    <w:rsid w:val="00F07AF1"/>
    <w:rsid w:val="00F07B90"/>
    <w:rsid w:val="00F07EA4"/>
    <w:rsid w:val="00F10036"/>
    <w:rsid w:val="00F10264"/>
    <w:rsid w:val="00F1041E"/>
    <w:rsid w:val="00F109CE"/>
    <w:rsid w:val="00F10B60"/>
    <w:rsid w:val="00F10D08"/>
    <w:rsid w:val="00F10E61"/>
    <w:rsid w:val="00F11126"/>
    <w:rsid w:val="00F1123B"/>
    <w:rsid w:val="00F11377"/>
    <w:rsid w:val="00F11511"/>
    <w:rsid w:val="00F11512"/>
    <w:rsid w:val="00F1184D"/>
    <w:rsid w:val="00F11992"/>
    <w:rsid w:val="00F1254E"/>
    <w:rsid w:val="00F12AA2"/>
    <w:rsid w:val="00F12B3F"/>
    <w:rsid w:val="00F12C45"/>
    <w:rsid w:val="00F12D5F"/>
    <w:rsid w:val="00F12F49"/>
    <w:rsid w:val="00F13291"/>
    <w:rsid w:val="00F13935"/>
    <w:rsid w:val="00F13BBE"/>
    <w:rsid w:val="00F13D36"/>
    <w:rsid w:val="00F13DBC"/>
    <w:rsid w:val="00F13E1A"/>
    <w:rsid w:val="00F13F4C"/>
    <w:rsid w:val="00F140C7"/>
    <w:rsid w:val="00F14249"/>
    <w:rsid w:val="00F14D5D"/>
    <w:rsid w:val="00F14E60"/>
    <w:rsid w:val="00F14F84"/>
    <w:rsid w:val="00F150AB"/>
    <w:rsid w:val="00F152CD"/>
    <w:rsid w:val="00F15713"/>
    <w:rsid w:val="00F15722"/>
    <w:rsid w:val="00F15883"/>
    <w:rsid w:val="00F15C0D"/>
    <w:rsid w:val="00F15CE7"/>
    <w:rsid w:val="00F15DC2"/>
    <w:rsid w:val="00F15F18"/>
    <w:rsid w:val="00F15F91"/>
    <w:rsid w:val="00F16057"/>
    <w:rsid w:val="00F160FB"/>
    <w:rsid w:val="00F16732"/>
    <w:rsid w:val="00F168AE"/>
    <w:rsid w:val="00F16965"/>
    <w:rsid w:val="00F16BDB"/>
    <w:rsid w:val="00F16E03"/>
    <w:rsid w:val="00F17655"/>
    <w:rsid w:val="00F17871"/>
    <w:rsid w:val="00F17B09"/>
    <w:rsid w:val="00F17B0E"/>
    <w:rsid w:val="00F17D9F"/>
    <w:rsid w:val="00F17FCF"/>
    <w:rsid w:val="00F202B0"/>
    <w:rsid w:val="00F20593"/>
    <w:rsid w:val="00F20902"/>
    <w:rsid w:val="00F20CBA"/>
    <w:rsid w:val="00F20D3D"/>
    <w:rsid w:val="00F21758"/>
    <w:rsid w:val="00F217F2"/>
    <w:rsid w:val="00F21813"/>
    <w:rsid w:val="00F21A65"/>
    <w:rsid w:val="00F21ABC"/>
    <w:rsid w:val="00F21B90"/>
    <w:rsid w:val="00F21D2E"/>
    <w:rsid w:val="00F21E6F"/>
    <w:rsid w:val="00F221E4"/>
    <w:rsid w:val="00F22606"/>
    <w:rsid w:val="00F2261D"/>
    <w:rsid w:val="00F228A3"/>
    <w:rsid w:val="00F22B6C"/>
    <w:rsid w:val="00F23116"/>
    <w:rsid w:val="00F23397"/>
    <w:rsid w:val="00F233A1"/>
    <w:rsid w:val="00F23744"/>
    <w:rsid w:val="00F23754"/>
    <w:rsid w:val="00F237AB"/>
    <w:rsid w:val="00F23DF4"/>
    <w:rsid w:val="00F23E14"/>
    <w:rsid w:val="00F23F15"/>
    <w:rsid w:val="00F241DB"/>
    <w:rsid w:val="00F242E7"/>
    <w:rsid w:val="00F243C0"/>
    <w:rsid w:val="00F243D4"/>
    <w:rsid w:val="00F24536"/>
    <w:rsid w:val="00F2456C"/>
    <w:rsid w:val="00F24847"/>
    <w:rsid w:val="00F2496A"/>
    <w:rsid w:val="00F24A03"/>
    <w:rsid w:val="00F24A7F"/>
    <w:rsid w:val="00F24C3C"/>
    <w:rsid w:val="00F24D56"/>
    <w:rsid w:val="00F24E27"/>
    <w:rsid w:val="00F24E71"/>
    <w:rsid w:val="00F25170"/>
    <w:rsid w:val="00F253AB"/>
    <w:rsid w:val="00F25880"/>
    <w:rsid w:val="00F25A28"/>
    <w:rsid w:val="00F25CC6"/>
    <w:rsid w:val="00F25E08"/>
    <w:rsid w:val="00F25E32"/>
    <w:rsid w:val="00F25EFB"/>
    <w:rsid w:val="00F265FE"/>
    <w:rsid w:val="00F266BF"/>
    <w:rsid w:val="00F26BF9"/>
    <w:rsid w:val="00F270B0"/>
    <w:rsid w:val="00F2749E"/>
    <w:rsid w:val="00F27779"/>
    <w:rsid w:val="00F27912"/>
    <w:rsid w:val="00F27981"/>
    <w:rsid w:val="00F27CE3"/>
    <w:rsid w:val="00F27FDE"/>
    <w:rsid w:val="00F305F2"/>
    <w:rsid w:val="00F30DB0"/>
    <w:rsid w:val="00F3105C"/>
    <w:rsid w:val="00F311D1"/>
    <w:rsid w:val="00F31B95"/>
    <w:rsid w:val="00F31BE8"/>
    <w:rsid w:val="00F31EE1"/>
    <w:rsid w:val="00F32363"/>
    <w:rsid w:val="00F32621"/>
    <w:rsid w:val="00F327C9"/>
    <w:rsid w:val="00F32857"/>
    <w:rsid w:val="00F328A1"/>
    <w:rsid w:val="00F328CF"/>
    <w:rsid w:val="00F32965"/>
    <w:rsid w:val="00F32B0E"/>
    <w:rsid w:val="00F32C0E"/>
    <w:rsid w:val="00F32C7B"/>
    <w:rsid w:val="00F32E27"/>
    <w:rsid w:val="00F3315A"/>
    <w:rsid w:val="00F33C54"/>
    <w:rsid w:val="00F33F4B"/>
    <w:rsid w:val="00F340DD"/>
    <w:rsid w:val="00F34362"/>
    <w:rsid w:val="00F347F6"/>
    <w:rsid w:val="00F34800"/>
    <w:rsid w:val="00F34A81"/>
    <w:rsid w:val="00F34BB6"/>
    <w:rsid w:val="00F34D1C"/>
    <w:rsid w:val="00F34F03"/>
    <w:rsid w:val="00F34F64"/>
    <w:rsid w:val="00F35188"/>
    <w:rsid w:val="00F352AF"/>
    <w:rsid w:val="00F352CA"/>
    <w:rsid w:val="00F3535E"/>
    <w:rsid w:val="00F353C1"/>
    <w:rsid w:val="00F353E9"/>
    <w:rsid w:val="00F35695"/>
    <w:rsid w:val="00F35697"/>
    <w:rsid w:val="00F357FC"/>
    <w:rsid w:val="00F358B9"/>
    <w:rsid w:val="00F35ADB"/>
    <w:rsid w:val="00F35C6C"/>
    <w:rsid w:val="00F35CCF"/>
    <w:rsid w:val="00F35CDA"/>
    <w:rsid w:val="00F35D8D"/>
    <w:rsid w:val="00F360C5"/>
    <w:rsid w:val="00F365CD"/>
    <w:rsid w:val="00F36774"/>
    <w:rsid w:val="00F36A17"/>
    <w:rsid w:val="00F36A6C"/>
    <w:rsid w:val="00F36F52"/>
    <w:rsid w:val="00F36F95"/>
    <w:rsid w:val="00F37138"/>
    <w:rsid w:val="00F371FB"/>
    <w:rsid w:val="00F37477"/>
    <w:rsid w:val="00F374BB"/>
    <w:rsid w:val="00F377C1"/>
    <w:rsid w:val="00F37E08"/>
    <w:rsid w:val="00F37E53"/>
    <w:rsid w:val="00F37E79"/>
    <w:rsid w:val="00F40360"/>
    <w:rsid w:val="00F4036C"/>
    <w:rsid w:val="00F40378"/>
    <w:rsid w:val="00F403A8"/>
    <w:rsid w:val="00F404C6"/>
    <w:rsid w:val="00F40700"/>
    <w:rsid w:val="00F40B7A"/>
    <w:rsid w:val="00F40BB2"/>
    <w:rsid w:val="00F4155B"/>
    <w:rsid w:val="00F418AC"/>
    <w:rsid w:val="00F419E4"/>
    <w:rsid w:val="00F41C05"/>
    <w:rsid w:val="00F41FD7"/>
    <w:rsid w:val="00F42177"/>
    <w:rsid w:val="00F422A7"/>
    <w:rsid w:val="00F424A2"/>
    <w:rsid w:val="00F426C2"/>
    <w:rsid w:val="00F4294A"/>
    <w:rsid w:val="00F42A42"/>
    <w:rsid w:val="00F42ABA"/>
    <w:rsid w:val="00F42B59"/>
    <w:rsid w:val="00F42C4C"/>
    <w:rsid w:val="00F42C74"/>
    <w:rsid w:val="00F42F99"/>
    <w:rsid w:val="00F434B9"/>
    <w:rsid w:val="00F43560"/>
    <w:rsid w:val="00F4381D"/>
    <w:rsid w:val="00F43D1D"/>
    <w:rsid w:val="00F43D96"/>
    <w:rsid w:val="00F43F36"/>
    <w:rsid w:val="00F43F9B"/>
    <w:rsid w:val="00F44FB6"/>
    <w:rsid w:val="00F44FC3"/>
    <w:rsid w:val="00F45045"/>
    <w:rsid w:val="00F451CF"/>
    <w:rsid w:val="00F45281"/>
    <w:rsid w:val="00F45444"/>
    <w:rsid w:val="00F454F0"/>
    <w:rsid w:val="00F45899"/>
    <w:rsid w:val="00F45A45"/>
    <w:rsid w:val="00F45B05"/>
    <w:rsid w:val="00F45FC0"/>
    <w:rsid w:val="00F4607C"/>
    <w:rsid w:val="00F461C6"/>
    <w:rsid w:val="00F4627F"/>
    <w:rsid w:val="00F46579"/>
    <w:rsid w:val="00F465D2"/>
    <w:rsid w:val="00F46631"/>
    <w:rsid w:val="00F4683F"/>
    <w:rsid w:val="00F46918"/>
    <w:rsid w:val="00F46A01"/>
    <w:rsid w:val="00F46BEF"/>
    <w:rsid w:val="00F46DE0"/>
    <w:rsid w:val="00F46F11"/>
    <w:rsid w:val="00F46F1D"/>
    <w:rsid w:val="00F46F51"/>
    <w:rsid w:val="00F470A4"/>
    <w:rsid w:val="00F476A3"/>
    <w:rsid w:val="00F477D2"/>
    <w:rsid w:val="00F47A81"/>
    <w:rsid w:val="00F47B0B"/>
    <w:rsid w:val="00F47E0D"/>
    <w:rsid w:val="00F50529"/>
    <w:rsid w:val="00F509E4"/>
    <w:rsid w:val="00F50F17"/>
    <w:rsid w:val="00F50F9B"/>
    <w:rsid w:val="00F50FAC"/>
    <w:rsid w:val="00F50FB3"/>
    <w:rsid w:val="00F51089"/>
    <w:rsid w:val="00F5120E"/>
    <w:rsid w:val="00F5178A"/>
    <w:rsid w:val="00F518B5"/>
    <w:rsid w:val="00F51A75"/>
    <w:rsid w:val="00F51AA0"/>
    <w:rsid w:val="00F51B6A"/>
    <w:rsid w:val="00F51D0E"/>
    <w:rsid w:val="00F51E87"/>
    <w:rsid w:val="00F51EC4"/>
    <w:rsid w:val="00F51EEC"/>
    <w:rsid w:val="00F51F01"/>
    <w:rsid w:val="00F52046"/>
    <w:rsid w:val="00F5214E"/>
    <w:rsid w:val="00F525ED"/>
    <w:rsid w:val="00F527DA"/>
    <w:rsid w:val="00F52910"/>
    <w:rsid w:val="00F530DA"/>
    <w:rsid w:val="00F536EE"/>
    <w:rsid w:val="00F53D37"/>
    <w:rsid w:val="00F53E47"/>
    <w:rsid w:val="00F542EE"/>
    <w:rsid w:val="00F54519"/>
    <w:rsid w:val="00F5482E"/>
    <w:rsid w:val="00F5486E"/>
    <w:rsid w:val="00F55506"/>
    <w:rsid w:val="00F5551D"/>
    <w:rsid w:val="00F555F1"/>
    <w:rsid w:val="00F55725"/>
    <w:rsid w:val="00F55B31"/>
    <w:rsid w:val="00F55C05"/>
    <w:rsid w:val="00F55CC5"/>
    <w:rsid w:val="00F55FEA"/>
    <w:rsid w:val="00F56225"/>
    <w:rsid w:val="00F56609"/>
    <w:rsid w:val="00F566D5"/>
    <w:rsid w:val="00F566FE"/>
    <w:rsid w:val="00F56736"/>
    <w:rsid w:val="00F5684D"/>
    <w:rsid w:val="00F568C2"/>
    <w:rsid w:val="00F569E9"/>
    <w:rsid w:val="00F56AB9"/>
    <w:rsid w:val="00F56D7D"/>
    <w:rsid w:val="00F56F08"/>
    <w:rsid w:val="00F57880"/>
    <w:rsid w:val="00F57FB2"/>
    <w:rsid w:val="00F60232"/>
    <w:rsid w:val="00F6031A"/>
    <w:rsid w:val="00F603CB"/>
    <w:rsid w:val="00F605F3"/>
    <w:rsid w:val="00F60BC7"/>
    <w:rsid w:val="00F6101F"/>
    <w:rsid w:val="00F6167E"/>
    <w:rsid w:val="00F618DD"/>
    <w:rsid w:val="00F619D5"/>
    <w:rsid w:val="00F61EFE"/>
    <w:rsid w:val="00F61F48"/>
    <w:rsid w:val="00F61F87"/>
    <w:rsid w:val="00F62103"/>
    <w:rsid w:val="00F6271A"/>
    <w:rsid w:val="00F62F9C"/>
    <w:rsid w:val="00F6309F"/>
    <w:rsid w:val="00F630F2"/>
    <w:rsid w:val="00F6328E"/>
    <w:rsid w:val="00F63700"/>
    <w:rsid w:val="00F639CD"/>
    <w:rsid w:val="00F63E17"/>
    <w:rsid w:val="00F63F56"/>
    <w:rsid w:val="00F63F9F"/>
    <w:rsid w:val="00F64395"/>
    <w:rsid w:val="00F64474"/>
    <w:rsid w:val="00F648B8"/>
    <w:rsid w:val="00F64AD5"/>
    <w:rsid w:val="00F64C5C"/>
    <w:rsid w:val="00F64CAE"/>
    <w:rsid w:val="00F64CE5"/>
    <w:rsid w:val="00F650FC"/>
    <w:rsid w:val="00F65245"/>
    <w:rsid w:val="00F6543F"/>
    <w:rsid w:val="00F654B4"/>
    <w:rsid w:val="00F6595C"/>
    <w:rsid w:val="00F65AE6"/>
    <w:rsid w:val="00F66061"/>
    <w:rsid w:val="00F662A2"/>
    <w:rsid w:val="00F6632A"/>
    <w:rsid w:val="00F6634B"/>
    <w:rsid w:val="00F6635C"/>
    <w:rsid w:val="00F663D3"/>
    <w:rsid w:val="00F664DA"/>
    <w:rsid w:val="00F66994"/>
    <w:rsid w:val="00F669DF"/>
    <w:rsid w:val="00F66AAD"/>
    <w:rsid w:val="00F66B3C"/>
    <w:rsid w:val="00F66D8B"/>
    <w:rsid w:val="00F66FA9"/>
    <w:rsid w:val="00F66FE6"/>
    <w:rsid w:val="00F67036"/>
    <w:rsid w:val="00F67129"/>
    <w:rsid w:val="00F673FD"/>
    <w:rsid w:val="00F6743B"/>
    <w:rsid w:val="00F674AB"/>
    <w:rsid w:val="00F67A64"/>
    <w:rsid w:val="00F67AA2"/>
    <w:rsid w:val="00F67C41"/>
    <w:rsid w:val="00F67D69"/>
    <w:rsid w:val="00F67DCD"/>
    <w:rsid w:val="00F703B7"/>
    <w:rsid w:val="00F704F6"/>
    <w:rsid w:val="00F70943"/>
    <w:rsid w:val="00F70CFE"/>
    <w:rsid w:val="00F70E6B"/>
    <w:rsid w:val="00F70FBA"/>
    <w:rsid w:val="00F71380"/>
    <w:rsid w:val="00F71AED"/>
    <w:rsid w:val="00F71BBB"/>
    <w:rsid w:val="00F71C2D"/>
    <w:rsid w:val="00F71C93"/>
    <w:rsid w:val="00F71DB3"/>
    <w:rsid w:val="00F71E08"/>
    <w:rsid w:val="00F71F17"/>
    <w:rsid w:val="00F7207B"/>
    <w:rsid w:val="00F724DD"/>
    <w:rsid w:val="00F7280B"/>
    <w:rsid w:val="00F72968"/>
    <w:rsid w:val="00F72C04"/>
    <w:rsid w:val="00F7320A"/>
    <w:rsid w:val="00F7323D"/>
    <w:rsid w:val="00F7327B"/>
    <w:rsid w:val="00F73289"/>
    <w:rsid w:val="00F7346D"/>
    <w:rsid w:val="00F734DC"/>
    <w:rsid w:val="00F73654"/>
    <w:rsid w:val="00F73705"/>
    <w:rsid w:val="00F73869"/>
    <w:rsid w:val="00F738CD"/>
    <w:rsid w:val="00F73959"/>
    <w:rsid w:val="00F7398F"/>
    <w:rsid w:val="00F73C0A"/>
    <w:rsid w:val="00F73C78"/>
    <w:rsid w:val="00F73D54"/>
    <w:rsid w:val="00F74122"/>
    <w:rsid w:val="00F74763"/>
    <w:rsid w:val="00F747EF"/>
    <w:rsid w:val="00F74B6C"/>
    <w:rsid w:val="00F74BA4"/>
    <w:rsid w:val="00F74D3D"/>
    <w:rsid w:val="00F74D76"/>
    <w:rsid w:val="00F751B6"/>
    <w:rsid w:val="00F752EC"/>
    <w:rsid w:val="00F7561E"/>
    <w:rsid w:val="00F75DB1"/>
    <w:rsid w:val="00F75E0A"/>
    <w:rsid w:val="00F75F6F"/>
    <w:rsid w:val="00F76364"/>
    <w:rsid w:val="00F76366"/>
    <w:rsid w:val="00F76436"/>
    <w:rsid w:val="00F76493"/>
    <w:rsid w:val="00F7656F"/>
    <w:rsid w:val="00F766A9"/>
    <w:rsid w:val="00F766D1"/>
    <w:rsid w:val="00F766EF"/>
    <w:rsid w:val="00F767EB"/>
    <w:rsid w:val="00F7691A"/>
    <w:rsid w:val="00F76B0E"/>
    <w:rsid w:val="00F77164"/>
    <w:rsid w:val="00F77652"/>
    <w:rsid w:val="00F776AC"/>
    <w:rsid w:val="00F77BBA"/>
    <w:rsid w:val="00F77D70"/>
    <w:rsid w:val="00F77EF4"/>
    <w:rsid w:val="00F80036"/>
    <w:rsid w:val="00F8009F"/>
    <w:rsid w:val="00F800C5"/>
    <w:rsid w:val="00F80112"/>
    <w:rsid w:val="00F805B2"/>
    <w:rsid w:val="00F80695"/>
    <w:rsid w:val="00F812F1"/>
    <w:rsid w:val="00F8152A"/>
    <w:rsid w:val="00F817D9"/>
    <w:rsid w:val="00F8182E"/>
    <w:rsid w:val="00F819B6"/>
    <w:rsid w:val="00F81F16"/>
    <w:rsid w:val="00F820FF"/>
    <w:rsid w:val="00F821B3"/>
    <w:rsid w:val="00F82366"/>
    <w:rsid w:val="00F82413"/>
    <w:rsid w:val="00F8244D"/>
    <w:rsid w:val="00F82698"/>
    <w:rsid w:val="00F827E0"/>
    <w:rsid w:val="00F828A9"/>
    <w:rsid w:val="00F83131"/>
    <w:rsid w:val="00F8328A"/>
    <w:rsid w:val="00F832BD"/>
    <w:rsid w:val="00F83302"/>
    <w:rsid w:val="00F833C5"/>
    <w:rsid w:val="00F83433"/>
    <w:rsid w:val="00F8347B"/>
    <w:rsid w:val="00F834F5"/>
    <w:rsid w:val="00F835F0"/>
    <w:rsid w:val="00F8370C"/>
    <w:rsid w:val="00F83819"/>
    <w:rsid w:val="00F83A77"/>
    <w:rsid w:val="00F83E98"/>
    <w:rsid w:val="00F84205"/>
    <w:rsid w:val="00F8452F"/>
    <w:rsid w:val="00F84ADE"/>
    <w:rsid w:val="00F84B9D"/>
    <w:rsid w:val="00F84E8D"/>
    <w:rsid w:val="00F85184"/>
    <w:rsid w:val="00F851B3"/>
    <w:rsid w:val="00F853E2"/>
    <w:rsid w:val="00F8544B"/>
    <w:rsid w:val="00F854FA"/>
    <w:rsid w:val="00F85BE3"/>
    <w:rsid w:val="00F85C84"/>
    <w:rsid w:val="00F85D16"/>
    <w:rsid w:val="00F85D67"/>
    <w:rsid w:val="00F85E7E"/>
    <w:rsid w:val="00F861C7"/>
    <w:rsid w:val="00F86241"/>
    <w:rsid w:val="00F8655A"/>
    <w:rsid w:val="00F866CA"/>
    <w:rsid w:val="00F868C9"/>
    <w:rsid w:val="00F86912"/>
    <w:rsid w:val="00F86960"/>
    <w:rsid w:val="00F86C51"/>
    <w:rsid w:val="00F86D35"/>
    <w:rsid w:val="00F86FB6"/>
    <w:rsid w:val="00F8705A"/>
    <w:rsid w:val="00F87214"/>
    <w:rsid w:val="00F8728E"/>
    <w:rsid w:val="00F87435"/>
    <w:rsid w:val="00F874D1"/>
    <w:rsid w:val="00F876E9"/>
    <w:rsid w:val="00F87A39"/>
    <w:rsid w:val="00F900F8"/>
    <w:rsid w:val="00F90352"/>
    <w:rsid w:val="00F90512"/>
    <w:rsid w:val="00F90596"/>
    <w:rsid w:val="00F905EA"/>
    <w:rsid w:val="00F906AD"/>
    <w:rsid w:val="00F908E3"/>
    <w:rsid w:val="00F90A19"/>
    <w:rsid w:val="00F90B6B"/>
    <w:rsid w:val="00F90FFD"/>
    <w:rsid w:val="00F911B7"/>
    <w:rsid w:val="00F9123C"/>
    <w:rsid w:val="00F913C3"/>
    <w:rsid w:val="00F9141A"/>
    <w:rsid w:val="00F915C9"/>
    <w:rsid w:val="00F91B47"/>
    <w:rsid w:val="00F91C8E"/>
    <w:rsid w:val="00F91E10"/>
    <w:rsid w:val="00F9231E"/>
    <w:rsid w:val="00F925BC"/>
    <w:rsid w:val="00F9267C"/>
    <w:rsid w:val="00F92A5E"/>
    <w:rsid w:val="00F92B39"/>
    <w:rsid w:val="00F930D6"/>
    <w:rsid w:val="00F931F3"/>
    <w:rsid w:val="00F93236"/>
    <w:rsid w:val="00F93273"/>
    <w:rsid w:val="00F933C4"/>
    <w:rsid w:val="00F934B3"/>
    <w:rsid w:val="00F93B93"/>
    <w:rsid w:val="00F93DED"/>
    <w:rsid w:val="00F93E94"/>
    <w:rsid w:val="00F93ED1"/>
    <w:rsid w:val="00F93F4A"/>
    <w:rsid w:val="00F941BC"/>
    <w:rsid w:val="00F941EB"/>
    <w:rsid w:val="00F942FE"/>
    <w:rsid w:val="00F94748"/>
    <w:rsid w:val="00F94995"/>
    <w:rsid w:val="00F94C68"/>
    <w:rsid w:val="00F94D76"/>
    <w:rsid w:val="00F951AF"/>
    <w:rsid w:val="00F95293"/>
    <w:rsid w:val="00F95460"/>
    <w:rsid w:val="00F954D0"/>
    <w:rsid w:val="00F95629"/>
    <w:rsid w:val="00F956B5"/>
    <w:rsid w:val="00F95742"/>
    <w:rsid w:val="00F95C09"/>
    <w:rsid w:val="00F96008"/>
    <w:rsid w:val="00F961CC"/>
    <w:rsid w:val="00F963E0"/>
    <w:rsid w:val="00F96694"/>
    <w:rsid w:val="00F96AFB"/>
    <w:rsid w:val="00F96C84"/>
    <w:rsid w:val="00F96E93"/>
    <w:rsid w:val="00F972FA"/>
    <w:rsid w:val="00F97634"/>
    <w:rsid w:val="00F976BE"/>
    <w:rsid w:val="00F97940"/>
    <w:rsid w:val="00F97CA5"/>
    <w:rsid w:val="00F97D07"/>
    <w:rsid w:val="00F97E26"/>
    <w:rsid w:val="00FA08D5"/>
    <w:rsid w:val="00FA09FC"/>
    <w:rsid w:val="00FA0A36"/>
    <w:rsid w:val="00FA0AB0"/>
    <w:rsid w:val="00FA0C82"/>
    <w:rsid w:val="00FA0F48"/>
    <w:rsid w:val="00FA10B1"/>
    <w:rsid w:val="00FA1224"/>
    <w:rsid w:val="00FA1530"/>
    <w:rsid w:val="00FA1540"/>
    <w:rsid w:val="00FA1744"/>
    <w:rsid w:val="00FA187F"/>
    <w:rsid w:val="00FA1DF5"/>
    <w:rsid w:val="00FA1E37"/>
    <w:rsid w:val="00FA220A"/>
    <w:rsid w:val="00FA2612"/>
    <w:rsid w:val="00FA26E5"/>
    <w:rsid w:val="00FA27CC"/>
    <w:rsid w:val="00FA29C8"/>
    <w:rsid w:val="00FA2C1F"/>
    <w:rsid w:val="00FA2E6E"/>
    <w:rsid w:val="00FA3435"/>
    <w:rsid w:val="00FA3478"/>
    <w:rsid w:val="00FA358C"/>
    <w:rsid w:val="00FA3B6E"/>
    <w:rsid w:val="00FA3C83"/>
    <w:rsid w:val="00FA3CA6"/>
    <w:rsid w:val="00FA415D"/>
    <w:rsid w:val="00FA417B"/>
    <w:rsid w:val="00FA42AF"/>
    <w:rsid w:val="00FA44B2"/>
    <w:rsid w:val="00FA460C"/>
    <w:rsid w:val="00FA4A68"/>
    <w:rsid w:val="00FA590C"/>
    <w:rsid w:val="00FA5B8A"/>
    <w:rsid w:val="00FA5CDC"/>
    <w:rsid w:val="00FA6046"/>
    <w:rsid w:val="00FA62DD"/>
    <w:rsid w:val="00FA6416"/>
    <w:rsid w:val="00FA653F"/>
    <w:rsid w:val="00FA66AC"/>
    <w:rsid w:val="00FA69F6"/>
    <w:rsid w:val="00FA6A55"/>
    <w:rsid w:val="00FA6A8F"/>
    <w:rsid w:val="00FA6E92"/>
    <w:rsid w:val="00FA7273"/>
    <w:rsid w:val="00FA72A4"/>
    <w:rsid w:val="00FA7370"/>
    <w:rsid w:val="00FA73A5"/>
    <w:rsid w:val="00FA7465"/>
    <w:rsid w:val="00FA751A"/>
    <w:rsid w:val="00FA7B40"/>
    <w:rsid w:val="00FA7CA6"/>
    <w:rsid w:val="00FB0288"/>
    <w:rsid w:val="00FB02B1"/>
    <w:rsid w:val="00FB05EE"/>
    <w:rsid w:val="00FB0BBE"/>
    <w:rsid w:val="00FB0C70"/>
    <w:rsid w:val="00FB0D41"/>
    <w:rsid w:val="00FB0D88"/>
    <w:rsid w:val="00FB0F0A"/>
    <w:rsid w:val="00FB1296"/>
    <w:rsid w:val="00FB13FB"/>
    <w:rsid w:val="00FB17B9"/>
    <w:rsid w:val="00FB185E"/>
    <w:rsid w:val="00FB19C2"/>
    <w:rsid w:val="00FB19FD"/>
    <w:rsid w:val="00FB1CB4"/>
    <w:rsid w:val="00FB22E4"/>
    <w:rsid w:val="00FB22E6"/>
    <w:rsid w:val="00FB24BB"/>
    <w:rsid w:val="00FB24FF"/>
    <w:rsid w:val="00FB2563"/>
    <w:rsid w:val="00FB2656"/>
    <w:rsid w:val="00FB281E"/>
    <w:rsid w:val="00FB31C5"/>
    <w:rsid w:val="00FB322F"/>
    <w:rsid w:val="00FB34CF"/>
    <w:rsid w:val="00FB3622"/>
    <w:rsid w:val="00FB37A2"/>
    <w:rsid w:val="00FB382C"/>
    <w:rsid w:val="00FB3A38"/>
    <w:rsid w:val="00FB3A45"/>
    <w:rsid w:val="00FB3AE4"/>
    <w:rsid w:val="00FB3B26"/>
    <w:rsid w:val="00FB3BF3"/>
    <w:rsid w:val="00FB3C63"/>
    <w:rsid w:val="00FB3D8A"/>
    <w:rsid w:val="00FB419C"/>
    <w:rsid w:val="00FB42F4"/>
    <w:rsid w:val="00FB43E3"/>
    <w:rsid w:val="00FB4411"/>
    <w:rsid w:val="00FB4469"/>
    <w:rsid w:val="00FB459C"/>
    <w:rsid w:val="00FB460C"/>
    <w:rsid w:val="00FB48E4"/>
    <w:rsid w:val="00FB4BFD"/>
    <w:rsid w:val="00FB4F94"/>
    <w:rsid w:val="00FB510E"/>
    <w:rsid w:val="00FB54A1"/>
    <w:rsid w:val="00FB54FF"/>
    <w:rsid w:val="00FB553B"/>
    <w:rsid w:val="00FB55BB"/>
    <w:rsid w:val="00FB55DD"/>
    <w:rsid w:val="00FB55F1"/>
    <w:rsid w:val="00FB565A"/>
    <w:rsid w:val="00FB580D"/>
    <w:rsid w:val="00FB58B6"/>
    <w:rsid w:val="00FB58B9"/>
    <w:rsid w:val="00FB5AE3"/>
    <w:rsid w:val="00FB5E21"/>
    <w:rsid w:val="00FB62D7"/>
    <w:rsid w:val="00FB640D"/>
    <w:rsid w:val="00FB65CB"/>
    <w:rsid w:val="00FB6651"/>
    <w:rsid w:val="00FB6701"/>
    <w:rsid w:val="00FB6C7B"/>
    <w:rsid w:val="00FB6D87"/>
    <w:rsid w:val="00FB6E19"/>
    <w:rsid w:val="00FB6F42"/>
    <w:rsid w:val="00FB7586"/>
    <w:rsid w:val="00FB7AB2"/>
    <w:rsid w:val="00FB7C76"/>
    <w:rsid w:val="00FB7CA8"/>
    <w:rsid w:val="00FB7DA3"/>
    <w:rsid w:val="00FB7DBC"/>
    <w:rsid w:val="00FB7E85"/>
    <w:rsid w:val="00FC0068"/>
    <w:rsid w:val="00FC0276"/>
    <w:rsid w:val="00FC0888"/>
    <w:rsid w:val="00FC08B6"/>
    <w:rsid w:val="00FC0B52"/>
    <w:rsid w:val="00FC0DE0"/>
    <w:rsid w:val="00FC0E73"/>
    <w:rsid w:val="00FC1001"/>
    <w:rsid w:val="00FC111D"/>
    <w:rsid w:val="00FC12E1"/>
    <w:rsid w:val="00FC13C3"/>
    <w:rsid w:val="00FC1472"/>
    <w:rsid w:val="00FC172C"/>
    <w:rsid w:val="00FC177B"/>
    <w:rsid w:val="00FC17D8"/>
    <w:rsid w:val="00FC1869"/>
    <w:rsid w:val="00FC193D"/>
    <w:rsid w:val="00FC1A03"/>
    <w:rsid w:val="00FC1BE1"/>
    <w:rsid w:val="00FC295D"/>
    <w:rsid w:val="00FC2EE4"/>
    <w:rsid w:val="00FC30FB"/>
    <w:rsid w:val="00FC3674"/>
    <w:rsid w:val="00FC3919"/>
    <w:rsid w:val="00FC3B19"/>
    <w:rsid w:val="00FC3B23"/>
    <w:rsid w:val="00FC3EB8"/>
    <w:rsid w:val="00FC416A"/>
    <w:rsid w:val="00FC42E8"/>
    <w:rsid w:val="00FC4524"/>
    <w:rsid w:val="00FC45EA"/>
    <w:rsid w:val="00FC4695"/>
    <w:rsid w:val="00FC496B"/>
    <w:rsid w:val="00FC49B8"/>
    <w:rsid w:val="00FC4CC2"/>
    <w:rsid w:val="00FC4FC4"/>
    <w:rsid w:val="00FC51A9"/>
    <w:rsid w:val="00FC51F8"/>
    <w:rsid w:val="00FC55B8"/>
    <w:rsid w:val="00FC5C0B"/>
    <w:rsid w:val="00FC5C99"/>
    <w:rsid w:val="00FC5E81"/>
    <w:rsid w:val="00FC7792"/>
    <w:rsid w:val="00FC782E"/>
    <w:rsid w:val="00FC7882"/>
    <w:rsid w:val="00FC794D"/>
    <w:rsid w:val="00FC79FC"/>
    <w:rsid w:val="00FC7A11"/>
    <w:rsid w:val="00FC7A50"/>
    <w:rsid w:val="00FC7C00"/>
    <w:rsid w:val="00FC7E6E"/>
    <w:rsid w:val="00FC7EF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13"/>
    <w:rsid w:val="00FD2409"/>
    <w:rsid w:val="00FD250B"/>
    <w:rsid w:val="00FD2855"/>
    <w:rsid w:val="00FD2B77"/>
    <w:rsid w:val="00FD2F34"/>
    <w:rsid w:val="00FD3B03"/>
    <w:rsid w:val="00FD3BB1"/>
    <w:rsid w:val="00FD3CB4"/>
    <w:rsid w:val="00FD3EC2"/>
    <w:rsid w:val="00FD4114"/>
    <w:rsid w:val="00FD4376"/>
    <w:rsid w:val="00FD473E"/>
    <w:rsid w:val="00FD4824"/>
    <w:rsid w:val="00FD4A25"/>
    <w:rsid w:val="00FD4AF2"/>
    <w:rsid w:val="00FD4BC1"/>
    <w:rsid w:val="00FD4D77"/>
    <w:rsid w:val="00FD4E28"/>
    <w:rsid w:val="00FD5050"/>
    <w:rsid w:val="00FD5145"/>
    <w:rsid w:val="00FD5228"/>
    <w:rsid w:val="00FD52AD"/>
    <w:rsid w:val="00FD55A2"/>
    <w:rsid w:val="00FD56E7"/>
    <w:rsid w:val="00FD5A93"/>
    <w:rsid w:val="00FD5B6A"/>
    <w:rsid w:val="00FD5B7C"/>
    <w:rsid w:val="00FD5FB5"/>
    <w:rsid w:val="00FD622B"/>
    <w:rsid w:val="00FD6503"/>
    <w:rsid w:val="00FD66CA"/>
    <w:rsid w:val="00FD6866"/>
    <w:rsid w:val="00FD6EA6"/>
    <w:rsid w:val="00FD73E5"/>
    <w:rsid w:val="00FD73E9"/>
    <w:rsid w:val="00FD771D"/>
    <w:rsid w:val="00FD7760"/>
    <w:rsid w:val="00FD779E"/>
    <w:rsid w:val="00FD77E4"/>
    <w:rsid w:val="00FD7CD5"/>
    <w:rsid w:val="00FD7E5F"/>
    <w:rsid w:val="00FD7FA0"/>
    <w:rsid w:val="00FD7FDC"/>
    <w:rsid w:val="00FE0258"/>
    <w:rsid w:val="00FE04ED"/>
    <w:rsid w:val="00FE0AC6"/>
    <w:rsid w:val="00FE0B0A"/>
    <w:rsid w:val="00FE0B83"/>
    <w:rsid w:val="00FE0E4D"/>
    <w:rsid w:val="00FE10E0"/>
    <w:rsid w:val="00FE1885"/>
    <w:rsid w:val="00FE191D"/>
    <w:rsid w:val="00FE1C5A"/>
    <w:rsid w:val="00FE1CC7"/>
    <w:rsid w:val="00FE1D68"/>
    <w:rsid w:val="00FE2004"/>
    <w:rsid w:val="00FE210E"/>
    <w:rsid w:val="00FE216E"/>
    <w:rsid w:val="00FE236F"/>
    <w:rsid w:val="00FE2677"/>
    <w:rsid w:val="00FE27C2"/>
    <w:rsid w:val="00FE2976"/>
    <w:rsid w:val="00FE2B49"/>
    <w:rsid w:val="00FE2BF5"/>
    <w:rsid w:val="00FE2DE1"/>
    <w:rsid w:val="00FE2E52"/>
    <w:rsid w:val="00FE309B"/>
    <w:rsid w:val="00FE3107"/>
    <w:rsid w:val="00FE31C7"/>
    <w:rsid w:val="00FE33BC"/>
    <w:rsid w:val="00FE33C9"/>
    <w:rsid w:val="00FE3A79"/>
    <w:rsid w:val="00FE3B4E"/>
    <w:rsid w:val="00FE4006"/>
    <w:rsid w:val="00FE4008"/>
    <w:rsid w:val="00FE41E2"/>
    <w:rsid w:val="00FE4359"/>
    <w:rsid w:val="00FE4575"/>
    <w:rsid w:val="00FE4647"/>
    <w:rsid w:val="00FE46BD"/>
    <w:rsid w:val="00FE476D"/>
    <w:rsid w:val="00FE4841"/>
    <w:rsid w:val="00FE4B8B"/>
    <w:rsid w:val="00FE4E05"/>
    <w:rsid w:val="00FE54F0"/>
    <w:rsid w:val="00FE59C2"/>
    <w:rsid w:val="00FE5A17"/>
    <w:rsid w:val="00FE5B95"/>
    <w:rsid w:val="00FE5D1C"/>
    <w:rsid w:val="00FE5FCA"/>
    <w:rsid w:val="00FE6079"/>
    <w:rsid w:val="00FE62EF"/>
    <w:rsid w:val="00FE6458"/>
    <w:rsid w:val="00FE6645"/>
    <w:rsid w:val="00FE695C"/>
    <w:rsid w:val="00FE6DC2"/>
    <w:rsid w:val="00FE6F53"/>
    <w:rsid w:val="00FE70EB"/>
    <w:rsid w:val="00FE723C"/>
    <w:rsid w:val="00FE73F6"/>
    <w:rsid w:val="00FE76C8"/>
    <w:rsid w:val="00FE7857"/>
    <w:rsid w:val="00FE78D4"/>
    <w:rsid w:val="00FE7B7D"/>
    <w:rsid w:val="00FE7C2D"/>
    <w:rsid w:val="00FE7D19"/>
    <w:rsid w:val="00FE7E2E"/>
    <w:rsid w:val="00FF024E"/>
    <w:rsid w:val="00FF035B"/>
    <w:rsid w:val="00FF04A3"/>
    <w:rsid w:val="00FF0505"/>
    <w:rsid w:val="00FF0944"/>
    <w:rsid w:val="00FF09ED"/>
    <w:rsid w:val="00FF1663"/>
    <w:rsid w:val="00FF16F8"/>
    <w:rsid w:val="00FF1943"/>
    <w:rsid w:val="00FF1A59"/>
    <w:rsid w:val="00FF1FD5"/>
    <w:rsid w:val="00FF2576"/>
    <w:rsid w:val="00FF2BB0"/>
    <w:rsid w:val="00FF2DCB"/>
    <w:rsid w:val="00FF2F81"/>
    <w:rsid w:val="00FF30DA"/>
    <w:rsid w:val="00FF315A"/>
    <w:rsid w:val="00FF33FE"/>
    <w:rsid w:val="00FF3467"/>
    <w:rsid w:val="00FF38A1"/>
    <w:rsid w:val="00FF3A84"/>
    <w:rsid w:val="00FF3DF6"/>
    <w:rsid w:val="00FF3E26"/>
    <w:rsid w:val="00FF3FB6"/>
    <w:rsid w:val="00FF41D8"/>
    <w:rsid w:val="00FF444F"/>
    <w:rsid w:val="00FF4515"/>
    <w:rsid w:val="00FF451C"/>
    <w:rsid w:val="00FF466F"/>
    <w:rsid w:val="00FF46F8"/>
    <w:rsid w:val="00FF4700"/>
    <w:rsid w:val="00FF487D"/>
    <w:rsid w:val="00FF48D9"/>
    <w:rsid w:val="00FF4AE4"/>
    <w:rsid w:val="00FF4B40"/>
    <w:rsid w:val="00FF4C96"/>
    <w:rsid w:val="00FF4F0D"/>
    <w:rsid w:val="00FF4F39"/>
    <w:rsid w:val="00FF511F"/>
    <w:rsid w:val="00FF5455"/>
    <w:rsid w:val="00FF54AD"/>
    <w:rsid w:val="00FF58D1"/>
    <w:rsid w:val="00FF5C00"/>
    <w:rsid w:val="00FF635C"/>
    <w:rsid w:val="00FF6581"/>
    <w:rsid w:val="00FF67F0"/>
    <w:rsid w:val="00FF6B92"/>
    <w:rsid w:val="00FF6BED"/>
    <w:rsid w:val="00FF6C71"/>
    <w:rsid w:val="00FF6D32"/>
    <w:rsid w:val="00FF6FF5"/>
    <w:rsid w:val="00FF6FF8"/>
    <w:rsid w:val="00FF72C0"/>
    <w:rsid w:val="00FF7373"/>
    <w:rsid w:val="00FF765E"/>
    <w:rsid w:val="00FF791E"/>
    <w:rsid w:val="00FF7AB6"/>
    <w:rsid w:val="00FF7B24"/>
    <w:rsid w:val="01595595"/>
    <w:rsid w:val="01C08067"/>
    <w:rsid w:val="02447FB7"/>
    <w:rsid w:val="02C4A145"/>
    <w:rsid w:val="02C72FBC"/>
    <w:rsid w:val="04808C1C"/>
    <w:rsid w:val="04BD509B"/>
    <w:rsid w:val="04F977C5"/>
    <w:rsid w:val="05353EC4"/>
    <w:rsid w:val="0683F120"/>
    <w:rsid w:val="06DD1EFD"/>
    <w:rsid w:val="070EB71D"/>
    <w:rsid w:val="090B185A"/>
    <w:rsid w:val="094EF864"/>
    <w:rsid w:val="0B2CC2B9"/>
    <w:rsid w:val="0C1182B6"/>
    <w:rsid w:val="0C63F558"/>
    <w:rsid w:val="0CCCCF0D"/>
    <w:rsid w:val="0DBEA594"/>
    <w:rsid w:val="0DD2F81E"/>
    <w:rsid w:val="0DE22244"/>
    <w:rsid w:val="0E0FB761"/>
    <w:rsid w:val="0E60E63A"/>
    <w:rsid w:val="0E7C83BB"/>
    <w:rsid w:val="0FB8F88C"/>
    <w:rsid w:val="0FC8FC0E"/>
    <w:rsid w:val="0FDFBB50"/>
    <w:rsid w:val="103F2DD0"/>
    <w:rsid w:val="1099AC5E"/>
    <w:rsid w:val="11093B73"/>
    <w:rsid w:val="11CCB920"/>
    <w:rsid w:val="120FB420"/>
    <w:rsid w:val="1263E1AB"/>
    <w:rsid w:val="13191E96"/>
    <w:rsid w:val="141FFC88"/>
    <w:rsid w:val="15067C42"/>
    <w:rsid w:val="152483DB"/>
    <w:rsid w:val="160A0ED8"/>
    <w:rsid w:val="179DEEA6"/>
    <w:rsid w:val="17C35B58"/>
    <w:rsid w:val="18C97770"/>
    <w:rsid w:val="197C0788"/>
    <w:rsid w:val="19A4B7D8"/>
    <w:rsid w:val="19A5D055"/>
    <w:rsid w:val="19D1C63A"/>
    <w:rsid w:val="1A38854E"/>
    <w:rsid w:val="1AA3550D"/>
    <w:rsid w:val="1C891B99"/>
    <w:rsid w:val="1CA51477"/>
    <w:rsid w:val="1DA4C990"/>
    <w:rsid w:val="1E15802E"/>
    <w:rsid w:val="1E79C06B"/>
    <w:rsid w:val="1E8A52D1"/>
    <w:rsid w:val="1ED6DE67"/>
    <w:rsid w:val="1F34B3EB"/>
    <w:rsid w:val="1F9551AC"/>
    <w:rsid w:val="203F5CAC"/>
    <w:rsid w:val="208C1561"/>
    <w:rsid w:val="21A5809D"/>
    <w:rsid w:val="21BF4019"/>
    <w:rsid w:val="2212C715"/>
    <w:rsid w:val="22A526A2"/>
    <w:rsid w:val="22B4CA7B"/>
    <w:rsid w:val="234E554D"/>
    <w:rsid w:val="23882B0B"/>
    <w:rsid w:val="24BFE281"/>
    <w:rsid w:val="24FCF4DF"/>
    <w:rsid w:val="2504D970"/>
    <w:rsid w:val="2554F4BE"/>
    <w:rsid w:val="257F4EC3"/>
    <w:rsid w:val="2582860B"/>
    <w:rsid w:val="261C0B7D"/>
    <w:rsid w:val="2705ED11"/>
    <w:rsid w:val="278F0204"/>
    <w:rsid w:val="27AB5758"/>
    <w:rsid w:val="27EC579B"/>
    <w:rsid w:val="286827FB"/>
    <w:rsid w:val="28D6F8D8"/>
    <w:rsid w:val="293D5721"/>
    <w:rsid w:val="29613539"/>
    <w:rsid w:val="2976EC49"/>
    <w:rsid w:val="29B44CFB"/>
    <w:rsid w:val="2A460491"/>
    <w:rsid w:val="2A49A263"/>
    <w:rsid w:val="2AB5C874"/>
    <w:rsid w:val="2ADBB4C6"/>
    <w:rsid w:val="2B5721DE"/>
    <w:rsid w:val="2BD6D1CC"/>
    <w:rsid w:val="2C144A85"/>
    <w:rsid w:val="2C158FA7"/>
    <w:rsid w:val="2C464429"/>
    <w:rsid w:val="2C860CBE"/>
    <w:rsid w:val="2CA65AD5"/>
    <w:rsid w:val="2D129D37"/>
    <w:rsid w:val="2DD6100E"/>
    <w:rsid w:val="2DE6D375"/>
    <w:rsid w:val="2DF3F68F"/>
    <w:rsid w:val="2ECDA702"/>
    <w:rsid w:val="3035F033"/>
    <w:rsid w:val="30850E02"/>
    <w:rsid w:val="30BD91D0"/>
    <w:rsid w:val="31455829"/>
    <w:rsid w:val="314C2BE5"/>
    <w:rsid w:val="31A38A03"/>
    <w:rsid w:val="31D2B52D"/>
    <w:rsid w:val="32621056"/>
    <w:rsid w:val="3296B5A9"/>
    <w:rsid w:val="349431D4"/>
    <w:rsid w:val="34EEA2B9"/>
    <w:rsid w:val="35004ADD"/>
    <w:rsid w:val="36641BF4"/>
    <w:rsid w:val="37180E74"/>
    <w:rsid w:val="37DDB647"/>
    <w:rsid w:val="37DEA0D4"/>
    <w:rsid w:val="39CB1C28"/>
    <w:rsid w:val="3A346F6C"/>
    <w:rsid w:val="3A38A6B9"/>
    <w:rsid w:val="3AC61F79"/>
    <w:rsid w:val="3AE59555"/>
    <w:rsid w:val="3B2C55B0"/>
    <w:rsid w:val="3B7562A5"/>
    <w:rsid w:val="3BFE85BF"/>
    <w:rsid w:val="3C359BDB"/>
    <w:rsid w:val="3C7B7617"/>
    <w:rsid w:val="3CA58B34"/>
    <w:rsid w:val="3CDC2066"/>
    <w:rsid w:val="3E3BC5C0"/>
    <w:rsid w:val="3ECC4730"/>
    <w:rsid w:val="416130B6"/>
    <w:rsid w:val="417FC2AD"/>
    <w:rsid w:val="42164BF0"/>
    <w:rsid w:val="427DC46B"/>
    <w:rsid w:val="42B34F72"/>
    <w:rsid w:val="42BBE50E"/>
    <w:rsid w:val="43601186"/>
    <w:rsid w:val="438C9894"/>
    <w:rsid w:val="43A962B7"/>
    <w:rsid w:val="447D70A7"/>
    <w:rsid w:val="44856B75"/>
    <w:rsid w:val="44D3020F"/>
    <w:rsid w:val="44FC684A"/>
    <w:rsid w:val="45B8335A"/>
    <w:rsid w:val="45E6B53F"/>
    <w:rsid w:val="4600669E"/>
    <w:rsid w:val="47908E26"/>
    <w:rsid w:val="48218A4C"/>
    <w:rsid w:val="4846C0E2"/>
    <w:rsid w:val="484880C7"/>
    <w:rsid w:val="48765183"/>
    <w:rsid w:val="487CD49F"/>
    <w:rsid w:val="48F10824"/>
    <w:rsid w:val="490119F1"/>
    <w:rsid w:val="49D0DCB3"/>
    <w:rsid w:val="4B36AC0F"/>
    <w:rsid w:val="4B4A3296"/>
    <w:rsid w:val="4BD1C434"/>
    <w:rsid w:val="4BF14CA9"/>
    <w:rsid w:val="4C155C6A"/>
    <w:rsid w:val="4C548C5F"/>
    <w:rsid w:val="4CEBBD1D"/>
    <w:rsid w:val="4D4F0E12"/>
    <w:rsid w:val="4DED0A6F"/>
    <w:rsid w:val="4E01E763"/>
    <w:rsid w:val="4EFECE6D"/>
    <w:rsid w:val="4F3EA0B8"/>
    <w:rsid w:val="4F4E05D9"/>
    <w:rsid w:val="4FA69862"/>
    <w:rsid w:val="503190DA"/>
    <w:rsid w:val="52769FA1"/>
    <w:rsid w:val="53B1F9AE"/>
    <w:rsid w:val="54D36336"/>
    <w:rsid w:val="55A5CB33"/>
    <w:rsid w:val="5623DC36"/>
    <w:rsid w:val="56BFBF85"/>
    <w:rsid w:val="56FE47DB"/>
    <w:rsid w:val="571AC8C6"/>
    <w:rsid w:val="576FF489"/>
    <w:rsid w:val="58444AE6"/>
    <w:rsid w:val="585A541C"/>
    <w:rsid w:val="58A567FD"/>
    <w:rsid w:val="59033EB0"/>
    <w:rsid w:val="5940FE56"/>
    <w:rsid w:val="59882E55"/>
    <w:rsid w:val="598E6A46"/>
    <w:rsid w:val="5A5C4945"/>
    <w:rsid w:val="5B062ACB"/>
    <w:rsid w:val="5B47478F"/>
    <w:rsid w:val="5B5242A5"/>
    <w:rsid w:val="5BAE375D"/>
    <w:rsid w:val="5BE01919"/>
    <w:rsid w:val="5C23C91D"/>
    <w:rsid w:val="5CB55053"/>
    <w:rsid w:val="5E2AF606"/>
    <w:rsid w:val="5E9E1BCD"/>
    <w:rsid w:val="5FE474A5"/>
    <w:rsid w:val="5FF1D677"/>
    <w:rsid w:val="609BD6DF"/>
    <w:rsid w:val="61D1770A"/>
    <w:rsid w:val="62750D79"/>
    <w:rsid w:val="63FC331B"/>
    <w:rsid w:val="64ADE9C4"/>
    <w:rsid w:val="64B7F578"/>
    <w:rsid w:val="64BD93A6"/>
    <w:rsid w:val="64EBCD9B"/>
    <w:rsid w:val="65049983"/>
    <w:rsid w:val="652E8BE1"/>
    <w:rsid w:val="653A0A7B"/>
    <w:rsid w:val="657C181B"/>
    <w:rsid w:val="66E9FF14"/>
    <w:rsid w:val="67067102"/>
    <w:rsid w:val="6784C362"/>
    <w:rsid w:val="67AB8BEC"/>
    <w:rsid w:val="689808AB"/>
    <w:rsid w:val="6C175D34"/>
    <w:rsid w:val="6CE663F3"/>
    <w:rsid w:val="6D1BD3EA"/>
    <w:rsid w:val="6D45C891"/>
    <w:rsid w:val="6D69DDBF"/>
    <w:rsid w:val="6E213B40"/>
    <w:rsid w:val="6E688E99"/>
    <w:rsid w:val="6EFCBD19"/>
    <w:rsid w:val="6F3F16BB"/>
    <w:rsid w:val="6FC80718"/>
    <w:rsid w:val="701FB889"/>
    <w:rsid w:val="70602873"/>
    <w:rsid w:val="70747345"/>
    <w:rsid w:val="716B48FA"/>
    <w:rsid w:val="717A230C"/>
    <w:rsid w:val="71912567"/>
    <w:rsid w:val="71B367A7"/>
    <w:rsid w:val="729B873C"/>
    <w:rsid w:val="73846790"/>
    <w:rsid w:val="74785C46"/>
    <w:rsid w:val="74B7E6BE"/>
    <w:rsid w:val="74CF1693"/>
    <w:rsid w:val="74D2B8CC"/>
    <w:rsid w:val="75100B9B"/>
    <w:rsid w:val="75FFE246"/>
    <w:rsid w:val="78682115"/>
    <w:rsid w:val="786DB3B0"/>
    <w:rsid w:val="7888C6B5"/>
    <w:rsid w:val="78F29366"/>
    <w:rsid w:val="7A001174"/>
    <w:rsid w:val="7A39494B"/>
    <w:rsid w:val="7B0C599C"/>
    <w:rsid w:val="7BA258F9"/>
    <w:rsid w:val="7BADC4FC"/>
    <w:rsid w:val="7C3DC97B"/>
    <w:rsid w:val="7E4FD1F2"/>
    <w:rsid w:val="7EA39006"/>
    <w:rsid w:val="7F26CF7F"/>
    <w:rsid w:val="7F5F702F"/>
    <w:rsid w:val="7F82D57C"/>
    <w:rsid w:val="7F93F5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0E5"/>
    <w:rPr>
      <w:rFonts w:ascii="Times New Roman" w:eastAsia="Times New Roman" w:hAnsi="Times New Roman" w:cs="Times New Roman"/>
      <w:sz w:val="24"/>
      <w:szCs w:val="24"/>
    </w:rPr>
  </w:style>
  <w:style w:type="paragraph" w:styleId="Heading1">
    <w:name w:val="heading 1"/>
    <w:next w:val="Normal"/>
    <w:link w:val="Heading1Char"/>
    <w:uiPriority w:val="1"/>
    <w:qFormat/>
    <w:rsid w:val="00C56C33"/>
    <w:pPr>
      <w:keepNext/>
      <w:numPr>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11028A"/>
    <w:pPr>
      <w:keepLines/>
      <w:numPr>
        <w:ilvl w:val="1"/>
        <w:numId w:val="6"/>
      </w:numPr>
      <w:tabs>
        <w:tab w:val="left" w:pos="1080"/>
        <w:tab w:val="clear" w:pos="1440"/>
      </w:tabs>
      <w:spacing w:before="24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Id w:val="8"/>
      </w:numPr>
      <w:spacing w:before="0"/>
      <w:outlineLvl w:val="2"/>
    </w:pPr>
  </w:style>
  <w:style w:type="paragraph" w:styleId="Heading4">
    <w:name w:val="heading 4"/>
    <w:basedOn w:val="Heading3"/>
    <w:next w:val="Normal"/>
    <w:link w:val="Heading4Char"/>
    <w:uiPriority w:val="9"/>
    <w:unhideWhenUsed/>
    <w:qFormat/>
    <w:rsid w:val="00073E56"/>
    <w:pPr>
      <w:numPr>
        <w:ilvl w:val="0"/>
        <w:numId w:val="21"/>
      </w:numPr>
      <w:spacing w:before="40" w:after="8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number,richiamo note eggsi"/>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Acumen,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11028A"/>
    <w:rPr>
      <w:rFonts w:ascii="Times New Roman" w:hAnsi="Times New Roman" w:eastAsiaTheme="majorEastAsia"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hAnsi="Times New Roman" w:eastAsiaTheme="majorEastAsia"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073E56"/>
    <w:rPr>
      <w:rFonts w:ascii="Times New Roman" w:hAnsi="Times New Roman" w:eastAsiaTheme="majorEastAsia" w:cstheme="majorBid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5"/>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 w:type="character" w:customStyle="1" w:styleId="normaltextrun">
    <w:name w:val="normaltextrun"/>
    <w:basedOn w:val="DefaultParagraphFont"/>
    <w:rsid w:val="00613C3E"/>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character" w:customStyle="1" w:styleId="spellingerror">
    <w:name w:val="spellingerror"/>
    <w:basedOn w:val="DefaultParagraphFont"/>
    <w:rsid w:val="0016406C"/>
  </w:style>
  <w:style w:type="table" w:styleId="TableWeb3">
    <w:name w:val="Table Web 3"/>
    <w:basedOn w:val="TableNormal"/>
    <w:uiPriority w:val="99"/>
    <w:rsid w:val="009F66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initiatives-patient-assessment-instruments/physician-compare-initiative/"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care-comp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84039F3F82034CAD7FBE9F6C97CAF0" ma:contentTypeVersion="0" ma:contentTypeDescription="Create a new document." ma:contentTypeScope="" ma:versionID="fc4d9d06a18e9d14b118e17f1b798c3f">
  <xsd:schema xmlns:xsd="http://www.w3.org/2001/XMLSchema" xmlns:xs="http://www.w3.org/2001/XMLSchema" xmlns:p="http://schemas.microsoft.com/office/2006/metadata/properties" targetNamespace="http://schemas.microsoft.com/office/2006/metadata/properties" ma:root="true" ma:fieldsID="d1618be233d3e29b182ccd59efb176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BF0A1609-4EA7-4658-9A4E-4D8027C4C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22184</Words>
  <Characters>126449</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148337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cp:revision>1</cp:revision>
  <dcterms:created xsi:type="dcterms:W3CDTF">2023-11-02T17:42:00Z</dcterms:created>
  <dcterms:modified xsi:type="dcterms:W3CDTF">2023-11-16T19:42:00Z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0x0101000684039F3F82034CAD7FBE9F6C97CAF0</vt:lpwstr>
  </property>
  <property fmtid="{D5CDD505-2E9C-101B-9397-08002B2CF9AE}" pid="3" name="Order">
    <vt:r8>1711800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NewReviewCycle">
    <vt:lpwstr/>
  </property>
</Properties>
</file>