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196D" w14:paraId="0C11687A" w14:textId="77777777">
      <w:pPr>
        <w:spacing w:after="50" w:line="259" w:lineRule="auto"/>
        <w:ind w:left="15" w:firstLine="0"/>
        <w:jc w:val="center"/>
      </w:pPr>
      <w:r>
        <w:rPr>
          <w:b/>
          <w:u w:val="single" w:color="000000"/>
        </w:rPr>
        <w:t>Supporting Statement – Part A</w:t>
      </w:r>
      <w:r>
        <w:rPr>
          <w:b/>
        </w:rPr>
        <w:t xml:space="preserve"> </w:t>
      </w:r>
    </w:p>
    <w:p w:rsidR="001E196D" w14:paraId="12E1C705" w14:textId="77777777">
      <w:pPr>
        <w:spacing w:after="0" w:line="259" w:lineRule="auto"/>
        <w:ind w:left="95" w:firstLine="0"/>
        <w:jc w:val="center"/>
      </w:pPr>
      <w:r>
        <w:rPr>
          <w:sz w:val="32"/>
        </w:rPr>
        <w:t xml:space="preserve"> </w:t>
      </w:r>
    </w:p>
    <w:p w:rsidR="001E196D" w14:paraId="7A9CD538" w14:textId="77777777">
      <w:pPr>
        <w:spacing w:after="0" w:line="259" w:lineRule="auto"/>
        <w:ind w:left="23"/>
        <w:jc w:val="center"/>
      </w:pPr>
      <w:r>
        <w:rPr>
          <w:sz w:val="32"/>
        </w:rPr>
        <w:t xml:space="preserve">CMS Health Equity Award – Call for Nominations  </w:t>
      </w:r>
    </w:p>
    <w:p w:rsidR="001E196D" w14:paraId="6DACAD57" w14:textId="77777777">
      <w:pPr>
        <w:spacing w:after="0" w:line="259" w:lineRule="auto"/>
        <w:ind w:left="23" w:right="1"/>
        <w:jc w:val="center"/>
      </w:pPr>
      <w:r>
        <w:rPr>
          <w:sz w:val="32"/>
        </w:rPr>
        <w:t xml:space="preserve"> (CMS-10866; OMB 0938-New) </w:t>
      </w:r>
    </w:p>
    <w:p w:rsidR="001E196D" w14:paraId="1482E74E" w14:textId="77777777">
      <w:pPr>
        <w:spacing w:after="0" w:line="259" w:lineRule="auto"/>
        <w:ind w:left="0" w:firstLine="0"/>
      </w:pPr>
      <w:r>
        <w:rPr>
          <w:sz w:val="32"/>
        </w:rPr>
        <w:t xml:space="preserve"> </w:t>
      </w:r>
    </w:p>
    <w:p w:rsidR="001E196D" w14:paraId="7CF0692F" w14:textId="77777777">
      <w:pPr>
        <w:pStyle w:val="Heading1"/>
        <w:tabs>
          <w:tab w:val="center" w:pos="1066"/>
        </w:tabs>
        <w:ind w:left="-15" w:firstLine="0"/>
      </w:pPr>
      <w:r>
        <w:rPr>
          <w:u w:val="none"/>
        </w:rPr>
        <w:t xml:space="preserve"> </w:t>
      </w:r>
      <w:r>
        <w:rPr>
          <w:u w:val="none"/>
        </w:rPr>
        <w:tab/>
      </w:r>
      <w:r>
        <w:t>Background</w:t>
      </w:r>
      <w:r>
        <w:rPr>
          <w:b w:val="0"/>
          <w:u w:val="none"/>
        </w:rPr>
        <w:t xml:space="preserve"> </w:t>
      </w:r>
    </w:p>
    <w:p w:rsidR="001E196D" w14:paraId="2E0025B7" w14:textId="77777777">
      <w:pPr>
        <w:spacing w:after="0" w:line="259" w:lineRule="auto"/>
        <w:ind w:left="0" w:firstLine="0"/>
      </w:pPr>
      <w:r>
        <w:t xml:space="preserve"> </w:t>
      </w:r>
    </w:p>
    <w:p w:rsidR="001E196D" w14:paraId="56B397D9" w14:textId="77777777">
      <w:pPr>
        <w:spacing w:after="0" w:line="259" w:lineRule="auto"/>
        <w:ind w:left="0" w:firstLine="0"/>
      </w:pPr>
      <w:r>
        <w:t xml:space="preserve"> </w:t>
      </w:r>
    </w:p>
    <w:p w:rsidR="001E196D" w14:paraId="42D54CC7" w14:textId="77777777">
      <w:pPr>
        <w:ind w:right="9"/>
      </w:pPr>
      <w:r>
        <w:t>The CMS Office of Minority Health (OMH) is going to announce a call for nominations for the 2024 CMS Health Equity Award. This award will recognize organizations who demonstrate</w:t>
      </w:r>
      <w:r>
        <w:rPr>
          <w:b/>
        </w:rPr>
        <w:t xml:space="preserve"> </w:t>
      </w:r>
      <w:r>
        <w:t xml:space="preserve">they have advanced health equity by designing, implementing, and operationalizing policies and programs that support health for all the people served by our programs, reducing avoidable differences in health outcomes experienced by people who are underserved, and provided the care and support that CMS enrollees need to thrive. </w:t>
      </w:r>
    </w:p>
    <w:p w:rsidR="001E196D" w14:paraId="0BEF4C2E" w14:textId="77777777">
      <w:pPr>
        <w:spacing w:after="0" w:line="259" w:lineRule="auto"/>
        <w:ind w:left="0" w:firstLine="0"/>
      </w:pPr>
      <w:r>
        <w:t xml:space="preserve"> </w:t>
      </w:r>
    </w:p>
    <w:p w:rsidR="001E196D" w14:paraId="764A4B09" w14:textId="77777777">
      <w:pPr>
        <w:ind w:right="9"/>
      </w:pPr>
      <w:r>
        <w:t xml:space="preserve">The goals of the award are to encourage organizations to identify and address their health disparities, to disseminate best practices, and to show that progress is possible by having a </w:t>
      </w:r>
      <w:r>
        <w:t>results oriented</w:t>
      </w:r>
      <w:r>
        <w:t xml:space="preserve"> focus. By identifying organizations who are successfully closing gaps and reducing disparities, CMS can show our stakeholders how health equity work can </w:t>
      </w:r>
      <w:r>
        <w:t>be initiated</w:t>
      </w:r>
      <w:r>
        <w:t xml:space="preserve">, targeted, measured, and successfully reduce disparities among communities nationwide. </w:t>
      </w:r>
    </w:p>
    <w:p w:rsidR="001E196D" w14:paraId="1B2D9FAB" w14:textId="77777777">
      <w:pPr>
        <w:spacing w:after="0" w:line="259" w:lineRule="auto"/>
        <w:ind w:left="0" w:firstLine="0"/>
      </w:pPr>
      <w:r>
        <w:t xml:space="preserve"> </w:t>
      </w:r>
    </w:p>
    <w:p w:rsidR="001E196D" w14:paraId="40531F4A" w14:textId="77777777">
      <w:pPr>
        <w:ind w:right="9"/>
      </w:pPr>
      <w:r>
        <w:t xml:space="preserve">In previous years, CMS OMH has received more than forty 40) nominations for the Health Equity award. CMS gave two awards each year in 2018, 2019, and 2020 using the selection of nominees that </w:t>
      </w:r>
      <w:r>
        <w:t>were sent</w:t>
      </w:r>
      <w:r>
        <w:t xml:space="preserve"> in for consideration. The award has not </w:t>
      </w:r>
      <w:r>
        <w:t>been offered</w:t>
      </w:r>
      <w:r>
        <w:t xml:space="preserve"> since 2020 but is planned to be solicited and announced by April 2025. </w:t>
      </w:r>
    </w:p>
    <w:p w:rsidR="001E196D" w14:paraId="4FE42E40" w14:textId="77777777">
      <w:pPr>
        <w:spacing w:after="0" w:line="259" w:lineRule="auto"/>
        <w:ind w:left="0" w:firstLine="0"/>
      </w:pPr>
      <w:r>
        <w:t xml:space="preserve"> </w:t>
      </w:r>
    </w:p>
    <w:p w:rsidR="001E196D" w14:paraId="7FCF3B51" w14:textId="77777777">
      <w:pPr>
        <w:ind w:right="9"/>
      </w:pPr>
      <w:r>
        <w:t xml:space="preserve">The nominations received highlighted the health equity work across a variety of organizations including QIOs, hospitals, health systems and provider groups, Medicaid Managed Care plans, Medicare Advantage Plans, private insurers, and primary care and specialty clinics. </w:t>
      </w:r>
    </w:p>
    <w:p w:rsidR="001E196D" w14:paraId="4C238C1C" w14:textId="77777777">
      <w:pPr>
        <w:spacing w:after="0" w:line="259" w:lineRule="auto"/>
        <w:ind w:left="0" w:firstLine="0"/>
      </w:pPr>
      <w:r>
        <w:t xml:space="preserve"> </w:t>
      </w:r>
    </w:p>
    <w:p w:rsidR="001E196D" w14:paraId="0AC2E76A" w14:textId="77777777">
      <w:pPr>
        <w:spacing w:after="0" w:line="238" w:lineRule="auto"/>
        <w:ind w:left="0" w:firstLine="0"/>
      </w:pPr>
      <w:r>
        <w:t xml:space="preserve">More information on past awardees can be found at </w:t>
      </w:r>
      <w:hyperlink r:id="rId4">
        <w:r>
          <w:rPr>
            <w:color w:val="0000FF"/>
            <w:u w:val="single" w:color="0000FF"/>
          </w:rPr>
          <w:t>https://www.cms.gov/About</w:t>
        </w:r>
      </w:hyperlink>
      <w:hyperlink r:id="rId4">
        <w:r>
          <w:rPr>
            <w:color w:val="0000FF"/>
            <w:u w:val="single" w:color="0000FF"/>
          </w:rPr>
          <w:t>-</w:t>
        </w:r>
      </w:hyperlink>
      <w:hyperlink r:id="rId4">
        <w:r>
          <w:rPr>
            <w:color w:val="0000FF"/>
            <w:u w:val="single" w:color="0000FF"/>
          </w:rPr>
          <w:t>CMS/Agency</w:t>
        </w:r>
      </w:hyperlink>
      <w:hyperlink r:id="rId4"/>
      <w:hyperlink r:id="rId4">
        <w:r>
          <w:rPr>
            <w:color w:val="0000FF"/>
            <w:u w:val="single" w:color="0000FF"/>
          </w:rPr>
          <w:t>Information/OMH/equity</w:t>
        </w:r>
      </w:hyperlink>
      <w:hyperlink r:id="rId4">
        <w:r>
          <w:rPr>
            <w:color w:val="0000FF"/>
            <w:u w:val="single" w:color="0000FF"/>
          </w:rPr>
          <w:t>-</w:t>
        </w:r>
      </w:hyperlink>
      <w:hyperlink r:id="rId4">
        <w:r>
          <w:rPr>
            <w:color w:val="0000FF"/>
            <w:u w:val="single" w:color="0000FF"/>
          </w:rPr>
          <w:t>initiatives/Past</w:t>
        </w:r>
      </w:hyperlink>
      <w:hyperlink r:id="rId4">
        <w:r>
          <w:rPr>
            <w:color w:val="0000FF"/>
            <w:u w:val="single" w:color="0000FF"/>
          </w:rPr>
          <w:t>-</w:t>
        </w:r>
      </w:hyperlink>
      <w:hyperlink r:id="rId4">
        <w:r>
          <w:rPr>
            <w:color w:val="0000FF"/>
            <w:u w:val="single" w:color="0000FF"/>
          </w:rPr>
          <w:t>Health</w:t>
        </w:r>
      </w:hyperlink>
      <w:hyperlink r:id="rId4">
        <w:r>
          <w:rPr>
            <w:color w:val="0000FF"/>
            <w:u w:val="single" w:color="0000FF"/>
          </w:rPr>
          <w:t>-</w:t>
        </w:r>
      </w:hyperlink>
      <w:hyperlink r:id="rId4">
        <w:r>
          <w:rPr>
            <w:color w:val="0000FF"/>
            <w:u w:val="single" w:color="0000FF"/>
          </w:rPr>
          <w:t>Equity</w:t>
        </w:r>
      </w:hyperlink>
      <w:hyperlink r:id="rId4">
        <w:r>
          <w:rPr>
            <w:color w:val="0000FF"/>
            <w:u w:val="single" w:color="0000FF"/>
          </w:rPr>
          <w:t>-</w:t>
        </w:r>
      </w:hyperlink>
      <w:hyperlink r:id="rId4">
        <w:r>
          <w:rPr>
            <w:color w:val="0000FF"/>
            <w:u w:val="single" w:color="0000FF"/>
          </w:rPr>
          <w:t>Award</w:t>
        </w:r>
      </w:hyperlink>
      <w:hyperlink r:id="rId4">
        <w:r>
          <w:rPr>
            <w:color w:val="0000FF"/>
            <w:u w:val="single" w:color="0000FF"/>
          </w:rPr>
          <w:t>-</w:t>
        </w:r>
      </w:hyperlink>
      <w:hyperlink r:id="rId4">
        <w:r>
          <w:rPr>
            <w:color w:val="0000FF"/>
            <w:u w:val="single" w:color="0000FF"/>
          </w:rPr>
          <w:t>Winners</w:t>
        </w:r>
      </w:hyperlink>
      <w:hyperlink r:id="rId4">
        <w:r>
          <w:t xml:space="preserve"> </w:t>
        </w:r>
      </w:hyperlink>
    </w:p>
    <w:p w:rsidR="001E196D" w14:paraId="72348DCB" w14:textId="77777777">
      <w:pPr>
        <w:spacing w:after="0" w:line="259" w:lineRule="auto"/>
        <w:ind w:left="0" w:firstLine="0"/>
      </w:pPr>
      <w:r>
        <w:t xml:space="preserve"> </w:t>
      </w:r>
    </w:p>
    <w:p w:rsidR="001E196D" w14:paraId="65309F1A" w14:textId="77777777">
      <w:pPr>
        <w:ind w:right="9"/>
      </w:pPr>
      <w:r>
        <w:t>This does not impact any Federal programs or policy activities; it is a voluntary submission program for a non-monetary award</w:t>
      </w:r>
      <w:r>
        <w:t xml:space="preserve">.  </w:t>
      </w:r>
      <w:r>
        <w:t>It is an award for recognition of healthcare organizations who have used their company resources to help provide health equity for the communities that they serve.</w:t>
      </w:r>
      <w:r>
        <w:rPr>
          <w:b/>
        </w:rPr>
        <w:t xml:space="preserve"> </w:t>
      </w:r>
    </w:p>
    <w:p w:rsidR="001E196D" w14:paraId="15549A1D" w14:textId="77777777">
      <w:pPr>
        <w:spacing w:after="0" w:line="259" w:lineRule="auto"/>
        <w:ind w:left="0" w:firstLine="0"/>
      </w:pPr>
      <w:r>
        <w:t xml:space="preserve"> </w:t>
      </w:r>
    </w:p>
    <w:p w:rsidR="001E196D" w14:paraId="164D466D" w14:textId="313D9E84">
      <w:pPr>
        <w:spacing w:after="0" w:line="259" w:lineRule="auto"/>
        <w:ind w:left="0" w:firstLine="0"/>
      </w:pPr>
      <w:r>
        <w:t xml:space="preserve"> </w:t>
      </w:r>
      <w:r w:rsidR="00A0733C">
        <w:t xml:space="preserve">CMS is requesting a </w:t>
      </w:r>
      <w:r w:rsidR="0049122F">
        <w:t xml:space="preserve">New Collection type of approval from OMB regarding this collection that </w:t>
      </w:r>
      <w:r w:rsidR="0049122F">
        <w:t>was conducted</w:t>
      </w:r>
      <w:r w:rsidR="0049122F">
        <w:t xml:space="preserve"> in the past without an OMB control number. </w:t>
      </w:r>
    </w:p>
    <w:p w:rsidR="001E196D" w14:paraId="2D936F82" w14:textId="77777777">
      <w:pPr>
        <w:spacing w:after="0" w:line="259" w:lineRule="auto"/>
        <w:ind w:left="0" w:firstLine="0"/>
      </w:pPr>
      <w:r>
        <w:rPr>
          <w:b/>
        </w:rPr>
        <w:t xml:space="preserve"> </w:t>
      </w:r>
    </w:p>
    <w:p w:rsidR="001E196D" w14:paraId="0C2992A4" w14:textId="77777777">
      <w:pPr>
        <w:spacing w:after="0" w:line="259" w:lineRule="auto"/>
        <w:ind w:left="0" w:firstLine="0"/>
      </w:pPr>
      <w:r>
        <w:rPr>
          <w:b/>
        </w:rPr>
        <w:t xml:space="preserve"> </w:t>
      </w:r>
    </w:p>
    <w:p w:rsidR="001E196D" w14:paraId="31EB4AD6" w14:textId="77777777">
      <w:pPr>
        <w:pStyle w:val="Heading1"/>
        <w:ind w:left="-5"/>
      </w:pPr>
      <w:r>
        <w:t>A.</w:t>
      </w:r>
      <w:r>
        <w:rPr>
          <w:u w:val="none"/>
        </w:rPr>
        <w:t xml:space="preserve"> </w:t>
      </w:r>
      <w:r>
        <w:t>Justification</w:t>
      </w:r>
      <w:r>
        <w:rPr>
          <w:b w:val="0"/>
          <w:u w:val="none"/>
        </w:rPr>
        <w:t xml:space="preserve"> </w:t>
      </w:r>
    </w:p>
    <w:p w:rsidR="001E196D" w14:paraId="2AA2C27E" w14:textId="77777777">
      <w:pPr>
        <w:spacing w:after="0" w:line="259" w:lineRule="auto"/>
        <w:ind w:left="0" w:firstLine="0"/>
      </w:pPr>
      <w:r>
        <w:t xml:space="preserve"> </w:t>
      </w:r>
    </w:p>
    <w:p w:rsidR="001E196D" w14:paraId="410C31F1" w14:textId="77777777">
      <w:pPr>
        <w:pStyle w:val="Heading2"/>
        <w:tabs>
          <w:tab w:val="center" w:pos="1480"/>
        </w:tabs>
        <w:ind w:left="-15" w:firstLine="0"/>
      </w:pPr>
      <w:r>
        <w:rPr>
          <w:u w:val="none"/>
        </w:rPr>
        <w:t xml:space="preserve">1. </w:t>
      </w:r>
      <w:r>
        <w:rPr>
          <w:u w:val="none"/>
        </w:rPr>
        <w:tab/>
      </w:r>
      <w:r>
        <w:t>Need and Legal Basis</w:t>
      </w:r>
      <w:r>
        <w:rPr>
          <w:u w:val="none"/>
        </w:rPr>
        <w:t xml:space="preserve"> </w:t>
      </w:r>
    </w:p>
    <w:p w:rsidR="001E196D" w14:paraId="0BE4C00C" w14:textId="77777777">
      <w:pPr>
        <w:spacing w:after="0" w:line="259" w:lineRule="auto"/>
        <w:ind w:left="432" w:firstLine="0"/>
      </w:pPr>
      <w:r>
        <w:t xml:space="preserve"> </w:t>
      </w:r>
    </w:p>
    <w:p w:rsidR="001E196D" w14:paraId="61A84980" w14:textId="77777777">
      <w:pPr>
        <w:spacing w:after="0" w:line="240" w:lineRule="auto"/>
        <w:ind w:left="0" w:firstLine="0"/>
        <w:rPr>
          <w:b/>
          <w:color w:val="0070C0"/>
          <w:sz w:val="20"/>
        </w:rPr>
      </w:pPr>
      <w:r>
        <w:rPr>
          <w:b/>
        </w:rPr>
        <w:t>The authority for this recognition is 42 U.S.C. 300u(a)</w:t>
      </w:r>
      <w:hyperlink r:id="rId5">
        <w:r>
          <w:rPr>
            <w:b/>
            <w:color w:val="FF0000"/>
          </w:rPr>
          <w:t xml:space="preserve"> </w:t>
        </w:r>
      </w:hyperlink>
      <w:hyperlink r:id="rId5">
        <w:r>
          <w:rPr>
            <w:color w:val="0070C0"/>
            <w:u w:val="single" w:color="0070C0"/>
          </w:rPr>
          <w:t>42 USC 300</w:t>
        </w:r>
        <w:r>
          <w:rPr>
            <w:color w:val="0070C0"/>
            <w:u w:val="single" w:color="0070C0"/>
          </w:rPr>
          <w:t>u</w:t>
        </w:r>
        <w:r>
          <w:rPr>
            <w:color w:val="0070C0"/>
            <w:u w:val="single" w:color="0070C0"/>
          </w:rPr>
          <w:t>: General authority of</w:t>
        </w:r>
      </w:hyperlink>
      <w:hyperlink r:id="rId5">
        <w:r>
          <w:rPr>
            <w:color w:val="0070C0"/>
          </w:rPr>
          <w:t xml:space="preserve"> </w:t>
        </w:r>
      </w:hyperlink>
      <w:hyperlink r:id="rId5">
        <w:r>
          <w:rPr>
            <w:color w:val="0070C0"/>
            <w:u w:val="single" w:color="0070C0"/>
          </w:rPr>
          <w:t>Secretary (house.gov)</w:t>
        </w:r>
      </w:hyperlink>
      <w:hyperlink r:id="rId5">
        <w:r>
          <w:rPr>
            <w:b/>
            <w:color w:val="0070C0"/>
            <w:sz w:val="20"/>
          </w:rPr>
          <w:t>.</w:t>
        </w:r>
      </w:hyperlink>
      <w:r>
        <w:rPr>
          <w:b/>
          <w:color w:val="0070C0"/>
          <w:sz w:val="20"/>
        </w:rPr>
        <w:t xml:space="preserve"> </w:t>
      </w:r>
    </w:p>
    <w:p w:rsidR="00A07BAC" w14:paraId="7C32E396" w14:textId="77777777">
      <w:pPr>
        <w:spacing w:after="0" w:line="240" w:lineRule="auto"/>
        <w:ind w:left="0" w:firstLine="0"/>
      </w:pPr>
    </w:p>
    <w:p w:rsidR="001E196D" w14:paraId="101895BC" w14:textId="77777777">
      <w:pPr>
        <w:ind w:right="9"/>
      </w:pPr>
      <w:r>
        <w:t xml:space="preserve">This statute authorizes and provides for the development, support and implementation of programs and activities by undertaking and supporting activities and programs that:  </w:t>
      </w:r>
    </w:p>
    <w:p w:rsidR="001E196D" w14:paraId="1A3505CC" w14:textId="77777777">
      <w:pPr>
        <w:numPr>
          <w:ilvl w:val="0"/>
          <w:numId w:val="1"/>
        </w:numPr>
        <w:ind w:right="9" w:firstLine="240"/>
      </w:pPr>
      <w:r>
        <w:t xml:space="preserve">incorporate appropriate health education components into our society, especially into all aspects of education and health care, </w:t>
      </w:r>
    </w:p>
    <w:p w:rsidR="001E196D" w14:paraId="7F2C14EF" w14:textId="77777777">
      <w:pPr>
        <w:numPr>
          <w:ilvl w:val="0"/>
          <w:numId w:val="1"/>
        </w:numPr>
        <w:ind w:right="9" w:firstLine="240"/>
      </w:pPr>
      <w:r>
        <w:t xml:space="preserve">increase the application and use of health knowledge, skills, and practices by the general population in its patterns of daily living, and </w:t>
      </w:r>
    </w:p>
    <w:p w:rsidR="001E196D" w14:paraId="592C0D02" w14:textId="77777777">
      <w:pPr>
        <w:numPr>
          <w:ilvl w:val="0"/>
          <w:numId w:val="1"/>
        </w:numPr>
        <w:ind w:right="9" w:firstLine="240"/>
      </w:pPr>
      <w:r>
        <w:t xml:space="preserve">establish systematic processes for the exploration, development, demonstration, and evaluation of innovative health promotion concepts. </w:t>
      </w:r>
    </w:p>
    <w:p w:rsidR="001E196D" w14:paraId="09FBED0E" w14:textId="77777777">
      <w:pPr>
        <w:spacing w:after="0" w:line="259" w:lineRule="auto"/>
        <w:ind w:left="0" w:firstLine="0"/>
      </w:pPr>
      <w:r>
        <w:rPr>
          <w:b/>
        </w:rPr>
        <w:t xml:space="preserve"> </w:t>
      </w:r>
    </w:p>
    <w:p w:rsidR="001E196D" w14:paraId="20C1F812" w14:textId="77777777">
      <w:pPr>
        <w:ind w:right="9"/>
      </w:pPr>
      <w:r>
        <w:t>The statute also undertakes and supports the research and demonstrations respecting health information, preventative health services, and education in the appropriate use of healthcare</w:t>
      </w:r>
      <w:r>
        <w:t xml:space="preserve">.  </w:t>
      </w:r>
    </w:p>
    <w:p w:rsidR="001E196D" w14:paraId="4C56970A" w14:textId="77777777">
      <w:pPr>
        <w:spacing w:after="0" w:line="259" w:lineRule="auto"/>
        <w:ind w:left="432" w:firstLine="0"/>
      </w:pPr>
      <w:r>
        <w:t xml:space="preserve"> </w:t>
      </w:r>
    </w:p>
    <w:p w:rsidR="001E196D" w14:paraId="30ED45EE" w14:textId="77777777">
      <w:pPr>
        <w:ind w:right="9"/>
      </w:pPr>
      <w:r>
        <w:t xml:space="preserve">This supports the Health Equity award since the past awardees demonstrated that they met and or exceeded CMS’ commitment to health equity through their organization-wide, strategic approach to identifying, prioritizing, and targeting health disparities to close gaps in health care and outcomes. The organizations represented two different but important approaches to addressing health disparities. </w:t>
      </w:r>
    </w:p>
    <w:p w:rsidR="001E196D" w14:paraId="19A09980" w14:textId="77777777">
      <w:pPr>
        <w:spacing w:after="0" w:line="259" w:lineRule="auto"/>
        <w:ind w:left="0" w:firstLine="0"/>
      </w:pPr>
      <w:r>
        <w:t xml:space="preserve"> </w:t>
      </w:r>
    </w:p>
    <w:p w:rsidR="001E196D" w14:paraId="412D7567" w14:textId="77777777">
      <w:pPr>
        <w:ind w:right="9"/>
      </w:pPr>
      <w:r>
        <w:t>For example - HealthPartners, a multi-state health care organization made health equity a strategic priority and launched targeted disparities initiatives across its medical group, hospital, and health plan</w:t>
      </w:r>
      <w:r>
        <w:t xml:space="preserve">.  </w:t>
      </w:r>
    </w:p>
    <w:p w:rsidR="001E196D" w14:paraId="07FDC936" w14:textId="77777777">
      <w:pPr>
        <w:spacing w:after="0" w:line="259" w:lineRule="auto"/>
        <w:ind w:left="0" w:firstLine="0"/>
      </w:pPr>
      <w:r>
        <w:t xml:space="preserve"> </w:t>
      </w:r>
    </w:p>
    <w:p w:rsidR="001E196D" w14:paraId="2E1CD976" w14:textId="77777777">
      <w:pPr>
        <w:ind w:right="9"/>
      </w:pPr>
      <w:r>
        <w:t>Centene Corporation, a national insurance plan, identified a particular disparity across their network and provided flexibility and resources to individual providers to find solutions that fit local needs</w:t>
      </w:r>
      <w:r>
        <w:t xml:space="preserve">.  </w:t>
      </w:r>
      <w:r>
        <w:t xml:space="preserve">In both cases, the organizations showed </w:t>
      </w:r>
      <w:r>
        <w:t>significant progress</w:t>
      </w:r>
      <w:r>
        <w:t xml:space="preserve"> towards decreasing disparities. There was an impressive amount of work among these and other organizations to improve the health quality, outcomes, and access for the communities they serve. </w:t>
      </w:r>
    </w:p>
    <w:p w:rsidR="001E196D" w14:paraId="23CF4A3A" w14:textId="77777777">
      <w:pPr>
        <w:spacing w:after="0" w:line="259" w:lineRule="auto"/>
        <w:ind w:left="432" w:firstLine="0"/>
      </w:pPr>
      <w:r>
        <w:rPr>
          <w:b/>
          <w:color w:val="0070C0"/>
        </w:rPr>
        <w:t xml:space="preserve"> </w:t>
      </w:r>
    </w:p>
    <w:p w:rsidR="001E196D" w14:paraId="625F5C0C" w14:textId="77777777">
      <w:pPr>
        <w:spacing w:after="17" w:line="259" w:lineRule="auto"/>
        <w:ind w:left="0" w:firstLine="0"/>
        <w:rPr>
          <w:b/>
          <w:color w:val="0070C0"/>
          <w:sz w:val="20"/>
        </w:rPr>
      </w:pPr>
      <w:r>
        <w:rPr>
          <w:b/>
          <w:color w:val="0070C0"/>
          <w:sz w:val="20"/>
        </w:rPr>
        <w:t xml:space="preserve"> </w:t>
      </w:r>
    </w:p>
    <w:p w:rsidR="00A07BAC" w14:paraId="2E21BAE0" w14:textId="77777777">
      <w:pPr>
        <w:spacing w:after="17" w:line="259" w:lineRule="auto"/>
        <w:ind w:left="0" w:firstLine="0"/>
        <w:rPr>
          <w:b/>
          <w:color w:val="0070C0"/>
          <w:sz w:val="20"/>
        </w:rPr>
      </w:pPr>
    </w:p>
    <w:p w:rsidR="00A07BAC" w14:paraId="417ED139" w14:textId="77777777">
      <w:pPr>
        <w:spacing w:after="17" w:line="259" w:lineRule="auto"/>
        <w:ind w:left="0" w:firstLine="0"/>
      </w:pPr>
    </w:p>
    <w:p w:rsidR="001E196D" w14:paraId="7F5B3569" w14:textId="77777777">
      <w:pPr>
        <w:pStyle w:val="Heading2"/>
        <w:tabs>
          <w:tab w:val="center" w:pos="1308"/>
        </w:tabs>
        <w:ind w:left="-15" w:firstLine="0"/>
      </w:pPr>
      <w:r>
        <w:rPr>
          <w:u w:val="none"/>
        </w:rPr>
        <w:t xml:space="preserve">2. </w:t>
      </w:r>
      <w:r>
        <w:rPr>
          <w:u w:val="none"/>
        </w:rPr>
        <w:tab/>
      </w:r>
      <w:r>
        <w:t>Information Users</w:t>
      </w:r>
      <w:r>
        <w:rPr>
          <w:u w:val="none"/>
        </w:rPr>
        <w:t xml:space="preserve"> </w:t>
      </w:r>
    </w:p>
    <w:p w:rsidR="001E196D" w14:paraId="691D036A" w14:textId="77777777">
      <w:pPr>
        <w:spacing w:after="0" w:line="259" w:lineRule="auto"/>
        <w:ind w:left="432" w:firstLine="0"/>
      </w:pPr>
      <w:r>
        <w:t xml:space="preserve"> </w:t>
      </w:r>
    </w:p>
    <w:p w:rsidR="001E196D" w14:paraId="1918E688" w14:textId="77777777">
      <w:pPr>
        <w:ind w:left="427" w:right="9"/>
      </w:pPr>
      <w:r>
        <w:t>CMS Representatives collect Company Name, Point of Contact Information (email, phone# &amp; name) along with information from the organizations regarding their programs to improve the health quality, outcomes, and access to care for the communities that they serve. The CMS selection committee uses a scoring rubric to score the applicants on demonstrated measurable results in reducing a disparity in one or more of the CMS priority populations</w:t>
      </w:r>
      <w:r>
        <w:t xml:space="preserve">.  </w:t>
      </w:r>
    </w:p>
    <w:p w:rsidR="001E196D" w14:paraId="6B50ADE5" w14:textId="77777777">
      <w:pPr>
        <w:spacing w:after="0" w:line="259" w:lineRule="auto"/>
        <w:ind w:left="432" w:firstLine="0"/>
      </w:pPr>
      <w:r>
        <w:rPr>
          <w:rFonts w:ascii="Arial" w:eastAsia="Arial" w:hAnsi="Arial" w:cs="Arial"/>
          <w:sz w:val="23"/>
        </w:rPr>
        <w:t xml:space="preserve"> </w:t>
      </w:r>
    </w:p>
    <w:p w:rsidR="001E196D" w14:paraId="112C16C4" w14:textId="77777777">
      <w:pPr>
        <w:ind w:left="427" w:right="9"/>
      </w:pPr>
      <w:r>
        <w:t xml:space="preserve">The CMS OMH contractors would have access to the nomination form to assist and </w:t>
      </w:r>
      <w:r>
        <w:t>compile</w:t>
      </w:r>
      <w:r>
        <w:t xml:space="preserve"> </w:t>
      </w:r>
    </w:p>
    <w:p w:rsidR="001E196D" w14:paraId="63721852" w14:textId="77777777">
      <w:pPr>
        <w:ind w:left="427" w:right="9"/>
      </w:pPr>
      <w:r>
        <w:t>the information for the CMS selection committee team members to review</w:t>
      </w:r>
      <w:r>
        <w:t xml:space="preserve">.  </w:t>
      </w:r>
    </w:p>
    <w:p w:rsidR="001E196D" w14:paraId="2B1BE7B1" w14:textId="77777777">
      <w:pPr>
        <w:spacing w:after="0" w:line="259" w:lineRule="auto"/>
        <w:ind w:left="432" w:firstLine="0"/>
      </w:pPr>
      <w:r>
        <w:t xml:space="preserve"> </w:t>
      </w:r>
    </w:p>
    <w:p w:rsidR="001E196D" w14:paraId="68944C56" w14:textId="77777777">
      <w:pPr>
        <w:ind w:left="427" w:right="9"/>
      </w:pPr>
      <w:r>
        <w:t>Consultation with representatives of those from whom information is to be obtained or those who must compile records should occur at least once every 3 years - even if the collection of information activity is the same as in prior periods</w:t>
      </w:r>
      <w:r>
        <w:t xml:space="preserve">.  </w:t>
      </w:r>
      <w:r>
        <w:t>There may be circumstances that may preclude consultation in a specific situation</w:t>
      </w:r>
      <w:r>
        <w:t xml:space="preserve">.  </w:t>
      </w:r>
      <w:r>
        <w:t xml:space="preserve">These circumstances should </w:t>
      </w:r>
      <w:r>
        <w:t>be explained</w:t>
      </w:r>
      <w:r>
        <w:t>. CMS OMH may stay in touch with previous awardees for voluntary participation in webinars, conferences, or similar events to further best practices with other, similar healthcare organizations.</w:t>
      </w:r>
      <w:r>
        <w:rPr>
          <w:rFonts w:ascii="Arial" w:eastAsia="Arial" w:hAnsi="Arial" w:cs="Arial"/>
          <w:sz w:val="23"/>
        </w:rPr>
        <w:t xml:space="preserve"> </w:t>
      </w:r>
    </w:p>
    <w:p w:rsidR="001E196D" w14:paraId="1C4173AF" w14:textId="77777777">
      <w:pPr>
        <w:spacing w:after="0" w:line="259" w:lineRule="auto"/>
        <w:ind w:left="0" w:firstLine="0"/>
      </w:pPr>
      <w:r>
        <w:t xml:space="preserve"> </w:t>
      </w:r>
    </w:p>
    <w:p w:rsidR="001E196D" w14:paraId="15FFBE65" w14:textId="77777777">
      <w:pPr>
        <w:pStyle w:val="Heading2"/>
        <w:tabs>
          <w:tab w:val="center" w:pos="1954"/>
        </w:tabs>
        <w:ind w:left="-15" w:firstLine="0"/>
      </w:pPr>
      <w:r>
        <w:rPr>
          <w:u w:val="none"/>
        </w:rPr>
        <w:t xml:space="preserve">3. </w:t>
      </w:r>
      <w:r>
        <w:rPr>
          <w:u w:val="none"/>
        </w:rPr>
        <w:tab/>
      </w:r>
      <w:r>
        <w:t>Use of Information Technology</w:t>
      </w:r>
      <w:r>
        <w:rPr>
          <w:u w:val="none"/>
        </w:rPr>
        <w:t xml:space="preserve"> </w:t>
      </w:r>
    </w:p>
    <w:p w:rsidR="001E196D" w14:paraId="0F37D68D" w14:textId="77777777">
      <w:pPr>
        <w:spacing w:after="0" w:line="259" w:lineRule="auto"/>
        <w:ind w:left="0" w:firstLine="0"/>
      </w:pPr>
      <w:r>
        <w:t xml:space="preserve"> </w:t>
      </w:r>
    </w:p>
    <w:p w:rsidR="001E196D" w14:paraId="6C2E98FD" w14:textId="77777777">
      <w:pPr>
        <w:ind w:left="427" w:right="9"/>
      </w:pPr>
      <w:r>
        <w:t>The form is a pdf and organizations will complete this form and return by email attachment to be considered for nomination</w:t>
      </w:r>
      <w:r>
        <w:t xml:space="preserve">.  </w:t>
      </w:r>
      <w:r>
        <w:t xml:space="preserve"> The form can be found and downloaded from the CMS Office of Minority Health </w:t>
      </w:r>
      <w:hyperlink r:id="rId6">
        <w:r>
          <w:rPr>
            <w:color w:val="0562C1"/>
            <w:u w:val="single" w:color="0562C1"/>
          </w:rPr>
          <w:t>website</w:t>
        </w:r>
      </w:hyperlink>
      <w:hyperlink r:id="rId6">
        <w:r>
          <w:rPr>
            <w:color w:val="0562C1"/>
            <w:u w:val="single" w:color="0562C1"/>
          </w:rPr>
          <w:t>,</w:t>
        </w:r>
      </w:hyperlink>
      <w:r>
        <w:rPr>
          <w:color w:val="0562C1"/>
          <w:u w:val="single" w:color="0562C1"/>
        </w:rPr>
        <w:t xml:space="preserve"> https://go.cms.gov/omh</w:t>
      </w:r>
      <w:r>
        <w:t xml:space="preserve">. Once the form has been completed, it should be submitted via email to the CMS Office of Minority Health, </w:t>
      </w:r>
      <w:r>
        <w:rPr>
          <w:color w:val="0000FF"/>
          <w:u w:val="single" w:color="0000FF"/>
        </w:rPr>
        <w:t>OMH@cms.hhs.gov</w:t>
      </w:r>
      <w:r>
        <w:t xml:space="preserve">.  </w:t>
      </w:r>
    </w:p>
    <w:p w:rsidR="001E196D" w14:paraId="52B023D6" w14:textId="77777777">
      <w:pPr>
        <w:ind w:left="427" w:right="9"/>
      </w:pPr>
      <w:r>
        <w:t xml:space="preserve">The Subject Line should read: CMS Health Equity Award. </w:t>
      </w:r>
    </w:p>
    <w:p w:rsidR="001E196D" w14:paraId="4A5BA162" w14:textId="77777777">
      <w:pPr>
        <w:ind w:left="427" w:right="9"/>
      </w:pPr>
      <w:r>
        <w:t xml:space="preserve">Questions about the award can also </w:t>
      </w:r>
      <w:r>
        <w:t>be submitted</w:t>
      </w:r>
      <w:r>
        <w:t xml:space="preserve"> to this mailbox. </w:t>
      </w:r>
    </w:p>
    <w:p w:rsidR="001E196D" w14:paraId="384B01DF" w14:textId="77777777">
      <w:pPr>
        <w:spacing w:after="0" w:line="259" w:lineRule="auto"/>
        <w:ind w:left="432" w:firstLine="0"/>
      </w:pPr>
      <w:r>
        <w:t xml:space="preserve"> </w:t>
      </w:r>
    </w:p>
    <w:p w:rsidR="001E196D" w14:paraId="3093969D" w14:textId="77777777">
      <w:pPr>
        <w:ind w:left="427" w:right="9"/>
      </w:pPr>
      <w:r>
        <w:t xml:space="preserve">No signature </w:t>
      </w:r>
      <w:r>
        <w:t>is required</w:t>
      </w:r>
      <w:r>
        <w:t xml:space="preserve"> from the respondent. </w:t>
      </w:r>
    </w:p>
    <w:p w:rsidR="001E196D" w14:paraId="2905CD45" w14:textId="77777777">
      <w:pPr>
        <w:spacing w:after="0" w:line="259" w:lineRule="auto"/>
        <w:ind w:left="0" w:firstLine="0"/>
      </w:pPr>
      <w:r>
        <w:t xml:space="preserve"> </w:t>
      </w:r>
    </w:p>
    <w:p w:rsidR="001E196D" w14:paraId="5EA08770" w14:textId="77777777">
      <w:pPr>
        <w:pStyle w:val="Heading2"/>
        <w:tabs>
          <w:tab w:val="center" w:pos="1490"/>
        </w:tabs>
        <w:ind w:left="-15" w:firstLine="0"/>
      </w:pPr>
      <w:r>
        <w:rPr>
          <w:u w:val="none"/>
        </w:rPr>
        <w:t xml:space="preserve">4. </w:t>
      </w:r>
      <w:r>
        <w:rPr>
          <w:u w:val="none"/>
        </w:rPr>
        <w:tab/>
      </w:r>
      <w:r>
        <w:t>Duplication of Efforts</w:t>
      </w:r>
      <w:r>
        <w:rPr>
          <w:u w:val="none"/>
        </w:rPr>
        <w:t xml:space="preserve"> </w:t>
      </w:r>
    </w:p>
    <w:p w:rsidR="001E196D" w14:paraId="4F78B671" w14:textId="77777777">
      <w:pPr>
        <w:spacing w:after="0" w:line="259" w:lineRule="auto"/>
        <w:ind w:left="0" w:firstLine="0"/>
      </w:pPr>
      <w:r>
        <w:t xml:space="preserve"> </w:t>
      </w:r>
    </w:p>
    <w:p w:rsidR="001E196D" w14:paraId="64FBF653" w14:textId="77777777">
      <w:pPr>
        <w:ind w:left="427" w:right="9"/>
      </w:pPr>
      <w:r>
        <w:t xml:space="preserve">Since this information collection is not readily accessible outside of CMS, it does not duplicate any other effort and the information cannot </w:t>
      </w:r>
      <w:r>
        <w:t>be obtained</w:t>
      </w:r>
      <w:r>
        <w:t xml:space="preserve"> from any other source. CMS OMH is in a unique position as the largest health insurer in the United States, reaching 160 million people with its programs</w:t>
      </w:r>
      <w:r>
        <w:t xml:space="preserve">.  </w:t>
      </w:r>
      <w:r>
        <w:t xml:space="preserve">                       </w:t>
      </w:r>
      <w:r>
        <w:rPr>
          <w:sz w:val="27"/>
        </w:rPr>
        <w:t xml:space="preserve"> </w:t>
      </w:r>
    </w:p>
    <w:p w:rsidR="001E196D" w14:paraId="3125AFDC" w14:textId="77777777">
      <w:pPr>
        <w:spacing w:after="0" w:line="259" w:lineRule="auto"/>
        <w:ind w:left="0" w:firstLine="0"/>
      </w:pPr>
      <w:r>
        <w:t xml:space="preserve"> </w:t>
      </w:r>
    </w:p>
    <w:p w:rsidR="001E196D" w14:paraId="0DD85F5F" w14:textId="77777777">
      <w:pPr>
        <w:tabs>
          <w:tab w:val="center" w:pos="1269"/>
        </w:tabs>
        <w:spacing w:after="0" w:line="259" w:lineRule="auto"/>
        <w:ind w:left="-15" w:firstLine="0"/>
      </w:pPr>
      <w:r>
        <w:t xml:space="preserve">5. </w:t>
      </w:r>
      <w:r>
        <w:tab/>
      </w:r>
      <w:r>
        <w:rPr>
          <w:u w:val="single" w:color="000000"/>
        </w:rPr>
        <w:t>Small Businesses</w:t>
      </w:r>
      <w:r>
        <w:t xml:space="preserve">   </w:t>
      </w:r>
    </w:p>
    <w:p w:rsidR="001E196D" w14:paraId="40CF67D3" w14:textId="77777777">
      <w:pPr>
        <w:spacing w:after="0" w:line="259" w:lineRule="auto"/>
        <w:ind w:left="0" w:firstLine="0"/>
      </w:pPr>
      <w:r>
        <w:t xml:space="preserve"> </w:t>
      </w:r>
    </w:p>
    <w:p w:rsidR="001E196D" w14:paraId="6FCED8D9" w14:textId="77777777">
      <w:pPr>
        <w:ind w:left="427" w:right="9"/>
      </w:pPr>
      <w:r>
        <w:t>There is no significant impact on small businesses.</w:t>
      </w:r>
      <w:r>
        <w:rPr>
          <w:color w:val="FF0000"/>
        </w:rPr>
        <w:t xml:space="preserve"> </w:t>
      </w:r>
    </w:p>
    <w:p w:rsidR="001E196D" w14:paraId="6D61FCCF" w14:textId="77777777">
      <w:pPr>
        <w:spacing w:after="0" w:line="259" w:lineRule="auto"/>
        <w:ind w:left="0" w:firstLine="0"/>
      </w:pPr>
      <w:r>
        <w:t xml:space="preserve"> </w:t>
      </w:r>
    </w:p>
    <w:p w:rsidR="001E196D" w14:paraId="632C7454" w14:textId="77777777">
      <w:pPr>
        <w:pStyle w:val="Heading2"/>
        <w:tabs>
          <w:tab w:val="center" w:pos="1638"/>
        </w:tabs>
        <w:ind w:left="-15" w:firstLine="0"/>
      </w:pPr>
      <w:r>
        <w:rPr>
          <w:u w:val="none"/>
        </w:rPr>
        <w:t xml:space="preserve">6. </w:t>
      </w:r>
      <w:r>
        <w:rPr>
          <w:u w:val="none"/>
        </w:rPr>
        <w:tab/>
      </w:r>
      <w:r>
        <w:t>Less Frequent Collection</w:t>
      </w:r>
      <w:r>
        <w:rPr>
          <w:u w:val="none"/>
        </w:rPr>
        <w:t xml:space="preserve"> </w:t>
      </w:r>
      <w:r>
        <w:rPr>
          <w:color w:val="FF0000"/>
          <w:u w:val="none"/>
        </w:rPr>
        <w:t xml:space="preserve"> </w:t>
      </w:r>
    </w:p>
    <w:p w:rsidR="001E196D" w14:paraId="3B77A058" w14:textId="77777777">
      <w:pPr>
        <w:spacing w:after="0" w:line="259" w:lineRule="auto"/>
        <w:ind w:left="432" w:firstLine="0"/>
      </w:pPr>
      <w:r>
        <w:t xml:space="preserve"> </w:t>
      </w:r>
    </w:p>
    <w:p w:rsidR="001E196D" w14:paraId="774F2409" w14:textId="77777777">
      <w:pPr>
        <w:ind w:left="427" w:right="9"/>
      </w:pPr>
      <w:r>
        <w:t xml:space="preserve">If the recognition </w:t>
      </w:r>
      <w:r>
        <w:t>is not given</w:t>
      </w:r>
      <w:r>
        <w:t xml:space="preserve"> to a healthcare organization, there is no consequence or legal obstacle or public notification. There is no domino effect if the award </w:t>
      </w:r>
      <w:r>
        <w:t>is not given</w:t>
      </w:r>
      <w:r>
        <w:t xml:space="preserve"> since it does not impact any Federal programs or policy activities. If this data is not collected, then no organizations are recognized for the award</w:t>
      </w:r>
      <w:r>
        <w:t xml:space="preserve">.  </w:t>
      </w:r>
    </w:p>
    <w:p w:rsidR="001E196D" w14:paraId="322665D5" w14:textId="77777777">
      <w:pPr>
        <w:spacing w:after="0" w:line="259" w:lineRule="auto"/>
        <w:ind w:left="0" w:firstLine="0"/>
      </w:pPr>
      <w:r>
        <w:t xml:space="preserve"> </w:t>
      </w:r>
    </w:p>
    <w:p w:rsidR="001E196D" w14:paraId="061D59E6" w14:textId="77777777">
      <w:pPr>
        <w:pStyle w:val="Heading2"/>
        <w:tabs>
          <w:tab w:val="center" w:pos="1520"/>
        </w:tabs>
        <w:ind w:left="-15" w:firstLine="0"/>
      </w:pPr>
      <w:r>
        <w:rPr>
          <w:u w:val="none"/>
        </w:rPr>
        <w:t xml:space="preserve">7. </w:t>
      </w:r>
      <w:r>
        <w:rPr>
          <w:u w:val="none"/>
        </w:rPr>
        <w:tab/>
      </w:r>
      <w:r>
        <w:t>Special Circumstances</w:t>
      </w:r>
      <w:r>
        <w:rPr>
          <w:u w:val="none"/>
        </w:rPr>
        <w:t xml:space="preserve">  </w:t>
      </w:r>
    </w:p>
    <w:p w:rsidR="001E196D" w14:paraId="2F0E84E7" w14:textId="77777777">
      <w:pPr>
        <w:spacing w:after="0" w:line="259" w:lineRule="auto"/>
        <w:ind w:left="0" w:firstLine="0"/>
      </w:pPr>
      <w:r>
        <w:t xml:space="preserve"> </w:t>
      </w:r>
    </w:p>
    <w:p w:rsidR="001E196D" w:rsidP="00AF0CC3" w14:paraId="5B0D5C2C" w14:textId="242E3B29">
      <w:pPr>
        <w:ind w:right="9" w:firstLine="0"/>
      </w:pPr>
      <w:r>
        <w:t xml:space="preserve">There are no </w:t>
      </w:r>
      <w:r>
        <w:t>special circumstances</w:t>
      </w:r>
      <w:r>
        <w:t xml:space="preserve"> that would cause information to be collected in any of the manners because it is only an award for recognition of excellence in service to the community. There is no need to have record submissions, original documents, </w:t>
      </w:r>
      <w:r>
        <w:t xml:space="preserve">etc.  </w:t>
      </w:r>
      <w:r>
        <w:t>The organizations that would like to be considered would only need to fill out a pdf form and send in an email to submit themselves for selection</w:t>
      </w:r>
      <w:r>
        <w:t xml:space="preserve">.  </w:t>
      </w:r>
    </w:p>
    <w:p w:rsidR="001E196D" w14:paraId="2A95DE0D" w14:textId="77777777">
      <w:pPr>
        <w:spacing w:after="0" w:line="259" w:lineRule="auto"/>
        <w:ind w:left="432" w:firstLine="0"/>
      </w:pPr>
      <w:r>
        <w:t xml:space="preserve"> </w:t>
      </w:r>
    </w:p>
    <w:p w:rsidR="001E196D" w14:paraId="527458EF" w14:textId="77777777">
      <w:pPr>
        <w:spacing w:after="0" w:line="259" w:lineRule="auto"/>
        <w:ind w:left="0" w:firstLine="0"/>
      </w:pPr>
      <w:r>
        <w:t xml:space="preserve"> </w:t>
      </w:r>
    </w:p>
    <w:p w:rsidR="001E196D" w14:paraId="5484BC36" w14:textId="77777777">
      <w:pPr>
        <w:pStyle w:val="Heading2"/>
        <w:tabs>
          <w:tab w:val="center" w:pos="2272"/>
        </w:tabs>
        <w:ind w:left="-15" w:firstLine="0"/>
      </w:pPr>
      <w:r>
        <w:rPr>
          <w:u w:val="none"/>
        </w:rPr>
        <w:t xml:space="preserve">8. </w:t>
      </w:r>
      <w:r>
        <w:rPr>
          <w:u w:val="none"/>
        </w:rPr>
        <w:tab/>
      </w:r>
      <w:r>
        <w:t>Federal Register/Outside Consultation</w:t>
      </w:r>
      <w:r>
        <w:rPr>
          <w:u w:val="none"/>
        </w:rPr>
        <w:t xml:space="preserve"> </w:t>
      </w:r>
    </w:p>
    <w:p w:rsidR="001E196D" w14:paraId="03355955" w14:textId="77777777">
      <w:pPr>
        <w:spacing w:after="0" w:line="259" w:lineRule="auto"/>
        <w:ind w:left="0" w:firstLine="0"/>
      </w:pPr>
      <w:r>
        <w:t xml:space="preserve"> </w:t>
      </w:r>
    </w:p>
    <w:p w:rsidR="001E196D" w14:paraId="30B0D311" w14:textId="77777777">
      <w:pPr>
        <w:ind w:left="427" w:right="9"/>
      </w:pPr>
      <w:r>
        <w:t xml:space="preserve">The 60-day Federal Register notice published in the Federal Register on </w:t>
      </w:r>
      <w:r w:rsidRPr="00951FE3">
        <w:t xml:space="preserve">09/08/2023 </w:t>
      </w:r>
      <w:r>
        <w:t>(</w:t>
      </w:r>
      <w:r w:rsidRPr="00951FE3">
        <w:t>88 FR 62088</w:t>
      </w:r>
      <w:r>
        <w:t xml:space="preserve">). </w:t>
      </w:r>
    </w:p>
    <w:p w:rsidR="00951FE3" w14:paraId="0A9E0E12" w14:textId="77777777">
      <w:pPr>
        <w:ind w:left="427" w:right="9"/>
      </w:pPr>
      <w:r>
        <w:t xml:space="preserve">No comments </w:t>
      </w:r>
      <w:r>
        <w:t>were received</w:t>
      </w:r>
      <w:r>
        <w:t xml:space="preserve"> during this comment period. </w:t>
      </w:r>
    </w:p>
    <w:p w:rsidR="00951FE3" w14:paraId="6C8E7951" w14:textId="77777777">
      <w:pPr>
        <w:ind w:left="427" w:right="9"/>
      </w:pPr>
    </w:p>
    <w:p w:rsidR="00951FE3" w:rsidP="00951FE3" w14:paraId="30D0FBC8" w14:textId="01066B26">
      <w:pPr>
        <w:ind w:left="427" w:right="9"/>
      </w:pPr>
      <w:r>
        <w:t xml:space="preserve">The 30-day Federal Register notice published in the Federal Register on </w:t>
      </w:r>
      <w:r w:rsidR="00AF0CC3">
        <w:t xml:space="preserve">11/24/2023 </w:t>
      </w:r>
      <w:r>
        <w:t xml:space="preserve">(88 FR </w:t>
      </w:r>
      <w:r w:rsidRPr="00AF0CC3" w:rsidR="00AF0CC3">
        <w:t>82379</w:t>
      </w:r>
      <w:r>
        <w:t xml:space="preserve">). </w:t>
      </w:r>
    </w:p>
    <w:p w:rsidR="001E196D" w14:paraId="5C57FC19" w14:textId="77777777">
      <w:pPr>
        <w:spacing w:after="0" w:line="259" w:lineRule="auto"/>
        <w:ind w:left="0" w:firstLine="0"/>
      </w:pPr>
      <w:r>
        <w:t xml:space="preserve"> </w:t>
      </w:r>
    </w:p>
    <w:p w:rsidR="001E196D" w14:paraId="366F401F" w14:textId="77777777">
      <w:pPr>
        <w:pStyle w:val="Heading2"/>
        <w:tabs>
          <w:tab w:val="center" w:pos="1938"/>
        </w:tabs>
        <w:ind w:left="-15" w:firstLine="0"/>
      </w:pPr>
      <w:r>
        <w:rPr>
          <w:u w:val="none"/>
        </w:rPr>
        <w:t xml:space="preserve">9. </w:t>
      </w:r>
      <w:r>
        <w:rPr>
          <w:u w:val="none"/>
        </w:rPr>
        <w:tab/>
      </w:r>
      <w:r>
        <w:t>Payments/Gifts to Respondents</w:t>
      </w:r>
      <w:r>
        <w:rPr>
          <w:u w:val="none"/>
        </w:rPr>
        <w:t xml:space="preserve"> </w:t>
      </w:r>
    </w:p>
    <w:p w:rsidR="001E196D" w14:paraId="64FBB476" w14:textId="77777777">
      <w:pPr>
        <w:spacing w:after="0" w:line="259" w:lineRule="auto"/>
        <w:ind w:left="0" w:firstLine="0"/>
      </w:pPr>
      <w:r>
        <w:t xml:space="preserve"> </w:t>
      </w:r>
    </w:p>
    <w:p w:rsidR="001E196D" w14:paraId="2746EC7C" w14:textId="77777777">
      <w:pPr>
        <w:ind w:left="427" w:right="9"/>
      </w:pPr>
      <w:r>
        <w:t xml:space="preserve">This is a non-monetary recognition, and the value is de </w:t>
      </w:r>
      <w:r>
        <w:t>minimus</w:t>
      </w:r>
      <w:r>
        <w:t>. A plaque is presented to each winner as a recognition of excellence</w:t>
      </w:r>
      <w:r>
        <w:t xml:space="preserve">.  </w:t>
      </w:r>
    </w:p>
    <w:p w:rsidR="001E196D" w14:paraId="66EB0DD0" w14:textId="77777777">
      <w:pPr>
        <w:spacing w:after="0" w:line="259" w:lineRule="auto"/>
        <w:ind w:left="432" w:firstLine="0"/>
      </w:pPr>
      <w:r>
        <w:t xml:space="preserve"> </w:t>
      </w:r>
    </w:p>
    <w:p w:rsidR="001E196D" w14:paraId="627DCA50" w14:textId="77777777">
      <w:pPr>
        <w:spacing w:after="0" w:line="259" w:lineRule="auto"/>
        <w:ind w:left="432" w:firstLine="0"/>
      </w:pPr>
      <w:r>
        <w:t xml:space="preserve"> </w:t>
      </w:r>
    </w:p>
    <w:p w:rsidR="001E196D" w14:paraId="0EC75288" w14:textId="77777777">
      <w:pPr>
        <w:pStyle w:val="Heading2"/>
        <w:ind w:left="-5"/>
      </w:pPr>
      <w:r>
        <w:rPr>
          <w:u w:val="none"/>
        </w:rPr>
        <w:t xml:space="preserve">10. </w:t>
      </w:r>
      <w:r>
        <w:t>Confidentiality</w:t>
      </w:r>
      <w:r>
        <w:rPr>
          <w:u w:val="none"/>
        </w:rPr>
        <w:t xml:space="preserve"> </w:t>
      </w:r>
    </w:p>
    <w:p w:rsidR="001E196D" w14:paraId="0FB5DB5D" w14:textId="77777777">
      <w:pPr>
        <w:spacing w:after="0" w:line="259" w:lineRule="auto"/>
        <w:ind w:left="432" w:firstLine="0"/>
      </w:pPr>
      <w:r>
        <w:t xml:space="preserve"> </w:t>
      </w:r>
    </w:p>
    <w:p w:rsidR="001E196D" w14:paraId="4EAD3BDA" w14:textId="77777777">
      <w:pPr>
        <w:ind w:left="427" w:right="9"/>
      </w:pPr>
      <w:r>
        <w:t xml:space="preserve">The information that will </w:t>
      </w:r>
      <w:r>
        <w:t>be shared</w:t>
      </w:r>
      <w:r>
        <w:t xml:space="preserve"> will only be pulled from the submission and shared with the CMS selection committee and the nominee that is selected will have the opportunity to review the announcement of the award. Data will be kept private to the extent allowed by law</w:t>
      </w:r>
      <w:r>
        <w:t xml:space="preserve">.  </w:t>
      </w:r>
    </w:p>
    <w:p w:rsidR="001E196D" w14:paraId="66DDF575" w14:textId="77777777">
      <w:pPr>
        <w:spacing w:after="0" w:line="259" w:lineRule="auto"/>
        <w:ind w:left="0" w:firstLine="0"/>
      </w:pPr>
      <w:r>
        <w:t xml:space="preserve"> </w:t>
      </w:r>
    </w:p>
    <w:p w:rsidR="001E196D" w14:paraId="6C1E6C7B" w14:textId="77777777">
      <w:pPr>
        <w:spacing w:after="0" w:line="259" w:lineRule="auto"/>
        <w:ind w:left="-5"/>
      </w:pPr>
      <w:r>
        <w:t xml:space="preserve">11. </w:t>
      </w:r>
      <w:r>
        <w:rPr>
          <w:u w:val="single" w:color="000000"/>
        </w:rPr>
        <w:t>Sensitive Questions</w:t>
      </w:r>
      <w:r>
        <w:t xml:space="preserve">  </w:t>
      </w:r>
      <w:r>
        <w:rPr>
          <w:color w:val="FF0000"/>
        </w:rPr>
        <w:t xml:space="preserve"> </w:t>
      </w:r>
    </w:p>
    <w:p w:rsidR="001E196D" w14:paraId="6634A8DC" w14:textId="77777777">
      <w:pPr>
        <w:spacing w:after="0" w:line="259" w:lineRule="auto"/>
        <w:ind w:left="0" w:firstLine="0"/>
      </w:pPr>
      <w:r>
        <w:t xml:space="preserve"> </w:t>
      </w:r>
    </w:p>
    <w:p w:rsidR="001E196D" w14:paraId="0D3EFBA2" w14:textId="77777777">
      <w:pPr>
        <w:ind w:left="427" w:right="9"/>
      </w:pPr>
      <w:r>
        <w:t xml:space="preserve">There will not be any questions of a sensitive nature in this data collection. </w:t>
      </w:r>
    </w:p>
    <w:p w:rsidR="00AF0CC3" w14:paraId="6F568334" w14:textId="77777777">
      <w:pPr>
        <w:ind w:left="427" w:right="9"/>
      </w:pPr>
    </w:p>
    <w:p w:rsidR="00AF0CC3" w14:paraId="09FD372A" w14:textId="77777777">
      <w:pPr>
        <w:ind w:left="427" w:right="9"/>
      </w:pPr>
    </w:p>
    <w:p w:rsidR="00AF0CC3" w14:paraId="16C9807A" w14:textId="77777777">
      <w:pPr>
        <w:ind w:left="427" w:right="9"/>
      </w:pPr>
    </w:p>
    <w:p w:rsidR="001E196D" w14:paraId="4448250E" w14:textId="77777777">
      <w:pPr>
        <w:spacing w:after="0" w:line="259" w:lineRule="auto"/>
        <w:ind w:left="0" w:firstLine="0"/>
      </w:pPr>
      <w:r>
        <w:t xml:space="preserve"> </w:t>
      </w:r>
    </w:p>
    <w:p w:rsidR="001E196D" w14:paraId="1EC27490" w14:textId="77777777">
      <w:pPr>
        <w:pStyle w:val="Heading2"/>
        <w:ind w:left="-5"/>
      </w:pPr>
      <w:r>
        <w:rPr>
          <w:u w:val="none"/>
        </w:rPr>
        <w:t xml:space="preserve">12. </w:t>
      </w:r>
      <w:r>
        <w:t>Burden Estimates (Hours &amp; Wages)</w:t>
      </w:r>
      <w:r>
        <w:rPr>
          <w:u w:val="none"/>
        </w:rPr>
        <w:t xml:space="preserve">  </w:t>
      </w:r>
    </w:p>
    <w:p w:rsidR="001E196D" w14:paraId="24FE7010" w14:textId="77777777">
      <w:pPr>
        <w:spacing w:after="0" w:line="259" w:lineRule="auto"/>
        <w:ind w:left="0" w:firstLine="0"/>
      </w:pPr>
      <w:r>
        <w:t xml:space="preserve"> </w:t>
      </w:r>
    </w:p>
    <w:p w:rsidR="001E196D" w14:paraId="501DCEAF" w14:textId="77777777">
      <w:pPr>
        <w:spacing w:after="0" w:line="259" w:lineRule="auto"/>
        <w:ind w:left="0" w:firstLine="0"/>
        <w:rPr>
          <w:i/>
        </w:rPr>
      </w:pPr>
      <w:r>
        <w:rPr>
          <w:i/>
        </w:rPr>
        <w:t xml:space="preserve">Wage Estimates </w:t>
      </w:r>
    </w:p>
    <w:p w:rsidR="00AF0CC3" w14:paraId="39FEC945" w14:textId="77777777">
      <w:pPr>
        <w:spacing w:after="0" w:line="259" w:lineRule="auto"/>
        <w:ind w:left="0" w:firstLine="0"/>
      </w:pPr>
    </w:p>
    <w:p w:rsidR="001E196D" w14:paraId="228EE43F" w14:textId="77777777">
      <w:pPr>
        <w:ind w:right="9"/>
      </w:pPr>
      <w:r>
        <w:t xml:space="preserve">To derive average costs, we used data from the U.S. Bureau of Labor Statistics’ May 2022 National Occupational Employment and Wage Estimates for all salary </w:t>
      </w:r>
      <w:r>
        <w:t>estimates</w:t>
      </w:r>
      <w:r>
        <w:t xml:space="preserve"> </w:t>
      </w:r>
    </w:p>
    <w:p w:rsidR="001E196D" w14:paraId="5ED7021A" w14:textId="77777777">
      <w:pPr>
        <w:ind w:right="9"/>
      </w:pPr>
      <w:hyperlink r:id="rId7">
        <w:r w:rsidR="00951FE3">
          <w:t>(</w:t>
        </w:r>
      </w:hyperlink>
      <w:hyperlink r:id="rId7">
        <w:r w:rsidR="00951FE3">
          <w:rPr>
            <w:rFonts w:ascii="Calibri" w:eastAsia="Calibri" w:hAnsi="Calibri" w:cs="Calibri"/>
            <w:color w:val="0000FF"/>
            <w:u w:val="single" w:color="0000FF"/>
          </w:rPr>
          <w:t>www.bls.gov/oes/current/oes_nat.htm</w:t>
        </w:r>
      </w:hyperlink>
      <w:hyperlink r:id="rId7">
        <w:r w:rsidR="00951FE3">
          <w:t>)</w:t>
        </w:r>
      </w:hyperlink>
      <w:r w:rsidR="00951FE3">
        <w:t xml:space="preserve">. In this regard, the following table presents the mean hourly wage, the cost of fringe benefits, and the adjusted hourly wage. </w:t>
      </w:r>
    </w:p>
    <w:p w:rsidR="00AF0CC3" w14:paraId="648725C6" w14:textId="77777777">
      <w:pPr>
        <w:ind w:right="9"/>
      </w:pPr>
    </w:p>
    <w:tbl>
      <w:tblPr>
        <w:tblStyle w:val="TableGrid"/>
        <w:tblW w:w="10982" w:type="dxa"/>
        <w:tblInd w:w="-540" w:type="dxa"/>
        <w:tblCellMar>
          <w:top w:w="52" w:type="dxa"/>
          <w:left w:w="122" w:type="dxa"/>
          <w:bottom w:w="21" w:type="dxa"/>
          <w:right w:w="37" w:type="dxa"/>
        </w:tblCellMar>
        <w:tblLook w:val="04A0"/>
      </w:tblPr>
      <w:tblGrid>
        <w:gridCol w:w="1260"/>
        <w:gridCol w:w="1260"/>
        <w:gridCol w:w="1441"/>
        <w:gridCol w:w="1351"/>
        <w:gridCol w:w="1349"/>
        <w:gridCol w:w="2521"/>
        <w:gridCol w:w="1800"/>
      </w:tblGrid>
      <w:tr w14:paraId="666393BB" w14:textId="77777777">
        <w:tblPrEx>
          <w:tblW w:w="10982" w:type="dxa"/>
          <w:tblInd w:w="-540" w:type="dxa"/>
          <w:tblCellMar>
            <w:top w:w="52" w:type="dxa"/>
            <w:left w:w="122" w:type="dxa"/>
            <w:bottom w:w="21" w:type="dxa"/>
            <w:right w:w="37" w:type="dxa"/>
          </w:tblCellMar>
          <w:tblLook w:val="04A0"/>
        </w:tblPrEx>
        <w:trPr>
          <w:trHeight w:val="1085"/>
        </w:trPr>
        <w:tc>
          <w:tcPr>
            <w:tcW w:w="1260" w:type="dxa"/>
            <w:tcBorders>
              <w:top w:val="single" w:sz="8" w:space="0" w:color="000000"/>
              <w:left w:val="single" w:sz="8" w:space="0" w:color="000000"/>
              <w:bottom w:val="single" w:sz="8" w:space="0" w:color="000000"/>
              <w:right w:val="single" w:sz="8" w:space="0" w:color="000000"/>
            </w:tcBorders>
            <w:vAlign w:val="center"/>
          </w:tcPr>
          <w:p w:rsidR="001E196D" w14:paraId="797888A4" w14:textId="77777777">
            <w:pPr>
              <w:spacing w:after="0" w:line="259" w:lineRule="auto"/>
              <w:ind w:left="0" w:firstLine="0"/>
              <w:jc w:val="center"/>
            </w:pPr>
            <w:r>
              <w:rPr>
                <w:rFonts w:ascii="Calibri" w:eastAsia="Calibri" w:hAnsi="Calibri" w:cs="Calibri"/>
                <w:sz w:val="20"/>
              </w:rPr>
              <w:t xml:space="preserve">Potential Respondents </w:t>
            </w:r>
          </w:p>
        </w:tc>
        <w:tc>
          <w:tcPr>
            <w:tcW w:w="1260" w:type="dxa"/>
            <w:tcBorders>
              <w:top w:val="single" w:sz="8" w:space="0" w:color="000000"/>
              <w:left w:val="single" w:sz="8" w:space="0" w:color="000000"/>
              <w:bottom w:val="single" w:sz="8" w:space="0" w:color="000000"/>
              <w:right w:val="single" w:sz="8" w:space="0" w:color="000000"/>
            </w:tcBorders>
            <w:vAlign w:val="bottom"/>
          </w:tcPr>
          <w:p w:rsidR="001E196D" w14:paraId="201EFCAF" w14:textId="77777777">
            <w:pPr>
              <w:spacing w:after="2" w:line="240" w:lineRule="auto"/>
              <w:ind w:left="0" w:firstLine="0"/>
              <w:jc w:val="center"/>
            </w:pPr>
            <w:r>
              <w:rPr>
                <w:rFonts w:ascii="Calibri" w:eastAsia="Calibri" w:hAnsi="Calibri" w:cs="Calibri"/>
                <w:sz w:val="20"/>
              </w:rPr>
              <w:t xml:space="preserve">Responses per </w:t>
            </w:r>
          </w:p>
          <w:p w:rsidR="001E196D" w14:paraId="5FD077D9" w14:textId="77777777">
            <w:pPr>
              <w:spacing w:after="0" w:line="259" w:lineRule="auto"/>
              <w:ind w:left="38" w:firstLine="0"/>
            </w:pPr>
            <w:r>
              <w:rPr>
                <w:rFonts w:ascii="Calibri" w:eastAsia="Calibri" w:hAnsi="Calibri" w:cs="Calibri"/>
                <w:sz w:val="20"/>
              </w:rPr>
              <w:t xml:space="preserve">Respondent </w:t>
            </w:r>
          </w:p>
        </w:tc>
        <w:tc>
          <w:tcPr>
            <w:tcW w:w="1441" w:type="dxa"/>
            <w:tcBorders>
              <w:top w:val="single" w:sz="8" w:space="0" w:color="000000"/>
              <w:left w:val="single" w:sz="8" w:space="0" w:color="000000"/>
              <w:bottom w:val="single" w:sz="8" w:space="0" w:color="000000"/>
              <w:right w:val="single" w:sz="8" w:space="0" w:color="000000"/>
            </w:tcBorders>
            <w:vAlign w:val="center"/>
          </w:tcPr>
          <w:p w:rsidR="001E196D" w14:paraId="5B92BB76" w14:textId="77777777">
            <w:pPr>
              <w:spacing w:after="0" w:line="259" w:lineRule="auto"/>
              <w:ind w:left="0" w:right="45" w:firstLine="0"/>
              <w:jc w:val="center"/>
            </w:pPr>
            <w:r>
              <w:rPr>
                <w:rFonts w:ascii="Calibri" w:eastAsia="Calibri" w:hAnsi="Calibri" w:cs="Calibri"/>
                <w:sz w:val="20"/>
              </w:rPr>
              <w:t xml:space="preserve">Total </w:t>
            </w:r>
          </w:p>
          <w:p w:rsidR="001E196D" w14:paraId="272E92D5" w14:textId="77777777">
            <w:pPr>
              <w:spacing w:after="0" w:line="259" w:lineRule="auto"/>
              <w:ind w:left="0" w:right="45" w:firstLine="0"/>
              <w:jc w:val="center"/>
            </w:pPr>
            <w:r>
              <w:rPr>
                <w:rFonts w:ascii="Calibri" w:eastAsia="Calibri" w:hAnsi="Calibri" w:cs="Calibri"/>
                <w:sz w:val="20"/>
              </w:rPr>
              <w:t xml:space="preserve">Responses </w:t>
            </w:r>
          </w:p>
        </w:tc>
        <w:tc>
          <w:tcPr>
            <w:tcW w:w="1351" w:type="dxa"/>
            <w:tcBorders>
              <w:top w:val="single" w:sz="8" w:space="0" w:color="000000"/>
              <w:left w:val="single" w:sz="8" w:space="0" w:color="000000"/>
              <w:bottom w:val="single" w:sz="8" w:space="0" w:color="000000"/>
              <w:right w:val="single" w:sz="8" w:space="0" w:color="000000"/>
            </w:tcBorders>
            <w:vAlign w:val="center"/>
          </w:tcPr>
          <w:p w:rsidR="001E196D" w14:paraId="40C3BD9C" w14:textId="77777777">
            <w:pPr>
              <w:spacing w:after="0" w:line="259" w:lineRule="auto"/>
              <w:ind w:left="0" w:firstLine="0"/>
              <w:jc w:val="center"/>
            </w:pPr>
            <w:r>
              <w:rPr>
                <w:rFonts w:ascii="Calibri" w:eastAsia="Calibri" w:hAnsi="Calibri" w:cs="Calibri"/>
                <w:sz w:val="20"/>
              </w:rPr>
              <w:t>Burden per Response</w:t>
            </w:r>
            <w:r>
              <w:rPr>
                <w:rFonts w:ascii="Calibri" w:eastAsia="Calibri" w:hAnsi="Calibri" w:cs="Calibri"/>
                <w:sz w:val="31"/>
                <w:vertAlign w:val="subscript"/>
              </w:rPr>
              <w:t xml:space="preserve"> </w:t>
            </w:r>
            <w:r>
              <w:rPr>
                <w:rFonts w:ascii="Calibri" w:eastAsia="Calibri" w:hAnsi="Calibri" w:cs="Calibri"/>
                <w:sz w:val="31"/>
                <w:vertAlign w:val="subscript"/>
              </w:rPr>
              <w:tab/>
            </w:r>
            <w:r>
              <w:rPr>
                <w:rFonts w:ascii="Calibri" w:eastAsia="Calibri" w:hAnsi="Calibri" w:cs="Calibri"/>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1E196D" w14:paraId="304DE769" w14:textId="77777777">
            <w:pPr>
              <w:spacing w:after="0" w:line="259" w:lineRule="auto"/>
              <w:ind w:left="0" w:right="83" w:firstLine="0"/>
              <w:jc w:val="center"/>
            </w:pPr>
            <w:r>
              <w:rPr>
                <w:rFonts w:ascii="Calibri" w:eastAsia="Calibri" w:hAnsi="Calibri" w:cs="Calibri"/>
                <w:sz w:val="20"/>
              </w:rPr>
              <w:t xml:space="preserve">Total </w:t>
            </w:r>
          </w:p>
          <w:p w:rsidR="001E196D" w14:paraId="37B3638A" w14:textId="77777777">
            <w:pPr>
              <w:spacing w:after="0" w:line="259" w:lineRule="auto"/>
              <w:ind w:left="0" w:right="84" w:firstLine="0"/>
              <w:jc w:val="center"/>
            </w:pPr>
            <w:r>
              <w:rPr>
                <w:rFonts w:ascii="Calibri" w:eastAsia="Calibri" w:hAnsi="Calibri" w:cs="Calibri"/>
                <w:sz w:val="20"/>
              </w:rPr>
              <w:t xml:space="preserve">Annual </w:t>
            </w:r>
          </w:p>
          <w:p w:rsidR="001E196D" w14:paraId="77FE680A" w14:textId="77777777">
            <w:pPr>
              <w:spacing w:after="0" w:line="259" w:lineRule="auto"/>
              <w:ind w:left="0" w:right="84" w:firstLine="0"/>
              <w:jc w:val="center"/>
            </w:pPr>
            <w:r>
              <w:rPr>
                <w:rFonts w:ascii="Calibri" w:eastAsia="Calibri" w:hAnsi="Calibri" w:cs="Calibri"/>
                <w:sz w:val="20"/>
              </w:rPr>
              <w:t xml:space="preserve">Burden </w:t>
            </w:r>
          </w:p>
          <w:p w:rsidR="001E196D" w14:paraId="75EA4FB3" w14:textId="77777777">
            <w:pPr>
              <w:spacing w:after="0" w:line="259" w:lineRule="auto"/>
              <w:ind w:left="0" w:right="81" w:firstLine="0"/>
              <w:jc w:val="center"/>
            </w:pPr>
            <w:r>
              <w:rPr>
                <w:rFonts w:ascii="Calibri" w:eastAsia="Calibri" w:hAnsi="Calibri" w:cs="Calibri"/>
                <w:sz w:val="20"/>
              </w:rPr>
              <w:t xml:space="preserve">(hours) </w:t>
            </w:r>
          </w:p>
        </w:tc>
        <w:tc>
          <w:tcPr>
            <w:tcW w:w="2521" w:type="dxa"/>
            <w:tcBorders>
              <w:top w:val="single" w:sz="8" w:space="0" w:color="000000"/>
              <w:left w:val="single" w:sz="8" w:space="0" w:color="000000"/>
              <w:bottom w:val="single" w:sz="8" w:space="0" w:color="000000"/>
              <w:right w:val="single" w:sz="8" w:space="0" w:color="000000"/>
            </w:tcBorders>
          </w:tcPr>
          <w:p w:rsidR="001E196D" w14:paraId="390080D6" w14:textId="77777777">
            <w:pPr>
              <w:spacing w:after="0" w:line="259" w:lineRule="auto"/>
              <w:ind w:left="0" w:right="80" w:firstLine="0"/>
              <w:jc w:val="center"/>
            </w:pPr>
            <w:r>
              <w:rPr>
                <w:rFonts w:ascii="Calibri" w:eastAsia="Calibri" w:hAnsi="Calibri" w:cs="Calibri"/>
                <w:sz w:val="20"/>
              </w:rPr>
              <w:t xml:space="preserve">Hourly Labor </w:t>
            </w:r>
          </w:p>
          <w:p w:rsidR="001E196D" w14:paraId="635B607D" w14:textId="77777777">
            <w:pPr>
              <w:spacing w:after="0" w:line="259" w:lineRule="auto"/>
              <w:ind w:left="0" w:right="89" w:firstLine="0"/>
              <w:jc w:val="center"/>
            </w:pPr>
            <w:r>
              <w:rPr>
                <w:rFonts w:ascii="Calibri" w:eastAsia="Calibri" w:hAnsi="Calibri" w:cs="Calibri"/>
                <w:sz w:val="20"/>
              </w:rPr>
              <w:t xml:space="preserve">Cost of </w:t>
            </w:r>
          </w:p>
          <w:p w:rsidR="001E196D" w14:paraId="439197F1" w14:textId="77777777">
            <w:pPr>
              <w:spacing w:after="0" w:line="259" w:lineRule="auto"/>
              <w:ind w:left="0" w:right="45" w:firstLine="0"/>
              <w:jc w:val="center"/>
            </w:pPr>
            <w:r>
              <w:rPr>
                <w:rFonts w:ascii="Calibri" w:eastAsia="Calibri" w:hAnsi="Calibri" w:cs="Calibri"/>
                <w:sz w:val="20"/>
              </w:rPr>
              <w:t xml:space="preserve">Reporting ($/hr.)  GS-12/13 </w:t>
            </w:r>
          </w:p>
        </w:tc>
        <w:tc>
          <w:tcPr>
            <w:tcW w:w="1800" w:type="dxa"/>
            <w:tcBorders>
              <w:top w:val="single" w:sz="8" w:space="0" w:color="000000"/>
              <w:left w:val="single" w:sz="8" w:space="0" w:color="000000"/>
              <w:bottom w:val="single" w:sz="8" w:space="0" w:color="000000"/>
              <w:right w:val="single" w:sz="8" w:space="0" w:color="000000"/>
            </w:tcBorders>
            <w:vAlign w:val="center"/>
          </w:tcPr>
          <w:p w:rsidR="001E196D" w14:paraId="437ECE0B" w14:textId="77777777">
            <w:pPr>
              <w:spacing w:after="0" w:line="259" w:lineRule="auto"/>
              <w:ind w:left="0" w:right="89" w:firstLine="0"/>
              <w:jc w:val="center"/>
            </w:pPr>
            <w:r>
              <w:rPr>
                <w:rFonts w:ascii="Calibri" w:eastAsia="Calibri" w:hAnsi="Calibri" w:cs="Calibri"/>
                <w:sz w:val="20"/>
              </w:rPr>
              <w:t xml:space="preserve">Total </w:t>
            </w:r>
          </w:p>
          <w:p w:rsidR="001E196D" w14:paraId="72B35F80" w14:textId="77777777">
            <w:pPr>
              <w:spacing w:after="0" w:line="259" w:lineRule="auto"/>
              <w:ind w:left="487" w:right="531" w:firstLine="0"/>
              <w:jc w:val="center"/>
            </w:pPr>
            <w:r>
              <w:rPr>
                <w:rFonts w:ascii="Calibri" w:eastAsia="Calibri" w:hAnsi="Calibri" w:cs="Calibri"/>
                <w:sz w:val="20"/>
              </w:rPr>
              <w:t xml:space="preserve">Cost ($) </w:t>
            </w:r>
          </w:p>
        </w:tc>
      </w:tr>
      <w:tr w14:paraId="2C706E50" w14:textId="77777777">
        <w:tblPrEx>
          <w:tblW w:w="10982" w:type="dxa"/>
          <w:tblInd w:w="-540" w:type="dxa"/>
          <w:tblCellMar>
            <w:top w:w="52" w:type="dxa"/>
            <w:left w:w="122" w:type="dxa"/>
            <w:bottom w:w="21" w:type="dxa"/>
            <w:right w:w="37" w:type="dxa"/>
          </w:tblCellMar>
          <w:tblLook w:val="04A0"/>
        </w:tblPrEx>
        <w:trPr>
          <w:trHeight w:val="737"/>
        </w:trPr>
        <w:tc>
          <w:tcPr>
            <w:tcW w:w="1260" w:type="dxa"/>
            <w:tcBorders>
              <w:top w:val="single" w:sz="8" w:space="0" w:color="000000"/>
              <w:left w:val="single" w:sz="8" w:space="0" w:color="000000"/>
              <w:bottom w:val="single" w:sz="8" w:space="0" w:color="000000"/>
              <w:right w:val="single" w:sz="8" w:space="0" w:color="000000"/>
            </w:tcBorders>
            <w:vAlign w:val="center"/>
          </w:tcPr>
          <w:p w:rsidR="001E196D" w14:paraId="15274BDF" w14:textId="77777777">
            <w:pPr>
              <w:spacing w:after="0" w:line="259" w:lineRule="auto"/>
              <w:ind w:left="0" w:right="87" w:firstLine="0"/>
              <w:jc w:val="center"/>
            </w:pPr>
            <w:r>
              <w:rPr>
                <w:rFonts w:ascii="Calibri" w:eastAsia="Calibri" w:hAnsi="Calibri" w:cs="Calibri"/>
                <w:sz w:val="20"/>
              </w:rPr>
              <w:t xml:space="preserve">50  </w:t>
            </w:r>
          </w:p>
        </w:tc>
        <w:tc>
          <w:tcPr>
            <w:tcW w:w="1260" w:type="dxa"/>
            <w:tcBorders>
              <w:top w:val="single" w:sz="8" w:space="0" w:color="000000"/>
              <w:left w:val="single" w:sz="8" w:space="0" w:color="000000"/>
              <w:bottom w:val="single" w:sz="8" w:space="0" w:color="000000"/>
              <w:right w:val="single" w:sz="8" w:space="0" w:color="000000"/>
            </w:tcBorders>
            <w:vAlign w:val="center"/>
          </w:tcPr>
          <w:p w:rsidR="001E196D" w14:paraId="1F9662CF" w14:textId="77777777">
            <w:pPr>
              <w:spacing w:after="0" w:line="259" w:lineRule="auto"/>
              <w:ind w:left="0" w:right="88" w:firstLine="0"/>
              <w:jc w:val="center"/>
            </w:pPr>
            <w:r>
              <w:rPr>
                <w:rFonts w:ascii="Calibri" w:eastAsia="Calibri" w:hAnsi="Calibri" w:cs="Calibri"/>
                <w:sz w:val="20"/>
              </w:rPr>
              <w:t xml:space="preserve">1  </w:t>
            </w:r>
          </w:p>
        </w:tc>
        <w:tc>
          <w:tcPr>
            <w:tcW w:w="1441" w:type="dxa"/>
            <w:tcBorders>
              <w:top w:val="single" w:sz="8" w:space="0" w:color="000000"/>
              <w:left w:val="single" w:sz="8" w:space="0" w:color="000000"/>
              <w:bottom w:val="single" w:sz="8" w:space="0" w:color="000000"/>
              <w:right w:val="single" w:sz="8" w:space="0" w:color="000000"/>
            </w:tcBorders>
            <w:vAlign w:val="center"/>
          </w:tcPr>
          <w:p w:rsidR="001E196D" w14:paraId="67596CE6" w14:textId="77777777">
            <w:pPr>
              <w:spacing w:after="0" w:line="259" w:lineRule="auto"/>
              <w:ind w:left="0" w:right="18" w:firstLine="0"/>
              <w:jc w:val="center"/>
            </w:pPr>
            <w:r>
              <w:rPr>
                <w:rFonts w:ascii="Calibri" w:eastAsia="Calibri" w:hAnsi="Calibri" w:cs="Calibri"/>
                <w:sz w:val="20"/>
              </w:rPr>
              <w:t xml:space="preserve">50 </w:t>
            </w:r>
          </w:p>
        </w:tc>
        <w:tc>
          <w:tcPr>
            <w:tcW w:w="1351" w:type="dxa"/>
            <w:tcBorders>
              <w:top w:val="single" w:sz="8" w:space="0" w:color="000000"/>
              <w:left w:val="single" w:sz="8" w:space="0" w:color="000000"/>
              <w:bottom w:val="single" w:sz="8" w:space="0" w:color="000000"/>
              <w:right w:val="single" w:sz="8" w:space="0" w:color="000000"/>
            </w:tcBorders>
            <w:vAlign w:val="center"/>
          </w:tcPr>
          <w:p w:rsidR="001E196D" w14:paraId="6CB39B41" w14:textId="77777777">
            <w:pPr>
              <w:spacing w:after="0" w:line="259" w:lineRule="auto"/>
              <w:ind w:left="0" w:right="47" w:firstLine="0"/>
              <w:jc w:val="center"/>
            </w:pPr>
            <w:r>
              <w:rPr>
                <w:rFonts w:ascii="Calibri" w:eastAsia="Calibri" w:hAnsi="Calibri" w:cs="Calibri"/>
                <w:sz w:val="20"/>
              </w:rPr>
              <w:t xml:space="preserve">2hr  </w:t>
            </w:r>
          </w:p>
        </w:tc>
        <w:tc>
          <w:tcPr>
            <w:tcW w:w="1349" w:type="dxa"/>
            <w:tcBorders>
              <w:top w:val="single" w:sz="8" w:space="0" w:color="000000"/>
              <w:left w:val="single" w:sz="8" w:space="0" w:color="000000"/>
              <w:bottom w:val="single" w:sz="8" w:space="0" w:color="000000"/>
              <w:right w:val="single" w:sz="8" w:space="0" w:color="000000"/>
            </w:tcBorders>
            <w:vAlign w:val="center"/>
          </w:tcPr>
          <w:p w:rsidR="001E196D" w14:paraId="4157F570" w14:textId="77777777">
            <w:pPr>
              <w:spacing w:after="0" w:line="259" w:lineRule="auto"/>
              <w:ind w:left="0" w:right="36" w:firstLine="0"/>
              <w:jc w:val="center"/>
            </w:pPr>
            <w:r>
              <w:rPr>
                <w:rFonts w:ascii="Calibri" w:eastAsia="Calibri" w:hAnsi="Calibri" w:cs="Calibri"/>
                <w:sz w:val="20"/>
              </w:rPr>
              <w:t xml:space="preserve">100 </w:t>
            </w:r>
            <w:r>
              <w:rPr>
                <w:rFonts w:ascii="Calibri" w:eastAsia="Calibri" w:hAnsi="Calibri" w:cs="Calibri"/>
                <w:sz w:val="20"/>
              </w:rPr>
              <w:t>hrs</w:t>
            </w:r>
            <w:r>
              <w:rPr>
                <w:rFonts w:ascii="Calibri" w:eastAsia="Calibri" w:hAnsi="Calibri" w:cs="Calibri"/>
                <w:sz w:val="20"/>
              </w:rPr>
              <w:t xml:space="preserve"> </w:t>
            </w:r>
          </w:p>
        </w:tc>
        <w:tc>
          <w:tcPr>
            <w:tcW w:w="2521" w:type="dxa"/>
            <w:tcBorders>
              <w:top w:val="single" w:sz="8" w:space="0" w:color="000000"/>
              <w:left w:val="single" w:sz="8" w:space="0" w:color="000000"/>
              <w:bottom w:val="single" w:sz="8" w:space="0" w:color="000000"/>
              <w:right w:val="single" w:sz="8" w:space="0" w:color="000000"/>
            </w:tcBorders>
            <w:vAlign w:val="center"/>
          </w:tcPr>
          <w:p w:rsidR="001E196D" w14:paraId="666FA805" w14:textId="77777777">
            <w:pPr>
              <w:spacing w:after="0" w:line="259" w:lineRule="auto"/>
              <w:ind w:left="0" w:right="93" w:firstLine="0"/>
              <w:jc w:val="center"/>
            </w:pPr>
            <w:r>
              <w:rPr>
                <w:rFonts w:ascii="Calibri" w:eastAsia="Calibri" w:hAnsi="Calibri" w:cs="Calibri"/>
                <w:sz w:val="20"/>
              </w:rPr>
              <w:t xml:space="preserve">$46.09 </w:t>
            </w:r>
          </w:p>
        </w:tc>
        <w:tc>
          <w:tcPr>
            <w:tcW w:w="1800" w:type="dxa"/>
            <w:tcBorders>
              <w:top w:val="single" w:sz="8" w:space="0" w:color="000000"/>
              <w:left w:val="single" w:sz="8" w:space="0" w:color="000000"/>
              <w:bottom w:val="single" w:sz="8" w:space="0" w:color="000000"/>
              <w:right w:val="single" w:sz="8" w:space="0" w:color="000000"/>
            </w:tcBorders>
            <w:vAlign w:val="center"/>
          </w:tcPr>
          <w:p w:rsidR="001E196D" w14:paraId="648DBBF4" w14:textId="77777777">
            <w:pPr>
              <w:spacing w:after="0" w:line="259" w:lineRule="auto"/>
              <w:ind w:left="0" w:right="48" w:firstLine="0"/>
              <w:jc w:val="center"/>
            </w:pPr>
            <w:r>
              <w:rPr>
                <w:rFonts w:ascii="Calibri" w:eastAsia="Calibri" w:hAnsi="Calibri" w:cs="Calibri"/>
                <w:sz w:val="20"/>
              </w:rPr>
              <w:t xml:space="preserve">$4609 </w:t>
            </w:r>
          </w:p>
        </w:tc>
      </w:tr>
    </w:tbl>
    <w:p w:rsidR="00AF0CC3" w14:paraId="7B5597AB" w14:textId="77777777">
      <w:pPr>
        <w:ind w:right="9"/>
      </w:pPr>
    </w:p>
    <w:p w:rsidR="001E196D" w14:paraId="7044B166" w14:textId="7E7C22F2">
      <w:pPr>
        <w:ind w:right="9"/>
      </w:pPr>
      <w:r>
        <w:t>In the nomination packet, the applicants will demonstrate measurable results in reducing a CMS identified disparity in the 3 Categories and 1 Bonus Category. They will also describe their systemic approach to health equity through targeted activities that are aligned with CMS priorities and the CMS Disparities Impact Statement</w:t>
      </w:r>
      <w:r>
        <w:t xml:space="preserve">.  </w:t>
      </w:r>
    </w:p>
    <w:p w:rsidR="001E196D" w14:paraId="16569B0E" w14:textId="77777777">
      <w:pPr>
        <w:spacing w:after="0" w:line="259" w:lineRule="auto"/>
        <w:ind w:left="0" w:firstLine="0"/>
      </w:pPr>
      <w:r>
        <w:t xml:space="preserve"> </w:t>
      </w:r>
    </w:p>
    <w:p w:rsidR="001E196D" w14:paraId="13872B73" w14:textId="77777777">
      <w:pPr>
        <w:spacing w:after="12"/>
        <w:ind w:left="-5"/>
      </w:pPr>
      <w:r>
        <w:rPr>
          <w:b/>
          <w:sz w:val="22"/>
        </w:rPr>
        <w:t xml:space="preserve">#1 Disparity Among Priority Population </w:t>
      </w:r>
      <w:r>
        <w:rPr>
          <w:sz w:val="22"/>
        </w:rPr>
        <w:t xml:space="preserve">Organization addressing a disparity among a priority population:  </w:t>
      </w:r>
    </w:p>
    <w:p w:rsidR="001E196D" w14:paraId="439A9991" w14:textId="77777777">
      <w:pPr>
        <w:numPr>
          <w:ilvl w:val="0"/>
          <w:numId w:val="2"/>
        </w:numPr>
        <w:spacing w:after="12"/>
        <w:ind w:hanging="127"/>
      </w:pPr>
      <w:r>
        <w:rPr>
          <w:sz w:val="22"/>
        </w:rPr>
        <w:t xml:space="preserve">Racial/ethnic minority (includes LEP)  </w:t>
      </w:r>
    </w:p>
    <w:p w:rsidR="001E196D" w14:paraId="1D0231C2" w14:textId="77777777">
      <w:pPr>
        <w:numPr>
          <w:ilvl w:val="0"/>
          <w:numId w:val="2"/>
        </w:numPr>
        <w:spacing w:after="12"/>
        <w:ind w:hanging="127"/>
      </w:pPr>
      <w:r>
        <w:rPr>
          <w:sz w:val="22"/>
        </w:rPr>
        <w:t xml:space="preserve">Sexual/gender minority  </w:t>
      </w:r>
    </w:p>
    <w:p w:rsidR="001E196D" w14:paraId="783BB065" w14:textId="77777777">
      <w:pPr>
        <w:numPr>
          <w:ilvl w:val="0"/>
          <w:numId w:val="2"/>
        </w:numPr>
        <w:spacing w:after="12"/>
        <w:ind w:hanging="127"/>
      </w:pPr>
      <w:r>
        <w:rPr>
          <w:sz w:val="22"/>
        </w:rPr>
        <w:t xml:space="preserve">Individuals with disability  </w:t>
      </w:r>
    </w:p>
    <w:p w:rsidR="001E196D" w14:paraId="24EB197D" w14:textId="77777777">
      <w:pPr>
        <w:numPr>
          <w:ilvl w:val="0"/>
          <w:numId w:val="2"/>
        </w:numPr>
        <w:spacing w:after="12"/>
        <w:ind w:hanging="127"/>
      </w:pPr>
      <w:r>
        <w:rPr>
          <w:sz w:val="22"/>
        </w:rPr>
        <w:t xml:space="preserve">Individuals living in a rural or underserved </w:t>
      </w:r>
      <w:r>
        <w:rPr>
          <w:sz w:val="22"/>
        </w:rPr>
        <w:t>area</w:t>
      </w:r>
      <w:r>
        <w:rPr>
          <w:sz w:val="22"/>
        </w:rPr>
        <w:t xml:space="preserve"> </w:t>
      </w:r>
    </w:p>
    <w:p w:rsidR="001E196D" w14:paraId="6A3DA18E" w14:textId="77777777">
      <w:pPr>
        <w:spacing w:after="0" w:line="259" w:lineRule="auto"/>
        <w:ind w:left="0" w:firstLine="0"/>
      </w:pPr>
      <w:r>
        <w:rPr>
          <w:sz w:val="22"/>
        </w:rPr>
        <w:t xml:space="preserve"> </w:t>
      </w:r>
    </w:p>
    <w:p w:rsidR="001E196D" w14:paraId="596BB9EC" w14:textId="77777777">
      <w:pPr>
        <w:spacing w:after="0" w:line="259" w:lineRule="auto"/>
        <w:ind w:left="-5"/>
      </w:pPr>
      <w:r>
        <w:rPr>
          <w:sz w:val="22"/>
        </w:rPr>
        <w:t>#2</w:t>
      </w:r>
      <w:r>
        <w:t xml:space="preserve"> </w:t>
      </w:r>
      <w:r>
        <w:rPr>
          <w:b/>
          <w:sz w:val="22"/>
        </w:rPr>
        <w:t xml:space="preserve">Health Equity Activity </w:t>
      </w:r>
      <w:r>
        <w:rPr>
          <w:sz w:val="22"/>
        </w:rPr>
        <w:t xml:space="preserve"> </w:t>
      </w:r>
    </w:p>
    <w:p w:rsidR="001E196D" w14:paraId="14C87DCF" w14:textId="77777777">
      <w:pPr>
        <w:spacing w:after="12"/>
        <w:ind w:left="-5"/>
      </w:pPr>
      <w:r>
        <w:rPr>
          <w:sz w:val="22"/>
        </w:rPr>
        <w:t>Activity/activities submitted is clearly linked to increase health equity and reduce disparities</w:t>
      </w:r>
      <w:r>
        <w:rPr>
          <w:sz w:val="22"/>
        </w:rPr>
        <w:t xml:space="preserve">.  </w:t>
      </w:r>
      <w:r>
        <w:rPr>
          <w:sz w:val="22"/>
        </w:rPr>
        <w:t xml:space="preserve"> </w:t>
      </w:r>
      <w:r>
        <w:t xml:space="preserve"> </w:t>
      </w:r>
    </w:p>
    <w:p w:rsidR="001E196D" w14:paraId="6A8F3754" w14:textId="77777777">
      <w:pPr>
        <w:spacing w:after="0" w:line="259" w:lineRule="auto"/>
        <w:ind w:left="0" w:firstLine="0"/>
      </w:pPr>
      <w:r>
        <w:rPr>
          <w:sz w:val="22"/>
        </w:rPr>
        <w:t xml:space="preserve"> </w:t>
      </w:r>
    </w:p>
    <w:p w:rsidR="001E196D" w14:paraId="134A7626" w14:textId="77777777">
      <w:pPr>
        <w:spacing w:after="0" w:line="259" w:lineRule="auto"/>
        <w:ind w:left="-5"/>
      </w:pPr>
      <w:r>
        <w:rPr>
          <w:sz w:val="22"/>
        </w:rPr>
        <w:t xml:space="preserve">#3 </w:t>
      </w:r>
      <w:r>
        <w:rPr>
          <w:b/>
          <w:sz w:val="22"/>
        </w:rPr>
        <w:t xml:space="preserve">Results </w:t>
      </w:r>
      <w:r>
        <w:rPr>
          <w:sz w:val="22"/>
        </w:rPr>
        <w:t xml:space="preserve"> </w:t>
      </w:r>
    </w:p>
    <w:p w:rsidR="001E196D" w14:paraId="2AA3411C" w14:textId="77777777">
      <w:pPr>
        <w:spacing w:after="12"/>
        <w:ind w:left="-5"/>
      </w:pPr>
      <w:r>
        <w:rPr>
          <w:sz w:val="22"/>
        </w:rPr>
        <w:t>Organization demonstrates results of reducing a disparity in health care quality, access, or outcomes</w:t>
      </w:r>
      <w:r>
        <w:rPr>
          <w:sz w:val="22"/>
        </w:rPr>
        <w:t xml:space="preserve">.  </w:t>
      </w:r>
    </w:p>
    <w:p w:rsidR="001E196D" w14:paraId="54059694" w14:textId="77777777">
      <w:pPr>
        <w:spacing w:after="0" w:line="259" w:lineRule="auto"/>
        <w:ind w:left="0" w:firstLine="0"/>
      </w:pPr>
      <w:r>
        <w:t xml:space="preserve"> </w:t>
      </w:r>
    </w:p>
    <w:p w:rsidR="001E196D" w14:paraId="756E8993" w14:textId="77777777">
      <w:pPr>
        <w:spacing w:after="0" w:line="259" w:lineRule="auto"/>
        <w:ind w:left="-5"/>
      </w:pPr>
      <w:r>
        <w:rPr>
          <w:b/>
          <w:sz w:val="22"/>
        </w:rPr>
        <w:t>Additional Criteria to Strengthen a Nomination:</w:t>
      </w:r>
      <w:r>
        <w:rPr>
          <w:sz w:val="22"/>
        </w:rPr>
        <w:t xml:space="preserve"> </w:t>
      </w:r>
    </w:p>
    <w:p w:rsidR="001E196D" w14:paraId="2CA0B621" w14:textId="77777777">
      <w:pPr>
        <w:spacing w:after="12"/>
        <w:ind w:left="-5"/>
      </w:pPr>
      <w:r>
        <w:rPr>
          <w:sz w:val="22"/>
        </w:rPr>
        <w:t>Organization’s efforts include community, patient and family, and stakeholder input and engagement</w:t>
      </w:r>
      <w:r>
        <w:rPr>
          <w:sz w:val="22"/>
        </w:rPr>
        <w:t xml:space="preserve">.  </w:t>
      </w:r>
      <w:r>
        <w:rPr>
          <w:sz w:val="22"/>
        </w:rPr>
        <w:t xml:space="preserve">Organization focused on one or more CMS Quality Strategy area or other CMS priority: </w:t>
      </w:r>
    </w:p>
    <w:p w:rsidR="001E196D" w14:paraId="2C77CEDB" w14:textId="77777777">
      <w:pPr>
        <w:numPr>
          <w:ilvl w:val="0"/>
          <w:numId w:val="3"/>
        </w:numPr>
        <w:spacing w:after="12"/>
        <w:ind w:hanging="221"/>
      </w:pPr>
      <w:r>
        <w:rPr>
          <w:sz w:val="22"/>
        </w:rPr>
        <w:t xml:space="preserve">Make Care Safer by Reducing Harm  </w:t>
      </w:r>
    </w:p>
    <w:p w:rsidR="001E196D" w14:paraId="0B476A40" w14:textId="77777777">
      <w:pPr>
        <w:numPr>
          <w:ilvl w:val="0"/>
          <w:numId w:val="3"/>
        </w:numPr>
        <w:spacing w:after="12"/>
        <w:ind w:hanging="221"/>
      </w:pPr>
      <w:r>
        <w:rPr>
          <w:sz w:val="22"/>
        </w:rPr>
        <w:t xml:space="preserve">Strengthen Person and Family Engagement </w:t>
      </w:r>
    </w:p>
    <w:p w:rsidR="001E196D" w14:paraId="4DC3BFB0" w14:textId="77777777">
      <w:pPr>
        <w:numPr>
          <w:ilvl w:val="0"/>
          <w:numId w:val="3"/>
        </w:numPr>
        <w:spacing w:after="12"/>
        <w:ind w:hanging="221"/>
      </w:pPr>
      <w:r>
        <w:rPr>
          <w:sz w:val="22"/>
        </w:rPr>
        <w:t xml:space="preserve">Promote Effective Communication and Coordination of Care </w:t>
      </w:r>
    </w:p>
    <w:p w:rsidR="001E196D" w14:paraId="699DA3BE" w14:textId="77777777">
      <w:pPr>
        <w:numPr>
          <w:ilvl w:val="0"/>
          <w:numId w:val="3"/>
        </w:numPr>
        <w:spacing w:after="12"/>
        <w:ind w:hanging="221"/>
      </w:pPr>
      <w:r>
        <w:rPr>
          <w:sz w:val="22"/>
        </w:rPr>
        <w:t xml:space="preserve">Promote Effective Prevention and Treatment of Chronic Disease </w:t>
      </w:r>
    </w:p>
    <w:p w:rsidR="001E196D" w14:paraId="5F9FA3F0" w14:textId="77777777">
      <w:pPr>
        <w:numPr>
          <w:ilvl w:val="0"/>
          <w:numId w:val="3"/>
        </w:numPr>
        <w:spacing w:after="12"/>
        <w:ind w:hanging="221"/>
      </w:pPr>
      <w:r>
        <w:rPr>
          <w:sz w:val="22"/>
        </w:rPr>
        <w:t xml:space="preserve">Work with Communities to Promote Best Practices of Healthy Living </w:t>
      </w:r>
    </w:p>
    <w:p w:rsidR="001E196D" w14:paraId="0A6107F5" w14:textId="77777777">
      <w:pPr>
        <w:numPr>
          <w:ilvl w:val="0"/>
          <w:numId w:val="3"/>
        </w:numPr>
        <w:spacing w:after="12"/>
        <w:ind w:hanging="221"/>
      </w:pPr>
      <w:r>
        <w:rPr>
          <w:sz w:val="22"/>
        </w:rPr>
        <w:t xml:space="preserve">Make Care Affordable  </w:t>
      </w:r>
    </w:p>
    <w:p w:rsidR="001E196D" w14:paraId="477AE658" w14:textId="77777777">
      <w:pPr>
        <w:spacing w:after="0" w:line="259" w:lineRule="auto"/>
        <w:ind w:left="0" w:firstLine="0"/>
        <w:rPr>
          <w:rFonts w:ascii="Calibri" w:eastAsia="Calibri" w:hAnsi="Calibri" w:cs="Calibri"/>
        </w:rPr>
      </w:pPr>
      <w:r>
        <w:rPr>
          <w:rFonts w:ascii="Calibri" w:eastAsia="Calibri" w:hAnsi="Calibri" w:cs="Calibri"/>
        </w:rPr>
        <w:t xml:space="preserve"> </w:t>
      </w:r>
    </w:p>
    <w:p w:rsidR="001E196D" w:rsidP="004E7FC9" w14:paraId="46D08B89" w14:textId="10F80E20">
      <w:pPr>
        <w:spacing w:after="0" w:line="259" w:lineRule="auto"/>
        <w:ind w:left="0" w:firstLine="0"/>
      </w:pPr>
      <w:r>
        <w:t xml:space="preserve"> 13. </w:t>
      </w:r>
      <w:r>
        <w:rPr>
          <w:u w:val="single" w:color="000000"/>
        </w:rPr>
        <w:t>Capital Costs</w:t>
      </w:r>
      <w:r>
        <w:t xml:space="preserve">   </w:t>
      </w:r>
    </w:p>
    <w:p w:rsidR="004E7FC9" w:rsidP="004E7FC9" w14:paraId="74444B3D" w14:textId="77777777">
      <w:pPr>
        <w:spacing w:after="0" w:line="259" w:lineRule="auto"/>
        <w:ind w:left="0" w:firstLine="0"/>
      </w:pPr>
      <w:r>
        <w:t xml:space="preserve">  </w:t>
      </w:r>
      <w:r>
        <w:tab/>
      </w:r>
    </w:p>
    <w:p w:rsidR="001E196D" w:rsidP="004E7FC9" w14:paraId="2E714494" w14:textId="1742AF1B">
      <w:pPr>
        <w:spacing w:after="0" w:line="259" w:lineRule="auto"/>
        <w:ind w:left="0" w:firstLine="0"/>
      </w:pPr>
      <w:r>
        <w:t xml:space="preserve">There are no Capital Costs for this collection of information. </w:t>
      </w:r>
    </w:p>
    <w:p w:rsidR="001E196D" w14:paraId="4A60C0C6" w14:textId="77777777">
      <w:pPr>
        <w:spacing w:after="0" w:line="259" w:lineRule="auto"/>
        <w:ind w:left="0" w:firstLine="0"/>
      </w:pPr>
      <w:r>
        <w:t xml:space="preserve"> </w:t>
      </w:r>
    </w:p>
    <w:p w:rsidR="001E196D" w14:paraId="7CD0520E" w14:textId="77777777">
      <w:pPr>
        <w:pStyle w:val="Heading2"/>
        <w:ind w:left="-5"/>
      </w:pPr>
      <w:r>
        <w:rPr>
          <w:u w:val="none"/>
        </w:rPr>
        <w:t xml:space="preserve">14. </w:t>
      </w:r>
      <w:r>
        <w:t>Cost to Federal Government</w:t>
      </w:r>
      <w:r>
        <w:rPr>
          <w:u w:val="none"/>
        </w:rPr>
        <w:t xml:space="preserve"> </w:t>
      </w:r>
    </w:p>
    <w:p w:rsidR="001E196D" w14:paraId="5EE8D307" w14:textId="77777777">
      <w:pPr>
        <w:spacing w:after="0" w:line="259" w:lineRule="auto"/>
        <w:ind w:left="0" w:firstLine="0"/>
      </w:pPr>
      <w:r>
        <w:t xml:space="preserve"> </w:t>
      </w:r>
    </w:p>
    <w:p w:rsidR="001E196D" w14:paraId="24F49BC5" w14:textId="77777777">
      <w:pPr>
        <w:spacing w:after="0" w:line="259" w:lineRule="auto"/>
        <w:ind w:left="432" w:firstLine="0"/>
      </w:pPr>
      <w:r>
        <w:t xml:space="preserve"> </w:t>
      </w:r>
    </w:p>
    <w:tbl>
      <w:tblPr>
        <w:tblStyle w:val="TableGrid"/>
        <w:tblW w:w="8572" w:type="dxa"/>
        <w:tblInd w:w="924" w:type="dxa"/>
        <w:tblCellMar>
          <w:top w:w="43" w:type="dxa"/>
          <w:left w:w="108" w:type="dxa"/>
          <w:right w:w="67" w:type="dxa"/>
        </w:tblCellMar>
        <w:tblLook w:val="04A0"/>
      </w:tblPr>
      <w:tblGrid>
        <w:gridCol w:w="2234"/>
        <w:gridCol w:w="2264"/>
        <w:gridCol w:w="2009"/>
        <w:gridCol w:w="2065"/>
      </w:tblGrid>
      <w:tr w14:paraId="57C660AF" w14:textId="77777777">
        <w:tblPrEx>
          <w:tblW w:w="8572" w:type="dxa"/>
          <w:tblInd w:w="924" w:type="dxa"/>
          <w:tblCellMar>
            <w:top w:w="43" w:type="dxa"/>
            <w:left w:w="108" w:type="dxa"/>
            <w:right w:w="67" w:type="dxa"/>
          </w:tblCellMar>
          <w:tblLook w:val="04A0"/>
        </w:tblPrEx>
        <w:trPr>
          <w:trHeight w:val="506"/>
        </w:trPr>
        <w:tc>
          <w:tcPr>
            <w:tcW w:w="2235" w:type="dxa"/>
            <w:tcBorders>
              <w:top w:val="single" w:sz="8" w:space="0" w:color="000000"/>
              <w:left w:val="single" w:sz="8" w:space="0" w:color="000000"/>
              <w:bottom w:val="single" w:sz="8" w:space="0" w:color="000000"/>
              <w:right w:val="single" w:sz="8" w:space="0" w:color="000000"/>
            </w:tcBorders>
          </w:tcPr>
          <w:p w:rsidR="001E196D" w14:paraId="5708A171" w14:textId="77777777">
            <w:pPr>
              <w:spacing w:after="0" w:line="259" w:lineRule="auto"/>
              <w:ind w:left="0" w:firstLine="0"/>
            </w:pPr>
            <w:r>
              <w:rPr>
                <w:rFonts w:ascii="Calibri" w:eastAsia="Calibri" w:hAnsi="Calibri" w:cs="Calibri"/>
                <w:sz w:val="20"/>
              </w:rPr>
              <w:t xml:space="preserve">Who </w:t>
            </w:r>
          </w:p>
        </w:tc>
        <w:tc>
          <w:tcPr>
            <w:tcW w:w="2264" w:type="dxa"/>
            <w:tcBorders>
              <w:top w:val="single" w:sz="8" w:space="0" w:color="000000"/>
              <w:left w:val="single" w:sz="8" w:space="0" w:color="000000"/>
              <w:bottom w:val="single" w:sz="8" w:space="0" w:color="000000"/>
              <w:right w:val="single" w:sz="8" w:space="0" w:color="000000"/>
            </w:tcBorders>
          </w:tcPr>
          <w:p w:rsidR="001E196D" w14:paraId="012653D5" w14:textId="77777777">
            <w:pPr>
              <w:spacing w:after="0" w:line="259" w:lineRule="auto"/>
              <w:ind w:left="0" w:firstLine="0"/>
            </w:pPr>
            <w:r>
              <w:rPr>
                <w:rFonts w:ascii="Calibri" w:eastAsia="Calibri" w:hAnsi="Calibri" w:cs="Calibri"/>
                <w:sz w:val="20"/>
              </w:rPr>
              <w:t xml:space="preserve">What </w:t>
            </w:r>
          </w:p>
        </w:tc>
        <w:tc>
          <w:tcPr>
            <w:tcW w:w="2009" w:type="dxa"/>
            <w:tcBorders>
              <w:top w:val="single" w:sz="8" w:space="0" w:color="000000"/>
              <w:left w:val="single" w:sz="8" w:space="0" w:color="000000"/>
              <w:bottom w:val="single" w:sz="8" w:space="0" w:color="000000"/>
              <w:right w:val="single" w:sz="8" w:space="0" w:color="000000"/>
            </w:tcBorders>
          </w:tcPr>
          <w:p w:rsidR="001E196D" w14:paraId="366AB572" w14:textId="77777777">
            <w:pPr>
              <w:spacing w:after="0" w:line="259" w:lineRule="auto"/>
              <w:ind w:left="0" w:right="45" w:firstLine="0"/>
              <w:jc w:val="center"/>
            </w:pPr>
            <w:r>
              <w:rPr>
                <w:rFonts w:ascii="Calibri" w:eastAsia="Calibri" w:hAnsi="Calibri" w:cs="Calibri"/>
                <w:sz w:val="20"/>
              </w:rPr>
              <w:t xml:space="preserve">Time </w:t>
            </w:r>
          </w:p>
        </w:tc>
        <w:tc>
          <w:tcPr>
            <w:tcW w:w="2065" w:type="dxa"/>
            <w:tcBorders>
              <w:top w:val="single" w:sz="8" w:space="0" w:color="000000"/>
              <w:left w:val="single" w:sz="8" w:space="0" w:color="000000"/>
              <w:bottom w:val="single" w:sz="8" w:space="0" w:color="000000"/>
              <w:right w:val="single" w:sz="8" w:space="0" w:color="000000"/>
            </w:tcBorders>
          </w:tcPr>
          <w:p w:rsidR="001E196D" w14:paraId="36BFB08E" w14:textId="77777777">
            <w:pPr>
              <w:spacing w:after="0" w:line="259" w:lineRule="auto"/>
              <w:ind w:left="0" w:firstLine="0"/>
            </w:pPr>
            <w:r>
              <w:rPr>
                <w:rFonts w:ascii="Calibri" w:eastAsia="Calibri" w:hAnsi="Calibri" w:cs="Calibri"/>
                <w:sz w:val="20"/>
              </w:rPr>
              <w:t xml:space="preserve">Cost 12/13 (w/o </w:t>
            </w:r>
          </w:p>
          <w:p w:rsidR="001E196D" w14:paraId="72E50A3B" w14:textId="77777777">
            <w:pPr>
              <w:spacing w:after="0" w:line="259" w:lineRule="auto"/>
              <w:ind w:left="0" w:firstLine="0"/>
            </w:pPr>
            <w:r>
              <w:rPr>
                <w:rFonts w:ascii="Calibri" w:eastAsia="Calibri" w:hAnsi="Calibri" w:cs="Calibri"/>
                <w:sz w:val="20"/>
              </w:rPr>
              <w:t xml:space="preserve">Locality &amp; at Step 1) </w:t>
            </w:r>
          </w:p>
        </w:tc>
      </w:tr>
      <w:tr w14:paraId="141F8BF3" w14:textId="77777777">
        <w:tblPrEx>
          <w:tblW w:w="8572" w:type="dxa"/>
          <w:tblInd w:w="924" w:type="dxa"/>
          <w:tblCellMar>
            <w:top w:w="43" w:type="dxa"/>
            <w:left w:w="108" w:type="dxa"/>
            <w:right w:w="67" w:type="dxa"/>
          </w:tblCellMar>
          <w:tblLook w:val="04A0"/>
        </w:tblPrEx>
        <w:trPr>
          <w:trHeight w:val="509"/>
        </w:trPr>
        <w:tc>
          <w:tcPr>
            <w:tcW w:w="2235" w:type="dxa"/>
            <w:tcBorders>
              <w:top w:val="single" w:sz="8" w:space="0" w:color="000000"/>
              <w:left w:val="single" w:sz="8" w:space="0" w:color="000000"/>
              <w:bottom w:val="single" w:sz="8" w:space="0" w:color="000000"/>
              <w:right w:val="single" w:sz="8" w:space="0" w:color="000000"/>
            </w:tcBorders>
          </w:tcPr>
          <w:p w:rsidR="001E196D" w14:paraId="7077FF19" w14:textId="77777777">
            <w:pPr>
              <w:spacing w:after="0" w:line="259" w:lineRule="auto"/>
              <w:ind w:left="0" w:firstLine="0"/>
            </w:pPr>
            <w:r>
              <w:rPr>
                <w:rFonts w:ascii="Calibri" w:eastAsia="Calibri" w:hAnsi="Calibri" w:cs="Calibri"/>
                <w:sz w:val="20"/>
              </w:rPr>
              <w:t xml:space="preserve">OMH Staff (GS 12/13s) </w:t>
            </w:r>
          </w:p>
        </w:tc>
        <w:tc>
          <w:tcPr>
            <w:tcW w:w="2264" w:type="dxa"/>
            <w:tcBorders>
              <w:top w:val="single" w:sz="8" w:space="0" w:color="000000"/>
              <w:left w:val="single" w:sz="8" w:space="0" w:color="000000"/>
              <w:bottom w:val="single" w:sz="8" w:space="0" w:color="000000"/>
              <w:right w:val="single" w:sz="8" w:space="0" w:color="000000"/>
            </w:tcBorders>
          </w:tcPr>
          <w:p w:rsidR="001E196D" w14:paraId="46826701" w14:textId="77777777">
            <w:pPr>
              <w:spacing w:after="0" w:line="259" w:lineRule="auto"/>
              <w:ind w:left="0" w:firstLine="0"/>
            </w:pPr>
            <w:r>
              <w:rPr>
                <w:rFonts w:ascii="Calibri" w:eastAsia="Calibri" w:hAnsi="Calibri" w:cs="Calibri"/>
                <w:sz w:val="20"/>
              </w:rPr>
              <w:t xml:space="preserve">Draft Nomination Form </w:t>
            </w:r>
          </w:p>
        </w:tc>
        <w:tc>
          <w:tcPr>
            <w:tcW w:w="2009" w:type="dxa"/>
            <w:tcBorders>
              <w:top w:val="single" w:sz="8" w:space="0" w:color="000000"/>
              <w:left w:val="single" w:sz="8" w:space="0" w:color="000000"/>
              <w:bottom w:val="single" w:sz="8" w:space="0" w:color="000000"/>
              <w:right w:val="single" w:sz="8" w:space="0" w:color="000000"/>
            </w:tcBorders>
          </w:tcPr>
          <w:p w:rsidR="001E196D" w14:paraId="13B67432" w14:textId="77777777">
            <w:pPr>
              <w:spacing w:after="0" w:line="259" w:lineRule="auto"/>
              <w:ind w:left="0" w:right="43" w:firstLine="0"/>
              <w:jc w:val="center"/>
            </w:pPr>
            <w:r>
              <w:rPr>
                <w:rFonts w:ascii="Calibri" w:eastAsia="Calibri" w:hAnsi="Calibri" w:cs="Calibri"/>
                <w:sz w:val="20"/>
              </w:rPr>
              <w:t xml:space="preserve">10 </w:t>
            </w:r>
          </w:p>
        </w:tc>
        <w:tc>
          <w:tcPr>
            <w:tcW w:w="2065" w:type="dxa"/>
            <w:tcBorders>
              <w:top w:val="single" w:sz="8" w:space="0" w:color="000000"/>
              <w:left w:val="single" w:sz="8" w:space="0" w:color="000000"/>
              <w:bottom w:val="single" w:sz="8" w:space="0" w:color="000000"/>
              <w:right w:val="single" w:sz="8" w:space="0" w:color="000000"/>
            </w:tcBorders>
          </w:tcPr>
          <w:p w:rsidR="001E196D" w14:paraId="59946C0B" w14:textId="77777777">
            <w:pPr>
              <w:spacing w:after="0" w:line="259" w:lineRule="auto"/>
              <w:ind w:left="0" w:firstLine="0"/>
            </w:pPr>
            <w:r>
              <w:rPr>
                <w:rFonts w:ascii="Calibri" w:eastAsia="Calibri" w:hAnsi="Calibri" w:cs="Calibri"/>
                <w:sz w:val="20"/>
              </w:rPr>
              <w:t xml:space="preserve"> </w:t>
            </w:r>
          </w:p>
          <w:p w:rsidR="001E196D" w14:paraId="2E01BF95" w14:textId="77777777">
            <w:pPr>
              <w:spacing w:after="0" w:line="259" w:lineRule="auto"/>
              <w:ind w:left="0" w:firstLine="0"/>
            </w:pPr>
            <w:r>
              <w:rPr>
                <w:rFonts w:ascii="Calibri" w:eastAsia="Calibri" w:hAnsi="Calibri" w:cs="Calibri"/>
                <w:sz w:val="20"/>
              </w:rPr>
              <w:t xml:space="preserve">$341.18/$406.85 </w:t>
            </w:r>
          </w:p>
        </w:tc>
      </w:tr>
      <w:tr w14:paraId="031B661F" w14:textId="77777777">
        <w:tblPrEx>
          <w:tblW w:w="8572" w:type="dxa"/>
          <w:tblInd w:w="924" w:type="dxa"/>
          <w:tblCellMar>
            <w:top w:w="43" w:type="dxa"/>
            <w:left w:w="108" w:type="dxa"/>
            <w:right w:w="67" w:type="dxa"/>
          </w:tblCellMar>
          <w:tblLook w:val="04A0"/>
        </w:tblPrEx>
        <w:trPr>
          <w:trHeight w:val="509"/>
        </w:trPr>
        <w:tc>
          <w:tcPr>
            <w:tcW w:w="2235" w:type="dxa"/>
            <w:tcBorders>
              <w:top w:val="single" w:sz="8" w:space="0" w:color="000000"/>
              <w:left w:val="single" w:sz="8" w:space="0" w:color="000000"/>
              <w:bottom w:val="single" w:sz="8" w:space="0" w:color="000000"/>
              <w:right w:val="single" w:sz="8" w:space="0" w:color="000000"/>
            </w:tcBorders>
          </w:tcPr>
          <w:p w:rsidR="001E196D" w14:paraId="1948B46F" w14:textId="77777777">
            <w:pPr>
              <w:spacing w:after="0" w:line="259" w:lineRule="auto"/>
              <w:ind w:left="0" w:firstLine="0"/>
            </w:pPr>
            <w:r>
              <w:rPr>
                <w:rFonts w:ascii="Calibri" w:eastAsia="Calibri" w:hAnsi="Calibri" w:cs="Calibri"/>
                <w:sz w:val="20"/>
              </w:rPr>
              <w:t xml:space="preserve">OMH Staff (GS 12/13s) </w:t>
            </w:r>
          </w:p>
        </w:tc>
        <w:tc>
          <w:tcPr>
            <w:tcW w:w="2264" w:type="dxa"/>
            <w:tcBorders>
              <w:top w:val="single" w:sz="8" w:space="0" w:color="000000"/>
              <w:left w:val="single" w:sz="8" w:space="0" w:color="000000"/>
              <w:bottom w:val="single" w:sz="8" w:space="0" w:color="000000"/>
              <w:right w:val="single" w:sz="8" w:space="0" w:color="000000"/>
            </w:tcBorders>
          </w:tcPr>
          <w:p w:rsidR="001E196D" w14:paraId="153EC0EC" w14:textId="77777777">
            <w:pPr>
              <w:spacing w:after="0" w:line="259" w:lineRule="auto"/>
              <w:ind w:left="0" w:firstLine="0"/>
            </w:pPr>
            <w:r>
              <w:rPr>
                <w:rFonts w:ascii="Calibri" w:eastAsia="Calibri" w:hAnsi="Calibri" w:cs="Calibri"/>
                <w:sz w:val="20"/>
              </w:rPr>
              <w:t xml:space="preserve">Compile Selection Committee </w:t>
            </w:r>
          </w:p>
        </w:tc>
        <w:tc>
          <w:tcPr>
            <w:tcW w:w="2009" w:type="dxa"/>
            <w:tcBorders>
              <w:top w:val="single" w:sz="8" w:space="0" w:color="000000"/>
              <w:left w:val="single" w:sz="8" w:space="0" w:color="000000"/>
              <w:bottom w:val="single" w:sz="8" w:space="0" w:color="000000"/>
              <w:right w:val="single" w:sz="8" w:space="0" w:color="000000"/>
            </w:tcBorders>
          </w:tcPr>
          <w:p w:rsidR="001E196D" w14:paraId="237BD2DC" w14:textId="77777777">
            <w:pPr>
              <w:spacing w:after="0" w:line="259" w:lineRule="auto"/>
              <w:ind w:left="0" w:right="43" w:firstLine="0"/>
              <w:jc w:val="center"/>
            </w:pPr>
            <w:r>
              <w:rPr>
                <w:rFonts w:ascii="Calibri" w:eastAsia="Calibri" w:hAnsi="Calibri" w:cs="Calibri"/>
                <w:sz w:val="20"/>
              </w:rPr>
              <w:t xml:space="preserve">10 </w:t>
            </w:r>
          </w:p>
        </w:tc>
        <w:tc>
          <w:tcPr>
            <w:tcW w:w="2065" w:type="dxa"/>
            <w:tcBorders>
              <w:top w:val="single" w:sz="8" w:space="0" w:color="000000"/>
              <w:left w:val="single" w:sz="8" w:space="0" w:color="000000"/>
              <w:bottom w:val="single" w:sz="8" w:space="0" w:color="000000"/>
              <w:right w:val="single" w:sz="8" w:space="0" w:color="000000"/>
            </w:tcBorders>
          </w:tcPr>
          <w:p w:rsidR="001E196D" w14:paraId="60551371" w14:textId="77777777">
            <w:pPr>
              <w:spacing w:after="0" w:line="259" w:lineRule="auto"/>
              <w:ind w:left="0" w:firstLine="0"/>
            </w:pPr>
            <w:r>
              <w:rPr>
                <w:rFonts w:ascii="Calibri" w:eastAsia="Calibri" w:hAnsi="Calibri" w:cs="Calibri"/>
                <w:sz w:val="20"/>
              </w:rPr>
              <w:t xml:space="preserve"> </w:t>
            </w:r>
          </w:p>
          <w:p w:rsidR="001E196D" w14:paraId="3AD7C7DE" w14:textId="77777777">
            <w:pPr>
              <w:spacing w:after="0" w:line="259" w:lineRule="auto"/>
              <w:ind w:left="0" w:firstLine="0"/>
            </w:pPr>
            <w:r>
              <w:rPr>
                <w:rFonts w:ascii="Calibri" w:eastAsia="Calibri" w:hAnsi="Calibri" w:cs="Calibri"/>
                <w:sz w:val="20"/>
              </w:rPr>
              <w:t xml:space="preserve">$341.18/$406.85 </w:t>
            </w:r>
          </w:p>
        </w:tc>
      </w:tr>
      <w:tr w14:paraId="218DC402" w14:textId="77777777">
        <w:tblPrEx>
          <w:tblW w:w="8572" w:type="dxa"/>
          <w:tblInd w:w="924" w:type="dxa"/>
          <w:tblCellMar>
            <w:top w:w="43" w:type="dxa"/>
            <w:left w:w="108" w:type="dxa"/>
            <w:right w:w="67" w:type="dxa"/>
          </w:tblCellMar>
          <w:tblLook w:val="04A0"/>
        </w:tblPrEx>
        <w:trPr>
          <w:trHeight w:val="751"/>
        </w:trPr>
        <w:tc>
          <w:tcPr>
            <w:tcW w:w="2235" w:type="dxa"/>
            <w:tcBorders>
              <w:top w:val="single" w:sz="8" w:space="0" w:color="000000"/>
              <w:left w:val="single" w:sz="8" w:space="0" w:color="000000"/>
              <w:bottom w:val="single" w:sz="8" w:space="0" w:color="000000"/>
              <w:right w:val="single" w:sz="8" w:space="0" w:color="000000"/>
            </w:tcBorders>
          </w:tcPr>
          <w:p w:rsidR="001E196D" w14:paraId="4D2957E7" w14:textId="77777777">
            <w:pPr>
              <w:spacing w:after="0" w:line="259" w:lineRule="auto"/>
              <w:ind w:left="0" w:firstLine="0"/>
            </w:pPr>
            <w:r>
              <w:rPr>
                <w:rFonts w:ascii="Calibri" w:eastAsia="Calibri" w:hAnsi="Calibri" w:cs="Calibri"/>
                <w:sz w:val="20"/>
              </w:rPr>
              <w:t xml:space="preserve">Staff from multiple CMS </w:t>
            </w:r>
          </w:p>
          <w:p w:rsidR="001E196D" w14:paraId="461E0BF1" w14:textId="77777777">
            <w:pPr>
              <w:spacing w:after="0" w:line="259" w:lineRule="auto"/>
              <w:ind w:left="0" w:firstLine="0"/>
            </w:pPr>
            <w:r>
              <w:rPr>
                <w:rFonts w:ascii="Calibri" w:eastAsia="Calibri" w:hAnsi="Calibri" w:cs="Calibri"/>
                <w:sz w:val="20"/>
              </w:rPr>
              <w:t xml:space="preserve">Components (GS </w:t>
            </w:r>
          </w:p>
          <w:p w:rsidR="001E196D" w14:paraId="09BCF0EC" w14:textId="77777777">
            <w:pPr>
              <w:spacing w:after="0" w:line="259" w:lineRule="auto"/>
              <w:ind w:left="0" w:firstLine="0"/>
            </w:pPr>
            <w:r>
              <w:rPr>
                <w:rFonts w:ascii="Calibri" w:eastAsia="Calibri" w:hAnsi="Calibri" w:cs="Calibri"/>
                <w:sz w:val="20"/>
              </w:rPr>
              <w:t xml:space="preserve">12/13+) </w:t>
            </w:r>
          </w:p>
        </w:tc>
        <w:tc>
          <w:tcPr>
            <w:tcW w:w="2264" w:type="dxa"/>
            <w:tcBorders>
              <w:top w:val="single" w:sz="8" w:space="0" w:color="000000"/>
              <w:left w:val="single" w:sz="8" w:space="0" w:color="000000"/>
              <w:bottom w:val="single" w:sz="8" w:space="0" w:color="000000"/>
              <w:right w:val="single" w:sz="8" w:space="0" w:color="000000"/>
            </w:tcBorders>
          </w:tcPr>
          <w:p w:rsidR="001E196D" w14:paraId="30735571" w14:textId="77777777">
            <w:pPr>
              <w:spacing w:after="0" w:line="259" w:lineRule="auto"/>
              <w:ind w:left="0" w:firstLine="0"/>
            </w:pPr>
            <w:r>
              <w:rPr>
                <w:rFonts w:ascii="Calibri" w:eastAsia="Calibri" w:hAnsi="Calibri" w:cs="Calibri"/>
                <w:sz w:val="20"/>
              </w:rPr>
              <w:t xml:space="preserve">Hold Selection </w:t>
            </w:r>
          </w:p>
          <w:p w:rsidR="001E196D" w14:paraId="53A1A35F" w14:textId="77777777">
            <w:pPr>
              <w:spacing w:after="0" w:line="259" w:lineRule="auto"/>
              <w:ind w:left="0" w:firstLine="0"/>
            </w:pPr>
            <w:r>
              <w:rPr>
                <w:rFonts w:ascii="Calibri" w:eastAsia="Calibri" w:hAnsi="Calibri" w:cs="Calibri"/>
                <w:sz w:val="20"/>
              </w:rPr>
              <w:t xml:space="preserve">Committee Meetings 1 &amp; </w:t>
            </w:r>
          </w:p>
          <w:p w:rsidR="001E196D" w14:paraId="7B054CBF" w14:textId="77777777">
            <w:pPr>
              <w:spacing w:after="0" w:line="259" w:lineRule="auto"/>
              <w:ind w:left="0" w:firstLine="0"/>
            </w:pPr>
            <w:r>
              <w:rPr>
                <w:rFonts w:ascii="Calibri" w:eastAsia="Calibri" w:hAnsi="Calibri" w:cs="Calibri"/>
                <w:sz w:val="20"/>
              </w:rPr>
              <w:t xml:space="preserve">2 </w:t>
            </w:r>
          </w:p>
        </w:tc>
        <w:tc>
          <w:tcPr>
            <w:tcW w:w="2009" w:type="dxa"/>
            <w:tcBorders>
              <w:top w:val="single" w:sz="8" w:space="0" w:color="000000"/>
              <w:left w:val="single" w:sz="8" w:space="0" w:color="000000"/>
              <w:bottom w:val="single" w:sz="8" w:space="0" w:color="000000"/>
              <w:right w:val="single" w:sz="8" w:space="0" w:color="000000"/>
            </w:tcBorders>
          </w:tcPr>
          <w:p w:rsidR="001E196D" w14:paraId="155E4868" w14:textId="77777777">
            <w:pPr>
              <w:spacing w:after="0" w:line="259" w:lineRule="auto"/>
              <w:ind w:left="0" w:right="43" w:firstLine="0"/>
              <w:jc w:val="center"/>
            </w:pPr>
            <w:r>
              <w:rPr>
                <w:rFonts w:ascii="Calibri" w:eastAsia="Calibri" w:hAnsi="Calibri" w:cs="Calibri"/>
                <w:sz w:val="20"/>
              </w:rPr>
              <w:t xml:space="preserve">10 </w:t>
            </w:r>
          </w:p>
        </w:tc>
        <w:tc>
          <w:tcPr>
            <w:tcW w:w="2065" w:type="dxa"/>
            <w:tcBorders>
              <w:top w:val="single" w:sz="8" w:space="0" w:color="000000"/>
              <w:left w:val="single" w:sz="8" w:space="0" w:color="000000"/>
              <w:bottom w:val="single" w:sz="8" w:space="0" w:color="000000"/>
              <w:right w:val="single" w:sz="8" w:space="0" w:color="000000"/>
            </w:tcBorders>
          </w:tcPr>
          <w:p w:rsidR="001E196D" w14:paraId="5D0C6B90" w14:textId="77777777">
            <w:pPr>
              <w:spacing w:after="0" w:line="259" w:lineRule="auto"/>
              <w:ind w:left="0" w:firstLine="0"/>
            </w:pPr>
            <w:r>
              <w:rPr>
                <w:rFonts w:ascii="Calibri" w:eastAsia="Calibri" w:hAnsi="Calibri" w:cs="Calibri"/>
                <w:sz w:val="20"/>
              </w:rPr>
              <w:t xml:space="preserve"> </w:t>
            </w:r>
          </w:p>
          <w:p w:rsidR="001E196D" w14:paraId="40874C7A" w14:textId="77777777">
            <w:pPr>
              <w:spacing w:after="0" w:line="259" w:lineRule="auto"/>
              <w:ind w:left="0" w:firstLine="0"/>
            </w:pPr>
            <w:r>
              <w:rPr>
                <w:rFonts w:ascii="Calibri" w:eastAsia="Calibri" w:hAnsi="Calibri" w:cs="Calibri"/>
                <w:sz w:val="20"/>
              </w:rPr>
              <w:t xml:space="preserve">$341.18/$406.85 </w:t>
            </w:r>
          </w:p>
        </w:tc>
      </w:tr>
      <w:tr w14:paraId="2030F871" w14:textId="77777777">
        <w:tblPrEx>
          <w:tblW w:w="8572" w:type="dxa"/>
          <w:tblInd w:w="924" w:type="dxa"/>
          <w:tblCellMar>
            <w:top w:w="43" w:type="dxa"/>
            <w:left w:w="108" w:type="dxa"/>
            <w:right w:w="67" w:type="dxa"/>
          </w:tblCellMar>
          <w:tblLook w:val="04A0"/>
        </w:tblPrEx>
        <w:trPr>
          <w:trHeight w:val="754"/>
        </w:trPr>
        <w:tc>
          <w:tcPr>
            <w:tcW w:w="2235" w:type="dxa"/>
            <w:tcBorders>
              <w:top w:val="single" w:sz="8" w:space="0" w:color="000000"/>
              <w:left w:val="single" w:sz="8" w:space="0" w:color="000000"/>
              <w:bottom w:val="single" w:sz="8" w:space="0" w:color="000000"/>
              <w:right w:val="single" w:sz="8" w:space="0" w:color="000000"/>
            </w:tcBorders>
          </w:tcPr>
          <w:p w:rsidR="001E196D" w14:paraId="56A5327A" w14:textId="77777777">
            <w:pPr>
              <w:spacing w:after="0" w:line="259" w:lineRule="auto"/>
              <w:ind w:left="0" w:firstLine="0"/>
            </w:pPr>
            <w:r>
              <w:rPr>
                <w:rFonts w:ascii="Calibri" w:eastAsia="Calibri" w:hAnsi="Calibri" w:cs="Calibri"/>
                <w:sz w:val="20"/>
              </w:rPr>
              <w:t xml:space="preserve">Staff from multiple CMS </w:t>
            </w:r>
          </w:p>
          <w:p w:rsidR="001E196D" w14:paraId="1A8E638A" w14:textId="77777777">
            <w:pPr>
              <w:spacing w:after="0" w:line="259" w:lineRule="auto"/>
              <w:ind w:left="0" w:firstLine="0"/>
            </w:pPr>
            <w:r>
              <w:rPr>
                <w:rFonts w:ascii="Calibri" w:eastAsia="Calibri" w:hAnsi="Calibri" w:cs="Calibri"/>
                <w:sz w:val="20"/>
              </w:rPr>
              <w:t xml:space="preserve">Components (GS </w:t>
            </w:r>
          </w:p>
          <w:p w:rsidR="001E196D" w14:paraId="638D6A37" w14:textId="77777777">
            <w:pPr>
              <w:spacing w:after="0" w:line="259" w:lineRule="auto"/>
              <w:ind w:left="0" w:firstLine="0"/>
            </w:pPr>
            <w:r>
              <w:rPr>
                <w:rFonts w:ascii="Calibri" w:eastAsia="Calibri" w:hAnsi="Calibri" w:cs="Calibri"/>
                <w:sz w:val="20"/>
              </w:rPr>
              <w:t xml:space="preserve">12/13+) </w:t>
            </w:r>
          </w:p>
        </w:tc>
        <w:tc>
          <w:tcPr>
            <w:tcW w:w="2264" w:type="dxa"/>
            <w:tcBorders>
              <w:top w:val="single" w:sz="8" w:space="0" w:color="000000"/>
              <w:left w:val="single" w:sz="8" w:space="0" w:color="000000"/>
              <w:bottom w:val="single" w:sz="8" w:space="0" w:color="000000"/>
              <w:right w:val="single" w:sz="8" w:space="0" w:color="000000"/>
            </w:tcBorders>
          </w:tcPr>
          <w:p w:rsidR="001E196D" w14:paraId="4330ABF4" w14:textId="77777777">
            <w:pPr>
              <w:spacing w:after="0" w:line="259" w:lineRule="auto"/>
              <w:ind w:left="0" w:firstLine="0"/>
            </w:pPr>
            <w:r>
              <w:rPr>
                <w:rFonts w:ascii="Calibri" w:eastAsia="Calibri" w:hAnsi="Calibri" w:cs="Calibri"/>
                <w:sz w:val="20"/>
              </w:rPr>
              <w:t xml:space="preserve">Hold Selection </w:t>
            </w:r>
          </w:p>
          <w:p w:rsidR="001E196D" w14:paraId="3D417FAA" w14:textId="77777777">
            <w:pPr>
              <w:spacing w:after="0" w:line="259" w:lineRule="auto"/>
              <w:ind w:left="0" w:firstLine="0"/>
            </w:pPr>
            <w:r>
              <w:rPr>
                <w:rFonts w:ascii="Calibri" w:eastAsia="Calibri" w:hAnsi="Calibri" w:cs="Calibri"/>
                <w:sz w:val="20"/>
              </w:rPr>
              <w:t xml:space="preserve">Committee Meeting 3 </w:t>
            </w:r>
          </w:p>
        </w:tc>
        <w:tc>
          <w:tcPr>
            <w:tcW w:w="2009" w:type="dxa"/>
            <w:tcBorders>
              <w:top w:val="single" w:sz="8" w:space="0" w:color="000000"/>
              <w:left w:val="single" w:sz="8" w:space="0" w:color="000000"/>
              <w:bottom w:val="single" w:sz="8" w:space="0" w:color="000000"/>
              <w:right w:val="single" w:sz="8" w:space="0" w:color="000000"/>
            </w:tcBorders>
          </w:tcPr>
          <w:p w:rsidR="001E196D" w14:paraId="14CB764D" w14:textId="77777777">
            <w:pPr>
              <w:spacing w:after="0" w:line="259" w:lineRule="auto"/>
              <w:ind w:left="0" w:right="43" w:firstLine="0"/>
              <w:jc w:val="center"/>
            </w:pPr>
            <w:r>
              <w:rPr>
                <w:rFonts w:ascii="Calibri" w:eastAsia="Calibri" w:hAnsi="Calibri" w:cs="Calibri"/>
                <w:sz w:val="20"/>
              </w:rPr>
              <w:t xml:space="preserve">40 </w:t>
            </w:r>
          </w:p>
        </w:tc>
        <w:tc>
          <w:tcPr>
            <w:tcW w:w="2065" w:type="dxa"/>
            <w:tcBorders>
              <w:top w:val="single" w:sz="8" w:space="0" w:color="000000"/>
              <w:left w:val="single" w:sz="8" w:space="0" w:color="000000"/>
              <w:bottom w:val="single" w:sz="8" w:space="0" w:color="000000"/>
              <w:right w:val="single" w:sz="8" w:space="0" w:color="000000"/>
            </w:tcBorders>
          </w:tcPr>
          <w:p w:rsidR="001E196D" w14:paraId="5C861DC5" w14:textId="77777777">
            <w:pPr>
              <w:spacing w:after="0" w:line="259" w:lineRule="auto"/>
              <w:ind w:left="0" w:firstLine="0"/>
            </w:pPr>
            <w:r>
              <w:rPr>
                <w:rFonts w:ascii="Calibri" w:eastAsia="Calibri" w:hAnsi="Calibri" w:cs="Calibri"/>
                <w:sz w:val="20"/>
              </w:rPr>
              <w:t xml:space="preserve">1364.72/1624.70 </w:t>
            </w:r>
          </w:p>
        </w:tc>
      </w:tr>
      <w:tr w14:paraId="797B6B43" w14:textId="77777777">
        <w:tblPrEx>
          <w:tblW w:w="8572" w:type="dxa"/>
          <w:tblInd w:w="924" w:type="dxa"/>
          <w:tblCellMar>
            <w:top w:w="43" w:type="dxa"/>
            <w:left w:w="108" w:type="dxa"/>
            <w:right w:w="67" w:type="dxa"/>
          </w:tblCellMar>
          <w:tblLook w:val="04A0"/>
        </w:tblPrEx>
        <w:trPr>
          <w:trHeight w:val="264"/>
        </w:trPr>
        <w:tc>
          <w:tcPr>
            <w:tcW w:w="2235" w:type="dxa"/>
            <w:tcBorders>
              <w:top w:val="single" w:sz="8" w:space="0" w:color="000000"/>
              <w:left w:val="single" w:sz="8" w:space="0" w:color="000000"/>
              <w:bottom w:val="single" w:sz="8" w:space="0" w:color="000000"/>
              <w:right w:val="single" w:sz="8" w:space="0" w:color="000000"/>
            </w:tcBorders>
          </w:tcPr>
          <w:p w:rsidR="001E196D" w14:paraId="11B7D3C8" w14:textId="77777777">
            <w:pPr>
              <w:spacing w:after="0" w:line="259" w:lineRule="auto"/>
              <w:ind w:left="0" w:firstLine="0"/>
            </w:pPr>
            <w:r>
              <w:rPr>
                <w:rFonts w:ascii="Calibri" w:eastAsia="Calibri" w:hAnsi="Calibri" w:cs="Calibri"/>
                <w:sz w:val="20"/>
              </w:rPr>
              <w:t xml:space="preserve">Staff from multiple CMS </w:t>
            </w:r>
          </w:p>
        </w:tc>
        <w:tc>
          <w:tcPr>
            <w:tcW w:w="2264" w:type="dxa"/>
            <w:tcBorders>
              <w:top w:val="single" w:sz="8" w:space="0" w:color="000000"/>
              <w:left w:val="single" w:sz="8" w:space="0" w:color="000000"/>
              <w:bottom w:val="single" w:sz="8" w:space="0" w:color="000000"/>
              <w:right w:val="single" w:sz="8" w:space="0" w:color="000000"/>
            </w:tcBorders>
          </w:tcPr>
          <w:p w:rsidR="001E196D" w14:paraId="54445322" w14:textId="77777777">
            <w:pPr>
              <w:spacing w:after="0" w:line="259" w:lineRule="auto"/>
              <w:ind w:left="0" w:firstLine="0"/>
            </w:pPr>
            <w:r>
              <w:rPr>
                <w:rFonts w:ascii="Calibri" w:eastAsia="Calibri" w:hAnsi="Calibri" w:cs="Calibri"/>
                <w:sz w:val="20"/>
              </w:rPr>
              <w:t xml:space="preserve">Vet top </w:t>
            </w:r>
            <w:r>
              <w:rPr>
                <w:rFonts w:ascii="Calibri" w:eastAsia="Calibri" w:hAnsi="Calibri" w:cs="Calibri"/>
                <w:sz w:val="20"/>
              </w:rPr>
              <w:t>3</w:t>
            </w:r>
            <w:r>
              <w:rPr>
                <w:rFonts w:ascii="Calibri" w:eastAsia="Calibri" w:hAnsi="Calibri" w:cs="Calibri"/>
                <w:sz w:val="20"/>
              </w:rPr>
              <w:t xml:space="preserve"> nominations </w:t>
            </w:r>
          </w:p>
        </w:tc>
        <w:tc>
          <w:tcPr>
            <w:tcW w:w="2009" w:type="dxa"/>
            <w:tcBorders>
              <w:top w:val="single" w:sz="8" w:space="0" w:color="000000"/>
              <w:left w:val="single" w:sz="8" w:space="0" w:color="000000"/>
              <w:bottom w:val="single" w:sz="8" w:space="0" w:color="000000"/>
              <w:right w:val="single" w:sz="8" w:space="0" w:color="000000"/>
            </w:tcBorders>
          </w:tcPr>
          <w:p w:rsidR="001E196D" w14:paraId="5C361106" w14:textId="77777777">
            <w:pPr>
              <w:spacing w:after="0" w:line="259" w:lineRule="auto"/>
              <w:ind w:left="0" w:right="43" w:firstLine="0"/>
              <w:jc w:val="center"/>
            </w:pPr>
            <w:r>
              <w:rPr>
                <w:rFonts w:ascii="Calibri" w:eastAsia="Calibri" w:hAnsi="Calibri" w:cs="Calibri"/>
                <w:sz w:val="20"/>
              </w:rPr>
              <w:t xml:space="preserve">30 </w:t>
            </w:r>
          </w:p>
        </w:tc>
        <w:tc>
          <w:tcPr>
            <w:tcW w:w="2065" w:type="dxa"/>
            <w:tcBorders>
              <w:top w:val="single" w:sz="8" w:space="0" w:color="000000"/>
              <w:left w:val="single" w:sz="8" w:space="0" w:color="000000"/>
              <w:bottom w:val="single" w:sz="8" w:space="0" w:color="000000"/>
              <w:right w:val="single" w:sz="8" w:space="0" w:color="000000"/>
            </w:tcBorders>
          </w:tcPr>
          <w:p w:rsidR="001E196D" w14:paraId="2137EC92" w14:textId="77777777">
            <w:pPr>
              <w:spacing w:after="0" w:line="259" w:lineRule="auto"/>
              <w:ind w:left="0" w:firstLine="0"/>
            </w:pPr>
            <w:r>
              <w:rPr>
                <w:rFonts w:ascii="Calibri" w:eastAsia="Calibri" w:hAnsi="Calibri" w:cs="Calibri"/>
                <w:sz w:val="20"/>
              </w:rPr>
              <w:t xml:space="preserve">1023.54/1220.55 </w:t>
            </w:r>
          </w:p>
        </w:tc>
      </w:tr>
      <w:tr w14:paraId="1B460D03" w14:textId="77777777">
        <w:tblPrEx>
          <w:tblW w:w="8572" w:type="dxa"/>
          <w:tblInd w:w="924" w:type="dxa"/>
          <w:tblCellMar>
            <w:top w:w="43" w:type="dxa"/>
            <w:left w:w="108" w:type="dxa"/>
            <w:right w:w="67" w:type="dxa"/>
          </w:tblCellMar>
          <w:tblLook w:val="04A0"/>
        </w:tblPrEx>
        <w:trPr>
          <w:trHeight w:val="497"/>
        </w:trPr>
        <w:tc>
          <w:tcPr>
            <w:tcW w:w="2235" w:type="dxa"/>
            <w:tcBorders>
              <w:top w:val="nil"/>
              <w:left w:val="single" w:sz="8" w:space="0" w:color="000000"/>
              <w:bottom w:val="single" w:sz="8" w:space="0" w:color="000000"/>
              <w:right w:val="single" w:sz="8" w:space="0" w:color="000000"/>
            </w:tcBorders>
          </w:tcPr>
          <w:p w:rsidR="001E196D" w14:paraId="0ECEDB75" w14:textId="77777777">
            <w:pPr>
              <w:spacing w:after="0" w:line="259" w:lineRule="auto"/>
              <w:ind w:left="0" w:right="12" w:firstLine="0"/>
            </w:pPr>
            <w:r>
              <w:rPr>
                <w:rFonts w:ascii="Calibri" w:eastAsia="Calibri" w:hAnsi="Calibri" w:cs="Calibri"/>
                <w:sz w:val="20"/>
              </w:rPr>
              <w:t xml:space="preserve">Components (GS 12/13+) </w:t>
            </w:r>
          </w:p>
        </w:tc>
        <w:tc>
          <w:tcPr>
            <w:tcW w:w="2264" w:type="dxa"/>
            <w:tcBorders>
              <w:top w:val="nil"/>
              <w:left w:val="single" w:sz="8" w:space="0" w:color="000000"/>
              <w:bottom w:val="single" w:sz="8" w:space="0" w:color="000000"/>
              <w:right w:val="single" w:sz="8" w:space="0" w:color="000000"/>
            </w:tcBorders>
          </w:tcPr>
          <w:p w:rsidR="001E196D" w14:paraId="30C5E38F" w14:textId="77777777">
            <w:pPr>
              <w:spacing w:after="0" w:line="259" w:lineRule="auto"/>
              <w:ind w:left="0" w:right="20" w:firstLine="0"/>
            </w:pPr>
            <w:r>
              <w:rPr>
                <w:rFonts w:ascii="Calibri" w:eastAsia="Calibri" w:hAnsi="Calibri" w:cs="Calibri"/>
                <w:sz w:val="20"/>
              </w:rPr>
              <w:t xml:space="preserve">with selection committee </w:t>
            </w:r>
          </w:p>
        </w:tc>
        <w:tc>
          <w:tcPr>
            <w:tcW w:w="2009" w:type="dxa"/>
            <w:tcBorders>
              <w:top w:val="nil"/>
              <w:left w:val="single" w:sz="8" w:space="0" w:color="000000"/>
              <w:bottom w:val="single" w:sz="8" w:space="0" w:color="000000"/>
              <w:right w:val="single" w:sz="8" w:space="0" w:color="000000"/>
            </w:tcBorders>
          </w:tcPr>
          <w:p w:rsidR="001E196D" w14:paraId="32B7A670" w14:textId="77777777">
            <w:pPr>
              <w:spacing w:after="160" w:line="259" w:lineRule="auto"/>
              <w:ind w:left="0" w:firstLine="0"/>
            </w:pPr>
          </w:p>
        </w:tc>
        <w:tc>
          <w:tcPr>
            <w:tcW w:w="2065" w:type="dxa"/>
            <w:tcBorders>
              <w:top w:val="nil"/>
              <w:left w:val="single" w:sz="8" w:space="0" w:color="000000"/>
              <w:bottom w:val="single" w:sz="8" w:space="0" w:color="000000"/>
              <w:right w:val="single" w:sz="8" w:space="0" w:color="000000"/>
            </w:tcBorders>
          </w:tcPr>
          <w:p w:rsidR="001E196D" w14:paraId="4A78E716" w14:textId="77777777">
            <w:pPr>
              <w:spacing w:after="160" w:line="259" w:lineRule="auto"/>
              <w:ind w:left="0" w:firstLine="0"/>
            </w:pPr>
          </w:p>
        </w:tc>
      </w:tr>
      <w:tr w14:paraId="2AFCA1F8" w14:textId="77777777">
        <w:tblPrEx>
          <w:tblW w:w="8572" w:type="dxa"/>
          <w:tblInd w:w="924" w:type="dxa"/>
          <w:tblCellMar>
            <w:top w:w="43" w:type="dxa"/>
            <w:left w:w="108" w:type="dxa"/>
            <w:right w:w="67" w:type="dxa"/>
          </w:tblCellMar>
          <w:tblLook w:val="04A0"/>
        </w:tblPrEx>
        <w:trPr>
          <w:trHeight w:val="754"/>
        </w:trPr>
        <w:tc>
          <w:tcPr>
            <w:tcW w:w="2235" w:type="dxa"/>
            <w:tcBorders>
              <w:top w:val="single" w:sz="8" w:space="0" w:color="000000"/>
              <w:left w:val="single" w:sz="8" w:space="0" w:color="000000"/>
              <w:bottom w:val="single" w:sz="8" w:space="0" w:color="000000"/>
              <w:right w:val="single" w:sz="8" w:space="0" w:color="000000"/>
            </w:tcBorders>
          </w:tcPr>
          <w:p w:rsidR="001E196D" w14:paraId="696DF3A5" w14:textId="77777777">
            <w:pPr>
              <w:spacing w:after="0" w:line="259" w:lineRule="auto"/>
              <w:ind w:left="0" w:firstLine="0"/>
            </w:pPr>
            <w:r>
              <w:rPr>
                <w:rFonts w:ascii="Calibri" w:eastAsia="Calibri" w:hAnsi="Calibri" w:cs="Calibri"/>
                <w:sz w:val="20"/>
              </w:rPr>
              <w:t xml:space="preserve">OMH Staff (GS 12/13s) </w:t>
            </w:r>
          </w:p>
        </w:tc>
        <w:tc>
          <w:tcPr>
            <w:tcW w:w="2264" w:type="dxa"/>
            <w:tcBorders>
              <w:top w:val="single" w:sz="8" w:space="0" w:color="000000"/>
              <w:left w:val="single" w:sz="8" w:space="0" w:color="000000"/>
              <w:bottom w:val="single" w:sz="8" w:space="0" w:color="000000"/>
              <w:right w:val="single" w:sz="8" w:space="0" w:color="000000"/>
            </w:tcBorders>
          </w:tcPr>
          <w:p w:rsidR="001E196D" w14:paraId="3A28ECB0" w14:textId="77777777">
            <w:pPr>
              <w:spacing w:after="0" w:line="259" w:lineRule="auto"/>
              <w:ind w:left="0" w:right="31" w:firstLine="0"/>
            </w:pPr>
            <w:r>
              <w:rPr>
                <w:rFonts w:ascii="Calibri" w:eastAsia="Calibri" w:hAnsi="Calibri" w:cs="Calibri"/>
                <w:sz w:val="20"/>
              </w:rPr>
              <w:t xml:space="preserve">Draft recommendation for CMS OMH Leadership </w:t>
            </w:r>
          </w:p>
        </w:tc>
        <w:tc>
          <w:tcPr>
            <w:tcW w:w="2009" w:type="dxa"/>
            <w:tcBorders>
              <w:top w:val="single" w:sz="8" w:space="0" w:color="000000"/>
              <w:left w:val="single" w:sz="8" w:space="0" w:color="000000"/>
              <w:bottom w:val="single" w:sz="8" w:space="0" w:color="000000"/>
              <w:right w:val="single" w:sz="8" w:space="0" w:color="000000"/>
            </w:tcBorders>
          </w:tcPr>
          <w:p w:rsidR="001E196D" w14:paraId="4F0CFD6B" w14:textId="77777777">
            <w:pPr>
              <w:spacing w:after="0" w:line="259" w:lineRule="auto"/>
              <w:ind w:left="0" w:right="40" w:firstLine="0"/>
              <w:jc w:val="center"/>
            </w:pPr>
            <w:r>
              <w:rPr>
                <w:rFonts w:ascii="Calibri" w:eastAsia="Calibri" w:hAnsi="Calibri" w:cs="Calibri"/>
                <w:sz w:val="20"/>
              </w:rPr>
              <w:t xml:space="preserve">5 </w:t>
            </w:r>
          </w:p>
        </w:tc>
        <w:tc>
          <w:tcPr>
            <w:tcW w:w="2065" w:type="dxa"/>
            <w:tcBorders>
              <w:top w:val="single" w:sz="8" w:space="0" w:color="000000"/>
              <w:left w:val="single" w:sz="8" w:space="0" w:color="000000"/>
              <w:bottom w:val="single" w:sz="8" w:space="0" w:color="000000"/>
              <w:right w:val="single" w:sz="8" w:space="0" w:color="000000"/>
            </w:tcBorders>
          </w:tcPr>
          <w:p w:rsidR="001E196D" w14:paraId="4062D7C6" w14:textId="77777777">
            <w:pPr>
              <w:spacing w:after="0" w:line="259" w:lineRule="auto"/>
              <w:ind w:left="0" w:firstLine="0"/>
            </w:pPr>
            <w:r>
              <w:rPr>
                <w:rFonts w:ascii="Calibri" w:eastAsia="Calibri" w:hAnsi="Calibri" w:cs="Calibri"/>
                <w:sz w:val="20"/>
              </w:rPr>
              <w:t xml:space="preserve">$170.59/$203.425 </w:t>
            </w:r>
          </w:p>
        </w:tc>
      </w:tr>
      <w:tr w14:paraId="4A3A380E" w14:textId="77777777">
        <w:tblPrEx>
          <w:tblW w:w="8572" w:type="dxa"/>
          <w:tblInd w:w="924" w:type="dxa"/>
          <w:tblCellMar>
            <w:top w:w="43" w:type="dxa"/>
            <w:left w:w="108" w:type="dxa"/>
            <w:right w:w="67" w:type="dxa"/>
          </w:tblCellMar>
          <w:tblLook w:val="04A0"/>
        </w:tblPrEx>
        <w:trPr>
          <w:trHeight w:val="751"/>
        </w:trPr>
        <w:tc>
          <w:tcPr>
            <w:tcW w:w="2235" w:type="dxa"/>
            <w:tcBorders>
              <w:top w:val="single" w:sz="8" w:space="0" w:color="000000"/>
              <w:left w:val="single" w:sz="8" w:space="0" w:color="000000"/>
              <w:bottom w:val="single" w:sz="8" w:space="0" w:color="000000"/>
              <w:right w:val="single" w:sz="8" w:space="0" w:color="000000"/>
            </w:tcBorders>
          </w:tcPr>
          <w:p w:rsidR="001E196D" w14:paraId="38DE752B" w14:textId="77777777">
            <w:pPr>
              <w:spacing w:after="0" w:line="259" w:lineRule="auto"/>
              <w:ind w:left="0" w:firstLine="0"/>
            </w:pPr>
            <w:r>
              <w:rPr>
                <w:rFonts w:ascii="Calibri" w:eastAsia="Calibri" w:hAnsi="Calibri" w:cs="Calibri"/>
                <w:sz w:val="20"/>
              </w:rPr>
              <w:t xml:space="preserve">OMH Staff (GS 12/13s) </w:t>
            </w:r>
          </w:p>
        </w:tc>
        <w:tc>
          <w:tcPr>
            <w:tcW w:w="2264" w:type="dxa"/>
            <w:tcBorders>
              <w:top w:val="single" w:sz="8" w:space="0" w:color="000000"/>
              <w:left w:val="single" w:sz="8" w:space="0" w:color="000000"/>
              <w:bottom w:val="single" w:sz="8" w:space="0" w:color="000000"/>
              <w:right w:val="single" w:sz="8" w:space="0" w:color="000000"/>
            </w:tcBorders>
          </w:tcPr>
          <w:p w:rsidR="001E196D" w14:paraId="4941D6CD" w14:textId="77777777">
            <w:pPr>
              <w:spacing w:after="0" w:line="259" w:lineRule="auto"/>
              <w:ind w:left="0" w:firstLine="0"/>
            </w:pPr>
            <w:r>
              <w:rPr>
                <w:rFonts w:ascii="Calibri" w:eastAsia="Calibri" w:hAnsi="Calibri" w:cs="Calibri"/>
                <w:sz w:val="20"/>
              </w:rPr>
              <w:t xml:space="preserve">Draft Decision Memo for </w:t>
            </w:r>
          </w:p>
          <w:p w:rsidR="001E196D" w14:paraId="7DDA4AB0" w14:textId="77777777">
            <w:pPr>
              <w:spacing w:after="0" w:line="259" w:lineRule="auto"/>
              <w:ind w:left="0" w:firstLine="0"/>
            </w:pPr>
            <w:r>
              <w:rPr>
                <w:rFonts w:ascii="Calibri" w:eastAsia="Calibri" w:hAnsi="Calibri" w:cs="Calibri"/>
                <w:sz w:val="20"/>
              </w:rPr>
              <w:t xml:space="preserve">Office of Administrator </w:t>
            </w:r>
          </w:p>
          <w:p w:rsidR="001E196D" w14:paraId="3A70486F" w14:textId="77777777">
            <w:pPr>
              <w:spacing w:after="0" w:line="259" w:lineRule="auto"/>
              <w:ind w:left="0" w:firstLine="0"/>
            </w:pPr>
            <w:r>
              <w:rPr>
                <w:rFonts w:ascii="Calibri" w:eastAsia="Calibri" w:hAnsi="Calibri" w:cs="Calibri"/>
                <w:sz w:val="20"/>
              </w:rPr>
              <w:t xml:space="preserve">(OA) </w:t>
            </w:r>
          </w:p>
        </w:tc>
        <w:tc>
          <w:tcPr>
            <w:tcW w:w="2009" w:type="dxa"/>
            <w:tcBorders>
              <w:top w:val="single" w:sz="8" w:space="0" w:color="000000"/>
              <w:left w:val="single" w:sz="8" w:space="0" w:color="000000"/>
              <w:bottom w:val="single" w:sz="8" w:space="0" w:color="000000"/>
              <w:right w:val="single" w:sz="8" w:space="0" w:color="000000"/>
            </w:tcBorders>
          </w:tcPr>
          <w:p w:rsidR="001E196D" w14:paraId="0097A5F7" w14:textId="77777777">
            <w:pPr>
              <w:spacing w:after="0" w:line="259" w:lineRule="auto"/>
              <w:ind w:left="5" w:firstLine="0"/>
              <w:jc w:val="center"/>
            </w:pPr>
            <w:r>
              <w:rPr>
                <w:rFonts w:ascii="Calibri" w:eastAsia="Calibri" w:hAnsi="Calibri" w:cs="Calibri"/>
                <w:sz w:val="20"/>
              </w:rPr>
              <w:t xml:space="preserve"> </w:t>
            </w:r>
          </w:p>
          <w:p w:rsidR="001E196D" w14:paraId="54C6ADD3" w14:textId="77777777">
            <w:pPr>
              <w:spacing w:after="0" w:line="259" w:lineRule="auto"/>
              <w:ind w:left="5" w:firstLine="0"/>
              <w:jc w:val="center"/>
            </w:pPr>
            <w:r>
              <w:rPr>
                <w:rFonts w:ascii="Calibri" w:eastAsia="Calibri" w:hAnsi="Calibri" w:cs="Calibri"/>
                <w:sz w:val="20"/>
              </w:rPr>
              <w:t xml:space="preserve"> </w:t>
            </w:r>
          </w:p>
          <w:p w:rsidR="001E196D" w14:paraId="6507613A" w14:textId="77777777">
            <w:pPr>
              <w:spacing w:after="0" w:line="259" w:lineRule="auto"/>
              <w:ind w:left="0" w:right="153" w:firstLine="0"/>
              <w:jc w:val="center"/>
            </w:pPr>
            <w:r>
              <w:rPr>
                <w:rFonts w:ascii="Calibri" w:eastAsia="Calibri" w:hAnsi="Calibri" w:cs="Calibri"/>
                <w:sz w:val="20"/>
              </w:rPr>
              <w:t xml:space="preserve">   5 </w:t>
            </w:r>
          </w:p>
        </w:tc>
        <w:tc>
          <w:tcPr>
            <w:tcW w:w="2065" w:type="dxa"/>
            <w:tcBorders>
              <w:top w:val="single" w:sz="8" w:space="0" w:color="000000"/>
              <w:left w:val="single" w:sz="8" w:space="0" w:color="000000"/>
              <w:bottom w:val="single" w:sz="8" w:space="0" w:color="000000"/>
              <w:right w:val="single" w:sz="8" w:space="0" w:color="000000"/>
            </w:tcBorders>
          </w:tcPr>
          <w:p w:rsidR="001E196D" w14:paraId="6729D0C0" w14:textId="77777777">
            <w:pPr>
              <w:spacing w:after="0" w:line="259" w:lineRule="auto"/>
              <w:ind w:left="0" w:firstLine="0"/>
            </w:pPr>
            <w:r>
              <w:rPr>
                <w:rFonts w:ascii="Calibri" w:eastAsia="Calibri" w:hAnsi="Calibri" w:cs="Calibri"/>
                <w:sz w:val="20"/>
              </w:rPr>
              <w:t xml:space="preserve">$170.59/$203.425 </w:t>
            </w:r>
          </w:p>
        </w:tc>
      </w:tr>
      <w:tr w14:paraId="74F27039" w14:textId="77777777">
        <w:tblPrEx>
          <w:tblW w:w="8572" w:type="dxa"/>
          <w:tblInd w:w="924" w:type="dxa"/>
          <w:tblCellMar>
            <w:top w:w="43" w:type="dxa"/>
            <w:left w:w="108" w:type="dxa"/>
            <w:right w:w="67" w:type="dxa"/>
          </w:tblCellMar>
          <w:tblLook w:val="04A0"/>
        </w:tblPrEx>
        <w:trPr>
          <w:trHeight w:val="509"/>
        </w:trPr>
        <w:tc>
          <w:tcPr>
            <w:tcW w:w="2235" w:type="dxa"/>
            <w:tcBorders>
              <w:top w:val="single" w:sz="8" w:space="0" w:color="000000"/>
              <w:left w:val="single" w:sz="8" w:space="0" w:color="000000"/>
              <w:bottom w:val="single" w:sz="8" w:space="0" w:color="000000"/>
              <w:right w:val="single" w:sz="8" w:space="0" w:color="000000"/>
            </w:tcBorders>
          </w:tcPr>
          <w:p w:rsidR="001E196D" w14:paraId="368556EA" w14:textId="77777777">
            <w:pPr>
              <w:spacing w:after="0" w:line="259" w:lineRule="auto"/>
              <w:ind w:left="0" w:firstLine="0"/>
            </w:pPr>
            <w:r>
              <w:rPr>
                <w:rFonts w:ascii="Calibri" w:eastAsia="Calibri" w:hAnsi="Calibri" w:cs="Calibri"/>
                <w:sz w:val="20"/>
              </w:rPr>
              <w:t xml:space="preserve">OMH Staff (GS 12/13s) </w:t>
            </w:r>
          </w:p>
        </w:tc>
        <w:tc>
          <w:tcPr>
            <w:tcW w:w="2264" w:type="dxa"/>
            <w:tcBorders>
              <w:top w:val="single" w:sz="8" w:space="0" w:color="000000"/>
              <w:left w:val="single" w:sz="8" w:space="0" w:color="000000"/>
              <w:bottom w:val="single" w:sz="8" w:space="0" w:color="000000"/>
              <w:right w:val="single" w:sz="8" w:space="0" w:color="000000"/>
            </w:tcBorders>
          </w:tcPr>
          <w:p w:rsidR="001E196D" w14:paraId="34642314" w14:textId="77777777">
            <w:pPr>
              <w:spacing w:after="0" w:line="259" w:lineRule="auto"/>
              <w:ind w:left="0" w:firstLine="0"/>
            </w:pPr>
            <w:r>
              <w:rPr>
                <w:rFonts w:ascii="Calibri" w:eastAsia="Calibri" w:hAnsi="Calibri" w:cs="Calibri"/>
                <w:sz w:val="20"/>
              </w:rPr>
              <w:t xml:space="preserve">Once OA approved, notify winners via email </w:t>
            </w:r>
          </w:p>
        </w:tc>
        <w:tc>
          <w:tcPr>
            <w:tcW w:w="2009" w:type="dxa"/>
            <w:tcBorders>
              <w:top w:val="single" w:sz="8" w:space="0" w:color="000000"/>
              <w:left w:val="single" w:sz="8" w:space="0" w:color="000000"/>
              <w:bottom w:val="single" w:sz="8" w:space="0" w:color="000000"/>
              <w:right w:val="single" w:sz="8" w:space="0" w:color="000000"/>
            </w:tcBorders>
          </w:tcPr>
          <w:p w:rsidR="001E196D" w14:paraId="00A28877" w14:textId="77777777">
            <w:pPr>
              <w:spacing w:after="0" w:line="259" w:lineRule="auto"/>
              <w:ind w:left="0" w:right="40" w:firstLine="0"/>
              <w:jc w:val="center"/>
            </w:pPr>
            <w:r>
              <w:rPr>
                <w:rFonts w:ascii="Calibri" w:eastAsia="Calibri" w:hAnsi="Calibri" w:cs="Calibri"/>
                <w:sz w:val="20"/>
              </w:rPr>
              <w:t xml:space="preserve">2 </w:t>
            </w:r>
          </w:p>
        </w:tc>
        <w:tc>
          <w:tcPr>
            <w:tcW w:w="2065" w:type="dxa"/>
            <w:tcBorders>
              <w:top w:val="single" w:sz="8" w:space="0" w:color="000000"/>
              <w:left w:val="single" w:sz="8" w:space="0" w:color="000000"/>
              <w:bottom w:val="single" w:sz="8" w:space="0" w:color="000000"/>
              <w:right w:val="single" w:sz="8" w:space="0" w:color="000000"/>
            </w:tcBorders>
          </w:tcPr>
          <w:p w:rsidR="001E196D" w14:paraId="7659FAAB" w14:textId="77777777">
            <w:pPr>
              <w:spacing w:after="0" w:line="259" w:lineRule="auto"/>
              <w:ind w:left="0" w:firstLine="0"/>
            </w:pPr>
            <w:r>
              <w:rPr>
                <w:rFonts w:ascii="Calibri" w:eastAsia="Calibri" w:hAnsi="Calibri" w:cs="Calibri"/>
                <w:sz w:val="20"/>
              </w:rPr>
              <w:t xml:space="preserve">$68.36/$81.30 </w:t>
            </w:r>
          </w:p>
        </w:tc>
      </w:tr>
      <w:tr w14:paraId="10AE24DD" w14:textId="77777777">
        <w:tblPrEx>
          <w:tblW w:w="8572" w:type="dxa"/>
          <w:tblInd w:w="924" w:type="dxa"/>
          <w:tblCellMar>
            <w:top w:w="43" w:type="dxa"/>
            <w:left w:w="108" w:type="dxa"/>
            <w:right w:w="67" w:type="dxa"/>
          </w:tblCellMar>
          <w:tblLook w:val="04A0"/>
        </w:tblPrEx>
        <w:trPr>
          <w:trHeight w:val="754"/>
        </w:trPr>
        <w:tc>
          <w:tcPr>
            <w:tcW w:w="2235" w:type="dxa"/>
            <w:tcBorders>
              <w:top w:val="single" w:sz="8" w:space="0" w:color="000000"/>
              <w:left w:val="single" w:sz="8" w:space="0" w:color="000000"/>
              <w:bottom w:val="single" w:sz="8" w:space="0" w:color="000000"/>
              <w:right w:val="single" w:sz="8" w:space="0" w:color="000000"/>
            </w:tcBorders>
          </w:tcPr>
          <w:p w:rsidR="001E196D" w14:paraId="13C83B10" w14:textId="77777777">
            <w:pPr>
              <w:spacing w:after="0" w:line="259" w:lineRule="auto"/>
              <w:ind w:left="0" w:firstLine="0"/>
            </w:pPr>
            <w:r>
              <w:rPr>
                <w:rFonts w:ascii="Calibri" w:eastAsia="Calibri" w:hAnsi="Calibri" w:cs="Calibri"/>
                <w:sz w:val="20"/>
              </w:rPr>
              <w:t xml:space="preserve">OMH Staff (GS 12/13s) </w:t>
            </w:r>
          </w:p>
        </w:tc>
        <w:tc>
          <w:tcPr>
            <w:tcW w:w="2264" w:type="dxa"/>
            <w:tcBorders>
              <w:top w:val="single" w:sz="8" w:space="0" w:color="000000"/>
              <w:left w:val="single" w:sz="8" w:space="0" w:color="000000"/>
              <w:bottom w:val="single" w:sz="8" w:space="0" w:color="000000"/>
              <w:right w:val="single" w:sz="8" w:space="0" w:color="000000"/>
            </w:tcBorders>
          </w:tcPr>
          <w:p w:rsidR="001E196D" w14:paraId="038E8E23" w14:textId="77777777">
            <w:pPr>
              <w:spacing w:after="0" w:line="259" w:lineRule="auto"/>
              <w:ind w:left="0" w:firstLine="0"/>
            </w:pPr>
            <w:r>
              <w:rPr>
                <w:rFonts w:ascii="Calibri" w:eastAsia="Calibri" w:hAnsi="Calibri" w:cs="Calibri"/>
                <w:sz w:val="20"/>
              </w:rPr>
              <w:t xml:space="preserve">Coordinate w/the winners on the announcement </w:t>
            </w:r>
          </w:p>
        </w:tc>
        <w:tc>
          <w:tcPr>
            <w:tcW w:w="2009" w:type="dxa"/>
            <w:tcBorders>
              <w:top w:val="single" w:sz="8" w:space="0" w:color="000000"/>
              <w:left w:val="single" w:sz="8" w:space="0" w:color="000000"/>
              <w:bottom w:val="single" w:sz="8" w:space="0" w:color="000000"/>
              <w:right w:val="single" w:sz="8" w:space="0" w:color="000000"/>
            </w:tcBorders>
          </w:tcPr>
          <w:p w:rsidR="001E196D" w14:paraId="0EEF8678" w14:textId="77777777">
            <w:pPr>
              <w:spacing w:after="0" w:line="259" w:lineRule="auto"/>
              <w:ind w:left="0" w:right="40" w:firstLine="0"/>
              <w:jc w:val="center"/>
            </w:pPr>
            <w:r>
              <w:rPr>
                <w:rFonts w:ascii="Calibri" w:eastAsia="Calibri" w:hAnsi="Calibri" w:cs="Calibri"/>
                <w:sz w:val="20"/>
              </w:rPr>
              <w:t xml:space="preserve">20 </w:t>
            </w:r>
          </w:p>
        </w:tc>
        <w:tc>
          <w:tcPr>
            <w:tcW w:w="2065" w:type="dxa"/>
            <w:tcBorders>
              <w:top w:val="single" w:sz="8" w:space="0" w:color="000000"/>
              <w:left w:val="single" w:sz="8" w:space="0" w:color="000000"/>
              <w:bottom w:val="single" w:sz="8" w:space="0" w:color="000000"/>
              <w:right w:val="single" w:sz="8" w:space="0" w:color="000000"/>
            </w:tcBorders>
          </w:tcPr>
          <w:p w:rsidR="001E196D" w14:paraId="16067473" w14:textId="77777777">
            <w:pPr>
              <w:spacing w:after="0" w:line="259" w:lineRule="auto"/>
              <w:ind w:left="0" w:firstLine="0"/>
            </w:pPr>
            <w:r>
              <w:rPr>
                <w:rFonts w:ascii="Calibri" w:eastAsia="Calibri" w:hAnsi="Calibri" w:cs="Calibri"/>
                <w:sz w:val="20"/>
              </w:rPr>
              <w:t xml:space="preserve">$683.60/$813 </w:t>
            </w:r>
          </w:p>
        </w:tc>
      </w:tr>
      <w:tr w14:paraId="31B4EF32" w14:textId="77777777">
        <w:tblPrEx>
          <w:tblW w:w="8572" w:type="dxa"/>
          <w:tblInd w:w="924" w:type="dxa"/>
          <w:tblCellMar>
            <w:top w:w="43" w:type="dxa"/>
            <w:left w:w="108" w:type="dxa"/>
            <w:right w:w="67" w:type="dxa"/>
          </w:tblCellMar>
          <w:tblLook w:val="04A0"/>
        </w:tblPrEx>
        <w:trPr>
          <w:trHeight w:val="377"/>
        </w:trPr>
        <w:tc>
          <w:tcPr>
            <w:tcW w:w="2235" w:type="dxa"/>
            <w:tcBorders>
              <w:top w:val="single" w:sz="8" w:space="0" w:color="000000"/>
              <w:left w:val="single" w:sz="8" w:space="0" w:color="000000"/>
              <w:bottom w:val="single" w:sz="8" w:space="0" w:color="000000"/>
              <w:right w:val="single" w:sz="8" w:space="0" w:color="000000"/>
            </w:tcBorders>
          </w:tcPr>
          <w:p w:rsidR="001E196D" w14:paraId="03C8F7E6" w14:textId="77777777">
            <w:pPr>
              <w:spacing w:after="0" w:line="259" w:lineRule="auto"/>
              <w:ind w:left="0" w:firstLine="0"/>
            </w:pPr>
            <w:r>
              <w:rPr>
                <w:rFonts w:ascii="Calibri" w:eastAsia="Calibri" w:hAnsi="Calibri" w:cs="Calibri"/>
                <w:sz w:val="20"/>
              </w:rPr>
              <w:t xml:space="preserve">OMH Staff (GS 12/13s) </w:t>
            </w:r>
          </w:p>
        </w:tc>
        <w:tc>
          <w:tcPr>
            <w:tcW w:w="2264" w:type="dxa"/>
            <w:tcBorders>
              <w:top w:val="single" w:sz="8" w:space="0" w:color="000000"/>
              <w:left w:val="single" w:sz="8" w:space="0" w:color="000000"/>
              <w:bottom w:val="single" w:sz="8" w:space="0" w:color="000000"/>
              <w:right w:val="single" w:sz="8" w:space="0" w:color="000000"/>
            </w:tcBorders>
          </w:tcPr>
          <w:p w:rsidR="001E196D" w14:paraId="4FDADC37" w14:textId="77777777">
            <w:pPr>
              <w:spacing w:after="0" w:line="259" w:lineRule="auto"/>
              <w:ind w:left="0" w:firstLine="0"/>
            </w:pPr>
            <w:r>
              <w:rPr>
                <w:rFonts w:ascii="Calibri" w:eastAsia="Calibri" w:hAnsi="Calibri" w:cs="Calibri"/>
                <w:sz w:val="20"/>
              </w:rPr>
              <w:t xml:space="preserve">Post to OMH website </w:t>
            </w:r>
          </w:p>
        </w:tc>
        <w:tc>
          <w:tcPr>
            <w:tcW w:w="2009" w:type="dxa"/>
            <w:tcBorders>
              <w:top w:val="single" w:sz="8" w:space="0" w:color="000000"/>
              <w:left w:val="single" w:sz="8" w:space="0" w:color="000000"/>
              <w:bottom w:val="single" w:sz="8" w:space="0" w:color="000000"/>
              <w:right w:val="single" w:sz="8" w:space="0" w:color="000000"/>
            </w:tcBorders>
          </w:tcPr>
          <w:p w:rsidR="001E196D" w14:paraId="1A3F0386" w14:textId="77777777">
            <w:pPr>
              <w:spacing w:after="0" w:line="259" w:lineRule="auto"/>
              <w:ind w:left="0" w:right="40" w:firstLine="0"/>
              <w:jc w:val="center"/>
            </w:pPr>
            <w:r>
              <w:rPr>
                <w:rFonts w:ascii="Calibri" w:eastAsia="Calibri" w:hAnsi="Calibri" w:cs="Calibri"/>
                <w:sz w:val="20"/>
              </w:rPr>
              <w:t xml:space="preserve">5 </w:t>
            </w:r>
          </w:p>
        </w:tc>
        <w:tc>
          <w:tcPr>
            <w:tcW w:w="2065" w:type="dxa"/>
            <w:tcBorders>
              <w:top w:val="single" w:sz="8" w:space="0" w:color="000000"/>
              <w:left w:val="single" w:sz="8" w:space="0" w:color="000000"/>
              <w:bottom w:val="single" w:sz="8" w:space="0" w:color="000000"/>
              <w:right w:val="single" w:sz="8" w:space="0" w:color="000000"/>
            </w:tcBorders>
          </w:tcPr>
          <w:p w:rsidR="001E196D" w14:paraId="7E76E17A" w14:textId="77777777">
            <w:pPr>
              <w:spacing w:after="0" w:line="259" w:lineRule="auto"/>
              <w:ind w:left="0" w:firstLine="0"/>
            </w:pPr>
            <w:r>
              <w:rPr>
                <w:rFonts w:ascii="Calibri" w:eastAsia="Calibri" w:hAnsi="Calibri" w:cs="Calibri"/>
                <w:sz w:val="20"/>
              </w:rPr>
              <w:t xml:space="preserve">$170.59/$203.425 </w:t>
            </w:r>
          </w:p>
        </w:tc>
      </w:tr>
      <w:tr w14:paraId="58AB6F4F" w14:textId="77777777">
        <w:tblPrEx>
          <w:tblW w:w="8572" w:type="dxa"/>
          <w:tblInd w:w="924" w:type="dxa"/>
          <w:tblCellMar>
            <w:top w:w="43" w:type="dxa"/>
            <w:left w:w="108" w:type="dxa"/>
            <w:right w:w="67" w:type="dxa"/>
          </w:tblCellMar>
          <w:tblLook w:val="04A0"/>
        </w:tblPrEx>
        <w:trPr>
          <w:trHeight w:val="259"/>
        </w:trPr>
        <w:tc>
          <w:tcPr>
            <w:tcW w:w="2235" w:type="dxa"/>
            <w:tcBorders>
              <w:top w:val="single" w:sz="8" w:space="0" w:color="000000"/>
              <w:left w:val="single" w:sz="8" w:space="0" w:color="000000"/>
              <w:bottom w:val="single" w:sz="4" w:space="0" w:color="000000"/>
              <w:right w:val="single" w:sz="8" w:space="0" w:color="000000"/>
            </w:tcBorders>
          </w:tcPr>
          <w:p w:rsidR="001E196D" w14:paraId="05491DF8" w14:textId="77777777">
            <w:pPr>
              <w:spacing w:after="0" w:line="259" w:lineRule="auto"/>
              <w:ind w:left="0" w:firstLine="0"/>
            </w:pPr>
            <w:r>
              <w:rPr>
                <w:rFonts w:ascii="Calibri" w:eastAsia="Calibri" w:hAnsi="Calibri" w:cs="Calibri"/>
                <w:sz w:val="20"/>
              </w:rPr>
              <w:t xml:space="preserve">Personnel Total </w:t>
            </w:r>
          </w:p>
        </w:tc>
        <w:tc>
          <w:tcPr>
            <w:tcW w:w="2264" w:type="dxa"/>
            <w:tcBorders>
              <w:top w:val="single" w:sz="8" w:space="0" w:color="000000"/>
              <w:left w:val="single" w:sz="8" w:space="0" w:color="000000"/>
              <w:bottom w:val="single" w:sz="4" w:space="0" w:color="000000"/>
              <w:right w:val="single" w:sz="8" w:space="0" w:color="000000"/>
            </w:tcBorders>
          </w:tcPr>
          <w:p w:rsidR="001E196D" w14:paraId="610F6D89" w14:textId="77777777">
            <w:pPr>
              <w:spacing w:after="0" w:line="259" w:lineRule="auto"/>
              <w:ind w:left="0" w:firstLine="0"/>
            </w:pPr>
            <w:r>
              <w:rPr>
                <w:rFonts w:ascii="Calibri" w:eastAsia="Calibri" w:hAnsi="Calibri" w:cs="Calibri"/>
                <w:sz w:val="20"/>
              </w:rPr>
              <w:t xml:space="preserve"> </w:t>
            </w:r>
          </w:p>
        </w:tc>
        <w:tc>
          <w:tcPr>
            <w:tcW w:w="2009" w:type="dxa"/>
            <w:tcBorders>
              <w:top w:val="single" w:sz="8" w:space="0" w:color="000000"/>
              <w:left w:val="single" w:sz="8" w:space="0" w:color="000000"/>
              <w:bottom w:val="single" w:sz="4" w:space="0" w:color="000000"/>
              <w:right w:val="single" w:sz="8" w:space="0" w:color="000000"/>
            </w:tcBorders>
          </w:tcPr>
          <w:p w:rsidR="001E196D" w14:paraId="27EA14AF" w14:textId="77777777">
            <w:pPr>
              <w:spacing w:after="0" w:line="259" w:lineRule="auto"/>
              <w:ind w:left="0" w:right="40" w:firstLine="0"/>
              <w:jc w:val="center"/>
            </w:pPr>
            <w:r>
              <w:rPr>
                <w:rFonts w:ascii="Calibri" w:eastAsia="Calibri" w:hAnsi="Calibri" w:cs="Calibri"/>
                <w:sz w:val="20"/>
              </w:rPr>
              <w:t xml:space="preserve">137 hours </w:t>
            </w:r>
          </w:p>
        </w:tc>
        <w:tc>
          <w:tcPr>
            <w:tcW w:w="2065" w:type="dxa"/>
            <w:tcBorders>
              <w:top w:val="single" w:sz="8" w:space="0" w:color="000000"/>
              <w:left w:val="single" w:sz="8" w:space="0" w:color="000000"/>
              <w:bottom w:val="single" w:sz="4" w:space="0" w:color="000000"/>
              <w:right w:val="single" w:sz="8" w:space="0" w:color="000000"/>
            </w:tcBorders>
          </w:tcPr>
          <w:p w:rsidR="001E196D" w14:paraId="5A285756" w14:textId="77777777">
            <w:pPr>
              <w:spacing w:after="0" w:line="259" w:lineRule="auto"/>
              <w:ind w:left="0" w:firstLine="0"/>
            </w:pPr>
            <w:r>
              <w:rPr>
                <w:rFonts w:ascii="Calibri" w:eastAsia="Calibri" w:hAnsi="Calibri" w:cs="Calibri"/>
                <w:sz w:val="20"/>
              </w:rPr>
              <w:t xml:space="preserve">$4675.53/$5573.08 </w:t>
            </w:r>
          </w:p>
        </w:tc>
      </w:tr>
      <w:tr w14:paraId="27C6F172" w14:textId="77777777">
        <w:tblPrEx>
          <w:tblW w:w="8572" w:type="dxa"/>
          <w:tblInd w:w="924" w:type="dxa"/>
          <w:tblCellMar>
            <w:top w:w="43" w:type="dxa"/>
            <w:left w:w="108" w:type="dxa"/>
            <w:right w:w="67" w:type="dxa"/>
          </w:tblCellMar>
          <w:tblLook w:val="04A0"/>
        </w:tblPrEx>
        <w:trPr>
          <w:trHeight w:val="254"/>
        </w:trPr>
        <w:tc>
          <w:tcPr>
            <w:tcW w:w="2235" w:type="dxa"/>
            <w:tcBorders>
              <w:top w:val="single" w:sz="4" w:space="0" w:color="000000"/>
              <w:left w:val="single" w:sz="8" w:space="0" w:color="000000"/>
              <w:bottom w:val="single" w:sz="4" w:space="0" w:color="000000"/>
              <w:right w:val="single" w:sz="8" w:space="0" w:color="000000"/>
            </w:tcBorders>
          </w:tcPr>
          <w:p w:rsidR="001E196D" w14:paraId="43DA0736" w14:textId="77777777">
            <w:pPr>
              <w:spacing w:after="0" w:line="259" w:lineRule="auto"/>
              <w:ind w:left="0" w:firstLine="0"/>
            </w:pPr>
            <w:r>
              <w:rPr>
                <w:rFonts w:ascii="Calibri" w:eastAsia="Calibri" w:hAnsi="Calibri" w:cs="Calibri"/>
                <w:sz w:val="20"/>
              </w:rPr>
              <w:t xml:space="preserve">Plaque  </w:t>
            </w:r>
          </w:p>
        </w:tc>
        <w:tc>
          <w:tcPr>
            <w:tcW w:w="2264" w:type="dxa"/>
            <w:tcBorders>
              <w:top w:val="single" w:sz="4" w:space="0" w:color="000000"/>
              <w:left w:val="single" w:sz="8" w:space="0" w:color="000000"/>
              <w:bottom w:val="single" w:sz="4" w:space="0" w:color="000000"/>
              <w:right w:val="single" w:sz="8" w:space="0" w:color="000000"/>
            </w:tcBorders>
          </w:tcPr>
          <w:p w:rsidR="001E196D" w14:paraId="1E537078" w14:textId="77777777">
            <w:pPr>
              <w:spacing w:after="0" w:line="259" w:lineRule="auto"/>
              <w:ind w:left="0" w:firstLine="0"/>
            </w:pPr>
            <w:r>
              <w:rPr>
                <w:rFonts w:ascii="Calibri" w:eastAsia="Calibri" w:hAnsi="Calibri" w:cs="Calibri"/>
                <w:sz w:val="20"/>
              </w:rPr>
              <w:t xml:space="preserve">Plaque for awardee </w:t>
            </w:r>
          </w:p>
        </w:tc>
        <w:tc>
          <w:tcPr>
            <w:tcW w:w="2009" w:type="dxa"/>
            <w:tcBorders>
              <w:top w:val="single" w:sz="4" w:space="0" w:color="000000"/>
              <w:left w:val="single" w:sz="8" w:space="0" w:color="000000"/>
              <w:bottom w:val="single" w:sz="4" w:space="0" w:color="000000"/>
              <w:right w:val="single" w:sz="8" w:space="0" w:color="000000"/>
            </w:tcBorders>
          </w:tcPr>
          <w:p w:rsidR="001E196D" w14:paraId="020E7ADF" w14:textId="77777777">
            <w:pPr>
              <w:spacing w:after="0" w:line="259" w:lineRule="auto"/>
              <w:ind w:left="0" w:right="40" w:firstLine="0"/>
              <w:jc w:val="center"/>
            </w:pPr>
            <w:r>
              <w:rPr>
                <w:rFonts w:ascii="Calibri" w:eastAsia="Calibri" w:hAnsi="Calibri" w:cs="Calibri"/>
                <w:sz w:val="20"/>
              </w:rPr>
              <w:t xml:space="preserve">1 </w:t>
            </w:r>
          </w:p>
        </w:tc>
        <w:tc>
          <w:tcPr>
            <w:tcW w:w="2065" w:type="dxa"/>
            <w:tcBorders>
              <w:top w:val="single" w:sz="4" w:space="0" w:color="000000"/>
              <w:left w:val="single" w:sz="8" w:space="0" w:color="000000"/>
              <w:bottom w:val="single" w:sz="4" w:space="0" w:color="000000"/>
              <w:right w:val="single" w:sz="8" w:space="0" w:color="000000"/>
            </w:tcBorders>
          </w:tcPr>
          <w:p w:rsidR="001E196D" w14:paraId="008C773C" w14:textId="77777777">
            <w:pPr>
              <w:spacing w:after="0" w:line="259" w:lineRule="auto"/>
              <w:ind w:left="0" w:right="42" w:firstLine="0"/>
              <w:jc w:val="center"/>
            </w:pPr>
            <w:r>
              <w:rPr>
                <w:rFonts w:ascii="Calibri" w:eastAsia="Calibri" w:hAnsi="Calibri" w:cs="Calibri"/>
                <w:sz w:val="20"/>
              </w:rPr>
              <w:t xml:space="preserve">$50 </w:t>
            </w:r>
          </w:p>
        </w:tc>
      </w:tr>
      <w:tr w14:paraId="76C564F2" w14:textId="77777777">
        <w:tblPrEx>
          <w:tblW w:w="8572" w:type="dxa"/>
          <w:tblInd w:w="924" w:type="dxa"/>
          <w:tblCellMar>
            <w:top w:w="43" w:type="dxa"/>
            <w:left w:w="108" w:type="dxa"/>
            <w:right w:w="67" w:type="dxa"/>
          </w:tblCellMar>
          <w:tblLook w:val="04A0"/>
        </w:tblPrEx>
        <w:trPr>
          <w:trHeight w:val="259"/>
        </w:trPr>
        <w:tc>
          <w:tcPr>
            <w:tcW w:w="2235" w:type="dxa"/>
            <w:tcBorders>
              <w:top w:val="single" w:sz="4" w:space="0" w:color="000000"/>
              <w:left w:val="single" w:sz="8" w:space="0" w:color="000000"/>
              <w:bottom w:val="single" w:sz="8" w:space="0" w:color="000000"/>
              <w:right w:val="single" w:sz="8" w:space="0" w:color="000000"/>
            </w:tcBorders>
          </w:tcPr>
          <w:p w:rsidR="001E196D" w14:paraId="1629792E" w14:textId="77777777">
            <w:pPr>
              <w:spacing w:after="0" w:line="259" w:lineRule="auto"/>
              <w:ind w:left="0" w:firstLine="0"/>
            </w:pPr>
            <w:r>
              <w:rPr>
                <w:rFonts w:ascii="Calibri" w:eastAsia="Calibri" w:hAnsi="Calibri" w:cs="Calibri"/>
                <w:sz w:val="20"/>
              </w:rPr>
              <w:t xml:space="preserve">Total Government Costs  </w:t>
            </w:r>
          </w:p>
        </w:tc>
        <w:tc>
          <w:tcPr>
            <w:tcW w:w="2264" w:type="dxa"/>
            <w:tcBorders>
              <w:top w:val="single" w:sz="4" w:space="0" w:color="000000"/>
              <w:left w:val="single" w:sz="8" w:space="0" w:color="000000"/>
              <w:bottom w:val="single" w:sz="8" w:space="0" w:color="000000"/>
              <w:right w:val="single" w:sz="8" w:space="0" w:color="000000"/>
            </w:tcBorders>
          </w:tcPr>
          <w:p w:rsidR="001E196D" w14:paraId="501A8714" w14:textId="77777777">
            <w:pPr>
              <w:spacing w:after="0" w:line="259" w:lineRule="auto"/>
              <w:ind w:left="0" w:firstLine="0"/>
            </w:pPr>
            <w:r>
              <w:rPr>
                <w:rFonts w:ascii="Calibri" w:eastAsia="Calibri" w:hAnsi="Calibri" w:cs="Calibri"/>
                <w:sz w:val="20"/>
              </w:rPr>
              <w:t xml:space="preserve"> </w:t>
            </w:r>
          </w:p>
        </w:tc>
        <w:tc>
          <w:tcPr>
            <w:tcW w:w="2009" w:type="dxa"/>
            <w:tcBorders>
              <w:top w:val="single" w:sz="4" w:space="0" w:color="000000"/>
              <w:left w:val="single" w:sz="8" w:space="0" w:color="000000"/>
              <w:bottom w:val="single" w:sz="8" w:space="0" w:color="000000"/>
              <w:right w:val="single" w:sz="8" w:space="0" w:color="000000"/>
            </w:tcBorders>
          </w:tcPr>
          <w:p w:rsidR="001E196D" w14:paraId="24BCF6A7" w14:textId="77777777">
            <w:pPr>
              <w:spacing w:after="0" w:line="259" w:lineRule="auto"/>
              <w:ind w:left="5" w:firstLine="0"/>
              <w:jc w:val="center"/>
            </w:pPr>
            <w:r>
              <w:rPr>
                <w:rFonts w:ascii="Calibri" w:eastAsia="Calibri" w:hAnsi="Calibri" w:cs="Calibri"/>
                <w:sz w:val="20"/>
              </w:rPr>
              <w:t xml:space="preserve"> </w:t>
            </w:r>
          </w:p>
        </w:tc>
        <w:tc>
          <w:tcPr>
            <w:tcW w:w="2065" w:type="dxa"/>
            <w:tcBorders>
              <w:top w:val="single" w:sz="4" w:space="0" w:color="000000"/>
              <w:left w:val="single" w:sz="8" w:space="0" w:color="000000"/>
              <w:bottom w:val="single" w:sz="8" w:space="0" w:color="000000"/>
              <w:right w:val="single" w:sz="8" w:space="0" w:color="000000"/>
            </w:tcBorders>
          </w:tcPr>
          <w:p w:rsidR="001E196D" w14:paraId="004F2184" w14:textId="77777777">
            <w:pPr>
              <w:spacing w:after="0" w:line="259" w:lineRule="auto"/>
              <w:ind w:left="0" w:right="40" w:firstLine="0"/>
              <w:jc w:val="center"/>
            </w:pPr>
            <w:r>
              <w:rPr>
                <w:rFonts w:ascii="Calibri" w:eastAsia="Calibri" w:hAnsi="Calibri" w:cs="Calibri"/>
                <w:sz w:val="20"/>
              </w:rPr>
              <w:t xml:space="preserve">$4725/$5623.08 </w:t>
            </w:r>
          </w:p>
        </w:tc>
      </w:tr>
    </w:tbl>
    <w:p w:rsidR="001E196D" w14:paraId="0DBE8743" w14:textId="77777777">
      <w:pPr>
        <w:spacing w:after="76" w:line="259" w:lineRule="auto"/>
        <w:ind w:left="432" w:firstLine="0"/>
      </w:pPr>
      <w:r>
        <w:t xml:space="preserve"> </w:t>
      </w:r>
    </w:p>
    <w:p w:rsidR="001E196D" w14:paraId="6157D40E" w14:textId="77777777">
      <w:pPr>
        <w:spacing w:after="0" w:line="259" w:lineRule="auto"/>
        <w:ind w:left="0" w:firstLine="0"/>
      </w:pPr>
      <w:r>
        <w:rPr>
          <w:color w:val="FF0000"/>
        </w:rPr>
        <w:t xml:space="preserve"> </w:t>
      </w:r>
    </w:p>
    <w:p w:rsidR="001E196D" w14:paraId="016EF834" w14:textId="77777777">
      <w:pPr>
        <w:spacing w:after="0" w:line="259" w:lineRule="auto"/>
        <w:ind w:left="-5"/>
      </w:pPr>
      <w:r>
        <w:t xml:space="preserve">15. </w:t>
      </w:r>
      <w:r>
        <w:rPr>
          <w:u w:val="single" w:color="000000"/>
        </w:rPr>
        <w:t>Changes to Burden</w:t>
      </w:r>
      <w:r>
        <w:t xml:space="preserve"> </w:t>
      </w:r>
    </w:p>
    <w:p w:rsidR="001E196D" w14:paraId="19349193" w14:textId="77777777">
      <w:pPr>
        <w:spacing w:after="0" w:line="259" w:lineRule="auto"/>
        <w:ind w:left="0" w:firstLine="0"/>
      </w:pPr>
      <w:r>
        <w:t xml:space="preserve"> </w:t>
      </w:r>
    </w:p>
    <w:p w:rsidR="001E196D" w14:paraId="10C16E1A" w14:textId="77777777">
      <w:pPr>
        <w:ind w:left="427" w:right="9"/>
      </w:pPr>
      <w:r>
        <w:t>This is a new collection, there are no changes</w:t>
      </w:r>
      <w:r>
        <w:t xml:space="preserve">.  </w:t>
      </w:r>
    </w:p>
    <w:p w:rsidR="001E196D" w14:paraId="67A9952D" w14:textId="77777777">
      <w:pPr>
        <w:spacing w:after="0" w:line="259" w:lineRule="auto"/>
        <w:ind w:left="0" w:firstLine="0"/>
      </w:pPr>
      <w:r>
        <w:t xml:space="preserve"> </w:t>
      </w:r>
    </w:p>
    <w:p w:rsidR="001E196D" w14:paraId="6FCCCA9B" w14:textId="77777777">
      <w:pPr>
        <w:spacing w:after="0" w:line="259" w:lineRule="auto"/>
        <w:ind w:left="0" w:firstLine="0"/>
      </w:pPr>
      <w:r>
        <w:t xml:space="preserve"> </w:t>
      </w:r>
    </w:p>
    <w:p w:rsidR="001E196D" w14:paraId="1E858A02" w14:textId="77777777">
      <w:pPr>
        <w:pStyle w:val="Heading2"/>
        <w:ind w:left="-5"/>
      </w:pPr>
      <w:r>
        <w:rPr>
          <w:u w:val="none"/>
        </w:rPr>
        <w:t xml:space="preserve">16. </w:t>
      </w:r>
      <w:r>
        <w:t>Publication/Tabulation Dates</w:t>
      </w:r>
      <w:r>
        <w:rPr>
          <w:u w:val="none"/>
        </w:rPr>
        <w:t xml:space="preserve"> </w:t>
      </w:r>
    </w:p>
    <w:p w:rsidR="001E196D" w14:paraId="040C1F36" w14:textId="77777777">
      <w:pPr>
        <w:spacing w:after="0" w:line="259" w:lineRule="auto"/>
        <w:ind w:left="0" w:firstLine="0"/>
      </w:pPr>
      <w:r>
        <w:t xml:space="preserve"> </w:t>
      </w:r>
    </w:p>
    <w:p w:rsidR="001E196D" w14:paraId="6015FBBC" w14:textId="77777777">
      <w:pPr>
        <w:ind w:left="427" w:right="9"/>
      </w:pPr>
      <w:r>
        <w:t>For collections of information whose results will be published, outline plans for tabulation, and publication</w:t>
      </w:r>
      <w:r>
        <w:t xml:space="preserve">.  </w:t>
      </w:r>
      <w:r>
        <w:t>Address any complex analytical techniques that will be used</w:t>
      </w:r>
      <w:r>
        <w:t xml:space="preserve">.  </w:t>
      </w:r>
      <w:r>
        <w:t xml:space="preserve">Provide the time schedule for the entire project, including beginning and ending dates of the collection of information, completion of report, publication dates, and other actions. </w:t>
      </w:r>
    </w:p>
    <w:p w:rsidR="001E196D" w14:paraId="46674013" w14:textId="77777777">
      <w:pPr>
        <w:spacing w:after="0" w:line="259" w:lineRule="auto"/>
        <w:ind w:left="432" w:firstLine="0"/>
      </w:pPr>
      <w:r>
        <w:t xml:space="preserve"> </w:t>
      </w:r>
    </w:p>
    <w:p w:rsidR="001E196D" w14:paraId="0211FE82" w14:textId="77777777">
      <w:pPr>
        <w:ind w:left="427" w:right="9"/>
      </w:pPr>
      <w:r>
        <w:t xml:space="preserve">Draft Nomination Form – NLT 12/20/24 </w:t>
      </w:r>
    </w:p>
    <w:p w:rsidR="001E196D" w14:paraId="075D8065" w14:textId="77777777">
      <w:pPr>
        <w:ind w:left="427" w:right="9"/>
      </w:pPr>
      <w:r>
        <w:t xml:space="preserve">Compile Selection Committee January 2025 </w:t>
      </w:r>
    </w:p>
    <w:p w:rsidR="001E196D" w14:paraId="29135AE4" w14:textId="77777777">
      <w:pPr>
        <w:ind w:left="427" w:right="9"/>
      </w:pPr>
      <w:r>
        <w:t xml:space="preserve">Hold Selection Committee Meetings 1 &amp; 2 February 2025 </w:t>
      </w:r>
    </w:p>
    <w:p w:rsidR="001E196D" w14:paraId="6692B023" w14:textId="77777777">
      <w:pPr>
        <w:ind w:left="427" w:right="9"/>
      </w:pPr>
      <w:r>
        <w:t xml:space="preserve">Hold Selection Committee Meeting #3 </w:t>
      </w:r>
      <w:r>
        <w:t>1</w:t>
      </w:r>
      <w:r>
        <w:rPr>
          <w:vertAlign w:val="superscript"/>
        </w:rPr>
        <w:t>st</w:t>
      </w:r>
      <w:r>
        <w:t xml:space="preserve"> week of March 2025 </w:t>
      </w:r>
    </w:p>
    <w:p w:rsidR="001E196D" w14:paraId="247C1F12" w14:textId="77777777">
      <w:pPr>
        <w:ind w:left="427" w:right="9"/>
      </w:pPr>
      <w:r>
        <w:t xml:space="preserve">Vet top </w:t>
      </w:r>
      <w:r>
        <w:t>3</w:t>
      </w:r>
      <w:r>
        <w:t xml:space="preserve"> nominations with selection committee – 1</w:t>
      </w:r>
      <w:r>
        <w:rPr>
          <w:vertAlign w:val="superscript"/>
        </w:rPr>
        <w:t>st</w:t>
      </w:r>
      <w:r>
        <w:t xml:space="preserve"> week in March </w:t>
      </w:r>
    </w:p>
    <w:p w:rsidR="001E196D" w14:paraId="48C0CA5C" w14:textId="77777777">
      <w:pPr>
        <w:ind w:left="427" w:right="9"/>
      </w:pPr>
      <w:r>
        <w:t xml:space="preserve">Draft recommendation for CMS OMH Leadership – </w:t>
      </w:r>
      <w:r>
        <w:t>1</w:t>
      </w:r>
      <w:r>
        <w:rPr>
          <w:vertAlign w:val="superscript"/>
        </w:rPr>
        <w:t>st</w:t>
      </w:r>
      <w:r>
        <w:t xml:space="preserve"> week in March </w:t>
      </w:r>
    </w:p>
    <w:p w:rsidR="001E196D" w14:paraId="271FF694" w14:textId="77777777">
      <w:pPr>
        <w:ind w:left="427" w:right="9"/>
      </w:pPr>
      <w:r>
        <w:t xml:space="preserve">Draft Decision Memo for Office of Administrator (OA) – </w:t>
      </w:r>
      <w:r>
        <w:t>2</w:t>
      </w:r>
      <w:r>
        <w:rPr>
          <w:vertAlign w:val="superscript"/>
        </w:rPr>
        <w:t>nd</w:t>
      </w:r>
      <w:r>
        <w:t xml:space="preserve"> week in March </w:t>
      </w:r>
    </w:p>
    <w:p w:rsidR="001E196D" w14:paraId="1043465D" w14:textId="77777777">
      <w:pPr>
        <w:ind w:left="427" w:right="9"/>
      </w:pPr>
      <w:r>
        <w:t>Once OA approved, notify winners via email – 1</w:t>
      </w:r>
      <w:r>
        <w:rPr>
          <w:vertAlign w:val="superscript"/>
        </w:rPr>
        <w:t>st</w:t>
      </w:r>
      <w:r>
        <w:t xml:space="preserve"> week of </w:t>
      </w:r>
      <w:r>
        <w:t>April</w:t>
      </w:r>
      <w:r>
        <w:t xml:space="preserve"> </w:t>
      </w:r>
    </w:p>
    <w:p w:rsidR="001E196D" w14:paraId="7FEF12E8" w14:textId="77777777">
      <w:pPr>
        <w:ind w:left="427" w:right="9"/>
      </w:pPr>
      <w:r>
        <w:t xml:space="preserve">Coordinate w/the winners on the announcement – </w:t>
      </w:r>
      <w:r>
        <w:t>1st</w:t>
      </w:r>
      <w:r>
        <w:t xml:space="preserve"> week of April  </w:t>
      </w:r>
    </w:p>
    <w:p w:rsidR="001E196D" w14:paraId="11B5462B" w14:textId="77777777">
      <w:pPr>
        <w:ind w:left="427" w:right="9"/>
      </w:pPr>
      <w:r>
        <w:t xml:space="preserve">Post to OMH website – Early April </w:t>
      </w:r>
    </w:p>
    <w:p w:rsidR="001E196D" w14:paraId="7251AB12" w14:textId="77777777">
      <w:pPr>
        <w:spacing w:after="0" w:line="259" w:lineRule="auto"/>
        <w:ind w:left="432" w:firstLine="0"/>
      </w:pPr>
      <w:r>
        <w:t xml:space="preserve">  </w:t>
      </w:r>
    </w:p>
    <w:p w:rsidR="001E196D" w:rsidP="00951FE3" w14:paraId="421CCE5F" w14:textId="77777777">
      <w:pPr>
        <w:spacing w:after="0" w:line="259" w:lineRule="auto"/>
        <w:ind w:left="432" w:firstLine="0"/>
      </w:pPr>
      <w:r>
        <w:rPr>
          <w:color w:val="FF0000"/>
        </w:rPr>
        <w:t xml:space="preserve"> </w:t>
      </w:r>
    </w:p>
    <w:p w:rsidR="001E196D" w14:paraId="6625DDAA" w14:textId="77777777">
      <w:pPr>
        <w:pStyle w:val="Heading2"/>
        <w:ind w:left="-5"/>
      </w:pPr>
      <w:r>
        <w:rPr>
          <w:u w:val="none"/>
        </w:rPr>
        <w:t xml:space="preserve">17. </w:t>
      </w:r>
      <w:r>
        <w:t>Expiration Date</w:t>
      </w:r>
      <w:r>
        <w:rPr>
          <w:u w:val="none"/>
        </w:rPr>
        <w:t xml:space="preserve"> </w:t>
      </w:r>
    </w:p>
    <w:p w:rsidR="001E196D" w14:paraId="55B5A3B7" w14:textId="77777777">
      <w:pPr>
        <w:spacing w:after="0" w:line="259" w:lineRule="auto"/>
        <w:ind w:left="0" w:firstLine="0"/>
      </w:pPr>
      <w:r>
        <w:t xml:space="preserve"> </w:t>
      </w:r>
    </w:p>
    <w:p w:rsidR="001E196D" w14:paraId="34567EF8" w14:textId="77777777">
      <w:pPr>
        <w:ind w:left="427" w:right="9"/>
      </w:pPr>
      <w:r>
        <w:t xml:space="preserve">The expiration date would be three (3) years from the date of approval and displayed on the approved form. </w:t>
      </w:r>
    </w:p>
    <w:p w:rsidR="001E196D" w14:paraId="7551C19D" w14:textId="77777777">
      <w:pPr>
        <w:spacing w:after="0" w:line="259" w:lineRule="auto"/>
        <w:ind w:left="0" w:firstLine="0"/>
      </w:pPr>
      <w:r>
        <w:t xml:space="preserve"> </w:t>
      </w:r>
    </w:p>
    <w:p w:rsidR="001E196D" w14:paraId="5C7D95DA" w14:textId="77777777">
      <w:pPr>
        <w:pStyle w:val="Heading2"/>
        <w:ind w:left="-5"/>
      </w:pPr>
      <w:r>
        <w:rPr>
          <w:u w:val="none"/>
        </w:rPr>
        <w:t xml:space="preserve">18. </w:t>
      </w:r>
      <w:r>
        <w:t>Certification Statement</w:t>
      </w:r>
      <w:r>
        <w:rPr>
          <w:u w:val="none"/>
        </w:rPr>
        <w:t xml:space="preserve"> </w:t>
      </w:r>
    </w:p>
    <w:p w:rsidR="001E196D" w14:paraId="58EAA2BC" w14:textId="77777777">
      <w:pPr>
        <w:spacing w:after="0" w:line="259" w:lineRule="auto"/>
        <w:ind w:left="0" w:firstLine="0"/>
      </w:pPr>
      <w:r>
        <w:t xml:space="preserve"> </w:t>
      </w:r>
    </w:p>
    <w:p w:rsidR="001E196D" w14:paraId="3C71FEA2" w14:textId="77777777">
      <w:pPr>
        <w:ind w:right="9"/>
      </w:pPr>
      <w:r>
        <w:t xml:space="preserve">There are no exceptions to the certification statement to </w:t>
      </w:r>
      <w:r>
        <w:t>be explained</w:t>
      </w:r>
      <w:r>
        <w:t>.</w:t>
      </w:r>
      <w:r>
        <w:rPr>
          <w:b/>
        </w:rPr>
        <w:t xml:space="preserve"> </w:t>
      </w:r>
    </w:p>
    <w:sectPr>
      <w:footerReference w:type="even" r:id="rId8"/>
      <w:footerReference w:type="default" r:id="rId9"/>
      <w:footerReference w:type="first" r:id="rId10"/>
      <w:pgSz w:w="12240" w:h="15840"/>
      <w:pgMar w:top="1440" w:right="1310" w:bottom="2313" w:left="1440" w:header="720" w:footer="14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6D" w14:paraId="5800A368" w14:textId="77777777">
    <w:pPr>
      <w:spacing w:after="22" w:line="259" w:lineRule="auto"/>
      <w:ind w:left="0" w:firstLine="0"/>
    </w:pPr>
    <w:r>
      <w:rPr>
        <w:sz w:val="20"/>
      </w:rPr>
      <w:t xml:space="preserve"> </w:t>
    </w:r>
  </w:p>
  <w:p w:rsidR="001E196D" w14:paraId="2B89B382" w14:textId="77777777">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rsidR="001E196D" w14:paraId="5CB85D30"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6D" w14:paraId="3A5C9795" w14:textId="77777777">
    <w:pPr>
      <w:spacing w:after="22" w:line="259" w:lineRule="auto"/>
      <w:ind w:left="0" w:firstLine="0"/>
    </w:pPr>
    <w:r>
      <w:rPr>
        <w:sz w:val="20"/>
      </w:rPr>
      <w:t xml:space="preserve"> </w:t>
    </w:r>
  </w:p>
  <w:p w:rsidR="001E196D" w14:paraId="0D3002FA" w14:textId="77777777">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rsidR="001E196D" w14:paraId="05EEEE1E" w14:textId="7777777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196D" w14:paraId="1BAE183A" w14:textId="77777777">
    <w:pPr>
      <w:spacing w:after="22" w:line="259" w:lineRule="auto"/>
      <w:ind w:left="0" w:firstLine="0"/>
    </w:pPr>
    <w:r>
      <w:rPr>
        <w:sz w:val="20"/>
      </w:rPr>
      <w:t xml:space="preserve"> </w:t>
    </w:r>
  </w:p>
  <w:p w:rsidR="001E196D" w14:paraId="00E41BA7" w14:textId="77777777">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rsidR="001E196D" w14:paraId="4A057A15" w14:textId="77777777">
    <w:pPr>
      <w:spacing w:after="0" w:line="259" w:lineRule="auto"/>
      <w:ind w:lef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279E6"/>
    <w:multiLevelType w:val="hybridMultilevel"/>
    <w:tmpl w:val="9A181A7E"/>
    <w:lvl w:ilvl="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390B0D03"/>
    <w:multiLevelType w:val="hybridMultilevel"/>
    <w:tmpl w:val="C9D4880A"/>
    <w:lvl w:ilvl="0">
      <w:start w:val="1"/>
      <w:numFmt w:val="upperLetter"/>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D7940E1"/>
    <w:multiLevelType w:val="hybridMultilevel"/>
    <w:tmpl w:val="944EDC08"/>
    <w:lvl w:ilvl="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52992667">
    <w:abstractNumId w:val="1"/>
  </w:num>
  <w:num w:numId="2" w16cid:durableId="537662161">
    <w:abstractNumId w:val="0"/>
  </w:num>
  <w:num w:numId="3" w16cid:durableId="1811169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6D"/>
    <w:rsid w:val="001E196D"/>
    <w:rsid w:val="0049122F"/>
    <w:rsid w:val="004E7FC9"/>
    <w:rsid w:val="00951FE3"/>
    <w:rsid w:val="00A0733C"/>
    <w:rsid w:val="00A07BAC"/>
    <w:rsid w:val="00AF0CC3"/>
    <w:rsid w:val="00C436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F35903"/>
  <w15:docId w15:val="{97EAB3C2-7614-4AC1-B722-A5B7C584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25"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About-CMS/Agency-Information/OMH/equity-initiatives/Past-Health-Equity-Award-Winners" TargetMode="External" /><Relationship Id="rId5" Type="http://schemas.openxmlformats.org/officeDocument/2006/relationships/hyperlink" Target="https://uscode.house.gov/view.xhtml?req=(title:42%20section:300u%20edition:prelim)" TargetMode="External" /><Relationship Id="rId6" Type="http://schemas.openxmlformats.org/officeDocument/2006/relationships/hyperlink" Target="https://www.cms.gov/About-CMS/Agency-Information/OMH/resource-center/hcps-and-researchers/quality-improvements-and-interventions.html" TargetMode="External" /><Relationship Id="rId7" Type="http://schemas.openxmlformats.org/officeDocument/2006/relationships/hyperlink" Target="http://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Stephan McKenzie</cp:lastModifiedBy>
  <cp:revision>5</cp:revision>
  <dcterms:created xsi:type="dcterms:W3CDTF">2023-11-22T15:28:00Z</dcterms:created>
  <dcterms:modified xsi:type="dcterms:W3CDTF">2023-11-24T17:41:00Z</dcterms:modified>
</cp:coreProperties>
</file>