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4512F" w:rsidRPr="0004512F" w:rsidP="00C26AF9">
      <w:pPr>
        <w:pStyle w:val="Heading1"/>
      </w:pPr>
      <w:r w:rsidRPr="0004512F">
        <w:t xml:space="preserve">Crosswalk for Changes to </w:t>
      </w:r>
      <w:r w:rsidRPr="0004512F" w:rsidR="00071FFD">
        <w:t>Section 226A of the Social Security Act</w:t>
      </w:r>
    </w:p>
    <w:p w:rsidR="00820E9E" w:rsidRPr="004E42CF" w:rsidP="00C26AF9">
      <w:pPr>
        <w:pStyle w:val="Heading2"/>
      </w:pPr>
      <w:r w:rsidRPr="004E42CF">
        <w:t>End Stage Renal Disease Medical Evidence Report Medicare</w:t>
      </w:r>
      <w:r w:rsidRPr="004E42CF" w:rsidR="0004512F">
        <w:t xml:space="preserve"> </w:t>
      </w:r>
      <w:r w:rsidRPr="004E42CF">
        <w:t xml:space="preserve">Entitlement and/or Patient Registration </w:t>
      </w:r>
      <w:r w:rsidRPr="004E42CF">
        <w:t>(CMS-</w:t>
      </w:r>
      <w:r w:rsidRPr="004E42CF">
        <w:t>2728</w:t>
      </w:r>
      <w:r w:rsidRPr="004E42CF">
        <w:t>)</w:t>
      </w:r>
    </w:p>
    <w:p w:rsidR="0004512F" w:rsidRPr="0004512F" w:rsidP="00942F1E">
      <w:pPr>
        <w:pStyle w:val="Caption"/>
        <w:spacing w:line="240" w:lineRule="auto"/>
      </w:pPr>
      <w:r w:rsidRPr="0004512F">
        <w:t xml:space="preserve">Table. </w:t>
      </w:r>
      <w:bookmarkStart w:id="0" w:name="_Hlk120616629"/>
      <w:r w:rsidRPr="0004512F">
        <w:t>Crosswalk to Section 226A of the Social Security Act</w:t>
      </w:r>
      <w:bookmarkEnd w:id="0"/>
    </w:p>
    <w:tbl>
      <w:tblPr>
        <w:tblCaption w:val="Crosswalk to Section 226A of the Social Security Ac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3339"/>
        <w:gridCol w:w="3181"/>
      </w:tblGrid>
      <w:tr w:rsidTr="009F4E4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1"/>
          <w:tblHeader/>
          <w:jc w:val="center"/>
        </w:trPr>
        <w:tc>
          <w:tcPr>
            <w:tcW w:w="2898" w:type="dxa"/>
            <w:shd w:val="clear" w:color="auto" w:fill="F2F2F2"/>
            <w:vAlign w:val="center"/>
          </w:tcPr>
          <w:p w:rsidR="00BA714E" w:rsidRPr="0004512F" w:rsidP="0004512F">
            <w:pPr>
              <w:pStyle w:val="Headerrow"/>
            </w:pPr>
            <w:r w:rsidRPr="0004512F">
              <w:t>Section of</w:t>
            </w:r>
            <w:r w:rsidRPr="0004512F" w:rsidR="0004512F">
              <w:t xml:space="preserve"> </w:t>
            </w:r>
            <w:r w:rsidRPr="0004512F">
              <w:t>Current CMS-2728</w:t>
            </w:r>
            <w:r w:rsidRPr="0004512F" w:rsidR="0004512F">
              <w:t xml:space="preserve"> </w:t>
            </w:r>
            <w:r w:rsidRPr="0004512F">
              <w:t>(10/22)</w:t>
            </w:r>
          </w:p>
        </w:tc>
        <w:tc>
          <w:tcPr>
            <w:tcW w:w="3420" w:type="dxa"/>
            <w:shd w:val="clear" w:color="auto" w:fill="F2F2F2"/>
            <w:vAlign w:val="center"/>
          </w:tcPr>
          <w:p w:rsidR="00BA714E" w:rsidRPr="0004512F" w:rsidP="0004512F">
            <w:pPr>
              <w:pStyle w:val="Headerrow"/>
            </w:pPr>
            <w:r w:rsidRPr="0004512F">
              <w:t>Type of Change</w:t>
            </w:r>
          </w:p>
        </w:tc>
        <w:tc>
          <w:tcPr>
            <w:tcW w:w="3258" w:type="dxa"/>
            <w:shd w:val="clear" w:color="auto" w:fill="F2F2F2"/>
            <w:vAlign w:val="center"/>
          </w:tcPr>
          <w:p w:rsidR="00BA714E" w:rsidRPr="0004512F" w:rsidP="0004512F">
            <w:pPr>
              <w:pStyle w:val="Headerrow"/>
            </w:pPr>
            <w:r w:rsidRPr="0004512F">
              <w:t>Rational</w:t>
            </w:r>
            <w:r w:rsidRPr="0004512F" w:rsidR="0004512F">
              <w:t>e</w:t>
            </w:r>
            <w:r w:rsidRPr="0004512F">
              <w:t xml:space="preserve"> for Change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Place for Social Security Number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Necessary for improved identification for coverage benefits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Place for Alternate Phone Contact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Necessary for improved contact during disasters and emergencies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 xml:space="preserve">Add: Selection of </w:t>
            </w:r>
            <w:r w:rsidR="009F4E41">
              <w:t>pronouns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inclusion for gender identity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Section to provide clarity of gender</w:t>
            </w:r>
            <w:r w:rsidR="009F4E41">
              <w:t xml:space="preserve"> changed male to cisgender man and female to cisgender woman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inclusion for gender identity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#12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P="0004512F">
            <w:pPr>
              <w:pStyle w:val="Tabletext"/>
            </w:pPr>
            <w:r w:rsidRPr="0004512F">
              <w:t xml:space="preserve">Add: </w:t>
            </w:r>
            <w:r w:rsidR="009F4E41">
              <w:t>Middle Eastern North Africa</w:t>
            </w:r>
          </w:p>
          <w:p w:rsidR="009F4E41" w:rsidRPr="0004512F" w:rsidP="009F4E41">
            <w:pPr>
              <w:pStyle w:val="Tabletext"/>
            </w:pPr>
            <w:r>
              <w:t>Remove: Decline to answer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clarity for racial inclusion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#19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Co-Morbidities that are more relevant to pediatric patients</w:t>
            </w:r>
            <w:r w:rsidR="009F4E41">
              <w:t xml:space="preserve"> and additional co-morbidities for adults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acknowledgement and inclusion of pediatric issues</w:t>
            </w:r>
            <w:r w:rsidR="009F4E41">
              <w:t xml:space="preserve"> along with additional co-morbidities affecting adult ESRD patients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</w:t>
            </w:r>
            <w:r w:rsidRPr="0004512F" w:rsidR="007824EF">
              <w:t>20 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 xml:space="preserve">Add: </w:t>
            </w:r>
            <w:r w:rsidRPr="0004512F" w:rsidR="0001511E">
              <w:t>Response</w:t>
            </w:r>
            <w:r w:rsidRPr="0004512F">
              <w:t xml:space="preserve"> for additional accesses with which a patient may start dialysis.</w:t>
            </w:r>
          </w:p>
          <w:p w:rsidR="0058330D" w:rsidRPr="0004512F" w:rsidP="0004512F">
            <w:pPr>
              <w:pStyle w:val="Tabletext"/>
            </w:pPr>
            <w:r w:rsidRPr="0004512F">
              <w:t xml:space="preserve"> Add: Question regarding starting dialysis using both a Central Venous Catheter and a fistula or graft.</w:t>
            </w:r>
          </w:p>
          <w:p w:rsidR="0058330D" w:rsidRPr="0004512F" w:rsidP="0004512F">
            <w:pPr>
              <w:pStyle w:val="Tabletext"/>
            </w:pPr>
            <w:r w:rsidRPr="0004512F">
              <w:t>Add: Question regarding the presence of a maturing peritoneal catheter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clarity of the access choice of incident patients and assist staff in reporting correctly by clearly defining the choices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#20 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Question related to</w:t>
            </w:r>
            <w:r w:rsidRPr="0004512F" w:rsidR="00B32CE5">
              <w:t xml:space="preserve"> presence of acute kidney injury in the last 12 months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Identify predisposing factors that could be mitigated to prevent ESRD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Section A #20 f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Add: Question related to education regarding home dialysis modality education prior to starting dialysis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Identify the education and understanding of options a patient has been made aware of prior to starting dialysis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Section A #20 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32CE5" w:rsidP="0004512F">
            <w:pPr>
              <w:pStyle w:val="Tabletext"/>
            </w:pPr>
            <w:r w:rsidRPr="0004512F">
              <w:t>Add: Question related to education regarding kidney transplant education prior to starting dialysis</w:t>
            </w:r>
          </w:p>
          <w:p w:rsidR="009F4E41" w:rsidRPr="0004512F" w:rsidP="0004512F">
            <w:pPr>
              <w:pStyle w:val="Tabletext"/>
            </w:pPr>
            <w:r>
              <w:t xml:space="preserve">Add: Question related to education regarding </w:t>
            </w:r>
            <w:r w:rsidR="00531583">
              <w:t xml:space="preserve">living donor </w:t>
            </w:r>
            <w:r>
              <w:t xml:space="preserve">kidney transplant education prior to </w:t>
            </w:r>
            <w:r w:rsidR="00531583">
              <w:t>starting dialysis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Identify the education and understanding of options</w:t>
            </w:r>
            <w:r w:rsidR="00531583">
              <w:t>, including living donor transplant,</w:t>
            </w:r>
            <w:r w:rsidRPr="0004512F">
              <w:t xml:space="preserve"> a patient has been made aware of prior to starting dialysis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9F4E41" w:rsidRPr="0004512F" w:rsidP="0004512F">
            <w:pPr>
              <w:pStyle w:val="Tabletext"/>
            </w:pPr>
            <w:r w:rsidRPr="0004512F">
              <w:t xml:space="preserve">Section A #20 </w:t>
            </w:r>
            <w:r>
              <w:t>h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F4E41" w:rsidRPr="0004512F" w:rsidP="0004512F">
            <w:pPr>
              <w:pStyle w:val="Tabletext"/>
            </w:pPr>
            <w:r>
              <w:t>Add: Question related to active medical management without dialysis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F4E41" w:rsidRPr="0004512F" w:rsidP="0004512F">
            <w:pPr>
              <w:pStyle w:val="Tabletext"/>
            </w:pPr>
            <w:r w:rsidRPr="0004512F">
              <w:t>Identify the education and understanding of options</w:t>
            </w:r>
            <w:r>
              <w:t xml:space="preserve">, including </w:t>
            </w:r>
            <w:r>
              <w:t>active medical management without dialysis</w:t>
            </w:r>
            <w:r>
              <w:t>,</w:t>
            </w:r>
            <w:r w:rsidRPr="0004512F">
              <w:t xml:space="preserve"> a patient has been made aware of prior to starting dialysis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Section A #21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 xml:space="preserve">Add: Ability for providers to use laboratory values from the admission to the dialysis facility if previous laboratory values are not available in </w:t>
            </w:r>
            <w:r w:rsidR="00346744">
              <w:t>30</w:t>
            </w:r>
            <w:r w:rsidRPr="0004512F" w:rsidR="00346744">
              <w:t xml:space="preserve"> </w:t>
            </w:r>
            <w:r w:rsidRPr="0004512F">
              <w:t>days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Provide an avenue to provide required information to the providers if there is an issue obtaining access to the previous medical record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Section A #21 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Remove: Lipid Profile</w:t>
            </w:r>
          </w:p>
          <w:p w:rsidR="000D748B" w:rsidRPr="0004512F" w:rsidP="0004512F">
            <w:pPr>
              <w:pStyle w:val="Tabletext"/>
            </w:pPr>
            <w:r w:rsidRPr="0004512F">
              <w:t>Add: LD</w:t>
            </w:r>
            <w:r w:rsidR="008E756F">
              <w:t>L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Change request for laboratory values that are more pertinent to the ESRD patient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201EB" w:rsidRPr="0004512F" w:rsidP="0004512F">
            <w:pPr>
              <w:pStyle w:val="Tabletext"/>
            </w:pPr>
            <w:r w:rsidRPr="0004512F">
              <w:t>Section A #2</w:t>
            </w:r>
            <w:r w:rsidR="00254E74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201EB" w:rsidRPr="0004512F" w:rsidP="0004512F">
            <w:pPr>
              <w:pStyle w:val="Tabletext"/>
            </w:pPr>
            <w:r>
              <w:t xml:space="preserve">Add: Question related to </w:t>
            </w:r>
            <w:r w:rsidRPr="00254E74">
              <w:t>the patient have living will or Medical/Physician order for life sustaining treatment</w:t>
            </w:r>
            <w:r>
              <w:t>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3201EB" w:rsidRPr="0004512F" w:rsidP="0004512F">
            <w:pPr>
              <w:pStyle w:val="Tabletext"/>
            </w:pPr>
            <w:r w:rsidRPr="0004512F">
              <w:t xml:space="preserve">Provide </w:t>
            </w:r>
            <w:r>
              <w:t xml:space="preserve">inclusion of end of life decisions 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3</w:t>
            </w:r>
          </w:p>
        </w:tc>
        <w:tc>
          <w:tcPr>
            <w:tcW w:w="3420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216CD1">
              <w:t xml:space="preserve">Add: Question related to </w:t>
            </w:r>
            <w:r w:rsidR="00F41D36">
              <w:t>concern about patient access to shelter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 xml:space="preserve">Provide </w:t>
            </w:r>
            <w:r>
              <w:t xml:space="preserve">inclusion of social determinants of health </w:t>
            </w:r>
            <w:r w:rsidRPr="0004512F">
              <w:t xml:space="preserve"> 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4</w:t>
            </w:r>
          </w:p>
        </w:tc>
        <w:tc>
          <w:tcPr>
            <w:tcW w:w="3420" w:type="dxa"/>
            <w:shd w:val="clear" w:color="auto" w:fill="auto"/>
          </w:tcPr>
          <w:p w:rsidR="00346744" w:rsidP="00346744">
            <w:pPr>
              <w:pStyle w:val="Tabletext"/>
            </w:pPr>
            <w:r w:rsidRPr="00216CD1">
              <w:t xml:space="preserve">Add: Question related to </w:t>
            </w:r>
            <w:r w:rsidR="00F41D36">
              <w:t>caregiver support for daily care</w:t>
            </w:r>
          </w:p>
          <w:p w:rsidR="00F41D36" w:rsidP="00F41D36">
            <w:pPr>
              <w:pStyle w:val="Tabletext"/>
            </w:pPr>
            <w:r w:rsidRPr="00216CD1">
              <w:t xml:space="preserve">Add: Question related to </w:t>
            </w:r>
            <w:r>
              <w:t>car</w:t>
            </w:r>
            <w:r>
              <w:t>e</w:t>
            </w:r>
            <w:r>
              <w:t xml:space="preserve">giver support </w:t>
            </w:r>
            <w:r>
              <w:t>w</w:t>
            </w:r>
            <w:r w:rsidRPr="00F41D36">
              <w:t>ith home dialysis/kidney transplant</w:t>
            </w:r>
          </w:p>
          <w:p w:rsidR="00F41D36" w:rsidRPr="0004512F" w:rsidP="00346744">
            <w:pPr>
              <w:pStyle w:val="Tabletext"/>
            </w:pPr>
            <w:r w:rsidRPr="00216CD1">
              <w:t xml:space="preserve">Add: Question related to </w:t>
            </w:r>
            <w:r>
              <w:t xml:space="preserve">whether the </w:t>
            </w:r>
            <w:r w:rsidRPr="00F41D36">
              <w:t>caregiver live</w:t>
            </w:r>
            <w:r>
              <w:t>s</w:t>
            </w:r>
            <w:r w:rsidRPr="00F41D36">
              <w:t xml:space="preserve"> with</w:t>
            </w:r>
            <w:r>
              <w:t xml:space="preserve"> the patient</w:t>
            </w:r>
          </w:p>
        </w:tc>
        <w:tc>
          <w:tcPr>
            <w:tcW w:w="3258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F41D36" w:rsidRPr="0004512F" w:rsidP="00F41D36">
            <w:pPr>
              <w:pStyle w:val="Tabletext"/>
            </w:pPr>
            <w:r w:rsidRPr="0004512F">
              <w:t>Section A #2</w:t>
            </w:r>
            <w:r>
              <w:t>5</w:t>
            </w:r>
          </w:p>
        </w:tc>
        <w:tc>
          <w:tcPr>
            <w:tcW w:w="3420" w:type="dxa"/>
            <w:shd w:val="clear" w:color="auto" w:fill="auto"/>
          </w:tcPr>
          <w:p w:rsidR="00F41D36" w:rsidRPr="00216CD1" w:rsidP="00F41D36">
            <w:pPr>
              <w:pStyle w:val="Tabletext"/>
            </w:pPr>
            <w:r w:rsidRPr="00216CD1">
              <w:t xml:space="preserve">Add: Question related to </w:t>
            </w:r>
            <w:r>
              <w:t>access to transportation</w:t>
            </w:r>
          </w:p>
        </w:tc>
        <w:tc>
          <w:tcPr>
            <w:tcW w:w="3258" w:type="dxa"/>
            <w:shd w:val="clear" w:color="auto" w:fill="auto"/>
          </w:tcPr>
          <w:p w:rsidR="00F41D36" w:rsidRPr="007001BF" w:rsidP="00F41D36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6</w:t>
            </w:r>
          </w:p>
        </w:tc>
        <w:tc>
          <w:tcPr>
            <w:tcW w:w="3420" w:type="dxa"/>
            <w:shd w:val="clear" w:color="auto" w:fill="auto"/>
          </w:tcPr>
          <w:p w:rsidR="00346744" w:rsidP="00346744">
            <w:pPr>
              <w:pStyle w:val="Tabletext"/>
            </w:pPr>
            <w:r w:rsidRPr="00216CD1">
              <w:t xml:space="preserve">Add: Question related to </w:t>
            </w:r>
            <w:r w:rsidRPr="00F41D36" w:rsidR="00F41D36">
              <w:t>understand</w:t>
            </w:r>
            <w:r w:rsidR="00F41D36">
              <w:t>ing</w:t>
            </w:r>
            <w:r w:rsidRPr="00F41D36" w:rsidR="00F41D36">
              <w:t xml:space="preserve"> health literature in English</w:t>
            </w:r>
          </w:p>
          <w:p w:rsidR="00F41D36" w:rsidP="00346744">
            <w:pPr>
              <w:pStyle w:val="Tabletext"/>
            </w:pPr>
            <w:r w:rsidRPr="00216CD1">
              <w:t xml:space="preserve">Add: Question related to </w:t>
            </w:r>
            <w:r w:rsidRPr="00F41D36">
              <w:t>different way other than written documents to learn</w:t>
            </w:r>
            <w:r>
              <w:t xml:space="preserve"> about health</w:t>
            </w:r>
          </w:p>
          <w:p w:rsidR="00F41D36" w:rsidRPr="0004512F" w:rsidP="00346744">
            <w:pPr>
              <w:pStyle w:val="Tabletext"/>
            </w:pPr>
            <w:r w:rsidRPr="00216CD1">
              <w:t xml:space="preserve">Add: Question related to </w:t>
            </w:r>
            <w:r>
              <w:t xml:space="preserve">the need for </w:t>
            </w:r>
            <w:r w:rsidRPr="00F41D36">
              <w:t>a translator to understand health information</w:t>
            </w:r>
          </w:p>
        </w:tc>
        <w:tc>
          <w:tcPr>
            <w:tcW w:w="3258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7</w:t>
            </w:r>
          </w:p>
        </w:tc>
        <w:tc>
          <w:tcPr>
            <w:tcW w:w="3420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216CD1">
              <w:t>Add: Question related to</w:t>
            </w:r>
            <w:r>
              <w:t xml:space="preserve"> ability to support </w:t>
            </w:r>
            <w:r w:rsidRPr="00F41D36">
              <w:t>the very basics like housing, medical care, electricity, and heating</w:t>
            </w:r>
          </w:p>
        </w:tc>
        <w:tc>
          <w:tcPr>
            <w:tcW w:w="3258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8</w:t>
            </w:r>
          </w:p>
        </w:tc>
        <w:tc>
          <w:tcPr>
            <w:tcW w:w="3420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216CD1">
              <w:t>Add: Question related to</w:t>
            </w:r>
            <w:r w:rsidR="008C2A12">
              <w:t xml:space="preserve"> access to food in the last twelve (12) months</w:t>
            </w:r>
            <w:r w:rsidRPr="00216CD1">
              <w:t xml:space="preserve"> </w:t>
            </w:r>
          </w:p>
        </w:tc>
        <w:tc>
          <w:tcPr>
            <w:tcW w:w="3258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9</w:t>
            </w:r>
          </w:p>
        </w:tc>
        <w:tc>
          <w:tcPr>
            <w:tcW w:w="3420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216CD1">
              <w:t xml:space="preserve">Add: Question related to </w:t>
            </w:r>
            <w:r w:rsidR="008C2A12">
              <w:t xml:space="preserve">whether the patient has been </w:t>
            </w:r>
            <w:r w:rsidRPr="008C2A12" w:rsidR="008C2A12">
              <w:t xml:space="preserve">threatened </w:t>
            </w:r>
            <w:r w:rsidR="008C2A12">
              <w:t>with</w:t>
            </w:r>
            <w:r w:rsidRPr="008C2A12" w:rsidR="008C2A12">
              <w:t xml:space="preserve"> harm or </w:t>
            </w:r>
            <w:r w:rsidR="008C2A12">
              <w:t xml:space="preserve">been </w:t>
            </w:r>
            <w:r w:rsidRPr="008C2A12" w:rsidR="008C2A12">
              <w:t xml:space="preserve">physically hurt in the last </w:t>
            </w:r>
            <w:r w:rsidR="008C2A12">
              <w:t>twelve (</w:t>
            </w:r>
            <w:r w:rsidRPr="008C2A12" w:rsidR="008C2A12">
              <w:t>12</w:t>
            </w:r>
            <w:r w:rsidR="008C2A12">
              <w:t>)</w:t>
            </w:r>
            <w:r w:rsidRPr="008C2A12" w:rsidR="008C2A12">
              <w:t xml:space="preserve"> months</w:t>
            </w:r>
          </w:p>
        </w:tc>
        <w:tc>
          <w:tcPr>
            <w:tcW w:w="3258" w:type="dxa"/>
            <w:shd w:val="clear" w:color="auto" w:fill="auto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Section B #</w:t>
            </w:r>
            <w:r w:rsidR="00D571A5">
              <w:t>36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 w:rsidRPr="0004512F">
              <w:t>Clarified: The previous CMS-2728 asked if the patient was informed of transplant options.</w:t>
            </w:r>
            <w:r w:rsidR="004E42CF">
              <w:t xml:space="preserve"> </w:t>
            </w:r>
            <w:r w:rsidRPr="0004512F">
              <w:t>This was revised to does the patient understand transplant options</w:t>
            </w:r>
            <w:r>
              <w:t xml:space="preserve"> at the time of admission with an option to indicate not applicable if question #20(g) had a yes response</w:t>
            </w:r>
            <w:r w:rsidRPr="0004512F">
              <w:t>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Provide clarity that informing patients of transplant options requires understanding</w:t>
            </w:r>
            <w:r w:rsidRPr="0004512F" w:rsidR="0017746E">
              <w:t xml:space="preserve"> on the part of the patient.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Section B #</w:t>
            </w:r>
            <w:r w:rsidR="00533702">
              <w:t>37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 xml:space="preserve">Add: Responses that assist in clarifying the reason a patient </w:t>
            </w:r>
            <w:r w:rsidRPr="0004512F" w:rsidR="00E7287E">
              <w:t>has</w:t>
            </w:r>
            <w:r w:rsidR="00E7287E">
              <w:t xml:space="preserve"> not</w:t>
            </w:r>
            <w:r w:rsidRPr="0004512F" w:rsidR="00E7287E">
              <w:t xml:space="preserve"> </w:t>
            </w:r>
            <w:r w:rsidRPr="0004512F">
              <w:t>chosen transplant as an option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Provide clarity as to why a patient isn’t choosing transplant as a modality option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Section B #3</w:t>
            </w:r>
            <w:r w:rsidR="00533702"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P="0004512F">
            <w:pPr>
              <w:pStyle w:val="Tabletext"/>
            </w:pPr>
            <w:r w:rsidRPr="0004512F">
              <w:t>Add: Place for the provider to indicate if they have been referred to a transplant center</w:t>
            </w:r>
            <w:r w:rsidR="00533702">
              <w:t xml:space="preserve">. </w:t>
            </w:r>
          </w:p>
          <w:p w:rsidR="00533702" w:rsidP="0004512F">
            <w:pPr>
              <w:pStyle w:val="Tabletext"/>
            </w:pPr>
            <w:r>
              <w:t>Add: “At this time” to the option “Patient has not been assessed”</w:t>
            </w:r>
          </w:p>
          <w:p w:rsidR="00533702" w:rsidRPr="0004512F" w:rsidP="0004512F">
            <w:pPr>
              <w:pStyle w:val="Tabletext"/>
            </w:pPr>
            <w:r>
              <w:t xml:space="preserve">Revise: “is not eligible” to “has </w:t>
            </w:r>
            <w:r>
              <w:t>a</w:t>
            </w:r>
            <w:r>
              <w:t xml:space="preserve"> absolute contraindication”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Gain insight into how providers are working toward the CMS goal of ESRD patients receiving a transplant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 w:rsidRPr="0004512F">
              <w:t>Section B #3</w:t>
            </w:r>
            <w: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>
              <w:t>Add: Question related to referral to a transplant center and the name of the transplant center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 w:rsidRPr="0004512F">
              <w:t xml:space="preserve">Gain insight into </w:t>
            </w:r>
            <w:r>
              <w:t>referral</w:t>
            </w:r>
            <w:r w:rsidRPr="0004512F">
              <w:t xml:space="preserve"> of ESRD patients </w:t>
            </w:r>
            <w:r>
              <w:t xml:space="preserve">to receive </w:t>
            </w:r>
            <w:r w:rsidRPr="0004512F">
              <w:t>a transplant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</w:tcPr>
          <w:p w:rsidR="00E7287E" w:rsidRPr="0004512F" w:rsidP="00E7287E">
            <w:pPr>
              <w:pStyle w:val="Tabletext"/>
            </w:pPr>
            <w:r w:rsidRPr="002A1476">
              <w:t>Section B #3</w:t>
            </w:r>
            <w: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>
              <w:t>Add</w:t>
            </w:r>
            <w:r w:rsidRPr="0004512F">
              <w:t xml:space="preserve">: </w:t>
            </w:r>
            <w:r>
              <w:t xml:space="preserve">Question related to </w:t>
            </w:r>
            <w:r w:rsidRPr="0004512F">
              <w:t>the patient</w:t>
            </w:r>
            <w:r>
              <w:t>’s</w:t>
            </w:r>
            <w:r w:rsidRPr="0004512F">
              <w:t xml:space="preserve"> understand</w:t>
            </w:r>
            <w:r>
              <w:t>ing of home modality options</w:t>
            </w:r>
            <w:r>
              <w:t xml:space="preserve"> at the time of admission with an option to indicate not applicable if question #20(</w:t>
            </w:r>
            <w:r>
              <w:t>f</w:t>
            </w:r>
            <w:r>
              <w:t>) had a yes response</w:t>
            </w:r>
            <w:r w:rsidRPr="0004512F">
              <w:t>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 w:rsidRPr="0004512F">
              <w:t xml:space="preserve">Provide clarity as to why a patient isn’t choosing </w:t>
            </w:r>
            <w:r>
              <w:t>home dialysis</w:t>
            </w:r>
            <w:r w:rsidRPr="0004512F">
              <w:t xml:space="preserve"> as a modality option</w:t>
            </w:r>
          </w:p>
        </w:tc>
      </w:tr>
      <w:tr w:rsidTr="0036355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</w:tcPr>
          <w:p w:rsidR="00E7287E" w:rsidRPr="0004512F" w:rsidP="00E7287E">
            <w:pPr>
              <w:pStyle w:val="Tabletext"/>
            </w:pPr>
            <w:r w:rsidRPr="002A1476">
              <w:t>Section B #</w:t>
            </w:r>
            <w:r>
              <w:t>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 w:rsidRPr="0004512F">
              <w:t xml:space="preserve">Add: Responses that assist in clarifying the reason a patient </w:t>
            </w:r>
            <w:r>
              <w:t>did not choose a home modality</w:t>
            </w:r>
            <w:r w:rsidRPr="0004512F">
              <w:t xml:space="preserve"> as an option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 w:rsidRPr="0004512F">
              <w:t xml:space="preserve">Gain insight into how providers are working toward the CMS goal of ESRD patients </w:t>
            </w:r>
            <w:r>
              <w:t>utilizing a home modality</w:t>
            </w:r>
          </w:p>
        </w:tc>
      </w:tr>
      <w:tr w:rsidTr="00F961C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</w:tcPr>
          <w:p w:rsidR="00CF65F1" w:rsidRPr="002A1476" w:rsidP="00E7287E">
            <w:pPr>
              <w:pStyle w:val="Tabletext"/>
            </w:pPr>
            <w:r w:rsidRPr="002A1476">
              <w:t xml:space="preserve">Section </w:t>
            </w:r>
            <w:r w:rsidR="00A41FA6">
              <w:t>C</w:t>
            </w:r>
            <w:r w:rsidRPr="002A1476">
              <w:t xml:space="preserve"> #</w:t>
            </w:r>
            <w:r>
              <w:t>4</w:t>
            </w:r>
            <w: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F65F1" w:rsidP="00E7287E">
            <w:pPr>
              <w:pStyle w:val="Tabletext"/>
            </w:pPr>
            <w:r>
              <w:t>Revise:</w:t>
            </w:r>
            <w:r w:rsidR="00A41FA6">
              <w:t xml:space="preserve"> “Type of Donor” to “Type of Transplant” </w:t>
            </w:r>
          </w:p>
          <w:p w:rsidR="00A41FA6" w:rsidRPr="0004512F" w:rsidP="00E7287E">
            <w:pPr>
              <w:pStyle w:val="Tabletext"/>
            </w:pPr>
            <w:r>
              <w:t>Add: “Multi-organ” and “Paired Exchange” as options for kidney transplant types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F65F1" w:rsidRPr="0004512F" w:rsidP="00E7287E">
            <w:pPr>
              <w:pStyle w:val="Tabletext"/>
            </w:pPr>
            <w:r w:rsidRPr="0004512F">
              <w:t xml:space="preserve">Gain insight into </w:t>
            </w:r>
            <w:r>
              <w:t xml:space="preserve">types to transplants </w:t>
            </w:r>
            <w:bookmarkStart w:id="1" w:name="_GoBack"/>
            <w:bookmarkEnd w:id="1"/>
            <w:r>
              <w:t>receive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 xml:space="preserve">Section C # </w:t>
            </w:r>
            <w:r w:rsidR="00CF65F1">
              <w:t>50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Add: Transitional Care Unit as an option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Include all dialysis</w:t>
            </w:r>
            <w:r w:rsidRPr="0004512F" w:rsidR="00BA2123">
              <w:t xml:space="preserve"> care areas in the options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Section F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Add: Options</w:t>
            </w:r>
            <w:r w:rsidRPr="0004512F" w:rsidR="009700E5">
              <w:t xml:space="preserve"> for Lost to Follow-up, </w:t>
            </w:r>
            <w:r w:rsidRPr="0004512F" w:rsidR="009700E5">
              <w:t>Moved</w:t>
            </w:r>
            <w:r w:rsidRPr="0004512F" w:rsidR="009700E5">
              <w:t xml:space="preserve"> out of the United States and territories, and Death as reasons a CMS-2728 for has not been signed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Provide an avenue to close a form that cannot be signed by a patient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F52F64" w:rsidRPr="0004512F" w:rsidP="0004512F">
            <w:pPr>
              <w:pStyle w:val="Tabletext"/>
            </w:pPr>
            <w:r w:rsidRPr="0004512F">
              <w:t>LIST OF PRIMARY CAUSES OF RENAL DISEASE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52F64" w:rsidRPr="0004512F" w:rsidP="0004512F">
            <w:pPr>
              <w:pStyle w:val="Tabletext"/>
            </w:pPr>
            <w:r w:rsidRPr="0004512F">
              <w:t>Add: E11.21 Type 2 diabetes mellitus with diabetic nephropathy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F52F64" w:rsidRPr="0004512F" w:rsidP="0004512F">
            <w:pPr>
              <w:pStyle w:val="Tabletext"/>
            </w:pPr>
            <w:r w:rsidRPr="0004512F">
              <w:t>Provide updated option for the cause of renal disease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LIST OF PRIMARY CAUSES OF RENAL DISEASE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Add: I12.0 Hypertensive chronic kidney disease with stage 5 chronic kidney disease or end stage renal disease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Provide updated option for the cause of renal disease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LIST OF PRIMARY CAUSES OF RENAL DISEASE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Add: U07.1 COVID19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Provide updated option for the cause of renal disease</w:t>
            </w:r>
          </w:p>
        </w:tc>
      </w:tr>
    </w:tbl>
    <w:p w:rsidR="00820E9E" w:rsidRPr="0004512F" w:rsidP="004E42CF">
      <w:pPr>
        <w:pStyle w:val="BodyText1"/>
        <w:rPr>
          <w:b/>
        </w:rPr>
      </w:pPr>
      <w:r w:rsidRPr="0004512F">
        <w:t xml:space="preserve">The </w:t>
      </w:r>
      <w:r w:rsidRPr="0004512F" w:rsidR="00425F48">
        <w:t xml:space="preserve">remainder </w:t>
      </w:r>
      <w:r w:rsidRPr="0004512F" w:rsidR="00CC4C7C">
        <w:t xml:space="preserve">are </w:t>
      </w:r>
      <w:r w:rsidRPr="004E42CF">
        <w:t>updates</w:t>
      </w:r>
      <w:r w:rsidRPr="0004512F">
        <w:t xml:space="preserve"> on the accompan</w:t>
      </w:r>
      <w:r w:rsidRPr="0004512F" w:rsidR="0048244E">
        <w:t xml:space="preserve">ying Instructions for Completion based on the suggestions from </w:t>
      </w:r>
      <w:r w:rsidRPr="0004512F" w:rsidR="0058330D">
        <w:t>ESRD Networks, ESRD provide</w:t>
      </w:r>
      <w:r w:rsidRPr="0004512F" w:rsidR="0004512F">
        <w:t>r</w:t>
      </w:r>
      <w:r w:rsidRPr="0004512F" w:rsidR="0058330D">
        <w:t>s, and other stakeholders</w:t>
      </w:r>
      <w:r w:rsidRPr="0004512F" w:rsidR="0048244E">
        <w:t>.</w:t>
      </w:r>
    </w:p>
    <w:sectPr w:rsidSect="0052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E"/>
    <w:rsid w:val="0001511E"/>
    <w:rsid w:val="000259A5"/>
    <w:rsid w:val="0003764A"/>
    <w:rsid w:val="00044521"/>
    <w:rsid w:val="0004512F"/>
    <w:rsid w:val="00052983"/>
    <w:rsid w:val="000610F1"/>
    <w:rsid w:val="00071FFD"/>
    <w:rsid w:val="000D748B"/>
    <w:rsid w:val="0017746E"/>
    <w:rsid w:val="0021656D"/>
    <w:rsid w:val="00216CD1"/>
    <w:rsid w:val="00254E74"/>
    <w:rsid w:val="00291244"/>
    <w:rsid w:val="002A1476"/>
    <w:rsid w:val="003201EB"/>
    <w:rsid w:val="003456AC"/>
    <w:rsid w:val="00346744"/>
    <w:rsid w:val="0036355B"/>
    <w:rsid w:val="003C459E"/>
    <w:rsid w:val="0042236F"/>
    <w:rsid w:val="00425F48"/>
    <w:rsid w:val="004477C4"/>
    <w:rsid w:val="0048244E"/>
    <w:rsid w:val="004E42CF"/>
    <w:rsid w:val="00510EFF"/>
    <w:rsid w:val="00527101"/>
    <w:rsid w:val="00531583"/>
    <w:rsid w:val="00533702"/>
    <w:rsid w:val="0058330D"/>
    <w:rsid w:val="005A7C13"/>
    <w:rsid w:val="005B023B"/>
    <w:rsid w:val="005C0EED"/>
    <w:rsid w:val="00632276"/>
    <w:rsid w:val="006A17F7"/>
    <w:rsid w:val="007001BF"/>
    <w:rsid w:val="00737485"/>
    <w:rsid w:val="00762170"/>
    <w:rsid w:val="007824EF"/>
    <w:rsid w:val="007B6A97"/>
    <w:rsid w:val="00820E9E"/>
    <w:rsid w:val="0084737F"/>
    <w:rsid w:val="00875D84"/>
    <w:rsid w:val="008C2A12"/>
    <w:rsid w:val="008D14BD"/>
    <w:rsid w:val="008E756F"/>
    <w:rsid w:val="00942F1E"/>
    <w:rsid w:val="009600D4"/>
    <w:rsid w:val="009700E5"/>
    <w:rsid w:val="009B5F41"/>
    <w:rsid w:val="009F4E41"/>
    <w:rsid w:val="00A41FA6"/>
    <w:rsid w:val="00B04FB5"/>
    <w:rsid w:val="00B32CE5"/>
    <w:rsid w:val="00B43155"/>
    <w:rsid w:val="00B5536E"/>
    <w:rsid w:val="00BA2123"/>
    <w:rsid w:val="00BA714E"/>
    <w:rsid w:val="00C0038C"/>
    <w:rsid w:val="00C02627"/>
    <w:rsid w:val="00C10DAF"/>
    <w:rsid w:val="00C1589C"/>
    <w:rsid w:val="00C2211F"/>
    <w:rsid w:val="00C26AF9"/>
    <w:rsid w:val="00CC4C7C"/>
    <w:rsid w:val="00CC6D34"/>
    <w:rsid w:val="00CF65F1"/>
    <w:rsid w:val="00D33D26"/>
    <w:rsid w:val="00D571A5"/>
    <w:rsid w:val="00E7287E"/>
    <w:rsid w:val="00E77159"/>
    <w:rsid w:val="00F25B4A"/>
    <w:rsid w:val="00F41D36"/>
    <w:rsid w:val="00F44150"/>
    <w:rsid w:val="00F51160"/>
    <w:rsid w:val="00F52F64"/>
    <w:rsid w:val="00F906E5"/>
    <w:rsid w:val="00FD69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88DE04"/>
  <w15:chartTrackingRefBased/>
  <w15:docId w15:val="{A4B2C6A4-FDD2-4149-8AB6-66F3B648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1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12F"/>
    <w:pPr>
      <w:spacing w:after="0" w:line="240" w:lineRule="auto"/>
      <w:jc w:val="center"/>
      <w:outlineLvl w:val="0"/>
    </w:pPr>
    <w:rPr>
      <w:rFonts w:cs="Calibr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2CF"/>
    <w:pPr>
      <w:spacing w:before="160" w:after="480" w:line="240" w:lineRule="auto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FF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71F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A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714E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link w:val="TabletextChar"/>
    <w:qFormat/>
    <w:rsid w:val="0004512F"/>
    <w:pPr>
      <w:spacing w:after="0" w:line="240" w:lineRule="auto"/>
      <w:jc w:val="center"/>
    </w:pPr>
    <w:rPr>
      <w:rFonts w:cs="Calibri"/>
      <w:sz w:val="24"/>
      <w:szCs w:val="24"/>
    </w:rPr>
  </w:style>
  <w:style w:type="paragraph" w:customStyle="1" w:styleId="Headerrow">
    <w:name w:val="Header row"/>
    <w:basedOn w:val="Normal"/>
    <w:link w:val="HeaderrowChar"/>
    <w:qFormat/>
    <w:rsid w:val="0004512F"/>
    <w:pPr>
      <w:jc w:val="center"/>
    </w:pPr>
    <w:rPr>
      <w:rFonts w:cs="Calibri"/>
      <w:b/>
      <w:sz w:val="24"/>
      <w:szCs w:val="24"/>
    </w:rPr>
  </w:style>
  <w:style w:type="character" w:customStyle="1" w:styleId="TabletextChar">
    <w:name w:val="Table text Char"/>
    <w:link w:val="Tabletext"/>
    <w:rsid w:val="0004512F"/>
    <w:rPr>
      <w:rFonts w:cs="Calibri"/>
      <w:sz w:val="24"/>
      <w:szCs w:val="24"/>
    </w:rPr>
  </w:style>
  <w:style w:type="character" w:customStyle="1" w:styleId="Heading1Char">
    <w:name w:val="Heading 1 Char"/>
    <w:link w:val="Heading1"/>
    <w:uiPriority w:val="9"/>
    <w:rsid w:val="0004512F"/>
    <w:rPr>
      <w:rFonts w:cs="Calibri"/>
      <w:b/>
      <w:sz w:val="28"/>
      <w:szCs w:val="28"/>
    </w:rPr>
  </w:style>
  <w:style w:type="character" w:customStyle="1" w:styleId="HeaderrowChar">
    <w:name w:val="Header row Char"/>
    <w:link w:val="Headerrow"/>
    <w:rsid w:val="0004512F"/>
    <w:rPr>
      <w:rFonts w:cs="Calibri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4E42CF"/>
    <w:rPr>
      <w:rFonts w:cs="Calibri"/>
      <w:b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4512F"/>
    <w:pPr>
      <w:keepNext/>
    </w:pPr>
    <w:rPr>
      <w:b/>
      <w:bCs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4E42CF"/>
    <w:pPr>
      <w:spacing w:before="200" w:after="0" w:line="240" w:lineRule="auto"/>
    </w:pPr>
    <w:rPr>
      <w:rFonts w:cs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2F1E"/>
    <w:rPr>
      <w:sz w:val="16"/>
      <w:szCs w:val="16"/>
    </w:rPr>
  </w:style>
  <w:style w:type="character" w:customStyle="1" w:styleId="BodytextChar">
    <w:name w:val="Body text Char"/>
    <w:link w:val="BodyText1"/>
    <w:rsid w:val="004E42CF"/>
    <w:rPr>
      <w:rFonts w:cs="Calibr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F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D6D2-F403-44E1-ACDA-E742AC89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6178</Characters>
  <Application>Microsoft Office Word</Application>
  <DocSecurity>0</DocSecurity>
  <Lines>98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Crosswalk for Changes to Section 226A of the Social Security Act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for Changes to Section 226A of the Social Security Act</dc:title>
  <dc:subject>Changes to CMS-2728 and Section 226A of the Social Security Act</dc:subject>
  <dc:creator>CMS</dc:creator>
  <cp:keywords>ESRD, end stage renal disease, CMS-2728, Section 226A of the Social Security Act</cp:keywords>
  <cp:lastModifiedBy>LISA REES</cp:lastModifiedBy>
  <cp:revision>3</cp:revision>
  <cp:lastPrinted>2010-10-20T18:22:00Z</cp:lastPrinted>
  <dcterms:created xsi:type="dcterms:W3CDTF">2023-03-02T02:47:00Z</dcterms:created>
  <dcterms:modified xsi:type="dcterms:W3CDTF">2023-03-02T02:48:00Z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