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6B61" w:rsidRPr="00D93FFB" w:rsidP="00FB6B61" w14:paraId="659A8CB7" w14:textId="099ED2C5">
      <w:pPr>
        <w:pStyle w:val="ReportCover-Title"/>
        <w:jc w:val="center"/>
        <w:rPr>
          <w:rFonts w:ascii="Times New Roman" w:hAnsi="Times New Roman"/>
          <w:color w:val="auto"/>
        </w:rPr>
      </w:pPr>
      <w:r w:rsidRPr="00D93FFB">
        <w:rPr>
          <w:rFonts w:ascii="Times New Roman" w:hAnsi="Times New Roman"/>
          <w:sz w:val="24"/>
        </w:rPr>
        <w:tab/>
      </w:r>
    </w:p>
    <w:p w:rsidR="00FB6B61" w:rsidRPr="00D93FFB" w:rsidP="003A4635" w14:paraId="751532CD" w14:textId="68E86BB4">
      <w:pPr>
        <w:jc w:val="center"/>
        <w:rPr>
          <w:rFonts w:ascii="Times New Roman" w:hAnsi="Times New Roman"/>
          <w:b/>
          <w:sz w:val="40"/>
          <w:szCs w:val="40"/>
        </w:rPr>
      </w:pPr>
      <w:r w:rsidRPr="00D93FFB">
        <w:rPr>
          <w:rFonts w:ascii="Times New Roman" w:hAnsi="Times New Roman"/>
          <w:b/>
          <w:sz w:val="40"/>
          <w:szCs w:val="40"/>
        </w:rPr>
        <w:t xml:space="preserve">Generic </w:t>
      </w:r>
      <w:r w:rsidRPr="00D93FFB" w:rsidR="0087117B">
        <w:rPr>
          <w:rFonts w:ascii="Times New Roman" w:hAnsi="Times New Roman"/>
          <w:b/>
          <w:sz w:val="40"/>
          <w:szCs w:val="40"/>
        </w:rPr>
        <w:t xml:space="preserve">Program-Specific </w:t>
      </w:r>
      <w:r w:rsidRPr="00D93FFB">
        <w:rPr>
          <w:rFonts w:ascii="Times New Roman" w:hAnsi="Times New Roman"/>
          <w:b/>
          <w:sz w:val="40"/>
          <w:szCs w:val="40"/>
        </w:rPr>
        <w:t>Performance Progress Report</w:t>
      </w:r>
      <w:r w:rsidRPr="00D93FFB" w:rsidR="0087117B">
        <w:rPr>
          <w:rFonts w:ascii="Times New Roman" w:hAnsi="Times New Roman"/>
          <w:b/>
          <w:sz w:val="40"/>
          <w:szCs w:val="40"/>
        </w:rPr>
        <w:t xml:space="preserve"> (PPR)</w:t>
      </w:r>
    </w:p>
    <w:p w:rsidR="00FB6B61" w:rsidRPr="00D93FFB" w:rsidP="00FB6B61" w14:paraId="494AD902" w14:textId="77777777">
      <w:pPr>
        <w:pStyle w:val="ReportCover-Title"/>
        <w:rPr>
          <w:rFonts w:ascii="Times New Roman" w:hAnsi="Times New Roman"/>
          <w:color w:val="auto"/>
        </w:rPr>
      </w:pPr>
    </w:p>
    <w:p w:rsidR="00FB6B61" w:rsidRPr="00D93FFB" w:rsidP="00FB6B61" w14:paraId="5774095A" w14:textId="77777777">
      <w:pPr>
        <w:pStyle w:val="ReportCover-Title"/>
        <w:jc w:val="center"/>
        <w:rPr>
          <w:rFonts w:ascii="Times New Roman" w:hAnsi="Times New Roman"/>
          <w:color w:val="auto"/>
          <w:sz w:val="32"/>
          <w:szCs w:val="32"/>
        </w:rPr>
      </w:pPr>
      <w:r w:rsidRPr="00D93FFB">
        <w:rPr>
          <w:rFonts w:ascii="Times New Roman" w:hAnsi="Times New Roman"/>
          <w:color w:val="auto"/>
          <w:sz w:val="32"/>
          <w:szCs w:val="32"/>
        </w:rPr>
        <w:t>OMB Information Collection Request</w:t>
      </w:r>
    </w:p>
    <w:p w:rsidR="00FB6B61" w:rsidRPr="00D93FFB" w:rsidP="00FB6B61" w14:paraId="1997A38E" w14:textId="6968F1A6">
      <w:pPr>
        <w:pStyle w:val="ReportCover-Title"/>
        <w:jc w:val="center"/>
        <w:rPr>
          <w:rFonts w:ascii="Times New Roman" w:hAnsi="Times New Roman"/>
          <w:color w:val="auto"/>
          <w:sz w:val="32"/>
          <w:szCs w:val="32"/>
        </w:rPr>
      </w:pPr>
      <w:r w:rsidRPr="00D93FFB">
        <w:rPr>
          <w:rFonts w:ascii="Times New Roman" w:hAnsi="Times New Roman"/>
          <w:color w:val="auto"/>
          <w:sz w:val="32"/>
          <w:szCs w:val="32"/>
        </w:rPr>
        <w:t xml:space="preserve">0970 - </w:t>
      </w:r>
      <w:r w:rsidRPr="00D93FFB" w:rsidR="003A4635">
        <w:rPr>
          <w:rFonts w:ascii="Times New Roman" w:hAnsi="Times New Roman"/>
          <w:color w:val="auto"/>
          <w:sz w:val="32"/>
          <w:szCs w:val="32"/>
        </w:rPr>
        <w:t>0490</w:t>
      </w:r>
    </w:p>
    <w:p w:rsidR="00FB6B61" w:rsidRPr="00D93FFB" w:rsidP="00FB6B61" w14:paraId="696A3A9A" w14:textId="77777777">
      <w:pPr>
        <w:rPr>
          <w:rFonts w:ascii="Times New Roman" w:hAnsi="Times New Roman"/>
          <w:szCs w:val="22"/>
        </w:rPr>
      </w:pPr>
    </w:p>
    <w:p w:rsidR="00FB6B61" w:rsidRPr="00D93FFB" w:rsidP="00FB6B61" w14:paraId="2B5712BE" w14:textId="77777777">
      <w:pPr>
        <w:pStyle w:val="ReportCover-Date"/>
        <w:jc w:val="center"/>
        <w:rPr>
          <w:rFonts w:ascii="Times New Roman" w:hAnsi="Times New Roman"/>
          <w:color w:val="auto"/>
        </w:rPr>
      </w:pPr>
    </w:p>
    <w:p w:rsidR="007D54BE" w:rsidP="00FB6B61" w14:paraId="6FF2C6B5" w14:textId="77777777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  <w:r w:rsidRPr="00D93FFB">
        <w:rPr>
          <w:rFonts w:ascii="Times New Roman" w:hAnsi="Times New Roman"/>
          <w:color w:val="auto"/>
          <w:sz w:val="48"/>
          <w:szCs w:val="48"/>
        </w:rPr>
        <w:t xml:space="preserve">Supporting Statement </w:t>
      </w:r>
      <w:r w:rsidRPr="00D93FFB">
        <w:rPr>
          <w:rFonts w:ascii="Times New Roman" w:hAnsi="Times New Roman"/>
          <w:color w:val="auto"/>
          <w:sz w:val="48"/>
          <w:szCs w:val="48"/>
        </w:rPr>
        <w:t>Part</w:t>
      </w:r>
      <w:r w:rsidRPr="00D93FFB">
        <w:rPr>
          <w:rFonts w:ascii="Times New Roman" w:hAnsi="Times New Roman"/>
          <w:color w:val="auto"/>
          <w:sz w:val="48"/>
          <w:szCs w:val="48"/>
        </w:rPr>
        <w:t xml:space="preserve"> A</w:t>
      </w:r>
      <w:r>
        <w:rPr>
          <w:rFonts w:ascii="Times New Roman" w:hAnsi="Times New Roman"/>
          <w:color w:val="auto"/>
          <w:sz w:val="48"/>
          <w:szCs w:val="48"/>
        </w:rPr>
        <w:t>:</w:t>
      </w:r>
    </w:p>
    <w:p w:rsidR="00FB6B61" w:rsidRPr="00D93FFB" w:rsidP="00FB6B61" w14:paraId="4676D2F9" w14:textId="702253B9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  <w:r w:rsidRPr="00D93FFB">
        <w:rPr>
          <w:rFonts w:ascii="Times New Roman" w:hAnsi="Times New Roman"/>
          <w:color w:val="auto"/>
          <w:sz w:val="48"/>
          <w:szCs w:val="48"/>
        </w:rPr>
        <w:t>Justification</w:t>
      </w:r>
    </w:p>
    <w:p w:rsidR="007D54BE" w:rsidP="00FB6B61" w14:paraId="463363E5" w14:textId="77777777">
      <w:pPr>
        <w:pStyle w:val="ReportCover-Date"/>
        <w:jc w:val="center"/>
        <w:rPr>
          <w:rFonts w:ascii="Times New Roman" w:hAnsi="Times New Roman"/>
          <w:color w:val="auto"/>
          <w:sz w:val="28"/>
        </w:rPr>
      </w:pPr>
    </w:p>
    <w:p w:rsidR="00FB6B61" w:rsidRPr="007D54BE" w:rsidP="00FB6B61" w14:paraId="57886D07" w14:textId="0605F7E2">
      <w:pPr>
        <w:pStyle w:val="ReportCover-Date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JANUARY </w:t>
      </w:r>
      <w:r w:rsidR="00F11477">
        <w:rPr>
          <w:rFonts w:ascii="Times New Roman" w:hAnsi="Times New Roman"/>
          <w:color w:val="auto"/>
          <w:sz w:val="28"/>
        </w:rPr>
        <w:t>202</w:t>
      </w:r>
      <w:r>
        <w:rPr>
          <w:rFonts w:ascii="Times New Roman" w:hAnsi="Times New Roman"/>
          <w:color w:val="auto"/>
          <w:sz w:val="28"/>
        </w:rPr>
        <w:t>3</w:t>
      </w:r>
    </w:p>
    <w:p w:rsidR="00FB6B61" w:rsidRPr="00D93FFB" w:rsidP="00FB6B61" w14:paraId="27CB85D4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45D9D927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516C7D6A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4A1439F4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05001571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6F4354AF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0514A61A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0434F5E9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7ECAA38A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3EF0D24E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37C0C6D7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7998EB09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7A7DBCAA" w14:textId="77777777">
      <w:pPr>
        <w:jc w:val="center"/>
        <w:rPr>
          <w:rFonts w:ascii="Times New Roman" w:hAnsi="Times New Roman"/>
        </w:rPr>
      </w:pPr>
    </w:p>
    <w:p w:rsidR="003A4635" w:rsidRPr="00D93FFB" w:rsidP="00FB6B61" w14:paraId="5787D182" w14:textId="77777777">
      <w:pPr>
        <w:jc w:val="center"/>
        <w:rPr>
          <w:rFonts w:ascii="Times New Roman" w:hAnsi="Times New Roman"/>
        </w:rPr>
      </w:pPr>
    </w:p>
    <w:p w:rsidR="003A4635" w:rsidRPr="00D93FFB" w:rsidP="00FB6B61" w14:paraId="31F4857C" w14:textId="77777777">
      <w:pPr>
        <w:jc w:val="center"/>
        <w:rPr>
          <w:rFonts w:ascii="Times New Roman" w:hAnsi="Times New Roman"/>
        </w:rPr>
      </w:pPr>
    </w:p>
    <w:p w:rsidR="003A4635" w:rsidRPr="00D93FFB" w:rsidP="00FB6B61" w14:paraId="18944ABA" w14:textId="77777777">
      <w:pPr>
        <w:jc w:val="center"/>
        <w:rPr>
          <w:rFonts w:ascii="Times New Roman" w:hAnsi="Times New Roman"/>
        </w:rPr>
      </w:pPr>
    </w:p>
    <w:p w:rsidR="00FB6B61" w:rsidRPr="007D54BE" w:rsidP="00FB6B61" w14:paraId="3E926F64" w14:textId="0CB1B5B3">
      <w:pPr>
        <w:jc w:val="center"/>
        <w:rPr>
          <w:rFonts w:ascii="Times New Roman" w:hAnsi="Times New Roman"/>
          <w:sz w:val="22"/>
        </w:rPr>
      </w:pPr>
      <w:r w:rsidRPr="007D54BE">
        <w:rPr>
          <w:rFonts w:ascii="Times New Roman" w:hAnsi="Times New Roman"/>
          <w:sz w:val="22"/>
        </w:rPr>
        <w:t xml:space="preserve">Administration for Children and Families </w:t>
      </w:r>
    </w:p>
    <w:p w:rsidR="00FB6B61" w:rsidRPr="007D54BE" w:rsidP="00FB6B61" w14:paraId="12C8231A" w14:textId="77777777">
      <w:pPr>
        <w:jc w:val="center"/>
        <w:rPr>
          <w:rFonts w:ascii="Times New Roman" w:hAnsi="Times New Roman"/>
          <w:sz w:val="22"/>
        </w:rPr>
      </w:pPr>
      <w:r w:rsidRPr="007D54BE">
        <w:rPr>
          <w:rFonts w:ascii="Times New Roman" w:hAnsi="Times New Roman"/>
          <w:sz w:val="22"/>
        </w:rPr>
        <w:t>U.S. Department of Health and Human Services</w:t>
      </w:r>
    </w:p>
    <w:p w:rsidR="00FB6B61" w:rsidRPr="00D93FFB" w:rsidP="00FB6B61" w14:paraId="22F752C5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052F1D7F" w14:textId="77777777">
      <w:pPr>
        <w:jc w:val="center"/>
        <w:rPr>
          <w:rFonts w:ascii="Times New Roman" w:hAnsi="Times New Roman"/>
        </w:rPr>
      </w:pPr>
    </w:p>
    <w:p w:rsidR="00FB6B61" w:rsidRPr="00D93FFB" w:rsidP="00FB6B61" w14:paraId="7B8B4103" w14:textId="77777777">
      <w:pPr>
        <w:jc w:val="center"/>
        <w:rPr>
          <w:rFonts w:ascii="Times New Roman" w:hAnsi="Times New Roman"/>
        </w:rPr>
      </w:pPr>
    </w:p>
    <w:p w:rsidR="007E1599" w:rsidRPr="00D93FFB" w:rsidP="00474D82" w14:paraId="64DBAD0B" w14:textId="77777777">
      <w:pPr>
        <w:widowControl/>
        <w:numPr>
          <w:ilvl w:val="0"/>
          <w:numId w:val="1"/>
        </w:numPr>
        <w:tabs>
          <w:tab w:val="left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BA1F13" w:rsidP="00C96936" w14:paraId="7D7CF6C3" w14:textId="5D677D88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z w:val="24"/>
          <w:szCs w:val="24"/>
        </w:rPr>
        <w:t xml:space="preserve">This </w:t>
      </w:r>
      <w:r w:rsidRPr="00D93FFB" w:rsidR="003A4635">
        <w:rPr>
          <w:rFonts w:ascii="Times New Roman" w:hAnsi="Times New Roman"/>
          <w:sz w:val="24"/>
          <w:szCs w:val="24"/>
        </w:rPr>
        <w:t xml:space="preserve">information collection </w:t>
      </w:r>
      <w:r w:rsidRPr="00D93FFB">
        <w:rPr>
          <w:rFonts w:ascii="Times New Roman" w:hAnsi="Times New Roman"/>
          <w:sz w:val="24"/>
          <w:szCs w:val="24"/>
        </w:rPr>
        <w:t xml:space="preserve">request </w:t>
      </w:r>
      <w:r w:rsidRPr="00D93FFB" w:rsidR="003A4635">
        <w:rPr>
          <w:rFonts w:ascii="Times New Roman" w:hAnsi="Times New Roman"/>
          <w:sz w:val="24"/>
          <w:szCs w:val="24"/>
        </w:rPr>
        <w:t xml:space="preserve">(ICR) is to extend data collection under </w:t>
      </w:r>
      <w:r w:rsidRPr="00D93FFB" w:rsidR="00B009FD">
        <w:rPr>
          <w:rFonts w:ascii="Times New Roman" w:hAnsi="Times New Roman"/>
          <w:sz w:val="24"/>
          <w:szCs w:val="24"/>
        </w:rPr>
        <w:t xml:space="preserve">the </w:t>
      </w:r>
      <w:r w:rsidRPr="00D93FFB" w:rsidR="003A4635">
        <w:rPr>
          <w:rFonts w:ascii="Times New Roman" w:hAnsi="Times New Roman"/>
          <w:sz w:val="24"/>
          <w:szCs w:val="24"/>
        </w:rPr>
        <w:t>A</w:t>
      </w:r>
      <w:r w:rsidRPr="00D93FFB" w:rsidR="00B009FD">
        <w:rPr>
          <w:rFonts w:ascii="Times New Roman" w:hAnsi="Times New Roman"/>
          <w:sz w:val="24"/>
          <w:szCs w:val="24"/>
        </w:rPr>
        <w:t>dministration for Children and Families (A</w:t>
      </w:r>
      <w:r w:rsidRPr="00D93FFB" w:rsidR="003A4635">
        <w:rPr>
          <w:rFonts w:ascii="Times New Roman" w:hAnsi="Times New Roman"/>
          <w:sz w:val="24"/>
          <w:szCs w:val="24"/>
        </w:rPr>
        <w:t>CF</w:t>
      </w:r>
      <w:r w:rsidRPr="00D93FFB" w:rsidR="00B009FD">
        <w:rPr>
          <w:rFonts w:ascii="Times New Roman" w:hAnsi="Times New Roman"/>
          <w:sz w:val="24"/>
          <w:szCs w:val="24"/>
        </w:rPr>
        <w:t>)</w:t>
      </w:r>
      <w:r w:rsidRPr="00D93FFB" w:rsidR="003A4635">
        <w:rPr>
          <w:rFonts w:ascii="Times New Roman" w:hAnsi="Times New Roman"/>
          <w:sz w:val="24"/>
          <w:szCs w:val="24"/>
        </w:rPr>
        <w:t xml:space="preserve"> Generic </w:t>
      </w:r>
      <w:r w:rsidRPr="00D93FFB" w:rsidR="00B72322">
        <w:rPr>
          <w:rFonts w:ascii="Times New Roman" w:hAnsi="Times New Roman"/>
          <w:sz w:val="24"/>
          <w:szCs w:val="24"/>
        </w:rPr>
        <w:t xml:space="preserve">Program-Specific </w:t>
      </w:r>
      <w:r w:rsidRPr="00D93FFB" w:rsidR="003A4635">
        <w:rPr>
          <w:rFonts w:ascii="Times New Roman" w:hAnsi="Times New Roman"/>
          <w:sz w:val="24"/>
          <w:szCs w:val="24"/>
        </w:rPr>
        <w:t>Performance Progress Report</w:t>
      </w:r>
      <w:r w:rsidRPr="00D93FFB" w:rsidR="00B009FD">
        <w:rPr>
          <w:rFonts w:ascii="Times New Roman" w:hAnsi="Times New Roman"/>
          <w:sz w:val="24"/>
          <w:szCs w:val="24"/>
        </w:rPr>
        <w:t xml:space="preserve"> (PPR)</w:t>
      </w:r>
      <w:r w:rsidRPr="00D93FFB" w:rsidR="003A4635">
        <w:rPr>
          <w:rFonts w:ascii="Times New Roman" w:hAnsi="Times New Roman"/>
          <w:sz w:val="24"/>
          <w:szCs w:val="24"/>
        </w:rPr>
        <w:t xml:space="preserve"> (0970-0490).</w:t>
      </w:r>
      <w:r w:rsidRPr="00D93FFB" w:rsidR="003A4635">
        <w:rPr>
          <w:rFonts w:ascii="Times New Roman" w:hAnsi="Times New Roman"/>
          <w:sz w:val="28"/>
        </w:rPr>
        <w:t xml:space="preserve"> 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This overarching generic </w:t>
      </w:r>
      <w:r w:rsidR="0044085A">
        <w:rPr>
          <w:rFonts w:ascii="Times New Roman" w:hAnsi="Times New Roman"/>
          <w:snapToGrid/>
          <w:sz w:val="24"/>
          <w:szCs w:val="24"/>
        </w:rPr>
        <w:t xml:space="preserve">has </w:t>
      </w:r>
      <w:r w:rsidRPr="00D93FFB" w:rsidR="003A4635">
        <w:rPr>
          <w:rFonts w:ascii="Times New Roman" w:hAnsi="Times New Roman"/>
          <w:snapToGrid/>
          <w:sz w:val="24"/>
          <w:szCs w:val="24"/>
        </w:rPr>
        <w:t>allow</w:t>
      </w:r>
      <w:r w:rsidR="0044085A">
        <w:rPr>
          <w:rFonts w:ascii="Times New Roman" w:hAnsi="Times New Roman"/>
          <w:snapToGrid/>
          <w:sz w:val="24"/>
          <w:szCs w:val="24"/>
        </w:rPr>
        <w:t>ed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ACF program offices to collect performance and progress data from recipients who receive funding from ACF under a discretionary </w:t>
      </w:r>
      <w:r w:rsidR="007F284F">
        <w:rPr>
          <w:rFonts w:ascii="Times New Roman" w:hAnsi="Times New Roman"/>
          <w:snapToGrid/>
          <w:sz w:val="24"/>
          <w:szCs w:val="24"/>
        </w:rPr>
        <w:t>award</w:t>
      </w:r>
      <w:r w:rsidRPr="00D93FFB">
        <w:rPr>
          <w:rFonts w:ascii="Times New Roman" w:hAnsi="Times New Roman"/>
          <w:snapToGrid/>
          <w:sz w:val="24"/>
          <w:szCs w:val="24"/>
        </w:rPr>
        <w:t>.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 </w:t>
      </w:r>
      <w:r w:rsidRPr="00B35211">
        <w:rPr>
          <w:rFonts w:ascii="Times New Roman" w:hAnsi="Times New Roman"/>
          <w:snapToGrid/>
          <w:sz w:val="24"/>
          <w:szCs w:val="24"/>
        </w:rPr>
        <w:t xml:space="preserve">This information is required under 45 CFR 75.342, </w:t>
      </w:r>
      <w:r w:rsidRPr="00B35211">
        <w:rPr>
          <w:rFonts w:ascii="Times New Roman" w:hAnsi="Times New Roman"/>
          <w:snapToGrid/>
          <w:sz w:val="24"/>
          <w:szCs w:val="24"/>
        </w:rPr>
        <w:t>monitoring</w:t>
      </w:r>
      <w:r w:rsidRPr="00B35211">
        <w:rPr>
          <w:rFonts w:ascii="Times New Roman" w:hAnsi="Times New Roman"/>
          <w:snapToGrid/>
          <w:sz w:val="24"/>
          <w:szCs w:val="24"/>
        </w:rPr>
        <w:t xml:space="preserve"> and reporting program performance</w:t>
      </w:r>
      <w:r w:rsidRPr="00B35211" w:rsidR="00B35211">
        <w:rPr>
          <w:rFonts w:ascii="Times New Roman" w:hAnsi="Times New Roman"/>
          <w:snapToGrid/>
          <w:sz w:val="24"/>
          <w:szCs w:val="24"/>
        </w:rPr>
        <w:t xml:space="preserve">; 45 CFR 75.301, </w:t>
      </w:r>
      <w:r w:rsidR="00B35211">
        <w:rPr>
          <w:rFonts w:ascii="Times New Roman" w:hAnsi="Times New Roman"/>
          <w:snapToGrid/>
          <w:sz w:val="24"/>
          <w:szCs w:val="24"/>
        </w:rPr>
        <w:t xml:space="preserve">performance measurement; </w:t>
      </w:r>
      <w:r w:rsidRPr="00B35211" w:rsidR="00B35211">
        <w:rPr>
          <w:rFonts w:ascii="Times New Roman" w:hAnsi="Times New Roman"/>
          <w:snapToGrid/>
          <w:sz w:val="24"/>
          <w:szCs w:val="24"/>
        </w:rPr>
        <w:t xml:space="preserve">and the </w:t>
      </w:r>
      <w:r w:rsidRPr="00B35211" w:rsidR="00B35211">
        <w:rPr>
          <w:rFonts w:ascii="Times New Roman" w:hAnsi="Times New Roman"/>
          <w:sz w:val="24"/>
          <w:szCs w:val="24"/>
        </w:rPr>
        <w:t>GPRA Modernization Act of 2010 (</w:t>
      </w:r>
      <w:r w:rsidRPr="00B35211" w:rsidR="00B35211">
        <w:rPr>
          <w:rFonts w:ascii="Times New Roman" w:hAnsi="Times New Roman"/>
          <w:sz w:val="24"/>
          <w:szCs w:val="24"/>
        </w:rPr>
        <w:t>Pub.L</w:t>
      </w:r>
      <w:r w:rsidRPr="00B35211" w:rsidR="00B35211">
        <w:rPr>
          <w:rFonts w:ascii="Times New Roman" w:hAnsi="Times New Roman"/>
          <w:sz w:val="24"/>
          <w:szCs w:val="24"/>
        </w:rPr>
        <w:t>. 111-352, Sec 12</w:t>
      </w:r>
      <w:r w:rsidR="00B35211">
        <w:rPr>
          <w:rFonts w:ascii="Times New Roman" w:hAnsi="Times New Roman"/>
          <w:sz w:val="24"/>
          <w:szCs w:val="24"/>
        </w:rPr>
        <w:t>)</w:t>
      </w:r>
      <w:r w:rsidRPr="00B35211">
        <w:rPr>
          <w:rFonts w:ascii="Times New Roman" w:hAnsi="Times New Roman"/>
          <w:snapToGrid/>
          <w:sz w:val="24"/>
          <w:szCs w:val="24"/>
        </w:rPr>
        <w:t>.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This current request expands the overarching generic to include the collection of </w:t>
      </w:r>
      <w:r w:rsidRPr="00D93FFB">
        <w:rPr>
          <w:rFonts w:ascii="Times New Roman" w:hAnsi="Times New Roman"/>
          <w:snapToGrid/>
          <w:sz w:val="24"/>
          <w:szCs w:val="24"/>
        </w:rPr>
        <w:t>performance and progress data from recipients who receive funding from ACF under a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="008651D8">
        <w:rPr>
          <w:rFonts w:ascii="Times New Roman" w:hAnsi="Times New Roman"/>
          <w:snapToGrid/>
          <w:sz w:val="24"/>
          <w:szCs w:val="24"/>
        </w:rPr>
        <w:t>non-discretionary</w:t>
      </w:r>
      <w:r>
        <w:rPr>
          <w:rFonts w:ascii="Times New Roman" w:hAnsi="Times New Roman"/>
          <w:snapToGrid/>
          <w:sz w:val="24"/>
          <w:szCs w:val="24"/>
        </w:rPr>
        <w:t xml:space="preserve"> award</w:t>
      </w:r>
      <w:r>
        <w:rPr>
          <w:rStyle w:val="FootnoteReference"/>
          <w:rFonts w:ascii="Times New Roman" w:hAnsi="Times New Roman"/>
          <w:snapToGrid/>
          <w:sz w:val="24"/>
          <w:szCs w:val="24"/>
        </w:rPr>
        <w:footnoteReference w:id="2"/>
      </w:r>
      <w:r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456467" w:rsidP="00C96936" w14:paraId="08962C06" w14:textId="1D359946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P="00C96936" w14:paraId="0D80E1BD" w14:textId="3FB3B29B">
      <w:pPr>
        <w:widowControl/>
        <w:rPr>
          <w:rFonts w:ascii="Times New Roman" w:hAnsi="Times New Roman"/>
          <w:color w:val="19150F"/>
          <w:sz w:val="24"/>
          <w:szCs w:val="24"/>
          <w:lang w:val="en"/>
        </w:rPr>
      </w:pPr>
      <w:r w:rsidRPr="008651D8">
        <w:rPr>
          <w:rFonts w:ascii="Times New Roman" w:hAnsi="Times New Roman"/>
          <w:snapToGrid/>
          <w:sz w:val="24"/>
          <w:szCs w:val="24"/>
        </w:rPr>
        <w:t xml:space="preserve">ACF </w:t>
      </w:r>
      <w:r w:rsidRPr="008651D8" w:rsidR="008651D8">
        <w:rPr>
          <w:rFonts w:ascii="Times New Roman" w:hAnsi="Times New Roman"/>
          <w:sz w:val="24"/>
          <w:szCs w:val="24"/>
        </w:rPr>
        <w:t xml:space="preserve">programs award funding to provide services and activities </w:t>
      </w:r>
      <w:r w:rsidRPr="008651D8">
        <w:rPr>
          <w:rFonts w:ascii="Times New Roman" w:hAnsi="Times New Roman"/>
          <w:snapToGrid/>
          <w:sz w:val="24"/>
          <w:szCs w:val="24"/>
        </w:rPr>
        <w:t xml:space="preserve">that </w:t>
      </w:r>
      <w:r w:rsidRPr="008651D8">
        <w:rPr>
          <w:rFonts w:ascii="Times New Roman" w:hAnsi="Times New Roman"/>
          <w:color w:val="19150F"/>
          <w:sz w:val="24"/>
          <w:szCs w:val="24"/>
          <w:lang w:val="en"/>
        </w:rPr>
        <w:t xml:space="preserve">promote the economic and social well-being of families, children, individuals and communities with partnerships, funding, guidance, </w:t>
      </w:r>
      <w:r w:rsidRPr="008651D8">
        <w:rPr>
          <w:rFonts w:ascii="Times New Roman" w:hAnsi="Times New Roman"/>
          <w:color w:val="19150F"/>
          <w:sz w:val="24"/>
          <w:szCs w:val="24"/>
          <w:lang w:val="en"/>
        </w:rPr>
        <w:t>training</w:t>
      </w:r>
      <w:r w:rsidRPr="008651D8">
        <w:rPr>
          <w:rFonts w:ascii="Times New Roman" w:hAnsi="Times New Roman"/>
          <w:color w:val="19150F"/>
          <w:sz w:val="24"/>
          <w:szCs w:val="24"/>
          <w:lang w:val="en"/>
        </w:rPr>
        <w:t xml:space="preserve"> and technical</w:t>
      </w:r>
      <w:r w:rsidRPr="00D93FFB">
        <w:rPr>
          <w:rFonts w:ascii="Times New Roman" w:hAnsi="Times New Roman"/>
          <w:color w:val="19150F"/>
          <w:sz w:val="24"/>
          <w:szCs w:val="24"/>
          <w:lang w:val="en"/>
        </w:rPr>
        <w:t xml:space="preserve"> assistance.</w:t>
      </w:r>
    </w:p>
    <w:p w:rsidR="00C96936" w:rsidRPr="00D93FFB" w:rsidP="00C96936" w14:paraId="6BD7C903" w14:textId="77777777">
      <w:pPr>
        <w:widowControl/>
        <w:rPr>
          <w:rFonts w:ascii="Times New Roman" w:hAnsi="Times New Roman"/>
          <w:color w:val="19150F"/>
          <w:sz w:val="24"/>
          <w:szCs w:val="24"/>
          <w:lang w:val="en"/>
        </w:rPr>
      </w:pPr>
    </w:p>
    <w:p w:rsidR="00456467" w:rsidP="00D93FFB" w14:paraId="47285014" w14:textId="4214E135">
      <w:p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z w:val="24"/>
        </w:rPr>
        <w:t>A</w:t>
      </w:r>
      <w:r w:rsidRPr="00D93FFB">
        <w:rPr>
          <w:rFonts w:ascii="Times New Roman" w:hAnsi="Times New Roman"/>
          <w:sz w:val="24"/>
        </w:rPr>
        <w:t>ccording to HHS’s GrantSolutions.gov</w:t>
      </w:r>
      <w:r>
        <w:rPr>
          <w:rFonts w:ascii="Times New Roman" w:hAnsi="Times New Roman"/>
          <w:sz w:val="24"/>
        </w:rPr>
        <w:t>, i</w:t>
      </w:r>
      <w:r w:rsidRPr="00D93FFB" w:rsidR="00D93FFB">
        <w:rPr>
          <w:rFonts w:ascii="Times New Roman" w:hAnsi="Times New Roman"/>
          <w:sz w:val="24"/>
        </w:rPr>
        <w:t>n FY 20</w:t>
      </w:r>
      <w:r>
        <w:rPr>
          <w:rFonts w:ascii="Times New Roman" w:hAnsi="Times New Roman"/>
          <w:sz w:val="24"/>
        </w:rPr>
        <w:t>22</w:t>
      </w:r>
      <w:r w:rsidRPr="00D93FFB" w:rsidR="00D93FFB">
        <w:rPr>
          <w:rFonts w:ascii="Times New Roman" w:hAnsi="Times New Roman"/>
          <w:sz w:val="24"/>
        </w:rPr>
        <w:t xml:space="preserve">, ACF </w:t>
      </w:r>
      <w:r>
        <w:rPr>
          <w:rFonts w:ascii="Times New Roman" w:hAnsi="Times New Roman"/>
          <w:sz w:val="24"/>
        </w:rPr>
        <w:t>issued</w:t>
      </w:r>
      <w:r w:rsidRPr="00D93FFB">
        <w:rPr>
          <w:rFonts w:ascii="Times New Roman" w:hAnsi="Times New Roman"/>
          <w:sz w:val="24"/>
        </w:rPr>
        <w:t xml:space="preserve"> </w:t>
      </w:r>
      <w:r w:rsidRPr="00D93FFB" w:rsidR="00D93FFB">
        <w:rPr>
          <w:rFonts w:ascii="Times New Roman" w:hAnsi="Times New Roman"/>
          <w:sz w:val="24"/>
        </w:rPr>
        <w:t>a total of $</w:t>
      </w:r>
      <w:r w:rsidRPr="003F7510" w:rsidR="003F7510">
        <w:rPr>
          <w:rFonts w:ascii="Times New Roman" w:hAnsi="Times New Roman"/>
          <w:sz w:val="24"/>
        </w:rPr>
        <w:t xml:space="preserve"> </w:t>
      </w:r>
      <w:r w:rsidR="003F7510">
        <w:rPr>
          <w:rFonts w:ascii="Times New Roman" w:hAnsi="Times New Roman"/>
          <w:sz w:val="24"/>
        </w:rPr>
        <w:t>66</w:t>
      </w:r>
      <w:r w:rsidRPr="00D93FFB" w:rsidR="003F7510">
        <w:rPr>
          <w:rFonts w:ascii="Times New Roman" w:hAnsi="Times New Roman"/>
          <w:sz w:val="24"/>
        </w:rPr>
        <w:t xml:space="preserve"> billion </w:t>
      </w:r>
      <w:r w:rsidR="003F7510">
        <w:rPr>
          <w:rFonts w:ascii="Times New Roman" w:hAnsi="Times New Roman"/>
          <w:sz w:val="24"/>
        </w:rPr>
        <w:t xml:space="preserve">total </w:t>
      </w:r>
      <w:r w:rsidRPr="00D93FFB" w:rsidR="003F7510">
        <w:rPr>
          <w:rFonts w:ascii="Times New Roman" w:hAnsi="Times New Roman"/>
          <w:sz w:val="24"/>
        </w:rPr>
        <w:t>in federal financial assistance</w:t>
      </w:r>
      <w:r w:rsidR="003F7510">
        <w:rPr>
          <w:rFonts w:ascii="Times New Roman" w:hAnsi="Times New Roman"/>
          <w:sz w:val="24"/>
        </w:rPr>
        <w:t>, including $768 million in COVID-19 relief programs,</w:t>
      </w:r>
      <w:r w:rsidRPr="00D93FFB" w:rsidR="003F7510">
        <w:rPr>
          <w:rFonts w:ascii="Times New Roman" w:hAnsi="Times New Roman"/>
          <w:sz w:val="24"/>
        </w:rPr>
        <w:t xml:space="preserve"> through</w:t>
      </w:r>
      <w:r w:rsidR="003F7510">
        <w:rPr>
          <w:rFonts w:ascii="Times New Roman" w:hAnsi="Times New Roman"/>
          <w:sz w:val="24"/>
        </w:rPr>
        <w:t xml:space="preserve"> $27 billion in</w:t>
      </w:r>
      <w:r w:rsidRPr="00D93FFB" w:rsidR="003F7510">
        <w:rPr>
          <w:rFonts w:ascii="Times New Roman" w:hAnsi="Times New Roman"/>
          <w:sz w:val="24"/>
        </w:rPr>
        <w:t xml:space="preserve"> </w:t>
      </w:r>
      <w:r w:rsidR="003F7510">
        <w:rPr>
          <w:rFonts w:ascii="Times New Roman" w:hAnsi="Times New Roman"/>
          <w:sz w:val="24"/>
        </w:rPr>
        <w:t xml:space="preserve">9352 </w:t>
      </w:r>
      <w:r w:rsidRPr="00D93FFB" w:rsidR="003F7510">
        <w:rPr>
          <w:rFonts w:ascii="Times New Roman" w:hAnsi="Times New Roman"/>
          <w:sz w:val="24"/>
        </w:rPr>
        <w:t>discretionary awards,</w:t>
      </w:r>
      <w:r w:rsidR="003F7510">
        <w:rPr>
          <w:rFonts w:ascii="Times New Roman" w:hAnsi="Times New Roman"/>
          <w:sz w:val="24"/>
        </w:rPr>
        <w:t xml:space="preserve"> and </w:t>
      </w:r>
      <w:r w:rsidRPr="00D93FFB" w:rsidR="003F7510">
        <w:rPr>
          <w:rFonts w:ascii="Times New Roman" w:hAnsi="Times New Roman"/>
          <w:sz w:val="24"/>
        </w:rPr>
        <w:t>$</w:t>
      </w:r>
      <w:r w:rsidR="003F7510">
        <w:rPr>
          <w:rFonts w:ascii="Times New Roman" w:hAnsi="Times New Roman"/>
          <w:sz w:val="24"/>
        </w:rPr>
        <w:t>38 billion</w:t>
      </w:r>
      <w:r w:rsidRPr="00D93FFB" w:rsidR="003F7510">
        <w:rPr>
          <w:rFonts w:ascii="Times New Roman" w:hAnsi="Times New Roman"/>
          <w:sz w:val="24"/>
        </w:rPr>
        <w:t xml:space="preserve"> in federal financial assistance through </w:t>
      </w:r>
      <w:r w:rsidR="003F7510">
        <w:rPr>
          <w:rFonts w:ascii="Times New Roman" w:hAnsi="Times New Roman"/>
          <w:sz w:val="24"/>
        </w:rPr>
        <w:t>13,193</w:t>
      </w:r>
      <w:r w:rsidRPr="00D93FFB">
        <w:rPr>
          <w:rFonts w:ascii="Times New Roman" w:hAnsi="Times New Roman"/>
          <w:sz w:val="24"/>
        </w:rPr>
        <w:t xml:space="preserve"> </w:t>
      </w:r>
      <w:r w:rsidR="008651D8">
        <w:rPr>
          <w:rFonts w:ascii="Times New Roman" w:hAnsi="Times New Roman"/>
          <w:sz w:val="24"/>
        </w:rPr>
        <w:t>non-discretionary</w:t>
      </w:r>
      <w:r w:rsidRPr="00D93FFB">
        <w:rPr>
          <w:rFonts w:ascii="Times New Roman" w:hAnsi="Times New Roman"/>
          <w:sz w:val="24"/>
        </w:rPr>
        <w:t xml:space="preserve"> awards</w:t>
      </w:r>
      <w:r w:rsidRPr="00D93FFB" w:rsidR="00D93FFB">
        <w:rPr>
          <w:rFonts w:ascii="Times New Roman" w:hAnsi="Times New Roman"/>
          <w:sz w:val="24"/>
        </w:rPr>
        <w:t xml:space="preserve">. </w:t>
      </w:r>
      <w:r w:rsidRPr="00D93FFB" w:rsidR="004E74F1">
        <w:rPr>
          <w:rFonts w:ascii="Times New Roman" w:hAnsi="Times New Roman"/>
          <w:snapToGrid/>
          <w:sz w:val="24"/>
          <w:szCs w:val="24"/>
        </w:rPr>
        <w:t xml:space="preserve">Prior to </w:t>
      </w:r>
      <w:r w:rsidRPr="00D93FFB" w:rsidR="0091254F">
        <w:rPr>
          <w:rFonts w:ascii="Times New Roman" w:hAnsi="Times New Roman"/>
          <w:snapToGrid/>
          <w:sz w:val="24"/>
          <w:szCs w:val="24"/>
        </w:rPr>
        <w:t xml:space="preserve">the use of this generic </w:t>
      </w:r>
      <w:r w:rsidRPr="00D93FFB" w:rsidR="00B72322">
        <w:rPr>
          <w:rFonts w:ascii="Times New Roman" w:hAnsi="Times New Roman"/>
          <w:snapToGrid/>
          <w:sz w:val="24"/>
          <w:szCs w:val="24"/>
        </w:rPr>
        <w:t xml:space="preserve">program-specific </w:t>
      </w:r>
      <w:r w:rsidRPr="00D93FFB" w:rsidR="0091254F">
        <w:rPr>
          <w:rFonts w:ascii="Times New Roman" w:hAnsi="Times New Roman"/>
          <w:snapToGrid/>
          <w:sz w:val="24"/>
          <w:szCs w:val="24"/>
        </w:rPr>
        <w:t>PPR,</w:t>
      </w:r>
      <w:r w:rsidRPr="00D93FFB" w:rsidR="00B863A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7E1599">
        <w:rPr>
          <w:rFonts w:ascii="Times New Roman" w:hAnsi="Times New Roman"/>
          <w:snapToGrid/>
          <w:sz w:val="24"/>
          <w:szCs w:val="24"/>
        </w:rPr>
        <w:t>a s</w:t>
      </w:r>
      <w:r w:rsidRPr="00D93FFB" w:rsidR="00B72322">
        <w:rPr>
          <w:rFonts w:ascii="Times New Roman" w:hAnsi="Times New Roman"/>
          <w:snapToGrid/>
          <w:sz w:val="24"/>
          <w:szCs w:val="24"/>
        </w:rPr>
        <w:t xml:space="preserve">tandard ACF </w:t>
      </w:r>
      <w:r w:rsidRPr="00D93FFB" w:rsidR="00B009FD">
        <w:rPr>
          <w:rFonts w:ascii="Times New Roman" w:hAnsi="Times New Roman"/>
          <w:snapToGrid/>
          <w:sz w:val="24"/>
          <w:szCs w:val="24"/>
        </w:rPr>
        <w:t>PPR</w:t>
      </w:r>
      <w:r w:rsidRPr="00D93FFB" w:rsidR="00B863A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7E1599">
        <w:rPr>
          <w:rFonts w:ascii="Times New Roman" w:hAnsi="Times New Roman"/>
          <w:snapToGrid/>
          <w:sz w:val="24"/>
          <w:szCs w:val="24"/>
        </w:rPr>
        <w:t>(#0970-0406)</w:t>
      </w:r>
      <w:r w:rsidRPr="00D93FFB" w:rsidR="0091254F">
        <w:rPr>
          <w:rFonts w:ascii="Times New Roman" w:hAnsi="Times New Roman"/>
          <w:snapToGrid/>
          <w:sz w:val="24"/>
          <w:szCs w:val="24"/>
        </w:rPr>
        <w:t xml:space="preserve"> was</w:t>
      </w:r>
      <w:r w:rsidRPr="00D93FFB" w:rsidR="007E1599">
        <w:rPr>
          <w:rFonts w:ascii="Times New Roman" w:hAnsi="Times New Roman"/>
          <w:snapToGrid/>
          <w:sz w:val="24"/>
          <w:szCs w:val="24"/>
        </w:rPr>
        <w:t xml:space="preserve"> used for all ACF discretionary </w:t>
      </w:r>
      <w:r>
        <w:rPr>
          <w:rFonts w:ascii="Times New Roman" w:hAnsi="Times New Roman"/>
          <w:snapToGrid/>
          <w:sz w:val="24"/>
          <w:szCs w:val="24"/>
        </w:rPr>
        <w:t>awards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7E1599">
        <w:rPr>
          <w:rFonts w:ascii="Times New Roman" w:hAnsi="Times New Roman"/>
          <w:snapToGrid/>
          <w:sz w:val="24"/>
          <w:szCs w:val="24"/>
        </w:rPr>
        <w:t>and cooperative agreement awards for post award reporting.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7E1599">
        <w:rPr>
          <w:rFonts w:ascii="Times New Roman" w:hAnsi="Times New Roman"/>
          <w:snapToGrid/>
          <w:sz w:val="24"/>
          <w:szCs w:val="24"/>
        </w:rPr>
        <w:t xml:space="preserve">Historically, </w:t>
      </w:r>
      <w:r w:rsidRPr="00D93FFB" w:rsidR="00670CED">
        <w:rPr>
          <w:rFonts w:ascii="Times New Roman" w:hAnsi="Times New Roman"/>
          <w:snapToGrid/>
          <w:sz w:val="24"/>
          <w:szCs w:val="24"/>
        </w:rPr>
        <w:t>on th</w:t>
      </w:r>
      <w:r w:rsidRPr="00D93FFB" w:rsidR="00B863AB">
        <w:rPr>
          <w:rFonts w:ascii="Times New Roman" w:hAnsi="Times New Roman"/>
          <w:snapToGrid/>
          <w:sz w:val="24"/>
          <w:szCs w:val="24"/>
        </w:rPr>
        <w:t>e</w:t>
      </w:r>
      <w:r w:rsidRPr="00D93FFB" w:rsidR="00670CED">
        <w:rPr>
          <w:rFonts w:ascii="Times New Roman" w:hAnsi="Times New Roman"/>
          <w:snapToGrid/>
          <w:sz w:val="24"/>
          <w:szCs w:val="24"/>
        </w:rPr>
        <w:t xml:space="preserve"> standard </w:t>
      </w:r>
      <w:r w:rsidRPr="00D93FFB" w:rsidR="00B863AB">
        <w:rPr>
          <w:rFonts w:ascii="Times New Roman" w:hAnsi="Times New Roman"/>
          <w:snapToGrid/>
          <w:sz w:val="24"/>
          <w:szCs w:val="24"/>
        </w:rPr>
        <w:t xml:space="preserve">ACF PPR </w:t>
      </w:r>
      <w:r w:rsidRPr="00D93FFB" w:rsidR="00670CED">
        <w:rPr>
          <w:rFonts w:ascii="Times New Roman" w:hAnsi="Times New Roman"/>
          <w:snapToGrid/>
          <w:sz w:val="24"/>
          <w:szCs w:val="24"/>
        </w:rPr>
        <w:t xml:space="preserve">form, </w:t>
      </w:r>
      <w:r w:rsidRPr="00D93FFB" w:rsidR="007E1599">
        <w:rPr>
          <w:rFonts w:ascii="Times New Roman" w:hAnsi="Times New Roman"/>
          <w:snapToGrid/>
          <w:sz w:val="24"/>
          <w:szCs w:val="24"/>
        </w:rPr>
        <w:t xml:space="preserve">ACF required </w:t>
      </w:r>
      <w:r>
        <w:rPr>
          <w:rFonts w:ascii="Times New Roman" w:hAnsi="Times New Roman"/>
          <w:snapToGrid/>
          <w:sz w:val="24"/>
          <w:szCs w:val="24"/>
        </w:rPr>
        <w:t>funding recipients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7E1599">
        <w:rPr>
          <w:rFonts w:ascii="Times New Roman" w:hAnsi="Times New Roman"/>
          <w:snapToGrid/>
          <w:sz w:val="24"/>
          <w:szCs w:val="24"/>
        </w:rPr>
        <w:t xml:space="preserve">to only respond to a common set of </w:t>
      </w:r>
      <w:r w:rsidRPr="00D93FFB" w:rsidR="00B009FD">
        <w:rPr>
          <w:rFonts w:ascii="Times New Roman" w:hAnsi="Times New Roman"/>
          <w:snapToGrid/>
          <w:sz w:val="24"/>
          <w:szCs w:val="24"/>
        </w:rPr>
        <w:t xml:space="preserve">broad </w:t>
      </w:r>
      <w:r w:rsidRPr="00D93FFB" w:rsidR="007E1599">
        <w:rPr>
          <w:rFonts w:ascii="Times New Roman" w:hAnsi="Times New Roman"/>
          <w:snapToGrid/>
          <w:sz w:val="24"/>
          <w:szCs w:val="24"/>
        </w:rPr>
        <w:t>questions</w:t>
      </w:r>
      <w:r w:rsidRPr="00D93FFB" w:rsidR="00B863AB">
        <w:rPr>
          <w:rFonts w:ascii="Times New Roman" w:hAnsi="Times New Roman"/>
          <w:snapToGrid/>
          <w:sz w:val="24"/>
          <w:szCs w:val="24"/>
        </w:rPr>
        <w:t>,</w:t>
      </w:r>
      <w:r w:rsidRPr="00D93FFB" w:rsidR="00474D82">
        <w:rPr>
          <w:rFonts w:ascii="Times New Roman" w:hAnsi="Times New Roman"/>
          <w:snapToGrid/>
          <w:sz w:val="24"/>
          <w:szCs w:val="24"/>
        </w:rPr>
        <w:t xml:space="preserve"> which often resulted in</w:t>
      </w:r>
      <w:r w:rsidRPr="00D93FFB" w:rsidR="00B009FD">
        <w:rPr>
          <w:rFonts w:ascii="Times New Roman" w:hAnsi="Times New Roman"/>
          <w:snapToGrid/>
          <w:sz w:val="24"/>
          <w:szCs w:val="24"/>
        </w:rPr>
        <w:t xml:space="preserve"> qualitative</w:t>
      </w:r>
      <w:r w:rsidRPr="00D93FFB" w:rsidR="00670CED">
        <w:rPr>
          <w:rFonts w:ascii="Times New Roman" w:hAnsi="Times New Roman"/>
          <w:snapToGrid/>
          <w:sz w:val="24"/>
          <w:szCs w:val="24"/>
        </w:rPr>
        <w:t xml:space="preserve"> or incomplete</w:t>
      </w:r>
      <w:r w:rsidRPr="00D93FFB" w:rsidR="00B009FD">
        <w:rPr>
          <w:rFonts w:ascii="Times New Roman" w:hAnsi="Times New Roman"/>
          <w:snapToGrid/>
          <w:sz w:val="24"/>
          <w:szCs w:val="24"/>
        </w:rPr>
        <w:t xml:space="preserve"> information</w:t>
      </w:r>
      <w:r w:rsidRPr="00D93FFB" w:rsidR="007E1599">
        <w:rPr>
          <w:rFonts w:ascii="Times New Roman" w:hAnsi="Times New Roman"/>
          <w:snapToGrid/>
          <w:sz w:val="24"/>
          <w:szCs w:val="24"/>
        </w:rPr>
        <w:t>.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7E1599">
        <w:rPr>
          <w:rFonts w:ascii="Times New Roman" w:hAnsi="Times New Roman"/>
          <w:snapToGrid/>
          <w:sz w:val="24"/>
          <w:szCs w:val="24"/>
        </w:rPr>
        <w:t xml:space="preserve">This one-size-fits-all approach </w:t>
      </w:r>
      <w:r w:rsidRPr="00D93FFB" w:rsidR="0091254F">
        <w:rPr>
          <w:rFonts w:ascii="Times New Roman" w:hAnsi="Times New Roman"/>
          <w:snapToGrid/>
          <w:sz w:val="24"/>
          <w:szCs w:val="24"/>
        </w:rPr>
        <w:t>did not</w:t>
      </w:r>
      <w:r w:rsidRPr="00D93FFB" w:rsidR="007E1599">
        <w:rPr>
          <w:rFonts w:ascii="Times New Roman" w:hAnsi="Times New Roman"/>
          <w:snapToGrid/>
          <w:sz w:val="24"/>
          <w:szCs w:val="24"/>
        </w:rPr>
        <w:t xml:space="preserve"> adequately collect the specific data needed for </w:t>
      </w:r>
      <w:r w:rsidRPr="00D93FFB" w:rsidR="007E1599">
        <w:rPr>
          <w:rFonts w:ascii="Times New Roman" w:hAnsi="Times New Roman"/>
          <w:snapToGrid/>
          <w:sz w:val="24"/>
          <w:szCs w:val="24"/>
        </w:rPr>
        <w:t>particular grant</w:t>
      </w:r>
      <w:r w:rsidRPr="00D93FFB" w:rsidR="007E1599">
        <w:rPr>
          <w:rFonts w:ascii="Times New Roman" w:hAnsi="Times New Roman"/>
          <w:snapToGrid/>
          <w:sz w:val="24"/>
          <w:szCs w:val="24"/>
        </w:rPr>
        <w:t xml:space="preserve"> programs</w:t>
      </w:r>
      <w:r w:rsidRPr="00D93FFB" w:rsidR="001F0259">
        <w:rPr>
          <w:rFonts w:ascii="Times New Roman" w:hAnsi="Times New Roman"/>
          <w:snapToGrid/>
          <w:sz w:val="24"/>
          <w:szCs w:val="24"/>
        </w:rPr>
        <w:t xml:space="preserve"> or allow program o</w:t>
      </w:r>
      <w:r w:rsidRPr="00D93FFB" w:rsidR="00B009FD">
        <w:rPr>
          <w:rFonts w:ascii="Times New Roman" w:hAnsi="Times New Roman"/>
          <w:snapToGrid/>
          <w:sz w:val="24"/>
          <w:szCs w:val="24"/>
        </w:rPr>
        <w:t>ffices to assess continuous quality improvement</w:t>
      </w:r>
      <w:r w:rsidRPr="00D93FFB" w:rsidR="007E1599">
        <w:rPr>
          <w:rFonts w:ascii="Times New Roman" w:hAnsi="Times New Roman"/>
          <w:snapToGrid/>
          <w:sz w:val="24"/>
          <w:szCs w:val="24"/>
        </w:rPr>
        <w:t>.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7E1599">
        <w:rPr>
          <w:rFonts w:ascii="Times New Roman" w:hAnsi="Times New Roman"/>
          <w:snapToGrid/>
          <w:sz w:val="24"/>
          <w:szCs w:val="24"/>
        </w:rPr>
        <w:t>Different grant programs vary in purpose</w:t>
      </w:r>
      <w:r w:rsidRPr="00D93FFB" w:rsidR="00B009FD">
        <w:rPr>
          <w:rFonts w:ascii="Times New Roman" w:hAnsi="Times New Roman"/>
          <w:snapToGrid/>
          <w:sz w:val="24"/>
          <w:szCs w:val="24"/>
        </w:rPr>
        <w:t xml:space="preserve">, </w:t>
      </w:r>
      <w:r w:rsidRPr="00D93FFB" w:rsidR="007E1599">
        <w:rPr>
          <w:rFonts w:ascii="Times New Roman" w:hAnsi="Times New Roman"/>
          <w:snapToGrid/>
          <w:sz w:val="24"/>
          <w:szCs w:val="24"/>
        </w:rPr>
        <w:t>target population</w:t>
      </w:r>
      <w:r w:rsidRPr="00D93FFB" w:rsidR="00B009FD">
        <w:rPr>
          <w:rFonts w:ascii="Times New Roman" w:hAnsi="Times New Roman"/>
          <w:snapToGrid/>
          <w:sz w:val="24"/>
          <w:szCs w:val="24"/>
        </w:rPr>
        <w:t>, and activities</w:t>
      </w:r>
      <w:r w:rsidRPr="00D93FFB" w:rsidR="007E1599">
        <w:rPr>
          <w:rFonts w:ascii="Times New Roman" w:hAnsi="Times New Roman"/>
          <w:snapToGrid/>
          <w:sz w:val="24"/>
          <w:szCs w:val="24"/>
        </w:rPr>
        <w:t>. Therefore</w:t>
      </w:r>
      <w:r w:rsidRPr="00D93FFB" w:rsidR="0091254F">
        <w:rPr>
          <w:rFonts w:ascii="Times New Roman" w:hAnsi="Times New Roman"/>
          <w:snapToGrid/>
          <w:sz w:val="24"/>
          <w:szCs w:val="24"/>
        </w:rPr>
        <w:t>,</w:t>
      </w:r>
      <w:r w:rsidRPr="00D93FFB" w:rsidR="007E1599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91254F">
        <w:rPr>
          <w:rFonts w:ascii="Times New Roman" w:hAnsi="Times New Roman"/>
          <w:snapToGrid/>
          <w:sz w:val="24"/>
          <w:szCs w:val="24"/>
        </w:rPr>
        <w:t xml:space="preserve">a need for </w:t>
      </w:r>
      <w:r w:rsidRPr="00D93FFB" w:rsidR="00B863AB">
        <w:rPr>
          <w:rFonts w:ascii="Times New Roman" w:hAnsi="Times New Roman"/>
          <w:snapToGrid/>
          <w:sz w:val="24"/>
          <w:szCs w:val="24"/>
        </w:rPr>
        <w:t>program</w:t>
      </w:r>
      <w:r w:rsidRPr="00D93FFB" w:rsidR="0087117B">
        <w:rPr>
          <w:rFonts w:ascii="Times New Roman" w:hAnsi="Times New Roman"/>
          <w:snapToGrid/>
          <w:sz w:val="24"/>
          <w:szCs w:val="24"/>
        </w:rPr>
        <w:t xml:space="preserve"> offices</w:t>
      </w:r>
      <w:r w:rsidRPr="00D93FFB" w:rsidR="00B863A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91254F">
        <w:rPr>
          <w:rFonts w:ascii="Times New Roman" w:hAnsi="Times New Roman"/>
          <w:snapToGrid/>
          <w:sz w:val="24"/>
          <w:szCs w:val="24"/>
        </w:rPr>
        <w:t xml:space="preserve">to </w:t>
      </w:r>
      <w:r w:rsidRPr="00D93FFB" w:rsidR="007E1599">
        <w:rPr>
          <w:rFonts w:ascii="Times New Roman" w:hAnsi="Times New Roman"/>
          <w:snapToGrid/>
          <w:sz w:val="24"/>
          <w:szCs w:val="24"/>
        </w:rPr>
        <w:t>customize performance measurement</w:t>
      </w:r>
      <w:r w:rsidRPr="00D93FFB" w:rsidR="001F0259">
        <w:rPr>
          <w:rFonts w:ascii="Times New Roman" w:hAnsi="Times New Roman"/>
          <w:snapToGrid/>
          <w:sz w:val="24"/>
          <w:szCs w:val="24"/>
        </w:rPr>
        <w:t>s</w:t>
      </w:r>
      <w:r w:rsidRPr="00D93FFB" w:rsidR="0091254F">
        <w:rPr>
          <w:rFonts w:ascii="Times New Roman" w:hAnsi="Times New Roman"/>
          <w:snapToGrid/>
          <w:sz w:val="24"/>
          <w:szCs w:val="24"/>
        </w:rPr>
        <w:t xml:space="preserve"> was identified and the </w:t>
      </w:r>
      <w:r w:rsidRPr="00D93FFB" w:rsidR="00B009FD">
        <w:rPr>
          <w:rFonts w:ascii="Times New Roman" w:hAnsi="Times New Roman"/>
          <w:snapToGrid/>
          <w:sz w:val="24"/>
          <w:szCs w:val="24"/>
        </w:rPr>
        <w:t>g</w:t>
      </w:r>
      <w:r w:rsidRPr="00D93FFB" w:rsidR="0091254F">
        <w:rPr>
          <w:rFonts w:ascii="Times New Roman" w:hAnsi="Times New Roman"/>
          <w:snapToGrid/>
          <w:sz w:val="24"/>
          <w:szCs w:val="24"/>
        </w:rPr>
        <w:t xml:space="preserve">eneric </w:t>
      </w:r>
      <w:r w:rsidRPr="00D93FFB" w:rsidR="00B72322">
        <w:rPr>
          <w:rFonts w:ascii="Times New Roman" w:hAnsi="Times New Roman"/>
          <w:snapToGrid/>
          <w:sz w:val="24"/>
          <w:szCs w:val="24"/>
        </w:rPr>
        <w:t xml:space="preserve">program-specific </w:t>
      </w:r>
      <w:r w:rsidRPr="00D93FFB" w:rsidR="0091254F">
        <w:rPr>
          <w:rFonts w:ascii="Times New Roman" w:hAnsi="Times New Roman"/>
          <w:snapToGrid/>
          <w:sz w:val="24"/>
          <w:szCs w:val="24"/>
        </w:rPr>
        <w:t>PPR was developed</w:t>
      </w:r>
      <w:r w:rsidRPr="00D93FFB" w:rsidR="007E1599">
        <w:rPr>
          <w:rFonts w:ascii="Times New Roman" w:hAnsi="Times New Roman"/>
          <w:snapToGrid/>
          <w:sz w:val="24"/>
          <w:szCs w:val="24"/>
        </w:rPr>
        <w:t>.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 </w:t>
      </w:r>
      <w:r w:rsidR="008651D8">
        <w:rPr>
          <w:rFonts w:ascii="Times New Roman" w:hAnsi="Times New Roman"/>
          <w:snapToGrid/>
          <w:sz w:val="24"/>
          <w:szCs w:val="24"/>
        </w:rPr>
        <w:t>Non-discretionary</w:t>
      </w:r>
      <w:r w:rsidR="005C7F8F">
        <w:rPr>
          <w:rFonts w:ascii="Times New Roman" w:hAnsi="Times New Roman"/>
          <w:snapToGrid/>
          <w:sz w:val="24"/>
          <w:szCs w:val="24"/>
        </w:rPr>
        <w:t xml:space="preserve"> funding recipients have historically provided </w:t>
      </w:r>
      <w:r w:rsidRPr="00D93FFB" w:rsidR="005C7F8F">
        <w:rPr>
          <w:rFonts w:ascii="Times New Roman" w:hAnsi="Times New Roman"/>
          <w:snapToGrid/>
          <w:sz w:val="24"/>
          <w:szCs w:val="24"/>
        </w:rPr>
        <w:t>performance and progress data</w:t>
      </w:r>
      <w:r w:rsidR="005C7F8F">
        <w:rPr>
          <w:rFonts w:ascii="Times New Roman" w:hAnsi="Times New Roman"/>
          <w:snapToGrid/>
          <w:sz w:val="24"/>
          <w:szCs w:val="24"/>
        </w:rPr>
        <w:t xml:space="preserve"> through</w:t>
      </w:r>
      <w:r w:rsidR="008651D8">
        <w:rPr>
          <w:rFonts w:ascii="Times New Roman" w:hAnsi="Times New Roman"/>
          <w:snapToGrid/>
          <w:sz w:val="24"/>
          <w:szCs w:val="24"/>
        </w:rPr>
        <w:t xml:space="preserve"> program-specific information collection requests. When subject to the Paperwork Reduction Act, these collections have been approved through full information collection requests.</w:t>
      </w:r>
    </w:p>
    <w:p w:rsidR="008651D8" w:rsidRPr="00D93FFB" w:rsidP="00D93FFB" w14:paraId="3EBE4ACD" w14:textId="77777777">
      <w:pPr>
        <w:rPr>
          <w:rFonts w:ascii="Times New Roman" w:hAnsi="Times New Roman"/>
          <w:snapToGrid/>
          <w:color w:val="1F497D"/>
        </w:rPr>
      </w:pPr>
    </w:p>
    <w:p w:rsidR="007E1599" w:rsidRPr="00D93FFB" w:rsidP="00474D82" w14:paraId="6F02C4A9" w14:textId="4E0E86FB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ACF program</w:t>
      </w:r>
      <w:r w:rsidRPr="00D93FFB" w:rsidR="0091254F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1F0259">
        <w:rPr>
          <w:rFonts w:ascii="Times New Roman" w:hAnsi="Times New Roman"/>
          <w:snapToGrid/>
          <w:sz w:val="24"/>
          <w:szCs w:val="24"/>
        </w:rPr>
        <w:t xml:space="preserve">offices </w:t>
      </w:r>
      <w:r w:rsidRPr="00D93FFB" w:rsidR="0091254F">
        <w:rPr>
          <w:rFonts w:ascii="Times New Roman" w:hAnsi="Times New Roman"/>
          <w:snapToGrid/>
          <w:sz w:val="24"/>
          <w:szCs w:val="24"/>
        </w:rPr>
        <w:t>have benefited from the ability to create and use</w:t>
      </w:r>
      <w:r w:rsidRPr="00D93FFB" w:rsidR="00B72322">
        <w:rPr>
          <w:rFonts w:ascii="Times New Roman" w:hAnsi="Times New Roman"/>
          <w:snapToGrid/>
          <w:sz w:val="24"/>
          <w:szCs w:val="24"/>
        </w:rPr>
        <w:t xml:space="preserve"> a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B72322">
        <w:rPr>
          <w:rFonts w:ascii="Times New Roman" w:hAnsi="Times New Roman"/>
          <w:snapToGrid/>
          <w:sz w:val="24"/>
          <w:szCs w:val="24"/>
        </w:rPr>
        <w:t xml:space="preserve">program-specific </w:t>
      </w:r>
      <w:r w:rsidRPr="00D93FFB" w:rsidR="001F0259">
        <w:rPr>
          <w:rFonts w:ascii="Times New Roman" w:hAnsi="Times New Roman"/>
          <w:snapToGrid/>
          <w:sz w:val="24"/>
          <w:szCs w:val="24"/>
        </w:rPr>
        <w:t>PPR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91254F">
        <w:rPr>
          <w:rFonts w:ascii="Times New Roman" w:hAnsi="Times New Roman"/>
          <w:snapToGrid/>
          <w:sz w:val="24"/>
          <w:szCs w:val="24"/>
        </w:rPr>
        <w:t>that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B72322">
        <w:rPr>
          <w:rFonts w:ascii="Times New Roman" w:hAnsi="Times New Roman"/>
          <w:snapToGrid/>
          <w:sz w:val="24"/>
          <w:szCs w:val="24"/>
        </w:rPr>
        <w:t xml:space="preserve">is more effective and </w:t>
      </w:r>
      <w:r w:rsidRPr="00D93FFB">
        <w:rPr>
          <w:rFonts w:ascii="Times New Roman" w:hAnsi="Times New Roman"/>
          <w:snapToGrid/>
          <w:sz w:val="24"/>
          <w:szCs w:val="24"/>
        </w:rPr>
        <w:t>include</w:t>
      </w:r>
      <w:r w:rsidRPr="00D93FFB" w:rsidR="00B72322">
        <w:rPr>
          <w:rFonts w:ascii="Times New Roman" w:hAnsi="Times New Roman"/>
          <w:snapToGrid/>
          <w:sz w:val="24"/>
          <w:szCs w:val="24"/>
        </w:rPr>
        <w:t>s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specific data elements that reflect</w:t>
      </w:r>
      <w:r w:rsidRPr="00D93FFB" w:rsidR="00B72322">
        <w:rPr>
          <w:rFonts w:ascii="Times New Roman" w:hAnsi="Times New Roman"/>
          <w:snapToGrid/>
          <w:sz w:val="24"/>
          <w:szCs w:val="24"/>
        </w:rPr>
        <w:t>s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a specific program’s indicators, demographics, priorities</w:t>
      </w:r>
      <w:r w:rsidR="00A6337C">
        <w:rPr>
          <w:rFonts w:ascii="Times New Roman" w:hAnsi="Times New Roman"/>
          <w:snapToGrid/>
          <w:sz w:val="24"/>
          <w:szCs w:val="24"/>
        </w:rPr>
        <w:t>,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and objectives.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 </w:t>
      </w:r>
      <w:r w:rsidR="00456467">
        <w:rPr>
          <w:rFonts w:ascii="Times New Roman" w:hAnsi="Times New Roman"/>
          <w:snapToGrid/>
          <w:sz w:val="24"/>
          <w:szCs w:val="24"/>
        </w:rPr>
        <w:t xml:space="preserve">As such, this request is to </w:t>
      </w:r>
      <w:r w:rsidR="002524EF">
        <w:rPr>
          <w:rFonts w:ascii="Times New Roman" w:hAnsi="Times New Roman"/>
          <w:snapToGrid/>
          <w:sz w:val="24"/>
          <w:szCs w:val="24"/>
        </w:rPr>
        <w:t>revise and extend</w:t>
      </w:r>
      <w:r w:rsidR="00456467">
        <w:rPr>
          <w:rFonts w:ascii="Times New Roman" w:hAnsi="Times New Roman"/>
          <w:snapToGrid/>
          <w:sz w:val="24"/>
          <w:szCs w:val="24"/>
        </w:rPr>
        <w:t xml:space="preserve"> approval to the umbrella generic and </w:t>
      </w:r>
      <w:r w:rsidR="002524EF">
        <w:rPr>
          <w:rFonts w:ascii="Times New Roman" w:hAnsi="Times New Roman"/>
          <w:snapToGrid/>
          <w:sz w:val="24"/>
          <w:szCs w:val="24"/>
        </w:rPr>
        <w:t xml:space="preserve">extend </w:t>
      </w:r>
      <w:r w:rsidR="00456467">
        <w:rPr>
          <w:rFonts w:ascii="Times New Roman" w:hAnsi="Times New Roman"/>
          <w:snapToGrid/>
          <w:sz w:val="24"/>
          <w:szCs w:val="24"/>
        </w:rPr>
        <w:t xml:space="preserve">approval of ongoing </w:t>
      </w:r>
      <w:r w:rsidR="00456467">
        <w:rPr>
          <w:rFonts w:ascii="Times New Roman" w:hAnsi="Times New Roman"/>
          <w:snapToGrid/>
          <w:sz w:val="24"/>
          <w:szCs w:val="24"/>
        </w:rPr>
        <w:t>GenICs</w:t>
      </w:r>
      <w:r w:rsidR="00456467">
        <w:rPr>
          <w:rFonts w:ascii="Times New Roman" w:hAnsi="Times New Roman"/>
          <w:snapToGrid/>
          <w:sz w:val="24"/>
          <w:szCs w:val="24"/>
        </w:rPr>
        <w:t xml:space="preserve"> currently approved under this OMB number.</w:t>
      </w:r>
      <w:r w:rsidR="002524EF">
        <w:rPr>
          <w:rFonts w:ascii="Times New Roman" w:hAnsi="Times New Roman"/>
          <w:snapToGrid/>
          <w:sz w:val="24"/>
          <w:szCs w:val="24"/>
        </w:rPr>
        <w:t xml:space="preserve"> This revision proposes to expand the scope of the umbrella generic to also cover </w:t>
      </w:r>
      <w:r w:rsidR="008651D8">
        <w:rPr>
          <w:rFonts w:ascii="Times New Roman" w:hAnsi="Times New Roman"/>
          <w:snapToGrid/>
          <w:sz w:val="24"/>
          <w:szCs w:val="24"/>
        </w:rPr>
        <w:t>non-discretionary</w:t>
      </w:r>
      <w:r w:rsidR="002524EF">
        <w:rPr>
          <w:rFonts w:ascii="Times New Roman" w:hAnsi="Times New Roman"/>
          <w:snapToGrid/>
          <w:sz w:val="24"/>
          <w:szCs w:val="24"/>
        </w:rPr>
        <w:t xml:space="preserve"> funding </w:t>
      </w:r>
      <w:r w:rsidR="002524EF">
        <w:rPr>
          <w:rFonts w:ascii="Times New Roman" w:hAnsi="Times New Roman"/>
          <w:snapToGrid/>
          <w:sz w:val="24"/>
          <w:szCs w:val="24"/>
        </w:rPr>
        <w:t>recipients</w:t>
      </w:r>
      <w:r w:rsidR="008651D8">
        <w:rPr>
          <w:rFonts w:ascii="Times New Roman" w:hAnsi="Times New Roman"/>
          <w:snapToGrid/>
          <w:sz w:val="24"/>
          <w:szCs w:val="24"/>
        </w:rPr>
        <w:t>, if</w:t>
      </w:r>
      <w:r w:rsidR="008651D8">
        <w:rPr>
          <w:rFonts w:ascii="Times New Roman" w:hAnsi="Times New Roman"/>
          <w:snapToGrid/>
          <w:sz w:val="24"/>
          <w:szCs w:val="24"/>
        </w:rPr>
        <w:t xml:space="preserve"> a program wanted to use this mechanism</w:t>
      </w:r>
      <w:r w:rsidR="002524EF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D11FD3" w:rsidRPr="00D93FFB" w:rsidP="00474D82" w14:paraId="481B369D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474D82" w:rsidRPr="00D93FFB" w:rsidP="00474D82" w14:paraId="10A8A7AC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474D82" w14:paraId="583F8CD7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>Purpose and Use of the Information Collection</w:t>
      </w:r>
    </w:p>
    <w:p w:rsidR="002928B7" w:rsidRPr="00D93FFB" w:rsidP="00474D82" w14:paraId="52900D5D" w14:textId="4C8DD83C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 xml:space="preserve">The overall purpose of the information collections and uses of the data remain the same under this current request for renewal. </w:t>
      </w:r>
    </w:p>
    <w:p w:rsidR="002928B7" w:rsidRPr="00D93FFB" w:rsidP="00474D82" w14:paraId="4FE16958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4B068F" w:rsidP="00474D82" w14:paraId="5ACACCDA" w14:textId="36A55A1A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 xml:space="preserve">A generic program-specific PPR that can be tailored for program-specific needs allows program offices to collect useful data in a uniform and systematic manner. The reporting format allows program offices to gather uniform program performance data from each </w:t>
      </w:r>
      <w:r w:rsidR="00BA1F13">
        <w:rPr>
          <w:rFonts w:ascii="Times New Roman" w:hAnsi="Times New Roman"/>
          <w:snapToGrid/>
          <w:sz w:val="24"/>
          <w:szCs w:val="24"/>
        </w:rPr>
        <w:t>recipient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, allowing aggregation at the program level to calculate outputs and outcomes, providing a </w:t>
      </w:r>
      <w:r w:rsidRPr="00D93FFB">
        <w:rPr>
          <w:rFonts w:ascii="Times New Roman" w:hAnsi="Times New Roman"/>
          <w:snapToGrid/>
          <w:sz w:val="24"/>
          <w:szCs w:val="24"/>
        </w:rPr>
        <w:t>snapshot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and allowing for longitudinal analysis</w:t>
      </w:r>
      <w:r w:rsidR="008243FB">
        <w:rPr>
          <w:rFonts w:ascii="Times New Roman" w:hAnsi="Times New Roman"/>
          <w:snapToGrid/>
          <w:sz w:val="24"/>
          <w:szCs w:val="24"/>
        </w:rPr>
        <w:t>, including comparative analyses across grantees and/or regions</w:t>
      </w:r>
      <w:r w:rsidRPr="00D93FFB">
        <w:rPr>
          <w:rFonts w:ascii="Times New Roman" w:hAnsi="Times New Roman"/>
          <w:snapToGrid/>
          <w:sz w:val="24"/>
          <w:szCs w:val="24"/>
        </w:rPr>
        <w:t>.</w:t>
      </w:r>
      <w:r w:rsidRPr="00D93FFB" w:rsidR="002928B7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8243FB" w:rsidRPr="00D93FFB" w:rsidP="00474D82" w14:paraId="6C59257D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4B068F" w:rsidP="008243FB" w14:paraId="3121ADB3" w14:textId="504756B9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Data from a tailored program-specific PPR that demonstrates a program’s successes and challenges have been useful for accountability purposes, such as required reports to Congress.</w:t>
      </w:r>
      <w:r w:rsidRPr="00D93FFB" w:rsidR="00B863A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Moreover, it has been useful for program management and oversight, such as identifying </w:t>
      </w:r>
      <w:r w:rsidR="00BA1F13">
        <w:rPr>
          <w:rFonts w:ascii="Times New Roman" w:hAnsi="Times New Roman"/>
          <w:snapToGrid/>
          <w:sz w:val="24"/>
          <w:szCs w:val="24"/>
        </w:rPr>
        <w:t>recipients</w:t>
      </w:r>
      <w:r w:rsidRPr="00D93FFB" w:rsidR="00BA1F13">
        <w:rPr>
          <w:rFonts w:ascii="Times New Roman" w:hAnsi="Times New Roman"/>
          <w:snapToGrid/>
          <w:sz w:val="24"/>
          <w:szCs w:val="24"/>
        </w:rPr>
        <w:t xml:space="preserve">’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technical assistance needs and ensuring compliance with </w:t>
      </w:r>
      <w:r w:rsidR="00456467">
        <w:rPr>
          <w:rFonts w:ascii="Times New Roman" w:hAnsi="Times New Roman"/>
          <w:snapToGrid/>
          <w:sz w:val="24"/>
          <w:szCs w:val="24"/>
        </w:rPr>
        <w:t>f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ederal and programmatic regulations and policies. </w:t>
      </w:r>
      <w:r w:rsidR="008243FB">
        <w:rPr>
          <w:rFonts w:ascii="Times New Roman" w:hAnsi="Times New Roman"/>
          <w:snapToGrid/>
          <w:sz w:val="24"/>
          <w:szCs w:val="24"/>
        </w:rPr>
        <w:t xml:space="preserve">This includes, but is not limited to, identifying additional needs for program guidance, </w:t>
      </w:r>
      <w:r w:rsidR="008243FB">
        <w:rPr>
          <w:rFonts w:ascii="Times New Roman" w:hAnsi="Times New Roman"/>
          <w:snapToGrid/>
          <w:sz w:val="24"/>
          <w:szCs w:val="24"/>
        </w:rPr>
        <w:t>development</w:t>
      </w:r>
      <w:r w:rsidR="008243FB">
        <w:rPr>
          <w:rFonts w:ascii="Times New Roman" w:hAnsi="Times New Roman"/>
          <w:snapToGrid/>
          <w:sz w:val="24"/>
          <w:szCs w:val="24"/>
        </w:rPr>
        <w:t xml:space="preserve"> or updates to support for recipients, and making informed refinements to programs in general and the related activities and supports.</w:t>
      </w:r>
      <w:r w:rsidR="00DC4CC1">
        <w:rPr>
          <w:rFonts w:ascii="Times New Roman" w:hAnsi="Times New Roman"/>
          <w:snapToGrid/>
          <w:sz w:val="24"/>
          <w:szCs w:val="24"/>
        </w:rPr>
        <w:t xml:space="preserve"> </w:t>
      </w:r>
      <w:r w:rsidR="003F7510">
        <w:rPr>
          <w:rFonts w:ascii="Times New Roman" w:hAnsi="Times New Roman"/>
          <w:snapToGrid/>
          <w:sz w:val="24"/>
          <w:szCs w:val="24"/>
        </w:rPr>
        <w:t>The information from the program-specific PPRs will also help ACF to ensure recipients comply with program planning and design requirements that are a new requirement for all FY23 funding opportunities (2 CFR 200.202 and 2 CFR 200.329). This includes requirements for the agency to develop a clear program plan, design, monitoring, and reporting requirements prior to issuing a NOFO.  These consistent elements will allow ACF to then measure recipients’ performance and financial data under a risk management lens</w:t>
      </w:r>
      <w:r w:rsidR="00DC4CC1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8243FB" w:rsidRPr="00D93FFB" w:rsidP="008243FB" w14:paraId="23DCCCE9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8651D8" w:rsidP="008243FB" w14:paraId="0D8549F5" w14:textId="1E1AEF8E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Most </w:t>
      </w:r>
      <w:r w:rsidRPr="00D93FFB" w:rsidR="000A60CA">
        <w:rPr>
          <w:rFonts w:ascii="Times New Roman" w:hAnsi="Times New Roman"/>
          <w:snapToGrid/>
          <w:sz w:val="24"/>
          <w:szCs w:val="24"/>
        </w:rPr>
        <w:t xml:space="preserve">ACF </w:t>
      </w:r>
      <w:r w:rsidR="00456467">
        <w:rPr>
          <w:rFonts w:ascii="Times New Roman" w:hAnsi="Times New Roman"/>
          <w:snapToGrid/>
          <w:sz w:val="24"/>
          <w:szCs w:val="24"/>
        </w:rPr>
        <w:t>funding recipients</w:t>
      </w:r>
      <w:r w:rsidRPr="00D93FFB" w:rsidR="00456467">
        <w:rPr>
          <w:rFonts w:ascii="Times New Roman" w:hAnsi="Times New Roman"/>
          <w:snapToGrid/>
          <w:sz w:val="24"/>
          <w:szCs w:val="24"/>
        </w:rPr>
        <w:t xml:space="preserve"> </w:t>
      </w:r>
      <w:r w:rsidR="00BA1F13">
        <w:rPr>
          <w:rFonts w:ascii="Times New Roman" w:hAnsi="Times New Roman"/>
          <w:snapToGrid/>
          <w:sz w:val="24"/>
          <w:szCs w:val="24"/>
        </w:rPr>
        <w:t xml:space="preserve">of discretionary awards </w:t>
      </w:r>
      <w:r w:rsidRPr="00D93FFB" w:rsidR="000A60CA">
        <w:rPr>
          <w:rFonts w:ascii="Times New Roman" w:hAnsi="Times New Roman"/>
          <w:snapToGrid/>
          <w:sz w:val="24"/>
          <w:szCs w:val="24"/>
        </w:rPr>
        <w:t>will continue to submit the standard ACF PPR (0970-0406)</w:t>
      </w:r>
      <w:r w:rsidRPr="00D93FFB" w:rsidR="00B72322">
        <w:rPr>
          <w:rFonts w:ascii="Times New Roman" w:hAnsi="Times New Roman"/>
          <w:snapToGrid/>
          <w:sz w:val="24"/>
          <w:szCs w:val="24"/>
        </w:rPr>
        <w:t xml:space="preserve"> on a periodic </w:t>
      </w:r>
      <w:r w:rsidRPr="00D93FFB" w:rsidR="00B72322">
        <w:rPr>
          <w:rFonts w:ascii="Times New Roman" w:hAnsi="Times New Roman"/>
          <w:snapToGrid/>
          <w:sz w:val="24"/>
          <w:szCs w:val="24"/>
        </w:rPr>
        <w:t>basis</w:t>
      </w:r>
      <w:r>
        <w:rPr>
          <w:rFonts w:ascii="Times New Roman" w:hAnsi="Times New Roman"/>
          <w:snapToGrid/>
          <w:sz w:val="24"/>
          <w:szCs w:val="24"/>
        </w:rPr>
        <w:t>, unless</w:t>
      </w:r>
      <w:r>
        <w:rPr>
          <w:rFonts w:ascii="Times New Roman" w:hAnsi="Times New Roman"/>
          <w:snapToGrid/>
          <w:sz w:val="24"/>
          <w:szCs w:val="24"/>
        </w:rPr>
        <w:t xml:space="preserve"> a program has an alternative approved reporting mechanism</w:t>
      </w:r>
      <w:r w:rsidRPr="00D93FFB" w:rsidR="00B72322">
        <w:rPr>
          <w:rFonts w:ascii="Times New Roman" w:hAnsi="Times New Roman"/>
          <w:snapToGrid/>
          <w:sz w:val="24"/>
          <w:szCs w:val="24"/>
        </w:rPr>
        <w:t>.</w:t>
      </w:r>
      <w:r w:rsidRPr="00D93FFB" w:rsidR="00B863AB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Non-discretionary programs currently require performance progress reports on a program-by-program basis based on the individual program statutes and regulations.  </w:t>
      </w:r>
    </w:p>
    <w:p w:rsidR="008651D8" w:rsidP="008243FB" w14:paraId="4B68C9BA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0A60CA" w:rsidP="008243FB" w14:paraId="29BEEB1A" w14:textId="13690FE9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Program</w:t>
      </w:r>
      <w:r w:rsidRPr="00D93FFB" w:rsidR="0087117B">
        <w:rPr>
          <w:rFonts w:ascii="Times New Roman" w:hAnsi="Times New Roman"/>
          <w:snapToGrid/>
          <w:sz w:val="24"/>
          <w:szCs w:val="24"/>
        </w:rPr>
        <w:t xml:space="preserve"> office</w:t>
      </w:r>
      <w:r w:rsidRPr="00D93FFB">
        <w:rPr>
          <w:rFonts w:ascii="Times New Roman" w:hAnsi="Times New Roman"/>
          <w:snapToGrid/>
          <w:sz w:val="24"/>
          <w:szCs w:val="24"/>
        </w:rPr>
        <w:t>s that decide to develop standardized performance measures for their program can</w:t>
      </w:r>
      <w:r w:rsidRPr="00D93FFB" w:rsidR="001F4FFA">
        <w:rPr>
          <w:rFonts w:ascii="Times New Roman" w:hAnsi="Times New Roman"/>
          <w:snapToGrid/>
          <w:sz w:val="24"/>
          <w:szCs w:val="24"/>
        </w:rPr>
        <w:t xml:space="preserve"> submit the program-specific PPR</w:t>
      </w:r>
      <w:r w:rsidR="008651D8">
        <w:rPr>
          <w:rFonts w:ascii="Times New Roman" w:hAnsi="Times New Roman"/>
          <w:snapToGrid/>
          <w:sz w:val="24"/>
          <w:szCs w:val="24"/>
        </w:rPr>
        <w:t xml:space="preserve"> for review and approval under this umbrella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generic clearance. </w:t>
      </w:r>
      <w:r w:rsidRPr="00D93FFB" w:rsidR="001F4FFA">
        <w:rPr>
          <w:rFonts w:ascii="Times New Roman" w:hAnsi="Times New Roman"/>
          <w:snapToGrid/>
          <w:sz w:val="24"/>
          <w:szCs w:val="24"/>
        </w:rPr>
        <w:t>In those specific instances where approval is granted, t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he program-specific PPR will be used by </w:t>
      </w:r>
      <w:r w:rsidR="00BA1F13">
        <w:rPr>
          <w:rFonts w:ascii="Times New Roman" w:hAnsi="Times New Roman"/>
          <w:snapToGrid/>
          <w:sz w:val="24"/>
          <w:szCs w:val="24"/>
        </w:rPr>
        <w:t>recipients</w:t>
      </w:r>
      <w:r w:rsidRPr="00D93FFB" w:rsidR="00BA1F13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for </w:t>
      </w:r>
      <w:r w:rsidR="00456467">
        <w:rPr>
          <w:rFonts w:ascii="Times New Roman" w:hAnsi="Times New Roman"/>
          <w:snapToGrid/>
          <w:sz w:val="24"/>
          <w:szCs w:val="24"/>
        </w:rPr>
        <w:t xml:space="preserve">additional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periodic reports. </w:t>
      </w:r>
      <w:r w:rsidR="00225651">
        <w:rPr>
          <w:rFonts w:ascii="Times New Roman" w:hAnsi="Times New Roman"/>
          <w:snapToGrid/>
          <w:sz w:val="24"/>
          <w:szCs w:val="24"/>
        </w:rPr>
        <w:t xml:space="preserve">Submission of reports under the program-specific PPRs </w:t>
      </w:r>
      <w:r w:rsidR="006F50E2">
        <w:rPr>
          <w:rFonts w:ascii="Times New Roman" w:hAnsi="Times New Roman"/>
          <w:snapToGrid/>
          <w:sz w:val="24"/>
          <w:szCs w:val="24"/>
        </w:rPr>
        <w:t>will b</w:t>
      </w:r>
      <w:r w:rsidR="00225651">
        <w:rPr>
          <w:rFonts w:ascii="Times New Roman" w:hAnsi="Times New Roman"/>
          <w:snapToGrid/>
          <w:sz w:val="24"/>
          <w:szCs w:val="24"/>
        </w:rPr>
        <w:t>e required to retain a benefit (i</w:t>
      </w:r>
      <w:r w:rsidR="003B41F7">
        <w:rPr>
          <w:rFonts w:ascii="Times New Roman" w:hAnsi="Times New Roman"/>
          <w:snapToGrid/>
          <w:sz w:val="24"/>
          <w:szCs w:val="24"/>
        </w:rPr>
        <w:t>.</w:t>
      </w:r>
      <w:r w:rsidR="00225651">
        <w:rPr>
          <w:rFonts w:ascii="Times New Roman" w:hAnsi="Times New Roman"/>
          <w:snapToGrid/>
          <w:sz w:val="24"/>
          <w:szCs w:val="24"/>
        </w:rPr>
        <w:t>e.</w:t>
      </w:r>
      <w:r w:rsidR="003B41F7">
        <w:rPr>
          <w:rFonts w:ascii="Times New Roman" w:hAnsi="Times New Roman"/>
          <w:snapToGrid/>
          <w:sz w:val="24"/>
          <w:szCs w:val="24"/>
        </w:rPr>
        <w:t>,</w:t>
      </w:r>
      <w:r w:rsidR="00225651">
        <w:rPr>
          <w:rFonts w:ascii="Times New Roman" w:hAnsi="Times New Roman"/>
          <w:snapToGrid/>
          <w:sz w:val="24"/>
          <w:szCs w:val="24"/>
        </w:rPr>
        <w:t xml:space="preserve"> the ACF </w:t>
      </w:r>
      <w:r w:rsidR="00BA1F13">
        <w:rPr>
          <w:rFonts w:ascii="Times New Roman" w:hAnsi="Times New Roman"/>
          <w:snapToGrid/>
          <w:sz w:val="24"/>
          <w:szCs w:val="24"/>
        </w:rPr>
        <w:t>award</w:t>
      </w:r>
      <w:r w:rsidR="00225651">
        <w:rPr>
          <w:rFonts w:ascii="Times New Roman" w:hAnsi="Times New Roman"/>
          <w:snapToGrid/>
          <w:sz w:val="24"/>
          <w:szCs w:val="24"/>
        </w:rPr>
        <w:t>)</w:t>
      </w:r>
      <w:r w:rsidR="00B35211">
        <w:rPr>
          <w:rFonts w:ascii="Times New Roman" w:hAnsi="Times New Roman"/>
          <w:snapToGrid/>
          <w:sz w:val="24"/>
          <w:szCs w:val="24"/>
        </w:rPr>
        <w:t xml:space="preserve"> (</w:t>
      </w:r>
      <w:r w:rsidRPr="00B35211" w:rsidR="00B35211">
        <w:rPr>
          <w:rFonts w:ascii="Times New Roman" w:hAnsi="Times New Roman"/>
          <w:snapToGrid/>
          <w:sz w:val="24"/>
          <w:szCs w:val="24"/>
        </w:rPr>
        <w:t xml:space="preserve">45 CFR 75.342, 45 CFR 75.301, </w:t>
      </w:r>
      <w:r w:rsidRPr="00702740" w:rsidR="00B35211">
        <w:rPr>
          <w:rFonts w:ascii="Times New Roman" w:hAnsi="Times New Roman"/>
          <w:sz w:val="24"/>
          <w:szCs w:val="24"/>
        </w:rPr>
        <w:t>Pub.L</w:t>
      </w:r>
      <w:r w:rsidRPr="00702740" w:rsidR="00B35211">
        <w:rPr>
          <w:rFonts w:ascii="Times New Roman" w:hAnsi="Times New Roman"/>
          <w:sz w:val="24"/>
          <w:szCs w:val="24"/>
        </w:rPr>
        <w:t>. 111-352, Sec</w:t>
      </w:r>
      <w:r w:rsidRPr="00702740" w:rsidR="006F50E2">
        <w:rPr>
          <w:rFonts w:ascii="Times New Roman" w:hAnsi="Times New Roman"/>
          <w:sz w:val="24"/>
          <w:szCs w:val="24"/>
        </w:rPr>
        <w:t> </w:t>
      </w:r>
      <w:r w:rsidRPr="008651D8" w:rsidR="006F50E2">
        <w:rPr>
          <w:rFonts w:ascii="Times New Roman" w:hAnsi="Times New Roman"/>
          <w:sz w:val="24"/>
          <w:szCs w:val="24"/>
        </w:rPr>
        <w:t>12</w:t>
      </w:r>
      <w:r w:rsidRPr="008651D8" w:rsidR="008651D8">
        <w:rPr>
          <w:rFonts w:ascii="Times New Roman" w:hAnsi="Times New Roman"/>
          <w:sz w:val="24"/>
          <w:szCs w:val="24"/>
        </w:rPr>
        <w:t>, 45 CFR Part 96-Block Grants</w:t>
      </w:r>
      <w:r w:rsidRPr="008651D8" w:rsidR="00B35211">
        <w:rPr>
          <w:rFonts w:ascii="Times New Roman" w:hAnsi="Times New Roman"/>
          <w:sz w:val="24"/>
          <w:szCs w:val="24"/>
        </w:rPr>
        <w:t>)</w:t>
      </w:r>
      <w:r w:rsidRPr="008651D8" w:rsidR="00225651">
        <w:rPr>
          <w:rFonts w:ascii="Times New Roman" w:hAnsi="Times New Roman"/>
          <w:snapToGrid/>
          <w:sz w:val="24"/>
          <w:szCs w:val="24"/>
        </w:rPr>
        <w:t>.</w:t>
      </w:r>
      <w:r w:rsidRPr="008651D8" w:rsidR="00225651">
        <w:rPr>
          <w:rFonts w:ascii="Times New Roman" w:hAnsi="Times New Roman"/>
          <w:snapToGrid/>
          <w:sz w:val="32"/>
          <w:szCs w:val="32"/>
        </w:rPr>
        <w:t xml:space="preserve"> </w:t>
      </w:r>
    </w:p>
    <w:p w:rsidR="008243FB" w:rsidRPr="00D93FFB" w:rsidP="008243FB" w14:paraId="7056348E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0A60CA" w:rsidP="008243FB" w14:paraId="7B2930FB" w14:textId="566E7ED2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 xml:space="preserve">The program-specific </w:t>
      </w:r>
      <w:r w:rsidRPr="00D93FFB" w:rsidR="00045102">
        <w:rPr>
          <w:rFonts w:ascii="Times New Roman" w:hAnsi="Times New Roman"/>
          <w:snapToGrid/>
          <w:sz w:val="24"/>
          <w:szCs w:val="24"/>
        </w:rPr>
        <w:t>PPRs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will be uncontroversial</w:t>
      </w:r>
      <w:r w:rsidR="00456467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>
        <w:rPr>
          <w:rFonts w:ascii="Times New Roman" w:hAnsi="Times New Roman"/>
          <w:snapToGrid/>
          <w:sz w:val="24"/>
          <w:szCs w:val="24"/>
        </w:rPr>
        <w:t>and provide a significant benefit</w:t>
      </w:r>
      <w:r w:rsidRPr="00D93FFB" w:rsidR="001F4FFA">
        <w:rPr>
          <w:rFonts w:ascii="Times New Roman" w:hAnsi="Times New Roman"/>
          <w:snapToGrid/>
          <w:sz w:val="24"/>
          <w:szCs w:val="24"/>
        </w:rPr>
        <w:t xml:space="preserve"> and ensure </w:t>
      </w:r>
      <w:r w:rsidR="00456467">
        <w:rPr>
          <w:rFonts w:ascii="Times New Roman" w:hAnsi="Times New Roman"/>
          <w:snapToGrid/>
          <w:sz w:val="24"/>
          <w:szCs w:val="24"/>
        </w:rPr>
        <w:t>f</w:t>
      </w:r>
      <w:r w:rsidRPr="00D93FFB" w:rsidR="00456467">
        <w:rPr>
          <w:rFonts w:ascii="Times New Roman" w:hAnsi="Times New Roman"/>
          <w:snapToGrid/>
          <w:sz w:val="24"/>
          <w:szCs w:val="24"/>
        </w:rPr>
        <w:t xml:space="preserve">ederal </w:t>
      </w:r>
      <w:r w:rsidRPr="00D93FFB" w:rsidR="001F4FFA">
        <w:rPr>
          <w:rFonts w:ascii="Times New Roman" w:hAnsi="Times New Roman"/>
          <w:snapToGrid/>
          <w:sz w:val="24"/>
          <w:szCs w:val="24"/>
        </w:rPr>
        <w:t xml:space="preserve">stewardship and oversight of </w:t>
      </w:r>
      <w:r w:rsidR="00456467">
        <w:rPr>
          <w:rFonts w:ascii="Times New Roman" w:hAnsi="Times New Roman"/>
          <w:snapToGrid/>
          <w:sz w:val="24"/>
          <w:szCs w:val="24"/>
        </w:rPr>
        <w:t>funding recipient</w:t>
      </w:r>
      <w:r w:rsidRPr="00D93FFB" w:rsidR="00456467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1F4FFA">
        <w:rPr>
          <w:rFonts w:ascii="Times New Roman" w:hAnsi="Times New Roman"/>
          <w:snapToGrid/>
          <w:sz w:val="24"/>
          <w:szCs w:val="24"/>
        </w:rPr>
        <w:t>activities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. </w:t>
      </w:r>
      <w:r w:rsidR="00AD7414">
        <w:rPr>
          <w:rFonts w:ascii="Times New Roman" w:hAnsi="Times New Roman"/>
          <w:snapToGrid/>
          <w:sz w:val="24"/>
          <w:szCs w:val="24"/>
        </w:rPr>
        <w:t xml:space="preserve">While submission of these reports is required, </w:t>
      </w:r>
      <w:r w:rsidRPr="00D93FFB">
        <w:rPr>
          <w:rFonts w:ascii="Times New Roman" w:hAnsi="Times New Roman"/>
          <w:snapToGrid/>
          <w:sz w:val="24"/>
          <w:szCs w:val="24"/>
        </w:rPr>
        <w:t>applying for a grant is a voluntary activity.</w:t>
      </w:r>
      <w:r w:rsidR="008A23D5">
        <w:rPr>
          <w:rFonts w:ascii="Times New Roman" w:hAnsi="Times New Roman"/>
          <w:snapToGrid/>
          <w:sz w:val="24"/>
          <w:szCs w:val="24"/>
        </w:rPr>
        <w:t xml:space="preserve">  ACF includes information about </w:t>
      </w:r>
      <w:r w:rsidRPr="00D93FFB" w:rsidR="008A23D5">
        <w:rPr>
          <w:rFonts w:ascii="Times New Roman" w:hAnsi="Times New Roman"/>
          <w:snapToGrid/>
          <w:sz w:val="24"/>
          <w:szCs w:val="24"/>
        </w:rPr>
        <w:t>performance and progress data</w:t>
      </w:r>
      <w:r w:rsidR="008A23D5">
        <w:rPr>
          <w:rFonts w:ascii="Times New Roman" w:hAnsi="Times New Roman"/>
          <w:snapToGrid/>
          <w:sz w:val="24"/>
          <w:szCs w:val="24"/>
        </w:rPr>
        <w:t xml:space="preserve"> that will be expected in all</w:t>
      </w:r>
      <w:r w:rsidRPr="00D93FFB" w:rsidR="008A23D5">
        <w:rPr>
          <w:rFonts w:ascii="Times New Roman" w:hAnsi="Times New Roman"/>
          <w:snapToGrid/>
          <w:sz w:val="24"/>
          <w:szCs w:val="24"/>
        </w:rPr>
        <w:t xml:space="preserve"> </w:t>
      </w:r>
      <w:r w:rsidR="000C6714">
        <w:rPr>
          <w:rFonts w:ascii="Times New Roman" w:hAnsi="Times New Roman"/>
          <w:snapToGrid/>
          <w:sz w:val="24"/>
          <w:szCs w:val="24"/>
        </w:rPr>
        <w:t xml:space="preserve">notices of funding, for example in </w:t>
      </w:r>
      <w:r w:rsidR="008A23D5">
        <w:rPr>
          <w:rFonts w:ascii="Times New Roman" w:hAnsi="Times New Roman"/>
          <w:snapToGrid/>
          <w:sz w:val="24"/>
          <w:szCs w:val="24"/>
        </w:rPr>
        <w:t>NOFOs</w:t>
      </w:r>
      <w:r w:rsidR="00F83EA9">
        <w:rPr>
          <w:rFonts w:ascii="Times New Roman" w:hAnsi="Times New Roman"/>
          <w:snapToGrid/>
          <w:sz w:val="24"/>
          <w:szCs w:val="24"/>
        </w:rPr>
        <w:t>, Terms and Conditions, and/or</w:t>
      </w:r>
      <w:r w:rsidR="000C6714">
        <w:rPr>
          <w:rFonts w:ascii="Times New Roman" w:hAnsi="Times New Roman"/>
          <w:snapToGrid/>
          <w:sz w:val="24"/>
          <w:szCs w:val="24"/>
        </w:rPr>
        <w:t xml:space="preserve"> Action Transmittals</w:t>
      </w:r>
      <w:r w:rsidR="008A23D5">
        <w:rPr>
          <w:rFonts w:ascii="Times New Roman" w:hAnsi="Times New Roman"/>
          <w:snapToGrid/>
          <w:sz w:val="24"/>
          <w:szCs w:val="24"/>
        </w:rPr>
        <w:t>.</w:t>
      </w:r>
      <w:r w:rsidR="00F83EA9">
        <w:rPr>
          <w:rFonts w:ascii="Times New Roman" w:hAnsi="Times New Roman"/>
          <w:snapToGrid/>
          <w:sz w:val="24"/>
          <w:szCs w:val="24"/>
        </w:rPr>
        <w:t xml:space="preserve"> Requirements are also included in the governing statue and/or regulation, as applicable.</w:t>
      </w:r>
      <w:r w:rsidR="008A23D5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8243FB" w:rsidRPr="00D93FFB" w:rsidP="008243FB" w14:paraId="2E41F87A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0A60CA" w:rsidP="008243FB" w14:paraId="7649189F" w14:textId="33E63331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>Attachment B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includes the standard ACF-required PPR instrument with data elements. </w:t>
      </w:r>
    </w:p>
    <w:p w:rsidR="008243FB" w:rsidRPr="00D93FFB" w:rsidP="008243FB" w14:paraId="2146B499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4B6DE8" w14:paraId="7599C1AB" w14:textId="78707A55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A program-specific generic IC (</w:t>
      </w:r>
      <w:r w:rsidRPr="00D93FFB">
        <w:rPr>
          <w:rFonts w:ascii="Times New Roman" w:hAnsi="Times New Roman"/>
          <w:snapToGrid/>
          <w:sz w:val="24"/>
          <w:szCs w:val="24"/>
        </w:rPr>
        <w:t>GenIC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) will be submitted to OIRA for each </w:t>
      </w:r>
      <w:r w:rsidRPr="00D93FFB" w:rsidR="0091320B">
        <w:rPr>
          <w:rFonts w:ascii="Times New Roman" w:hAnsi="Times New Roman"/>
          <w:snapToGrid/>
          <w:sz w:val="24"/>
          <w:szCs w:val="24"/>
        </w:rPr>
        <w:t>individual request, along with the Generic PPR submission template (</w:t>
      </w:r>
      <w:r w:rsidRPr="00D93FFB">
        <w:rPr>
          <w:rFonts w:ascii="Times New Roman" w:hAnsi="Times New Roman"/>
          <w:b/>
          <w:snapToGrid/>
          <w:sz w:val="24"/>
          <w:szCs w:val="24"/>
        </w:rPr>
        <w:t>Attachment A</w:t>
      </w:r>
      <w:r w:rsidRPr="00D93FFB" w:rsidR="0091320B">
        <w:rPr>
          <w:rFonts w:ascii="Times New Roman" w:hAnsi="Times New Roman"/>
          <w:b/>
          <w:snapToGrid/>
          <w:sz w:val="24"/>
          <w:szCs w:val="24"/>
        </w:rPr>
        <w:t>).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E85226">
        <w:rPr>
          <w:rFonts w:ascii="Times New Roman" w:hAnsi="Times New Roman"/>
          <w:snapToGrid/>
          <w:sz w:val="24"/>
          <w:szCs w:val="24"/>
        </w:rPr>
        <w:t>GenICs</w:t>
      </w:r>
      <w:r w:rsidRPr="00D93FFB" w:rsidR="00E85226">
        <w:rPr>
          <w:rFonts w:ascii="Times New Roman" w:hAnsi="Times New Roman"/>
          <w:snapToGrid/>
          <w:sz w:val="24"/>
          <w:szCs w:val="24"/>
        </w:rPr>
        <w:t xml:space="preserve"> </w:t>
      </w:r>
      <w:r w:rsidR="009A39B1">
        <w:rPr>
          <w:rFonts w:ascii="Times New Roman" w:hAnsi="Times New Roman"/>
          <w:snapToGrid/>
          <w:sz w:val="24"/>
          <w:szCs w:val="24"/>
        </w:rPr>
        <w:t xml:space="preserve">currently </w:t>
      </w:r>
      <w:r w:rsidRPr="00D93FFB" w:rsidR="00E85226">
        <w:rPr>
          <w:rFonts w:ascii="Times New Roman" w:hAnsi="Times New Roman"/>
          <w:snapToGrid/>
          <w:sz w:val="24"/>
          <w:szCs w:val="24"/>
        </w:rPr>
        <w:t>approved a</w:t>
      </w:r>
      <w:r w:rsidRPr="00CC1B5C" w:rsidR="00E85226">
        <w:rPr>
          <w:rFonts w:ascii="Times New Roman" w:hAnsi="Times New Roman"/>
          <w:snapToGrid/>
          <w:sz w:val="24"/>
          <w:szCs w:val="24"/>
        </w:rPr>
        <w:t xml:space="preserve">re available for review on RegInfo.gov: </w:t>
      </w:r>
      <w:r w:rsidRPr="00CC1B5C" w:rsidR="00A7604E">
        <w:rPr>
          <w:rFonts w:ascii="Times New Roman" w:hAnsi="Times New Roman"/>
        </w:rPr>
        <w:t>https://www.reginfo.gov/public/do/PRAViewICR?ref_nbr=202301-0970-009.</w:t>
      </w:r>
      <w:hyperlink w:history="1"/>
    </w:p>
    <w:p w:rsidR="007E1599" w:rsidRPr="00D93FFB" w:rsidP="004B6DE8" w14:paraId="26A7C5A4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7E1599" w:rsidRPr="00D93FFB" w:rsidP="004B6DE8" w14:paraId="36C923A6" w14:textId="3A68DC47">
      <w:pPr>
        <w:widowControl/>
        <w:rPr>
          <w:rFonts w:ascii="Times New Roman" w:hAnsi="Times New Roman"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Some p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rogram offices </w:t>
      </w:r>
      <w:r w:rsidRPr="00D93FFB">
        <w:rPr>
          <w:rFonts w:ascii="Times New Roman" w:hAnsi="Times New Roman"/>
          <w:snapToGrid/>
          <w:sz w:val="24"/>
          <w:szCs w:val="24"/>
        </w:rPr>
        <w:t>may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use some of form of electronic collection.</w:t>
      </w:r>
      <w:r w:rsidRPr="00D93FFB" w:rsidR="003A4635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This </w:t>
      </w:r>
      <w:r w:rsidRPr="00D93FFB" w:rsidR="007849DF">
        <w:rPr>
          <w:rFonts w:ascii="Times New Roman" w:hAnsi="Times New Roman"/>
          <w:snapToGrid/>
          <w:sz w:val="24"/>
          <w:szCs w:val="24"/>
        </w:rPr>
        <w:t>could include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web page</w:t>
      </w:r>
      <w:r w:rsidRPr="00D93FFB" w:rsidR="007849DF">
        <w:rPr>
          <w:rFonts w:ascii="Times New Roman" w:hAnsi="Times New Roman"/>
          <w:snapToGrid/>
          <w:sz w:val="24"/>
          <w:szCs w:val="24"/>
        </w:rPr>
        <w:t>s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, </w:t>
      </w:r>
      <w:r w:rsidRPr="00D93FFB">
        <w:rPr>
          <w:rFonts w:ascii="Times New Roman" w:hAnsi="Times New Roman"/>
          <w:snapToGrid/>
          <w:sz w:val="24"/>
          <w:szCs w:val="24"/>
        </w:rPr>
        <w:t>email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or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other online data management systems. </w:t>
      </w:r>
      <w:r w:rsidR="00B51344">
        <w:rPr>
          <w:rFonts w:ascii="Times New Roman" w:hAnsi="Times New Roman"/>
          <w:snapToGrid/>
          <w:sz w:val="24"/>
          <w:szCs w:val="24"/>
        </w:rPr>
        <w:t>Recipients</w:t>
      </w:r>
      <w:r w:rsidRPr="00D93FFB" w:rsidR="00B51344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may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be required to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enter and retrieve information pertinent to their </w:t>
      </w:r>
      <w:r w:rsidR="00B51344">
        <w:rPr>
          <w:rFonts w:ascii="Times New Roman" w:hAnsi="Times New Roman"/>
          <w:snapToGrid/>
          <w:sz w:val="24"/>
          <w:szCs w:val="24"/>
        </w:rPr>
        <w:t>awards</w:t>
      </w:r>
      <w:r w:rsidRPr="00D93FFB" w:rsidR="00B51344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>
        <w:rPr>
          <w:rFonts w:ascii="Times New Roman" w:hAnsi="Times New Roman"/>
          <w:snapToGrid/>
          <w:sz w:val="24"/>
          <w:szCs w:val="24"/>
        </w:rPr>
        <w:t>through electronic forms closely resembling the paper forms</w:t>
      </w:r>
      <w:r w:rsidRPr="00D93FFB" w:rsidR="00670CED">
        <w:rPr>
          <w:rFonts w:ascii="Times New Roman" w:hAnsi="Times New Roman"/>
          <w:snapToGrid/>
          <w:sz w:val="24"/>
          <w:szCs w:val="24"/>
        </w:rPr>
        <w:t xml:space="preserve"> (i.e., fillable PDFs or 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tailored </w:t>
      </w:r>
      <w:r w:rsidRPr="00D93FFB" w:rsidR="00670CED">
        <w:rPr>
          <w:rFonts w:ascii="Times New Roman" w:hAnsi="Times New Roman"/>
          <w:snapToGrid/>
          <w:sz w:val="24"/>
          <w:szCs w:val="24"/>
        </w:rPr>
        <w:t>online data management systems)</w:t>
      </w:r>
      <w:r w:rsidRPr="00D93FFB">
        <w:rPr>
          <w:rFonts w:ascii="Times New Roman" w:hAnsi="Times New Roman"/>
          <w:snapToGrid/>
          <w:sz w:val="24"/>
          <w:szCs w:val="24"/>
        </w:rPr>
        <w:t>.</w:t>
      </w:r>
      <w:r w:rsidRPr="00D93FFB">
        <w:rPr>
          <w:rFonts w:ascii="Times New Roman" w:hAnsi="Times New Roman"/>
          <w:sz w:val="24"/>
          <w:szCs w:val="24"/>
        </w:rPr>
        <w:t xml:space="preserve"> Such technology support is expected to improve standardization and timeliness of </w:t>
      </w:r>
      <w:r w:rsidR="00B51344">
        <w:rPr>
          <w:rFonts w:ascii="Times New Roman" w:hAnsi="Times New Roman"/>
          <w:sz w:val="24"/>
          <w:szCs w:val="24"/>
        </w:rPr>
        <w:t xml:space="preserve">recipient </w:t>
      </w:r>
      <w:r w:rsidRPr="00D93FFB">
        <w:rPr>
          <w:rFonts w:ascii="Times New Roman" w:hAnsi="Times New Roman"/>
          <w:sz w:val="24"/>
          <w:szCs w:val="24"/>
        </w:rPr>
        <w:t>reporting and to ease further analyses of reported data.</w:t>
      </w:r>
    </w:p>
    <w:p w:rsidR="004B6DE8" w:rsidRPr="00D93FFB" w:rsidP="004B6DE8" w14:paraId="0C995D42" w14:textId="729B69F7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4B6DE8" w:rsidRPr="00D93FFB" w:rsidP="004B6DE8" w14:paraId="4F3D2363" w14:textId="77777777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7E1599" w:rsidRPr="00D93FFB" w:rsidP="004B6DE8" w14:paraId="5D696082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="007E1599" w:rsidRPr="00D93FFB" w:rsidP="004B6DE8" w14:paraId="2EA846D3" w14:textId="77837423">
      <w:pPr>
        <w:widowControl/>
        <w:jc w:val="both"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No similar data are available.</w:t>
      </w:r>
    </w:p>
    <w:p w:rsidR="004B6DE8" w:rsidRPr="00D93FFB" w:rsidP="004B6DE8" w14:paraId="090B677E" w14:textId="158DFB28">
      <w:pPr>
        <w:widowControl/>
        <w:jc w:val="both"/>
        <w:rPr>
          <w:rFonts w:ascii="Times New Roman" w:hAnsi="Times New Roman"/>
          <w:snapToGrid/>
          <w:sz w:val="24"/>
          <w:szCs w:val="24"/>
        </w:rPr>
      </w:pPr>
    </w:p>
    <w:p w:rsidR="004B6DE8" w:rsidRPr="00D93FFB" w:rsidP="004B6DE8" w14:paraId="02E8F1B8" w14:textId="77777777">
      <w:pPr>
        <w:widowControl/>
        <w:jc w:val="both"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4B6DE8" w14:paraId="2AF2CC4F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>Impact on Small Businesses or Other Small Entities</w:t>
      </w:r>
    </w:p>
    <w:p w:rsidR="007E1599" w:rsidRPr="00D93FFB" w:rsidP="004B6DE8" w14:paraId="3F94CCFD" w14:textId="3D8DDE8F">
      <w:pPr>
        <w:widowControl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These collections will not have adverse impact on small entities.</w:t>
      </w: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 </w:t>
      </w:r>
    </w:p>
    <w:p w:rsidR="004B6DE8" w:rsidRPr="00D93FFB" w:rsidP="004B6DE8" w14:paraId="069FEF11" w14:textId="40A324DC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4B6DE8" w:rsidRPr="00D93FFB" w:rsidP="004B6DE8" w14:paraId="4DC9E2EA" w14:textId="77777777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7E1599" w:rsidRPr="00D93FFB" w:rsidP="004B6DE8" w14:paraId="7F478291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7E1599" w:rsidRPr="00D93FFB" w:rsidP="004B6DE8" w14:paraId="551FDDBA" w14:textId="63D756D3">
      <w:pPr>
        <w:rPr>
          <w:rFonts w:ascii="Times New Roman" w:hAnsi="Times New Roman"/>
          <w:sz w:val="24"/>
          <w:szCs w:val="24"/>
        </w:rPr>
      </w:pPr>
      <w:r w:rsidRPr="00D93FFB">
        <w:rPr>
          <w:rFonts w:ascii="Times New Roman" w:hAnsi="Times New Roman"/>
          <w:sz w:val="24"/>
          <w:szCs w:val="24"/>
        </w:rPr>
        <w:t xml:space="preserve">ACF program offices may require reporting occur on a quarterly, </w:t>
      </w:r>
      <w:r w:rsidRPr="00D93FFB">
        <w:rPr>
          <w:rFonts w:ascii="Times New Roman" w:hAnsi="Times New Roman"/>
          <w:sz w:val="24"/>
          <w:szCs w:val="24"/>
        </w:rPr>
        <w:t>semi-annual</w:t>
      </w:r>
      <w:r w:rsidRPr="00D93FFB">
        <w:rPr>
          <w:rFonts w:ascii="Times New Roman" w:hAnsi="Times New Roman"/>
          <w:sz w:val="24"/>
          <w:szCs w:val="24"/>
        </w:rPr>
        <w:t xml:space="preserve"> or annual basis. </w:t>
      </w:r>
      <w:r w:rsidRPr="00D93FFB">
        <w:rPr>
          <w:rFonts w:ascii="Times New Roman" w:hAnsi="Times New Roman"/>
          <w:sz w:val="24"/>
          <w:szCs w:val="24"/>
        </w:rPr>
        <w:t xml:space="preserve">Less frequent submission would mean </w:t>
      </w:r>
      <w:r w:rsidR="009A39B1">
        <w:rPr>
          <w:rFonts w:ascii="Times New Roman" w:hAnsi="Times New Roman"/>
          <w:sz w:val="24"/>
          <w:szCs w:val="24"/>
        </w:rPr>
        <w:t>funding recipients</w:t>
      </w:r>
      <w:r w:rsidRPr="00D93FFB" w:rsidR="004B4155">
        <w:rPr>
          <w:rFonts w:ascii="Times New Roman" w:hAnsi="Times New Roman"/>
          <w:sz w:val="24"/>
          <w:szCs w:val="24"/>
        </w:rPr>
        <w:t xml:space="preserve"> provide </w:t>
      </w:r>
      <w:r w:rsidRPr="00D93FFB">
        <w:rPr>
          <w:rFonts w:ascii="Times New Roman" w:hAnsi="Times New Roman"/>
          <w:sz w:val="24"/>
          <w:szCs w:val="24"/>
        </w:rPr>
        <w:t>less current information on performance and progress</w:t>
      </w:r>
      <w:r w:rsidRPr="00D93FFB" w:rsidR="004B4155">
        <w:rPr>
          <w:rFonts w:ascii="Times New Roman" w:hAnsi="Times New Roman"/>
          <w:sz w:val="24"/>
          <w:szCs w:val="24"/>
        </w:rPr>
        <w:t xml:space="preserve"> </w:t>
      </w:r>
      <w:r w:rsidRPr="00D93FFB" w:rsidR="007849DF">
        <w:rPr>
          <w:rFonts w:ascii="Times New Roman" w:hAnsi="Times New Roman"/>
          <w:sz w:val="24"/>
          <w:szCs w:val="24"/>
        </w:rPr>
        <w:t>to ACF</w:t>
      </w:r>
      <w:r w:rsidRPr="00D93FFB">
        <w:rPr>
          <w:rFonts w:ascii="Times New Roman" w:hAnsi="Times New Roman"/>
          <w:sz w:val="24"/>
          <w:szCs w:val="24"/>
        </w:rPr>
        <w:t>.</w:t>
      </w:r>
      <w:r w:rsidRPr="00D93FFB" w:rsidR="00B863AB">
        <w:rPr>
          <w:rFonts w:ascii="Times New Roman" w:hAnsi="Times New Roman"/>
          <w:sz w:val="24"/>
          <w:szCs w:val="24"/>
        </w:rPr>
        <w:t xml:space="preserve"> </w:t>
      </w:r>
    </w:p>
    <w:p w:rsidR="004B6DE8" w:rsidP="004B6DE8" w14:paraId="55043222" w14:textId="3C8C0FF9">
      <w:pPr>
        <w:rPr>
          <w:rFonts w:ascii="Times New Roman" w:hAnsi="Times New Roman"/>
          <w:sz w:val="24"/>
          <w:szCs w:val="24"/>
        </w:rPr>
      </w:pPr>
    </w:p>
    <w:p w:rsidR="007D54BE" w:rsidRPr="00D93FFB" w:rsidP="004B6DE8" w14:paraId="644D9DBE" w14:textId="77777777">
      <w:pPr>
        <w:rPr>
          <w:rFonts w:ascii="Times New Roman" w:hAnsi="Times New Roman"/>
          <w:sz w:val="24"/>
          <w:szCs w:val="24"/>
        </w:rPr>
      </w:pPr>
    </w:p>
    <w:p w:rsidR="007E1599" w:rsidRPr="00D93FFB" w:rsidP="005F6D81" w14:paraId="4289FA04" w14:textId="77777777">
      <w:pPr>
        <w:widowControl/>
        <w:numPr>
          <w:ilvl w:val="0"/>
          <w:numId w:val="1"/>
        </w:numPr>
        <w:tabs>
          <w:tab w:val="left" w:pos="360"/>
          <w:tab w:val="clear" w:pos="720"/>
        </w:tabs>
        <w:spacing w:after="120"/>
        <w:ind w:left="0" w:firstLine="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="007E1599" w:rsidRPr="00D93FFB" w:rsidP="004B6DE8" w14:paraId="1280A290" w14:textId="487BB891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 xml:space="preserve">There are no special circumstances. </w:t>
      </w:r>
    </w:p>
    <w:p w:rsidR="005F6D81" w:rsidP="004B6DE8" w14:paraId="4D647F3F" w14:textId="69EDBC86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7604E" w:rsidRPr="00D93FFB" w:rsidP="004B6DE8" w14:paraId="606643E2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5F6D81" w14:paraId="6BE938F0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the Agency </w:t>
      </w:r>
    </w:p>
    <w:p w:rsidR="007849DF" w:rsidRPr="00D93FFB" w:rsidP="004B6DE8" w14:paraId="06486C63" w14:textId="308F582D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 w:rsidRPr="00D93FFB">
        <w:rPr>
          <w:rFonts w:ascii="Times New Roman" w:hAnsi="Times New Roman"/>
          <w:sz w:val="24"/>
          <w:szCs w:val="24"/>
        </w:rPr>
        <w:t>In accordance with the Paperwork Reduction Act of 1995 (Pub. L. 104-13) and Office of Management and Budget (OMB) regulations at 5 CFR Part 1320 (60 FR 44978, August 29, 1995), ACF published a notice in the Federal Register announcing the agency’s intention to request an OMB review of this information collection activity.</w:t>
      </w:r>
      <w:r w:rsidRPr="00D93FFB" w:rsidR="00B863AB">
        <w:rPr>
          <w:rFonts w:ascii="Times New Roman" w:hAnsi="Times New Roman"/>
          <w:sz w:val="24"/>
          <w:szCs w:val="24"/>
        </w:rPr>
        <w:t xml:space="preserve"> </w:t>
      </w:r>
      <w:r w:rsidRPr="00D93FFB">
        <w:rPr>
          <w:rFonts w:ascii="Times New Roman" w:hAnsi="Times New Roman"/>
          <w:sz w:val="24"/>
          <w:szCs w:val="24"/>
        </w:rPr>
        <w:t xml:space="preserve">This notice was published on </w:t>
      </w:r>
      <w:r w:rsidR="009A39B1">
        <w:rPr>
          <w:rFonts w:ascii="Times New Roman" w:hAnsi="Times New Roman"/>
          <w:sz w:val="24"/>
          <w:szCs w:val="24"/>
        </w:rPr>
        <w:t>July 6, 2022 (87 FR 40245</w:t>
      </w:r>
      <w:r w:rsidR="009A39B1">
        <w:rPr>
          <w:rFonts w:ascii="Times New Roman" w:hAnsi="Times New Roman"/>
          <w:sz w:val="24"/>
          <w:szCs w:val="24"/>
        </w:rPr>
        <w:t>)</w:t>
      </w:r>
      <w:r w:rsidRPr="00D93FFB">
        <w:rPr>
          <w:rFonts w:ascii="Times New Roman" w:hAnsi="Times New Roman"/>
          <w:sz w:val="24"/>
          <w:szCs w:val="24"/>
        </w:rPr>
        <w:t>, and</w:t>
      </w:r>
      <w:r w:rsidRPr="00D93FFB">
        <w:rPr>
          <w:rFonts w:ascii="Times New Roman" w:hAnsi="Times New Roman"/>
          <w:sz w:val="24"/>
          <w:szCs w:val="24"/>
        </w:rPr>
        <w:t xml:space="preserve"> provided a sixty-day period for public comment.</w:t>
      </w:r>
      <w:r w:rsidRPr="00D93FFB" w:rsidR="00B863AB">
        <w:rPr>
          <w:rFonts w:ascii="Times New Roman" w:hAnsi="Times New Roman"/>
          <w:sz w:val="24"/>
          <w:szCs w:val="24"/>
        </w:rPr>
        <w:t xml:space="preserve"> </w:t>
      </w:r>
      <w:r w:rsidRPr="00D93FFB">
        <w:rPr>
          <w:rFonts w:ascii="Times New Roman" w:hAnsi="Times New Roman"/>
          <w:sz w:val="24"/>
          <w:szCs w:val="24"/>
        </w:rPr>
        <w:t xml:space="preserve">During the notice and comment period, </w:t>
      </w:r>
      <w:r w:rsidRPr="00D93FFB" w:rsidR="005F6D81">
        <w:rPr>
          <w:rFonts w:ascii="Times New Roman" w:hAnsi="Times New Roman"/>
          <w:sz w:val="24"/>
          <w:szCs w:val="24"/>
        </w:rPr>
        <w:t>w</w:t>
      </w:r>
      <w:r w:rsidRPr="00D93FFB">
        <w:rPr>
          <w:rFonts w:ascii="Times New Roman" w:hAnsi="Times New Roman"/>
          <w:sz w:val="24"/>
          <w:szCs w:val="24"/>
        </w:rPr>
        <w:t xml:space="preserve">e did not receive comments. </w:t>
      </w:r>
    </w:p>
    <w:p w:rsidR="005F6D81" w:rsidRPr="00D93FFB" w:rsidP="004B6DE8" w14:paraId="628C54DC" w14:textId="3CA0718F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="005F6D81" w:rsidRPr="00D93FFB" w:rsidP="004B6DE8" w14:paraId="72315B87" w14:textId="77777777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="007E1599" w:rsidRPr="00D93FFB" w:rsidP="005F6D81" w14:paraId="02EE6979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="007E1599" w:rsidRPr="00D93FFB" w:rsidP="004B6DE8" w14:paraId="2F3CF62A" w14:textId="0E120738">
      <w:pPr>
        <w:widowControl/>
        <w:ind w:left="720" w:hanging="720"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There are no payments o</w:t>
      </w:r>
      <w:r w:rsidR="003B41F7">
        <w:rPr>
          <w:rFonts w:ascii="Times New Roman" w:hAnsi="Times New Roman"/>
          <w:snapToGrid/>
          <w:sz w:val="24"/>
          <w:szCs w:val="24"/>
        </w:rPr>
        <w:t>r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gifts to respondents.</w:t>
      </w:r>
    </w:p>
    <w:p w:rsidR="005F6D81" w:rsidP="004B6DE8" w14:paraId="63A07BA2" w14:textId="64AB9807">
      <w:pPr>
        <w:widowControl/>
        <w:ind w:left="720" w:hanging="720"/>
        <w:rPr>
          <w:rFonts w:ascii="Times New Roman" w:hAnsi="Times New Roman"/>
          <w:snapToGrid/>
          <w:sz w:val="24"/>
          <w:szCs w:val="24"/>
        </w:rPr>
      </w:pPr>
    </w:p>
    <w:p w:rsidR="00A7604E" w:rsidRPr="00D93FFB" w:rsidP="004B6DE8" w14:paraId="25F43696" w14:textId="77777777">
      <w:pPr>
        <w:widowControl/>
        <w:ind w:left="720" w:hanging="720"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5F6D81" w14:paraId="50BC83B2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="007E1599" w:rsidRPr="00D93FFB" w:rsidP="004B6DE8" w14:paraId="257B3FA1" w14:textId="767CF0A6">
      <w:pPr>
        <w:tabs>
          <w:tab w:val="left" w:pos="-720"/>
        </w:tabs>
        <w:suppressAutoHyphens/>
        <w:rPr>
          <w:rFonts w:ascii="Times New Roman" w:hAnsi="Times New Roman"/>
          <w:sz w:val="24"/>
          <w:szCs w:val="28"/>
        </w:rPr>
      </w:pPr>
      <w:r w:rsidRPr="00D93FFB">
        <w:rPr>
          <w:rFonts w:ascii="Times New Roman" w:hAnsi="Times New Roman"/>
          <w:sz w:val="24"/>
          <w:szCs w:val="28"/>
        </w:rPr>
        <w:t xml:space="preserve">We will protect respondents’ information </w:t>
      </w:r>
      <w:r w:rsidRPr="00D93FFB" w:rsidR="001F4FFA">
        <w:rPr>
          <w:rFonts w:ascii="Times New Roman" w:hAnsi="Times New Roman"/>
          <w:sz w:val="24"/>
          <w:szCs w:val="28"/>
        </w:rPr>
        <w:t xml:space="preserve">and data obtained </w:t>
      </w:r>
      <w:r w:rsidRPr="00D93FFB">
        <w:rPr>
          <w:rFonts w:ascii="Times New Roman" w:hAnsi="Times New Roman"/>
          <w:sz w:val="24"/>
          <w:szCs w:val="28"/>
        </w:rPr>
        <w:t>to the extent allowed by Federal law.</w:t>
      </w:r>
      <w:r w:rsidRPr="00D93FFB" w:rsidR="00045102">
        <w:rPr>
          <w:rFonts w:ascii="Times New Roman" w:hAnsi="Times New Roman"/>
          <w:sz w:val="24"/>
          <w:szCs w:val="28"/>
        </w:rPr>
        <w:t xml:space="preserve"> </w:t>
      </w:r>
      <w:r w:rsidRPr="00D93FFB" w:rsidR="00045102">
        <w:rPr>
          <w:rFonts w:ascii="Times New Roman" w:hAnsi="Times New Roman"/>
          <w:sz w:val="24"/>
          <w:szCs w:val="28"/>
        </w:rPr>
        <w:t xml:space="preserve">Additionally, all </w:t>
      </w:r>
      <w:r w:rsidR="00B51344">
        <w:rPr>
          <w:rFonts w:ascii="Times New Roman" w:hAnsi="Times New Roman"/>
          <w:sz w:val="24"/>
          <w:szCs w:val="28"/>
        </w:rPr>
        <w:t>funding recipients</w:t>
      </w:r>
      <w:r w:rsidRPr="00D93FFB" w:rsidR="00045102">
        <w:rPr>
          <w:rFonts w:ascii="Times New Roman" w:hAnsi="Times New Roman"/>
          <w:sz w:val="24"/>
          <w:szCs w:val="28"/>
        </w:rPr>
        <w:t xml:space="preserve"> must adhere to 45 CFR § 75.303 (e) to take reasonable measures to safeguard protected personally identifiable information of program participants.</w:t>
      </w:r>
      <w:r w:rsidRPr="00D93FFB" w:rsidR="00B863AB">
        <w:rPr>
          <w:rFonts w:ascii="Times New Roman" w:hAnsi="Times New Roman"/>
          <w:sz w:val="24"/>
          <w:szCs w:val="28"/>
        </w:rPr>
        <w:t xml:space="preserve"> </w:t>
      </w:r>
    </w:p>
    <w:p w:rsidR="005F6D81" w:rsidRPr="00D93FFB" w:rsidP="004B6DE8" w14:paraId="4BB78246" w14:textId="5A0D874D">
      <w:pPr>
        <w:tabs>
          <w:tab w:val="left" w:pos="-720"/>
        </w:tabs>
        <w:suppressAutoHyphens/>
        <w:rPr>
          <w:rFonts w:ascii="Times New Roman" w:hAnsi="Times New Roman"/>
          <w:sz w:val="24"/>
          <w:szCs w:val="28"/>
        </w:rPr>
      </w:pPr>
    </w:p>
    <w:p w:rsidR="005F6D81" w:rsidRPr="00D93FFB" w:rsidP="004B6DE8" w14:paraId="540C86F0" w14:textId="77777777">
      <w:pPr>
        <w:tabs>
          <w:tab w:val="left" w:pos="-720"/>
        </w:tabs>
        <w:suppressAutoHyphens/>
        <w:rPr>
          <w:rFonts w:ascii="Times New Roman" w:hAnsi="Times New Roman"/>
          <w:sz w:val="24"/>
          <w:szCs w:val="28"/>
        </w:rPr>
      </w:pPr>
    </w:p>
    <w:p w:rsidR="007E1599" w:rsidRPr="00D93FFB" w:rsidP="005F6D81" w14:paraId="0444D4CA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A7604E" w:rsidRPr="00A7604E" w:rsidP="004B6DE8" w14:paraId="1D5E9278" w14:textId="46F66E80">
      <w:pPr>
        <w:widowControl/>
        <w:rPr>
          <w:rFonts w:ascii="Times New Roman" w:hAnsi="Times New Roman"/>
          <w:sz w:val="24"/>
          <w:szCs w:val="24"/>
        </w:rPr>
      </w:pPr>
      <w:r w:rsidRPr="00A7604E">
        <w:rPr>
          <w:rFonts w:ascii="Times New Roman" w:hAnsi="Times New Roman"/>
          <w:snapToGrid/>
          <w:sz w:val="24"/>
          <w:szCs w:val="24"/>
        </w:rPr>
        <w:t>ACF may request grantees provide information on data</w:t>
      </w:r>
      <w:r>
        <w:rPr>
          <w:rFonts w:ascii="Times New Roman" w:hAnsi="Times New Roman"/>
          <w:snapToGrid/>
          <w:sz w:val="24"/>
          <w:szCs w:val="24"/>
        </w:rPr>
        <w:t xml:space="preserve"> that may </w:t>
      </w:r>
      <w:r>
        <w:rPr>
          <w:rFonts w:ascii="Times New Roman" w:hAnsi="Times New Roman"/>
          <w:snapToGrid/>
          <w:sz w:val="24"/>
          <w:szCs w:val="24"/>
        </w:rPr>
        <w:t>be considered to be</w:t>
      </w:r>
      <w:r>
        <w:rPr>
          <w:rFonts w:ascii="Times New Roman" w:hAnsi="Times New Roman"/>
          <w:snapToGrid/>
          <w:sz w:val="24"/>
          <w:szCs w:val="24"/>
        </w:rPr>
        <w:t xml:space="preserve"> sensitive in nature. For example, data about </w:t>
      </w:r>
      <w:r w:rsidRPr="00A7604E">
        <w:rPr>
          <w:rFonts w:ascii="Times New Roman" w:hAnsi="Times New Roman"/>
          <w:snapToGrid/>
          <w:sz w:val="24"/>
          <w:szCs w:val="24"/>
        </w:rPr>
        <w:t xml:space="preserve">gender identity </w:t>
      </w:r>
      <w:r>
        <w:rPr>
          <w:rFonts w:ascii="Times New Roman" w:hAnsi="Times New Roman"/>
          <w:snapToGrid/>
          <w:sz w:val="24"/>
          <w:szCs w:val="24"/>
        </w:rPr>
        <w:t>or other similar data to support</w:t>
      </w:r>
      <w:r w:rsidRPr="00A7604E">
        <w:rPr>
          <w:rFonts w:ascii="Times New Roman" w:hAnsi="Times New Roman"/>
          <w:snapToGrid/>
          <w:sz w:val="24"/>
          <w:szCs w:val="24"/>
        </w:rPr>
        <w:t xml:space="preserve"> </w:t>
      </w:r>
      <w:r w:rsidRPr="00A7604E">
        <w:rPr>
          <w:rFonts w:ascii="Times New Roman" w:hAnsi="Times New Roman"/>
          <w:sz w:val="24"/>
          <w:szCs w:val="24"/>
        </w:rPr>
        <w:t>an ACF-wide focus on equity</w:t>
      </w:r>
      <w:r>
        <w:rPr>
          <w:rFonts w:ascii="Times New Roman" w:hAnsi="Times New Roman"/>
          <w:sz w:val="24"/>
          <w:szCs w:val="24"/>
        </w:rPr>
        <w:t xml:space="preserve"> may be requested. This will most commonly be done in aggregate</w:t>
      </w:r>
      <w:r w:rsidRPr="00A7604E">
        <w:rPr>
          <w:rFonts w:ascii="Times New Roman" w:hAnsi="Times New Roman"/>
          <w:sz w:val="24"/>
          <w:szCs w:val="24"/>
        </w:rPr>
        <w:t xml:space="preserve">. This information will allow ACF to understand if and how specific groups are being offered services and to provide support to grantees, as needed. Each </w:t>
      </w:r>
      <w:r w:rsidRPr="00A7604E">
        <w:rPr>
          <w:rFonts w:ascii="Times New Roman" w:hAnsi="Times New Roman"/>
          <w:sz w:val="24"/>
          <w:szCs w:val="24"/>
        </w:rPr>
        <w:t>GenIC</w:t>
      </w:r>
      <w:r w:rsidRPr="00A7604E">
        <w:rPr>
          <w:rFonts w:ascii="Times New Roman" w:hAnsi="Times New Roman"/>
          <w:sz w:val="24"/>
          <w:szCs w:val="24"/>
        </w:rPr>
        <w:t xml:space="preserve"> will provide information about any data elements that may be considered sensitive. </w:t>
      </w:r>
    </w:p>
    <w:p w:rsidR="00A7604E" w:rsidRPr="00A7604E" w:rsidP="004B6DE8" w14:paraId="56026DA1" w14:textId="77777777">
      <w:pPr>
        <w:widowControl/>
        <w:rPr>
          <w:rFonts w:ascii="Times New Roman" w:hAnsi="Times New Roman"/>
          <w:sz w:val="24"/>
          <w:szCs w:val="24"/>
        </w:rPr>
      </w:pPr>
    </w:p>
    <w:p w:rsidR="007E1599" w:rsidRPr="00A7604E" w:rsidP="004B6DE8" w14:paraId="5FA3FFEE" w14:textId="5025D252">
      <w:pPr>
        <w:widowControl/>
        <w:rPr>
          <w:rFonts w:ascii="Times New Roman" w:hAnsi="Times New Roman"/>
          <w:sz w:val="24"/>
          <w:szCs w:val="24"/>
        </w:rPr>
      </w:pPr>
      <w:r w:rsidRPr="00A7604E">
        <w:rPr>
          <w:rFonts w:ascii="Times New Roman" w:hAnsi="Times New Roman"/>
          <w:sz w:val="24"/>
          <w:szCs w:val="24"/>
        </w:rPr>
        <w:t>A</w:t>
      </w:r>
      <w:r w:rsidRPr="00A7604E" w:rsidR="004B4155">
        <w:rPr>
          <w:rFonts w:ascii="Times New Roman" w:hAnsi="Times New Roman"/>
          <w:sz w:val="24"/>
          <w:szCs w:val="24"/>
        </w:rPr>
        <w:t>s noted in the previous section, a</w:t>
      </w:r>
      <w:r w:rsidRPr="00A7604E">
        <w:rPr>
          <w:rFonts w:ascii="Times New Roman" w:hAnsi="Times New Roman"/>
          <w:sz w:val="24"/>
          <w:szCs w:val="24"/>
        </w:rPr>
        <w:t xml:space="preserve">ll </w:t>
      </w:r>
      <w:r w:rsidRPr="00A7604E" w:rsidR="00B51344">
        <w:rPr>
          <w:rFonts w:ascii="Times New Roman" w:hAnsi="Times New Roman"/>
          <w:sz w:val="24"/>
          <w:szCs w:val="24"/>
        </w:rPr>
        <w:t>funding recipients</w:t>
      </w:r>
      <w:r w:rsidRPr="00A7604E">
        <w:rPr>
          <w:rFonts w:ascii="Times New Roman" w:hAnsi="Times New Roman"/>
          <w:sz w:val="24"/>
          <w:szCs w:val="24"/>
        </w:rPr>
        <w:t xml:space="preserve"> must adhere to 45 CFR § 75.303 (e) to take reasonable measures to safeguard protected personally identifiable information of program participants.</w:t>
      </w:r>
      <w:r w:rsidRPr="00A7604E" w:rsidR="00B863AB">
        <w:rPr>
          <w:rFonts w:ascii="Times New Roman" w:hAnsi="Times New Roman"/>
          <w:sz w:val="24"/>
          <w:szCs w:val="24"/>
        </w:rPr>
        <w:t xml:space="preserve"> </w:t>
      </w:r>
    </w:p>
    <w:p w:rsidR="005F6D81" w:rsidRPr="00D93FFB" w:rsidP="004B6DE8" w14:paraId="73284EFA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4B6DE8" w14:paraId="319E304B" w14:textId="77777777">
      <w:pPr>
        <w:widowControl/>
        <w:ind w:left="720"/>
        <w:rPr>
          <w:rFonts w:ascii="Times New Roman" w:hAnsi="Times New Roman"/>
          <w:b/>
          <w:snapToGrid/>
          <w:sz w:val="24"/>
          <w:szCs w:val="24"/>
        </w:rPr>
      </w:pPr>
    </w:p>
    <w:p w:rsidR="007E1599" w:rsidRPr="00D93FFB" w:rsidP="00F743EA" w14:paraId="1CAF7721" w14:textId="7AC4AAFB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="004A397A" w:rsidRPr="00685198" w:rsidP="004A397A" w14:paraId="68FACA44" w14:textId="683C056E">
      <w:pPr>
        <w:rPr>
          <w:rFonts w:ascii="Times New Roman" w:hAnsi="Times New Roman"/>
          <w:b/>
          <w:bCs/>
          <w:sz w:val="24"/>
          <w:szCs w:val="24"/>
        </w:rPr>
      </w:pPr>
      <w:r w:rsidRPr="00685198">
        <w:rPr>
          <w:rFonts w:ascii="Times New Roman" w:hAnsi="Times New Roman"/>
          <w:b/>
          <w:bCs/>
          <w:sz w:val="24"/>
          <w:szCs w:val="24"/>
        </w:rPr>
        <w:t>Total burden, including previously approved collections that are ongoing in addition to requested burden over the</w:t>
      </w:r>
      <w:r w:rsidRPr="00685198" w:rsidR="002928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5198">
        <w:rPr>
          <w:rFonts w:ascii="Times New Roman" w:hAnsi="Times New Roman"/>
          <w:b/>
          <w:bCs/>
          <w:sz w:val="24"/>
          <w:szCs w:val="24"/>
        </w:rPr>
        <w:t>next three years is</w:t>
      </w:r>
      <w:r w:rsidRPr="00685198" w:rsidR="00C139C4">
        <w:rPr>
          <w:rFonts w:ascii="Times New Roman" w:hAnsi="Times New Roman"/>
          <w:b/>
          <w:bCs/>
          <w:sz w:val="24"/>
          <w:szCs w:val="24"/>
        </w:rPr>
        <w:t xml:space="preserve"> 19,455</w:t>
      </w:r>
      <w:r w:rsidRPr="00685198">
        <w:rPr>
          <w:rFonts w:ascii="Times New Roman" w:hAnsi="Times New Roman"/>
          <w:b/>
          <w:bCs/>
          <w:sz w:val="24"/>
          <w:szCs w:val="24"/>
        </w:rPr>
        <w:t xml:space="preserve"> hours (</w:t>
      </w:r>
      <w:r w:rsidRPr="00685198" w:rsidR="00C139C4">
        <w:rPr>
          <w:rFonts w:ascii="Times New Roman" w:hAnsi="Times New Roman"/>
          <w:b/>
          <w:bCs/>
          <w:sz w:val="24"/>
          <w:szCs w:val="24"/>
        </w:rPr>
        <w:t>3,255</w:t>
      </w:r>
      <w:r w:rsidRPr="00685198">
        <w:rPr>
          <w:rFonts w:ascii="Times New Roman" w:hAnsi="Times New Roman"/>
          <w:b/>
          <w:bCs/>
          <w:sz w:val="24"/>
          <w:szCs w:val="24"/>
        </w:rPr>
        <w:t xml:space="preserve"> + </w:t>
      </w:r>
      <w:r w:rsidRPr="00685198" w:rsidR="00C139C4">
        <w:rPr>
          <w:rFonts w:ascii="Times New Roman" w:hAnsi="Times New Roman"/>
          <w:b/>
          <w:bCs/>
          <w:sz w:val="24"/>
          <w:szCs w:val="24"/>
        </w:rPr>
        <w:t>16,200</w:t>
      </w:r>
      <w:r w:rsidRPr="00685198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685198" w:rsidR="00C139C4">
        <w:rPr>
          <w:rFonts w:ascii="Times New Roman" w:hAnsi="Times New Roman"/>
          <w:b/>
          <w:bCs/>
          <w:sz w:val="24"/>
          <w:szCs w:val="24"/>
        </w:rPr>
        <w:t>19,455</w:t>
      </w:r>
      <w:r w:rsidRPr="00685198">
        <w:rPr>
          <w:rFonts w:ascii="Times New Roman" w:hAnsi="Times New Roman"/>
          <w:b/>
          <w:bCs/>
          <w:sz w:val="24"/>
          <w:szCs w:val="24"/>
        </w:rPr>
        <w:t xml:space="preserve">). </w:t>
      </w:r>
    </w:p>
    <w:p w:rsidR="004A397A" w:rsidRPr="00D93FFB" w:rsidP="004A397A" w14:paraId="782E7B26" w14:textId="77777777">
      <w:pPr>
        <w:rPr>
          <w:rFonts w:ascii="Times New Roman" w:hAnsi="Times New Roman"/>
          <w:sz w:val="24"/>
          <w:szCs w:val="24"/>
        </w:rPr>
      </w:pPr>
    </w:p>
    <w:p w:rsidR="004A397A" w:rsidRPr="00D93FFB" w:rsidP="00A7604E" w14:paraId="2A3768F3" w14:textId="0DF4AAFE">
      <w:pPr>
        <w:spacing w:after="60"/>
        <w:rPr>
          <w:rFonts w:ascii="Times New Roman" w:hAnsi="Times New Roman"/>
          <w:b/>
          <w:i/>
          <w:sz w:val="24"/>
          <w:szCs w:val="24"/>
        </w:rPr>
      </w:pPr>
      <w:r w:rsidRPr="00D93FFB">
        <w:rPr>
          <w:rFonts w:ascii="Times New Roman" w:hAnsi="Times New Roman"/>
          <w:b/>
          <w:i/>
          <w:sz w:val="24"/>
          <w:szCs w:val="24"/>
        </w:rPr>
        <w:t>Previously Approved and Ongoing</w:t>
      </w:r>
      <w:r w:rsidRPr="00D93FFB" w:rsidR="002928B7">
        <w:rPr>
          <w:rFonts w:ascii="Times New Roman" w:hAnsi="Times New Roman"/>
          <w:b/>
          <w:i/>
          <w:sz w:val="24"/>
          <w:szCs w:val="24"/>
        </w:rPr>
        <w:t xml:space="preserve"> Information Collections</w:t>
      </w:r>
    </w:p>
    <w:p w:rsidR="004A397A" w:rsidRPr="00D93FFB" w:rsidP="004A397A" w14:paraId="7196E9B9" w14:textId="64542E47">
      <w:pPr>
        <w:rPr>
          <w:rFonts w:ascii="Times New Roman" w:hAnsi="Times New Roman"/>
          <w:sz w:val="24"/>
          <w:szCs w:val="24"/>
        </w:rPr>
      </w:pPr>
      <w:r w:rsidRPr="00D93FFB">
        <w:rPr>
          <w:rFonts w:ascii="Times New Roman" w:hAnsi="Times New Roman"/>
          <w:sz w:val="24"/>
          <w:szCs w:val="24"/>
        </w:rPr>
        <w:t xml:space="preserve">The following generic PPRs were previously approved under 0970-0490 and are still in use. </w:t>
      </w:r>
    </w:p>
    <w:p w:rsidR="004A397A" w:rsidRPr="00D93FFB" w:rsidP="004A397A" w14:paraId="45915006" w14:textId="77777777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ook w:val="04A0"/>
      </w:tblPr>
      <w:tblGrid>
        <w:gridCol w:w="3088"/>
        <w:gridCol w:w="1477"/>
        <w:gridCol w:w="1377"/>
        <w:gridCol w:w="1520"/>
        <w:gridCol w:w="2078"/>
      </w:tblGrid>
      <w:tr w14:paraId="4BBC15E6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shd w:val="clear" w:color="auto" w:fill="D9D9D9" w:themeFill="background1" w:themeFillShade="D9"/>
            <w:vAlign w:val="center"/>
          </w:tcPr>
          <w:p w:rsidR="004A397A" w:rsidRPr="00C96936" w:rsidP="004A397A" w14:paraId="72B7CCB8" w14:textId="40AEF639">
            <w:pPr>
              <w:rPr>
                <w:rFonts w:ascii="Times New Roman" w:hAnsi="Times New Roman"/>
                <w:b/>
              </w:rPr>
            </w:pPr>
            <w:r w:rsidRPr="00C96936">
              <w:rPr>
                <w:rFonts w:ascii="Times New Roman" w:hAnsi="Times New Roman"/>
                <w:b/>
              </w:rPr>
              <w:t>Generic PPR Title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4A397A" w:rsidRPr="00C96936" w:rsidP="004D6A49" w14:paraId="1035A72F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C96936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4A397A" w:rsidRPr="00C96936" w:rsidP="004D6A49" w14:paraId="755B5EC2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C96936">
              <w:rPr>
                <w:rFonts w:ascii="Times New Roman" w:hAnsi="Times New Roman"/>
                <w:b/>
              </w:rPr>
              <w:t>Responses per respondent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4A397A" w:rsidRPr="00C96936" w:rsidP="004D6A49" w14:paraId="4D4F2A84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C96936">
              <w:rPr>
                <w:rFonts w:ascii="Times New Roman" w:hAnsi="Times New Roman"/>
                <w:b/>
              </w:rPr>
              <w:t>Hours per response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A397A" w:rsidRPr="00C96936" w:rsidP="004D6A49" w14:paraId="711EF579" w14:textId="0E72CA25">
            <w:pPr>
              <w:jc w:val="center"/>
              <w:rPr>
                <w:rFonts w:ascii="Times New Roman" w:hAnsi="Times New Roman"/>
                <w:b/>
              </w:rPr>
            </w:pPr>
            <w:r w:rsidRPr="00C96936">
              <w:rPr>
                <w:rFonts w:ascii="Times New Roman" w:hAnsi="Times New Roman"/>
                <w:b/>
              </w:rPr>
              <w:t>B</w:t>
            </w:r>
            <w:r w:rsidRPr="00C96936">
              <w:rPr>
                <w:rFonts w:ascii="Times New Roman" w:hAnsi="Times New Roman"/>
                <w:b/>
              </w:rPr>
              <w:t>urden hours</w:t>
            </w:r>
          </w:p>
        </w:tc>
      </w:tr>
      <w:tr w14:paraId="23D49419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C96936" w14:paraId="7F53B662" w14:textId="4D2CECB6">
            <w:pPr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Administration for Native Americans (ANA) American Rescue Plan Emergency Language (ARP EL) Progress Report and Post Project Report</w:t>
            </w:r>
          </w:p>
        </w:tc>
        <w:tc>
          <w:tcPr>
            <w:tcW w:w="1477" w:type="dxa"/>
            <w:vAlign w:val="center"/>
          </w:tcPr>
          <w:p w:rsidR="00161B78" w:rsidRPr="00C96936" w:rsidP="00172BBD" w14:paraId="4988DC44" w14:textId="6D1741FC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211</w:t>
            </w:r>
          </w:p>
        </w:tc>
        <w:tc>
          <w:tcPr>
            <w:tcW w:w="1377" w:type="dxa"/>
            <w:vAlign w:val="center"/>
          </w:tcPr>
          <w:p w:rsidR="00161B78" w:rsidRPr="00C96936" w:rsidP="00172BBD" w14:paraId="2276F08D" w14:textId="0B707179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vAlign w:val="center"/>
          </w:tcPr>
          <w:p w:rsidR="00161B78" w:rsidRPr="00C96936" w:rsidP="00172BBD" w14:paraId="47F70E84" w14:textId="20BE2CB3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0.75</w:t>
            </w:r>
          </w:p>
        </w:tc>
        <w:tc>
          <w:tcPr>
            <w:tcW w:w="2078" w:type="dxa"/>
            <w:vAlign w:val="center"/>
          </w:tcPr>
          <w:p w:rsidR="00161B78" w:rsidRPr="00C96936" w:rsidP="00172BBD" w14:paraId="6BF4A7C1" w14:textId="5863195E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317</w:t>
            </w:r>
          </w:p>
        </w:tc>
      </w:tr>
      <w:tr w14:paraId="20F4BD4B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26E6E343" w14:textId="42D351E5">
            <w:pPr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</w:rPr>
              <w:t>Community Collaborations to Strengthen and Preserve Families Semi Annual ACF Performance Progress Report and Racial Equity Supplement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02A9550A" w14:textId="01729D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35300FFD" w14:textId="2511FB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0FE22EF6" w14:textId="6AD2D0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733059DF" w14:textId="698EEE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338</w:t>
            </w:r>
          </w:p>
        </w:tc>
      </w:tr>
      <w:tr w14:paraId="0B9AFCCD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30503798" w14:textId="68F64594">
            <w:pPr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Ethnic Community Self-Help (ECSH) Program Data Indicators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107192EB" w14:textId="371BF4C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B419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701E0CE5" w14:textId="60AD6A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4BE1B0FD" w14:textId="77C9F5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2C4FC73B" w14:textId="4689DD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1B419A">
              <w:rPr>
                <w:rFonts w:ascii="Times New Roman" w:hAnsi="Times New Roman"/>
                <w:color w:val="000000"/>
              </w:rPr>
              <w:t>4</w:t>
            </w:r>
          </w:p>
        </w:tc>
      </w:tr>
      <w:tr w14:paraId="2BDA282E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24B426AF" w14:textId="4BD8CBFC">
            <w:pPr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Head Start Collaboration Office Annual Report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2E3CC46B" w14:textId="57166C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6C48033A" w14:textId="125E57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21B0B76A" w14:textId="1D1CD2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1379345A" w14:textId="75C783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216</w:t>
            </w:r>
          </w:p>
        </w:tc>
      </w:tr>
      <w:tr w14:paraId="082E587C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0E0329C9" w14:textId="55C5B77B">
            <w:pPr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</w:rPr>
              <w:t>Human Trafficking Youth Prevention Education (HTYPE) Demonstration Grant Program Performance Indicators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2A66C37D" w14:textId="642EB7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43664B9E" w14:textId="1616C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466FCD3E" w14:textId="022C0C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4A21A7C7" w14:textId="6F42360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</w:tr>
      <w:tr w14:paraId="1A1C649E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381CA914" w14:textId="64696339">
            <w:pPr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Microenterprise Development Program Indicators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3E8F26BA" w14:textId="32115F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  <w:r w:rsidR="004B7E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14CD8BD5" w14:textId="23329D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2C7A3130" w14:textId="67CD2A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66BDCADD" w14:textId="5F7FC6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</w:tr>
      <w:tr w14:paraId="3C541C6F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63CAEAFE" w14:textId="235EDEE4">
            <w:pPr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Office of Refugee Resettlement Refugee Family Child Care Microenterprise Program Performance Data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7AA60343" w14:textId="02072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1</w:t>
            </w:r>
            <w:r w:rsidRPr="00C96936" w:rsidR="005039E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4DD81E3F" w14:textId="66DAB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770D28EE" w14:textId="313A03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4EE82EB1" w14:textId="6F89B2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120</w:t>
            </w:r>
          </w:p>
        </w:tc>
      </w:tr>
      <w:tr w14:paraId="41B2CA55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21B37F30" w14:textId="1BC82701">
            <w:pPr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Preschool Development Grant Birth through Five (PDG B-5) Renewal Grant Performance Progress Report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7E2309DC" w14:textId="4945B4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213E2A52" w14:textId="043C06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68EA46C1" w14:textId="6C72F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7EA95870" w14:textId="440DAF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</w:t>
            </w:r>
          </w:p>
        </w:tc>
      </w:tr>
      <w:tr w14:paraId="78221777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27594036" w14:textId="6A40B3CA">
            <w:pPr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Refugee Agricultural Partnership Program (RAPP)</w:t>
            </w:r>
            <w:r w:rsidR="00574940">
              <w:rPr>
                <w:rFonts w:ascii="Times New Roman" w:hAnsi="Times New Roman"/>
                <w:color w:val="000000"/>
              </w:rPr>
              <w:t xml:space="preserve"> Indicators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26012FE2" w14:textId="43E79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B41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1696C9E5" w14:textId="5C8B6AD8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31CC1309" w14:textId="269A72BD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2.</w:t>
            </w:r>
            <w:r w:rsidR="00C139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7D0306A0" w14:textId="777DD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</w:tr>
      <w:tr w14:paraId="58B4C4A7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4EC3CE02" w14:textId="54914E10">
            <w:pPr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Refugee Individual Development Accounts (IDA) Program Indicators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48C30675" w14:textId="30A22277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  <w:r w:rsidR="001B419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7CDB8746" w14:textId="112EDF6C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0CE1814B" w14:textId="5710F0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4229CD46" w14:textId="637675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624</w:t>
            </w:r>
          </w:p>
        </w:tc>
      </w:tr>
      <w:tr w14:paraId="75C1C9E1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4EEB2D6F" w14:textId="0744965B">
            <w:pPr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Refugee Resettlement Refugee Career Pathways Program Performance Data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2F3AE93F" w14:textId="5BF1ED46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0212DB46" w14:textId="1C9E6DFF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2872C78D" w14:textId="04EE9F97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565E2BC3" w14:textId="6B286EFE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  <w:color w:val="000000"/>
              </w:rPr>
              <w:t>4</w:t>
            </w:r>
            <w:r w:rsidRPr="00C96936">
              <w:rPr>
                <w:rFonts w:ascii="Times New Roman" w:hAnsi="Times New Roman"/>
                <w:color w:val="000000"/>
              </w:rPr>
              <w:t>20</w:t>
            </w:r>
          </w:p>
        </w:tc>
      </w:tr>
      <w:tr w14:paraId="1AF4ADCE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352C14EF" w14:textId="069BC37F">
            <w:pPr>
              <w:rPr>
                <w:rFonts w:ascii="Times New Roman" w:hAnsi="Times New Roman"/>
              </w:rPr>
            </w:pPr>
            <w:r w:rsidRPr="00574940">
              <w:rPr>
                <w:rFonts w:ascii="Times New Roman" w:hAnsi="Times New Roman"/>
              </w:rPr>
              <w:t>Tribal Maternal, Infant, and Early Childhood Home Visiting Program Form 4: Quarterly Performance Reporting Form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772BE1C6" w14:textId="4EFA5B5F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23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698157AC" w14:textId="75902400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220D4D4F" w14:textId="35C201B2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3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735B91C8" w14:textId="6AFADEAE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276</w:t>
            </w:r>
          </w:p>
        </w:tc>
      </w:tr>
      <w:tr w14:paraId="329AD79E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19D80795" w14:textId="591A9269">
            <w:pPr>
              <w:rPr>
                <w:rFonts w:ascii="Times New Roman" w:hAnsi="Times New Roman"/>
              </w:rPr>
            </w:pPr>
            <w:r w:rsidRPr="00574940">
              <w:rPr>
                <w:rFonts w:ascii="Times New Roman" w:hAnsi="Times New Roman"/>
              </w:rPr>
              <w:t>Wilson-Fish TANF Coordination Project Performance Report Part A and B</w:t>
            </w:r>
          </w:p>
        </w:tc>
        <w:tc>
          <w:tcPr>
            <w:tcW w:w="1477" w:type="dxa"/>
            <w:vAlign w:val="center"/>
          </w:tcPr>
          <w:p w:rsidR="00161B78" w:rsidRPr="00C96936" w:rsidP="00161B78" w14:paraId="0FA7AEB5" w14:textId="4852F3F9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21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2EE6057C" w14:textId="31667AD0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496D3492" w14:textId="438251DB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6</w:t>
            </w:r>
          </w:p>
        </w:tc>
        <w:tc>
          <w:tcPr>
            <w:tcW w:w="2078" w:type="dxa"/>
            <w:vAlign w:val="center"/>
          </w:tcPr>
          <w:p w:rsidR="00161B78" w:rsidRPr="00C96936" w:rsidP="00161B78" w14:paraId="7D86ACA9" w14:textId="65D739AE">
            <w:pPr>
              <w:jc w:val="center"/>
              <w:rPr>
                <w:rFonts w:ascii="Times New Roman" w:hAnsi="Times New Roman"/>
              </w:rPr>
            </w:pPr>
            <w:r w:rsidRPr="00C96936">
              <w:rPr>
                <w:rFonts w:ascii="Times New Roman" w:hAnsi="Times New Roman"/>
              </w:rPr>
              <w:t>252</w:t>
            </w:r>
          </w:p>
        </w:tc>
      </w:tr>
      <w:tr w14:paraId="6318930B" w14:textId="77777777" w:rsidTr="00A7604E">
        <w:tblPrEx>
          <w:tblW w:w="9540" w:type="dxa"/>
          <w:tblInd w:w="-5" w:type="dxa"/>
          <w:tblLook w:val="04A0"/>
        </w:tblPrEx>
        <w:trPr>
          <w:cantSplit/>
        </w:trPr>
        <w:tc>
          <w:tcPr>
            <w:tcW w:w="3088" w:type="dxa"/>
            <w:vAlign w:val="center"/>
          </w:tcPr>
          <w:p w:rsidR="00161B78" w:rsidRPr="00C96936" w:rsidP="00161B78" w14:paraId="1C79227C" w14:textId="71D839DD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vAlign w:val="center"/>
          </w:tcPr>
          <w:p w:rsidR="00161B78" w:rsidRPr="00C96936" w:rsidP="00161B78" w14:paraId="6E2CA358" w14:textId="5E7656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b/>
                <w:color w:val="000000"/>
              </w:rPr>
              <w:t>Total Respondents:</w:t>
            </w:r>
            <w:r w:rsidRPr="00C96936">
              <w:rPr>
                <w:rFonts w:ascii="Times New Roman" w:hAnsi="Times New Roman"/>
                <w:color w:val="000000"/>
              </w:rPr>
              <w:t xml:space="preserve"> </w:t>
            </w:r>
            <w:r w:rsidR="00C139C4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377" w:type="dxa"/>
            <w:vAlign w:val="center"/>
          </w:tcPr>
          <w:p w:rsidR="00161B78" w:rsidRPr="00C96936" w:rsidP="00161B78" w14:paraId="625D09E7" w14:textId="777777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6936">
              <w:rPr>
                <w:rFonts w:ascii="Times New Roman" w:hAnsi="Times New Roman"/>
                <w:b/>
                <w:color w:val="000000"/>
              </w:rPr>
              <w:t xml:space="preserve">Average # of Responses: </w:t>
            </w:r>
          </w:p>
          <w:p w:rsidR="00161B78" w:rsidRPr="00C96936" w:rsidP="00161B78" w14:paraId="41835EEE" w14:textId="457D5A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color w:val="000000"/>
              </w:rPr>
              <w:t>2.</w:t>
            </w:r>
            <w:r w:rsidR="004B7EB8">
              <w:rPr>
                <w:rFonts w:ascii="Times New Roman" w:hAnsi="Times New Roman"/>
                <w:color w:val="000000"/>
              </w:rPr>
              <w:t>2</w:t>
            </w:r>
            <w:r w:rsidR="00C139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0" w:type="dxa"/>
            <w:vAlign w:val="center"/>
          </w:tcPr>
          <w:p w:rsidR="00161B78" w:rsidRPr="00C96936" w:rsidP="00161B78" w14:paraId="67DDA2F4" w14:textId="777DED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936">
              <w:rPr>
                <w:rFonts w:ascii="Times New Roman" w:hAnsi="Times New Roman"/>
                <w:b/>
                <w:color w:val="000000"/>
              </w:rPr>
              <w:t>Average Burden Hours per Response:</w:t>
            </w:r>
            <w:r w:rsidRPr="00C96936">
              <w:rPr>
                <w:rFonts w:ascii="Times New Roman" w:hAnsi="Times New Roman"/>
                <w:color w:val="000000"/>
              </w:rPr>
              <w:t xml:space="preserve"> </w:t>
            </w:r>
            <w:r w:rsidR="004B7EB8">
              <w:rPr>
                <w:rFonts w:ascii="Times New Roman" w:hAnsi="Times New Roman"/>
                <w:color w:val="000000"/>
              </w:rPr>
              <w:t>4.</w:t>
            </w:r>
            <w:r w:rsidR="00C139C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078" w:type="dxa"/>
            <w:vAlign w:val="center"/>
          </w:tcPr>
          <w:p w:rsidR="00A7604E" w:rsidP="00161B78" w14:paraId="3E0F3EEC" w14:textId="777777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6936">
              <w:rPr>
                <w:rFonts w:ascii="Times New Roman" w:hAnsi="Times New Roman"/>
                <w:b/>
                <w:color w:val="000000"/>
              </w:rPr>
              <w:t>Total Ongoing Burden Hours:</w:t>
            </w:r>
            <w:r w:rsidR="00C139C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61B78" w:rsidRPr="00C96936" w:rsidP="00161B78" w14:paraId="3CC16A52" w14:textId="459346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3,255</w:t>
            </w:r>
          </w:p>
        </w:tc>
      </w:tr>
    </w:tbl>
    <w:p w:rsidR="004A397A" w:rsidRPr="00D93FFB" w:rsidP="004A397A" w14:paraId="06576A8A" w14:textId="77777777">
      <w:pPr>
        <w:rPr>
          <w:rFonts w:ascii="Times New Roman" w:hAnsi="Times New Roman"/>
          <w:sz w:val="24"/>
          <w:szCs w:val="24"/>
        </w:rPr>
      </w:pPr>
    </w:p>
    <w:p w:rsidR="004A397A" w:rsidRPr="00D93FFB" w:rsidP="00A7604E" w14:paraId="26E03305" w14:textId="5140A4E4">
      <w:pPr>
        <w:spacing w:after="60"/>
        <w:rPr>
          <w:rFonts w:ascii="Times New Roman" w:hAnsi="Times New Roman"/>
          <w:b/>
          <w:i/>
          <w:sz w:val="24"/>
          <w:szCs w:val="24"/>
        </w:rPr>
      </w:pPr>
      <w:r w:rsidRPr="00D93FFB">
        <w:rPr>
          <w:rFonts w:ascii="Times New Roman" w:hAnsi="Times New Roman"/>
          <w:b/>
          <w:i/>
          <w:sz w:val="24"/>
          <w:szCs w:val="24"/>
        </w:rPr>
        <w:t>Requested Burden for New Generic Information Collections</w:t>
      </w:r>
    </w:p>
    <w:p w:rsidR="004A397A" w:rsidRPr="00D93FFB" w:rsidP="004D6A49" w14:paraId="3CCF00F7" w14:textId="67CDFBD2">
      <w:pPr>
        <w:rPr>
          <w:rFonts w:ascii="Times New Roman" w:hAnsi="Times New Roman"/>
          <w:sz w:val="24"/>
        </w:rPr>
      </w:pPr>
      <w:r w:rsidRPr="00D93FFB">
        <w:rPr>
          <w:rFonts w:ascii="Times New Roman" w:hAnsi="Times New Roman"/>
          <w:sz w:val="24"/>
        </w:rPr>
        <w:t>The burden estimate for the next three years of approval is estimated based on generic PPRs submitted during th</w:t>
      </w:r>
      <w:r w:rsidRPr="00D93FFB" w:rsidR="004D6A49">
        <w:rPr>
          <w:rFonts w:ascii="Times New Roman" w:hAnsi="Times New Roman"/>
          <w:sz w:val="24"/>
        </w:rPr>
        <w:t xml:space="preserve">e first three years of approval (see above) in addition to internal discussions regarding the program office needs in the upcoming years. </w:t>
      </w:r>
      <w:r w:rsidR="002524EF">
        <w:rPr>
          <w:rFonts w:ascii="Times New Roman" w:hAnsi="Times New Roman"/>
          <w:sz w:val="24"/>
        </w:rPr>
        <w:t xml:space="preserve">We have increased the number of respondents to account for the potential use by </w:t>
      </w:r>
      <w:r w:rsidR="008651D8">
        <w:rPr>
          <w:rFonts w:ascii="Times New Roman" w:hAnsi="Times New Roman"/>
          <w:sz w:val="24"/>
        </w:rPr>
        <w:t>non-discretionary</w:t>
      </w:r>
      <w:r w:rsidR="002524EF">
        <w:rPr>
          <w:rFonts w:ascii="Times New Roman" w:hAnsi="Times New Roman"/>
          <w:sz w:val="24"/>
        </w:rPr>
        <w:t xml:space="preserve"> programs</w:t>
      </w:r>
      <w:r w:rsidR="00CA06D8">
        <w:rPr>
          <w:rFonts w:ascii="Times New Roman" w:hAnsi="Times New Roman"/>
          <w:sz w:val="24"/>
        </w:rPr>
        <w:t xml:space="preserve"> and adjusted average estimated number of responses and burden hours per response based on the experiences and feedback over the past three years and projections for the upcoming three years. </w:t>
      </w:r>
    </w:p>
    <w:p w:rsidR="004A397A" w:rsidRPr="00D93FFB" w:rsidP="004A397A" w14:paraId="65E04D1A" w14:textId="77777777">
      <w:pPr>
        <w:rPr>
          <w:rFonts w:ascii="Times New Roman" w:hAnsi="Times New Roman"/>
          <w:sz w:val="24"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1612"/>
        <w:gridCol w:w="1360"/>
        <w:gridCol w:w="1149"/>
        <w:gridCol w:w="1286"/>
        <w:gridCol w:w="1029"/>
        <w:gridCol w:w="1831"/>
      </w:tblGrid>
      <w:tr w14:paraId="64E3387E" w14:textId="4A18F225" w:rsidTr="002D51E5">
        <w:tblPrEx>
          <w:tblW w:w="9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046F99" w:rsidRPr="00D93FFB" w:rsidP="004D6A49" w14:paraId="1279E437" w14:textId="77777777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93FFB">
              <w:rPr>
                <w:rFonts w:ascii="Times New Roman" w:hAnsi="Times New Roman"/>
                <w:snapToGrid/>
                <w:sz w:val="24"/>
                <w:szCs w:val="24"/>
              </w:rPr>
              <w:t>Instrument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046F99" w:rsidRPr="00D93FFB" w:rsidP="004D6A49" w14:paraId="6934C06F" w14:textId="7777777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93FFB">
              <w:rPr>
                <w:rFonts w:ascii="Times New Roman" w:hAnsi="Times New Roman"/>
                <w:snapToGrid/>
                <w:sz w:val="24"/>
                <w:szCs w:val="24"/>
              </w:rPr>
              <w:t>Number of Respondents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46F99" w:rsidRPr="00D93FFB" w:rsidP="004D6A49" w14:paraId="27C753D8" w14:textId="7777777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93FFB">
              <w:rPr>
                <w:rFonts w:ascii="Times New Roman" w:hAnsi="Times New Roman"/>
                <w:snapToGrid/>
                <w:sz w:val="24"/>
                <w:szCs w:val="24"/>
              </w:rPr>
              <w:t>Number of Responses per Respondent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046F99" w:rsidRPr="00D93FFB" w:rsidP="004D6A49" w14:paraId="24E84011" w14:textId="7777777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93FFB">
              <w:rPr>
                <w:rFonts w:ascii="Times New Roman" w:hAnsi="Times New Roman"/>
                <w:snapToGrid/>
                <w:sz w:val="24"/>
                <w:szCs w:val="24"/>
              </w:rPr>
              <w:t>Average Burden Hour per Response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046F99" w:rsidRPr="00D93FFB" w:rsidP="004D6A49" w14:paraId="7CEE814C" w14:textId="7777777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93FFB">
              <w:rPr>
                <w:rFonts w:ascii="Times New Roman" w:hAnsi="Times New Roman"/>
                <w:snapToGrid/>
                <w:sz w:val="24"/>
                <w:szCs w:val="24"/>
              </w:rPr>
              <w:t>Total Burden Hours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046F99" w:rsidRPr="00D93FFB" w:rsidP="00046F99" w14:paraId="659398F4" w14:textId="57E4209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93FFB">
              <w:rPr>
                <w:rFonts w:ascii="Times New Roman" w:hAnsi="Times New Roman"/>
                <w:snapToGrid/>
                <w:sz w:val="24"/>
                <w:szCs w:val="24"/>
              </w:rPr>
              <w:t>Average Hourly Wage*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046F99" w:rsidRPr="00D93FFB" w:rsidP="00046F99" w14:paraId="3A0E4A30" w14:textId="162EC23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93FFB">
              <w:rPr>
                <w:rFonts w:ascii="Times New Roman" w:hAnsi="Times New Roman"/>
                <w:snapToGrid/>
                <w:sz w:val="24"/>
                <w:szCs w:val="24"/>
              </w:rPr>
              <w:t>Total Cost</w:t>
            </w:r>
          </w:p>
        </w:tc>
      </w:tr>
      <w:tr w14:paraId="2D9D15B6" w14:textId="5140D79F" w:rsidTr="002D51E5">
        <w:tblPrEx>
          <w:tblW w:w="9535" w:type="dxa"/>
          <w:tblLook w:val="04A0"/>
        </w:tblPrEx>
        <w:tc>
          <w:tcPr>
            <w:tcW w:w="1269" w:type="dxa"/>
            <w:shd w:val="clear" w:color="auto" w:fill="auto"/>
          </w:tcPr>
          <w:p w:rsidR="00046F99" w:rsidRPr="00D93FFB" w:rsidP="00800AD6" w14:paraId="7BFB2B96" w14:textId="00943F42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93FFB">
              <w:rPr>
                <w:rFonts w:ascii="Times New Roman" w:hAnsi="Times New Roman"/>
                <w:snapToGrid/>
                <w:sz w:val="24"/>
                <w:szCs w:val="24"/>
              </w:rPr>
              <w:t>Program Specific PPRs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46F99" w:rsidRPr="00D93FFB" w:rsidP="006A1971" w14:paraId="6DC41652" w14:textId="0936FAF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900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6F99" w:rsidRPr="00D93FFB" w:rsidP="006A1971" w14:paraId="1699394F" w14:textId="1D459BF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46F99" w:rsidRPr="00D93FFB" w:rsidP="006A1971" w14:paraId="0F38465F" w14:textId="127DE16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46F99" w:rsidRPr="00D93FFB" w:rsidP="006A1971" w14:paraId="7CF0669A" w14:textId="023BD6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16,200</w:t>
            </w:r>
          </w:p>
        </w:tc>
        <w:tc>
          <w:tcPr>
            <w:tcW w:w="894" w:type="dxa"/>
            <w:vAlign w:val="center"/>
          </w:tcPr>
          <w:p w:rsidR="00046F99" w:rsidRPr="002D51E5" w:rsidP="00046F99" w14:paraId="77699AFC" w14:textId="4CA66FA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2D51E5">
              <w:rPr>
                <w:rFonts w:ascii="Times New Roman" w:hAnsi="Times New Roman"/>
                <w:sz w:val="24"/>
                <w:szCs w:val="24"/>
              </w:rPr>
              <w:t>$</w:t>
            </w:r>
            <w:r w:rsidRPr="002D51E5" w:rsidR="002D51E5">
              <w:rPr>
                <w:rFonts w:ascii="Times New Roman" w:hAnsi="Times New Roman"/>
                <w:sz w:val="24"/>
                <w:szCs w:val="24"/>
              </w:rPr>
              <w:t>62.80</w:t>
            </w:r>
            <w:r w:rsidRPr="002D51E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96" w:type="dxa"/>
            <w:vAlign w:val="center"/>
          </w:tcPr>
          <w:p w:rsidR="00046F99" w:rsidRPr="002D51E5" w:rsidP="00046F99" w14:paraId="3F9CD3D7" w14:textId="281723B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2D51E5">
              <w:rPr>
                <w:rFonts w:ascii="Times New Roman" w:hAnsi="Times New Roman"/>
                <w:sz w:val="24"/>
                <w:szCs w:val="24"/>
              </w:rPr>
              <w:t>$</w:t>
            </w:r>
            <w:r w:rsidRPr="002D51E5" w:rsidR="002D51E5">
              <w:rPr>
                <w:rFonts w:ascii="Times New Roman" w:hAnsi="Times New Roman"/>
                <w:sz w:val="24"/>
                <w:szCs w:val="24"/>
              </w:rPr>
              <w:t>1,017,360</w:t>
            </w:r>
          </w:p>
        </w:tc>
      </w:tr>
    </w:tbl>
    <w:p w:rsidR="00046F99" w:rsidRPr="00D93FFB" w:rsidP="00A90EAB" w14:paraId="2264CA14" w14:textId="378F0D17">
      <w:pPr>
        <w:rPr>
          <w:rFonts w:ascii="Times New Roman" w:hAnsi="Times New Roman"/>
          <w:szCs w:val="24"/>
        </w:rPr>
      </w:pPr>
      <w:r w:rsidRPr="00D93FFB">
        <w:rPr>
          <w:rFonts w:ascii="Times New Roman" w:hAnsi="Times New Roman"/>
          <w:szCs w:val="24"/>
        </w:rPr>
        <w:t>*This amount accounts for fringe benefits and overhead.</w:t>
      </w:r>
    </w:p>
    <w:p w:rsidR="00046F99" w:rsidRPr="00D93FFB" w:rsidP="00A90EAB" w14:paraId="08C3DFC9" w14:textId="77777777">
      <w:pPr>
        <w:rPr>
          <w:rFonts w:ascii="Times New Roman" w:hAnsi="Times New Roman"/>
          <w:sz w:val="24"/>
          <w:szCs w:val="24"/>
        </w:rPr>
      </w:pPr>
    </w:p>
    <w:p w:rsidR="00A90EAB" w:rsidRPr="00D93FFB" w:rsidP="00A90EAB" w14:paraId="374F028A" w14:textId="7E872A0A">
      <w:pPr>
        <w:rPr>
          <w:rFonts w:ascii="Times New Roman" w:hAnsi="Times New Roman"/>
          <w:sz w:val="24"/>
          <w:szCs w:val="24"/>
        </w:rPr>
      </w:pPr>
      <w:r w:rsidRPr="00D93FFB">
        <w:rPr>
          <w:rFonts w:ascii="Times New Roman" w:hAnsi="Times New Roman"/>
          <w:sz w:val="24"/>
          <w:szCs w:val="24"/>
        </w:rPr>
        <w:t xml:space="preserve">The cost to respondents was calculated using an average of the following Bureau of Labor Statistics (BLS) job codes: </w:t>
      </w:r>
    </w:p>
    <w:p w:rsidR="00A90EAB" w:rsidRPr="00D93FFB" w:rsidP="00A90EAB" w14:paraId="46F50C61" w14:textId="1AC28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3FFB">
        <w:rPr>
          <w:rFonts w:ascii="Times New Roman" w:hAnsi="Times New Roman" w:cs="Times New Roman"/>
          <w:sz w:val="24"/>
          <w:szCs w:val="24"/>
        </w:rPr>
        <w:t>11-9151: Social and Community Service Managers (</w:t>
      </w:r>
      <w:r w:rsidRPr="00D93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$3</w:t>
      </w:r>
      <w:r w:rsidR="009A3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6.92</w:t>
      </w:r>
      <w:r w:rsidRPr="00D93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90EAB" w:rsidRPr="00D93FFB" w:rsidP="00A90EAB" w14:paraId="18CE95D0" w14:textId="348C8D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3FFB">
        <w:rPr>
          <w:rFonts w:ascii="Times New Roman" w:hAnsi="Times New Roman" w:cs="Times New Roman"/>
          <w:sz w:val="24"/>
          <w:szCs w:val="24"/>
        </w:rPr>
        <w:t>11-9031: Education Administrators, Preschool and Childcare Center/Program (</w:t>
      </w:r>
      <w:r w:rsidRPr="00D93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$25.</w:t>
      </w:r>
      <w:r w:rsidR="009A3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</w:t>
      </w:r>
      <w:r w:rsidRPr="00D93FFB">
        <w:rPr>
          <w:rFonts w:ascii="Times New Roman" w:hAnsi="Times New Roman" w:cs="Times New Roman"/>
          <w:sz w:val="24"/>
          <w:szCs w:val="24"/>
        </w:rPr>
        <w:t>)</w:t>
      </w:r>
    </w:p>
    <w:p w:rsidR="00A7604E" w:rsidP="00A7604E" w14:paraId="19E964A3" w14:textId="77777777">
      <w:pPr>
        <w:pStyle w:val="NormalWeb"/>
        <w:spacing w:before="0" w:beforeAutospacing="0" w:after="0" w:afterAutospacing="0"/>
      </w:pPr>
    </w:p>
    <w:p w:rsidR="00046F99" w:rsidP="00A7604E" w14:paraId="4AC89C33" w14:textId="29C6718C">
      <w:pPr>
        <w:pStyle w:val="NormalWeb"/>
        <w:spacing w:before="0" w:beforeAutospacing="0" w:after="0" w:afterAutospacing="0"/>
        <w:rPr>
          <w:rStyle w:val="Hyperlink"/>
        </w:rPr>
      </w:pPr>
      <w:r w:rsidRPr="00D93FFB">
        <w:t>The average mean hourly wage is $3</w:t>
      </w:r>
      <w:r w:rsidR="009A39B1">
        <w:t>1.40</w:t>
      </w:r>
      <w:r w:rsidRPr="00D93FFB">
        <w:t xml:space="preserve">. </w:t>
      </w:r>
      <w:r w:rsidRPr="00D93FFB" w:rsidR="00A90EAB">
        <w:t>To account for fringe benefits and overhead the rate was multiplied by two</w:t>
      </w:r>
      <w:r w:rsidRPr="00D93FFB">
        <w:t>,</w:t>
      </w:r>
      <w:r w:rsidRPr="00D93FFB" w:rsidR="00A90EAB">
        <w:t xml:space="preserve"> which is $</w:t>
      </w:r>
      <w:r w:rsidRPr="00D93FFB">
        <w:t>6</w:t>
      </w:r>
      <w:r w:rsidR="009A39B1">
        <w:t>2.80</w:t>
      </w:r>
      <w:r w:rsidRPr="00D93FFB" w:rsidR="00A90EAB">
        <w:t xml:space="preserve">.  </w:t>
      </w:r>
      <w:hyperlink r:id="rId6" w:anchor="11-0000" w:history="1">
        <w:r w:rsidRPr="00D93FFB">
          <w:rPr>
            <w:rStyle w:val="Hyperlink"/>
          </w:rPr>
          <w:t>https://www.bls.gov/oes/current/oes_stru.htm#11-0000</w:t>
        </w:r>
      </w:hyperlink>
    </w:p>
    <w:p w:rsidR="00A7604E" w:rsidP="00A7604E" w14:paraId="3CFEC168" w14:textId="144E7971">
      <w:pPr>
        <w:pStyle w:val="NormalWeb"/>
        <w:spacing w:before="0" w:beforeAutospacing="0" w:after="0" w:afterAutospacing="0"/>
        <w:rPr>
          <w:rStyle w:val="Hyperlink"/>
        </w:rPr>
      </w:pPr>
    </w:p>
    <w:p w:rsidR="00A7604E" w:rsidP="00A7604E" w14:paraId="2195A28B" w14:textId="77777777">
      <w:pPr>
        <w:pStyle w:val="NormalWeb"/>
        <w:spacing w:before="0" w:beforeAutospacing="0" w:after="0" w:afterAutospacing="0"/>
        <w:rPr>
          <w:rStyle w:val="Hyperlink"/>
        </w:rPr>
      </w:pPr>
    </w:p>
    <w:p w:rsidR="007E1599" w:rsidRPr="00D93FFB" w:rsidP="007D54BE" w14:paraId="351B22AC" w14:textId="77777777">
      <w:pPr>
        <w:widowControl/>
        <w:numPr>
          <w:ilvl w:val="0"/>
          <w:numId w:val="1"/>
        </w:numPr>
        <w:tabs>
          <w:tab w:val="num" w:pos="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="007E1599" w:rsidP="007D54BE" w14:paraId="4A99E739" w14:textId="76FA0574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 xml:space="preserve">There are no monetary costs to respondents in completing and submitting the </w:t>
      </w:r>
      <w:r w:rsidRPr="00D93FFB" w:rsidR="007849DF">
        <w:rPr>
          <w:rFonts w:ascii="Times New Roman" w:hAnsi="Times New Roman"/>
          <w:snapToGrid/>
          <w:sz w:val="24"/>
          <w:szCs w:val="24"/>
        </w:rPr>
        <w:t xml:space="preserve">program-specific </w:t>
      </w:r>
      <w:r w:rsidRPr="00D93FFB">
        <w:rPr>
          <w:rFonts w:ascii="Times New Roman" w:hAnsi="Times New Roman"/>
          <w:snapToGrid/>
          <w:sz w:val="24"/>
          <w:szCs w:val="24"/>
        </w:rPr>
        <w:t>PPR.</w:t>
      </w:r>
    </w:p>
    <w:p w:rsidR="00A7604E" w:rsidP="007D54BE" w14:paraId="70B034FD" w14:textId="32EDC5DF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7604E" w:rsidP="007D54BE" w14:paraId="66CCCE81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7D54BE" w14:paraId="0D485372" w14:textId="77777777">
      <w:pPr>
        <w:widowControl/>
        <w:numPr>
          <w:ilvl w:val="0"/>
          <w:numId w:val="1"/>
        </w:numPr>
        <w:tabs>
          <w:tab w:val="left" w:pos="360"/>
          <w:tab w:val="clear" w:pos="720"/>
        </w:tabs>
        <w:spacing w:after="120"/>
        <w:ind w:left="0" w:firstLine="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Annualized Cost to the Federal Government </w:t>
      </w:r>
    </w:p>
    <w:p w:rsidR="007E1599" w:rsidP="007D54BE" w14:paraId="2AB5F8CF" w14:textId="2F23B194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Costs to the Federal Government are estimated based on about 5% time of a GS-13</w:t>
      </w:r>
      <w:r>
        <w:rPr>
          <w:rStyle w:val="FootnoteReference"/>
          <w:rFonts w:ascii="Times New Roman" w:hAnsi="Times New Roman"/>
          <w:snapToGrid/>
          <w:sz w:val="24"/>
          <w:szCs w:val="24"/>
        </w:rPr>
        <w:footnoteReference w:id="3"/>
      </w:r>
      <w:r w:rsidRPr="00D93FFB">
        <w:rPr>
          <w:rFonts w:ascii="Times New Roman" w:hAnsi="Times New Roman"/>
          <w:snapToGrid/>
          <w:sz w:val="24"/>
          <w:szCs w:val="24"/>
        </w:rPr>
        <w:t xml:space="preserve"> for initial creation of the form, data collection and review.  This is an estimate of $</w:t>
      </w:r>
      <w:r w:rsidR="009A39B1">
        <w:rPr>
          <w:rFonts w:ascii="Times New Roman" w:hAnsi="Times New Roman"/>
          <w:snapToGrid/>
          <w:sz w:val="24"/>
          <w:szCs w:val="24"/>
        </w:rPr>
        <w:t>5,341.15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per information collection. Based on the past three years, we have multiplied this by 15 collections to estimate a cost of $</w:t>
      </w:r>
      <w:r w:rsidR="009A39B1">
        <w:rPr>
          <w:rFonts w:ascii="Times New Roman" w:hAnsi="Times New Roman"/>
          <w:snapToGrid/>
          <w:sz w:val="24"/>
          <w:szCs w:val="24"/>
        </w:rPr>
        <w:t>80,117.25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7D54BE" w:rsidP="007D54BE" w14:paraId="324E90BF" w14:textId="0B13C436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D54BE" w:rsidRPr="00D93FFB" w:rsidP="007D54BE" w14:paraId="105AF069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7D54BE" w14:paraId="2216E01D" w14:textId="77777777">
      <w:pPr>
        <w:widowControl/>
        <w:numPr>
          <w:ilvl w:val="0"/>
          <w:numId w:val="1"/>
        </w:numPr>
        <w:tabs>
          <w:tab w:val="num" w:pos="0"/>
          <w:tab w:val="left" w:pos="360"/>
          <w:tab w:val="clear" w:pos="720"/>
        </w:tabs>
        <w:spacing w:after="120"/>
        <w:ind w:hanging="72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="002928B7" w:rsidP="007D54BE" w14:paraId="6CAA10BD" w14:textId="0760379C">
      <w:pPr>
        <w:rPr>
          <w:rFonts w:ascii="Times New Roman" w:hAnsi="Times New Roman"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This is a request for an extension to a previously approved collection.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 Adjustments to burden estimates reflect </w:t>
      </w:r>
      <w:r w:rsidR="009A39B1">
        <w:rPr>
          <w:rFonts w:ascii="Times New Roman" w:hAnsi="Times New Roman"/>
          <w:snapToGrid/>
          <w:sz w:val="24"/>
          <w:szCs w:val="24"/>
        </w:rPr>
        <w:t xml:space="preserve">changes in the </w:t>
      </w:r>
      <w:r w:rsidR="00754E23">
        <w:rPr>
          <w:rFonts w:ascii="Times New Roman" w:hAnsi="Times New Roman"/>
          <w:snapToGrid/>
          <w:sz w:val="24"/>
          <w:szCs w:val="24"/>
        </w:rPr>
        <w:t xml:space="preserve">currently approved and ongoing </w:t>
      </w:r>
      <w:r w:rsidR="00754E23">
        <w:rPr>
          <w:rFonts w:ascii="Times New Roman" w:hAnsi="Times New Roman"/>
          <w:snapToGrid/>
          <w:sz w:val="24"/>
          <w:szCs w:val="24"/>
        </w:rPr>
        <w:t>GenICs</w:t>
      </w:r>
      <w:r w:rsidR="00CA06D8">
        <w:rPr>
          <w:rFonts w:ascii="Times New Roman" w:hAnsi="Times New Roman"/>
          <w:snapToGrid/>
          <w:sz w:val="24"/>
          <w:szCs w:val="24"/>
        </w:rPr>
        <w:t>, updates to estimated average number of responses and burden hours per response (based on feedback, experiences to date, and projections for upcoming years)</w:t>
      </w:r>
      <w:r w:rsidR="002524EF">
        <w:rPr>
          <w:rFonts w:ascii="Times New Roman" w:hAnsi="Times New Roman"/>
          <w:snapToGrid/>
          <w:sz w:val="24"/>
          <w:szCs w:val="24"/>
        </w:rPr>
        <w:t xml:space="preserve"> and the broadened scope to include </w:t>
      </w:r>
      <w:r w:rsidR="008651D8">
        <w:rPr>
          <w:rFonts w:ascii="Times New Roman" w:hAnsi="Times New Roman"/>
          <w:snapToGrid/>
          <w:sz w:val="24"/>
          <w:szCs w:val="24"/>
        </w:rPr>
        <w:t>non-discretionary</w:t>
      </w:r>
      <w:r w:rsidR="002524EF">
        <w:rPr>
          <w:rFonts w:ascii="Times New Roman" w:hAnsi="Times New Roman"/>
          <w:snapToGrid/>
          <w:sz w:val="24"/>
          <w:szCs w:val="24"/>
        </w:rPr>
        <w:t xml:space="preserve"> grants</w:t>
      </w:r>
      <w:r w:rsidRPr="00D93FFB">
        <w:rPr>
          <w:rFonts w:ascii="Times New Roman" w:hAnsi="Times New Roman"/>
          <w:snapToGrid/>
          <w:sz w:val="24"/>
          <w:szCs w:val="24"/>
        </w:rPr>
        <w:t xml:space="preserve">. See A12, subsection </w:t>
      </w:r>
      <w:r w:rsidRPr="00D93FFB">
        <w:rPr>
          <w:rFonts w:ascii="Times New Roman" w:hAnsi="Times New Roman"/>
          <w:i/>
          <w:sz w:val="24"/>
          <w:szCs w:val="24"/>
        </w:rPr>
        <w:t>Previously Approved and Ongoing Information Collections</w:t>
      </w:r>
      <w:r w:rsidRPr="00D93FFB">
        <w:rPr>
          <w:rFonts w:ascii="Times New Roman" w:hAnsi="Times New Roman"/>
          <w:sz w:val="24"/>
          <w:szCs w:val="24"/>
        </w:rPr>
        <w:t xml:space="preserve"> for additional information. </w:t>
      </w:r>
    </w:p>
    <w:p w:rsidR="007D54BE" w:rsidP="007D54BE" w14:paraId="389A7C26" w14:textId="19998F54">
      <w:pPr>
        <w:rPr>
          <w:rFonts w:ascii="Times New Roman" w:hAnsi="Times New Roman"/>
          <w:sz w:val="24"/>
          <w:szCs w:val="24"/>
        </w:rPr>
      </w:pPr>
    </w:p>
    <w:p w:rsidR="007D54BE" w:rsidRPr="00D93FFB" w:rsidP="007D54BE" w14:paraId="331C54F8" w14:textId="77777777">
      <w:pPr>
        <w:rPr>
          <w:rFonts w:ascii="Times New Roman" w:hAnsi="Times New Roman"/>
          <w:b/>
          <w:sz w:val="24"/>
          <w:szCs w:val="24"/>
        </w:rPr>
      </w:pPr>
    </w:p>
    <w:p w:rsidR="007E1599" w:rsidRPr="00D93FFB" w:rsidP="007D54BE" w14:paraId="15A600C0" w14:textId="77777777">
      <w:pPr>
        <w:widowControl/>
        <w:numPr>
          <w:ilvl w:val="0"/>
          <w:numId w:val="1"/>
        </w:numPr>
        <w:tabs>
          <w:tab w:val="clear" w:pos="720"/>
        </w:tabs>
        <w:spacing w:after="120"/>
        <w:ind w:left="0" w:firstLine="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Plans for Tabulation and Publication and Project Time Schedule </w:t>
      </w:r>
    </w:p>
    <w:p w:rsidR="007E1599" w:rsidP="007D54BE" w14:paraId="1C7794F4" w14:textId="10AFB4B1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Data collected from generic PPRs are often published on the ACF </w:t>
      </w:r>
      <w:r w:rsidR="00C96936">
        <w:rPr>
          <w:rFonts w:ascii="Times New Roman" w:hAnsi="Times New Roman"/>
          <w:snapToGrid/>
          <w:sz w:val="24"/>
          <w:szCs w:val="24"/>
        </w:rPr>
        <w:t>website and</w:t>
      </w:r>
      <w:r>
        <w:rPr>
          <w:rFonts w:ascii="Times New Roman" w:hAnsi="Times New Roman"/>
          <w:snapToGrid/>
          <w:sz w:val="24"/>
          <w:szCs w:val="24"/>
        </w:rPr>
        <w:t xml:space="preserve"> used to fulfill requirements such as reports to Congress, which are made public.</w:t>
      </w:r>
      <w:r w:rsidRPr="00D93FFB" w:rsidR="00E66601">
        <w:rPr>
          <w:rFonts w:ascii="Times New Roman" w:hAnsi="Times New Roman"/>
          <w:snapToGrid/>
          <w:sz w:val="24"/>
          <w:szCs w:val="24"/>
        </w:rPr>
        <w:t xml:space="preserve"> </w:t>
      </w:r>
      <w:r w:rsidRPr="00D93FFB" w:rsidR="00E66601">
        <w:rPr>
          <w:rFonts w:ascii="Times New Roman" w:hAnsi="Times New Roman"/>
          <w:sz w:val="24"/>
          <w:szCs w:val="24"/>
        </w:rPr>
        <w:t>Any plans to publish results will be described in individual ICs under this generic clearance</w:t>
      </w:r>
      <w:r w:rsidRPr="00D93FFB" w:rsidR="00E66601">
        <w:rPr>
          <w:rFonts w:ascii="Times New Roman" w:hAnsi="Times New Roman"/>
          <w:snapToGrid/>
          <w:sz w:val="24"/>
          <w:szCs w:val="24"/>
        </w:rPr>
        <w:t>.</w:t>
      </w:r>
    </w:p>
    <w:p w:rsidR="007D54BE" w:rsidP="007D54BE" w14:paraId="1F8E5351" w14:textId="321F1D73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D54BE" w:rsidRPr="00D93FFB" w:rsidP="007D54BE" w14:paraId="6EB98224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7D54BE" w14:paraId="5A2D98F5" w14:textId="77777777">
      <w:pPr>
        <w:widowControl/>
        <w:numPr>
          <w:ilvl w:val="0"/>
          <w:numId w:val="1"/>
        </w:numPr>
        <w:tabs>
          <w:tab w:val="clear" w:pos="720"/>
        </w:tabs>
        <w:spacing w:after="120"/>
        <w:ind w:left="0" w:firstLine="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="007E1599" w:rsidP="007D54BE" w14:paraId="2251D4C2" w14:textId="5DC29636">
      <w:pPr>
        <w:widowControl/>
        <w:rPr>
          <w:rFonts w:ascii="Times New Roman" w:hAnsi="Times New Roman"/>
          <w:snapToGrid/>
          <w:sz w:val="24"/>
          <w:szCs w:val="24"/>
        </w:rPr>
      </w:pPr>
      <w:r w:rsidRPr="00D93FFB">
        <w:rPr>
          <w:rFonts w:ascii="Times New Roman" w:hAnsi="Times New Roman"/>
          <w:snapToGrid/>
          <w:sz w:val="24"/>
          <w:szCs w:val="24"/>
        </w:rPr>
        <w:t>Not applicable.</w:t>
      </w:r>
    </w:p>
    <w:p w:rsidR="007D54BE" w:rsidP="007D54BE" w14:paraId="0D098EA1" w14:textId="42B17760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D54BE" w:rsidRPr="00D93FFB" w:rsidP="007D54BE" w14:paraId="2D3D8341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D93FFB" w:rsidP="007D54BE" w14:paraId="38367B15" w14:textId="2DF3C0AC">
      <w:pPr>
        <w:widowControl/>
        <w:numPr>
          <w:ilvl w:val="0"/>
          <w:numId w:val="1"/>
        </w:numPr>
        <w:tabs>
          <w:tab w:val="num" w:pos="0"/>
          <w:tab w:val="clear" w:pos="720"/>
        </w:tabs>
        <w:spacing w:after="120"/>
        <w:ind w:hanging="720"/>
        <w:rPr>
          <w:rFonts w:ascii="Times New Roman" w:hAnsi="Times New Roman"/>
          <w:b/>
          <w:snapToGrid/>
          <w:sz w:val="24"/>
          <w:szCs w:val="24"/>
        </w:rPr>
      </w:pPr>
      <w:r w:rsidRPr="00D93FFB">
        <w:rPr>
          <w:rFonts w:ascii="Times New Roman" w:hAnsi="Times New Roman"/>
          <w:b/>
          <w:snapToGrid/>
          <w:sz w:val="24"/>
          <w:szCs w:val="24"/>
        </w:rPr>
        <w:t>Exceptions to Certification for Paperwork Reduction Act Submissions</w:t>
      </w:r>
    </w:p>
    <w:p w:rsidR="00140C08" w:rsidRPr="00D93FFB" w:rsidP="007D54BE" w14:paraId="4AFEEFC4" w14:textId="632F6421">
      <w:pPr>
        <w:widowControl/>
        <w:rPr>
          <w:rFonts w:ascii="Times New Roman" w:hAnsi="Times New Roman"/>
          <w:w w:val="105"/>
        </w:rPr>
      </w:pPr>
      <w:r w:rsidRPr="00D93FFB">
        <w:rPr>
          <w:rFonts w:ascii="Times New Roman" w:hAnsi="Times New Roman"/>
          <w:snapToGrid/>
          <w:sz w:val="24"/>
          <w:szCs w:val="24"/>
        </w:rPr>
        <w:t>No exceptions.</w:t>
      </w:r>
    </w:p>
    <w:sectPr w:rsidSect="00C50FD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39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202EC" w:rsidP="00D40B3F" w14:paraId="42BE1946" w14:textId="77777777">
      <w:r>
        <w:separator/>
      </w:r>
    </w:p>
  </w:footnote>
  <w:footnote w:type="continuationSeparator" w:id="1">
    <w:p w:rsidR="000202EC" w:rsidP="00D40B3F" w14:paraId="4E6C502D" w14:textId="77777777">
      <w:r>
        <w:continuationSeparator/>
      </w:r>
    </w:p>
  </w:footnote>
  <w:footnote w:id="2">
    <w:p w:rsidR="00662648" w:rsidRPr="00662648" w:rsidP="00662648" w14:paraId="7855837D" w14:textId="6CE11DD2">
      <w:pPr>
        <w:spacing w:line="216" w:lineRule="auto"/>
        <w:rPr>
          <w:rFonts w:ascii="Times New Roman" w:hAnsi="Times New Roman"/>
          <w:snapToGrid/>
        </w:rPr>
      </w:pPr>
      <w:r w:rsidRPr="00662648">
        <w:rPr>
          <w:rStyle w:val="FootnoteReference"/>
          <w:rFonts w:ascii="Times New Roman" w:hAnsi="Times New Roman"/>
        </w:rPr>
        <w:footnoteRef/>
      </w:r>
      <w:r w:rsidRPr="00662648">
        <w:rPr>
          <w:rFonts w:ascii="Times New Roman" w:hAnsi="Times New Roman"/>
        </w:rPr>
        <w:t xml:space="preserve"> For definitions of discretionary and non-discretionary, please see 2 CFR 200: </w:t>
      </w:r>
      <w:hyperlink r:id="rId1" w:history="1">
        <w:r w:rsidRPr="00662648">
          <w:rPr>
            <w:rStyle w:val="Hyperlink"/>
            <w:rFonts w:ascii="Times New Roman" w:hAnsi="Times New Roman"/>
            <w:color w:val="000000"/>
          </w:rPr>
          <w:t>https://www.ecfr.gov/current/title-2/subtitle-A/chapter-II/part-200/subpart-A/subject-group-ECFR2a6a0087862fd2c/section-200.1</w:t>
        </w:r>
      </w:hyperlink>
    </w:p>
  </w:footnote>
  <w:footnote w:id="3">
    <w:p w:rsidR="00D03629" w:rsidRPr="00D03629" w14:paraId="04E0D5CA" w14:textId="596EF7B5">
      <w:pPr>
        <w:pStyle w:val="FootnoteText"/>
        <w:rPr>
          <w:rFonts w:ascii="Times New Roman" w:hAnsi="Times New Roman"/>
        </w:rPr>
      </w:pPr>
      <w:r w:rsidRPr="00D03629">
        <w:rPr>
          <w:rStyle w:val="FootnoteReference"/>
          <w:rFonts w:ascii="Times New Roman" w:hAnsi="Times New Roman"/>
        </w:rPr>
        <w:footnoteRef/>
      </w:r>
      <w:r w:rsidRPr="00D03629">
        <w:rPr>
          <w:rFonts w:ascii="Times New Roman" w:hAnsi="Times New Roman"/>
        </w:rPr>
        <w:t xml:space="preserve"> Step 1, adjusted for DC area: </w:t>
      </w:r>
      <w:r w:rsidRPr="00C96936" w:rsidR="009A39B1">
        <w:rPr>
          <w:rFonts w:ascii="Times New Roman" w:hAnsi="Times New Roman"/>
        </w:rPr>
        <w:t>https://www.opm.gov/policy-data-oversight/pay-leave/salaries-wages/salary-tables/pdf/2022/DCB.pdf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B3F" w14:paraId="6219C851" w14:textId="3C38D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B3F" w14:paraId="70AA4758" w14:textId="6C42C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B3F" w14:paraId="789C0C59" w14:textId="33436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BE2509"/>
    <w:multiLevelType w:val="multilevel"/>
    <w:tmpl w:val="2662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03CBD"/>
    <w:multiLevelType w:val="hybridMultilevel"/>
    <w:tmpl w:val="B80660AA"/>
    <w:lvl w:ilvl="0">
      <w:start w:val="0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740526"/>
    <w:multiLevelType w:val="multilevel"/>
    <w:tmpl w:val="686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37CBB"/>
    <w:multiLevelType w:val="hybridMultilevel"/>
    <w:tmpl w:val="EC04F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99"/>
    <w:rsid w:val="00000141"/>
    <w:rsid w:val="000202EC"/>
    <w:rsid w:val="00034E05"/>
    <w:rsid w:val="00044FF6"/>
    <w:rsid w:val="00045102"/>
    <w:rsid w:val="00046F99"/>
    <w:rsid w:val="000A60CA"/>
    <w:rsid w:val="000C50E8"/>
    <w:rsid w:val="000C6714"/>
    <w:rsid w:val="000F4F19"/>
    <w:rsid w:val="00134C7E"/>
    <w:rsid w:val="00140C08"/>
    <w:rsid w:val="001505A3"/>
    <w:rsid w:val="00161B78"/>
    <w:rsid w:val="00172BBD"/>
    <w:rsid w:val="0018001D"/>
    <w:rsid w:val="001954CB"/>
    <w:rsid w:val="001A50F7"/>
    <w:rsid w:val="001B419A"/>
    <w:rsid w:val="001B5967"/>
    <w:rsid w:val="001D456F"/>
    <w:rsid w:val="001F0259"/>
    <w:rsid w:val="001F4FFA"/>
    <w:rsid w:val="00210B9B"/>
    <w:rsid w:val="00225651"/>
    <w:rsid w:val="002321B0"/>
    <w:rsid w:val="002524EF"/>
    <w:rsid w:val="002928B7"/>
    <w:rsid w:val="0029494A"/>
    <w:rsid w:val="002A685F"/>
    <w:rsid w:val="002C65B2"/>
    <w:rsid w:val="002D3B7B"/>
    <w:rsid w:val="002D51E5"/>
    <w:rsid w:val="002F18CB"/>
    <w:rsid w:val="00315539"/>
    <w:rsid w:val="00357079"/>
    <w:rsid w:val="003A4635"/>
    <w:rsid w:val="003B41F7"/>
    <w:rsid w:val="003D7DD7"/>
    <w:rsid w:val="003F42AA"/>
    <w:rsid w:val="003F7510"/>
    <w:rsid w:val="00416AC6"/>
    <w:rsid w:val="00417A52"/>
    <w:rsid w:val="00426CE8"/>
    <w:rsid w:val="004278CB"/>
    <w:rsid w:val="00431114"/>
    <w:rsid w:val="0044085A"/>
    <w:rsid w:val="00456467"/>
    <w:rsid w:val="00474D82"/>
    <w:rsid w:val="00477A73"/>
    <w:rsid w:val="0048212B"/>
    <w:rsid w:val="00491A7B"/>
    <w:rsid w:val="004A2FB5"/>
    <w:rsid w:val="004A397A"/>
    <w:rsid w:val="004A4019"/>
    <w:rsid w:val="004B068F"/>
    <w:rsid w:val="004B4155"/>
    <w:rsid w:val="004B6DE8"/>
    <w:rsid w:val="004B7EB8"/>
    <w:rsid w:val="004D0162"/>
    <w:rsid w:val="004D6A49"/>
    <w:rsid w:val="004E44BF"/>
    <w:rsid w:val="004E74F1"/>
    <w:rsid w:val="005039E8"/>
    <w:rsid w:val="005124BE"/>
    <w:rsid w:val="0051339C"/>
    <w:rsid w:val="00515E72"/>
    <w:rsid w:val="00574940"/>
    <w:rsid w:val="0059497E"/>
    <w:rsid w:val="005C7F8F"/>
    <w:rsid w:val="005F6D81"/>
    <w:rsid w:val="00662648"/>
    <w:rsid w:val="00670CED"/>
    <w:rsid w:val="00685198"/>
    <w:rsid w:val="00686A8A"/>
    <w:rsid w:val="006912CB"/>
    <w:rsid w:val="006A1971"/>
    <w:rsid w:val="006D5765"/>
    <w:rsid w:val="006F50E2"/>
    <w:rsid w:val="00702740"/>
    <w:rsid w:val="00705084"/>
    <w:rsid w:val="00724AC8"/>
    <w:rsid w:val="00735349"/>
    <w:rsid w:val="00754E23"/>
    <w:rsid w:val="00765FBE"/>
    <w:rsid w:val="00772697"/>
    <w:rsid w:val="007849DF"/>
    <w:rsid w:val="007923A1"/>
    <w:rsid w:val="007D3261"/>
    <w:rsid w:val="007D54BE"/>
    <w:rsid w:val="007D7438"/>
    <w:rsid w:val="007E1599"/>
    <w:rsid w:val="007F284F"/>
    <w:rsid w:val="00800AD6"/>
    <w:rsid w:val="008243FB"/>
    <w:rsid w:val="00830C97"/>
    <w:rsid w:val="00840F9C"/>
    <w:rsid w:val="008651D8"/>
    <w:rsid w:val="0087117B"/>
    <w:rsid w:val="008A23D5"/>
    <w:rsid w:val="008A451F"/>
    <w:rsid w:val="0091254F"/>
    <w:rsid w:val="0091320B"/>
    <w:rsid w:val="0098088F"/>
    <w:rsid w:val="00990661"/>
    <w:rsid w:val="009A39B1"/>
    <w:rsid w:val="009D232F"/>
    <w:rsid w:val="009F65A9"/>
    <w:rsid w:val="00A0429C"/>
    <w:rsid w:val="00A379F1"/>
    <w:rsid w:val="00A46234"/>
    <w:rsid w:val="00A6301E"/>
    <w:rsid w:val="00A6337C"/>
    <w:rsid w:val="00A7604E"/>
    <w:rsid w:val="00A90EAB"/>
    <w:rsid w:val="00AD7414"/>
    <w:rsid w:val="00AF1DA5"/>
    <w:rsid w:val="00B009FD"/>
    <w:rsid w:val="00B35211"/>
    <w:rsid w:val="00B51344"/>
    <w:rsid w:val="00B56527"/>
    <w:rsid w:val="00B72322"/>
    <w:rsid w:val="00B863AB"/>
    <w:rsid w:val="00BA1F13"/>
    <w:rsid w:val="00BC1786"/>
    <w:rsid w:val="00C139C4"/>
    <w:rsid w:val="00C15FFF"/>
    <w:rsid w:val="00C46971"/>
    <w:rsid w:val="00C50FD4"/>
    <w:rsid w:val="00C836A8"/>
    <w:rsid w:val="00C9641B"/>
    <w:rsid w:val="00C96936"/>
    <w:rsid w:val="00CA06D8"/>
    <w:rsid w:val="00CC1B5C"/>
    <w:rsid w:val="00CC47D2"/>
    <w:rsid w:val="00CC5CE7"/>
    <w:rsid w:val="00CE377B"/>
    <w:rsid w:val="00D03629"/>
    <w:rsid w:val="00D11FD3"/>
    <w:rsid w:val="00D40B3F"/>
    <w:rsid w:val="00D81EED"/>
    <w:rsid w:val="00D8577E"/>
    <w:rsid w:val="00D93FFB"/>
    <w:rsid w:val="00DC4CC1"/>
    <w:rsid w:val="00E2321F"/>
    <w:rsid w:val="00E304EB"/>
    <w:rsid w:val="00E308DA"/>
    <w:rsid w:val="00E66601"/>
    <w:rsid w:val="00E66A32"/>
    <w:rsid w:val="00E70104"/>
    <w:rsid w:val="00E85226"/>
    <w:rsid w:val="00E93E4A"/>
    <w:rsid w:val="00E94E3C"/>
    <w:rsid w:val="00EC322B"/>
    <w:rsid w:val="00EC3359"/>
    <w:rsid w:val="00EC3521"/>
    <w:rsid w:val="00EF129A"/>
    <w:rsid w:val="00EF1E7F"/>
    <w:rsid w:val="00F07732"/>
    <w:rsid w:val="00F11477"/>
    <w:rsid w:val="00F743EA"/>
    <w:rsid w:val="00F83EA9"/>
    <w:rsid w:val="00F91341"/>
    <w:rsid w:val="00FB6B61"/>
    <w:rsid w:val="00FC72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CDDDB"/>
  <w15:docId w15:val="{4CDB291A-83AA-400B-BEC2-F940339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5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140C08"/>
    <w:pPr>
      <w:outlineLvl w:val="0"/>
    </w:pPr>
    <w:rPr>
      <w:rFonts w:ascii="Times New Roman" w:hAnsi="Times New Roman" w:cstheme="minorBidi"/>
      <w:b/>
      <w:bCs/>
      <w:snapToGrid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0C08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40C08"/>
    <w:pPr>
      <w:ind w:left="100"/>
    </w:pPr>
    <w:rPr>
      <w:rFonts w:ascii="Times New Roman" w:hAnsi="Times New Roman" w:cstheme="minorBidi"/>
      <w:snapToGrid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0C0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40C08"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40C08"/>
    <w:rPr>
      <w:rFonts w:asciiTheme="minorHAnsi" w:eastAsiaTheme="minorHAnsi" w:hAnsiTheme="minorHAnsi" w:cstheme="minorBidi"/>
      <w:snapToGrid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0C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0C08"/>
  </w:style>
  <w:style w:type="paragraph" w:styleId="Footer">
    <w:name w:val="footer"/>
    <w:basedOn w:val="Normal"/>
    <w:link w:val="FooterChar"/>
    <w:uiPriority w:val="99"/>
    <w:unhideWhenUsed/>
    <w:rsid w:val="00140C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0C08"/>
  </w:style>
  <w:style w:type="paragraph" w:styleId="BalloonText">
    <w:name w:val="Balloon Text"/>
    <w:basedOn w:val="Normal"/>
    <w:link w:val="BalloonTextChar"/>
    <w:uiPriority w:val="99"/>
    <w:semiHidden/>
    <w:unhideWhenUsed/>
    <w:rsid w:val="007D3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61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rsid w:val="00FB6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B61"/>
  </w:style>
  <w:style w:type="character" w:customStyle="1" w:styleId="CommentTextChar">
    <w:name w:val="Comment Text Char"/>
    <w:basedOn w:val="DefaultParagraphFont"/>
    <w:link w:val="CommentText"/>
    <w:rsid w:val="00FB6B61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ReportCover-Title">
    <w:name w:val="ReportCover-Title"/>
    <w:basedOn w:val="Normal"/>
    <w:rsid w:val="00FB6B6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FB6B6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635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60C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7232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4A39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D6A4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0EAB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62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629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39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0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bls.gov/oes/current/oes_stru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ecfr.gov/current/title-2/subtitle-A/chapter-II/part-200/subpart-A/subject-group-ECFR2a6a0087862fd2c/section-200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9A35-9714-42E1-99BF-9D0EF7C3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ACF PRA</cp:lastModifiedBy>
  <cp:revision>3</cp:revision>
  <cp:lastPrinted>2016-09-01T14:34:00Z</cp:lastPrinted>
  <dcterms:created xsi:type="dcterms:W3CDTF">2023-01-25T20:59:00Z</dcterms:created>
  <dcterms:modified xsi:type="dcterms:W3CDTF">2023-01-25T21:05:00Z</dcterms:modified>
</cp:coreProperties>
</file>