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bookmarkStart w:id="0" w:name="_GoBack"/>
      <w:bookmarkEnd w:id="0"/>
    </w:p>
    <w:p w:rsidR="001B3603" w:rsidRPr="001B3603" w:rsidP="001B3603" w14:paraId="4BDC75C3" w14:textId="77777777">
      <w:pPr>
        <w:jc w:val="center"/>
        <w:rPr>
          <w:rFonts w:ascii="Times New Roman" w:hAnsi="Times New Roman"/>
          <w:b/>
          <w:szCs w:val="20"/>
        </w:rPr>
      </w:pPr>
      <w:r w:rsidRPr="001B3603">
        <w:rPr>
          <w:rFonts w:ascii="Times New Roman" w:hAnsi="Times New Roman"/>
          <w:b/>
        </w:rPr>
        <w:t>SUPPORTING STATEMENT FOR</w:t>
      </w:r>
    </w:p>
    <w:p w:rsidR="001B3603" w:rsidRPr="001B3603" w:rsidP="001B3603" w14:paraId="639E9686" w14:textId="77777777">
      <w:pPr>
        <w:tabs>
          <w:tab w:val="center" w:pos="4680"/>
        </w:tabs>
        <w:jc w:val="center"/>
        <w:rPr>
          <w:rFonts w:ascii="Times New Roman" w:hAnsi="Times New Roman"/>
          <w:b/>
        </w:rPr>
      </w:pPr>
      <w:bookmarkStart w:id="1" w:name="OLE_LINK9"/>
      <w:r w:rsidRPr="001B3603">
        <w:rPr>
          <w:rFonts w:ascii="Times New Roman" w:hAnsi="Times New Roman"/>
          <w:b/>
        </w:rPr>
        <w:t xml:space="preserve">Import/Export Declaration for List I and List II Chemicals </w:t>
      </w:r>
    </w:p>
    <w:p w:rsidR="001B3603" w:rsidRPr="001B3603" w:rsidP="001B3603" w14:paraId="560186F8" w14:textId="77777777">
      <w:pPr>
        <w:tabs>
          <w:tab w:val="center" w:pos="4680"/>
        </w:tabs>
        <w:jc w:val="center"/>
        <w:rPr>
          <w:rFonts w:ascii="Times New Roman" w:hAnsi="Times New Roman"/>
          <w:b/>
        </w:rPr>
      </w:pPr>
      <w:r w:rsidRPr="001B3603">
        <w:rPr>
          <w:rFonts w:ascii="Times New Roman" w:hAnsi="Times New Roman"/>
          <w:b/>
        </w:rPr>
        <w:t>(DEA Form 486 and DEA Form 486A)</w:t>
      </w:r>
      <w:bookmarkEnd w:id="1"/>
    </w:p>
    <w:p w:rsidR="000B6FB6" w:rsidP="00690F56" w14:paraId="1CF8A88F" w14:textId="30A843A1">
      <w:pPr>
        <w:widowControl/>
        <w:rPr>
          <w:rFonts w:ascii="Times New Roman" w:hAnsi="Times New Roman"/>
          <w:b/>
          <w:bCs/>
        </w:rPr>
      </w:pPr>
    </w:p>
    <w:p w:rsidR="001B3603" w:rsidRPr="001B3603" w:rsidP="001B3603" w14:paraId="0CF1325C" w14:textId="6C1BD03E">
      <w:pPr>
        <w:tabs>
          <w:tab w:val="center" w:pos="4680"/>
        </w:tabs>
        <w:rPr>
          <w:rFonts w:ascii="Times New Roman" w:hAnsi="Times New Roman"/>
        </w:rPr>
      </w:pPr>
      <w:r w:rsidRPr="001B3603">
        <w:rPr>
          <w:rFonts w:ascii="Times New Roman" w:hAnsi="Times New Roman"/>
        </w:rPr>
        <w:t>The Drug Enforcement Administration (DEA) seeks approval by the Office of Management and Budget (OMB) for a revision an existing collection of information that was previously approved by OMB – OMB Approval # 1117-0023, Import/Export Declaration for List I and List II Chemicals (DEA Forms 486 and 486A).</w:t>
      </w:r>
    </w:p>
    <w:p w:rsidR="004763FD" w:rsidP="00690F56" w14:paraId="573745BF" w14:textId="7E7B91B7">
      <w:pPr>
        <w:widowControl/>
        <w:rPr>
          <w:rFonts w:ascii="Times New Roman" w:hAnsi="Times New Roman"/>
          <w:b/>
          <w:bCs/>
        </w:rPr>
      </w:pP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0D058D" w:rsidP="000D058D" w14:paraId="2DBBB5E5" w14:textId="77777777">
      <w:pPr>
        <w:pStyle w:val="NoSpacing"/>
      </w:pPr>
      <w:r w:rsidRPr="00D53DEB">
        <w:rPr>
          <w:b/>
          <w:bCs/>
        </w:rPr>
        <w:t xml:space="preserve">1.  </w:t>
      </w:r>
      <w:r>
        <w:t xml:space="preserve">DEA import/export declarations (DEA Forms 486 and 486A), is now an electronic process.  Upon receipt of a complete declaration through the Diversion Control Division secure network application, DEA provides the importer or exporter with the notice of receipt that is then filed with Custom Border Patrol as part of the CBP import or export filing through </w:t>
      </w:r>
      <w:r>
        <w:rPr>
          <w:szCs w:val="24"/>
        </w:rPr>
        <w:t>Automated Commercial Environment (</w:t>
      </w:r>
      <w:r>
        <w:t xml:space="preserve">ACE), or any successor system.  DEA also transmits the declaration information electronically to CBP so that customs officers can validate importations and exportations subject to DEA regulations.  </w:t>
      </w:r>
    </w:p>
    <w:p w:rsidR="000D058D" w:rsidP="000D058D" w14:paraId="153DEBF5" w14:textId="77777777">
      <w:pPr>
        <w:pStyle w:val="NoSpacing"/>
      </w:pPr>
    </w:p>
    <w:p w:rsidR="000D058D" w:rsidRPr="000D058D" w:rsidP="000D058D" w14:paraId="0391E0B6" w14:textId="77777777">
      <w:pPr>
        <w:pStyle w:val="NoSpacing"/>
      </w:pPr>
      <w:r>
        <w:t xml:space="preserve">Due to the requirement that regulated persons submit reports of regulated transactions in Listed chemicals to DEA, DEA requires such domestic regulated transaction reports to be submitted through DEA Diversion Control Division secure network application, in addition to import and export regulated transactions.  Mandatory reporting requirements for domestic regulated transactions are included in this rule because it allows for DEA to create, at one time, an </w:t>
      </w:r>
      <w:r w:rsidRPr="000D058D">
        <w:t>efficient, streamlined reporting structure of regulated activities applicable to tableting and encapsulating machines.</w:t>
      </w:r>
    </w:p>
    <w:p w:rsidR="000D058D" w:rsidRPr="000D058D" w:rsidP="000D058D" w14:paraId="0E665D45" w14:textId="77777777">
      <w:pPr>
        <w:pStyle w:val="NoSpacing"/>
      </w:pPr>
    </w:p>
    <w:p w:rsidR="000D058D" w:rsidRPr="000D058D" w:rsidP="000D058D" w14:paraId="0814C78F" w14:textId="77777777">
      <w:pPr>
        <w:widowControl/>
        <w:rPr>
          <w:rFonts w:ascii="Times New Roman" w:hAnsi="Times New Roman"/>
        </w:rPr>
      </w:pPr>
      <w:r w:rsidRPr="000D058D">
        <w:rPr>
          <w:rFonts w:ascii="Times New Roman" w:hAnsi="Times New Roman"/>
        </w:rPr>
        <w:t xml:space="preserve">Additionally, DEA mandates electronic filing of return information for any person who desires to import non-narcotic substances in schedules III, IV, and V or to export non-narcotic substances in schedules III and IV and any other substance in schedule V, to furnish a controlled substances import declaration/controlled substance export invoice on DEA Forms 486 and 486A.  </w:t>
      </w:r>
    </w:p>
    <w:p w:rsidR="000D058D" w:rsidP="00690F56" w14:paraId="2E0F1582" w14:textId="77777777">
      <w:pPr>
        <w:widowControl/>
        <w:rPr>
          <w:rFonts w:ascii="Times New Roman" w:hAnsi="Times New Roman"/>
          <w:b/>
          <w:bCs/>
        </w:rPr>
      </w:pPr>
    </w:p>
    <w:p w:rsidR="000D058D" w:rsidRPr="000D058D" w:rsidP="000D058D" w14:paraId="7006B407" w14:textId="77777777">
      <w:pPr>
        <w:rPr>
          <w:rFonts w:ascii="Times New Roman" w:hAnsi="Times New Roman"/>
          <w:szCs w:val="20"/>
        </w:rPr>
      </w:pPr>
      <w:r w:rsidRPr="00D53DEB">
        <w:rPr>
          <w:rFonts w:ascii="Times New Roman" w:hAnsi="Times New Roman"/>
          <w:b/>
          <w:bCs/>
        </w:rPr>
        <w:t xml:space="preserve"> 2.  </w:t>
      </w:r>
      <w:r w:rsidRPr="000D058D">
        <w:rPr>
          <w:rFonts w:ascii="Times New Roman" w:hAnsi="Times New Roman"/>
        </w:rPr>
        <w:t>DEA amended part 1313 to provide that each regulated person who seeks to import or export a listed chemical that meets or exceeds a threshold quantity, must notify/provide a declaration to DEA (by filing a DEA Form 486/486A through DEA Diversion Control Division secure network application) of the intended import or export not later than 15 calendar days before the date of release by a customs officer at the port of entry.  Regarding imports and exports for those entities with regular customer and regular importer status, the notification must be filed at least three business days before the date of release by a customs officer at the port of entry.  All declarations must be signed and dated by the importer or exporter and must contain the address of the final destination for the shipment.  DEA specifies that all listed chemical declarations expire in 180 calendar days, consistent with the controlled substance import/export permits.  If release by a customs officer will occur more than 180 calendar days after the declaration is deemed filed, the declarant must submit a new declaration for the transaction.</w:t>
      </w:r>
    </w:p>
    <w:p w:rsidR="000D058D" w:rsidRPr="000D058D" w:rsidP="000D058D" w14:paraId="4C35637C" w14:textId="77777777">
      <w:pPr>
        <w:rPr>
          <w:rFonts w:ascii="Times New Roman" w:hAnsi="Times New Roman"/>
        </w:rPr>
      </w:pPr>
    </w:p>
    <w:p w:rsidR="000D058D" w:rsidRPr="000D058D" w:rsidP="000D058D" w14:paraId="3736581A" w14:textId="77777777">
      <w:pPr>
        <w:rPr>
          <w:rFonts w:ascii="Times New Roman" w:hAnsi="Times New Roman"/>
        </w:rPr>
      </w:pPr>
      <w:r w:rsidRPr="000D058D">
        <w:rPr>
          <w:rFonts w:ascii="Times New Roman" w:hAnsi="Times New Roman"/>
        </w:rPr>
        <w:t>In § 1313.32 DEA incorporates the mandatory electronic filing of notifications of international transactions involving listed chemicals which meet or exceed the threshold amount identified in § 1310.04.  The broker or trader must notify DEA (by filing a DEA Form 486 through DEA Diversion Control Division secure network application) of the intended international transaction not later than 15 calendar days before the transaction is to take place.  DEA amends § 1313.32 to require that notifications of international transactions are not deemed filed until a transaction identification number has been issued by DEA.  This change is designed to ensure that electronically submitted notifications are received by DEA, are completed, and can be appropriately tracked and monitored; to streamline the notification filing process; and eliminate duplicate filings.</w:t>
      </w:r>
    </w:p>
    <w:p w:rsidR="00802A30" w:rsidRPr="00A47DA7" w:rsidP="00802A30" w14:paraId="34E41BA0" w14:textId="77777777">
      <w:pPr>
        <w:widowControl/>
        <w:rPr>
          <w:rFonts w:ascii="Times New Roman" w:hAnsi="Times New Roman"/>
          <w:u w:val="single"/>
        </w:rPr>
      </w:pPr>
    </w:p>
    <w:p w:rsidR="000D058D" w:rsidRPr="000D058D" w:rsidP="000D058D" w14:paraId="096864EB" w14:textId="77777777">
      <w:pPr>
        <w:rPr>
          <w:rFonts w:ascii="Times New Roman" w:hAnsi="Times New Roman"/>
          <w:szCs w:val="20"/>
        </w:rPr>
      </w:pPr>
      <w:r w:rsidRPr="00D53DEB">
        <w:rPr>
          <w:rFonts w:ascii="Times New Roman" w:hAnsi="Times New Roman"/>
          <w:b/>
          <w:bCs/>
        </w:rPr>
        <w:t xml:space="preserve">3.  </w:t>
      </w:r>
      <w:r w:rsidRPr="000D058D">
        <w:rPr>
          <w:rFonts w:ascii="Times New Roman" w:hAnsi="Times New Roman"/>
        </w:rPr>
        <w:t xml:space="preserve">DEA requires mandatory electronic submissions of DEA Forms 486 and 486a.  Respondents create accounts on DEA Office of Diversion Control Web site </w:t>
      </w:r>
      <w:r w:rsidRPr="000D058D">
        <w:rPr>
          <w:rFonts w:ascii="Times New Roman" w:hAnsi="Times New Roman"/>
          <w:noProof/>
        </w:rPr>
        <w:t>(</w:t>
      </w:r>
      <w:hyperlink r:id="rId9" w:history="1">
        <w:r w:rsidRPr="000D058D">
          <w:rPr>
            <w:rStyle w:val="Hyperlink"/>
            <w:rFonts w:ascii="Times New Roman" w:hAnsi="Times New Roman"/>
            <w:noProof/>
            <w:color w:val="0000FF"/>
          </w:rPr>
          <w:t>http://www.deadiversion.usdoj.gov</w:t>
        </w:r>
      </w:hyperlink>
      <w:r w:rsidRPr="000D058D">
        <w:rPr>
          <w:rFonts w:ascii="Times New Roman" w:hAnsi="Times New Roman"/>
          <w:noProof/>
        </w:rPr>
        <w:t>).  The accounts are used to submit forms and update contact information.</w:t>
      </w:r>
      <w:r w:rsidRPr="000D058D">
        <w:rPr>
          <w:rFonts w:ascii="Times New Roman" w:hAnsi="Times New Roman"/>
        </w:rPr>
        <w:t xml:space="preserve">  One hundred percent (100%) of forms are submitted electronically.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P="000D058D" w14:paraId="79A12AB8" w14:textId="77777777">
      <w:pPr>
        <w:rPr>
          <w:rFonts w:ascii="Times New Roman" w:hAnsi="Times New Roman"/>
          <w:szCs w:val="20"/>
        </w:rPr>
      </w:pPr>
      <w:r w:rsidRPr="006A4637">
        <w:rPr>
          <w:rFonts w:ascii="Times New Roman" w:hAnsi="Times New Roman"/>
          <w:b/>
          <w:bCs/>
        </w:rPr>
        <w:t xml:space="preserve"> </w:t>
      </w:r>
      <w:r w:rsidRPr="00D53DEB">
        <w:rPr>
          <w:rFonts w:ascii="Times New Roman" w:hAnsi="Times New Roman"/>
          <w:b/>
          <w:bCs/>
        </w:rPr>
        <w:t xml:space="preserve">4.  </w:t>
      </w:r>
      <w:r w:rsidRPr="000D058D">
        <w:rPr>
          <w:rFonts w:ascii="Times New Roman" w:hAnsi="Times New Roman"/>
        </w:rPr>
        <w:t>DEA has made efforts to identify and prevent duplication of the collection of information.  The existing DEA Form 486/486A is not duplicative.  The collection of this information is unique to DEA.</w:t>
      </w:r>
    </w:p>
    <w:p w:rsidR="00C25E66" w:rsidRPr="00A973AA" w:rsidP="00690F56" w14:paraId="1F4E2827" w14:textId="4725364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RPr="000D058D" w:rsidP="000D058D" w14:paraId="64B386D5" w14:textId="77777777">
      <w:pPr>
        <w:rPr>
          <w:rFonts w:ascii="Times New Roman" w:hAnsi="Times New Roman"/>
          <w:szCs w:val="20"/>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bookmarkStart w:id="2" w:name="OLE_LINK7"/>
      <w:bookmarkStart w:id="3" w:name="OLE_LINK6"/>
      <w:r w:rsidRPr="000D058D">
        <w:rPr>
          <w:rFonts w:ascii="Times New Roman" w:hAnsi="Times New Roman"/>
        </w:rPr>
        <w:t>This is a routine three-year renewal of DEA Form 486/486A.  DEA does not anticipate any additional impact on small businesses or other small entities since the initial approval of this form.  The collection does not have a significant economic impact on small businesses or other small entities within the meaning and intent of the Regulatory Flexibility Act, 5 U.S.C. 601-612.</w:t>
      </w:r>
      <w:bookmarkEnd w:id="2"/>
      <w:bookmarkEnd w:id="3"/>
    </w:p>
    <w:p w:rsidR="005622FE" w:rsidRPr="00A973AA" w:rsidP="000D058D" w14:paraId="6F57386F" w14:textId="02612AC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RPr="000D058D" w:rsidP="000D058D" w14:paraId="4D9C340E" w14:textId="77777777">
      <w:pPr>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0D058D">
        <w:rPr>
          <w:rFonts w:ascii="Times New Roman" w:hAnsi="Times New Roman"/>
        </w:rPr>
        <w:t>DEA uses the information collected to monitor the import and export of listed chemicals.  Information is provided each time the registrant proposes to import or export listed chemicals and therefore cannot be collected less frequently.  Failure to collect the information would impair DEA’s enforcement activities and violate the requirements imposed by the Controlled Substance Act (CSA) and the United States’ international obligations.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D058D" w14:paraId="186CBA80" w14:textId="1C052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w:t>
      </w:r>
      <w:bookmarkStart w:id="4" w:name="OLE_LINK10"/>
      <w:r w:rsidRPr="000D058D" w:rsidR="000D058D">
        <w:rPr>
          <w:rFonts w:ascii="Times New Roman" w:hAnsi="Times New Roman"/>
        </w:rPr>
        <w:t>There are no special circumstances applicable to this information collection.</w:t>
      </w:r>
      <w:bookmarkEnd w:id="4"/>
    </w:p>
    <w:p w:rsidR="000D058D" w:rsidRPr="00871CA6" w:rsidP="000D058D" w14:paraId="3E2568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114B" w:rsidP="0067453C" w14:paraId="425C0DB9" w14:textId="5F7C7E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r w:rsidRPr="00A2391E" w:rsidR="00A2391E">
        <w:rPr>
          <w:rFonts w:ascii="Times New Roman" w:hAnsi="Times New Roman"/>
        </w:rPr>
        <w:t>The 60-Day Notice was published in the Federal Register on</w:t>
      </w:r>
      <w:r w:rsidR="0067453C">
        <w:rPr>
          <w:rFonts w:ascii="Times New Roman" w:hAnsi="Times New Roman"/>
        </w:rPr>
        <w:t xml:space="preserve"> September 11, 2023</w:t>
      </w:r>
      <w:r w:rsidRPr="00A2391E" w:rsidR="00A2391E">
        <w:rPr>
          <w:rFonts w:ascii="Times New Roman" w:hAnsi="Times New Roman"/>
        </w:rPr>
        <w:t xml:space="preserve"> (</w:t>
      </w:r>
      <w:r w:rsidR="0067453C">
        <w:rPr>
          <w:rFonts w:ascii="Times New Roman" w:hAnsi="Times New Roman"/>
        </w:rPr>
        <w:t>88</w:t>
      </w:r>
      <w:r w:rsidRPr="005B2697" w:rsidR="005B2697">
        <w:rPr>
          <w:rFonts w:ascii="Times New Roman" w:hAnsi="Times New Roman"/>
        </w:rPr>
        <w:t xml:space="preserve"> FR </w:t>
      </w:r>
      <w:r w:rsidR="0067453C">
        <w:rPr>
          <w:rFonts w:ascii="Times New Roman" w:hAnsi="Times New Roman"/>
        </w:rPr>
        <w:t>62396</w:t>
      </w:r>
      <w:r w:rsidRPr="00A2391E" w:rsidR="00A2391E">
        <w:rPr>
          <w:rFonts w:ascii="Times New Roman" w:hAnsi="Times New Roman"/>
        </w:rPr>
        <w:t>). The comment period ended on</w:t>
      </w:r>
      <w:r w:rsidR="002517E4">
        <w:rPr>
          <w:rFonts w:ascii="Times New Roman" w:hAnsi="Times New Roman"/>
        </w:rPr>
        <w:t xml:space="preserve"> </w:t>
      </w:r>
      <w:r w:rsidR="0067453C">
        <w:rPr>
          <w:rFonts w:ascii="Times New Roman" w:hAnsi="Times New Roman"/>
        </w:rPr>
        <w:t>November 11, 2023</w:t>
      </w:r>
      <w:r w:rsidR="002517E4">
        <w:rPr>
          <w:rFonts w:ascii="Times New Roman" w:hAnsi="Times New Roman"/>
        </w:rPr>
        <w:t>.</w:t>
      </w:r>
      <w:r w:rsidRPr="00A2391E" w:rsidR="00A2391E">
        <w:rPr>
          <w:rFonts w:ascii="Times New Roman" w:hAnsi="Times New Roman"/>
        </w:rPr>
        <w:t xml:space="preserve"> No comments were received.</w:t>
      </w:r>
    </w:p>
    <w:p w:rsidR="0067453C" w:rsidP="0067453C" w14:paraId="35E8DBCA" w14:textId="4144AC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RPr="0067453C" w:rsidP="0067453C" w14:paraId="69FB8BD7" w14:textId="1ED1A316">
      <w:pPr>
        <w:rPr>
          <w:rFonts w:ascii="Times New Roman" w:hAnsi="Times New Roman"/>
          <w:szCs w:val="20"/>
        </w:rPr>
      </w:pPr>
      <w:r w:rsidRPr="0067453C">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p>
    <w:p w:rsidR="00DA7DC9" w:rsidRPr="00A47DA7" w:rsidP="0060114B" w14:paraId="0C933CDF" w14:textId="77777777">
      <w:pPr>
        <w:widowControl/>
        <w:autoSpaceDE/>
        <w:autoSpaceDN/>
        <w:adjustRightInd/>
        <w:rPr>
          <w:rFonts w:ascii="Times New Roman" w:eastAsia="Calibri" w:hAnsi="Times New Roman"/>
        </w:rPr>
      </w:pPr>
    </w:p>
    <w:p w:rsidR="000D058D" w:rsidP="000D058D" w14:paraId="0E723075" w14:textId="77777777">
      <w:pPr>
        <w:pStyle w:val="1"/>
        <w:numPr>
          <w:ilvl w:val="0"/>
          <w:numId w:val="0"/>
        </w:numPr>
        <w:tabs>
          <w:tab w:val="left" w:pos="-1440"/>
        </w:tabs>
      </w:pPr>
      <w:r w:rsidRPr="00D53DEB">
        <w:rPr>
          <w:b/>
          <w:bCs/>
        </w:rPr>
        <w:t xml:space="preserve">9.  </w:t>
      </w:r>
      <w:r>
        <w:t>This collection of information does not propose to provide any payment or gift to respondents.</w:t>
      </w:r>
    </w:p>
    <w:p w:rsidR="00B64496" w:rsidRPr="00871CA6" w:rsidP="000D058D" w14:paraId="3D0608DC" w14:textId="0BB088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RPr="000D058D" w:rsidP="000D058D" w14:paraId="04B6F087" w14:textId="77777777">
      <w:pPr>
        <w:rPr>
          <w:rFonts w:ascii="Times New Roman" w:hAnsi="Times New Roman"/>
          <w:szCs w:val="20"/>
        </w:rPr>
      </w:pPr>
      <w:r w:rsidRPr="00D53DEB">
        <w:rPr>
          <w:rFonts w:ascii="Times New Roman" w:hAnsi="Times New Roman"/>
          <w:b/>
          <w:bCs/>
        </w:rPr>
        <w:t xml:space="preserve">10.  </w:t>
      </w:r>
      <w:r w:rsidRPr="000D058D">
        <w:rPr>
          <w:rFonts w:ascii="Times New Roman" w:hAnsi="Times New Roman"/>
        </w:rPr>
        <w:t xml:space="preserve">Information requested in this collection may be considered confidential business information if marked as such in accordance with 28 CFR 16.8(c) and Exemption 4 of the Freedom of </w:t>
      </w:r>
      <w:r w:rsidRPr="000D058D">
        <w:rPr>
          <w:rFonts w:ascii="Times New Roman" w:hAnsi="Times New Roman"/>
        </w:rPr>
        <w:t>Information Act (FOIA).  Submitters who are required to furnish commercial or financial information to the government are protected from the competitive disadvantages that could result from disclosure of such information.  This information is protected by DEA through secure storage, limited access, and federal regulatory and DEA procedures.  In the event a FOIA request is made to obtain information that has been designated as confidential business information in accordance with 28 CFR 16.8(c) and Exemption 4 of FOIA, DEA will give written notice to the submitter to allow an opportunity to object within a reasonable time prior to any disclosure by DEA.</w:t>
      </w:r>
    </w:p>
    <w:p w:rsidR="004328D9" w:rsidRPr="000D058D" w:rsidP="000D058D" w14:paraId="306AC335" w14:textId="078141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058D" w:rsidP="000D058D" w14:paraId="202AB71E" w14:textId="77777777">
      <w:pPr>
        <w:rPr>
          <w:rFonts w:ascii="Times New Roman" w:hAnsi="Times New Roman"/>
          <w:szCs w:val="20"/>
        </w:rPr>
      </w:pPr>
      <w:r w:rsidRPr="00D53DEB">
        <w:rPr>
          <w:rFonts w:ascii="Times New Roman" w:hAnsi="Times New Roman"/>
          <w:b/>
          <w:bCs/>
        </w:rPr>
        <w:t xml:space="preserve">11. </w:t>
      </w:r>
      <w:r w:rsidRPr="000D058D">
        <w:rPr>
          <w:rFonts w:ascii="Times New Roman" w:hAnsi="Times New Roman"/>
        </w:rPr>
        <w:t>This collection of information does not ask any questions of a sensitive nature.</w:t>
      </w:r>
      <w:r>
        <w:t xml:space="preserve">  </w:t>
      </w:r>
    </w:p>
    <w:p w:rsidR="00690F56" w:rsidP="00690F56" w14:paraId="3F71900A" w14:textId="3DBD3F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26FF" w:rsidRPr="002F31E7" w:rsidP="003A7CFF" w14:paraId="49938EA8" w14:textId="729197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2F31E7">
        <w:rPr>
          <w:rFonts w:ascii="Times New Roman" w:hAnsi="Times New Roman"/>
          <w:b/>
          <w:bCs/>
        </w:rPr>
        <w:t>12</w:t>
      </w:r>
      <w:r w:rsidRPr="002F31E7" w:rsidR="006A46AC">
        <w:rPr>
          <w:rFonts w:ascii="Times New Roman" w:hAnsi="Times New Roman"/>
          <w:b/>
          <w:bCs/>
        </w:rPr>
        <w:t>.</w:t>
      </w:r>
    </w:p>
    <w:p w:rsidR="006626FF" w:rsidRPr="002F31E7" w:rsidP="006626FF" w14:paraId="3CD4954E" w14:textId="77777777">
      <w:pPr>
        <w:ind w:left="720"/>
        <w:jc w:val="center"/>
        <w:rPr>
          <w:rFonts w:ascii="Times New Roman" w:hAnsi="Times New Roman"/>
          <w:i/>
        </w:rPr>
      </w:pPr>
      <w:r w:rsidRPr="002F31E7">
        <w:rPr>
          <w:rFonts w:ascii="Times New Roman" w:hAnsi="Times New Roman"/>
          <w:b/>
        </w:rPr>
        <w:t>Estimated Annualized Respondent Cost and Hour Burden</w:t>
      </w:r>
    </w:p>
    <w:tbl>
      <w:tblPr>
        <w:tblStyle w:val="TableGrid"/>
        <w:tblW w:w="10029" w:type="dxa"/>
        <w:tblLook w:val="04A0"/>
      </w:tblPr>
      <w:tblGrid>
        <w:gridCol w:w="1439"/>
        <w:gridCol w:w="1415"/>
        <w:gridCol w:w="1219"/>
        <w:gridCol w:w="1182"/>
        <w:gridCol w:w="1097"/>
        <w:gridCol w:w="950"/>
        <w:gridCol w:w="1398"/>
        <w:gridCol w:w="1329"/>
      </w:tblGrid>
      <w:tr w14:paraId="4AA59B92" w14:textId="77777777" w:rsidTr="00BB4A85">
        <w:tblPrEx>
          <w:tblW w:w="10029" w:type="dxa"/>
          <w:tblLook w:val="04A0"/>
        </w:tblPrEx>
        <w:tc>
          <w:tcPr>
            <w:tcW w:w="1439" w:type="dxa"/>
            <w:shd w:val="clear" w:color="auto" w:fill="ADB9CA" w:themeFill="text2" w:themeFillTint="66"/>
          </w:tcPr>
          <w:p w:rsidR="003908B9" w:rsidRPr="002F31E7" w:rsidP="008C6A87" w14:paraId="7BEB472C" w14:textId="77777777">
            <w:pPr>
              <w:rPr>
                <w:rFonts w:ascii="Times New Roman" w:hAnsi="Times New Roman"/>
                <w:b/>
                <w:sz w:val="22"/>
                <w:szCs w:val="22"/>
              </w:rPr>
            </w:pPr>
            <w:r w:rsidRPr="002F31E7">
              <w:rPr>
                <w:rFonts w:ascii="Times New Roman" w:hAnsi="Times New Roman"/>
                <w:b/>
                <w:sz w:val="22"/>
                <w:szCs w:val="22"/>
              </w:rPr>
              <w:t>Activity</w:t>
            </w:r>
          </w:p>
        </w:tc>
        <w:tc>
          <w:tcPr>
            <w:tcW w:w="1415" w:type="dxa"/>
            <w:shd w:val="clear" w:color="auto" w:fill="ADB9CA" w:themeFill="text2" w:themeFillTint="66"/>
          </w:tcPr>
          <w:p w:rsidR="003908B9" w:rsidRPr="002F31E7" w:rsidP="008C6A87" w14:paraId="0C165867" w14:textId="77777777">
            <w:pPr>
              <w:rPr>
                <w:rFonts w:ascii="Times New Roman" w:hAnsi="Times New Roman"/>
                <w:b/>
                <w:sz w:val="22"/>
                <w:szCs w:val="22"/>
              </w:rPr>
            </w:pPr>
            <w:r w:rsidRPr="002F31E7">
              <w:rPr>
                <w:rFonts w:ascii="Times New Roman" w:hAnsi="Times New Roman"/>
                <w:b/>
                <w:sz w:val="22"/>
                <w:szCs w:val="22"/>
              </w:rPr>
              <w:t>Number of Respondents</w:t>
            </w:r>
          </w:p>
        </w:tc>
        <w:tc>
          <w:tcPr>
            <w:tcW w:w="1219" w:type="dxa"/>
            <w:shd w:val="clear" w:color="auto" w:fill="ADB9CA" w:themeFill="text2" w:themeFillTint="66"/>
          </w:tcPr>
          <w:p w:rsidR="003908B9" w:rsidRPr="002F31E7" w:rsidP="008C6A87" w14:paraId="504A0CCE" w14:textId="77777777">
            <w:pPr>
              <w:rPr>
                <w:rFonts w:ascii="Times New Roman" w:hAnsi="Times New Roman"/>
                <w:b/>
                <w:sz w:val="22"/>
                <w:szCs w:val="22"/>
              </w:rPr>
            </w:pPr>
            <w:r w:rsidRPr="002F31E7">
              <w:rPr>
                <w:rFonts w:ascii="Times New Roman" w:hAnsi="Times New Roman"/>
                <w:b/>
                <w:sz w:val="22"/>
                <w:szCs w:val="22"/>
              </w:rPr>
              <w:t>Frequency</w:t>
            </w:r>
          </w:p>
        </w:tc>
        <w:tc>
          <w:tcPr>
            <w:tcW w:w="1182" w:type="dxa"/>
            <w:shd w:val="clear" w:color="auto" w:fill="ADB9CA" w:themeFill="text2" w:themeFillTint="66"/>
          </w:tcPr>
          <w:p w:rsidR="003908B9" w:rsidRPr="002F31E7" w:rsidP="008C6A87" w14:paraId="43DA2D2D" w14:textId="77777777">
            <w:pPr>
              <w:rPr>
                <w:rFonts w:ascii="Times New Roman" w:hAnsi="Times New Roman"/>
                <w:b/>
                <w:sz w:val="22"/>
                <w:szCs w:val="22"/>
              </w:rPr>
            </w:pPr>
            <w:r w:rsidRPr="002F31E7">
              <w:rPr>
                <w:rFonts w:ascii="Times New Roman" w:hAnsi="Times New Roman"/>
                <w:b/>
                <w:sz w:val="22"/>
                <w:szCs w:val="22"/>
              </w:rPr>
              <w:t>Total Annual Responses</w:t>
            </w:r>
          </w:p>
        </w:tc>
        <w:tc>
          <w:tcPr>
            <w:tcW w:w="1097" w:type="dxa"/>
            <w:shd w:val="clear" w:color="auto" w:fill="ADB9CA" w:themeFill="text2" w:themeFillTint="66"/>
          </w:tcPr>
          <w:p w:rsidR="003908B9" w:rsidRPr="002F31E7" w:rsidP="008C6A87" w14:paraId="2403F83B" w14:textId="77777777">
            <w:pPr>
              <w:rPr>
                <w:rFonts w:ascii="Times New Roman" w:hAnsi="Times New Roman"/>
                <w:b/>
                <w:sz w:val="22"/>
                <w:szCs w:val="22"/>
              </w:rPr>
            </w:pPr>
            <w:r w:rsidRPr="002F31E7">
              <w:rPr>
                <w:rFonts w:ascii="Times New Roman" w:hAnsi="Times New Roman"/>
                <w:b/>
                <w:sz w:val="22"/>
                <w:szCs w:val="22"/>
              </w:rPr>
              <w:t>Time Per Response</w:t>
            </w:r>
          </w:p>
        </w:tc>
        <w:tc>
          <w:tcPr>
            <w:tcW w:w="950" w:type="dxa"/>
            <w:shd w:val="clear" w:color="auto" w:fill="ADB9CA" w:themeFill="text2" w:themeFillTint="66"/>
          </w:tcPr>
          <w:p w:rsidR="003908B9" w:rsidRPr="002F31E7" w:rsidP="008C6A87" w14:paraId="4756C3F4" w14:textId="77777777">
            <w:pPr>
              <w:rPr>
                <w:rFonts w:ascii="Times New Roman" w:hAnsi="Times New Roman"/>
                <w:b/>
                <w:sz w:val="22"/>
                <w:szCs w:val="22"/>
              </w:rPr>
            </w:pPr>
            <w:r w:rsidRPr="002F31E7">
              <w:rPr>
                <w:rFonts w:ascii="Times New Roman" w:hAnsi="Times New Roman"/>
                <w:b/>
                <w:sz w:val="22"/>
                <w:szCs w:val="22"/>
              </w:rPr>
              <w:t>Total Annual Burden (Hours)</w:t>
            </w:r>
          </w:p>
        </w:tc>
        <w:tc>
          <w:tcPr>
            <w:tcW w:w="1398" w:type="dxa"/>
            <w:shd w:val="clear" w:color="auto" w:fill="ADB9CA" w:themeFill="text2" w:themeFillTint="66"/>
          </w:tcPr>
          <w:p w:rsidR="003908B9" w:rsidRPr="002F31E7" w:rsidP="008C6A87" w14:paraId="66A83D48" w14:textId="645B5C58">
            <w:pPr>
              <w:rPr>
                <w:rFonts w:ascii="Times New Roman" w:hAnsi="Times New Roman"/>
                <w:b/>
                <w:sz w:val="22"/>
                <w:szCs w:val="22"/>
              </w:rPr>
            </w:pPr>
            <w:r w:rsidRPr="002F31E7">
              <w:rPr>
                <w:rFonts w:ascii="Times New Roman" w:hAnsi="Times New Roman"/>
                <w:b/>
                <w:sz w:val="22"/>
                <w:szCs w:val="22"/>
              </w:rPr>
              <w:t>Hourly Rate</w:t>
            </w:r>
            <w:r>
              <w:rPr>
                <w:rStyle w:val="FootnoteReference"/>
                <w:rFonts w:ascii="Times New Roman" w:hAnsi="Times New Roman"/>
                <w:b/>
                <w:sz w:val="22"/>
                <w:szCs w:val="22"/>
              </w:rPr>
              <w:footnoteReference w:id="3"/>
            </w:r>
          </w:p>
        </w:tc>
        <w:tc>
          <w:tcPr>
            <w:tcW w:w="1329" w:type="dxa"/>
            <w:shd w:val="clear" w:color="auto" w:fill="ADB9CA" w:themeFill="text2" w:themeFillTint="66"/>
          </w:tcPr>
          <w:p w:rsidR="003908B9" w:rsidRPr="002F31E7" w:rsidP="008C6A87" w14:paraId="5F43E499" w14:textId="77777777">
            <w:pPr>
              <w:rPr>
                <w:rFonts w:ascii="Times New Roman" w:hAnsi="Times New Roman"/>
                <w:b/>
                <w:sz w:val="22"/>
                <w:szCs w:val="22"/>
              </w:rPr>
            </w:pPr>
            <w:r w:rsidRPr="002F31E7">
              <w:rPr>
                <w:rFonts w:ascii="Times New Roman" w:hAnsi="Times New Roman"/>
                <w:b/>
                <w:sz w:val="22"/>
                <w:szCs w:val="22"/>
              </w:rPr>
              <w:t>Monetized Value of Respondent Time</w:t>
            </w:r>
          </w:p>
        </w:tc>
      </w:tr>
      <w:tr w14:paraId="079EF15D" w14:textId="77777777" w:rsidTr="00B62A71">
        <w:tblPrEx>
          <w:tblW w:w="10029" w:type="dxa"/>
          <w:tblLook w:val="04A0"/>
        </w:tblPrEx>
        <w:tc>
          <w:tcPr>
            <w:tcW w:w="1439" w:type="dxa"/>
            <w:vAlign w:val="bottom"/>
          </w:tcPr>
          <w:p w:rsidR="003908B9" w:rsidRPr="002F31E7" w:rsidP="008C6A87" w14:paraId="4E4E0FA6" w14:textId="4C334381">
            <w:pPr>
              <w:jc w:val="right"/>
              <w:rPr>
                <w:rFonts w:ascii="Times New Roman" w:hAnsi="Times New Roman"/>
                <w:sz w:val="22"/>
                <w:szCs w:val="22"/>
              </w:rPr>
            </w:pPr>
            <w:bookmarkStart w:id="6" w:name="_Hlk143263894"/>
            <w:r w:rsidRPr="002F31E7">
              <w:rPr>
                <w:rFonts w:ascii="Times New Roman" w:hAnsi="Times New Roman"/>
                <w:sz w:val="22"/>
                <w:szCs w:val="22"/>
              </w:rPr>
              <w:t>DEA</w:t>
            </w:r>
            <w:r w:rsidRPr="002F31E7" w:rsidR="009E0475">
              <w:rPr>
                <w:rFonts w:ascii="Times New Roman" w:hAnsi="Times New Roman"/>
                <w:sz w:val="22"/>
                <w:szCs w:val="22"/>
              </w:rPr>
              <w:t>-486 Import</w:t>
            </w:r>
          </w:p>
        </w:tc>
        <w:tc>
          <w:tcPr>
            <w:tcW w:w="1415" w:type="dxa"/>
            <w:vAlign w:val="bottom"/>
          </w:tcPr>
          <w:p w:rsidR="003908B9" w:rsidRPr="002F31E7" w:rsidP="008C6A87" w14:paraId="23BB2474" w14:textId="667519F6">
            <w:pPr>
              <w:jc w:val="right"/>
              <w:rPr>
                <w:rFonts w:ascii="Times New Roman" w:hAnsi="Times New Roman"/>
                <w:sz w:val="22"/>
                <w:szCs w:val="22"/>
              </w:rPr>
            </w:pPr>
            <w:r w:rsidRPr="002F31E7">
              <w:rPr>
                <w:rFonts w:ascii="Times New Roman" w:hAnsi="Times New Roman"/>
                <w:sz w:val="22"/>
                <w:szCs w:val="22"/>
              </w:rPr>
              <w:t>164</w:t>
            </w:r>
          </w:p>
        </w:tc>
        <w:tc>
          <w:tcPr>
            <w:tcW w:w="1219" w:type="dxa"/>
            <w:vAlign w:val="bottom"/>
          </w:tcPr>
          <w:p w:rsidR="009E0475" w:rsidRPr="002F31E7" w:rsidP="004D7E10" w14:paraId="5D72451D" w14:textId="1969AE5F">
            <w:pPr>
              <w:jc w:val="center"/>
              <w:rPr>
                <w:rFonts w:ascii="Times New Roman" w:hAnsi="Times New Roman"/>
                <w:sz w:val="22"/>
                <w:szCs w:val="22"/>
              </w:rPr>
            </w:pPr>
            <w:r w:rsidRPr="002F31E7">
              <w:rPr>
                <w:rFonts w:ascii="Times New Roman" w:hAnsi="Times New Roman"/>
                <w:sz w:val="22"/>
                <w:szCs w:val="22"/>
              </w:rPr>
              <w:t>16</w:t>
            </w:r>
          </w:p>
        </w:tc>
        <w:tc>
          <w:tcPr>
            <w:tcW w:w="1182" w:type="dxa"/>
            <w:vAlign w:val="bottom"/>
          </w:tcPr>
          <w:p w:rsidR="003908B9" w:rsidRPr="002F31E7" w:rsidP="008C6A87" w14:paraId="03D2549D" w14:textId="6179032B">
            <w:pPr>
              <w:jc w:val="right"/>
              <w:rPr>
                <w:rFonts w:ascii="Times New Roman" w:hAnsi="Times New Roman"/>
                <w:sz w:val="22"/>
                <w:szCs w:val="22"/>
              </w:rPr>
            </w:pPr>
            <w:r w:rsidRPr="002F31E7">
              <w:rPr>
                <w:rFonts w:ascii="Times New Roman" w:hAnsi="Times New Roman"/>
                <w:sz w:val="22"/>
                <w:szCs w:val="22"/>
              </w:rPr>
              <w:t>2,686</w:t>
            </w:r>
          </w:p>
        </w:tc>
        <w:tc>
          <w:tcPr>
            <w:tcW w:w="1097" w:type="dxa"/>
            <w:vAlign w:val="bottom"/>
          </w:tcPr>
          <w:p w:rsidR="003908B9" w:rsidRPr="002F31E7" w:rsidP="008C6A87" w14:paraId="3704ADCE" w14:textId="0093AC2B">
            <w:pPr>
              <w:jc w:val="right"/>
              <w:rPr>
                <w:rFonts w:ascii="Times New Roman" w:hAnsi="Times New Roman"/>
                <w:sz w:val="22"/>
                <w:szCs w:val="22"/>
              </w:rPr>
            </w:pPr>
            <w:r w:rsidRPr="002F31E7">
              <w:rPr>
                <w:rFonts w:ascii="Times New Roman" w:hAnsi="Times New Roman"/>
                <w:sz w:val="22"/>
                <w:szCs w:val="22"/>
              </w:rPr>
              <w:t>11</w:t>
            </w:r>
            <w:r w:rsidRPr="002F31E7" w:rsidR="000114C0">
              <w:rPr>
                <w:rFonts w:ascii="Times New Roman" w:hAnsi="Times New Roman"/>
                <w:sz w:val="22"/>
                <w:szCs w:val="22"/>
              </w:rPr>
              <w:t>min</w:t>
            </w:r>
          </w:p>
        </w:tc>
        <w:tc>
          <w:tcPr>
            <w:tcW w:w="950" w:type="dxa"/>
            <w:vAlign w:val="bottom"/>
          </w:tcPr>
          <w:p w:rsidR="003908B9" w:rsidRPr="002F31E7" w:rsidP="008C6A87" w14:paraId="498C761A" w14:textId="7CF1327F">
            <w:pPr>
              <w:jc w:val="right"/>
              <w:rPr>
                <w:rFonts w:ascii="Times New Roman" w:hAnsi="Times New Roman"/>
                <w:sz w:val="22"/>
                <w:szCs w:val="22"/>
              </w:rPr>
            </w:pPr>
            <w:r w:rsidRPr="002F31E7">
              <w:rPr>
                <w:rFonts w:ascii="Times New Roman" w:hAnsi="Times New Roman"/>
                <w:sz w:val="22"/>
                <w:szCs w:val="22"/>
              </w:rPr>
              <w:t>492</w:t>
            </w:r>
          </w:p>
        </w:tc>
        <w:tc>
          <w:tcPr>
            <w:tcW w:w="1398" w:type="dxa"/>
            <w:vAlign w:val="bottom"/>
          </w:tcPr>
          <w:p w:rsidR="003908B9" w:rsidRPr="002F31E7" w:rsidP="008C6A87" w14:paraId="2C9B9B1D" w14:textId="6557AA77">
            <w:pPr>
              <w:jc w:val="right"/>
              <w:rPr>
                <w:rFonts w:ascii="Times New Roman" w:hAnsi="Times New Roman"/>
                <w:sz w:val="22"/>
                <w:szCs w:val="22"/>
              </w:rPr>
            </w:pPr>
            <w:bookmarkStart w:id="7" w:name="OLE_LINK11"/>
            <w:bookmarkStart w:id="8" w:name="OLE_LINK12"/>
            <w:r w:rsidRPr="002F31E7">
              <w:rPr>
                <w:rFonts w:ascii="Times New Roman" w:hAnsi="Times New Roman"/>
                <w:sz w:val="22"/>
                <w:szCs w:val="22"/>
              </w:rPr>
              <w:t>67.</w:t>
            </w:r>
            <w:r w:rsidRPr="002F31E7" w:rsidR="009E0475">
              <w:rPr>
                <w:rFonts w:ascii="Times New Roman" w:hAnsi="Times New Roman"/>
                <w:sz w:val="22"/>
                <w:szCs w:val="22"/>
              </w:rPr>
              <w:t>6</w:t>
            </w:r>
            <w:r w:rsidRPr="002F31E7">
              <w:rPr>
                <w:rFonts w:ascii="Times New Roman" w:hAnsi="Times New Roman"/>
                <w:sz w:val="22"/>
                <w:szCs w:val="22"/>
              </w:rPr>
              <w:t>7</w:t>
            </w:r>
            <w:r w:rsidRPr="002F31E7" w:rsidR="009E0475">
              <w:rPr>
                <w:rFonts w:ascii="Times New Roman" w:hAnsi="Times New Roman"/>
                <w:sz w:val="22"/>
                <w:szCs w:val="22"/>
              </w:rPr>
              <w:t>4441</w:t>
            </w:r>
            <w:bookmarkEnd w:id="7"/>
            <w:bookmarkEnd w:id="8"/>
          </w:p>
        </w:tc>
        <w:tc>
          <w:tcPr>
            <w:tcW w:w="1329" w:type="dxa"/>
            <w:vAlign w:val="bottom"/>
          </w:tcPr>
          <w:p w:rsidR="003908B9" w:rsidRPr="002F31E7" w:rsidP="008C6A87" w14:paraId="689A6EF1" w14:textId="66A6BF09">
            <w:pPr>
              <w:jc w:val="right"/>
              <w:rPr>
                <w:rFonts w:ascii="Times New Roman" w:hAnsi="Times New Roman"/>
                <w:sz w:val="22"/>
                <w:szCs w:val="22"/>
              </w:rPr>
            </w:pPr>
            <w:r w:rsidRPr="002F31E7">
              <w:rPr>
                <w:rFonts w:ascii="Times New Roman" w:hAnsi="Times New Roman"/>
                <w:sz w:val="22"/>
                <w:szCs w:val="22"/>
              </w:rPr>
              <w:t>$</w:t>
            </w:r>
            <w:r w:rsidRPr="002F31E7" w:rsidR="009E0475">
              <w:rPr>
                <w:rFonts w:ascii="Times New Roman" w:hAnsi="Times New Roman"/>
                <w:sz w:val="22"/>
                <w:szCs w:val="22"/>
              </w:rPr>
              <w:t>30</w:t>
            </w:r>
            <w:r w:rsidRPr="002F31E7">
              <w:rPr>
                <w:rFonts w:ascii="Times New Roman" w:hAnsi="Times New Roman"/>
                <w:sz w:val="22"/>
                <w:szCs w:val="22"/>
              </w:rPr>
              <w:t>,</w:t>
            </w:r>
            <w:r w:rsidRPr="002F31E7" w:rsidR="002C3CF7">
              <w:rPr>
                <w:rFonts w:ascii="Times New Roman" w:hAnsi="Times New Roman"/>
                <w:sz w:val="22"/>
                <w:szCs w:val="22"/>
              </w:rPr>
              <w:t>902</w:t>
            </w:r>
          </w:p>
        </w:tc>
      </w:tr>
      <w:bookmarkEnd w:id="6"/>
      <w:tr w14:paraId="28A27403" w14:textId="77777777" w:rsidTr="00B62A71">
        <w:tblPrEx>
          <w:tblW w:w="10029" w:type="dxa"/>
          <w:tblLook w:val="04A0"/>
        </w:tblPrEx>
        <w:tc>
          <w:tcPr>
            <w:tcW w:w="1439" w:type="dxa"/>
            <w:vAlign w:val="bottom"/>
          </w:tcPr>
          <w:p w:rsidR="003908B9" w:rsidRPr="002F31E7" w:rsidP="008C6A87" w14:paraId="779E4025" w14:textId="0C5C54E9">
            <w:pPr>
              <w:jc w:val="right"/>
              <w:rPr>
                <w:rFonts w:ascii="Times New Roman" w:hAnsi="Times New Roman"/>
                <w:sz w:val="22"/>
                <w:szCs w:val="22"/>
              </w:rPr>
            </w:pPr>
            <w:r w:rsidRPr="002F31E7">
              <w:rPr>
                <w:rFonts w:ascii="Times New Roman" w:hAnsi="Times New Roman"/>
                <w:sz w:val="22"/>
                <w:szCs w:val="22"/>
              </w:rPr>
              <w:t>DEA-486 Export</w:t>
            </w:r>
          </w:p>
        </w:tc>
        <w:tc>
          <w:tcPr>
            <w:tcW w:w="1415" w:type="dxa"/>
            <w:vAlign w:val="bottom"/>
          </w:tcPr>
          <w:p w:rsidR="003908B9" w:rsidRPr="002F31E7" w:rsidP="008C6A87" w14:paraId="0D0FB099" w14:textId="08B29860">
            <w:pPr>
              <w:jc w:val="right"/>
              <w:rPr>
                <w:rFonts w:ascii="Times New Roman" w:hAnsi="Times New Roman"/>
                <w:sz w:val="22"/>
                <w:szCs w:val="22"/>
              </w:rPr>
            </w:pPr>
            <w:r w:rsidRPr="002F31E7">
              <w:rPr>
                <w:rFonts w:ascii="Times New Roman" w:hAnsi="Times New Roman"/>
                <w:sz w:val="22"/>
                <w:szCs w:val="22"/>
              </w:rPr>
              <w:t>204</w:t>
            </w:r>
          </w:p>
        </w:tc>
        <w:tc>
          <w:tcPr>
            <w:tcW w:w="1219" w:type="dxa"/>
            <w:vAlign w:val="bottom"/>
          </w:tcPr>
          <w:p w:rsidR="003908B9" w:rsidRPr="002F31E7" w:rsidP="00B62A71" w14:paraId="2DF69973" w14:textId="3FEDA0AF">
            <w:pPr>
              <w:jc w:val="center"/>
              <w:rPr>
                <w:rFonts w:ascii="Times New Roman" w:hAnsi="Times New Roman"/>
                <w:sz w:val="22"/>
                <w:szCs w:val="22"/>
              </w:rPr>
            </w:pPr>
            <w:r w:rsidRPr="002F31E7">
              <w:rPr>
                <w:rFonts w:ascii="Times New Roman" w:hAnsi="Times New Roman"/>
                <w:sz w:val="22"/>
                <w:szCs w:val="22"/>
              </w:rPr>
              <w:t>77</w:t>
            </w:r>
          </w:p>
        </w:tc>
        <w:tc>
          <w:tcPr>
            <w:tcW w:w="1182" w:type="dxa"/>
            <w:vAlign w:val="bottom"/>
          </w:tcPr>
          <w:p w:rsidR="003908B9" w:rsidRPr="002F31E7" w:rsidP="008C6A87" w14:paraId="6869AFA2" w14:textId="5B7F84DF">
            <w:pPr>
              <w:jc w:val="right"/>
              <w:rPr>
                <w:rFonts w:ascii="Times New Roman" w:hAnsi="Times New Roman"/>
                <w:sz w:val="22"/>
                <w:szCs w:val="22"/>
              </w:rPr>
            </w:pPr>
            <w:r w:rsidRPr="002F31E7">
              <w:rPr>
                <w:rFonts w:ascii="Times New Roman" w:hAnsi="Times New Roman"/>
                <w:sz w:val="22"/>
                <w:szCs w:val="22"/>
              </w:rPr>
              <w:t>15,737</w:t>
            </w:r>
          </w:p>
        </w:tc>
        <w:tc>
          <w:tcPr>
            <w:tcW w:w="1097" w:type="dxa"/>
            <w:vAlign w:val="bottom"/>
          </w:tcPr>
          <w:p w:rsidR="003908B9" w:rsidRPr="002F31E7" w:rsidP="008C6A87" w14:paraId="3983D868" w14:textId="1839E795">
            <w:pPr>
              <w:jc w:val="right"/>
              <w:rPr>
                <w:rFonts w:ascii="Times New Roman" w:hAnsi="Times New Roman"/>
                <w:sz w:val="22"/>
                <w:szCs w:val="22"/>
              </w:rPr>
            </w:pPr>
            <w:r w:rsidRPr="002F31E7">
              <w:rPr>
                <w:rFonts w:ascii="Times New Roman" w:hAnsi="Times New Roman"/>
                <w:sz w:val="22"/>
                <w:szCs w:val="22"/>
              </w:rPr>
              <w:t>12min</w:t>
            </w:r>
          </w:p>
        </w:tc>
        <w:tc>
          <w:tcPr>
            <w:tcW w:w="950" w:type="dxa"/>
            <w:vAlign w:val="bottom"/>
          </w:tcPr>
          <w:p w:rsidR="003908B9" w:rsidRPr="002F31E7" w:rsidP="008C6A87" w14:paraId="1211DF9B" w14:textId="676CCF88">
            <w:pPr>
              <w:jc w:val="right"/>
              <w:rPr>
                <w:rFonts w:ascii="Times New Roman" w:hAnsi="Times New Roman"/>
                <w:sz w:val="22"/>
                <w:szCs w:val="22"/>
              </w:rPr>
            </w:pPr>
            <w:r w:rsidRPr="002F31E7">
              <w:rPr>
                <w:rFonts w:ascii="Times New Roman" w:hAnsi="Times New Roman"/>
                <w:sz w:val="22"/>
                <w:szCs w:val="22"/>
              </w:rPr>
              <w:t>3,147</w:t>
            </w:r>
          </w:p>
        </w:tc>
        <w:tc>
          <w:tcPr>
            <w:tcW w:w="1398" w:type="dxa"/>
            <w:vAlign w:val="bottom"/>
          </w:tcPr>
          <w:p w:rsidR="003908B9" w:rsidRPr="002F31E7" w:rsidP="008C6A87" w14:paraId="52BBFE45" w14:textId="18883DD6">
            <w:pPr>
              <w:jc w:val="right"/>
              <w:rPr>
                <w:rFonts w:ascii="Times New Roman" w:hAnsi="Times New Roman"/>
                <w:sz w:val="22"/>
                <w:szCs w:val="22"/>
              </w:rPr>
            </w:pPr>
            <w:r w:rsidRPr="002F31E7">
              <w:rPr>
                <w:rFonts w:ascii="Times New Roman" w:hAnsi="Times New Roman"/>
                <w:sz w:val="22"/>
                <w:szCs w:val="22"/>
              </w:rPr>
              <w:t>67.674441</w:t>
            </w:r>
          </w:p>
        </w:tc>
        <w:tc>
          <w:tcPr>
            <w:tcW w:w="1329" w:type="dxa"/>
            <w:vAlign w:val="bottom"/>
          </w:tcPr>
          <w:p w:rsidR="003908B9" w:rsidRPr="002F31E7" w:rsidP="008C6A87" w14:paraId="1116896A" w14:textId="0DF8C924">
            <w:pPr>
              <w:jc w:val="right"/>
              <w:rPr>
                <w:rFonts w:ascii="Times New Roman" w:hAnsi="Times New Roman"/>
                <w:sz w:val="22"/>
                <w:szCs w:val="22"/>
              </w:rPr>
            </w:pPr>
            <w:r w:rsidRPr="002F31E7">
              <w:rPr>
                <w:rFonts w:ascii="Times New Roman" w:hAnsi="Times New Roman"/>
                <w:sz w:val="22"/>
                <w:szCs w:val="22"/>
              </w:rPr>
              <w:t>$212,9</w:t>
            </w:r>
            <w:r w:rsidRPr="002F31E7" w:rsidR="002C3CF7">
              <w:rPr>
                <w:rFonts w:ascii="Times New Roman" w:hAnsi="Times New Roman"/>
                <w:sz w:val="22"/>
                <w:szCs w:val="22"/>
              </w:rPr>
              <w:t>99</w:t>
            </w:r>
          </w:p>
        </w:tc>
      </w:tr>
      <w:tr w14:paraId="7117E8A9" w14:textId="77777777" w:rsidTr="00B62A71">
        <w:tblPrEx>
          <w:tblW w:w="10029" w:type="dxa"/>
          <w:tblLook w:val="04A0"/>
        </w:tblPrEx>
        <w:tc>
          <w:tcPr>
            <w:tcW w:w="1439" w:type="dxa"/>
            <w:vAlign w:val="bottom"/>
          </w:tcPr>
          <w:p w:rsidR="003908B9" w:rsidRPr="002F31E7" w:rsidP="008C6A87" w14:paraId="7B495C05" w14:textId="679EA4AA">
            <w:pPr>
              <w:jc w:val="right"/>
              <w:rPr>
                <w:rFonts w:ascii="Times New Roman" w:hAnsi="Times New Roman"/>
                <w:sz w:val="22"/>
                <w:szCs w:val="22"/>
              </w:rPr>
            </w:pPr>
            <w:r w:rsidRPr="002F31E7">
              <w:rPr>
                <w:rFonts w:ascii="Times New Roman" w:hAnsi="Times New Roman"/>
                <w:sz w:val="22"/>
                <w:szCs w:val="22"/>
              </w:rPr>
              <w:t xml:space="preserve">DEA-486 </w:t>
            </w:r>
            <w:r w:rsidRPr="002F31E7">
              <w:rPr>
                <w:rFonts w:ascii="Times New Roman" w:hAnsi="Times New Roman"/>
                <w:sz w:val="22"/>
                <w:szCs w:val="22"/>
              </w:rPr>
              <w:t>Intern’l</w:t>
            </w:r>
          </w:p>
        </w:tc>
        <w:tc>
          <w:tcPr>
            <w:tcW w:w="1415" w:type="dxa"/>
            <w:vAlign w:val="bottom"/>
          </w:tcPr>
          <w:p w:rsidR="003908B9" w:rsidRPr="002F31E7" w:rsidP="008C6A87" w14:paraId="485C3037" w14:textId="1058DC5A">
            <w:pPr>
              <w:jc w:val="right"/>
              <w:rPr>
                <w:rFonts w:ascii="Times New Roman" w:hAnsi="Times New Roman"/>
                <w:sz w:val="22"/>
                <w:szCs w:val="22"/>
              </w:rPr>
            </w:pPr>
            <w:r w:rsidRPr="002F31E7">
              <w:rPr>
                <w:rFonts w:ascii="Times New Roman" w:hAnsi="Times New Roman"/>
                <w:sz w:val="22"/>
                <w:szCs w:val="22"/>
              </w:rPr>
              <w:t>99</w:t>
            </w:r>
          </w:p>
        </w:tc>
        <w:tc>
          <w:tcPr>
            <w:tcW w:w="1219" w:type="dxa"/>
            <w:vAlign w:val="bottom"/>
          </w:tcPr>
          <w:p w:rsidR="003908B9" w:rsidRPr="002F31E7" w:rsidP="00B62A71" w14:paraId="13B28653" w14:textId="1A3A3776">
            <w:pPr>
              <w:jc w:val="center"/>
              <w:rPr>
                <w:rFonts w:ascii="Times New Roman" w:hAnsi="Times New Roman"/>
                <w:sz w:val="22"/>
                <w:szCs w:val="22"/>
              </w:rPr>
            </w:pPr>
            <w:r w:rsidRPr="002F31E7">
              <w:rPr>
                <w:rFonts w:ascii="Times New Roman" w:hAnsi="Times New Roman"/>
                <w:sz w:val="22"/>
                <w:szCs w:val="22"/>
              </w:rPr>
              <w:t>4</w:t>
            </w:r>
          </w:p>
        </w:tc>
        <w:tc>
          <w:tcPr>
            <w:tcW w:w="1182" w:type="dxa"/>
            <w:vAlign w:val="bottom"/>
          </w:tcPr>
          <w:p w:rsidR="003908B9" w:rsidRPr="002F31E7" w:rsidP="008C6A87" w14:paraId="42D7D78C" w14:textId="23675792">
            <w:pPr>
              <w:jc w:val="right"/>
              <w:rPr>
                <w:rFonts w:ascii="Times New Roman" w:hAnsi="Times New Roman"/>
                <w:sz w:val="22"/>
                <w:szCs w:val="22"/>
              </w:rPr>
            </w:pPr>
            <w:r w:rsidRPr="002F31E7">
              <w:rPr>
                <w:rFonts w:ascii="Times New Roman" w:hAnsi="Times New Roman"/>
                <w:sz w:val="22"/>
                <w:szCs w:val="22"/>
              </w:rPr>
              <w:t>429</w:t>
            </w:r>
          </w:p>
        </w:tc>
        <w:tc>
          <w:tcPr>
            <w:tcW w:w="1097" w:type="dxa"/>
            <w:vAlign w:val="bottom"/>
          </w:tcPr>
          <w:p w:rsidR="003908B9" w:rsidRPr="002F31E7" w:rsidP="008C6A87" w14:paraId="6D74F4F1" w14:textId="1932B116">
            <w:pPr>
              <w:jc w:val="right"/>
              <w:rPr>
                <w:rFonts w:ascii="Times New Roman" w:hAnsi="Times New Roman"/>
                <w:sz w:val="22"/>
                <w:szCs w:val="22"/>
              </w:rPr>
            </w:pPr>
            <w:r w:rsidRPr="002F31E7">
              <w:rPr>
                <w:rFonts w:ascii="Times New Roman" w:hAnsi="Times New Roman"/>
                <w:sz w:val="22"/>
                <w:szCs w:val="22"/>
              </w:rPr>
              <w:t>11min</w:t>
            </w:r>
          </w:p>
        </w:tc>
        <w:tc>
          <w:tcPr>
            <w:tcW w:w="950" w:type="dxa"/>
            <w:vAlign w:val="bottom"/>
          </w:tcPr>
          <w:p w:rsidR="003908B9" w:rsidRPr="002F31E7" w:rsidP="008C6A87" w14:paraId="3AE5AEA6" w14:textId="3161F7E7">
            <w:pPr>
              <w:jc w:val="right"/>
              <w:rPr>
                <w:rFonts w:ascii="Times New Roman" w:hAnsi="Times New Roman"/>
                <w:sz w:val="22"/>
                <w:szCs w:val="22"/>
              </w:rPr>
            </w:pPr>
            <w:r w:rsidRPr="002F31E7">
              <w:rPr>
                <w:rFonts w:ascii="Times New Roman" w:hAnsi="Times New Roman"/>
                <w:sz w:val="22"/>
                <w:szCs w:val="22"/>
              </w:rPr>
              <w:t>7</w:t>
            </w:r>
            <w:r w:rsidRPr="002F31E7" w:rsidR="00112262">
              <w:rPr>
                <w:rFonts w:ascii="Times New Roman" w:hAnsi="Times New Roman"/>
                <w:sz w:val="22"/>
                <w:szCs w:val="22"/>
              </w:rPr>
              <w:t>9</w:t>
            </w:r>
          </w:p>
        </w:tc>
        <w:tc>
          <w:tcPr>
            <w:tcW w:w="1398" w:type="dxa"/>
            <w:vAlign w:val="bottom"/>
          </w:tcPr>
          <w:p w:rsidR="003908B9" w:rsidRPr="002F31E7" w:rsidP="008C6A87" w14:paraId="1869DBC4" w14:textId="6746EF22">
            <w:pPr>
              <w:jc w:val="right"/>
              <w:rPr>
                <w:rFonts w:ascii="Times New Roman" w:hAnsi="Times New Roman"/>
                <w:sz w:val="22"/>
                <w:szCs w:val="22"/>
              </w:rPr>
            </w:pPr>
            <w:r w:rsidRPr="002F31E7">
              <w:rPr>
                <w:rFonts w:ascii="Times New Roman" w:hAnsi="Times New Roman"/>
                <w:sz w:val="22"/>
                <w:szCs w:val="22"/>
              </w:rPr>
              <w:t>67.674441</w:t>
            </w:r>
          </w:p>
        </w:tc>
        <w:tc>
          <w:tcPr>
            <w:tcW w:w="1329" w:type="dxa"/>
            <w:vAlign w:val="bottom"/>
          </w:tcPr>
          <w:p w:rsidR="003908B9" w:rsidRPr="002F31E7" w:rsidP="008C6A87" w14:paraId="3020B04B" w14:textId="7E5AA7A5">
            <w:pPr>
              <w:jc w:val="right"/>
              <w:rPr>
                <w:rFonts w:ascii="Times New Roman" w:hAnsi="Times New Roman"/>
                <w:sz w:val="22"/>
                <w:szCs w:val="22"/>
              </w:rPr>
            </w:pPr>
            <w:r w:rsidRPr="002F31E7">
              <w:rPr>
                <w:rFonts w:ascii="Times New Roman" w:hAnsi="Times New Roman"/>
                <w:sz w:val="22"/>
                <w:szCs w:val="22"/>
              </w:rPr>
              <w:t>$4,9</w:t>
            </w:r>
            <w:r w:rsidRPr="002F31E7" w:rsidR="002C3CF7">
              <w:rPr>
                <w:rFonts w:ascii="Times New Roman" w:hAnsi="Times New Roman"/>
                <w:sz w:val="22"/>
                <w:szCs w:val="22"/>
              </w:rPr>
              <w:t>36</w:t>
            </w:r>
          </w:p>
        </w:tc>
      </w:tr>
      <w:tr w14:paraId="4F62D8EB" w14:textId="77777777" w:rsidTr="00B62A71">
        <w:tblPrEx>
          <w:tblW w:w="10029" w:type="dxa"/>
          <w:tblLook w:val="04A0"/>
        </w:tblPrEx>
        <w:tc>
          <w:tcPr>
            <w:tcW w:w="1439" w:type="dxa"/>
            <w:vAlign w:val="bottom"/>
          </w:tcPr>
          <w:p w:rsidR="00403B06" w:rsidRPr="002F31E7" w:rsidP="008C6A87" w14:paraId="1182DFD4" w14:textId="2CD81336">
            <w:pPr>
              <w:jc w:val="right"/>
              <w:rPr>
                <w:rFonts w:ascii="Times New Roman" w:hAnsi="Times New Roman"/>
                <w:sz w:val="22"/>
                <w:szCs w:val="22"/>
              </w:rPr>
            </w:pPr>
            <w:r w:rsidRPr="002F31E7">
              <w:rPr>
                <w:rFonts w:ascii="Times New Roman" w:hAnsi="Times New Roman"/>
                <w:sz w:val="22"/>
                <w:szCs w:val="22"/>
              </w:rPr>
              <w:t>DEA-486A Import</w:t>
            </w:r>
          </w:p>
        </w:tc>
        <w:tc>
          <w:tcPr>
            <w:tcW w:w="1415" w:type="dxa"/>
            <w:vAlign w:val="bottom"/>
          </w:tcPr>
          <w:p w:rsidR="00403B06" w:rsidRPr="002F31E7" w:rsidP="008C6A87" w14:paraId="64D194D1" w14:textId="2F9AA50E">
            <w:pPr>
              <w:jc w:val="right"/>
              <w:rPr>
                <w:rFonts w:ascii="Times New Roman" w:hAnsi="Times New Roman"/>
                <w:sz w:val="22"/>
                <w:szCs w:val="22"/>
              </w:rPr>
            </w:pPr>
            <w:r w:rsidRPr="002F31E7">
              <w:rPr>
                <w:rFonts w:ascii="Times New Roman" w:hAnsi="Times New Roman"/>
                <w:sz w:val="22"/>
                <w:szCs w:val="22"/>
              </w:rPr>
              <w:t>164</w:t>
            </w:r>
          </w:p>
        </w:tc>
        <w:tc>
          <w:tcPr>
            <w:tcW w:w="1219" w:type="dxa"/>
            <w:vAlign w:val="bottom"/>
          </w:tcPr>
          <w:p w:rsidR="00403B06" w:rsidRPr="002F31E7" w:rsidP="00B62A71" w14:paraId="5746F6BB" w14:textId="166C8333">
            <w:pPr>
              <w:jc w:val="center"/>
              <w:rPr>
                <w:rFonts w:ascii="Times New Roman" w:hAnsi="Times New Roman"/>
                <w:sz w:val="22"/>
                <w:szCs w:val="22"/>
              </w:rPr>
            </w:pPr>
            <w:r w:rsidRPr="002F31E7">
              <w:rPr>
                <w:rFonts w:ascii="Times New Roman" w:hAnsi="Times New Roman"/>
                <w:sz w:val="22"/>
                <w:szCs w:val="22"/>
              </w:rPr>
              <w:t>16</w:t>
            </w:r>
          </w:p>
        </w:tc>
        <w:tc>
          <w:tcPr>
            <w:tcW w:w="1182" w:type="dxa"/>
            <w:vAlign w:val="bottom"/>
          </w:tcPr>
          <w:p w:rsidR="00403B06" w:rsidRPr="002F31E7" w:rsidP="008C6A87" w14:paraId="587457D9" w14:textId="1EB1A85E">
            <w:pPr>
              <w:jc w:val="right"/>
              <w:rPr>
                <w:rFonts w:ascii="Times New Roman" w:hAnsi="Times New Roman"/>
                <w:sz w:val="22"/>
                <w:szCs w:val="22"/>
              </w:rPr>
            </w:pPr>
            <w:r w:rsidRPr="002F31E7">
              <w:rPr>
                <w:rFonts w:ascii="Times New Roman" w:hAnsi="Times New Roman"/>
                <w:sz w:val="22"/>
                <w:szCs w:val="22"/>
              </w:rPr>
              <w:t>2,686</w:t>
            </w:r>
          </w:p>
        </w:tc>
        <w:tc>
          <w:tcPr>
            <w:tcW w:w="1097" w:type="dxa"/>
            <w:vAlign w:val="bottom"/>
          </w:tcPr>
          <w:p w:rsidR="00403B06" w:rsidRPr="002F31E7" w:rsidP="008C6A87" w14:paraId="025AF99A" w14:textId="3F35DD84">
            <w:pPr>
              <w:jc w:val="right"/>
              <w:rPr>
                <w:rFonts w:ascii="Times New Roman" w:hAnsi="Times New Roman"/>
                <w:sz w:val="22"/>
                <w:szCs w:val="22"/>
              </w:rPr>
            </w:pPr>
            <w:r w:rsidRPr="002F31E7">
              <w:rPr>
                <w:rFonts w:ascii="Times New Roman" w:hAnsi="Times New Roman"/>
                <w:sz w:val="22"/>
                <w:szCs w:val="22"/>
              </w:rPr>
              <w:t>11min</w:t>
            </w:r>
          </w:p>
        </w:tc>
        <w:tc>
          <w:tcPr>
            <w:tcW w:w="950" w:type="dxa"/>
            <w:vAlign w:val="bottom"/>
          </w:tcPr>
          <w:p w:rsidR="00403B06" w:rsidRPr="002F31E7" w:rsidP="008C6A87" w14:paraId="77262D48" w14:textId="78F8F5B5">
            <w:pPr>
              <w:jc w:val="right"/>
              <w:rPr>
                <w:rFonts w:ascii="Times New Roman" w:hAnsi="Times New Roman"/>
                <w:sz w:val="22"/>
                <w:szCs w:val="22"/>
              </w:rPr>
            </w:pPr>
            <w:r w:rsidRPr="002F31E7">
              <w:rPr>
                <w:rFonts w:ascii="Times New Roman" w:hAnsi="Times New Roman"/>
                <w:sz w:val="22"/>
                <w:szCs w:val="22"/>
              </w:rPr>
              <w:t>4</w:t>
            </w:r>
            <w:r w:rsidRPr="002F31E7" w:rsidR="00112262">
              <w:rPr>
                <w:rFonts w:ascii="Times New Roman" w:hAnsi="Times New Roman"/>
                <w:sz w:val="22"/>
                <w:szCs w:val="22"/>
              </w:rPr>
              <w:t>92</w:t>
            </w:r>
          </w:p>
        </w:tc>
        <w:tc>
          <w:tcPr>
            <w:tcW w:w="1398" w:type="dxa"/>
            <w:vAlign w:val="bottom"/>
          </w:tcPr>
          <w:p w:rsidR="00403B06" w:rsidRPr="002F31E7" w:rsidP="008C6A87" w14:paraId="0EA42709" w14:textId="0529CB27">
            <w:pPr>
              <w:jc w:val="right"/>
              <w:rPr>
                <w:rFonts w:ascii="Times New Roman" w:hAnsi="Times New Roman"/>
                <w:sz w:val="22"/>
                <w:szCs w:val="22"/>
              </w:rPr>
            </w:pPr>
            <w:r w:rsidRPr="002F31E7">
              <w:rPr>
                <w:rFonts w:ascii="Times New Roman" w:hAnsi="Times New Roman"/>
                <w:sz w:val="22"/>
                <w:szCs w:val="22"/>
              </w:rPr>
              <w:t>67.674441</w:t>
            </w:r>
          </w:p>
        </w:tc>
        <w:tc>
          <w:tcPr>
            <w:tcW w:w="1329" w:type="dxa"/>
            <w:vAlign w:val="bottom"/>
          </w:tcPr>
          <w:p w:rsidR="00403B06" w:rsidRPr="002F31E7" w:rsidP="008C6A87" w14:paraId="4A7A42D6" w14:textId="00DF3C1B">
            <w:pPr>
              <w:jc w:val="right"/>
              <w:rPr>
                <w:rFonts w:ascii="Times New Roman" w:hAnsi="Times New Roman"/>
                <w:sz w:val="22"/>
                <w:szCs w:val="22"/>
              </w:rPr>
            </w:pPr>
            <w:r w:rsidRPr="002F31E7">
              <w:rPr>
                <w:rFonts w:ascii="Times New Roman" w:hAnsi="Times New Roman"/>
                <w:sz w:val="22"/>
                <w:szCs w:val="22"/>
              </w:rPr>
              <w:t>$30,9</w:t>
            </w:r>
            <w:r w:rsidRPr="002F31E7" w:rsidR="002C3CF7">
              <w:rPr>
                <w:rFonts w:ascii="Times New Roman" w:hAnsi="Times New Roman"/>
                <w:sz w:val="22"/>
                <w:szCs w:val="22"/>
              </w:rPr>
              <w:t>02</w:t>
            </w:r>
          </w:p>
        </w:tc>
      </w:tr>
      <w:tr w14:paraId="578B68EB" w14:textId="77777777" w:rsidTr="00B62A71">
        <w:tblPrEx>
          <w:tblW w:w="10029" w:type="dxa"/>
          <w:tblLook w:val="04A0"/>
        </w:tblPrEx>
        <w:tc>
          <w:tcPr>
            <w:tcW w:w="1439" w:type="dxa"/>
          </w:tcPr>
          <w:p w:rsidR="00BB4A85" w:rsidRPr="002F31E7" w:rsidP="00BB4A85" w14:paraId="3D459D2C" w14:textId="77777777">
            <w:pPr>
              <w:rPr>
                <w:rFonts w:ascii="Times New Roman" w:hAnsi="Times New Roman"/>
                <w:b/>
                <w:i/>
                <w:sz w:val="22"/>
                <w:szCs w:val="22"/>
              </w:rPr>
            </w:pPr>
            <w:r w:rsidRPr="002F31E7">
              <w:rPr>
                <w:rFonts w:ascii="Times New Roman" w:hAnsi="Times New Roman"/>
                <w:b/>
                <w:i/>
                <w:sz w:val="22"/>
                <w:szCs w:val="22"/>
              </w:rPr>
              <w:t>Unduplicated Totals</w:t>
            </w:r>
          </w:p>
        </w:tc>
        <w:tc>
          <w:tcPr>
            <w:tcW w:w="1415" w:type="dxa"/>
            <w:vAlign w:val="bottom"/>
          </w:tcPr>
          <w:p w:rsidR="00BB4A85" w:rsidRPr="002F31E7" w:rsidP="00BB4A85" w14:paraId="32AB6B8A" w14:textId="122E81CD">
            <w:pPr>
              <w:jc w:val="right"/>
              <w:rPr>
                <w:rFonts w:ascii="Times New Roman" w:hAnsi="Times New Roman"/>
                <w:b/>
                <w:i/>
                <w:sz w:val="22"/>
                <w:szCs w:val="22"/>
              </w:rPr>
            </w:pPr>
            <w:r w:rsidRPr="002F31E7">
              <w:rPr>
                <w:rFonts w:ascii="Times New Roman" w:hAnsi="Times New Roman"/>
                <w:b/>
                <w:i/>
                <w:sz w:val="22"/>
                <w:szCs w:val="22"/>
              </w:rPr>
              <w:t>631</w:t>
            </w:r>
          </w:p>
        </w:tc>
        <w:tc>
          <w:tcPr>
            <w:tcW w:w="1219" w:type="dxa"/>
            <w:vAlign w:val="bottom"/>
          </w:tcPr>
          <w:p w:rsidR="00BB4A85" w:rsidRPr="002F31E7" w:rsidP="004D7E10" w14:paraId="75495CB4" w14:textId="2CB56919">
            <w:pPr>
              <w:jc w:val="center"/>
              <w:rPr>
                <w:rFonts w:ascii="Times New Roman" w:hAnsi="Times New Roman"/>
                <w:b/>
                <w:i/>
                <w:sz w:val="22"/>
                <w:szCs w:val="22"/>
              </w:rPr>
            </w:pPr>
            <w:r w:rsidRPr="002F31E7">
              <w:rPr>
                <w:rFonts w:ascii="Times New Roman" w:hAnsi="Times New Roman"/>
                <w:b/>
                <w:i/>
                <w:sz w:val="22"/>
                <w:szCs w:val="22"/>
              </w:rPr>
              <w:t>34</w:t>
            </w:r>
          </w:p>
        </w:tc>
        <w:tc>
          <w:tcPr>
            <w:tcW w:w="1182" w:type="dxa"/>
            <w:vAlign w:val="bottom"/>
          </w:tcPr>
          <w:p w:rsidR="00BB4A85" w:rsidRPr="002F31E7" w:rsidP="00BB4A85" w14:paraId="1A7661D9" w14:textId="26D884FE">
            <w:pPr>
              <w:jc w:val="right"/>
              <w:rPr>
                <w:rFonts w:ascii="Times New Roman" w:hAnsi="Times New Roman"/>
                <w:b/>
                <w:i/>
                <w:sz w:val="22"/>
                <w:szCs w:val="22"/>
              </w:rPr>
            </w:pPr>
            <w:r w:rsidRPr="002F31E7">
              <w:rPr>
                <w:rFonts w:ascii="Times New Roman" w:hAnsi="Times New Roman"/>
                <w:b/>
                <w:i/>
                <w:sz w:val="22"/>
                <w:szCs w:val="22"/>
              </w:rPr>
              <w:t>21,538</w:t>
            </w:r>
          </w:p>
        </w:tc>
        <w:tc>
          <w:tcPr>
            <w:tcW w:w="1097" w:type="dxa"/>
            <w:vAlign w:val="bottom"/>
          </w:tcPr>
          <w:p w:rsidR="00BB4A85" w:rsidRPr="002F31E7" w:rsidP="00BB4A85" w14:paraId="4A94906E" w14:textId="79058C59">
            <w:pPr>
              <w:jc w:val="right"/>
              <w:rPr>
                <w:rFonts w:ascii="Times New Roman" w:hAnsi="Times New Roman"/>
                <w:b/>
                <w:i/>
                <w:sz w:val="22"/>
                <w:szCs w:val="22"/>
              </w:rPr>
            </w:pPr>
            <w:r w:rsidRPr="002F31E7">
              <w:rPr>
                <w:rFonts w:ascii="Times New Roman" w:hAnsi="Times New Roman"/>
                <w:b/>
                <w:i/>
                <w:sz w:val="22"/>
                <w:szCs w:val="22"/>
              </w:rPr>
              <w:t>11.</w:t>
            </w:r>
            <w:r w:rsidRPr="002F31E7" w:rsidR="00112262">
              <w:rPr>
                <w:rFonts w:ascii="Times New Roman" w:hAnsi="Times New Roman"/>
                <w:b/>
                <w:i/>
                <w:sz w:val="22"/>
                <w:szCs w:val="22"/>
              </w:rPr>
              <w:t>7</w:t>
            </w:r>
            <w:r w:rsidRPr="002F31E7">
              <w:rPr>
                <w:rFonts w:ascii="Times New Roman" w:hAnsi="Times New Roman"/>
                <w:b/>
                <w:i/>
                <w:sz w:val="22"/>
                <w:szCs w:val="22"/>
              </w:rPr>
              <w:t>min</w:t>
            </w:r>
          </w:p>
        </w:tc>
        <w:tc>
          <w:tcPr>
            <w:tcW w:w="950" w:type="dxa"/>
            <w:vAlign w:val="bottom"/>
          </w:tcPr>
          <w:p w:rsidR="00BB4A85" w:rsidRPr="002F31E7" w:rsidP="00BB4A85" w14:paraId="4075BA8E" w14:textId="2EC9FB86">
            <w:pPr>
              <w:jc w:val="right"/>
              <w:rPr>
                <w:rFonts w:ascii="Times New Roman" w:hAnsi="Times New Roman"/>
                <w:b/>
                <w:i/>
                <w:sz w:val="22"/>
                <w:szCs w:val="22"/>
              </w:rPr>
            </w:pPr>
            <w:r w:rsidRPr="002F31E7">
              <w:rPr>
                <w:rFonts w:ascii="Times New Roman" w:hAnsi="Times New Roman"/>
                <w:b/>
                <w:i/>
                <w:sz w:val="22"/>
                <w:szCs w:val="22"/>
              </w:rPr>
              <w:t>4,</w:t>
            </w:r>
            <w:r w:rsidRPr="002F31E7" w:rsidR="00112262">
              <w:rPr>
                <w:rFonts w:ascii="Times New Roman" w:hAnsi="Times New Roman"/>
                <w:b/>
                <w:i/>
                <w:sz w:val="22"/>
                <w:szCs w:val="22"/>
              </w:rPr>
              <w:t>211</w:t>
            </w:r>
          </w:p>
        </w:tc>
        <w:tc>
          <w:tcPr>
            <w:tcW w:w="1398" w:type="dxa"/>
            <w:vAlign w:val="bottom"/>
          </w:tcPr>
          <w:p w:rsidR="00BB4A85" w:rsidRPr="002F31E7" w:rsidP="00BB4A85" w14:paraId="7F82B751" w14:textId="7AE20B25">
            <w:pPr>
              <w:jc w:val="right"/>
              <w:rPr>
                <w:rFonts w:ascii="Times New Roman" w:hAnsi="Times New Roman"/>
                <w:b/>
                <w:i/>
                <w:sz w:val="22"/>
                <w:szCs w:val="22"/>
              </w:rPr>
            </w:pPr>
            <w:r w:rsidRPr="002F31E7">
              <w:rPr>
                <w:rFonts w:ascii="Times New Roman" w:hAnsi="Times New Roman"/>
                <w:b/>
                <w:i/>
                <w:sz w:val="22"/>
                <w:szCs w:val="22"/>
              </w:rPr>
              <w:t>67.674441</w:t>
            </w:r>
          </w:p>
        </w:tc>
        <w:tc>
          <w:tcPr>
            <w:tcW w:w="1329" w:type="dxa"/>
            <w:vAlign w:val="bottom"/>
          </w:tcPr>
          <w:p w:rsidR="00BB4A85" w:rsidRPr="002F31E7" w:rsidP="00BB4A85" w14:paraId="54BFA78B" w14:textId="2E38BA4C">
            <w:pPr>
              <w:jc w:val="right"/>
              <w:rPr>
                <w:rFonts w:ascii="Times New Roman" w:hAnsi="Times New Roman"/>
                <w:b/>
                <w:i/>
                <w:sz w:val="22"/>
                <w:szCs w:val="22"/>
              </w:rPr>
            </w:pPr>
            <w:r w:rsidRPr="002F31E7">
              <w:rPr>
                <w:rFonts w:ascii="Times New Roman" w:hAnsi="Times New Roman"/>
                <w:b/>
                <w:i/>
                <w:sz w:val="22"/>
                <w:szCs w:val="22"/>
              </w:rPr>
              <w:t>$</w:t>
            </w:r>
            <w:r w:rsidRPr="002F31E7" w:rsidR="007D2E65">
              <w:rPr>
                <w:rFonts w:ascii="Times New Roman" w:hAnsi="Times New Roman"/>
                <w:b/>
                <w:i/>
                <w:sz w:val="22"/>
                <w:szCs w:val="22"/>
              </w:rPr>
              <w:t>279,7</w:t>
            </w:r>
            <w:r w:rsidRPr="002F31E7" w:rsidR="002C3CF7">
              <w:rPr>
                <w:rFonts w:ascii="Times New Roman" w:hAnsi="Times New Roman"/>
                <w:b/>
                <w:i/>
                <w:sz w:val="22"/>
                <w:szCs w:val="22"/>
              </w:rPr>
              <w:t>37</w:t>
            </w:r>
          </w:p>
        </w:tc>
      </w:tr>
    </w:tbl>
    <w:p w:rsidR="006A46AC" w:rsidRPr="002F31E7" w:rsidP="006A46AC" w14:paraId="00AB969A" w14:textId="67536F1D">
      <w:pPr>
        <w:rPr>
          <w:rFonts w:ascii="Times New Roman" w:hAnsi="Times New Roman"/>
        </w:rPr>
      </w:pPr>
      <w:r w:rsidRPr="002F31E7">
        <w:rPr>
          <w:rFonts w:ascii="Times New Roman" w:hAnsi="Times New Roman"/>
        </w:rPr>
        <w:t xml:space="preserve">Total number of respondents:  </w:t>
      </w:r>
      <w:r w:rsidRPr="002F31E7" w:rsidR="00015970">
        <w:rPr>
          <w:rFonts w:ascii="Times New Roman" w:hAnsi="Times New Roman"/>
        </w:rPr>
        <w:t>631</w:t>
      </w:r>
    </w:p>
    <w:p w:rsidR="006A46AC" w:rsidRPr="002F31E7" w:rsidP="006A46AC" w14:paraId="51BD3706" w14:textId="2C717D1B">
      <w:pPr>
        <w:rPr>
          <w:rFonts w:ascii="Times New Roman" w:hAnsi="Times New Roman"/>
        </w:rPr>
      </w:pPr>
      <w:r w:rsidRPr="002F31E7">
        <w:rPr>
          <w:rFonts w:ascii="Times New Roman" w:hAnsi="Times New Roman"/>
        </w:rPr>
        <w:t xml:space="preserve">Number of responses per respondent per year:  </w:t>
      </w:r>
      <w:r w:rsidRPr="002F31E7" w:rsidR="00015970">
        <w:rPr>
          <w:rFonts w:ascii="Times New Roman" w:hAnsi="Times New Roman"/>
        </w:rPr>
        <w:t>34.1331</w:t>
      </w:r>
      <w:r w:rsidRPr="002F31E7">
        <w:rPr>
          <w:rFonts w:ascii="Times New Roman" w:hAnsi="Times New Roman"/>
        </w:rPr>
        <w:t xml:space="preserve"> (average)</w:t>
      </w:r>
    </w:p>
    <w:p w:rsidR="006A46AC" w:rsidRPr="002F31E7" w:rsidP="006A46AC" w14:paraId="62F4CEC1" w14:textId="1EE8FC4C">
      <w:pPr>
        <w:rPr>
          <w:rFonts w:ascii="Times New Roman" w:hAnsi="Times New Roman"/>
        </w:rPr>
      </w:pPr>
      <w:r w:rsidRPr="002F31E7">
        <w:rPr>
          <w:rFonts w:ascii="Times New Roman" w:hAnsi="Times New Roman"/>
        </w:rPr>
        <w:t xml:space="preserve">Total annual responses:  </w:t>
      </w:r>
      <w:r w:rsidRPr="002F31E7" w:rsidR="00015970">
        <w:rPr>
          <w:rFonts w:ascii="Times New Roman" w:hAnsi="Times New Roman"/>
        </w:rPr>
        <w:t>21,538</w:t>
      </w:r>
    </w:p>
    <w:p w:rsidR="006A46AC" w:rsidRPr="002F31E7" w:rsidP="006A46AC" w14:paraId="64AC9DE6" w14:textId="35F5939C">
      <w:pPr>
        <w:rPr>
          <w:rFonts w:ascii="Times New Roman" w:hAnsi="Times New Roman"/>
        </w:rPr>
      </w:pPr>
      <w:r w:rsidRPr="002F31E7">
        <w:rPr>
          <w:rFonts w:ascii="Times New Roman" w:hAnsi="Times New Roman"/>
        </w:rPr>
        <w:t>Total annual hour burden:  4,</w:t>
      </w:r>
      <w:r w:rsidRPr="002F31E7" w:rsidR="00112262">
        <w:rPr>
          <w:rFonts w:ascii="Times New Roman" w:hAnsi="Times New Roman"/>
        </w:rPr>
        <w:t>211</w:t>
      </w:r>
    </w:p>
    <w:p w:rsidR="006A46AC" w:rsidRPr="002F31E7" w:rsidP="006A46AC" w14:paraId="4D326DF3" w14:textId="77777777">
      <w:pPr>
        <w:rPr>
          <w:rFonts w:ascii="Times New Roman" w:hAnsi="Times New Roman"/>
        </w:rPr>
      </w:pPr>
    </w:p>
    <w:p w:rsidR="006A46AC" w:rsidRPr="002F31E7" w:rsidP="006A46AC" w14:paraId="22B0E49C" w14:textId="794CCE09">
      <w:pPr>
        <w:rPr>
          <w:rFonts w:ascii="Times New Roman" w:hAnsi="Times New Roman"/>
        </w:rPr>
      </w:pPr>
      <w:r w:rsidRPr="002F31E7">
        <w:rPr>
          <w:rFonts w:ascii="Times New Roman" w:hAnsi="Times New Roman"/>
        </w:rPr>
        <w:t>Average Burden:</w:t>
      </w:r>
      <w:r w:rsidRPr="002F31E7">
        <w:rPr>
          <w:rFonts w:ascii="Times New Roman" w:hAnsi="Times New Roman"/>
        </w:rPr>
        <w:tab/>
        <w:t>Per Collection:  0.</w:t>
      </w:r>
      <w:r w:rsidRPr="002F31E7" w:rsidR="00015970">
        <w:rPr>
          <w:rFonts w:ascii="Times New Roman" w:hAnsi="Times New Roman"/>
        </w:rPr>
        <w:t>19</w:t>
      </w:r>
      <w:r w:rsidRPr="002F31E7" w:rsidR="00112262">
        <w:rPr>
          <w:rFonts w:ascii="Times New Roman" w:hAnsi="Times New Roman"/>
        </w:rPr>
        <w:t>5511</w:t>
      </w:r>
      <w:r w:rsidRPr="002F31E7">
        <w:rPr>
          <w:rFonts w:ascii="Times New Roman" w:hAnsi="Times New Roman"/>
        </w:rPr>
        <w:t xml:space="preserve"> hour</w:t>
      </w:r>
    </w:p>
    <w:p w:rsidR="006A46AC" w:rsidRPr="002F31E7" w:rsidP="006A46AC" w14:paraId="773F0CA2" w14:textId="6BDCB637">
      <w:pPr>
        <w:rPr>
          <w:rFonts w:ascii="Times New Roman" w:hAnsi="Times New Roman"/>
        </w:rPr>
      </w:pPr>
      <w:r w:rsidRPr="002F31E7">
        <w:rPr>
          <w:rFonts w:ascii="Times New Roman" w:hAnsi="Times New Roman"/>
        </w:rPr>
        <w:tab/>
      </w:r>
      <w:r w:rsidRPr="002F31E7">
        <w:rPr>
          <w:rFonts w:ascii="Times New Roman" w:hAnsi="Times New Roman"/>
        </w:rPr>
        <w:tab/>
      </w:r>
      <w:r w:rsidRPr="002F31E7">
        <w:rPr>
          <w:rFonts w:ascii="Times New Roman" w:hAnsi="Times New Roman"/>
        </w:rPr>
        <w:tab/>
        <w:t xml:space="preserve">Per Respondent:  </w:t>
      </w:r>
      <w:r w:rsidRPr="002F31E7" w:rsidR="00015970">
        <w:rPr>
          <w:rFonts w:ascii="Times New Roman" w:hAnsi="Times New Roman"/>
        </w:rPr>
        <w:t>6.</w:t>
      </w:r>
      <w:r w:rsidRPr="002F31E7" w:rsidR="00112262">
        <w:rPr>
          <w:rFonts w:ascii="Times New Roman" w:hAnsi="Times New Roman"/>
        </w:rPr>
        <w:t>673402</w:t>
      </w:r>
      <w:r w:rsidRPr="002F31E7">
        <w:rPr>
          <w:rFonts w:ascii="Times New Roman" w:hAnsi="Times New Roman"/>
        </w:rPr>
        <w:t xml:space="preserve"> hour</w:t>
      </w:r>
    </w:p>
    <w:p w:rsidR="006A46AC" w:rsidRPr="002F31E7" w:rsidP="006A46AC" w14:paraId="48D4AC7F" w14:textId="77777777">
      <w:pPr>
        <w:rPr>
          <w:rFonts w:ascii="Times New Roman" w:hAnsi="Times New Roman"/>
        </w:rPr>
      </w:pPr>
    </w:p>
    <w:p w:rsidR="006A46AC" w:rsidRPr="002F31E7" w:rsidP="006A46AC" w14:paraId="21EA518A" w14:textId="77777777">
      <w:pPr>
        <w:rPr>
          <w:rFonts w:ascii="Times New Roman" w:hAnsi="Times New Roman"/>
        </w:rPr>
      </w:pPr>
      <w:r w:rsidRPr="002F31E7">
        <w:rPr>
          <w:rFonts w:ascii="Times New Roman" w:hAnsi="Times New Roman"/>
        </w:rPr>
        <w:t>Total responses received on paper:  0</w:t>
      </w:r>
    </w:p>
    <w:p w:rsidR="006A46AC" w:rsidRPr="002F31E7" w:rsidP="006A46AC" w14:paraId="3546E6F6" w14:textId="4C7A94C5">
      <w:pPr>
        <w:rPr>
          <w:rFonts w:ascii="Times New Roman" w:hAnsi="Times New Roman"/>
        </w:rPr>
      </w:pPr>
      <w:r w:rsidRPr="002F31E7">
        <w:rPr>
          <w:rFonts w:ascii="Times New Roman" w:hAnsi="Times New Roman"/>
        </w:rPr>
        <w:t xml:space="preserve">Total responses received electronically:  </w:t>
      </w:r>
      <w:r w:rsidRPr="002F31E7" w:rsidR="00015970">
        <w:rPr>
          <w:rFonts w:ascii="Times New Roman" w:hAnsi="Times New Roman"/>
        </w:rPr>
        <w:t>21,538</w:t>
      </w:r>
    </w:p>
    <w:p w:rsidR="006A46AC" w:rsidRPr="002F31E7" w:rsidP="006A46AC" w14:paraId="7C173E4F" w14:textId="77777777">
      <w:pPr>
        <w:rPr>
          <w:rFonts w:ascii="Times New Roman" w:hAnsi="Times New Roman"/>
        </w:rPr>
      </w:pPr>
      <w:r w:rsidRPr="002F31E7">
        <w:rPr>
          <w:rFonts w:ascii="Times New Roman" w:hAnsi="Times New Roman"/>
        </w:rPr>
        <w:t>Percentage of responses received electronically:  100%</w:t>
      </w:r>
    </w:p>
    <w:p w:rsidR="006A46AC" w:rsidRPr="002F31E7" w:rsidP="006A46AC" w14:paraId="22BE5FD3" w14:textId="77777777">
      <w:pPr>
        <w:rPr>
          <w:rFonts w:ascii="Times New Roman" w:hAnsi="Times New Roman"/>
          <w:szCs w:val="20"/>
        </w:rPr>
      </w:pPr>
    </w:p>
    <w:p w:rsidR="006A46AC" w:rsidRPr="002F31E7" w:rsidP="006A46AC" w14:paraId="7C6EF6B1" w14:textId="77777777">
      <w:pPr>
        <w:rPr>
          <w:rFonts w:ascii="Times New Roman" w:hAnsi="Times New Roman"/>
          <w:noProof/>
        </w:rPr>
      </w:pPr>
      <w:r w:rsidRPr="002F31E7">
        <w:rPr>
          <w:rFonts w:ascii="Times New Roman" w:hAnsi="Times New Roman"/>
          <w:noProof/>
        </w:rPr>
        <w:t>Burden dollars:</w:t>
      </w:r>
    </w:p>
    <w:p w:rsidR="006A46AC" w:rsidRPr="002F31E7" w:rsidP="006A46AC" w14:paraId="47FAEAB9" w14:textId="77777777">
      <w:pPr>
        <w:rPr>
          <w:rFonts w:ascii="Times New Roman" w:hAnsi="Times New Roman"/>
        </w:rPr>
      </w:pPr>
      <w:r w:rsidRPr="002F31E7">
        <w:rPr>
          <w:rFonts w:ascii="Times New Roman" w:hAnsi="Times New Roman"/>
          <w:noProof/>
        </w:rPr>
        <w:tab/>
      </w:r>
    </w:p>
    <w:tbl>
      <w:tblPr>
        <w:tblW w:w="0" w:type="auto"/>
        <w:tblInd w:w="720" w:type="dxa"/>
        <w:tblLook w:val="04A0"/>
      </w:tblPr>
      <w:tblGrid>
        <w:gridCol w:w="4248"/>
        <w:gridCol w:w="1530"/>
        <w:gridCol w:w="1425"/>
        <w:gridCol w:w="1365"/>
      </w:tblGrid>
      <w:tr w14:paraId="5992C4DD" w14:textId="77777777" w:rsidTr="006A46AC">
        <w:tblPrEx>
          <w:tblW w:w="0" w:type="auto"/>
          <w:tblInd w:w="720" w:type="dxa"/>
          <w:tblLook w:val="04A0"/>
        </w:tblPrEx>
        <w:tc>
          <w:tcPr>
            <w:tcW w:w="4248" w:type="dxa"/>
            <w:hideMark/>
          </w:tcPr>
          <w:p w:rsidR="006A46AC" w:rsidRPr="002F31E7" w14:paraId="000B8FF5" w14:textId="77777777">
            <w:pPr>
              <w:rPr>
                <w:rFonts w:ascii="Times New Roman" w:eastAsia="SimSun" w:hAnsi="Times New Roman"/>
              </w:rPr>
            </w:pPr>
            <w:r w:rsidRPr="002F31E7">
              <w:rPr>
                <w:rFonts w:ascii="Times New Roman" w:eastAsia="SimSun" w:hAnsi="Times New Roman"/>
              </w:rPr>
              <w:t>Estimate hourly wage ($/hour):</w:t>
            </w:r>
            <w:r>
              <w:rPr>
                <w:rStyle w:val="FootnoteReference"/>
                <w:rFonts w:ascii="Times New Roman" w:eastAsia="SimSun" w:hAnsi="Times New Roman"/>
              </w:rPr>
              <w:footnoteReference w:id="4"/>
            </w:r>
          </w:p>
        </w:tc>
        <w:tc>
          <w:tcPr>
            <w:tcW w:w="1530" w:type="dxa"/>
            <w:hideMark/>
          </w:tcPr>
          <w:p w:rsidR="006A46AC" w:rsidRPr="002F31E7" w14:paraId="569E47D3" w14:textId="6B71B4DE">
            <w:pPr>
              <w:jc w:val="right"/>
              <w:rPr>
                <w:rFonts w:ascii="Times New Roman" w:eastAsia="SimSun" w:hAnsi="Times New Roman"/>
              </w:rPr>
            </w:pPr>
            <w:r w:rsidRPr="002F31E7">
              <w:rPr>
                <w:rFonts w:ascii="Times New Roman" w:eastAsia="SimSun" w:hAnsi="Times New Roman"/>
              </w:rPr>
              <w:t>$4</w:t>
            </w:r>
            <w:r w:rsidRPr="002F31E7" w:rsidR="00015970">
              <w:rPr>
                <w:rFonts w:ascii="Times New Roman" w:eastAsia="SimSun" w:hAnsi="Times New Roman"/>
              </w:rPr>
              <w:t>7</w:t>
            </w:r>
            <w:r w:rsidRPr="002F31E7">
              <w:rPr>
                <w:rFonts w:ascii="Times New Roman" w:eastAsia="SimSun" w:hAnsi="Times New Roman"/>
              </w:rPr>
              <w:t>.</w:t>
            </w:r>
            <w:r w:rsidRPr="002F31E7" w:rsidR="00015970">
              <w:rPr>
                <w:rFonts w:ascii="Times New Roman" w:eastAsia="SimSun" w:hAnsi="Times New Roman"/>
              </w:rPr>
              <w:t>39</w:t>
            </w:r>
          </w:p>
        </w:tc>
        <w:tc>
          <w:tcPr>
            <w:tcW w:w="1425" w:type="dxa"/>
          </w:tcPr>
          <w:p w:rsidR="006A46AC" w:rsidRPr="002F31E7" w14:paraId="11364EBC" w14:textId="77777777">
            <w:pPr>
              <w:jc w:val="right"/>
              <w:rPr>
                <w:rFonts w:ascii="Times New Roman" w:eastAsia="SimSun" w:hAnsi="Times New Roman"/>
              </w:rPr>
            </w:pPr>
          </w:p>
        </w:tc>
        <w:tc>
          <w:tcPr>
            <w:tcW w:w="1365" w:type="dxa"/>
          </w:tcPr>
          <w:p w:rsidR="006A46AC" w:rsidRPr="002F31E7" w14:paraId="6B7744AE" w14:textId="77777777">
            <w:pPr>
              <w:jc w:val="right"/>
              <w:rPr>
                <w:rFonts w:ascii="Times New Roman" w:eastAsia="SimSun" w:hAnsi="Times New Roman"/>
              </w:rPr>
            </w:pPr>
          </w:p>
        </w:tc>
      </w:tr>
      <w:tr w14:paraId="71C85EAF" w14:textId="77777777" w:rsidTr="006A46AC">
        <w:tblPrEx>
          <w:tblW w:w="0" w:type="auto"/>
          <w:tblInd w:w="720" w:type="dxa"/>
          <w:tblLook w:val="04A0"/>
        </w:tblPrEx>
        <w:tc>
          <w:tcPr>
            <w:tcW w:w="4248" w:type="dxa"/>
            <w:hideMark/>
          </w:tcPr>
          <w:p w:rsidR="006A46AC" w:rsidRPr="002F31E7" w14:paraId="6E9743A6" w14:textId="77777777">
            <w:pPr>
              <w:rPr>
                <w:rFonts w:ascii="Times New Roman" w:eastAsia="SimSun" w:hAnsi="Times New Roman"/>
              </w:rPr>
            </w:pPr>
            <w:r w:rsidRPr="002F31E7">
              <w:rPr>
                <w:rFonts w:ascii="Times New Roman" w:eastAsia="SimSun" w:hAnsi="Times New Roman"/>
              </w:rPr>
              <w:t>Load for benefits (percent of labor rate):</w:t>
            </w:r>
            <w:r>
              <w:rPr>
                <w:rStyle w:val="FootnoteReference"/>
                <w:rFonts w:ascii="Times New Roman" w:eastAsia="SimSun" w:hAnsi="Times New Roman"/>
              </w:rPr>
              <w:footnoteReference w:id="5"/>
            </w:r>
          </w:p>
        </w:tc>
        <w:tc>
          <w:tcPr>
            <w:tcW w:w="1530" w:type="dxa"/>
            <w:hideMark/>
          </w:tcPr>
          <w:p w:rsidR="006A46AC" w:rsidRPr="002F31E7" w14:paraId="3C0B30B0" w14:textId="7244701E">
            <w:pPr>
              <w:jc w:val="right"/>
              <w:rPr>
                <w:rFonts w:ascii="Times New Roman" w:eastAsia="SimSun" w:hAnsi="Times New Roman"/>
              </w:rPr>
            </w:pPr>
            <w:r w:rsidRPr="002F31E7">
              <w:rPr>
                <w:rFonts w:ascii="Times New Roman" w:eastAsia="SimSun" w:hAnsi="Times New Roman"/>
              </w:rPr>
              <w:t>42.</w:t>
            </w:r>
            <w:r w:rsidRPr="002F31E7" w:rsidR="00015970">
              <w:rPr>
                <w:rFonts w:ascii="Times New Roman" w:eastAsia="SimSun" w:hAnsi="Times New Roman"/>
              </w:rPr>
              <w:t>8</w:t>
            </w:r>
            <w:r w:rsidRPr="002F31E7">
              <w:rPr>
                <w:rFonts w:ascii="Times New Roman" w:eastAsia="SimSun" w:hAnsi="Times New Roman"/>
              </w:rPr>
              <w:t>%</w:t>
            </w:r>
          </w:p>
        </w:tc>
        <w:tc>
          <w:tcPr>
            <w:tcW w:w="1425" w:type="dxa"/>
          </w:tcPr>
          <w:p w:rsidR="006A46AC" w:rsidRPr="002F31E7" w14:paraId="1457B3AC" w14:textId="77777777">
            <w:pPr>
              <w:jc w:val="right"/>
              <w:rPr>
                <w:rFonts w:ascii="Times New Roman" w:eastAsia="SimSun" w:hAnsi="Times New Roman"/>
              </w:rPr>
            </w:pPr>
          </w:p>
        </w:tc>
        <w:tc>
          <w:tcPr>
            <w:tcW w:w="1365" w:type="dxa"/>
          </w:tcPr>
          <w:p w:rsidR="006A46AC" w:rsidRPr="002F31E7" w14:paraId="039477E6" w14:textId="77777777">
            <w:pPr>
              <w:jc w:val="right"/>
              <w:rPr>
                <w:rFonts w:ascii="Times New Roman" w:eastAsia="SimSun" w:hAnsi="Times New Roman"/>
              </w:rPr>
            </w:pPr>
          </w:p>
        </w:tc>
      </w:tr>
      <w:tr w14:paraId="5F81EFE3" w14:textId="77777777" w:rsidTr="006A46AC">
        <w:tblPrEx>
          <w:tblW w:w="0" w:type="auto"/>
          <w:tblInd w:w="720" w:type="dxa"/>
          <w:tblLook w:val="04A0"/>
        </w:tblPrEx>
        <w:tc>
          <w:tcPr>
            <w:tcW w:w="4248" w:type="dxa"/>
          </w:tcPr>
          <w:p w:rsidR="006A46AC" w:rsidRPr="002F31E7" w14:paraId="2EE55F41" w14:textId="77777777">
            <w:pPr>
              <w:rPr>
                <w:rFonts w:ascii="Times New Roman" w:eastAsia="SimSun" w:hAnsi="Times New Roman"/>
              </w:rPr>
            </w:pPr>
            <w:r w:rsidRPr="002F31E7">
              <w:rPr>
                <w:rFonts w:ascii="Times New Roman" w:eastAsia="SimSun" w:hAnsi="Times New Roman"/>
              </w:rPr>
              <w:t>Loaded labor rate ($/hour):</w:t>
            </w:r>
            <w:r>
              <w:rPr>
                <w:rStyle w:val="FootnoteReference"/>
                <w:rFonts w:ascii="Times New Roman" w:eastAsia="SimSun" w:hAnsi="Times New Roman"/>
              </w:rPr>
              <w:footnoteReference w:id="6"/>
            </w:r>
          </w:p>
          <w:p w:rsidR="006A46AC" w:rsidRPr="002F31E7" w14:paraId="308407DF" w14:textId="77777777">
            <w:pPr>
              <w:rPr>
                <w:rFonts w:ascii="Times New Roman" w:eastAsia="SimSun" w:hAnsi="Times New Roman"/>
              </w:rPr>
            </w:pPr>
          </w:p>
        </w:tc>
        <w:tc>
          <w:tcPr>
            <w:tcW w:w="1530" w:type="dxa"/>
            <w:hideMark/>
          </w:tcPr>
          <w:p w:rsidR="006A46AC" w:rsidRPr="002F31E7" w14:paraId="542EC5E2" w14:textId="01F5F895">
            <w:pPr>
              <w:jc w:val="right"/>
              <w:rPr>
                <w:rFonts w:ascii="Times New Roman" w:eastAsia="SimSun" w:hAnsi="Times New Roman"/>
              </w:rPr>
            </w:pPr>
            <w:r w:rsidRPr="002F31E7">
              <w:rPr>
                <w:rFonts w:ascii="Times New Roman" w:eastAsia="SimSun" w:hAnsi="Times New Roman"/>
              </w:rPr>
              <w:t>$6</w:t>
            </w:r>
            <w:r w:rsidRPr="002F31E7" w:rsidR="00015970">
              <w:rPr>
                <w:rFonts w:ascii="Times New Roman" w:eastAsia="SimSun" w:hAnsi="Times New Roman"/>
              </w:rPr>
              <w:t>7</w:t>
            </w:r>
            <w:r w:rsidRPr="002F31E7">
              <w:rPr>
                <w:rFonts w:ascii="Times New Roman" w:eastAsia="SimSun" w:hAnsi="Times New Roman"/>
              </w:rPr>
              <w:t>.</w:t>
            </w:r>
            <w:r w:rsidRPr="002F31E7" w:rsidR="00015970">
              <w:rPr>
                <w:rFonts w:ascii="Times New Roman" w:eastAsia="SimSun" w:hAnsi="Times New Roman"/>
              </w:rPr>
              <w:t>67</w:t>
            </w:r>
          </w:p>
        </w:tc>
        <w:tc>
          <w:tcPr>
            <w:tcW w:w="1425" w:type="dxa"/>
          </w:tcPr>
          <w:p w:rsidR="006A46AC" w:rsidRPr="002F31E7" w14:paraId="216A6112" w14:textId="77777777">
            <w:pPr>
              <w:jc w:val="right"/>
              <w:rPr>
                <w:rFonts w:ascii="Times New Roman" w:eastAsia="SimSun" w:hAnsi="Times New Roman"/>
              </w:rPr>
            </w:pPr>
          </w:p>
        </w:tc>
        <w:tc>
          <w:tcPr>
            <w:tcW w:w="1365" w:type="dxa"/>
          </w:tcPr>
          <w:p w:rsidR="006A46AC" w:rsidRPr="002F31E7" w14:paraId="091AAD95" w14:textId="77777777">
            <w:pPr>
              <w:jc w:val="right"/>
              <w:rPr>
                <w:rFonts w:ascii="Times New Roman" w:eastAsia="SimSun" w:hAnsi="Times New Roman"/>
              </w:rPr>
            </w:pPr>
          </w:p>
        </w:tc>
      </w:tr>
      <w:tr w14:paraId="5F62096A" w14:textId="77777777" w:rsidTr="006A46AC">
        <w:tblPrEx>
          <w:tblW w:w="0" w:type="auto"/>
          <w:tblInd w:w="720" w:type="dxa"/>
          <w:tblLook w:val="04A0"/>
        </w:tblPrEx>
        <w:tc>
          <w:tcPr>
            <w:tcW w:w="4248" w:type="dxa"/>
            <w:vAlign w:val="bottom"/>
          </w:tcPr>
          <w:p w:rsidR="006A46AC" w:rsidRPr="002F31E7" w14:paraId="16DCD19A" w14:textId="77777777">
            <w:pPr>
              <w:widowControl/>
              <w:rPr>
                <w:rFonts w:ascii="Times New Roman" w:hAnsi="Times New Roman"/>
                <w:b/>
                <w:bCs/>
                <w:color w:val="000000"/>
              </w:rPr>
            </w:pPr>
          </w:p>
        </w:tc>
        <w:tc>
          <w:tcPr>
            <w:tcW w:w="1530" w:type="dxa"/>
            <w:vAlign w:val="bottom"/>
            <w:hideMark/>
          </w:tcPr>
          <w:p w:rsidR="006A46AC" w:rsidRPr="002F31E7" w14:paraId="3061B745" w14:textId="77777777">
            <w:pPr>
              <w:widowControl/>
              <w:jc w:val="center"/>
              <w:rPr>
                <w:rFonts w:ascii="Times New Roman" w:hAnsi="Times New Roman"/>
                <w:bCs/>
                <w:color w:val="000000"/>
                <w:u w:val="single"/>
              </w:rPr>
            </w:pPr>
            <w:r w:rsidRPr="002F31E7">
              <w:rPr>
                <w:rFonts w:ascii="Times New Roman" w:hAnsi="Times New Roman"/>
                <w:bCs/>
                <w:color w:val="000000"/>
                <w:u w:val="single"/>
              </w:rPr>
              <w:t>DEA 486</w:t>
            </w:r>
          </w:p>
        </w:tc>
        <w:tc>
          <w:tcPr>
            <w:tcW w:w="1425" w:type="dxa"/>
            <w:vAlign w:val="bottom"/>
            <w:hideMark/>
          </w:tcPr>
          <w:p w:rsidR="006A46AC" w:rsidRPr="002F31E7" w14:paraId="2FC09FFE" w14:textId="77777777">
            <w:pPr>
              <w:widowControl/>
              <w:jc w:val="center"/>
              <w:rPr>
                <w:rFonts w:ascii="Times New Roman" w:hAnsi="Times New Roman"/>
                <w:bCs/>
                <w:color w:val="000000"/>
                <w:u w:val="single"/>
              </w:rPr>
            </w:pPr>
            <w:r w:rsidRPr="002F31E7">
              <w:rPr>
                <w:rFonts w:ascii="Times New Roman" w:hAnsi="Times New Roman"/>
                <w:bCs/>
                <w:color w:val="000000"/>
                <w:u w:val="single"/>
              </w:rPr>
              <w:t>DEA 486A</w:t>
            </w:r>
          </w:p>
        </w:tc>
        <w:tc>
          <w:tcPr>
            <w:tcW w:w="1365" w:type="dxa"/>
            <w:vAlign w:val="bottom"/>
            <w:hideMark/>
          </w:tcPr>
          <w:p w:rsidR="006A46AC" w:rsidRPr="002F31E7" w14:paraId="0BC6A985" w14:textId="77777777">
            <w:pPr>
              <w:widowControl/>
              <w:jc w:val="center"/>
              <w:rPr>
                <w:rFonts w:ascii="Times New Roman" w:hAnsi="Times New Roman"/>
                <w:bCs/>
                <w:color w:val="000000"/>
                <w:u w:val="single"/>
              </w:rPr>
            </w:pPr>
            <w:r w:rsidRPr="002F31E7">
              <w:rPr>
                <w:rFonts w:ascii="Times New Roman" w:hAnsi="Times New Roman"/>
                <w:bCs/>
                <w:color w:val="000000"/>
                <w:u w:val="single"/>
              </w:rPr>
              <w:t>Total</w:t>
            </w:r>
          </w:p>
        </w:tc>
      </w:tr>
      <w:tr w14:paraId="370E78AA" w14:textId="77777777" w:rsidTr="006A46AC">
        <w:tblPrEx>
          <w:tblW w:w="0" w:type="auto"/>
          <w:tblInd w:w="720" w:type="dxa"/>
          <w:tblLook w:val="04A0"/>
        </w:tblPrEx>
        <w:tc>
          <w:tcPr>
            <w:tcW w:w="4248" w:type="dxa"/>
            <w:vAlign w:val="center"/>
            <w:hideMark/>
          </w:tcPr>
          <w:p w:rsidR="006A46AC" w:rsidRPr="002F31E7" w14:paraId="4F1006E4" w14:textId="77777777">
            <w:pPr>
              <w:widowControl/>
              <w:rPr>
                <w:rFonts w:ascii="Times New Roman" w:hAnsi="Times New Roman"/>
                <w:color w:val="000000"/>
              </w:rPr>
            </w:pPr>
            <w:r w:rsidRPr="002F31E7">
              <w:rPr>
                <w:rFonts w:ascii="Times New Roman" w:hAnsi="Times New Roman"/>
                <w:color w:val="000000"/>
              </w:rPr>
              <w:t>Number of responses</w:t>
            </w:r>
          </w:p>
        </w:tc>
        <w:tc>
          <w:tcPr>
            <w:tcW w:w="1530" w:type="dxa"/>
            <w:vAlign w:val="bottom"/>
            <w:hideMark/>
          </w:tcPr>
          <w:p w:rsidR="006A46AC" w:rsidRPr="002F31E7" w14:paraId="34E53B6F" w14:textId="61F4F984">
            <w:pPr>
              <w:widowControl/>
              <w:jc w:val="right"/>
              <w:rPr>
                <w:rFonts w:ascii="Times New Roman" w:hAnsi="Times New Roman"/>
                <w:color w:val="000000"/>
              </w:rPr>
            </w:pPr>
            <w:r w:rsidRPr="002F31E7">
              <w:rPr>
                <w:rFonts w:ascii="Times New Roman" w:hAnsi="Times New Roman"/>
                <w:color w:val="000000"/>
              </w:rPr>
              <w:t>18,852</w:t>
            </w:r>
            <w:r w:rsidRPr="002F31E7">
              <w:rPr>
                <w:rFonts w:ascii="Times New Roman" w:hAnsi="Times New Roman"/>
                <w:color w:val="000000"/>
              </w:rPr>
              <w:t xml:space="preserve"> </w:t>
            </w:r>
          </w:p>
        </w:tc>
        <w:tc>
          <w:tcPr>
            <w:tcW w:w="1425" w:type="dxa"/>
            <w:vAlign w:val="bottom"/>
            <w:hideMark/>
          </w:tcPr>
          <w:p w:rsidR="006A46AC" w:rsidRPr="002F31E7" w14:paraId="5925ECA9" w14:textId="4687CE3E">
            <w:pPr>
              <w:widowControl/>
              <w:jc w:val="right"/>
              <w:rPr>
                <w:rFonts w:ascii="Times New Roman" w:hAnsi="Times New Roman"/>
                <w:color w:val="000000"/>
              </w:rPr>
            </w:pPr>
            <w:r w:rsidRPr="002F31E7">
              <w:rPr>
                <w:rFonts w:ascii="Times New Roman" w:hAnsi="Times New Roman"/>
                <w:color w:val="000000"/>
              </w:rPr>
              <w:t xml:space="preserve">             </w:t>
            </w:r>
            <w:r w:rsidRPr="002F31E7" w:rsidR="00015970">
              <w:rPr>
                <w:rFonts w:ascii="Times New Roman" w:hAnsi="Times New Roman"/>
                <w:color w:val="000000"/>
              </w:rPr>
              <w:t>2,686</w:t>
            </w:r>
            <w:r w:rsidRPr="002F31E7">
              <w:rPr>
                <w:rFonts w:ascii="Times New Roman" w:hAnsi="Times New Roman"/>
                <w:color w:val="000000"/>
              </w:rPr>
              <w:t xml:space="preserve"> </w:t>
            </w:r>
          </w:p>
        </w:tc>
        <w:tc>
          <w:tcPr>
            <w:tcW w:w="1365" w:type="dxa"/>
            <w:vAlign w:val="bottom"/>
            <w:hideMark/>
          </w:tcPr>
          <w:p w:rsidR="006A46AC" w:rsidRPr="002F31E7" w14:paraId="1EF4F958" w14:textId="1BBFCC13">
            <w:pPr>
              <w:widowControl/>
              <w:jc w:val="right"/>
              <w:rPr>
                <w:rFonts w:ascii="Times New Roman" w:hAnsi="Times New Roman"/>
                <w:color w:val="000000"/>
              </w:rPr>
            </w:pPr>
            <w:r w:rsidRPr="002F31E7">
              <w:rPr>
                <w:rFonts w:ascii="Times New Roman" w:hAnsi="Times New Roman"/>
                <w:color w:val="000000"/>
              </w:rPr>
              <w:t>21,538</w:t>
            </w:r>
          </w:p>
        </w:tc>
      </w:tr>
      <w:tr w14:paraId="09D7F051" w14:textId="77777777" w:rsidTr="006A46AC">
        <w:tblPrEx>
          <w:tblW w:w="0" w:type="auto"/>
          <w:tblInd w:w="720" w:type="dxa"/>
          <w:tblLook w:val="04A0"/>
        </w:tblPrEx>
        <w:tc>
          <w:tcPr>
            <w:tcW w:w="4248" w:type="dxa"/>
            <w:vAlign w:val="center"/>
            <w:hideMark/>
          </w:tcPr>
          <w:p w:rsidR="006A46AC" w:rsidRPr="002F31E7" w14:paraId="4137E77A" w14:textId="77777777">
            <w:pPr>
              <w:widowControl/>
              <w:rPr>
                <w:rFonts w:ascii="Times New Roman" w:hAnsi="Times New Roman"/>
                <w:color w:val="000000"/>
              </w:rPr>
            </w:pPr>
            <w:r w:rsidRPr="002F31E7">
              <w:rPr>
                <w:rFonts w:ascii="Times New Roman" w:hAnsi="Times New Roman"/>
                <w:color w:val="000000"/>
              </w:rPr>
              <w:t>Total annual hours</w:t>
            </w:r>
          </w:p>
        </w:tc>
        <w:tc>
          <w:tcPr>
            <w:tcW w:w="1530" w:type="dxa"/>
            <w:vAlign w:val="bottom"/>
            <w:hideMark/>
          </w:tcPr>
          <w:p w:rsidR="006A46AC" w:rsidRPr="002F31E7" w14:paraId="18B8055F" w14:textId="71CBFFA9">
            <w:pPr>
              <w:widowControl/>
              <w:jc w:val="right"/>
              <w:rPr>
                <w:rFonts w:ascii="Times New Roman" w:hAnsi="Times New Roman"/>
                <w:color w:val="000000"/>
              </w:rPr>
            </w:pPr>
            <w:r w:rsidRPr="002F31E7">
              <w:rPr>
                <w:rFonts w:ascii="Times New Roman" w:hAnsi="Times New Roman"/>
                <w:color w:val="000000"/>
              </w:rPr>
              <w:t xml:space="preserve">            </w:t>
            </w:r>
            <w:r w:rsidRPr="002F31E7" w:rsidR="00015970">
              <w:rPr>
                <w:rFonts w:ascii="Times New Roman" w:hAnsi="Times New Roman"/>
                <w:color w:val="000000"/>
              </w:rPr>
              <w:t>3,</w:t>
            </w:r>
            <w:r w:rsidRPr="002F31E7" w:rsidR="00112262">
              <w:rPr>
                <w:rFonts w:ascii="Times New Roman" w:hAnsi="Times New Roman"/>
                <w:color w:val="000000"/>
              </w:rPr>
              <w:t>718</w:t>
            </w:r>
          </w:p>
        </w:tc>
        <w:tc>
          <w:tcPr>
            <w:tcW w:w="1425" w:type="dxa"/>
            <w:vAlign w:val="bottom"/>
            <w:hideMark/>
          </w:tcPr>
          <w:p w:rsidR="006A46AC" w:rsidRPr="002F31E7" w14:paraId="66B2BD04" w14:textId="2F9B61A0">
            <w:pPr>
              <w:widowControl/>
              <w:jc w:val="right"/>
              <w:rPr>
                <w:rFonts w:ascii="Times New Roman" w:hAnsi="Times New Roman"/>
                <w:color w:val="000000"/>
              </w:rPr>
            </w:pPr>
            <w:r w:rsidRPr="002F31E7">
              <w:rPr>
                <w:rFonts w:ascii="Times New Roman" w:hAnsi="Times New Roman"/>
                <w:color w:val="000000"/>
              </w:rPr>
              <w:t xml:space="preserve">           </w:t>
            </w:r>
            <w:r w:rsidRPr="002F31E7" w:rsidR="00112262">
              <w:rPr>
                <w:rFonts w:ascii="Times New Roman" w:hAnsi="Times New Roman"/>
                <w:color w:val="000000"/>
              </w:rPr>
              <w:t>492</w:t>
            </w:r>
            <w:r w:rsidRPr="002F31E7">
              <w:rPr>
                <w:rFonts w:ascii="Times New Roman" w:hAnsi="Times New Roman"/>
                <w:color w:val="000000"/>
              </w:rPr>
              <w:t xml:space="preserve"> </w:t>
            </w:r>
          </w:p>
        </w:tc>
        <w:tc>
          <w:tcPr>
            <w:tcW w:w="1365" w:type="dxa"/>
            <w:vAlign w:val="bottom"/>
            <w:hideMark/>
          </w:tcPr>
          <w:p w:rsidR="006A46AC" w:rsidRPr="002F31E7" w14:paraId="720A226F" w14:textId="3181ADA0">
            <w:pPr>
              <w:widowControl/>
              <w:jc w:val="right"/>
              <w:rPr>
                <w:rFonts w:ascii="Times New Roman" w:hAnsi="Times New Roman"/>
                <w:color w:val="000000"/>
              </w:rPr>
            </w:pPr>
            <w:r w:rsidRPr="002F31E7">
              <w:rPr>
                <w:rFonts w:ascii="Times New Roman" w:hAnsi="Times New Roman"/>
                <w:color w:val="000000"/>
              </w:rPr>
              <w:t>4,211</w:t>
            </w:r>
          </w:p>
        </w:tc>
      </w:tr>
      <w:tr w14:paraId="6969483C" w14:textId="77777777" w:rsidTr="006A46AC">
        <w:tblPrEx>
          <w:tblW w:w="0" w:type="auto"/>
          <w:tblInd w:w="720" w:type="dxa"/>
          <w:tblLook w:val="04A0"/>
        </w:tblPrEx>
        <w:tc>
          <w:tcPr>
            <w:tcW w:w="4248" w:type="dxa"/>
            <w:vAlign w:val="center"/>
            <w:hideMark/>
          </w:tcPr>
          <w:p w:rsidR="006A46AC" w:rsidRPr="002F31E7" w14:paraId="3C2B0DCC" w14:textId="77777777">
            <w:pPr>
              <w:widowControl/>
              <w:rPr>
                <w:rFonts w:ascii="Times New Roman" w:hAnsi="Times New Roman"/>
                <w:color w:val="000000"/>
              </w:rPr>
            </w:pPr>
            <w:r w:rsidRPr="002F31E7">
              <w:rPr>
                <w:rFonts w:ascii="Times New Roman" w:hAnsi="Times New Roman"/>
                <w:color w:val="000000"/>
              </w:rPr>
              <w:t>Average burden per response (hour)</w:t>
            </w:r>
          </w:p>
        </w:tc>
        <w:tc>
          <w:tcPr>
            <w:tcW w:w="1530" w:type="dxa"/>
            <w:vAlign w:val="bottom"/>
            <w:hideMark/>
          </w:tcPr>
          <w:p w:rsidR="006A46AC" w:rsidRPr="002F31E7" w14:paraId="5ABD11B1" w14:textId="19E887DD">
            <w:pPr>
              <w:widowControl/>
              <w:jc w:val="right"/>
              <w:rPr>
                <w:rFonts w:ascii="Times New Roman" w:hAnsi="Times New Roman"/>
                <w:color w:val="000000"/>
              </w:rPr>
            </w:pPr>
            <w:r w:rsidRPr="002F31E7">
              <w:rPr>
                <w:rFonts w:ascii="Times New Roman" w:hAnsi="Times New Roman"/>
                <w:color w:val="000000"/>
              </w:rPr>
              <w:t xml:space="preserve">          0.</w:t>
            </w:r>
            <w:r w:rsidRPr="002F31E7" w:rsidR="00112262">
              <w:rPr>
                <w:rFonts w:ascii="Times New Roman" w:hAnsi="Times New Roman"/>
                <w:color w:val="000000"/>
              </w:rPr>
              <w:t>19725</w:t>
            </w:r>
            <w:r w:rsidRPr="002F31E7">
              <w:rPr>
                <w:rFonts w:ascii="Times New Roman" w:hAnsi="Times New Roman"/>
                <w:color w:val="000000"/>
              </w:rPr>
              <w:t xml:space="preserve"> </w:t>
            </w:r>
          </w:p>
        </w:tc>
        <w:tc>
          <w:tcPr>
            <w:tcW w:w="1425" w:type="dxa"/>
            <w:vAlign w:val="bottom"/>
            <w:hideMark/>
          </w:tcPr>
          <w:p w:rsidR="006A46AC" w:rsidRPr="002F31E7" w14:paraId="225C9130" w14:textId="57BFE0CC">
            <w:pPr>
              <w:widowControl/>
              <w:jc w:val="right"/>
              <w:rPr>
                <w:rFonts w:ascii="Times New Roman" w:hAnsi="Times New Roman"/>
                <w:color w:val="000000"/>
              </w:rPr>
            </w:pPr>
            <w:r w:rsidRPr="002F31E7">
              <w:rPr>
                <w:rFonts w:ascii="Times New Roman" w:hAnsi="Times New Roman"/>
                <w:color w:val="000000"/>
              </w:rPr>
              <w:t xml:space="preserve">         0.</w:t>
            </w:r>
            <w:r w:rsidRPr="002F31E7" w:rsidR="00112262">
              <w:rPr>
                <w:rFonts w:ascii="Times New Roman" w:hAnsi="Times New Roman"/>
                <w:color w:val="000000"/>
              </w:rPr>
              <w:t>183333</w:t>
            </w:r>
            <w:r w:rsidRPr="002F31E7">
              <w:rPr>
                <w:rFonts w:ascii="Times New Roman" w:hAnsi="Times New Roman"/>
                <w:color w:val="000000"/>
              </w:rPr>
              <w:t xml:space="preserve"> </w:t>
            </w:r>
          </w:p>
        </w:tc>
        <w:tc>
          <w:tcPr>
            <w:tcW w:w="1365" w:type="dxa"/>
            <w:vAlign w:val="bottom"/>
            <w:hideMark/>
          </w:tcPr>
          <w:p w:rsidR="006A46AC" w:rsidRPr="002F31E7" w14:paraId="543AA8C4" w14:textId="77777777">
            <w:pPr>
              <w:widowControl/>
              <w:rPr>
                <w:rFonts w:ascii="Times New Roman" w:hAnsi="Times New Roman"/>
                <w:color w:val="000000"/>
              </w:rPr>
            </w:pPr>
            <w:r w:rsidRPr="002F31E7">
              <w:rPr>
                <w:rFonts w:ascii="Times New Roman" w:hAnsi="Times New Roman"/>
                <w:color w:val="000000"/>
              </w:rPr>
              <w:t> </w:t>
            </w:r>
          </w:p>
        </w:tc>
      </w:tr>
      <w:tr w14:paraId="66645748" w14:textId="77777777" w:rsidTr="006A46AC">
        <w:tblPrEx>
          <w:tblW w:w="0" w:type="auto"/>
          <w:tblInd w:w="720" w:type="dxa"/>
          <w:tblLook w:val="04A0"/>
        </w:tblPrEx>
        <w:tc>
          <w:tcPr>
            <w:tcW w:w="4248" w:type="dxa"/>
            <w:vAlign w:val="center"/>
            <w:hideMark/>
          </w:tcPr>
          <w:p w:rsidR="006A46AC" w:rsidRPr="002F31E7" w14:paraId="07050842" w14:textId="77777777">
            <w:pPr>
              <w:widowControl/>
              <w:rPr>
                <w:rFonts w:ascii="Times New Roman" w:hAnsi="Times New Roman"/>
                <w:color w:val="000000"/>
              </w:rPr>
            </w:pPr>
            <w:r w:rsidRPr="002F31E7">
              <w:rPr>
                <w:rFonts w:ascii="Times New Roman" w:hAnsi="Times New Roman"/>
                <w:color w:val="000000"/>
              </w:rPr>
              <w:t>Burden dollars per response ($)</w:t>
            </w:r>
          </w:p>
        </w:tc>
        <w:tc>
          <w:tcPr>
            <w:tcW w:w="1530" w:type="dxa"/>
            <w:vAlign w:val="center"/>
            <w:hideMark/>
          </w:tcPr>
          <w:p w:rsidR="006A46AC" w:rsidRPr="002F31E7" w14:paraId="671A7303" w14:textId="1B5832B7">
            <w:pPr>
              <w:widowControl/>
              <w:jc w:val="right"/>
              <w:rPr>
                <w:rFonts w:ascii="Times New Roman" w:hAnsi="Times New Roman"/>
                <w:color w:val="000000"/>
              </w:rPr>
            </w:pPr>
            <w:r w:rsidRPr="002F31E7">
              <w:rPr>
                <w:rFonts w:ascii="Times New Roman" w:hAnsi="Times New Roman"/>
                <w:color w:val="000000"/>
              </w:rPr>
              <w:t xml:space="preserve"> $     1</w:t>
            </w:r>
            <w:r w:rsidRPr="002F31E7" w:rsidR="00112262">
              <w:rPr>
                <w:rFonts w:ascii="Times New Roman" w:hAnsi="Times New Roman"/>
                <w:color w:val="000000"/>
              </w:rPr>
              <w:t>3.35</w:t>
            </w:r>
          </w:p>
        </w:tc>
        <w:tc>
          <w:tcPr>
            <w:tcW w:w="1425" w:type="dxa"/>
            <w:vAlign w:val="center"/>
            <w:hideMark/>
          </w:tcPr>
          <w:p w:rsidR="006A46AC" w:rsidRPr="002F31E7" w14:paraId="7CBB2C47" w14:textId="7D6A5E1F">
            <w:pPr>
              <w:widowControl/>
              <w:jc w:val="right"/>
              <w:rPr>
                <w:rFonts w:ascii="Times New Roman" w:hAnsi="Times New Roman"/>
                <w:color w:val="000000"/>
              </w:rPr>
            </w:pPr>
            <w:r w:rsidRPr="002F31E7">
              <w:rPr>
                <w:rFonts w:ascii="Times New Roman" w:hAnsi="Times New Roman"/>
                <w:color w:val="000000"/>
              </w:rPr>
              <w:t xml:space="preserve"> $   </w:t>
            </w:r>
            <w:r w:rsidRPr="002F31E7" w:rsidR="00112262">
              <w:rPr>
                <w:rFonts w:ascii="Times New Roman" w:hAnsi="Times New Roman"/>
                <w:color w:val="000000"/>
              </w:rPr>
              <w:t>12</w:t>
            </w:r>
            <w:r w:rsidRPr="002F31E7">
              <w:rPr>
                <w:rFonts w:ascii="Times New Roman" w:hAnsi="Times New Roman"/>
                <w:color w:val="000000"/>
              </w:rPr>
              <w:t>.</w:t>
            </w:r>
            <w:r w:rsidRPr="002F31E7" w:rsidR="00112262">
              <w:rPr>
                <w:rFonts w:ascii="Times New Roman" w:hAnsi="Times New Roman"/>
                <w:color w:val="000000"/>
              </w:rPr>
              <w:t>41</w:t>
            </w:r>
          </w:p>
        </w:tc>
        <w:tc>
          <w:tcPr>
            <w:tcW w:w="1365" w:type="dxa"/>
            <w:vAlign w:val="bottom"/>
          </w:tcPr>
          <w:p w:rsidR="006A46AC" w:rsidRPr="002F31E7" w14:paraId="339E991A" w14:textId="77777777">
            <w:pPr>
              <w:widowControl/>
              <w:jc w:val="right"/>
              <w:rPr>
                <w:rFonts w:ascii="Times New Roman" w:hAnsi="Times New Roman"/>
                <w:color w:val="000000"/>
              </w:rPr>
            </w:pPr>
          </w:p>
        </w:tc>
      </w:tr>
      <w:tr w14:paraId="78BC0CD7" w14:textId="77777777" w:rsidTr="006A46AC">
        <w:tblPrEx>
          <w:tblW w:w="0" w:type="auto"/>
          <w:tblInd w:w="720" w:type="dxa"/>
          <w:tblLook w:val="04A0"/>
        </w:tblPrEx>
        <w:tc>
          <w:tcPr>
            <w:tcW w:w="4248" w:type="dxa"/>
            <w:vAlign w:val="center"/>
            <w:hideMark/>
          </w:tcPr>
          <w:p w:rsidR="006A46AC" w:rsidRPr="002F31E7" w14:paraId="32754105" w14:textId="77777777">
            <w:pPr>
              <w:widowControl/>
              <w:rPr>
                <w:rFonts w:ascii="Times New Roman" w:hAnsi="Times New Roman"/>
                <w:bCs/>
                <w:color w:val="000000"/>
              </w:rPr>
            </w:pPr>
            <w:r w:rsidRPr="002F31E7">
              <w:rPr>
                <w:rFonts w:ascii="Times New Roman" w:hAnsi="Times New Roman"/>
                <w:bCs/>
                <w:color w:val="000000"/>
              </w:rPr>
              <w:t>Total burden dollars</w:t>
            </w:r>
          </w:p>
        </w:tc>
        <w:tc>
          <w:tcPr>
            <w:tcW w:w="1530" w:type="dxa"/>
            <w:vAlign w:val="bottom"/>
            <w:hideMark/>
          </w:tcPr>
          <w:p w:rsidR="006A46AC" w:rsidRPr="002F31E7" w14:paraId="574C2AD1" w14:textId="2F0E2331">
            <w:pPr>
              <w:widowControl/>
              <w:jc w:val="right"/>
              <w:rPr>
                <w:rFonts w:ascii="Times New Roman" w:hAnsi="Times New Roman"/>
                <w:bCs/>
                <w:color w:val="000000"/>
              </w:rPr>
            </w:pPr>
            <w:r w:rsidRPr="002F31E7">
              <w:rPr>
                <w:rFonts w:ascii="Times New Roman" w:hAnsi="Times New Roman"/>
                <w:bCs/>
                <w:color w:val="000000"/>
              </w:rPr>
              <w:t xml:space="preserve"> $     </w:t>
            </w:r>
            <w:r w:rsidRPr="002F31E7" w:rsidR="00112262">
              <w:rPr>
                <w:rFonts w:ascii="Times New Roman" w:hAnsi="Times New Roman"/>
                <w:bCs/>
                <w:color w:val="000000"/>
              </w:rPr>
              <w:t>251,646</w:t>
            </w:r>
            <w:r w:rsidRPr="002F31E7">
              <w:rPr>
                <w:rFonts w:ascii="Times New Roman" w:hAnsi="Times New Roman"/>
                <w:bCs/>
                <w:color w:val="000000"/>
              </w:rPr>
              <w:t xml:space="preserve"> </w:t>
            </w:r>
          </w:p>
        </w:tc>
        <w:tc>
          <w:tcPr>
            <w:tcW w:w="1425" w:type="dxa"/>
            <w:vAlign w:val="bottom"/>
            <w:hideMark/>
          </w:tcPr>
          <w:p w:rsidR="006A46AC" w:rsidRPr="002F31E7" w14:paraId="20137124" w14:textId="6F7DBA07">
            <w:pPr>
              <w:widowControl/>
              <w:jc w:val="right"/>
              <w:rPr>
                <w:rFonts w:ascii="Times New Roman" w:hAnsi="Times New Roman"/>
                <w:bCs/>
                <w:color w:val="000000"/>
              </w:rPr>
            </w:pPr>
            <w:r w:rsidRPr="002F31E7">
              <w:rPr>
                <w:rFonts w:ascii="Times New Roman" w:hAnsi="Times New Roman"/>
                <w:bCs/>
                <w:color w:val="000000"/>
              </w:rPr>
              <w:t xml:space="preserve"> $     </w:t>
            </w:r>
            <w:r w:rsidRPr="002F31E7" w:rsidR="00112262">
              <w:rPr>
                <w:rFonts w:ascii="Times New Roman" w:hAnsi="Times New Roman"/>
                <w:bCs/>
                <w:color w:val="000000"/>
              </w:rPr>
              <w:t>33,325</w:t>
            </w:r>
            <w:r w:rsidRPr="002F31E7">
              <w:rPr>
                <w:rFonts w:ascii="Times New Roman" w:hAnsi="Times New Roman"/>
                <w:bCs/>
                <w:color w:val="000000"/>
              </w:rPr>
              <w:t xml:space="preserve"> </w:t>
            </w:r>
          </w:p>
        </w:tc>
        <w:tc>
          <w:tcPr>
            <w:tcW w:w="1365" w:type="dxa"/>
            <w:vAlign w:val="bottom"/>
            <w:hideMark/>
          </w:tcPr>
          <w:p w:rsidR="006A46AC" w:rsidRPr="002F31E7" w14:paraId="24E8240F" w14:textId="1EE9E5C1">
            <w:pPr>
              <w:widowControl/>
              <w:jc w:val="right"/>
              <w:rPr>
                <w:rFonts w:ascii="Times New Roman" w:hAnsi="Times New Roman"/>
                <w:bCs/>
                <w:color w:val="000000"/>
              </w:rPr>
            </w:pPr>
            <w:r w:rsidRPr="002F31E7">
              <w:rPr>
                <w:rFonts w:ascii="Times New Roman" w:hAnsi="Times New Roman"/>
                <w:bCs/>
                <w:color w:val="000000"/>
              </w:rPr>
              <w:t xml:space="preserve">$   </w:t>
            </w:r>
            <w:r w:rsidRPr="002F31E7" w:rsidR="00112262">
              <w:rPr>
                <w:rFonts w:ascii="Times New Roman" w:hAnsi="Times New Roman"/>
                <w:bCs/>
                <w:color w:val="000000"/>
              </w:rPr>
              <w:t>284,971</w:t>
            </w:r>
          </w:p>
        </w:tc>
      </w:tr>
    </w:tbl>
    <w:p w:rsidR="006A46AC" w:rsidRPr="002F31E7" w:rsidP="006A46AC" w14:paraId="6145998D" w14:textId="77777777">
      <w:pPr>
        <w:rPr>
          <w:rFonts w:ascii="Times New Roman" w:hAnsi="Times New Roman"/>
          <w:szCs w:val="20"/>
        </w:rPr>
      </w:pPr>
      <w:r w:rsidRPr="002F31E7">
        <w:rPr>
          <w:rFonts w:ascii="Times New Roman" w:hAnsi="Times New Roman"/>
        </w:rPr>
        <w:tab/>
      </w:r>
    </w:p>
    <w:p w:rsidR="006A46AC" w:rsidRPr="006A46AC" w:rsidP="006A46AC" w14:paraId="4620A365" w14:textId="4F4C4EEC">
      <w:pPr>
        <w:rPr>
          <w:rFonts w:ascii="Times New Roman" w:hAnsi="Times New Roman"/>
        </w:rPr>
      </w:pPr>
      <w:r w:rsidRPr="002F31E7">
        <w:rPr>
          <w:rFonts w:ascii="Times New Roman" w:hAnsi="Times New Roman"/>
        </w:rPr>
        <w:t>Average cost burden per response:  $1</w:t>
      </w:r>
      <w:r w:rsidRPr="002F31E7" w:rsidR="00112262">
        <w:rPr>
          <w:rFonts w:ascii="Times New Roman" w:hAnsi="Times New Roman"/>
        </w:rPr>
        <w:t>3</w:t>
      </w:r>
      <w:r w:rsidRPr="002F31E7">
        <w:rPr>
          <w:rFonts w:ascii="Times New Roman" w:hAnsi="Times New Roman"/>
        </w:rPr>
        <w:t>.</w:t>
      </w:r>
      <w:r w:rsidRPr="002F31E7" w:rsidR="00112262">
        <w:rPr>
          <w:rFonts w:ascii="Times New Roman" w:hAnsi="Times New Roman"/>
        </w:rPr>
        <w:t>2311</w:t>
      </w:r>
      <w:r w:rsidRPr="002F31E7">
        <w:rPr>
          <w:rFonts w:ascii="Times New Roman" w:hAnsi="Times New Roman"/>
        </w:rPr>
        <w:t xml:space="preserve"> (calculated)</w:t>
      </w:r>
    </w:p>
    <w:p w:rsidR="00EE2223" w:rsidRPr="006A46AC" w:rsidP="00E60FB0" w14:paraId="73540948" w14:textId="0BA4F325">
      <w:pPr>
        <w:widowControl/>
        <w:autoSpaceDE/>
        <w:autoSpaceDN/>
        <w:adjustRightInd/>
        <w:rPr>
          <w:rFonts w:ascii="Times New Roman" w:hAnsi="Times New Roman"/>
          <w:i/>
          <w:iCs/>
        </w:rPr>
      </w:pPr>
    </w:p>
    <w:p w:rsidR="008B3128" w:rsidRPr="006A46AC" w:rsidP="009E0475" w14:paraId="6E4E03BB" w14:textId="431D1D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006A46AC">
        <w:rPr>
          <w:rFonts w:ascii="Times New Roman" w:hAnsi="Times New Roman"/>
          <w:b/>
        </w:rPr>
        <w:t xml:space="preserve">. </w:t>
      </w:r>
      <w:r w:rsidRPr="006A46AC" w:rsidR="006A46AC">
        <w:rPr>
          <w:rFonts w:ascii="Times New Roman" w:hAnsi="Times New Roman"/>
        </w:rPr>
        <w:t>The estimated annual cost burden is zero.  Respondents are not estimated to incur any    a) additional start-up cost or capital expenditure, or b) additional operation and maintenance costs or purchase services as a result of this information collection</w:t>
      </w:r>
      <w:r w:rsidRPr="006A46AC">
        <w:rPr>
          <w:rFonts w:ascii="Times New Roman" w:hAnsi="Times New Roman"/>
        </w:rPr>
        <w:t xml:space="preserve">.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718B" w:rsidP="001376D3" w14:paraId="14A41B7C" w14:textId="000AA3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006A46AC">
        <w:rPr>
          <w:rFonts w:ascii="Times New Roman" w:hAnsi="Times New Roman"/>
          <w:b/>
          <w:bCs/>
        </w:rPr>
        <w:t xml:space="preserve">  </w:t>
      </w:r>
      <w:r>
        <w:rPr>
          <w:rFonts w:ascii="Times New Roman" w:hAnsi="Times New Roman"/>
        </w:rPr>
        <w:t>The estimated annualized cost to the Federal Government is $</w:t>
      </w:r>
      <w:r w:rsidR="00112262">
        <w:rPr>
          <w:rFonts w:ascii="Times New Roman" w:hAnsi="Times New Roman"/>
        </w:rPr>
        <w:t>772,971</w:t>
      </w:r>
      <w:r>
        <w:rPr>
          <w:rFonts w:ascii="Times New Roman" w:hAnsi="Times New Roman"/>
        </w:rPr>
        <w:t xml:space="preserve">.  This includes annual salaries for a GS-14 Staff Coordinator, GS-14 Technical Information Specialist, </w:t>
      </w:r>
      <w:r w:rsidR="004D7E10">
        <w:rPr>
          <w:rFonts w:ascii="Times New Roman" w:hAnsi="Times New Roman"/>
        </w:rPr>
        <w:t xml:space="preserve">two </w:t>
      </w:r>
      <w:r>
        <w:rPr>
          <w:rFonts w:ascii="Times New Roman" w:hAnsi="Times New Roman"/>
        </w:rPr>
        <w:t>GS-13 Import/Export Specialist</w:t>
      </w:r>
      <w:r w:rsidR="004D7E10">
        <w:rPr>
          <w:rFonts w:ascii="Times New Roman" w:hAnsi="Times New Roman"/>
        </w:rPr>
        <w:t>s</w:t>
      </w:r>
      <w:r>
        <w:rPr>
          <w:rFonts w:ascii="Times New Roman" w:hAnsi="Times New Roman"/>
        </w:rPr>
        <w:t xml:space="preserve">, </w:t>
      </w:r>
      <w:r w:rsidR="004D7E10">
        <w:rPr>
          <w:rFonts w:ascii="Times New Roman" w:hAnsi="Times New Roman"/>
        </w:rPr>
        <w:t xml:space="preserve">a </w:t>
      </w:r>
      <w:r>
        <w:rPr>
          <w:rFonts w:ascii="Times New Roman" w:hAnsi="Times New Roman"/>
        </w:rPr>
        <w:t xml:space="preserve">GS-13 Program Analyst, and </w:t>
      </w:r>
      <w:r w:rsidR="004D7E10">
        <w:rPr>
          <w:rFonts w:ascii="Times New Roman" w:hAnsi="Times New Roman"/>
        </w:rPr>
        <w:t xml:space="preserve">a </w:t>
      </w:r>
      <w:r>
        <w:rPr>
          <w:rFonts w:ascii="Times New Roman" w:hAnsi="Times New Roman"/>
        </w:rPr>
        <w:t>GS-7 equivalent Secretary.  The Import/Export Specialist</w:t>
      </w:r>
      <w:r w:rsidR="004D7E10">
        <w:rPr>
          <w:rFonts w:ascii="Times New Roman" w:hAnsi="Times New Roman"/>
        </w:rPr>
        <w:t>s</w:t>
      </w:r>
      <w:r>
        <w:rPr>
          <w:rFonts w:ascii="Times New Roman" w:hAnsi="Times New Roman"/>
        </w:rPr>
        <w:t xml:space="preserve"> will be employed full-time, while all others will provide part-time support of between 5% and 20% of annual labor.</w:t>
      </w:r>
    </w:p>
    <w:p w:rsidR="0032718B" w:rsidP="001376D3" w14:paraId="1BB9E4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2601"/>
        <w:gridCol w:w="999"/>
        <w:gridCol w:w="1440"/>
        <w:gridCol w:w="1380"/>
        <w:gridCol w:w="960"/>
        <w:gridCol w:w="1440"/>
      </w:tblGrid>
      <w:tr w14:paraId="7EB5DB82" w14:textId="77777777" w:rsidTr="006F4D14">
        <w:tblPrEx>
          <w:tblW w:w="0" w:type="auto"/>
          <w:tblLook w:val="04A0"/>
        </w:tblPrEx>
        <w:trPr>
          <w:trHeight w:val="970"/>
        </w:trPr>
        <w:tc>
          <w:tcPr>
            <w:tcW w:w="2601"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251A7829" w14:textId="77777777">
            <w:pPr>
              <w:rPr>
                <w:rFonts w:ascii="Times New Roman" w:hAnsi="Times New Roman"/>
                <w:b/>
                <w:sz w:val="22"/>
                <w:szCs w:val="22"/>
              </w:rPr>
            </w:pPr>
            <w:r>
              <w:rPr>
                <w:rFonts w:ascii="Times New Roman" w:hAnsi="Times New Roman"/>
                <w:b/>
                <w:sz w:val="22"/>
                <w:szCs w:val="22"/>
              </w:rPr>
              <w:t>Labor Category</w:t>
            </w:r>
          </w:p>
        </w:tc>
        <w:tc>
          <w:tcPr>
            <w:tcW w:w="238"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038082F5" w14:textId="77777777">
            <w:pPr>
              <w:rPr>
                <w:rFonts w:ascii="Times New Roman" w:hAnsi="Times New Roman"/>
                <w:b/>
                <w:sz w:val="22"/>
                <w:szCs w:val="22"/>
              </w:rPr>
            </w:pPr>
            <w:r>
              <w:rPr>
                <w:rFonts w:ascii="Times New Roman" w:hAnsi="Times New Roman"/>
                <w:b/>
                <w:sz w:val="22"/>
                <w:szCs w:val="22"/>
              </w:rPr>
              <w:t>Number</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742C9E1C" w14:textId="77777777">
            <w:pPr>
              <w:rPr>
                <w:rFonts w:ascii="Times New Roman" w:hAnsi="Times New Roman"/>
                <w:b/>
                <w:sz w:val="22"/>
                <w:szCs w:val="22"/>
              </w:rPr>
            </w:pPr>
            <w:r>
              <w:rPr>
                <w:rFonts w:ascii="Times New Roman" w:hAnsi="Times New Roman"/>
                <w:b/>
                <w:sz w:val="22"/>
                <w:szCs w:val="22"/>
              </w:rPr>
              <w:t>Annual Rate ($)*</w:t>
            </w:r>
          </w:p>
        </w:tc>
        <w:tc>
          <w:tcPr>
            <w:tcW w:w="13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6EBA7F58" w14:textId="77777777">
            <w:pPr>
              <w:rPr>
                <w:rFonts w:ascii="Times New Roman" w:hAnsi="Times New Roman"/>
                <w:b/>
                <w:sz w:val="22"/>
                <w:szCs w:val="22"/>
              </w:rPr>
            </w:pPr>
            <w:r>
              <w:rPr>
                <w:rFonts w:ascii="Times New Roman" w:hAnsi="Times New Roman"/>
                <w:b/>
                <w:sz w:val="22"/>
                <w:szCs w:val="22"/>
              </w:rPr>
              <w:t>Load</w:t>
            </w:r>
          </w:p>
        </w:tc>
        <w:tc>
          <w:tcPr>
            <w:tcW w:w="96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03B457D2" w14:textId="77777777">
            <w:pPr>
              <w:rPr>
                <w:rFonts w:ascii="Times New Roman" w:hAnsi="Times New Roman"/>
                <w:b/>
                <w:sz w:val="22"/>
                <w:szCs w:val="22"/>
              </w:rPr>
            </w:pPr>
            <w:r>
              <w:rPr>
                <w:rFonts w:ascii="Times New Roman" w:hAnsi="Times New Roman"/>
                <w:b/>
                <w:sz w:val="22"/>
                <w:szCs w:val="22"/>
              </w:rPr>
              <w:t>% of Time</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9E0475" w14:paraId="3899C8B7" w14:textId="77777777">
            <w:pPr>
              <w:rPr>
                <w:rFonts w:ascii="Times New Roman" w:hAnsi="Times New Roman"/>
                <w:b/>
                <w:sz w:val="22"/>
                <w:szCs w:val="22"/>
              </w:rPr>
            </w:pPr>
            <w:r>
              <w:rPr>
                <w:rFonts w:ascii="Times New Roman" w:hAnsi="Times New Roman"/>
                <w:b/>
                <w:sz w:val="22"/>
                <w:szCs w:val="22"/>
              </w:rPr>
              <w:t>Cost ($)</w:t>
            </w:r>
          </w:p>
        </w:tc>
      </w:tr>
      <w:tr w14:paraId="7FC0FFBA" w14:textId="77777777" w:rsidTr="006F4D14">
        <w:tblPrEx>
          <w:tblW w:w="0" w:type="auto"/>
          <w:tblLook w:val="04A0"/>
        </w:tblPrEx>
        <w:trPr>
          <w:trHeight w:val="645"/>
        </w:trPr>
        <w:tc>
          <w:tcPr>
            <w:tcW w:w="2601" w:type="dxa"/>
            <w:tcBorders>
              <w:top w:val="single" w:sz="4" w:space="0" w:color="auto"/>
              <w:left w:val="single" w:sz="4" w:space="0" w:color="auto"/>
              <w:bottom w:val="single" w:sz="4" w:space="0" w:color="auto"/>
              <w:right w:val="single" w:sz="4" w:space="0" w:color="auto"/>
            </w:tcBorders>
          </w:tcPr>
          <w:p w:rsidR="007D2E65" w:rsidP="007D2E65" w14:paraId="55332BB7" w14:textId="208758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Staff Coordinator – GS-14</w:t>
            </w:r>
          </w:p>
        </w:tc>
        <w:tc>
          <w:tcPr>
            <w:tcW w:w="238" w:type="dxa"/>
            <w:tcBorders>
              <w:top w:val="single" w:sz="4" w:space="0" w:color="auto"/>
              <w:left w:val="single" w:sz="4" w:space="0" w:color="auto"/>
              <w:bottom w:val="single" w:sz="4" w:space="0" w:color="auto"/>
              <w:right w:val="single" w:sz="4" w:space="0" w:color="auto"/>
            </w:tcBorders>
          </w:tcPr>
          <w:p w:rsidR="007D2E65" w:rsidP="007D2E65" w14:paraId="2720E579" w14:textId="0349FB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7D2E65" w:rsidP="007D2E65" w14:paraId="34100C34" w14:textId="180932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bookmarkStart w:id="9" w:name="OLE_LINK14"/>
            <w:r>
              <w:rPr>
                <w:rFonts w:ascii="Times New Roman" w:hAnsi="Times New Roman"/>
                <w:sz w:val="22"/>
                <w:szCs w:val="22"/>
              </w:rPr>
              <w:t>$150,016.00</w:t>
            </w:r>
            <w:bookmarkEnd w:id="9"/>
          </w:p>
        </w:tc>
        <w:tc>
          <w:tcPr>
            <w:tcW w:w="1380" w:type="dxa"/>
            <w:tcBorders>
              <w:top w:val="single" w:sz="4" w:space="0" w:color="auto"/>
              <w:left w:val="single" w:sz="4" w:space="0" w:color="auto"/>
              <w:bottom w:val="single" w:sz="4" w:space="0" w:color="auto"/>
              <w:right w:val="single" w:sz="4" w:space="0" w:color="auto"/>
            </w:tcBorders>
          </w:tcPr>
          <w:p w:rsidR="007D2E65" w:rsidP="007D2E65" w14:paraId="66B0F809" w14:textId="310F0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2E3A33">
              <w:rPr>
                <w:rFonts w:ascii="Times New Roman" w:hAnsi="Times New Roman"/>
                <w:sz w:val="22"/>
                <w:szCs w:val="22"/>
              </w:rPr>
              <w:t>1.74146493</w:t>
            </w:r>
          </w:p>
        </w:tc>
        <w:tc>
          <w:tcPr>
            <w:tcW w:w="960" w:type="dxa"/>
            <w:tcBorders>
              <w:top w:val="single" w:sz="4" w:space="0" w:color="auto"/>
              <w:left w:val="single" w:sz="4" w:space="0" w:color="auto"/>
              <w:bottom w:val="single" w:sz="4" w:space="0" w:color="auto"/>
              <w:right w:val="single" w:sz="4" w:space="0" w:color="auto"/>
            </w:tcBorders>
          </w:tcPr>
          <w:p w:rsidR="007D2E65" w:rsidP="007D2E65" w14:paraId="2E28669C" w14:textId="70B767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7D2E65" w:rsidP="007D2E65" w14:paraId="5EF53361" w14:textId="2FE40B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bookmarkStart w:id="10" w:name="OLE_LINK18"/>
            <w:bookmarkStart w:id="11" w:name="OLE_LINK19"/>
            <w:r>
              <w:rPr>
                <w:rFonts w:ascii="Times New Roman" w:hAnsi="Times New Roman"/>
                <w:sz w:val="22"/>
                <w:szCs w:val="22"/>
              </w:rPr>
              <w:t>$52,2</w:t>
            </w:r>
            <w:bookmarkEnd w:id="10"/>
            <w:bookmarkEnd w:id="11"/>
            <w:r w:rsidR="004D7E10">
              <w:rPr>
                <w:rFonts w:ascii="Times New Roman" w:hAnsi="Times New Roman"/>
                <w:sz w:val="22"/>
                <w:szCs w:val="22"/>
              </w:rPr>
              <w:t>50</w:t>
            </w:r>
          </w:p>
        </w:tc>
      </w:tr>
      <w:tr w14:paraId="4E12EFC1" w14:textId="77777777" w:rsidTr="006F4D14">
        <w:tblPrEx>
          <w:tblW w:w="0" w:type="auto"/>
          <w:tblLook w:val="04A0"/>
        </w:tblPrEx>
        <w:trPr>
          <w:trHeight w:val="645"/>
        </w:trPr>
        <w:tc>
          <w:tcPr>
            <w:tcW w:w="2601" w:type="dxa"/>
            <w:tcBorders>
              <w:top w:val="single" w:sz="4" w:space="0" w:color="auto"/>
              <w:left w:val="single" w:sz="4" w:space="0" w:color="auto"/>
              <w:bottom w:val="single" w:sz="4" w:space="0" w:color="auto"/>
              <w:right w:val="single" w:sz="4" w:space="0" w:color="auto"/>
            </w:tcBorders>
          </w:tcPr>
          <w:p w:rsidR="007D2E65" w:rsidP="007D2E65" w14:paraId="20723EA4" w14:textId="4336E8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Technical Information Specialist – GS-14</w:t>
            </w:r>
          </w:p>
        </w:tc>
        <w:tc>
          <w:tcPr>
            <w:tcW w:w="238" w:type="dxa"/>
            <w:tcBorders>
              <w:top w:val="single" w:sz="4" w:space="0" w:color="auto"/>
              <w:left w:val="single" w:sz="4" w:space="0" w:color="auto"/>
              <w:bottom w:val="single" w:sz="4" w:space="0" w:color="auto"/>
              <w:right w:val="single" w:sz="4" w:space="0" w:color="auto"/>
            </w:tcBorders>
          </w:tcPr>
          <w:p w:rsidR="007D2E65" w:rsidP="007D2E65" w14:paraId="59D9D1EC" w14:textId="175EA1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7D2E65" w:rsidP="007D2E65" w14:paraId="14573B5B" w14:textId="5A0E30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$150,016.00</w:t>
            </w:r>
          </w:p>
        </w:tc>
        <w:tc>
          <w:tcPr>
            <w:tcW w:w="1380" w:type="dxa"/>
            <w:tcBorders>
              <w:top w:val="single" w:sz="4" w:space="0" w:color="auto"/>
              <w:left w:val="single" w:sz="4" w:space="0" w:color="auto"/>
              <w:bottom w:val="single" w:sz="4" w:space="0" w:color="auto"/>
              <w:right w:val="single" w:sz="4" w:space="0" w:color="auto"/>
            </w:tcBorders>
          </w:tcPr>
          <w:p w:rsidR="007D2E65" w:rsidP="007D2E65" w14:paraId="718CC5C2" w14:textId="285A5E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2E3A33">
              <w:rPr>
                <w:rFonts w:ascii="Times New Roman" w:hAnsi="Times New Roman"/>
                <w:sz w:val="22"/>
                <w:szCs w:val="22"/>
              </w:rPr>
              <w:t>1.74146493</w:t>
            </w:r>
          </w:p>
        </w:tc>
        <w:tc>
          <w:tcPr>
            <w:tcW w:w="960" w:type="dxa"/>
            <w:tcBorders>
              <w:top w:val="single" w:sz="4" w:space="0" w:color="auto"/>
              <w:left w:val="single" w:sz="4" w:space="0" w:color="auto"/>
              <w:bottom w:val="single" w:sz="4" w:space="0" w:color="auto"/>
              <w:right w:val="single" w:sz="4" w:space="0" w:color="auto"/>
            </w:tcBorders>
          </w:tcPr>
          <w:p w:rsidR="007D2E65" w:rsidP="007D2E65" w14:paraId="408B8A0E" w14:textId="470C41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7D2E65" w:rsidP="007D2E65" w14:paraId="443C0830" w14:textId="5A962A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$52,2</w:t>
            </w:r>
            <w:r w:rsidR="004D7E10">
              <w:rPr>
                <w:rFonts w:ascii="Times New Roman" w:hAnsi="Times New Roman"/>
                <w:sz w:val="22"/>
                <w:szCs w:val="22"/>
              </w:rPr>
              <w:t>50</w:t>
            </w:r>
          </w:p>
        </w:tc>
      </w:tr>
      <w:tr w14:paraId="534EC9A3" w14:textId="77777777" w:rsidTr="006F4D14">
        <w:tblPrEx>
          <w:tblW w:w="0" w:type="auto"/>
          <w:tblLook w:val="04A0"/>
        </w:tblPrEx>
        <w:trPr>
          <w:trHeight w:val="645"/>
        </w:trPr>
        <w:tc>
          <w:tcPr>
            <w:tcW w:w="2601" w:type="dxa"/>
            <w:tcBorders>
              <w:top w:val="single" w:sz="4" w:space="0" w:color="auto"/>
              <w:left w:val="single" w:sz="4" w:space="0" w:color="auto"/>
              <w:bottom w:val="single" w:sz="4" w:space="0" w:color="auto"/>
              <w:right w:val="single" w:sz="4" w:space="0" w:color="auto"/>
            </w:tcBorders>
            <w:hideMark/>
          </w:tcPr>
          <w:p w:rsidR="009E0475" w14:paraId="21B311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Import/Export Specialist - GS-13</w:t>
            </w:r>
          </w:p>
        </w:tc>
        <w:tc>
          <w:tcPr>
            <w:tcW w:w="238" w:type="dxa"/>
            <w:tcBorders>
              <w:top w:val="single" w:sz="4" w:space="0" w:color="auto"/>
              <w:left w:val="single" w:sz="4" w:space="0" w:color="auto"/>
              <w:bottom w:val="single" w:sz="4" w:space="0" w:color="auto"/>
              <w:right w:val="single" w:sz="4" w:space="0" w:color="auto"/>
            </w:tcBorders>
            <w:hideMark/>
          </w:tcPr>
          <w:p w:rsidR="009E0475" w14:paraId="6DC362C6" w14:textId="4DFAF0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9E0475" w14:paraId="7BB130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$126,949.00 </w:t>
            </w:r>
          </w:p>
        </w:tc>
        <w:tc>
          <w:tcPr>
            <w:tcW w:w="1380" w:type="dxa"/>
            <w:tcBorders>
              <w:top w:val="single" w:sz="4" w:space="0" w:color="auto"/>
              <w:left w:val="single" w:sz="4" w:space="0" w:color="auto"/>
              <w:bottom w:val="single" w:sz="4" w:space="0" w:color="auto"/>
              <w:right w:val="single" w:sz="4" w:space="0" w:color="auto"/>
            </w:tcBorders>
            <w:hideMark/>
          </w:tcPr>
          <w:p w:rsidR="009E0475" w14:paraId="57921E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bookmarkStart w:id="12" w:name="OLE_LINK13"/>
            <w:r>
              <w:rPr>
                <w:rFonts w:ascii="Times New Roman" w:hAnsi="Times New Roman"/>
                <w:sz w:val="22"/>
                <w:szCs w:val="22"/>
              </w:rPr>
              <w:t>1.74146493</w:t>
            </w:r>
            <w:bookmarkEnd w:id="12"/>
          </w:p>
        </w:tc>
        <w:tc>
          <w:tcPr>
            <w:tcW w:w="960" w:type="dxa"/>
            <w:tcBorders>
              <w:top w:val="single" w:sz="4" w:space="0" w:color="auto"/>
              <w:left w:val="single" w:sz="4" w:space="0" w:color="auto"/>
              <w:bottom w:val="single" w:sz="4" w:space="0" w:color="auto"/>
              <w:right w:val="single" w:sz="4" w:space="0" w:color="auto"/>
            </w:tcBorders>
            <w:hideMark/>
          </w:tcPr>
          <w:p w:rsidR="009E0475" w14:paraId="1B9845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100%</w:t>
            </w:r>
          </w:p>
        </w:tc>
        <w:tc>
          <w:tcPr>
            <w:tcW w:w="1440" w:type="dxa"/>
            <w:tcBorders>
              <w:top w:val="single" w:sz="4" w:space="0" w:color="auto"/>
              <w:left w:val="single" w:sz="4" w:space="0" w:color="auto"/>
              <w:bottom w:val="single" w:sz="4" w:space="0" w:color="auto"/>
              <w:right w:val="single" w:sz="4" w:space="0" w:color="auto"/>
            </w:tcBorders>
            <w:hideMark/>
          </w:tcPr>
          <w:p w:rsidR="009E0475" w14:paraId="3BAC1282" w14:textId="716CE7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w:t>
            </w:r>
            <w:bookmarkStart w:id="13" w:name="OLE_LINK5"/>
            <w:bookmarkStart w:id="14" w:name="OLE_LINK17"/>
            <w:r>
              <w:rPr>
                <w:rFonts w:ascii="Times New Roman" w:hAnsi="Times New Roman"/>
                <w:sz w:val="22"/>
                <w:szCs w:val="22"/>
              </w:rPr>
              <w:t>$</w:t>
            </w:r>
            <w:r w:rsidR="004D7E10">
              <w:rPr>
                <w:rFonts w:ascii="Times New Roman" w:hAnsi="Times New Roman"/>
                <w:sz w:val="22"/>
                <w:szCs w:val="22"/>
              </w:rPr>
              <w:t>44</w:t>
            </w:r>
            <w:r w:rsidR="00320D8C">
              <w:rPr>
                <w:rFonts w:ascii="Times New Roman" w:hAnsi="Times New Roman"/>
                <w:sz w:val="22"/>
                <w:szCs w:val="22"/>
              </w:rPr>
              <w:t>2,154</w:t>
            </w:r>
            <w:r>
              <w:rPr>
                <w:rFonts w:ascii="Times New Roman" w:hAnsi="Times New Roman"/>
                <w:sz w:val="22"/>
                <w:szCs w:val="22"/>
              </w:rPr>
              <w:t xml:space="preserve"> </w:t>
            </w:r>
            <w:bookmarkEnd w:id="13"/>
            <w:bookmarkEnd w:id="14"/>
          </w:p>
        </w:tc>
      </w:tr>
      <w:tr w14:paraId="6C3B88DE" w14:textId="77777777" w:rsidTr="006F4D14">
        <w:tblPrEx>
          <w:tblW w:w="0" w:type="auto"/>
          <w:tblLook w:val="04A0"/>
        </w:tblPrEx>
        <w:trPr>
          <w:trHeight w:val="645"/>
        </w:trPr>
        <w:tc>
          <w:tcPr>
            <w:tcW w:w="2601" w:type="dxa"/>
            <w:tcBorders>
              <w:top w:val="single" w:sz="4" w:space="0" w:color="auto"/>
              <w:left w:val="single" w:sz="4" w:space="0" w:color="auto"/>
              <w:bottom w:val="single" w:sz="4" w:space="0" w:color="auto"/>
              <w:right w:val="single" w:sz="4" w:space="0" w:color="auto"/>
            </w:tcBorders>
            <w:hideMark/>
          </w:tcPr>
          <w:p w:rsidR="009E0475" w14:paraId="109A45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Program Analyst – GS-13</w:t>
            </w:r>
          </w:p>
        </w:tc>
        <w:tc>
          <w:tcPr>
            <w:tcW w:w="238" w:type="dxa"/>
            <w:tcBorders>
              <w:top w:val="single" w:sz="4" w:space="0" w:color="auto"/>
              <w:left w:val="single" w:sz="4" w:space="0" w:color="auto"/>
              <w:bottom w:val="single" w:sz="4" w:space="0" w:color="auto"/>
              <w:right w:val="single" w:sz="4" w:space="0" w:color="auto"/>
            </w:tcBorders>
            <w:hideMark/>
          </w:tcPr>
          <w:p w:rsidR="009E0475" w14:paraId="0975F1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9E0475" w14:paraId="0CBE44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$126,949.00 </w:t>
            </w:r>
          </w:p>
        </w:tc>
        <w:tc>
          <w:tcPr>
            <w:tcW w:w="1380" w:type="dxa"/>
            <w:tcBorders>
              <w:top w:val="single" w:sz="4" w:space="0" w:color="auto"/>
              <w:left w:val="single" w:sz="4" w:space="0" w:color="auto"/>
              <w:bottom w:val="single" w:sz="4" w:space="0" w:color="auto"/>
              <w:right w:val="single" w:sz="4" w:space="0" w:color="auto"/>
            </w:tcBorders>
            <w:hideMark/>
          </w:tcPr>
          <w:p w:rsidR="009E0475" w14:paraId="7A67A7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bookmarkStart w:id="15" w:name="OLE_LINK15"/>
            <w:r>
              <w:rPr>
                <w:rFonts w:ascii="Times New Roman" w:hAnsi="Times New Roman"/>
                <w:sz w:val="22"/>
                <w:szCs w:val="22"/>
              </w:rPr>
              <w:t>1.74146493</w:t>
            </w:r>
            <w:bookmarkEnd w:id="15"/>
          </w:p>
        </w:tc>
        <w:tc>
          <w:tcPr>
            <w:tcW w:w="960" w:type="dxa"/>
            <w:tcBorders>
              <w:top w:val="single" w:sz="4" w:space="0" w:color="auto"/>
              <w:left w:val="single" w:sz="4" w:space="0" w:color="auto"/>
              <w:bottom w:val="single" w:sz="4" w:space="0" w:color="auto"/>
              <w:right w:val="single" w:sz="4" w:space="0" w:color="auto"/>
            </w:tcBorders>
            <w:hideMark/>
          </w:tcPr>
          <w:p w:rsidR="009E0475" w14:paraId="7580347F" w14:textId="6EE54D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10</w:t>
            </w:r>
            <w:r w:rsidR="00320D8C">
              <w:rPr>
                <w:rFonts w:ascii="Times New Roman" w:hAnsi="Times New Roman"/>
                <w:sz w:val="22"/>
                <w:szCs w:val="22"/>
              </w:rPr>
              <w:t>0</w:t>
            </w:r>
            <w:r>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rsidR="009E0475" w14:paraId="526AF4BB" w14:textId="2067B5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w:t>
            </w:r>
            <w:r w:rsidR="007D2E65">
              <w:rPr>
                <w:rFonts w:ascii="Times New Roman" w:hAnsi="Times New Roman"/>
                <w:sz w:val="22"/>
                <w:szCs w:val="22"/>
              </w:rPr>
              <w:t>$221,077</w:t>
            </w:r>
          </w:p>
        </w:tc>
      </w:tr>
      <w:tr w14:paraId="32728B3C" w14:textId="77777777" w:rsidTr="006F4D14">
        <w:tblPrEx>
          <w:tblW w:w="0" w:type="auto"/>
          <w:tblLook w:val="04A0"/>
        </w:tblPrEx>
        <w:trPr>
          <w:trHeight w:val="330"/>
        </w:trPr>
        <w:tc>
          <w:tcPr>
            <w:tcW w:w="2601" w:type="dxa"/>
            <w:tcBorders>
              <w:top w:val="single" w:sz="4" w:space="0" w:color="auto"/>
              <w:left w:val="single" w:sz="4" w:space="0" w:color="auto"/>
              <w:bottom w:val="single" w:sz="4" w:space="0" w:color="auto"/>
              <w:right w:val="single" w:sz="4" w:space="0" w:color="auto"/>
            </w:tcBorders>
            <w:hideMark/>
          </w:tcPr>
          <w:p w:rsidR="009E0475" w14:paraId="42FE8BCF" w14:textId="274B6B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r w:rsidR="007D2E65">
              <w:rPr>
                <w:rFonts w:ascii="Times New Roman" w:hAnsi="Times New Roman"/>
                <w:sz w:val="22"/>
                <w:szCs w:val="22"/>
              </w:rPr>
              <w:t xml:space="preserve">Secretary, Contractor (GS-7 </w:t>
            </w:r>
            <w:r w:rsidR="007D2E65">
              <w:rPr>
                <w:rFonts w:ascii="Times New Roman" w:hAnsi="Times New Roman"/>
                <w:sz w:val="22"/>
                <w:szCs w:val="22"/>
              </w:rPr>
              <w:t>Equiv</w:t>
            </w:r>
            <w:r w:rsidR="007D2E65">
              <w:rPr>
                <w:rFonts w:ascii="Times New Roman" w:hAnsi="Times New Roman"/>
                <w:sz w:val="22"/>
                <w:szCs w:val="22"/>
              </w:rPr>
              <w:t>)</w:t>
            </w:r>
          </w:p>
        </w:tc>
        <w:tc>
          <w:tcPr>
            <w:tcW w:w="238" w:type="dxa"/>
            <w:tcBorders>
              <w:top w:val="single" w:sz="4" w:space="0" w:color="auto"/>
              <w:left w:val="single" w:sz="4" w:space="0" w:color="auto"/>
              <w:bottom w:val="single" w:sz="4" w:space="0" w:color="auto"/>
              <w:right w:val="single" w:sz="4" w:space="0" w:color="auto"/>
            </w:tcBorders>
            <w:hideMark/>
          </w:tcPr>
          <w:p w:rsidR="009E0475" w14:paraId="3A46520D" w14:textId="2AD1A5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9E0475" w14:paraId="36C68BFF" w14:textId="59CE8C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$60,185.00</w:t>
            </w:r>
          </w:p>
        </w:tc>
        <w:tc>
          <w:tcPr>
            <w:tcW w:w="1380" w:type="dxa"/>
            <w:tcBorders>
              <w:top w:val="single" w:sz="4" w:space="0" w:color="auto"/>
              <w:left w:val="single" w:sz="4" w:space="0" w:color="auto"/>
              <w:bottom w:val="single" w:sz="4" w:space="0" w:color="auto"/>
              <w:right w:val="single" w:sz="4" w:space="0" w:color="auto"/>
            </w:tcBorders>
            <w:hideMark/>
          </w:tcPr>
          <w:p w:rsidR="009E0475" w14:paraId="79F59637" w14:textId="618C1B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r w:rsidR="007D2E65">
              <w:rPr>
                <w:rFonts w:ascii="Times New Roman" w:hAnsi="Times New Roman"/>
                <w:sz w:val="22"/>
                <w:szCs w:val="22"/>
              </w:rPr>
              <w:t>1.74146493</w:t>
            </w:r>
          </w:p>
        </w:tc>
        <w:tc>
          <w:tcPr>
            <w:tcW w:w="960" w:type="dxa"/>
            <w:tcBorders>
              <w:top w:val="single" w:sz="4" w:space="0" w:color="auto"/>
              <w:left w:val="single" w:sz="4" w:space="0" w:color="auto"/>
              <w:bottom w:val="single" w:sz="4" w:space="0" w:color="auto"/>
              <w:right w:val="single" w:sz="4" w:space="0" w:color="auto"/>
            </w:tcBorders>
            <w:hideMark/>
          </w:tcPr>
          <w:p w:rsidR="009E0475" w14:paraId="5D90C15A" w14:textId="79D7CF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 </w:t>
            </w:r>
          </w:p>
        </w:tc>
        <w:tc>
          <w:tcPr>
            <w:tcW w:w="1440" w:type="dxa"/>
            <w:tcBorders>
              <w:top w:val="single" w:sz="4" w:space="0" w:color="auto"/>
              <w:left w:val="single" w:sz="4" w:space="0" w:color="auto"/>
              <w:bottom w:val="single" w:sz="4" w:space="0" w:color="auto"/>
              <w:right w:val="single" w:sz="4" w:space="0" w:color="auto"/>
            </w:tcBorders>
            <w:hideMark/>
          </w:tcPr>
          <w:p w:rsidR="009E0475" w14:paraId="15567FD3" w14:textId="683FC0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r w:rsidR="007D2E65">
              <w:rPr>
                <w:rFonts w:ascii="Times New Roman" w:hAnsi="Times New Roman"/>
                <w:sz w:val="22"/>
                <w:szCs w:val="22"/>
              </w:rPr>
              <w:t>$5,240</w:t>
            </w:r>
          </w:p>
        </w:tc>
      </w:tr>
      <w:tr w14:paraId="28093C6E" w14:textId="77777777" w:rsidTr="006F4D14">
        <w:tblPrEx>
          <w:tblW w:w="0" w:type="auto"/>
          <w:tblLook w:val="04A0"/>
        </w:tblPrEx>
        <w:trPr>
          <w:trHeight w:val="330"/>
        </w:trPr>
        <w:tc>
          <w:tcPr>
            <w:tcW w:w="2601" w:type="dxa"/>
            <w:tcBorders>
              <w:top w:val="single" w:sz="4" w:space="0" w:color="auto"/>
              <w:left w:val="single" w:sz="4" w:space="0" w:color="auto"/>
              <w:bottom w:val="single" w:sz="4" w:space="0" w:color="auto"/>
              <w:right w:val="single" w:sz="4" w:space="0" w:color="auto"/>
            </w:tcBorders>
            <w:hideMark/>
          </w:tcPr>
          <w:p w:rsidR="009E0475" w14:paraId="6F543E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Pr>
                <w:rFonts w:ascii="Times New Roman" w:hAnsi="Times New Roman"/>
                <w:b/>
                <w:i/>
                <w:sz w:val="22"/>
                <w:szCs w:val="22"/>
              </w:rPr>
              <w:t>Total</w:t>
            </w:r>
          </w:p>
        </w:tc>
        <w:tc>
          <w:tcPr>
            <w:tcW w:w="238" w:type="dxa"/>
            <w:tcBorders>
              <w:top w:val="single" w:sz="4" w:space="0" w:color="auto"/>
              <w:left w:val="single" w:sz="4" w:space="0" w:color="auto"/>
              <w:bottom w:val="single" w:sz="4" w:space="0" w:color="auto"/>
              <w:right w:val="single" w:sz="4" w:space="0" w:color="auto"/>
            </w:tcBorders>
            <w:hideMark/>
          </w:tcPr>
          <w:p w:rsidR="009E0475" w:rsidRPr="007D2E65" w14:paraId="0DEEE688" w14:textId="5C9F45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7D2E65">
              <w:rPr>
                <w:rFonts w:ascii="Times New Roman" w:hAnsi="Times New Roman"/>
                <w:b/>
                <w:i/>
                <w:sz w:val="22"/>
                <w:szCs w:val="22"/>
              </w:rPr>
              <w:t>5</w:t>
            </w:r>
            <w:r w:rsidRPr="007D2E65">
              <w:rPr>
                <w:rFonts w:ascii="Times New Roman" w:hAnsi="Times New Roman"/>
                <w:b/>
                <w:i/>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9E0475" w:rsidRPr="007D2E65" w14:paraId="210EB9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7D2E65">
              <w:rPr>
                <w:rFonts w:ascii="Times New Roman" w:hAnsi="Times New Roman"/>
                <w:b/>
                <w:i/>
                <w:sz w:val="22"/>
                <w:szCs w:val="22"/>
              </w:rPr>
              <w:t> </w:t>
            </w:r>
          </w:p>
        </w:tc>
        <w:tc>
          <w:tcPr>
            <w:tcW w:w="1380" w:type="dxa"/>
            <w:tcBorders>
              <w:top w:val="single" w:sz="4" w:space="0" w:color="auto"/>
              <w:left w:val="single" w:sz="4" w:space="0" w:color="auto"/>
              <w:bottom w:val="single" w:sz="4" w:space="0" w:color="auto"/>
              <w:right w:val="single" w:sz="4" w:space="0" w:color="auto"/>
            </w:tcBorders>
            <w:hideMark/>
          </w:tcPr>
          <w:p w:rsidR="009E0475" w:rsidRPr="007D2E65" w14:paraId="4CDE63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7D2E65">
              <w:rPr>
                <w:rFonts w:ascii="Times New Roman" w:hAnsi="Times New Roman"/>
                <w:b/>
                <w:i/>
                <w:sz w:val="22"/>
                <w:szCs w:val="22"/>
              </w:rPr>
              <w:t> </w:t>
            </w:r>
          </w:p>
        </w:tc>
        <w:tc>
          <w:tcPr>
            <w:tcW w:w="960" w:type="dxa"/>
            <w:tcBorders>
              <w:top w:val="single" w:sz="4" w:space="0" w:color="auto"/>
              <w:left w:val="single" w:sz="4" w:space="0" w:color="auto"/>
              <w:bottom w:val="single" w:sz="4" w:space="0" w:color="auto"/>
              <w:right w:val="single" w:sz="4" w:space="0" w:color="auto"/>
            </w:tcBorders>
            <w:hideMark/>
          </w:tcPr>
          <w:p w:rsidR="009E0475" w:rsidRPr="007D2E65" w14:paraId="0A9BB9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7D2E65">
              <w:rPr>
                <w:rFonts w:ascii="Times New Roman" w:hAnsi="Times New Roman"/>
                <w:b/>
                <w:i/>
                <w:sz w:val="22"/>
                <w:szCs w:val="22"/>
              </w:rPr>
              <w:t> </w:t>
            </w:r>
          </w:p>
        </w:tc>
        <w:tc>
          <w:tcPr>
            <w:tcW w:w="1440" w:type="dxa"/>
            <w:tcBorders>
              <w:top w:val="single" w:sz="4" w:space="0" w:color="auto"/>
              <w:left w:val="single" w:sz="4" w:space="0" w:color="auto"/>
              <w:bottom w:val="single" w:sz="4" w:space="0" w:color="auto"/>
              <w:right w:val="single" w:sz="4" w:space="0" w:color="auto"/>
            </w:tcBorders>
            <w:hideMark/>
          </w:tcPr>
          <w:p w:rsidR="009E0475" w:rsidRPr="007D2E65" w14:paraId="1339B609" w14:textId="45AEE9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sidRPr="007D2E65">
              <w:rPr>
                <w:rFonts w:ascii="Times New Roman" w:hAnsi="Times New Roman"/>
                <w:b/>
                <w:i/>
                <w:sz w:val="22"/>
                <w:szCs w:val="22"/>
              </w:rPr>
              <w:t xml:space="preserve"> $</w:t>
            </w:r>
            <w:r w:rsidR="004D7E10">
              <w:rPr>
                <w:rFonts w:ascii="Times New Roman" w:hAnsi="Times New Roman"/>
                <w:b/>
                <w:i/>
                <w:sz w:val="22"/>
                <w:szCs w:val="22"/>
              </w:rPr>
              <w:t>772,971</w:t>
            </w:r>
            <w:r w:rsidRPr="007D2E65">
              <w:rPr>
                <w:rFonts w:ascii="Times New Roman" w:hAnsi="Times New Roman"/>
                <w:b/>
                <w:i/>
                <w:sz w:val="22"/>
                <w:szCs w:val="22"/>
              </w:rPr>
              <w:t xml:space="preserve"> </w:t>
            </w:r>
          </w:p>
        </w:tc>
      </w:tr>
    </w:tbl>
    <w:p w:rsidR="009E0475" w:rsidP="009E0475" w14:paraId="056014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Pr>
          <w:rFonts w:ascii="Times New Roman" w:hAnsi="Times New Roman"/>
          <w:sz w:val="20"/>
        </w:rPr>
        <w:t xml:space="preserve">*Government salary figures are based on </w:t>
      </w:r>
      <w:r>
        <w:rPr>
          <w:rFonts w:ascii="Times New Roman" w:hAnsi="Times New Roman"/>
          <w:sz w:val="20"/>
        </w:rPr>
        <w:t>Washington,</w:t>
      </w:r>
      <w:r>
        <w:rPr>
          <w:rFonts w:ascii="Times New Roman" w:hAnsi="Times New Roman"/>
          <w:sz w:val="20"/>
        </w:rPr>
        <w:t xml:space="preserve"> DC locality pay at step 5 for each grade level.</w:t>
      </w:r>
    </w:p>
    <w:p w:rsidR="009E0475" w:rsidP="009E0475" w14:paraId="5200BE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Pr>
          <w:rFonts w:ascii="Times New Roman" w:hAnsi="Times New Roman"/>
          <w:sz w:val="20"/>
        </w:rPr>
        <w:t>**Load of 74.15% for benefits based on the ECEC for “State and local government.”  The ECEC does not include figures for the Federal Government.</w:t>
      </w:r>
    </w:p>
    <w:p w:rsidR="00F96885" w:rsidP="00690F56" w14:paraId="1A15C4F0" w14:textId="0C0968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0475" w:rsidRPr="00871CA6" w:rsidP="00690F56" w14:paraId="5FE84C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46AC" w:rsidRPr="003A7CFF" w:rsidP="003A7CFF" w14:paraId="684F8C36" w14:textId="371999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Pr="006A46AC">
        <w:rPr>
          <w:rFonts w:ascii="Times New Roman" w:hAnsi="Times New Roman"/>
        </w:rPr>
        <w:t xml:space="preserve">The increase in annual responses, annual burden hours, and annual cost reflect adjustments related to normal business activity.  There have been no statutory or regulatory changes affecting this </w:t>
      </w:r>
      <w:r w:rsidRPr="002F31E7">
        <w:rPr>
          <w:rFonts w:ascii="Times New Roman" w:hAnsi="Times New Roman"/>
        </w:rPr>
        <w:t>information collection.  The table below summarizes the changes since the last renewal of this information collection.</w:t>
      </w:r>
    </w:p>
    <w:p w:rsidR="006A46AC" w:rsidRPr="002F31E7" w:rsidP="006A46AC" w14:paraId="4EC2DA6B" w14:textId="77777777">
      <w:pPr>
        <w:rPr>
          <w:rFonts w:ascii="Times New Roman" w:hAnsi="Times New Roman"/>
        </w:rPr>
      </w:pPr>
    </w:p>
    <w:tbl>
      <w:tblPr>
        <w:tblW w:w="6745" w:type="dxa"/>
        <w:tblInd w:w="113" w:type="dxa"/>
        <w:tblLook w:val="04A0"/>
      </w:tblPr>
      <w:tblGrid>
        <w:gridCol w:w="2245"/>
        <w:gridCol w:w="1440"/>
        <w:gridCol w:w="1710"/>
        <w:gridCol w:w="1350"/>
      </w:tblGrid>
      <w:tr w14:paraId="1E374D23" w14:textId="77777777" w:rsidTr="006A46AC">
        <w:tblPrEx>
          <w:tblW w:w="6745" w:type="dxa"/>
          <w:tblInd w:w="113" w:type="dxa"/>
          <w:tblLook w:val="04A0"/>
        </w:tblPrEx>
        <w:trPr>
          <w:trHeight w:val="765"/>
        </w:trPr>
        <w:tc>
          <w:tcPr>
            <w:tcW w:w="2245" w:type="dxa"/>
            <w:tcBorders>
              <w:top w:val="single" w:sz="4" w:space="0" w:color="auto"/>
              <w:left w:val="single" w:sz="4" w:space="0" w:color="auto"/>
              <w:bottom w:val="single" w:sz="4" w:space="0" w:color="auto"/>
              <w:right w:val="single" w:sz="4" w:space="0" w:color="auto"/>
            </w:tcBorders>
            <w:shd w:val="clear" w:color="auto" w:fill="DCE6F1"/>
            <w:vAlign w:val="center"/>
            <w:hideMark/>
          </w:tcPr>
          <w:p w:rsidR="006A46AC" w:rsidRPr="002F31E7" w14:paraId="24421CCE" w14:textId="77777777">
            <w:pPr>
              <w:widowControl/>
              <w:rPr>
                <w:rFonts w:ascii="Times New Roman" w:hAnsi="Times New Roman"/>
                <w:color w:val="000000"/>
                <w:sz w:val="20"/>
              </w:rPr>
            </w:pPr>
            <w:r w:rsidRPr="002F31E7">
              <w:rPr>
                <w:rFonts w:ascii="Times New Roman" w:hAnsi="Times New Roman"/>
                <w:color w:val="000000"/>
                <w:sz w:val="20"/>
              </w:rPr>
              <w:t> </w:t>
            </w:r>
          </w:p>
        </w:tc>
        <w:tc>
          <w:tcPr>
            <w:tcW w:w="1440" w:type="dxa"/>
            <w:tcBorders>
              <w:top w:val="single" w:sz="4" w:space="0" w:color="auto"/>
              <w:left w:val="nil"/>
              <w:bottom w:val="single" w:sz="4" w:space="0" w:color="auto"/>
              <w:right w:val="single" w:sz="4" w:space="0" w:color="auto"/>
            </w:tcBorders>
            <w:shd w:val="clear" w:color="auto" w:fill="DCE6F1"/>
            <w:vAlign w:val="center"/>
            <w:hideMark/>
          </w:tcPr>
          <w:p w:rsidR="006A46AC" w:rsidRPr="002F31E7" w14:paraId="1757CDD3" w14:textId="3B249E12">
            <w:pPr>
              <w:widowControl/>
              <w:jc w:val="center"/>
              <w:rPr>
                <w:rFonts w:ascii="Times New Roman" w:hAnsi="Times New Roman"/>
                <w:b/>
                <w:bCs/>
                <w:color w:val="000000"/>
                <w:sz w:val="20"/>
              </w:rPr>
            </w:pPr>
            <w:r w:rsidRPr="002F31E7">
              <w:rPr>
                <w:rFonts w:ascii="Times New Roman" w:hAnsi="Times New Roman"/>
                <w:b/>
                <w:bCs/>
                <w:color w:val="000000"/>
                <w:sz w:val="20"/>
              </w:rPr>
              <w:t>2020 Approved Burden</w:t>
            </w:r>
          </w:p>
        </w:tc>
        <w:tc>
          <w:tcPr>
            <w:tcW w:w="1710" w:type="dxa"/>
            <w:tcBorders>
              <w:top w:val="single" w:sz="4" w:space="0" w:color="auto"/>
              <w:left w:val="nil"/>
              <w:bottom w:val="single" w:sz="4" w:space="0" w:color="auto"/>
              <w:right w:val="single" w:sz="4" w:space="0" w:color="auto"/>
            </w:tcBorders>
            <w:shd w:val="clear" w:color="auto" w:fill="DCE6F1"/>
            <w:vAlign w:val="center"/>
            <w:hideMark/>
          </w:tcPr>
          <w:p w:rsidR="006A46AC" w:rsidRPr="002F31E7" w14:paraId="1E7FD9F7" w14:textId="19DAFA4F">
            <w:pPr>
              <w:widowControl/>
              <w:jc w:val="center"/>
              <w:rPr>
                <w:rFonts w:ascii="Times New Roman" w:hAnsi="Times New Roman"/>
                <w:b/>
                <w:bCs/>
                <w:color w:val="000000"/>
                <w:sz w:val="20"/>
              </w:rPr>
            </w:pPr>
            <w:r w:rsidRPr="002F31E7">
              <w:rPr>
                <w:rFonts w:ascii="Times New Roman" w:hAnsi="Times New Roman"/>
                <w:b/>
                <w:bCs/>
                <w:color w:val="000000"/>
                <w:sz w:val="20"/>
              </w:rPr>
              <w:t>2023 Requested Burden</w:t>
            </w:r>
          </w:p>
        </w:tc>
        <w:tc>
          <w:tcPr>
            <w:tcW w:w="1350" w:type="dxa"/>
            <w:tcBorders>
              <w:top w:val="single" w:sz="4" w:space="0" w:color="auto"/>
              <w:left w:val="nil"/>
              <w:bottom w:val="single" w:sz="4" w:space="0" w:color="auto"/>
              <w:right w:val="single" w:sz="4" w:space="0" w:color="auto"/>
            </w:tcBorders>
            <w:shd w:val="clear" w:color="auto" w:fill="DCE6F1"/>
            <w:vAlign w:val="center"/>
            <w:hideMark/>
          </w:tcPr>
          <w:p w:rsidR="006A46AC" w:rsidRPr="002F31E7" w14:paraId="29D9A90E" w14:textId="77777777">
            <w:pPr>
              <w:widowControl/>
              <w:jc w:val="center"/>
              <w:rPr>
                <w:rFonts w:ascii="Times New Roman" w:hAnsi="Times New Roman"/>
                <w:b/>
                <w:bCs/>
                <w:color w:val="000000"/>
                <w:sz w:val="20"/>
              </w:rPr>
            </w:pPr>
            <w:r w:rsidRPr="002F31E7">
              <w:rPr>
                <w:rFonts w:ascii="Times New Roman" w:hAnsi="Times New Roman"/>
                <w:b/>
                <w:bCs/>
                <w:color w:val="000000"/>
                <w:sz w:val="20"/>
              </w:rPr>
              <w:t>Difference</w:t>
            </w:r>
          </w:p>
        </w:tc>
      </w:tr>
      <w:tr w14:paraId="31BAC4E3" w14:textId="77777777" w:rsidTr="006A46AC">
        <w:tblPrEx>
          <w:tblW w:w="6745" w:type="dxa"/>
          <w:tblInd w:w="113" w:type="dxa"/>
          <w:tblLook w:val="04A0"/>
        </w:tblPrEx>
        <w:trPr>
          <w:trHeight w:val="300"/>
        </w:trPr>
        <w:tc>
          <w:tcPr>
            <w:tcW w:w="2245" w:type="dxa"/>
            <w:tcBorders>
              <w:top w:val="nil"/>
              <w:left w:val="single" w:sz="4" w:space="0" w:color="auto"/>
              <w:bottom w:val="single" w:sz="4" w:space="0" w:color="auto"/>
              <w:right w:val="single" w:sz="4" w:space="0" w:color="auto"/>
            </w:tcBorders>
            <w:vAlign w:val="center"/>
            <w:hideMark/>
          </w:tcPr>
          <w:p w:rsidR="006A46AC" w:rsidRPr="002F31E7" w14:paraId="4A970364" w14:textId="77777777">
            <w:pPr>
              <w:widowControl/>
              <w:rPr>
                <w:rFonts w:ascii="Times New Roman" w:hAnsi="Times New Roman"/>
                <w:color w:val="000000"/>
                <w:sz w:val="20"/>
              </w:rPr>
            </w:pPr>
            <w:r w:rsidRPr="002F31E7">
              <w:rPr>
                <w:rFonts w:ascii="Times New Roman" w:hAnsi="Times New Roman"/>
                <w:color w:val="000000"/>
                <w:sz w:val="20"/>
              </w:rPr>
              <w:t>Annual responses</w:t>
            </w:r>
          </w:p>
        </w:tc>
        <w:tc>
          <w:tcPr>
            <w:tcW w:w="1440" w:type="dxa"/>
            <w:tcBorders>
              <w:top w:val="nil"/>
              <w:left w:val="nil"/>
              <w:bottom w:val="single" w:sz="4" w:space="0" w:color="auto"/>
              <w:right w:val="single" w:sz="4" w:space="0" w:color="auto"/>
            </w:tcBorders>
            <w:vAlign w:val="center"/>
            <w:hideMark/>
          </w:tcPr>
          <w:p w:rsidR="006A46AC" w:rsidRPr="002F31E7" w14:paraId="1E69FEB4" w14:textId="46DE9EB5">
            <w:pPr>
              <w:widowControl/>
              <w:jc w:val="right"/>
              <w:rPr>
                <w:rFonts w:ascii="Times New Roman" w:hAnsi="Times New Roman"/>
                <w:color w:val="000000"/>
                <w:sz w:val="20"/>
              </w:rPr>
            </w:pPr>
            <w:r w:rsidRPr="002F31E7">
              <w:rPr>
                <w:rFonts w:ascii="Times New Roman" w:hAnsi="Times New Roman"/>
                <w:color w:val="000000"/>
                <w:sz w:val="20"/>
              </w:rPr>
              <w:t xml:space="preserve">         16,416</w:t>
            </w:r>
          </w:p>
        </w:tc>
        <w:tc>
          <w:tcPr>
            <w:tcW w:w="1710" w:type="dxa"/>
            <w:tcBorders>
              <w:top w:val="nil"/>
              <w:left w:val="nil"/>
              <w:bottom w:val="single" w:sz="4" w:space="0" w:color="auto"/>
              <w:right w:val="single" w:sz="4" w:space="0" w:color="auto"/>
            </w:tcBorders>
            <w:vAlign w:val="center"/>
            <w:hideMark/>
          </w:tcPr>
          <w:p w:rsidR="006A46AC" w:rsidRPr="002F31E7" w14:paraId="635CFE07" w14:textId="142BDE21">
            <w:pPr>
              <w:widowControl/>
              <w:jc w:val="right"/>
              <w:rPr>
                <w:rFonts w:ascii="Times New Roman" w:hAnsi="Times New Roman"/>
                <w:color w:val="000000"/>
                <w:sz w:val="20"/>
              </w:rPr>
            </w:pPr>
            <w:r w:rsidRPr="002F31E7">
              <w:rPr>
                <w:rFonts w:ascii="Times New Roman" w:hAnsi="Times New Roman"/>
                <w:color w:val="000000"/>
                <w:sz w:val="20"/>
              </w:rPr>
              <w:t>21,538</w:t>
            </w:r>
            <w:r w:rsidRPr="002F31E7">
              <w:rPr>
                <w:rFonts w:ascii="Times New Roman" w:hAnsi="Times New Roman"/>
                <w:color w:val="000000"/>
                <w:sz w:val="20"/>
              </w:rPr>
              <w:t xml:space="preserve">                 </w:t>
            </w:r>
          </w:p>
        </w:tc>
        <w:tc>
          <w:tcPr>
            <w:tcW w:w="1350" w:type="dxa"/>
            <w:tcBorders>
              <w:top w:val="nil"/>
              <w:left w:val="nil"/>
              <w:bottom w:val="single" w:sz="4" w:space="0" w:color="auto"/>
              <w:right w:val="single" w:sz="4" w:space="0" w:color="auto"/>
            </w:tcBorders>
            <w:vAlign w:val="center"/>
            <w:hideMark/>
          </w:tcPr>
          <w:p w:rsidR="006A46AC" w:rsidRPr="002F31E7" w14:paraId="018A4D0E" w14:textId="4D15F09B">
            <w:pPr>
              <w:widowControl/>
              <w:jc w:val="right"/>
              <w:rPr>
                <w:rFonts w:ascii="Times New Roman" w:hAnsi="Times New Roman"/>
                <w:color w:val="000000"/>
                <w:sz w:val="20"/>
              </w:rPr>
            </w:pPr>
            <w:r w:rsidRPr="002F31E7">
              <w:rPr>
                <w:rFonts w:ascii="Times New Roman" w:hAnsi="Times New Roman"/>
                <w:color w:val="000000"/>
                <w:sz w:val="20"/>
              </w:rPr>
              <w:t>5,122</w:t>
            </w:r>
            <w:r w:rsidRPr="002F31E7">
              <w:rPr>
                <w:rFonts w:ascii="Times New Roman" w:hAnsi="Times New Roman"/>
                <w:color w:val="000000"/>
                <w:sz w:val="20"/>
              </w:rPr>
              <w:t xml:space="preserve">           </w:t>
            </w:r>
          </w:p>
        </w:tc>
      </w:tr>
      <w:tr w14:paraId="5FC12356" w14:textId="77777777" w:rsidTr="006A46AC">
        <w:tblPrEx>
          <w:tblW w:w="6745" w:type="dxa"/>
          <w:tblInd w:w="113" w:type="dxa"/>
          <w:tblLook w:val="04A0"/>
        </w:tblPrEx>
        <w:trPr>
          <w:trHeight w:val="300"/>
        </w:trPr>
        <w:tc>
          <w:tcPr>
            <w:tcW w:w="2245" w:type="dxa"/>
            <w:tcBorders>
              <w:top w:val="nil"/>
              <w:left w:val="single" w:sz="4" w:space="0" w:color="auto"/>
              <w:bottom w:val="single" w:sz="4" w:space="0" w:color="auto"/>
              <w:right w:val="single" w:sz="4" w:space="0" w:color="auto"/>
            </w:tcBorders>
            <w:vAlign w:val="center"/>
            <w:hideMark/>
          </w:tcPr>
          <w:p w:rsidR="006A46AC" w:rsidRPr="002F31E7" w14:paraId="65201826" w14:textId="77777777">
            <w:pPr>
              <w:widowControl/>
              <w:rPr>
                <w:rFonts w:ascii="Times New Roman" w:hAnsi="Times New Roman"/>
                <w:color w:val="000000"/>
                <w:sz w:val="20"/>
              </w:rPr>
            </w:pPr>
            <w:r w:rsidRPr="002F31E7">
              <w:rPr>
                <w:rFonts w:ascii="Times New Roman" w:hAnsi="Times New Roman"/>
                <w:color w:val="000000"/>
                <w:sz w:val="20"/>
              </w:rPr>
              <w:t>Annual burden hours</w:t>
            </w:r>
          </w:p>
        </w:tc>
        <w:tc>
          <w:tcPr>
            <w:tcW w:w="1440" w:type="dxa"/>
            <w:tcBorders>
              <w:top w:val="nil"/>
              <w:left w:val="nil"/>
              <w:bottom w:val="single" w:sz="4" w:space="0" w:color="auto"/>
              <w:right w:val="single" w:sz="4" w:space="0" w:color="auto"/>
            </w:tcBorders>
            <w:vAlign w:val="center"/>
            <w:hideMark/>
          </w:tcPr>
          <w:p w:rsidR="006A46AC" w:rsidRPr="002F31E7" w14:paraId="1B4B4D6D" w14:textId="51D5CD56">
            <w:pPr>
              <w:widowControl/>
              <w:jc w:val="right"/>
              <w:rPr>
                <w:rFonts w:ascii="Times New Roman" w:hAnsi="Times New Roman"/>
                <w:color w:val="000000"/>
                <w:sz w:val="20"/>
              </w:rPr>
            </w:pPr>
            <w:r w:rsidRPr="002F31E7">
              <w:rPr>
                <w:rFonts w:ascii="Times New Roman" w:hAnsi="Times New Roman"/>
                <w:color w:val="000000"/>
                <w:sz w:val="20"/>
              </w:rPr>
              <w:t xml:space="preserve">           4,840 </w:t>
            </w:r>
          </w:p>
        </w:tc>
        <w:tc>
          <w:tcPr>
            <w:tcW w:w="1710" w:type="dxa"/>
            <w:tcBorders>
              <w:top w:val="nil"/>
              <w:left w:val="nil"/>
              <w:bottom w:val="single" w:sz="4" w:space="0" w:color="auto"/>
              <w:right w:val="single" w:sz="4" w:space="0" w:color="auto"/>
            </w:tcBorders>
            <w:vAlign w:val="center"/>
            <w:hideMark/>
          </w:tcPr>
          <w:p w:rsidR="006A46AC" w:rsidRPr="002F31E7" w14:paraId="32E601B3" w14:textId="406DA72A">
            <w:pPr>
              <w:widowControl/>
              <w:jc w:val="right"/>
              <w:rPr>
                <w:rFonts w:ascii="Times New Roman" w:hAnsi="Times New Roman"/>
                <w:color w:val="000000"/>
                <w:sz w:val="20"/>
              </w:rPr>
            </w:pPr>
            <w:r w:rsidRPr="002F31E7">
              <w:rPr>
                <w:rFonts w:ascii="Times New Roman" w:hAnsi="Times New Roman"/>
                <w:color w:val="000000"/>
                <w:sz w:val="20"/>
              </w:rPr>
              <w:t>4,211</w:t>
            </w:r>
            <w:r w:rsidRPr="002F31E7">
              <w:rPr>
                <w:rFonts w:ascii="Times New Roman" w:hAnsi="Times New Roman"/>
                <w:color w:val="000000"/>
                <w:sz w:val="20"/>
              </w:rPr>
              <w:t xml:space="preserve">                  </w:t>
            </w:r>
          </w:p>
        </w:tc>
        <w:tc>
          <w:tcPr>
            <w:tcW w:w="1350" w:type="dxa"/>
            <w:tcBorders>
              <w:top w:val="nil"/>
              <w:left w:val="nil"/>
              <w:bottom w:val="single" w:sz="4" w:space="0" w:color="auto"/>
              <w:right w:val="single" w:sz="4" w:space="0" w:color="auto"/>
            </w:tcBorders>
            <w:vAlign w:val="center"/>
            <w:hideMark/>
          </w:tcPr>
          <w:p w:rsidR="006A46AC" w:rsidRPr="002F31E7" w14:paraId="3CDC0539" w14:textId="26D93771">
            <w:pPr>
              <w:widowControl/>
              <w:jc w:val="right"/>
              <w:rPr>
                <w:rFonts w:ascii="Times New Roman" w:hAnsi="Times New Roman"/>
                <w:color w:val="000000"/>
                <w:sz w:val="20"/>
              </w:rPr>
            </w:pPr>
            <w:r w:rsidRPr="002F31E7">
              <w:rPr>
                <w:rFonts w:ascii="Times New Roman" w:hAnsi="Times New Roman"/>
                <w:color w:val="000000"/>
                <w:sz w:val="20"/>
              </w:rPr>
              <w:t>-629</w:t>
            </w:r>
            <w:r w:rsidRPr="002F31E7">
              <w:rPr>
                <w:rFonts w:ascii="Times New Roman" w:hAnsi="Times New Roman"/>
                <w:color w:val="000000"/>
                <w:sz w:val="20"/>
              </w:rPr>
              <w:t xml:space="preserve">               </w:t>
            </w:r>
          </w:p>
        </w:tc>
      </w:tr>
      <w:tr w14:paraId="1EA3D55A" w14:textId="77777777" w:rsidTr="006A46AC">
        <w:tblPrEx>
          <w:tblW w:w="6745" w:type="dxa"/>
          <w:tblInd w:w="113" w:type="dxa"/>
          <w:tblLook w:val="04A0"/>
        </w:tblPrEx>
        <w:trPr>
          <w:trHeight w:val="300"/>
        </w:trPr>
        <w:tc>
          <w:tcPr>
            <w:tcW w:w="2245" w:type="dxa"/>
            <w:tcBorders>
              <w:top w:val="nil"/>
              <w:left w:val="single" w:sz="4" w:space="0" w:color="auto"/>
              <w:bottom w:val="single" w:sz="4" w:space="0" w:color="auto"/>
              <w:right w:val="single" w:sz="4" w:space="0" w:color="auto"/>
            </w:tcBorders>
            <w:vAlign w:val="center"/>
            <w:hideMark/>
          </w:tcPr>
          <w:p w:rsidR="006A46AC" w:rsidRPr="002F31E7" w14:paraId="0F758CF6" w14:textId="77777777">
            <w:pPr>
              <w:widowControl/>
              <w:rPr>
                <w:rFonts w:ascii="Times New Roman" w:hAnsi="Times New Roman"/>
                <w:color w:val="000000"/>
                <w:sz w:val="20"/>
              </w:rPr>
            </w:pPr>
            <w:r w:rsidRPr="002F31E7">
              <w:rPr>
                <w:rFonts w:ascii="Times New Roman" w:hAnsi="Times New Roman"/>
                <w:color w:val="000000"/>
                <w:sz w:val="20"/>
              </w:rPr>
              <w:t>Annual cost ($)</w:t>
            </w:r>
          </w:p>
        </w:tc>
        <w:tc>
          <w:tcPr>
            <w:tcW w:w="1440" w:type="dxa"/>
            <w:tcBorders>
              <w:top w:val="nil"/>
              <w:left w:val="nil"/>
              <w:bottom w:val="single" w:sz="4" w:space="0" w:color="auto"/>
              <w:right w:val="single" w:sz="4" w:space="0" w:color="auto"/>
            </w:tcBorders>
            <w:vAlign w:val="center"/>
            <w:hideMark/>
          </w:tcPr>
          <w:p w:rsidR="006A46AC" w:rsidRPr="002F31E7" w:rsidP="006A46AC" w14:paraId="2BAD705E" w14:textId="40F596DF">
            <w:pPr>
              <w:widowControl/>
              <w:jc w:val="right"/>
              <w:rPr>
                <w:rFonts w:ascii="Times New Roman" w:hAnsi="Times New Roman"/>
                <w:color w:val="000000"/>
                <w:sz w:val="20"/>
              </w:rPr>
            </w:pPr>
            <w:r w:rsidRPr="002F31E7">
              <w:rPr>
                <w:rFonts w:ascii="Times New Roman" w:hAnsi="Times New Roman"/>
                <w:color w:val="000000"/>
                <w:sz w:val="20"/>
              </w:rPr>
              <w:t xml:space="preserve">313,919 </w:t>
            </w:r>
          </w:p>
        </w:tc>
        <w:tc>
          <w:tcPr>
            <w:tcW w:w="1710" w:type="dxa"/>
            <w:tcBorders>
              <w:top w:val="nil"/>
              <w:left w:val="nil"/>
              <w:bottom w:val="single" w:sz="4" w:space="0" w:color="auto"/>
              <w:right w:val="single" w:sz="4" w:space="0" w:color="auto"/>
            </w:tcBorders>
            <w:vAlign w:val="center"/>
            <w:hideMark/>
          </w:tcPr>
          <w:p w:rsidR="006A46AC" w:rsidRPr="002F31E7" w14:paraId="37BC8610" w14:textId="5BA84527">
            <w:pPr>
              <w:widowControl/>
              <w:jc w:val="right"/>
              <w:rPr>
                <w:rFonts w:ascii="Times New Roman" w:hAnsi="Times New Roman"/>
                <w:color w:val="000000"/>
                <w:sz w:val="20"/>
              </w:rPr>
            </w:pPr>
            <w:r w:rsidRPr="002F31E7">
              <w:rPr>
                <w:rFonts w:ascii="Times New Roman" w:hAnsi="Times New Roman"/>
                <w:color w:val="000000"/>
                <w:sz w:val="20"/>
              </w:rPr>
              <w:t>284,971</w:t>
            </w:r>
            <w:r w:rsidRPr="002F31E7">
              <w:rPr>
                <w:rFonts w:ascii="Times New Roman" w:hAnsi="Times New Roman"/>
                <w:color w:val="000000"/>
                <w:sz w:val="20"/>
              </w:rPr>
              <w:t xml:space="preserve">              </w:t>
            </w:r>
          </w:p>
        </w:tc>
        <w:tc>
          <w:tcPr>
            <w:tcW w:w="1350" w:type="dxa"/>
            <w:tcBorders>
              <w:top w:val="nil"/>
              <w:left w:val="nil"/>
              <w:bottom w:val="single" w:sz="4" w:space="0" w:color="auto"/>
              <w:right w:val="single" w:sz="4" w:space="0" w:color="auto"/>
            </w:tcBorders>
            <w:vAlign w:val="center"/>
            <w:hideMark/>
          </w:tcPr>
          <w:p w:rsidR="006A46AC" w:rsidRPr="006A46AC" w14:paraId="566FEB54" w14:textId="06C15303">
            <w:pPr>
              <w:widowControl/>
              <w:jc w:val="right"/>
              <w:rPr>
                <w:rFonts w:ascii="Times New Roman" w:hAnsi="Times New Roman"/>
                <w:color w:val="000000"/>
                <w:sz w:val="20"/>
              </w:rPr>
            </w:pPr>
            <w:r w:rsidRPr="002F31E7">
              <w:rPr>
                <w:rFonts w:ascii="Times New Roman" w:hAnsi="Times New Roman"/>
                <w:color w:val="000000"/>
                <w:sz w:val="20"/>
              </w:rPr>
              <w:t>-28,948</w:t>
            </w:r>
            <w:r w:rsidRPr="002F31E7">
              <w:rPr>
                <w:rFonts w:ascii="Times New Roman" w:hAnsi="Times New Roman"/>
                <w:color w:val="000000"/>
                <w:sz w:val="20"/>
              </w:rPr>
              <w:t xml:space="preserve">        </w:t>
            </w:r>
          </w:p>
        </w:tc>
      </w:tr>
    </w:tbl>
    <w:p w:rsidR="00983CA7" w:rsidRPr="006A46A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7CFF" w:rsidP="003A7CFF" w14:paraId="1254DD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AC">
        <w:rPr>
          <w:rFonts w:ascii="Times New Roman" w:hAnsi="Times New Roman"/>
          <w:b/>
          <w:bCs/>
        </w:rPr>
        <w:t>1</w:t>
      </w:r>
      <w:r w:rsidRPr="006A46AC" w:rsidR="00882AB5">
        <w:rPr>
          <w:rFonts w:ascii="Times New Roman" w:hAnsi="Times New Roman"/>
          <w:b/>
          <w:bCs/>
        </w:rPr>
        <w:t xml:space="preserve">6. </w:t>
      </w:r>
      <w:r>
        <w:rPr>
          <w:rFonts w:ascii="Times New Roman" w:hAnsi="Times New Roman"/>
          <w:bCs/>
        </w:rPr>
        <w:t>DEA will not publish the results of the information collected.</w:t>
      </w:r>
      <w:r>
        <w:rPr>
          <w:rFonts w:ascii="Times New Roman" w:hAnsi="Times New Roman"/>
          <w:b/>
          <w:bCs/>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1AF4CB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17.  </w:t>
      </w:r>
      <w:r w:rsidR="003A7CFF">
        <w:rPr>
          <w:rFonts w:ascii="Times New Roman" w:hAnsi="Times New Roman"/>
        </w:rPr>
        <w:t xml:space="preserve">DEA does not object to displaying the expiration date for this collection.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7CFF" w:rsidP="003A7CFF" w14:paraId="4F3B58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rPr>
        <w:t xml:space="preserve">18.  </w:t>
      </w:r>
      <w:r>
        <w:rPr>
          <w:rFonts w:ascii="Times New Roman" w:hAnsi="Times New Roman"/>
        </w:rPr>
        <w:t xml:space="preserve">DEA is not seeking an exception to the certification statement “Certification for Paperwork Reduction Act Submissions” for this collection of information.  </w:t>
      </w:r>
    </w:p>
    <w:p w:rsidR="00690F56" w:rsidRPr="00871CA6" w:rsidP="003A7CFF" w14:paraId="7282302F" w14:textId="1C3242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3BB8" w14:paraId="618B201D" w14:textId="77777777">
      <w:r>
        <w:separator/>
      </w:r>
    </w:p>
  </w:footnote>
  <w:footnote w:type="continuationSeparator" w:id="1">
    <w:p w:rsidR="002F3BB8" w14:paraId="2D517FA4" w14:textId="77777777">
      <w:r>
        <w:continuationSeparator/>
      </w:r>
    </w:p>
  </w:footnote>
  <w:footnote w:type="continuationNotice" w:id="2">
    <w:p w:rsidR="0006609F" w14:paraId="02B237F1" w14:textId="77777777"/>
  </w:footnote>
  <w:footnote w:id="3">
    <w:p w:rsidR="001B2C31" w14:paraId="1FF27B95" w14:textId="3ED09805">
      <w:pPr>
        <w:pStyle w:val="FootnoteText"/>
      </w:pPr>
      <w:r>
        <w:rPr>
          <w:rStyle w:val="FootnoteReference"/>
        </w:rPr>
        <w:footnoteRef/>
      </w:r>
      <w:r>
        <w:t xml:space="preserve"> </w:t>
      </w:r>
      <w:bookmarkStart w:id="5" w:name="OLE_LINK1"/>
      <w:r>
        <w:rPr>
          <w:rFonts w:ascii="Times New Roman" w:hAnsi="Times New Roman"/>
        </w:rPr>
        <w:t>Median hourly wage, Bureau of Labor Statistics, Occupational and Employment and Wages, May 2023, 11-3071 Transportation, Storage, and Distribution Mangers (https://www.bls.gov/oes/current/oes_nat.htm).</w:t>
      </w:r>
      <w:bookmarkEnd w:id="5"/>
    </w:p>
  </w:footnote>
  <w:footnote w:id="4">
    <w:p w:rsidR="006A46AC" w:rsidP="006A46AC" w14:paraId="6D29261E" w14:textId="2318CEBB">
      <w:pPr>
        <w:pStyle w:val="FootnoteText"/>
      </w:pPr>
      <w:r>
        <w:rPr>
          <w:rStyle w:val="FootnoteReference"/>
        </w:rPr>
        <w:footnoteRef/>
      </w:r>
      <w:r>
        <w:rPr>
          <w:rFonts w:ascii="Times New Roman" w:hAnsi="Times New Roman"/>
        </w:rPr>
        <w:t xml:space="preserve"> Median hourly wage, Bureau of Labor Statistics, Occupational and Employment and Wages, May 20</w:t>
      </w:r>
      <w:r w:rsidR="00112262">
        <w:rPr>
          <w:rFonts w:ascii="Times New Roman" w:hAnsi="Times New Roman"/>
        </w:rPr>
        <w:t>23</w:t>
      </w:r>
      <w:r>
        <w:rPr>
          <w:rFonts w:ascii="Times New Roman" w:hAnsi="Times New Roman"/>
        </w:rPr>
        <w:t>, 11-3071 Transportation, Storage, and Distribution Managers (https://www.bls.gov/oes/current/oes_nat.htm).</w:t>
      </w:r>
    </w:p>
  </w:footnote>
  <w:footnote w:id="5">
    <w:p w:rsidR="006A46AC" w:rsidP="006A46AC" w14:paraId="5EA8313A" w14:textId="6BF11E42">
      <w:pPr>
        <w:pStyle w:val="FootnoteText"/>
      </w:pPr>
      <w:r>
        <w:rPr>
          <w:rStyle w:val="FootnoteReference"/>
        </w:rPr>
        <w:footnoteRef/>
      </w:r>
      <w:r>
        <w:rPr>
          <w:rFonts w:ascii="Times New Roman" w:hAnsi="Times New Roman"/>
        </w:rPr>
        <w:t xml:space="preserve"> Bureau of Labor Statistics, “Employer Costs for Employee Compensation – December 2019” (ECEC) reports that average benefits for private industry is 29.9</w:t>
      </w:r>
      <w:r w:rsidR="00112262">
        <w:rPr>
          <w:rFonts w:ascii="Times New Roman" w:hAnsi="Times New Roman"/>
        </w:rPr>
        <w:t>7</w:t>
      </w:r>
      <w:r>
        <w:rPr>
          <w:rFonts w:ascii="Times New Roman" w:hAnsi="Times New Roman"/>
        </w:rPr>
        <w:t>% of total compensation.  The 29.9</w:t>
      </w:r>
      <w:r w:rsidR="00112262">
        <w:rPr>
          <w:rFonts w:ascii="Times New Roman" w:hAnsi="Times New Roman"/>
        </w:rPr>
        <w:t>7</w:t>
      </w:r>
      <w:r>
        <w:rPr>
          <w:rFonts w:ascii="Times New Roman" w:hAnsi="Times New Roman"/>
        </w:rPr>
        <w:t>% of total compensation equates to 42.</w:t>
      </w:r>
      <w:r w:rsidR="00112262">
        <w:rPr>
          <w:rFonts w:ascii="Times New Roman" w:hAnsi="Times New Roman"/>
        </w:rPr>
        <w:t>8</w:t>
      </w:r>
      <w:r>
        <w:rPr>
          <w:rFonts w:ascii="Times New Roman" w:hAnsi="Times New Roman"/>
        </w:rPr>
        <w:t>% (29.9</w:t>
      </w:r>
      <w:r w:rsidR="00112262">
        <w:rPr>
          <w:rFonts w:ascii="Times New Roman" w:hAnsi="Times New Roman"/>
        </w:rPr>
        <w:t>7</w:t>
      </w:r>
      <w:r>
        <w:rPr>
          <w:rFonts w:ascii="Times New Roman" w:hAnsi="Times New Roman"/>
        </w:rPr>
        <w:t>% / 70.</w:t>
      </w:r>
      <w:r w:rsidR="00112262">
        <w:rPr>
          <w:rFonts w:ascii="Times New Roman" w:hAnsi="Times New Roman"/>
        </w:rPr>
        <w:t>03</w:t>
      </w:r>
      <w:r>
        <w:rPr>
          <w:rFonts w:ascii="Times New Roman" w:hAnsi="Times New Roman"/>
        </w:rPr>
        <w:t>%) load on wages and salaries.</w:t>
      </w:r>
    </w:p>
  </w:footnote>
  <w:footnote w:id="6">
    <w:p w:rsidR="006A46AC" w:rsidP="006A46AC" w14:paraId="7575604C" w14:textId="2BB03326">
      <w:pPr>
        <w:pStyle w:val="FootnoteText"/>
      </w:pPr>
      <w:r>
        <w:rPr>
          <w:rStyle w:val="FootnoteReference"/>
        </w:rPr>
        <w:footnoteRef/>
      </w:r>
      <w:r>
        <w:rPr>
          <w:rFonts w:ascii="Times New Roman" w:hAnsi="Times New Roman"/>
        </w:rPr>
        <w:t xml:space="preserve"> $</w:t>
      </w:r>
      <w:r w:rsidR="00112262">
        <w:rPr>
          <w:rFonts w:ascii="Times New Roman" w:hAnsi="Times New Roman"/>
        </w:rPr>
        <w:t>47.39</w:t>
      </w:r>
      <w:r>
        <w:rPr>
          <w:rFonts w:ascii="Times New Roman" w:hAnsi="Times New Roman"/>
        </w:rPr>
        <w:t xml:space="preserve"> x (1 + 0.427) = $</w:t>
      </w:r>
      <w:r w:rsidR="00112262">
        <w:rPr>
          <w:rFonts w:ascii="Times New Roman" w:hAnsi="Times New Roman"/>
        </w:rPr>
        <w:t>67.67</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3603" w:rsidRPr="001B3603" w:rsidP="001B3603" w14:paraId="432A8E26" w14:textId="77777777">
    <w:pPr>
      <w:tabs>
        <w:tab w:val="center" w:pos="4680"/>
      </w:tabs>
      <w:rPr>
        <w:rFonts w:ascii="Times New Roman" w:hAnsi="Times New Roman"/>
        <w:sz w:val="20"/>
        <w:szCs w:val="20"/>
      </w:rPr>
    </w:pPr>
    <w:r w:rsidRPr="001B3603">
      <w:rPr>
        <w:rFonts w:ascii="Times New Roman" w:hAnsi="Times New Roman"/>
        <w:sz w:val="20"/>
      </w:rPr>
      <w:t>Import/Export Declaration for List I and List II Chemicals (DEA Form 486 and DEA Form 486A)</w:t>
    </w:r>
  </w:p>
  <w:p w:rsidR="001B3603" w:rsidRPr="001B3603" w:rsidP="001B3603" w14:paraId="529C1E62" w14:textId="77777777">
    <w:pPr>
      <w:tabs>
        <w:tab w:val="center" w:pos="4680"/>
      </w:tabs>
      <w:rPr>
        <w:rFonts w:ascii="Times New Roman" w:hAnsi="Times New Roman"/>
        <w:sz w:val="20"/>
      </w:rPr>
    </w:pPr>
    <w:r w:rsidRPr="001B3603">
      <w:rPr>
        <w:rFonts w:ascii="Times New Roman" w:hAnsi="Times New Roman"/>
        <w:sz w:val="20"/>
      </w:rPr>
      <w:t>OMB Control Number:  1117-0023</w:t>
    </w:r>
  </w:p>
  <w:p w:rsidR="001B3603" w:rsidRPr="001B3603" w:rsidP="001B3603" w14:paraId="4A467E33" w14:textId="77777777">
    <w:pPr>
      <w:tabs>
        <w:tab w:val="center" w:pos="4680"/>
      </w:tabs>
      <w:rPr>
        <w:rFonts w:ascii="Times New Roman" w:hAnsi="Times New Roman"/>
        <w:sz w:val="20"/>
      </w:rPr>
    </w:pPr>
    <w:r w:rsidRPr="001B3603">
      <w:rPr>
        <w:rFonts w:ascii="Times New Roman" w:hAnsi="Times New Roman"/>
        <w:sz w:val="20"/>
      </w:rPr>
      <w:t>OMB Expiration Date:  11/30/2023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000001"/>
    <w:multiLevelType w:val="singleLevel"/>
    <w:tmpl w:val="09741640"/>
    <w:lvl w:ilvl="0">
      <w:start w:val="1"/>
      <w:numFmt w:val="decimal"/>
      <w:pStyle w:val="1"/>
      <w:lvlText w:val="%1."/>
      <w:lvlJc w:val="left"/>
      <w:pPr>
        <w:tabs>
          <w:tab w:val="num" w:pos="720"/>
        </w:tabs>
        <w:ind w:left="0" w:firstLine="0"/>
      </w:pPr>
      <w:rPr>
        <w:rFonts w:ascii="Courier New" w:hAnsi="Courier New" w:cs="Times New Roman"/>
        <w:sz w:val="24"/>
      </w:rPr>
    </w:lvl>
  </w:abstractNum>
  <w:abstractNum w:abstractNumId="2">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0"/>
  </w:num>
  <w:num w:numId="5">
    <w:abstractNumId w:val="3"/>
  </w:num>
  <w:num w:numId="6">
    <w:abstractNumId w:val="5"/>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2"/>
  </w:num>
  <w:num w:numId="10">
    <w:abstractNumId w:val="11"/>
  </w:num>
  <w:num w:numId="11">
    <w:abstractNumId w:val="7"/>
  </w:num>
  <w:num w:numId="12">
    <w:abstractNumId w:val="9"/>
  </w:num>
  <w:num w:numId="13">
    <w:abstractNumId w:val="6"/>
  </w:num>
  <w:num w:numId="14">
    <w:abstractNumId w:val="13"/>
  </w:num>
  <w:num w:numId="15">
    <w:abstractNumId w:val="8"/>
  </w:num>
  <w:num w:numId="16">
    <w:abstractNumId w:val="1"/>
    <w:lvlOverride w:ilvl="0">
      <w:lvl w:ilvl="0">
        <w:start w:val="1"/>
        <w:numFmt w:val="decimal"/>
        <w:pStyle w:val="1"/>
        <w:lvlText w:val="%1."/>
        <w:lvlJc w:val="left"/>
        <w:pPr>
          <w:ind w:left="0" w:firstLine="0"/>
        </w:pPr>
        <w:rPr>
          <w:rFonts w:ascii="Courier New" w:hAnsi="Courier New" w:cs="Times New Roman"/>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5970"/>
    <w:rsid w:val="00020F69"/>
    <w:rsid w:val="00022303"/>
    <w:rsid w:val="0003073D"/>
    <w:rsid w:val="0004107F"/>
    <w:rsid w:val="00042CBD"/>
    <w:rsid w:val="00052174"/>
    <w:rsid w:val="00061F6C"/>
    <w:rsid w:val="00064E28"/>
    <w:rsid w:val="000655CC"/>
    <w:rsid w:val="0006609F"/>
    <w:rsid w:val="0007383F"/>
    <w:rsid w:val="00094A5E"/>
    <w:rsid w:val="00095C30"/>
    <w:rsid w:val="00097C15"/>
    <w:rsid w:val="000A7853"/>
    <w:rsid w:val="000B0391"/>
    <w:rsid w:val="000B4875"/>
    <w:rsid w:val="000B6FB6"/>
    <w:rsid w:val="000C257C"/>
    <w:rsid w:val="000C3A92"/>
    <w:rsid w:val="000C74FB"/>
    <w:rsid w:val="000D058D"/>
    <w:rsid w:val="000D7F95"/>
    <w:rsid w:val="000E10C1"/>
    <w:rsid w:val="000E1C64"/>
    <w:rsid w:val="000F6836"/>
    <w:rsid w:val="001040D4"/>
    <w:rsid w:val="001078BB"/>
    <w:rsid w:val="00112262"/>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2C31"/>
    <w:rsid w:val="001B3603"/>
    <w:rsid w:val="001B4BB9"/>
    <w:rsid w:val="001C39F6"/>
    <w:rsid w:val="001D10ED"/>
    <w:rsid w:val="001D2D09"/>
    <w:rsid w:val="001D67BB"/>
    <w:rsid w:val="001E0E7F"/>
    <w:rsid w:val="001E2932"/>
    <w:rsid w:val="001E3596"/>
    <w:rsid w:val="001E5213"/>
    <w:rsid w:val="001F056F"/>
    <w:rsid w:val="001F2E8E"/>
    <w:rsid w:val="001F552E"/>
    <w:rsid w:val="002036A1"/>
    <w:rsid w:val="00205882"/>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4C1"/>
    <w:rsid w:val="00292951"/>
    <w:rsid w:val="00293CD1"/>
    <w:rsid w:val="002A3962"/>
    <w:rsid w:val="002A5972"/>
    <w:rsid w:val="002A6FB5"/>
    <w:rsid w:val="002C3CF7"/>
    <w:rsid w:val="002C5AE9"/>
    <w:rsid w:val="002E238B"/>
    <w:rsid w:val="002E3A33"/>
    <w:rsid w:val="002E4200"/>
    <w:rsid w:val="002E6DF9"/>
    <w:rsid w:val="002E6F9C"/>
    <w:rsid w:val="002F31E7"/>
    <w:rsid w:val="002F3BB8"/>
    <w:rsid w:val="00304132"/>
    <w:rsid w:val="00304EAD"/>
    <w:rsid w:val="00312124"/>
    <w:rsid w:val="00313820"/>
    <w:rsid w:val="00313AC0"/>
    <w:rsid w:val="00320D8C"/>
    <w:rsid w:val="00322C1B"/>
    <w:rsid w:val="0032649A"/>
    <w:rsid w:val="0032718B"/>
    <w:rsid w:val="00332F98"/>
    <w:rsid w:val="0033578D"/>
    <w:rsid w:val="003430A6"/>
    <w:rsid w:val="003448FC"/>
    <w:rsid w:val="003548D8"/>
    <w:rsid w:val="00363CC2"/>
    <w:rsid w:val="00370C9A"/>
    <w:rsid w:val="00371EEC"/>
    <w:rsid w:val="00386A4A"/>
    <w:rsid w:val="003876F3"/>
    <w:rsid w:val="00390426"/>
    <w:rsid w:val="003908B9"/>
    <w:rsid w:val="00394AEB"/>
    <w:rsid w:val="003A4476"/>
    <w:rsid w:val="003A6353"/>
    <w:rsid w:val="003A7CFF"/>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0185"/>
    <w:rsid w:val="00461B8A"/>
    <w:rsid w:val="004672B5"/>
    <w:rsid w:val="004763FD"/>
    <w:rsid w:val="004844D1"/>
    <w:rsid w:val="0048559D"/>
    <w:rsid w:val="0049001D"/>
    <w:rsid w:val="00494A93"/>
    <w:rsid w:val="00494D75"/>
    <w:rsid w:val="004A1763"/>
    <w:rsid w:val="004B1E83"/>
    <w:rsid w:val="004D1C78"/>
    <w:rsid w:val="004D441E"/>
    <w:rsid w:val="004D46D1"/>
    <w:rsid w:val="004D7E10"/>
    <w:rsid w:val="004E1D9E"/>
    <w:rsid w:val="004E5B39"/>
    <w:rsid w:val="00501A15"/>
    <w:rsid w:val="005164DC"/>
    <w:rsid w:val="00522B8D"/>
    <w:rsid w:val="0052585C"/>
    <w:rsid w:val="00530EBD"/>
    <w:rsid w:val="005622FE"/>
    <w:rsid w:val="00567912"/>
    <w:rsid w:val="00570098"/>
    <w:rsid w:val="005718C1"/>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453C"/>
    <w:rsid w:val="0067772C"/>
    <w:rsid w:val="00683A96"/>
    <w:rsid w:val="00685435"/>
    <w:rsid w:val="00687746"/>
    <w:rsid w:val="00690F56"/>
    <w:rsid w:val="006A4637"/>
    <w:rsid w:val="006A46AC"/>
    <w:rsid w:val="006C39F8"/>
    <w:rsid w:val="006E1A08"/>
    <w:rsid w:val="006E4433"/>
    <w:rsid w:val="006E54FE"/>
    <w:rsid w:val="006E604F"/>
    <w:rsid w:val="006E63C6"/>
    <w:rsid w:val="006F2132"/>
    <w:rsid w:val="006F4D14"/>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2E65"/>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0475"/>
    <w:rsid w:val="009E1A94"/>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26BD"/>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179FF"/>
    <w:rsid w:val="00B26E3E"/>
    <w:rsid w:val="00B35DAD"/>
    <w:rsid w:val="00B417B3"/>
    <w:rsid w:val="00B47443"/>
    <w:rsid w:val="00B5043F"/>
    <w:rsid w:val="00B528E6"/>
    <w:rsid w:val="00B5377A"/>
    <w:rsid w:val="00B6181C"/>
    <w:rsid w:val="00B62A71"/>
    <w:rsid w:val="00B64496"/>
    <w:rsid w:val="00B66231"/>
    <w:rsid w:val="00B674DE"/>
    <w:rsid w:val="00B67A3F"/>
    <w:rsid w:val="00B86216"/>
    <w:rsid w:val="00B9439C"/>
    <w:rsid w:val="00B96E43"/>
    <w:rsid w:val="00BA6A42"/>
    <w:rsid w:val="00BA6C9C"/>
    <w:rsid w:val="00BA6EDA"/>
    <w:rsid w:val="00BB2AA1"/>
    <w:rsid w:val="00BB3BEF"/>
    <w:rsid w:val="00BB4A85"/>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uiPriority w:val="1"/>
    <w:qFormat/>
    <w:rsid w:val="000D058D"/>
    <w:pPr>
      <w:widowControl w:val="0"/>
    </w:pPr>
    <w:rPr>
      <w:sz w:val="24"/>
    </w:rPr>
  </w:style>
  <w:style w:type="paragraph" w:customStyle="1" w:styleId="1">
    <w:name w:val="1"/>
    <w:aliases w:val="2,3"/>
    <w:basedOn w:val="Normal"/>
    <w:rsid w:val="000D058D"/>
    <w:pPr>
      <w:numPr>
        <w:numId w:val="16"/>
      </w:numPr>
      <w:autoSpaceDE/>
      <w:autoSpaceDN/>
      <w:adjustRightInd/>
      <w:ind w:left="72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eadiversion.usdoj.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3.xml><?xml version="1.0" encoding="utf-8"?>
<ds:datastoreItem xmlns:ds="http://schemas.openxmlformats.org/officeDocument/2006/customXml" ds:itemID="{CDD758F8-25E5-4FB5-A7A5-E146B6B66744}">
  <ds:schemaRefs>
    <ds:schemaRef ds:uri="http://schemas.openxmlformats.org/package/2006/metadata/core-properties"/>
    <ds:schemaRef ds:uri="http://schemas.microsoft.com/office/2006/documentManagement/types"/>
    <ds:schemaRef ds:uri="c2287735-bcfa-44b1-b621-4f7c9c60dacc"/>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FEED5BAF-5CF4-49A0-B94E-0CE4C4AA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2023-11-22T14:37:00Z</dcterms:created>
  <dcterms:modified xsi:type="dcterms:W3CDTF">2023-11-22T14:37:00Z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