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54B15999" w14:textId="77777777">
      <w:pPr>
        <w:widowControl/>
        <w:tabs>
          <w:tab w:val="left" w:pos="720"/>
        </w:tabs>
        <w:ind w:left="720" w:hanging="1440"/>
        <w:jc w:val="center"/>
        <w:rPr>
          <w:rFonts w:ascii="Times New Roman" w:hAnsi="Times New Roman"/>
          <w:b/>
          <w:bCs/>
        </w:rPr>
      </w:pPr>
    </w:p>
    <w:p w:rsidR="00690F56" w:rsidRPr="00A47DA7" w:rsidP="00E86973" w14:paraId="32C712C2"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E86973" w:rsidRPr="00871CA6" w:rsidP="00E86973" w14:paraId="1A275D98" w14:textId="77777777">
      <w:pPr>
        <w:widowControl/>
        <w:jc w:val="center"/>
        <w:rPr>
          <w:rFonts w:ascii="Times New Roman" w:hAnsi="Times New Roman"/>
          <w:b/>
          <w:bCs/>
        </w:rPr>
      </w:pPr>
      <w:r w:rsidRPr="00C015CB">
        <w:rPr>
          <w:rFonts w:ascii="Times New Roman" w:hAnsi="Times New Roman"/>
          <w:b/>
          <w:bCs/>
        </w:rPr>
        <w:t>Reactivation Suitability Report</w:t>
      </w:r>
    </w:p>
    <w:p w:rsidR="000B6FB6" w:rsidRPr="00A47DA7" w:rsidP="00690F56" w14:paraId="733E3DC6" w14:textId="77777777">
      <w:pPr>
        <w:widowControl/>
        <w:rPr>
          <w:rFonts w:ascii="Times New Roman" w:hAnsi="Times New Roman"/>
          <w:b/>
          <w:bCs/>
        </w:rPr>
      </w:pPr>
    </w:p>
    <w:p w:rsidR="00690F56" w:rsidRPr="00A47DA7" w:rsidP="00242CA0" w14:paraId="35D4BF8E"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DC57058" w14:textId="77777777">
      <w:pPr>
        <w:widowControl/>
        <w:rPr>
          <w:rFonts w:ascii="Times New Roman" w:hAnsi="Times New Roman"/>
          <w:b/>
          <w:bCs/>
        </w:rPr>
      </w:pPr>
    </w:p>
    <w:p w:rsidR="00690F56" w:rsidP="00690F56" w14:paraId="5A73BDED" w14:textId="77777777">
      <w:pPr>
        <w:widowControl/>
        <w:rPr>
          <w:rFonts w:ascii="Times New Roman" w:hAnsi="Times New Roman"/>
        </w:rPr>
      </w:pPr>
      <w:r w:rsidRPr="00D53DEB">
        <w:rPr>
          <w:rFonts w:ascii="Times New Roman" w:hAnsi="Times New Roman"/>
          <w:b/>
          <w:bCs/>
        </w:rPr>
        <w:t xml:space="preserve">1.  Explain the circumstances that make the collection of information necessary.  Identify any legal or administrative requirements that necessitate the collection.  Attach a </w:t>
      </w:r>
      <w:r w:rsidRPr="00D53DEB">
        <w:rPr>
          <w:rFonts w:ascii="Times New Roman" w:hAnsi="Times New Roman"/>
          <w:b/>
          <w:bCs/>
        </w:rPr>
        <w:t>copy of the appropriate section of each statute and regulation mandating or authorizing the collection of information.</w:t>
      </w:r>
    </w:p>
    <w:p w:rsidR="00C015CB" w:rsidRPr="00C015CB" w:rsidP="00C015CB" w14:paraId="254A24C3" w14:textId="77777777">
      <w:pPr>
        <w:pStyle w:val="paragraph"/>
        <w:textAlignment w:val="baseline"/>
        <w:rPr>
          <w:color w:val="000000"/>
        </w:rPr>
      </w:pPr>
      <w:r w:rsidRPr="00C015CB">
        <w:rPr>
          <w:color w:val="000000"/>
        </w:rPr>
        <w:t>The Office of Field Operations, Special Operations Division, oversees and manages ATF’s Confidential Informant (CI) Program. ATF Special Agents (SAs) and Task Force Officers (TFOs), also identified as CI handlers, utilize CIs to assist in investigating criminal activity. Since the use of a CI is a sensitive matter and requires the association of CI handlers with individuals whose motivations may be suspect or ultimately challenged by courts, this investigative technique is carefully controlled and closely m</w:t>
      </w:r>
      <w:r w:rsidRPr="00C015CB">
        <w:rPr>
          <w:color w:val="000000"/>
        </w:rPr>
        <w:t>onitored. A CI can be utilized after properly identifying, documenting, and receiving approval from the Special Agent in Charge (SAC) or his/her designee. Once approved, the individual is registered as an active CI.</w:t>
      </w:r>
    </w:p>
    <w:p w:rsidR="00C015CB" w:rsidP="00C015CB" w14:paraId="28710364" w14:textId="77777777">
      <w:pPr>
        <w:pStyle w:val="paragraph"/>
        <w:textAlignment w:val="baseline"/>
        <w:rPr>
          <w:color w:val="000000"/>
        </w:rPr>
      </w:pPr>
      <w:r w:rsidRPr="00C015CB">
        <w:rPr>
          <w:color w:val="000000"/>
        </w:rPr>
        <w:t>The Department of Justice (DOJ), Attorney General’s Guidelines Regarding the Use of Confidential Informants or (the Guidelines) subparagraph II, A. 1, Initial Suitability Determination, mandate that an initial suitability report and recommendation must be completed. In addition, subparagraph II, B., Registration, mandates that the CI’s official file shall, at a minimum, include a photograph of the CI, validation of the CI’s identity, the CI’s criminal history report, the initial suitability report and recom</w:t>
      </w:r>
      <w:r w:rsidRPr="00C015CB">
        <w:rPr>
          <w:color w:val="000000"/>
        </w:rPr>
        <w:t>mendation, and any promises or benefits given the CI. The CI handler will use the Initial Suitability Request - ATF Form 3252.4 for this purpose.  When a former CI is reinstated, the process is very similar.  The CI handler will utilize the Reactivation Suitability Request – ATF Form 3252.5 for this purpose.</w:t>
      </w:r>
    </w:p>
    <w:p w:rsidR="00A8370D" w:rsidRPr="00C015CB" w:rsidP="00C015CB" w14:paraId="129BCFCC" w14:textId="77777777">
      <w:pPr>
        <w:pStyle w:val="paragraph"/>
        <w:textAlignment w:val="baseline"/>
        <w:rPr>
          <w:color w:val="000000"/>
        </w:rPr>
      </w:pPr>
      <w:r>
        <w:rPr>
          <w:color w:val="000000"/>
        </w:rPr>
        <w:t>ATF is authorized by 28 USC 599A, Bureau of Alcohol, Tobacco, Firearms and Explosives and 28 CFR 0.130, General Functions</w:t>
      </w:r>
      <w:r w:rsidR="00CD6268">
        <w:rPr>
          <w:color w:val="000000"/>
        </w:rPr>
        <w:t xml:space="preserve"> and </w:t>
      </w:r>
      <w:r w:rsidR="00186655">
        <w:rPr>
          <w:color w:val="000000"/>
        </w:rPr>
        <w:t xml:space="preserve">5 CFR </w:t>
      </w:r>
      <w:r w:rsidRPr="00186655" w:rsidR="00186655">
        <w:rPr>
          <w:color w:val="000000"/>
        </w:rPr>
        <w:t>410.503</w:t>
      </w:r>
      <w:r w:rsidR="00186655">
        <w:rPr>
          <w:color w:val="000000"/>
        </w:rPr>
        <w:t>, Records</w:t>
      </w:r>
      <w:r>
        <w:rPr>
          <w:color w:val="000000"/>
        </w:rPr>
        <w:t xml:space="preserve">. </w:t>
      </w:r>
    </w:p>
    <w:p w:rsidR="00690F56" w:rsidP="00690F56" w14:paraId="7E7F8EFC" w14:textId="77777777">
      <w:pPr>
        <w:widowControl/>
        <w:rPr>
          <w:rFonts w:ascii="Times New Roman" w:hAnsi="Times New Roman"/>
          <w:b/>
          <w:bCs/>
        </w:rPr>
      </w:pPr>
      <w:r w:rsidRPr="00D53DEB">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C25E66" w:rsidP="00690F56" w14:paraId="7E9D5D7E" w14:textId="77777777">
      <w:pPr>
        <w:widowControl/>
        <w:rPr>
          <w:rFonts w:ascii="Times New Roman" w:hAnsi="Times New Roman"/>
          <w:b/>
          <w:bCs/>
        </w:rPr>
      </w:pPr>
    </w:p>
    <w:p w:rsidR="00802A30" w:rsidRPr="002525E0" w:rsidP="002525E0" w14:paraId="7618A607" w14:textId="77777777">
      <w:pPr>
        <w:rPr>
          <w:rFonts w:ascii="Times New Roman" w:hAnsi="Times New Roman"/>
        </w:rPr>
      </w:pPr>
      <w:r w:rsidRPr="002525E0">
        <w:rPr>
          <w:rFonts w:ascii="Times New Roman" w:hAnsi="Times New Roman"/>
        </w:rPr>
        <w:t>The information provided on ATF Form 3252.5 will be collected and maintained by ATF’s Office of Field Operations. The purpose of the collection is to document a potential CI’s information, to make an adjudicative determination regarding the individual’s suitability to become a CI. The form specifically addresses the individual’s personally identifiable information, immigration information (if applicable), residential, employment and educational information, criminal history and conduct information, the type</w:t>
      </w:r>
      <w:r w:rsidRPr="002525E0">
        <w:rPr>
          <w:rFonts w:ascii="Times New Roman" w:hAnsi="Times New Roman"/>
        </w:rPr>
        <w:t xml:space="preserve"> of information the individual may have previously provided as a CI, and information that addresses the individual’s suitability. ATF Form 3252.5 will also be used to record the suitability determination for the individual to become a CI for ATF. </w:t>
      </w:r>
    </w:p>
    <w:p w:rsidR="00690F56" w:rsidRPr="00D53DEB" w:rsidP="00690F56" w14:paraId="2AA6531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49CEF05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809D2" w:rsidRPr="004809D2" w:rsidP="004809D2" w14:paraId="22E67EDD"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809D2">
        <w:rPr>
          <w:rFonts w:ascii="Times New Roman" w:hAnsi="Times New Roman"/>
        </w:rPr>
        <w:t>ATF Form 3252.5 will be a fillable and accessible form that will be made available to CI handlers on the ATF intra-web. However, the form will be unavailable to the wider public via the ATF website. The CI handler will complete the form by entering all the information when interviewing the potential CI. The CI handler will complete the form in preparation for review an adjudication determination made by the SAC or his/her designee. The form will subsequently be deemed complete when all information is provid</w:t>
      </w:r>
      <w:r w:rsidRPr="004809D2">
        <w:rPr>
          <w:rFonts w:ascii="Times New Roman" w:hAnsi="Times New Roman"/>
        </w:rPr>
        <w:t>ed, and the form is electronically signed and dated by the CI handler. The CI handler will be required to complete and sign the form electronically. After completion, the form and all required attachments (as indicated on the form), will be scanned and stored electronically as a .pdf file in the CI’s record within ATF’s Confidential Informant Master Registry and Reporting System (CIMRRS).</w:t>
      </w:r>
    </w:p>
    <w:p w:rsidR="004809D2" w:rsidRPr="004809D2" w:rsidP="004809D2" w14:paraId="7F9DAE8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407FC" w:rsidRPr="00A47DA7" w:rsidP="004809D2" w14:paraId="5F3DBE3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809D2">
        <w:rPr>
          <w:rFonts w:ascii="Times New Roman" w:hAnsi="Times New Roman"/>
        </w:rPr>
        <w:t>The suitability determination will be made electronically within CIMRRS. If CIMRRS is not readily available for any reason, the ATF F 3252.5 will be used to record the recommendation made by the Resident Agent in Charge (RAC) or Group Supervisor (GS), and the final decision of the SAC or his/her designee. Under these circumstances, the RAC or GS, and SAC or his/her designee must sign and date the form electronically</w:t>
      </w:r>
      <w:r w:rsidR="00DB3F0C">
        <w:rPr>
          <w:rFonts w:ascii="Times New Roman" w:hAnsi="Times New Roman"/>
        </w:rPr>
        <w:t>.</w:t>
      </w:r>
    </w:p>
    <w:p w:rsidR="00690F56" w:rsidRPr="006A4637" w:rsidP="00690F56" w14:paraId="5EB66AE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72F87C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07726B" w:rsidP="00690F56" w14:paraId="15793DD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6746BC7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7726B">
        <w:rPr>
          <w:rFonts w:ascii="Times New Roman" w:hAnsi="Times New Roman"/>
        </w:rPr>
        <w:t>ATF uses a uniform subject classification system for forms to identify duplication and to ensure that any similar information already available cannot be used or modified for use for the purpose of this information collection.</w:t>
      </w:r>
    </w:p>
    <w:p w:rsidR="00C25E66" w:rsidRPr="00A973AA" w:rsidP="00690F56" w14:paraId="1FBA27F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39CABD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 xml:space="preserve">If the collection of </w:t>
      </w:r>
      <w:r w:rsidRPr="00D53DEB">
        <w:rPr>
          <w:rFonts w:ascii="Times New Roman" w:hAnsi="Times New Roman"/>
          <w:b/>
          <w:bCs/>
        </w:rPr>
        <w:t>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6C7920E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DF0614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5622FE" w:rsidRPr="00A973AA" w:rsidP="00690F56" w14:paraId="09D0204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1073350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CB3726" w:rsidP="00690F56" w14:paraId="2EC5792D"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417B3" w:rsidRPr="00B96E43" w:rsidP="00690F56" w14:paraId="68C678F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B3726">
        <w:rPr>
          <w:noProof/>
        </w:rPr>
        <w:drawing>
          <wp:inline distT="0" distB="0" distL="0" distR="0">
            <wp:extent cx="5486400" cy="701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486400" cy="701040"/>
                    </a:xfrm>
                    <a:prstGeom prst="rect">
                      <a:avLst/>
                    </a:prstGeom>
                    <a:noFill/>
                    <a:ln>
                      <a:noFill/>
                    </a:ln>
                  </pic:spPr>
                </pic:pic>
              </a:graphicData>
            </a:graphic>
          </wp:inline>
        </w:drawing>
      </w:r>
    </w:p>
    <w:p w:rsidR="00690F56" w:rsidRPr="00A47DA7" w:rsidP="00690F56" w14:paraId="211B1F0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882291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246EE6C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4D98BD42"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report information to the agency more often than quarterly;</w:t>
      </w:r>
    </w:p>
    <w:p w:rsidR="00690F56" w:rsidRPr="00D53DEB" w:rsidP="00690F56" w14:paraId="77A159B3"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03FB283C"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prepare a written response to a collection of information in fewer than 30 days after receipt of it;</w:t>
      </w:r>
    </w:p>
    <w:p w:rsidR="00690F56" w:rsidRPr="00D53DEB" w:rsidP="00690F56" w14:paraId="5543312E"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0DC29212"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submit more than an original and two copies of any document;</w:t>
      </w:r>
    </w:p>
    <w:p w:rsidR="00690F56" w:rsidRPr="00D53DEB" w:rsidP="00690F56" w14:paraId="7C6A86A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DBC3412"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retain records, other than health, medical, government contract, grant-in-aid, or tax records for more than three years;</w:t>
      </w:r>
    </w:p>
    <w:p w:rsidR="00690F56" w:rsidRPr="00D53DEB" w:rsidP="00690F56" w14:paraId="58265EFE"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31728E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in connection with a statistical survey,</w:t>
      </w:r>
      <w:r w:rsidRPr="00D53DEB">
        <w:rPr>
          <w:b/>
          <w:bCs/>
        </w:rPr>
        <w:t xml:space="preserve"> that is not designed to produce valid and reliable results that can be generalized to the universe of study;</w:t>
      </w:r>
    </w:p>
    <w:p w:rsidR="00690F56" w:rsidRPr="00D53DEB" w:rsidP="00690F56" w14:paraId="3A896F6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583867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the use of statistical data classification that has not been reviewed and approved by OMB;</w:t>
      </w:r>
    </w:p>
    <w:p w:rsidR="00690F56" w:rsidRPr="00D53DEB" w:rsidP="00690F56" w14:paraId="61C9E748"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19BA988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that includes a pledge of confidentially that is not supported by authority established in statu</w:t>
      </w:r>
      <w:r w:rsidRPr="00D53DEB" w:rsidR="00CD215D">
        <w:rPr>
          <w:b/>
          <w:bCs/>
        </w:rPr>
        <w:t>t</w:t>
      </w:r>
      <w:r w:rsidRPr="00D53DEB">
        <w:rPr>
          <w:b/>
          <w:bCs/>
        </w:rPr>
        <w:t>e or regulation, that is not supported by disclosure and data security policies that are consistent with the pledge, or which unnecessarily impedes sharing of data with other agencies for compatible confidential use; or</w:t>
      </w:r>
    </w:p>
    <w:p w:rsidR="00690F56" w:rsidRPr="00D53DEB" w:rsidP="00690F56" w14:paraId="2679ADE3"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5109E3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requiring respondents to submit proprietary trade secret, or other confidential information unless the agency can demonstrate that it has instituted procedures to protect the information's confidentially to the extent permitted by law.</w:t>
      </w:r>
    </w:p>
    <w:p w:rsidR="00642220" w:rsidRPr="00D53DEB" w:rsidP="00642220" w14:paraId="09920856"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423E3A" w:rsidRPr="00D4451A" w:rsidP="00423E3A" w14:paraId="42567DB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A7DC9">
        <w:rPr>
          <w:rFonts w:ascii="Times New Roman" w:hAnsi="Times New Roman"/>
        </w:rPr>
        <w:t>There are no special circumstances</w:t>
      </w:r>
      <w:r w:rsidR="003E15A0">
        <w:rPr>
          <w:rFonts w:ascii="Times New Roman" w:hAnsi="Times New Roman"/>
        </w:rPr>
        <w:t>.</w:t>
      </w:r>
    </w:p>
    <w:p w:rsidR="00690F56" w:rsidRPr="00871CA6" w:rsidP="00690F56" w14:paraId="0B22CC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10082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1BA5628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2C2DB1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785CFF9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22C526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w:t>
      </w:r>
      <w:r w:rsidRPr="00D53DEB">
        <w:rPr>
          <w:rFonts w:ascii="Times New Roman" w:hAnsi="Times New Roman"/>
          <w:b/>
          <w:bCs/>
        </w:rPr>
        <w:t>collection-of-information activity is the same as in prior periods.  There may be circumstances that may preclude consultation in a specific situation.  These circumstances should be explained.</w:t>
      </w:r>
    </w:p>
    <w:p w:rsidR="00690F56" w:rsidP="00690F56" w14:paraId="0057928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P="0060114B" w14:paraId="3A9C0AC6" w14:textId="77777777">
      <w:pPr>
        <w:widowControl/>
        <w:autoSpaceDE/>
        <w:autoSpaceDN/>
        <w:adjustRightInd/>
        <w:rPr>
          <w:rFonts w:ascii="Times New Roman" w:hAnsi="Times New Roman"/>
        </w:rPr>
      </w:pPr>
      <w:r w:rsidRPr="00A2391E">
        <w:rPr>
          <w:rFonts w:ascii="Times New Roman" w:hAnsi="Times New Roman"/>
        </w:rPr>
        <w:t xml:space="preserve">The 60-Day Notice was published in the Federal Register on </w:t>
      </w:r>
      <w:r w:rsidR="00C52031">
        <w:rPr>
          <w:rFonts w:ascii="Times New Roman" w:hAnsi="Times New Roman"/>
        </w:rPr>
        <w:t>February 13, 2023</w:t>
      </w:r>
      <w:r w:rsidRPr="00A2391E">
        <w:rPr>
          <w:rFonts w:ascii="Times New Roman" w:hAnsi="Times New Roman"/>
        </w:rPr>
        <w:t xml:space="preserve"> (</w:t>
      </w:r>
      <w:r w:rsidR="00C52031">
        <w:rPr>
          <w:rFonts w:ascii="Times New Roman" w:hAnsi="Times New Roman"/>
        </w:rPr>
        <w:t>88</w:t>
      </w:r>
      <w:r w:rsidRPr="005B2697" w:rsidR="005B2697">
        <w:rPr>
          <w:rFonts w:ascii="Times New Roman" w:hAnsi="Times New Roman"/>
        </w:rPr>
        <w:t xml:space="preserve"> FR </w:t>
      </w:r>
      <w:r w:rsidRPr="00C52031" w:rsidR="00C52031">
        <w:rPr>
          <w:rFonts w:ascii="Times New Roman" w:hAnsi="Times New Roman"/>
        </w:rPr>
        <w:t>9304</w:t>
      </w:r>
      <w:r w:rsidRPr="00A2391E">
        <w:rPr>
          <w:rFonts w:ascii="Times New Roman" w:hAnsi="Times New Roman"/>
        </w:rPr>
        <w:t>). The comment period ended on</w:t>
      </w:r>
      <w:r w:rsidR="002517E4">
        <w:rPr>
          <w:rFonts w:ascii="Times New Roman" w:hAnsi="Times New Roman"/>
        </w:rPr>
        <w:t xml:space="preserve"> </w:t>
      </w:r>
      <w:r w:rsidR="00C52031">
        <w:rPr>
          <w:rFonts w:ascii="Times New Roman" w:hAnsi="Times New Roman"/>
        </w:rPr>
        <w:t>April 12, 2023</w:t>
      </w:r>
      <w:r w:rsidR="002517E4">
        <w:rPr>
          <w:rFonts w:ascii="Times New Roman" w:hAnsi="Times New Roman"/>
        </w:rPr>
        <w:t>.</w:t>
      </w:r>
      <w:r w:rsidRPr="00A2391E">
        <w:rPr>
          <w:rFonts w:ascii="Times New Roman" w:hAnsi="Times New Roman"/>
        </w:rPr>
        <w:t xml:space="preserve"> No comments were received.</w:t>
      </w:r>
    </w:p>
    <w:p w:rsidR="00DA7DC9" w:rsidRPr="00A47DA7" w:rsidP="0060114B" w14:paraId="0F561258" w14:textId="77777777">
      <w:pPr>
        <w:widowControl/>
        <w:autoSpaceDE/>
        <w:autoSpaceDN/>
        <w:adjustRightInd/>
        <w:rPr>
          <w:rFonts w:ascii="Times New Roman" w:eastAsia="Calibri" w:hAnsi="Times New Roman"/>
        </w:rPr>
      </w:pPr>
    </w:p>
    <w:p w:rsidR="00690F56" w:rsidRPr="00D53DEB" w:rsidP="00690F56" w14:paraId="740A759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504ED1F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7ADABB8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45974C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6E2A40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Describe any </w:t>
      </w:r>
      <w:r w:rsidRPr="00D53DEB">
        <w:rPr>
          <w:rFonts w:ascii="Times New Roman" w:hAnsi="Times New Roman"/>
          <w:b/>
          <w:bCs/>
        </w:rPr>
        <w:t>assurance of confidentiality provided to respondents and the basis for the assurance in statute, regulation, or agency policy.</w:t>
      </w:r>
    </w:p>
    <w:p w:rsidR="00690F56" w:rsidRPr="00A47DA7" w:rsidP="00690F56" w14:paraId="1FBB8C4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14111" w:rsidRPr="00214111" w:rsidP="00214111" w14:paraId="7901D45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14111">
        <w:rPr>
          <w:rFonts w:ascii="Times New Roman" w:hAnsi="Times New Roman"/>
        </w:rPr>
        <w:t>ATF F 3252.5 will be maintained electronically in CIMRRS electronic CI record system. The information contained in the CI record is protected by the Privacy Act of 1974. In accordance with the Federal Information Processing Standard 199 Categorization, CIMRRS is identified as a High Value Asset and determined to be a Major Application. Therefore, the information contained in CIMRRS is protected in accordance with Federal standards applicable to a Major Application.</w:t>
      </w:r>
    </w:p>
    <w:p w:rsidR="00214111" w:rsidRPr="00214111" w:rsidP="00214111" w14:paraId="563CD9B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735B0" w:rsidP="00214111" w14:paraId="77780F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14111">
        <w:rPr>
          <w:rFonts w:ascii="Times New Roman" w:hAnsi="Times New Roman"/>
        </w:rPr>
        <w:t xml:space="preserve">CI information is protected by ATF personnel in accordance with the Guidelines, the Privacy Act of 1974, and ATF’s policy. ATF’s internal policy, as outlined in ATF O </w:t>
      </w:r>
      <w:r w:rsidRPr="00214111">
        <w:rPr>
          <w:rFonts w:ascii="Times New Roman" w:hAnsi="Times New Roman"/>
        </w:rPr>
        <w:t>3252.1B, Use of Confidential Informants, aligns with the Guidelines and the Privacy Act of 1974.  All legal means will be used to maintain the confidentiality of the identity of the individual, but this cannot be guaranteed because a registered CI may be required to testify before a grand jury and at any subsequent hearing and trial.  Additionally, the information collected becomes a part of the CI record and is included in Criminal Investigation Report System-Justice/ATF-003 (</w:t>
      </w:r>
      <w:r w:rsidR="00C42ED4">
        <w:rPr>
          <w:rFonts w:ascii="Times New Roman" w:hAnsi="Times New Roman"/>
        </w:rPr>
        <w:t>82</w:t>
      </w:r>
      <w:r w:rsidRPr="00214111">
        <w:rPr>
          <w:rFonts w:ascii="Times New Roman" w:hAnsi="Times New Roman"/>
        </w:rPr>
        <w:t xml:space="preserve"> FR </w:t>
      </w:r>
      <w:r w:rsidR="00C42ED4">
        <w:rPr>
          <w:rFonts w:ascii="Times New Roman" w:hAnsi="Times New Roman"/>
        </w:rPr>
        <w:t>24147</w:t>
      </w:r>
      <w:r w:rsidRPr="00214111">
        <w:rPr>
          <w:rFonts w:ascii="Times New Roman" w:hAnsi="Times New Roman"/>
        </w:rPr>
        <w:t>) and is subject to</w:t>
      </w:r>
      <w:r w:rsidRPr="00214111">
        <w:rPr>
          <w:rFonts w:ascii="Times New Roman" w:hAnsi="Times New Roman"/>
        </w:rPr>
        <w:t xml:space="preserve"> several paragraphs of the published routine uses of that system of records.  Published routine uses that may be applied include A., To a Member of Congress or staff acting upon the Member’s behalf when the Member or staff requests the information on behalf of, and at the request of, the individual who is the subject of the record; C., To appropriate federal, state, local, foreign, or tribal law enforcement authorities for law enforcement purposes – criminal civil, or regulatory; E., In an appropriate proce</w:t>
      </w:r>
      <w:r w:rsidRPr="00214111">
        <w:rPr>
          <w:rFonts w:ascii="Times New Roman" w:hAnsi="Times New Roman"/>
        </w:rPr>
        <w:t>eding before a court or administrative or regulatory body when records are determined by the Department of Justice to be arguably relevant to the proceeding; F., To an actual or potential party to litigation or the party’s authorized representative for the purpose of negotiation or discussion on such matters as settlement, plea bargaining, or in informal discovery proceedings; and M., To individuals and organizations in the course of an investigation to the extent necessary to obtain information pertinent t</w:t>
      </w:r>
      <w:r w:rsidRPr="00214111">
        <w:rPr>
          <w:rFonts w:ascii="Times New Roman" w:hAnsi="Times New Roman"/>
        </w:rPr>
        <w:t>o the investigation.</w:t>
      </w:r>
      <w:r w:rsidRPr="00D735B0">
        <w:rPr>
          <w:rFonts w:ascii="Times New Roman" w:hAnsi="Times New Roman"/>
        </w:rPr>
        <w:t>.</w:t>
      </w:r>
    </w:p>
    <w:p w:rsidR="004328D9" w:rsidRPr="00871CA6" w:rsidP="00D735B0" w14:paraId="5409B7E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13E0B08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 xml:space="preserve">gency considers the questions necessary, the specific uses to be made of the information, the explanation to be </w:t>
      </w:r>
      <w:r w:rsidRPr="00D53DEB">
        <w:rPr>
          <w:rFonts w:ascii="Times New Roman" w:hAnsi="Times New Roman"/>
          <w:b/>
          <w:bCs/>
        </w:rPr>
        <w:t>given to persons from whom the information is requested, and any steps to be taken to obtain their consent.</w:t>
      </w:r>
    </w:p>
    <w:p w:rsidR="00BD21CA" w:rsidRPr="00D53DEB" w:rsidP="00690F56" w14:paraId="2DE0C07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9822AF" w:rsidP="009822AF" w14:paraId="2244B9D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822AF">
        <w:rPr>
          <w:rFonts w:ascii="Times New Roman" w:hAnsi="Times New Roman"/>
        </w:rPr>
        <w:t>The form does not contain sensitive questions.</w:t>
      </w:r>
    </w:p>
    <w:p w:rsidR="009822AF" w:rsidRPr="009822AF" w:rsidP="009822AF" w14:paraId="419A962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27EDAE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37A0215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152AD4A7"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 xml:space="preserve">how the burden was </w:t>
      </w:r>
      <w:r w:rsidRPr="00D53DEB">
        <w:rPr>
          <w:rFonts w:ascii="Times New Roman" w:hAnsi="Times New Roman"/>
          <w:b/>
          <w:bCs/>
        </w:rPr>
        <w:t>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w:t>
      </w:r>
      <w:r w:rsidRPr="00D53DEB">
        <w:rPr>
          <w:rFonts w:ascii="Times New Roman" w:hAnsi="Times New Roman"/>
          <w:b/>
          <w:bCs/>
        </w:rPr>
        <w:t>s practices.</w:t>
      </w:r>
    </w:p>
    <w:p w:rsidR="00690F56" w:rsidRPr="00D53DEB" w:rsidP="00690F56" w14:paraId="272CD54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7DFF9B26"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51EFF924"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7E35A920"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6BA622A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5F8CBF47" w14:textId="77777777">
      <w:pPr>
        <w:ind w:left="720"/>
        <w:rPr>
          <w:rFonts w:ascii="Times New Roman" w:hAnsi="Times New Roman"/>
          <w:i/>
        </w:rPr>
      </w:pPr>
    </w:p>
    <w:p w:rsidR="006626FF" w:rsidRPr="00E60FB0" w:rsidP="006626FF" w14:paraId="3592F9CF"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9715" w:type="dxa"/>
        <w:tblLook w:val="04A0"/>
      </w:tblPr>
      <w:tblGrid>
        <w:gridCol w:w="1439"/>
        <w:gridCol w:w="1415"/>
        <w:gridCol w:w="1219"/>
        <w:gridCol w:w="1182"/>
        <w:gridCol w:w="1097"/>
        <w:gridCol w:w="950"/>
        <w:gridCol w:w="1063"/>
        <w:gridCol w:w="1350"/>
      </w:tblGrid>
      <w:tr w14:paraId="4F289384" w14:textId="77777777" w:rsidTr="00D72D63">
        <w:tblPrEx>
          <w:tblW w:w="9715" w:type="dxa"/>
          <w:tblLook w:val="04A0"/>
        </w:tblPrEx>
        <w:tc>
          <w:tcPr>
            <w:tcW w:w="1439" w:type="dxa"/>
            <w:shd w:val="clear" w:color="auto" w:fill="ADB9CA" w:themeFill="text2" w:themeFillTint="66"/>
          </w:tcPr>
          <w:p w:rsidR="003908B9" w:rsidRPr="008F47CB" w:rsidP="008C6A87" w14:paraId="62864D11"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3908B9" w:rsidRPr="008F47CB" w:rsidP="008C6A87" w14:paraId="55478155"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3908B9" w:rsidRPr="008F47CB" w:rsidP="008C6A87" w14:paraId="333972E5"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3908B9" w:rsidRPr="008F47CB" w:rsidP="008C6A87" w14:paraId="3DF98CF0"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3908B9" w:rsidRPr="008F47CB" w:rsidP="008C6A87" w14:paraId="29A0B38C"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3908B9" w:rsidRPr="008F47CB" w:rsidP="008C6A87" w14:paraId="1514CBF7" w14:textId="77777777">
            <w:pPr>
              <w:rPr>
                <w:rFonts w:ascii="Times New Roman" w:hAnsi="Times New Roman"/>
                <w:b/>
                <w:sz w:val="22"/>
                <w:szCs w:val="22"/>
              </w:rPr>
            </w:pPr>
            <w:r w:rsidRPr="008F47CB">
              <w:rPr>
                <w:rFonts w:ascii="Times New Roman" w:hAnsi="Times New Roman"/>
                <w:b/>
                <w:sz w:val="22"/>
                <w:szCs w:val="22"/>
              </w:rPr>
              <w:t>Total Annual Burden (Hours)</w:t>
            </w:r>
          </w:p>
        </w:tc>
        <w:tc>
          <w:tcPr>
            <w:tcW w:w="1063" w:type="dxa"/>
            <w:shd w:val="clear" w:color="auto" w:fill="ADB9CA" w:themeFill="text2" w:themeFillTint="66"/>
          </w:tcPr>
          <w:p w:rsidR="003908B9" w:rsidRPr="008F47CB" w:rsidP="008C6A87" w14:paraId="59E18EDB" w14:textId="77777777">
            <w:pPr>
              <w:rPr>
                <w:rFonts w:ascii="Times New Roman" w:hAnsi="Times New Roman"/>
                <w:b/>
                <w:sz w:val="22"/>
                <w:szCs w:val="22"/>
              </w:rPr>
            </w:pPr>
            <w:r w:rsidRPr="008F47CB">
              <w:rPr>
                <w:rFonts w:ascii="Times New Roman" w:hAnsi="Times New Roman"/>
                <w:b/>
                <w:sz w:val="22"/>
                <w:szCs w:val="22"/>
              </w:rPr>
              <w:t xml:space="preserve">Hourly </w:t>
            </w:r>
            <w:r w:rsidRPr="008F47CB">
              <w:rPr>
                <w:rFonts w:ascii="Times New Roman" w:hAnsi="Times New Roman"/>
                <w:b/>
                <w:sz w:val="22"/>
                <w:szCs w:val="22"/>
              </w:rPr>
              <w:t>Rate</w:t>
            </w:r>
            <w:r>
              <w:rPr>
                <w:rFonts w:ascii="Times New Roman" w:hAnsi="Times New Roman"/>
                <w:b/>
                <w:sz w:val="22"/>
                <w:szCs w:val="22"/>
              </w:rPr>
              <w:t>*</w:t>
            </w:r>
          </w:p>
        </w:tc>
        <w:tc>
          <w:tcPr>
            <w:tcW w:w="1350" w:type="dxa"/>
            <w:shd w:val="clear" w:color="auto" w:fill="ADB9CA" w:themeFill="text2" w:themeFillTint="66"/>
          </w:tcPr>
          <w:p w:rsidR="003908B9" w:rsidRPr="008F47CB" w:rsidP="008C6A87" w14:paraId="3D325661" w14:textId="77777777">
            <w:pPr>
              <w:rPr>
                <w:rFonts w:ascii="Times New Roman" w:hAnsi="Times New Roman"/>
                <w:b/>
                <w:sz w:val="22"/>
                <w:szCs w:val="22"/>
              </w:rPr>
            </w:pPr>
            <w:r w:rsidRPr="008F47CB">
              <w:rPr>
                <w:rFonts w:ascii="Times New Roman" w:hAnsi="Times New Roman"/>
                <w:b/>
                <w:sz w:val="22"/>
                <w:szCs w:val="22"/>
              </w:rPr>
              <w:t>Monetized Value of Respondent Time</w:t>
            </w:r>
          </w:p>
        </w:tc>
      </w:tr>
      <w:tr w14:paraId="599B4855" w14:textId="77777777" w:rsidTr="00D72D63">
        <w:tblPrEx>
          <w:tblW w:w="9715" w:type="dxa"/>
          <w:tblLook w:val="04A0"/>
        </w:tblPrEx>
        <w:tc>
          <w:tcPr>
            <w:tcW w:w="1439" w:type="dxa"/>
            <w:vAlign w:val="bottom"/>
          </w:tcPr>
          <w:p w:rsidR="003908B9" w:rsidRPr="008F47CB" w:rsidP="006E6370" w14:paraId="62B00558" w14:textId="77777777">
            <w:pPr>
              <w:rPr>
                <w:rFonts w:ascii="Times New Roman" w:hAnsi="Times New Roman"/>
                <w:sz w:val="22"/>
                <w:szCs w:val="22"/>
              </w:rPr>
            </w:pPr>
            <w:r w:rsidRPr="006E6370">
              <w:rPr>
                <w:rFonts w:ascii="Times New Roman" w:hAnsi="Times New Roman"/>
                <w:sz w:val="22"/>
                <w:szCs w:val="22"/>
              </w:rPr>
              <w:t>ATF Form 3252.5</w:t>
            </w:r>
          </w:p>
        </w:tc>
        <w:tc>
          <w:tcPr>
            <w:tcW w:w="1415" w:type="dxa"/>
            <w:vAlign w:val="bottom"/>
          </w:tcPr>
          <w:p w:rsidR="003908B9" w:rsidRPr="008F47CB" w:rsidP="008C6A87" w14:paraId="15C9EB5F" w14:textId="77777777">
            <w:pPr>
              <w:jc w:val="right"/>
              <w:rPr>
                <w:rFonts w:ascii="Times New Roman" w:hAnsi="Times New Roman"/>
                <w:sz w:val="22"/>
                <w:szCs w:val="22"/>
              </w:rPr>
            </w:pPr>
            <w:r>
              <w:rPr>
                <w:rFonts w:ascii="Times New Roman" w:hAnsi="Times New Roman"/>
                <w:sz w:val="22"/>
                <w:szCs w:val="22"/>
              </w:rPr>
              <w:t>5</w:t>
            </w:r>
            <w:r w:rsidR="000114C0">
              <w:rPr>
                <w:rFonts w:ascii="Times New Roman" w:hAnsi="Times New Roman"/>
                <w:sz w:val="22"/>
                <w:szCs w:val="22"/>
              </w:rPr>
              <w:t>0</w:t>
            </w:r>
          </w:p>
        </w:tc>
        <w:tc>
          <w:tcPr>
            <w:tcW w:w="1219" w:type="dxa"/>
            <w:vAlign w:val="bottom"/>
          </w:tcPr>
          <w:p w:rsidR="003908B9" w:rsidRPr="008F47CB" w:rsidP="008C6A87" w14:paraId="7E574C49" w14:textId="77777777">
            <w:pPr>
              <w:jc w:val="right"/>
              <w:rPr>
                <w:rFonts w:ascii="Times New Roman" w:hAnsi="Times New Roman"/>
                <w:sz w:val="22"/>
                <w:szCs w:val="22"/>
              </w:rPr>
            </w:pPr>
            <w:r>
              <w:rPr>
                <w:rFonts w:ascii="Times New Roman" w:hAnsi="Times New Roman"/>
                <w:sz w:val="22"/>
                <w:szCs w:val="22"/>
              </w:rPr>
              <w:t>1</w:t>
            </w:r>
          </w:p>
        </w:tc>
        <w:tc>
          <w:tcPr>
            <w:tcW w:w="1182" w:type="dxa"/>
            <w:vAlign w:val="bottom"/>
          </w:tcPr>
          <w:p w:rsidR="003908B9" w:rsidRPr="008F47CB" w:rsidP="008C6A87" w14:paraId="7616963C" w14:textId="77777777">
            <w:pPr>
              <w:jc w:val="right"/>
              <w:rPr>
                <w:rFonts w:ascii="Times New Roman" w:hAnsi="Times New Roman"/>
                <w:sz w:val="22"/>
                <w:szCs w:val="22"/>
              </w:rPr>
            </w:pPr>
            <w:r>
              <w:rPr>
                <w:rFonts w:ascii="Times New Roman" w:hAnsi="Times New Roman"/>
                <w:sz w:val="22"/>
                <w:szCs w:val="22"/>
              </w:rPr>
              <w:t>5</w:t>
            </w:r>
            <w:r w:rsidR="000114C0">
              <w:rPr>
                <w:rFonts w:ascii="Times New Roman" w:hAnsi="Times New Roman"/>
                <w:sz w:val="22"/>
                <w:szCs w:val="22"/>
              </w:rPr>
              <w:t>0</w:t>
            </w:r>
          </w:p>
        </w:tc>
        <w:tc>
          <w:tcPr>
            <w:tcW w:w="1097" w:type="dxa"/>
            <w:vAlign w:val="bottom"/>
          </w:tcPr>
          <w:p w:rsidR="003908B9" w:rsidRPr="008F47CB" w:rsidP="008C6A87" w14:paraId="5B8E769A" w14:textId="77777777">
            <w:pPr>
              <w:jc w:val="right"/>
              <w:rPr>
                <w:rFonts w:ascii="Times New Roman" w:hAnsi="Times New Roman"/>
                <w:sz w:val="22"/>
                <w:szCs w:val="22"/>
              </w:rPr>
            </w:pPr>
            <w:r>
              <w:rPr>
                <w:rFonts w:ascii="Times New Roman" w:hAnsi="Times New Roman"/>
                <w:sz w:val="22"/>
                <w:szCs w:val="22"/>
              </w:rPr>
              <w:t>120</w:t>
            </w:r>
            <w:r w:rsidR="000114C0">
              <w:rPr>
                <w:rFonts w:ascii="Times New Roman" w:hAnsi="Times New Roman"/>
                <w:sz w:val="22"/>
                <w:szCs w:val="22"/>
              </w:rPr>
              <w:t>min</w:t>
            </w:r>
          </w:p>
        </w:tc>
        <w:tc>
          <w:tcPr>
            <w:tcW w:w="950" w:type="dxa"/>
            <w:vAlign w:val="bottom"/>
          </w:tcPr>
          <w:p w:rsidR="003908B9" w:rsidRPr="008F47CB" w:rsidP="008C6A87" w14:paraId="0368E710" w14:textId="77777777">
            <w:pPr>
              <w:jc w:val="right"/>
              <w:rPr>
                <w:rFonts w:ascii="Times New Roman" w:hAnsi="Times New Roman"/>
                <w:sz w:val="22"/>
                <w:szCs w:val="22"/>
              </w:rPr>
            </w:pPr>
            <w:r>
              <w:rPr>
                <w:rFonts w:ascii="Times New Roman" w:hAnsi="Times New Roman"/>
                <w:sz w:val="22"/>
                <w:szCs w:val="22"/>
              </w:rPr>
              <w:t>100</w:t>
            </w:r>
            <w:r w:rsidR="006E6370">
              <w:rPr>
                <w:rFonts w:ascii="Times New Roman" w:hAnsi="Times New Roman"/>
                <w:sz w:val="22"/>
                <w:szCs w:val="22"/>
              </w:rPr>
              <w:t>hrs</w:t>
            </w:r>
          </w:p>
        </w:tc>
        <w:tc>
          <w:tcPr>
            <w:tcW w:w="1063" w:type="dxa"/>
            <w:vAlign w:val="bottom"/>
          </w:tcPr>
          <w:p w:rsidR="003908B9" w:rsidRPr="008F47CB" w:rsidP="008C6A87" w14:paraId="6A75009D" w14:textId="77777777">
            <w:pPr>
              <w:jc w:val="right"/>
              <w:rPr>
                <w:rFonts w:ascii="Times New Roman" w:hAnsi="Times New Roman"/>
                <w:sz w:val="22"/>
                <w:szCs w:val="22"/>
              </w:rPr>
            </w:pPr>
            <w:r>
              <w:rPr>
                <w:rFonts w:ascii="Times New Roman" w:hAnsi="Times New Roman"/>
                <w:sz w:val="22"/>
                <w:szCs w:val="22"/>
              </w:rPr>
              <w:t>$31.74</w:t>
            </w:r>
          </w:p>
        </w:tc>
        <w:tc>
          <w:tcPr>
            <w:tcW w:w="1350" w:type="dxa"/>
            <w:vAlign w:val="bottom"/>
          </w:tcPr>
          <w:p w:rsidR="003908B9" w:rsidRPr="008F47CB" w:rsidP="008C6A87" w14:paraId="25A582E5" w14:textId="77777777">
            <w:pPr>
              <w:jc w:val="right"/>
              <w:rPr>
                <w:rFonts w:ascii="Times New Roman" w:hAnsi="Times New Roman"/>
                <w:sz w:val="22"/>
                <w:szCs w:val="22"/>
              </w:rPr>
            </w:pPr>
            <w:r>
              <w:rPr>
                <w:rFonts w:ascii="Times New Roman" w:hAnsi="Times New Roman"/>
                <w:sz w:val="22"/>
                <w:szCs w:val="22"/>
              </w:rPr>
              <w:t>$3,174</w:t>
            </w:r>
          </w:p>
        </w:tc>
      </w:tr>
      <w:tr w14:paraId="3AE2C268" w14:textId="77777777" w:rsidTr="00D72D63">
        <w:tblPrEx>
          <w:tblW w:w="9715" w:type="dxa"/>
          <w:tblLook w:val="04A0"/>
        </w:tblPrEx>
        <w:tc>
          <w:tcPr>
            <w:tcW w:w="1439" w:type="dxa"/>
            <w:vAlign w:val="bottom"/>
          </w:tcPr>
          <w:p w:rsidR="003908B9" w:rsidRPr="008F47CB" w:rsidP="008C6A87" w14:paraId="3532C71C" w14:textId="77777777">
            <w:pPr>
              <w:jc w:val="right"/>
              <w:rPr>
                <w:rFonts w:ascii="Times New Roman" w:hAnsi="Times New Roman"/>
                <w:sz w:val="22"/>
                <w:szCs w:val="22"/>
              </w:rPr>
            </w:pPr>
          </w:p>
        </w:tc>
        <w:tc>
          <w:tcPr>
            <w:tcW w:w="1415" w:type="dxa"/>
            <w:vAlign w:val="bottom"/>
          </w:tcPr>
          <w:p w:rsidR="003908B9" w:rsidRPr="008F47CB" w:rsidP="008C6A87" w14:paraId="780D5C07" w14:textId="77777777">
            <w:pPr>
              <w:jc w:val="right"/>
              <w:rPr>
                <w:rFonts w:ascii="Times New Roman" w:hAnsi="Times New Roman"/>
                <w:sz w:val="22"/>
                <w:szCs w:val="22"/>
              </w:rPr>
            </w:pPr>
          </w:p>
        </w:tc>
        <w:tc>
          <w:tcPr>
            <w:tcW w:w="1219" w:type="dxa"/>
            <w:vAlign w:val="bottom"/>
          </w:tcPr>
          <w:p w:rsidR="003908B9" w:rsidRPr="008F47CB" w:rsidP="008C6A87" w14:paraId="33907719" w14:textId="77777777">
            <w:pPr>
              <w:jc w:val="right"/>
              <w:rPr>
                <w:rFonts w:ascii="Times New Roman" w:hAnsi="Times New Roman"/>
                <w:sz w:val="22"/>
                <w:szCs w:val="22"/>
              </w:rPr>
            </w:pPr>
          </w:p>
        </w:tc>
        <w:tc>
          <w:tcPr>
            <w:tcW w:w="1182" w:type="dxa"/>
            <w:vAlign w:val="bottom"/>
          </w:tcPr>
          <w:p w:rsidR="003908B9" w:rsidRPr="008F47CB" w:rsidP="008C6A87" w14:paraId="4835CBFA" w14:textId="77777777">
            <w:pPr>
              <w:jc w:val="right"/>
              <w:rPr>
                <w:rFonts w:ascii="Times New Roman" w:hAnsi="Times New Roman"/>
                <w:sz w:val="22"/>
                <w:szCs w:val="22"/>
              </w:rPr>
            </w:pPr>
          </w:p>
        </w:tc>
        <w:tc>
          <w:tcPr>
            <w:tcW w:w="1097" w:type="dxa"/>
            <w:vAlign w:val="bottom"/>
          </w:tcPr>
          <w:p w:rsidR="003908B9" w:rsidRPr="008F47CB" w:rsidP="008C6A87" w14:paraId="52DF241D" w14:textId="77777777">
            <w:pPr>
              <w:jc w:val="right"/>
              <w:rPr>
                <w:rFonts w:ascii="Times New Roman" w:hAnsi="Times New Roman"/>
                <w:sz w:val="22"/>
                <w:szCs w:val="22"/>
              </w:rPr>
            </w:pPr>
          </w:p>
        </w:tc>
        <w:tc>
          <w:tcPr>
            <w:tcW w:w="950" w:type="dxa"/>
            <w:vAlign w:val="bottom"/>
          </w:tcPr>
          <w:p w:rsidR="003908B9" w:rsidRPr="008F47CB" w:rsidP="008C6A87" w14:paraId="557954C2" w14:textId="77777777">
            <w:pPr>
              <w:jc w:val="right"/>
              <w:rPr>
                <w:rFonts w:ascii="Times New Roman" w:hAnsi="Times New Roman"/>
                <w:sz w:val="22"/>
                <w:szCs w:val="22"/>
              </w:rPr>
            </w:pPr>
          </w:p>
        </w:tc>
        <w:tc>
          <w:tcPr>
            <w:tcW w:w="1063" w:type="dxa"/>
            <w:vAlign w:val="bottom"/>
          </w:tcPr>
          <w:p w:rsidR="003908B9" w:rsidRPr="008F47CB" w:rsidP="008C6A87" w14:paraId="2AB589B8" w14:textId="77777777">
            <w:pPr>
              <w:jc w:val="right"/>
              <w:rPr>
                <w:rFonts w:ascii="Times New Roman" w:hAnsi="Times New Roman"/>
                <w:sz w:val="22"/>
                <w:szCs w:val="22"/>
              </w:rPr>
            </w:pPr>
          </w:p>
        </w:tc>
        <w:tc>
          <w:tcPr>
            <w:tcW w:w="1350" w:type="dxa"/>
            <w:vAlign w:val="bottom"/>
          </w:tcPr>
          <w:p w:rsidR="003908B9" w:rsidRPr="008F47CB" w:rsidP="008C6A87" w14:paraId="11711942" w14:textId="77777777">
            <w:pPr>
              <w:jc w:val="right"/>
              <w:rPr>
                <w:rFonts w:ascii="Times New Roman" w:hAnsi="Times New Roman"/>
                <w:sz w:val="22"/>
                <w:szCs w:val="22"/>
              </w:rPr>
            </w:pPr>
          </w:p>
        </w:tc>
      </w:tr>
      <w:tr w14:paraId="23C1507C" w14:textId="77777777" w:rsidTr="00D72D63">
        <w:tblPrEx>
          <w:tblW w:w="9715" w:type="dxa"/>
          <w:tblLook w:val="04A0"/>
        </w:tblPrEx>
        <w:tc>
          <w:tcPr>
            <w:tcW w:w="1439" w:type="dxa"/>
          </w:tcPr>
          <w:p w:rsidR="00501A15" w:rsidRPr="008F47CB" w:rsidP="00501A15" w14:paraId="2848E9E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501A15" w:rsidRPr="008F47CB" w:rsidP="00501A15" w14:paraId="1042C9EB" w14:textId="77777777">
            <w:pPr>
              <w:jc w:val="right"/>
              <w:rPr>
                <w:rFonts w:ascii="Times New Roman" w:hAnsi="Times New Roman"/>
                <w:b/>
                <w:i/>
                <w:sz w:val="22"/>
                <w:szCs w:val="22"/>
              </w:rPr>
            </w:pPr>
            <w:r>
              <w:rPr>
                <w:rFonts w:ascii="Times New Roman" w:hAnsi="Times New Roman"/>
                <w:b/>
                <w:i/>
                <w:sz w:val="22"/>
                <w:szCs w:val="22"/>
              </w:rPr>
              <w:t>50</w:t>
            </w:r>
          </w:p>
        </w:tc>
        <w:tc>
          <w:tcPr>
            <w:tcW w:w="1219" w:type="dxa"/>
            <w:vAlign w:val="bottom"/>
          </w:tcPr>
          <w:p w:rsidR="00501A15" w:rsidRPr="008F47CB" w:rsidP="00627B1F" w14:paraId="6D490546" w14:textId="77777777">
            <w:pPr>
              <w:jc w:val="center"/>
              <w:rPr>
                <w:rFonts w:ascii="Times New Roman" w:hAnsi="Times New Roman"/>
                <w:b/>
                <w:i/>
                <w:sz w:val="22"/>
                <w:szCs w:val="22"/>
              </w:rPr>
            </w:pPr>
          </w:p>
        </w:tc>
        <w:tc>
          <w:tcPr>
            <w:tcW w:w="1182" w:type="dxa"/>
            <w:vAlign w:val="bottom"/>
          </w:tcPr>
          <w:p w:rsidR="00501A15" w:rsidRPr="008F47CB" w:rsidP="00501A15" w14:paraId="255C4485" w14:textId="77777777">
            <w:pPr>
              <w:jc w:val="right"/>
              <w:rPr>
                <w:rFonts w:ascii="Times New Roman" w:hAnsi="Times New Roman"/>
                <w:b/>
                <w:i/>
                <w:sz w:val="22"/>
                <w:szCs w:val="22"/>
              </w:rPr>
            </w:pPr>
            <w:r>
              <w:rPr>
                <w:rFonts w:ascii="Times New Roman" w:hAnsi="Times New Roman"/>
                <w:b/>
                <w:i/>
                <w:sz w:val="22"/>
                <w:szCs w:val="22"/>
              </w:rPr>
              <w:t>50</w:t>
            </w:r>
          </w:p>
        </w:tc>
        <w:tc>
          <w:tcPr>
            <w:tcW w:w="1097" w:type="dxa"/>
            <w:vAlign w:val="bottom"/>
          </w:tcPr>
          <w:p w:rsidR="00501A15" w:rsidRPr="008F47CB" w:rsidP="00501A15" w14:paraId="5FBD5FFB" w14:textId="77777777">
            <w:pPr>
              <w:jc w:val="right"/>
              <w:rPr>
                <w:rFonts w:ascii="Times New Roman" w:hAnsi="Times New Roman"/>
                <w:b/>
                <w:i/>
                <w:sz w:val="22"/>
                <w:szCs w:val="22"/>
              </w:rPr>
            </w:pPr>
          </w:p>
        </w:tc>
        <w:tc>
          <w:tcPr>
            <w:tcW w:w="950" w:type="dxa"/>
            <w:vAlign w:val="bottom"/>
          </w:tcPr>
          <w:p w:rsidR="00501A15" w:rsidRPr="008F47CB" w:rsidP="00501A15" w14:paraId="7F180CD3" w14:textId="77777777">
            <w:pPr>
              <w:jc w:val="right"/>
              <w:rPr>
                <w:rFonts w:ascii="Times New Roman" w:hAnsi="Times New Roman"/>
                <w:b/>
                <w:i/>
                <w:sz w:val="22"/>
                <w:szCs w:val="22"/>
              </w:rPr>
            </w:pPr>
            <w:r>
              <w:rPr>
                <w:rFonts w:ascii="Times New Roman" w:hAnsi="Times New Roman"/>
                <w:b/>
                <w:i/>
                <w:sz w:val="22"/>
                <w:szCs w:val="22"/>
              </w:rPr>
              <w:t>100hrs</w:t>
            </w:r>
          </w:p>
        </w:tc>
        <w:tc>
          <w:tcPr>
            <w:tcW w:w="1063" w:type="dxa"/>
            <w:vAlign w:val="bottom"/>
          </w:tcPr>
          <w:p w:rsidR="00501A15" w:rsidRPr="008F47CB" w:rsidP="00501A15" w14:paraId="58B10964" w14:textId="77777777">
            <w:pPr>
              <w:jc w:val="right"/>
              <w:rPr>
                <w:rFonts w:ascii="Times New Roman" w:hAnsi="Times New Roman"/>
                <w:b/>
                <w:i/>
                <w:sz w:val="22"/>
                <w:szCs w:val="22"/>
              </w:rPr>
            </w:pPr>
          </w:p>
        </w:tc>
        <w:tc>
          <w:tcPr>
            <w:tcW w:w="1350" w:type="dxa"/>
            <w:vAlign w:val="bottom"/>
          </w:tcPr>
          <w:p w:rsidR="00501A15" w:rsidRPr="008F47CB" w:rsidP="00501A15" w14:paraId="1AC21C38" w14:textId="77777777">
            <w:pPr>
              <w:jc w:val="right"/>
              <w:rPr>
                <w:rFonts w:ascii="Times New Roman" w:hAnsi="Times New Roman"/>
                <w:b/>
                <w:i/>
                <w:sz w:val="22"/>
                <w:szCs w:val="22"/>
              </w:rPr>
            </w:pPr>
            <w:r>
              <w:rPr>
                <w:rFonts w:ascii="Times New Roman" w:hAnsi="Times New Roman"/>
                <w:b/>
                <w:i/>
                <w:sz w:val="22"/>
                <w:szCs w:val="22"/>
              </w:rPr>
              <w:t>$3,174</w:t>
            </w:r>
          </w:p>
        </w:tc>
      </w:tr>
    </w:tbl>
    <w:p w:rsidR="00D472BE" w:rsidP="00E60FB0" w14:paraId="4A396B1B" w14:textId="77777777">
      <w:pPr>
        <w:widowControl/>
        <w:autoSpaceDE/>
        <w:autoSpaceDN/>
        <w:adjustRightInd/>
        <w:rPr>
          <w:rFonts w:ascii="Times New Roman" w:hAnsi="Times New Roman"/>
          <w:highlight w:val="yellow"/>
        </w:rPr>
      </w:pPr>
    </w:p>
    <w:p w:rsidR="00EE2223" w:rsidP="00E60FB0" w14:paraId="17CEBE48" w14:textId="77777777">
      <w:pPr>
        <w:widowControl/>
        <w:autoSpaceDE/>
        <w:autoSpaceDN/>
        <w:adjustRightInd/>
        <w:rPr>
          <w:rStyle w:val="Hyperlink"/>
          <w:rFonts w:ascii="Times New Roman" w:hAnsi="Times New Roman"/>
        </w:rPr>
      </w:pPr>
      <w:r>
        <w:t xml:space="preserve">Hourly rate: </w:t>
      </w:r>
      <w:hyperlink r:id="rId6" w:history="1">
        <w:r w:rsidRPr="00942985" w:rsidR="00FF352A">
          <w:rPr>
            <w:rStyle w:val="Hyperlink"/>
            <w:rFonts w:ascii="Times New Roman" w:hAnsi="Times New Roman"/>
          </w:rPr>
          <w:t>https://www.bls.gov/ooh/protective-service/police-and-detectives.htm</w:t>
        </w:r>
      </w:hyperlink>
    </w:p>
    <w:p w:rsidR="00FF352A" w:rsidRPr="00EE2223" w:rsidP="00E60FB0" w14:paraId="716690F7" w14:textId="77777777">
      <w:pPr>
        <w:widowControl/>
        <w:autoSpaceDE/>
        <w:autoSpaceDN/>
        <w:adjustRightInd/>
        <w:rPr>
          <w:rFonts w:ascii="Times New Roman" w:hAnsi="Times New Roman"/>
          <w:i/>
          <w:iCs/>
          <w:highlight w:val="yellow"/>
        </w:rPr>
      </w:pPr>
    </w:p>
    <w:p w:rsidR="00CD215D" w:rsidRPr="00D53DEB" w:rsidP="00CD215D" w14:paraId="06D4588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B54219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059A21DC"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0511B3A4" w14:textId="77777777">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13254F55"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19611E90"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3DDE3402"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107E055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w:t>
      </w:r>
      <w:r w:rsidRPr="006F6E13">
        <w:rPr>
          <w:rFonts w:ascii="Times New Roman" w:hAnsi="Times New Roman"/>
          <w:b/>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4D9EF766"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6685F15F"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w:t>
      </w:r>
      <w:r w:rsidRPr="00D53DEB">
        <w:rPr>
          <w:rFonts w:ascii="Times New Roman" w:hAnsi="Times New Roman"/>
          <w:b/>
        </w:rPr>
        <w:t>ontaining the information collection, as appropriate.</w:t>
      </w:r>
    </w:p>
    <w:p w:rsidR="00CD215D" w:rsidRPr="00D53DEB" w:rsidP="00CD215D" w14:paraId="3B89CA3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81C88" w:rsidRPr="00195349" w:rsidP="00690F56" w14:paraId="30206240"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B3128" w:rsidP="00690F56" w14:paraId="6565EDC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B3128" w:rsidP="00690F56" w14:paraId="1260559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 annual IC cost burden for this collection is $</w:t>
      </w:r>
      <w:r w:rsidR="00195349">
        <w:rPr>
          <w:rFonts w:ascii="Times New Roman" w:hAnsi="Times New Roman"/>
        </w:rPr>
        <w:t>0.</w:t>
      </w:r>
    </w:p>
    <w:p w:rsidR="008B3128" w:rsidRPr="00F4518C" w:rsidP="00690F56" w14:paraId="14C081B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83BEB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BB2AA1" w:rsidP="001376D3" w14:paraId="6DD0AC3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F1C66" w:rsidP="001376D3" w14:paraId="796AECE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sz w:val="22"/>
          <w:szCs w:val="22"/>
        </w:rPr>
        <w:t>The cost to the federal government is $0.</w:t>
      </w:r>
    </w:p>
    <w:p w:rsidR="00F96885" w:rsidRPr="00871CA6" w:rsidP="00690F56" w14:paraId="160E512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6367E3" w:rsidP="006367E3" w14:paraId="3E4CF24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 xml:space="preserve">Explain the reasons for </w:t>
      </w:r>
      <w:r w:rsidRPr="00D53DEB">
        <w:rPr>
          <w:rFonts w:ascii="Times New Roman" w:hAnsi="Times New Roman"/>
          <w:b/>
          <w:bCs/>
        </w:rPr>
        <w:t>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983CA7" w:rsidRPr="006367E3" w:rsidP="006367E3" w14:paraId="28F874B4" w14:textId="77777777">
      <w:pPr>
        <w:pStyle w:val="paragraph"/>
        <w:textAlignment w:val="baseline"/>
        <w:rPr>
          <w:color w:val="000000"/>
        </w:rPr>
      </w:pPr>
      <w:r w:rsidRPr="00C015CB">
        <w:rPr>
          <w:color w:val="000000"/>
        </w:rPr>
        <w:t xml:space="preserve">ATF F 3252.5 is currently in use; however, the revised version, subject to review, modified the format of most data fields on the form.  Many of the fields were revised from narrative (i.e., sentence) format to question format (i.e., yes/no, with narrative for yes responses).  </w:t>
      </w:r>
    </w:p>
    <w:p w:rsidR="00690F56" w:rsidRPr="00D53DEB" w:rsidP="00690F56" w14:paraId="5EA1D31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012CE27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871CA6" w:rsidP="00690F56" w14:paraId="31F7D9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C6F260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F126E8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21266DD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39F6">
        <w:rPr>
          <w:rFonts w:ascii="Times New Roman" w:hAnsi="Times New Roman"/>
        </w:rPr>
        <w:t>We are requesting no exemption.</w:t>
      </w:r>
      <w:r>
        <w:rPr>
          <w:rFonts w:ascii="Times New Roman" w:hAnsi="Times New Roman"/>
        </w:rPr>
        <w:t xml:space="preserve"> </w:t>
      </w:r>
    </w:p>
    <w:p w:rsidR="009B6955" w:rsidRPr="00A973AA" w:rsidP="0014601E" w14:paraId="5A51D0C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0FC32C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4D8C811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2240C58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29E720D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22E3AC8D"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 xml:space="preserve">B. COLLECTIONS OF </w:t>
      </w:r>
      <w:r w:rsidRPr="00A973AA">
        <w:rPr>
          <w:rFonts w:ascii="Times New Roman" w:hAnsi="Times New Roman"/>
          <w:b/>
          <w:bCs/>
        </w:rPr>
        <w:t>INFORMATON EMPLOYING STATISTICAL METHODS.</w:t>
      </w:r>
    </w:p>
    <w:p w:rsidR="00332F98" w:rsidRPr="00D53DEB" w14:paraId="135F6BE7" w14:textId="77777777">
      <w:pPr>
        <w:rPr>
          <w:rFonts w:ascii="Times New Roman" w:hAnsi="Times New Roman"/>
        </w:rPr>
      </w:pPr>
      <w:r>
        <w:rPr>
          <w:rFonts w:ascii="Times New Roman" w:hAnsi="Times New Roman"/>
        </w:rPr>
        <w:t>This collection</w:t>
      </w:r>
      <w:r w:rsidR="00CC1B60">
        <w:rPr>
          <w:rFonts w:ascii="Times New Roman" w:hAnsi="Times New Roman"/>
        </w:rPr>
        <w:t xml:space="preserve"> does/does not</w:t>
      </w:r>
      <w:r>
        <w:rPr>
          <w:rFonts w:ascii="Times New Roman" w:hAnsi="Times New Roman"/>
        </w:rPr>
        <w:t xml:space="preserve"> contain statistical data.</w:t>
      </w:r>
    </w:p>
    <w:sectPr w:rsidSect="00C07F7F">
      <w:headerReference w:type="default" r:id="rId7"/>
      <w:footerReference w:type="even" r:id="rId8"/>
      <w:footerReference w:type="default" r:id="rId9"/>
      <w:headerReference w:type="first" r:id="rId10"/>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6B820D8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774E0E0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33FDFFAC" w14:textId="77777777">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32464858"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RPr="006626FF" w:rsidP="00F8164B" w14:paraId="51E65150" w14:textId="77777777">
    <w:pPr>
      <w:pStyle w:val="Header"/>
      <w:rPr>
        <w:rFonts w:ascii="Times New Roman" w:hAnsi="Times New Roman"/>
        <w:bCs/>
        <w:sz w:val="20"/>
        <w:szCs w:val="20"/>
      </w:rPr>
    </w:pPr>
    <w:r>
      <w:rPr>
        <w:rFonts w:ascii="Times New Roman" w:hAnsi="Times New Roman"/>
        <w:bCs/>
        <w:sz w:val="20"/>
        <w:szCs w:val="20"/>
      </w:rPr>
      <w:t xml:space="preserve">Reactivation Suitability Report </w:t>
    </w:r>
  </w:p>
  <w:p w:rsidR="00EC0B43" w14:paraId="0BCA4BB3" w14:textId="77777777">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C015CB">
      <w:rPr>
        <w:rFonts w:ascii="Times New Roman" w:hAnsi="Times New Roman"/>
        <w:sz w:val="20"/>
        <w:szCs w:val="20"/>
      </w:rPr>
      <w:t>1140-0</w:t>
    </w:r>
    <w:r w:rsidR="0099225A">
      <w:rPr>
        <w:rFonts w:ascii="Times New Roman" w:hAnsi="Times New Roman"/>
        <w:sz w:val="20"/>
        <w:szCs w:val="20"/>
      </w:rPr>
      <w:t>111</w:t>
    </w:r>
    <w:r w:rsidR="00C015CB">
      <w:rPr>
        <w:rFonts w:ascii="Times New Roman" w:hAnsi="Times New Roman"/>
        <w:sz w:val="20"/>
        <w:szCs w:val="20"/>
      </w:rPr>
      <w:t xml:space="preserve"> </w:t>
    </w:r>
  </w:p>
  <w:p w:rsidR="00304132" w14:paraId="6AC6B923" w14:textId="77777777">
    <w:pPr>
      <w:pStyle w:val="Header"/>
      <w:rPr>
        <w:rFonts w:ascii="Times New Roman" w:hAnsi="Times New Roman"/>
        <w:sz w:val="20"/>
        <w:szCs w:val="20"/>
      </w:rPr>
    </w:pPr>
    <w:r>
      <w:rPr>
        <w:rFonts w:ascii="Times New Roman" w:hAnsi="Times New Roman"/>
        <w:sz w:val="20"/>
        <w:szCs w:val="20"/>
      </w:rPr>
      <w:t xml:space="preserve">OMB Expiration Date: </w:t>
    </w:r>
    <w:r w:rsidR="00996A5D">
      <w:rPr>
        <w:rFonts w:ascii="Times New Roman" w:hAnsi="Times New Roman"/>
        <w:sz w:val="20"/>
        <w:szCs w:val="20"/>
      </w:rPr>
      <w:t>XX/XX/XXXX</w:t>
    </w:r>
  </w:p>
  <w:p w:rsidR="006E1A08" w14:paraId="64B96CDF"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650E66B7" w14:textId="77777777">
    <w:pPr>
      <w:pStyle w:val="Header"/>
    </w:pPr>
    <w:r>
      <w:t>[Type text]</w:t>
    </w:r>
  </w:p>
  <w:p w:rsidR="001D67BB" w14:paraId="748761C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9"/>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1"/>
  </w:num>
  <w:num w:numId="9" w16cid:durableId="312102842">
    <w:abstractNumId w:val="1"/>
  </w:num>
  <w:num w:numId="10" w16cid:durableId="1376466984">
    <w:abstractNumId w:val="10"/>
  </w:num>
  <w:num w:numId="11" w16cid:durableId="1904831391">
    <w:abstractNumId w:val="6"/>
  </w:num>
  <w:num w:numId="12" w16cid:durableId="1478107046">
    <w:abstractNumId w:val="8"/>
  </w:num>
  <w:num w:numId="13" w16cid:durableId="1542084800">
    <w:abstractNumId w:val="5"/>
  </w:num>
  <w:num w:numId="14" w16cid:durableId="136800702">
    <w:abstractNumId w:val="12"/>
  </w:num>
  <w:num w:numId="15" w16cid:durableId="12170903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33FD"/>
    <w:rsid w:val="00014158"/>
    <w:rsid w:val="00020F69"/>
    <w:rsid w:val="00022303"/>
    <w:rsid w:val="0003073D"/>
    <w:rsid w:val="0004107F"/>
    <w:rsid w:val="00042CBD"/>
    <w:rsid w:val="00052174"/>
    <w:rsid w:val="00061F6C"/>
    <w:rsid w:val="0006318A"/>
    <w:rsid w:val="00064E28"/>
    <w:rsid w:val="000655CC"/>
    <w:rsid w:val="0007383F"/>
    <w:rsid w:val="0007726B"/>
    <w:rsid w:val="00094A5E"/>
    <w:rsid w:val="00095C30"/>
    <w:rsid w:val="00097C15"/>
    <w:rsid w:val="000A7853"/>
    <w:rsid w:val="000B0391"/>
    <w:rsid w:val="000B4875"/>
    <w:rsid w:val="000B6FB6"/>
    <w:rsid w:val="000C257C"/>
    <w:rsid w:val="000C3A92"/>
    <w:rsid w:val="000C74FB"/>
    <w:rsid w:val="000D7F95"/>
    <w:rsid w:val="000E1C64"/>
    <w:rsid w:val="000F6836"/>
    <w:rsid w:val="001040D4"/>
    <w:rsid w:val="001078BB"/>
    <w:rsid w:val="00116CD5"/>
    <w:rsid w:val="00117CA5"/>
    <w:rsid w:val="00133C47"/>
    <w:rsid w:val="00133E3D"/>
    <w:rsid w:val="001376D3"/>
    <w:rsid w:val="0014556E"/>
    <w:rsid w:val="0014601E"/>
    <w:rsid w:val="0015322B"/>
    <w:rsid w:val="0015365E"/>
    <w:rsid w:val="00157A90"/>
    <w:rsid w:val="00167AD4"/>
    <w:rsid w:val="00180E5A"/>
    <w:rsid w:val="00186655"/>
    <w:rsid w:val="00192711"/>
    <w:rsid w:val="00195349"/>
    <w:rsid w:val="001A47D9"/>
    <w:rsid w:val="001B4927"/>
    <w:rsid w:val="001B4BB9"/>
    <w:rsid w:val="001C39F6"/>
    <w:rsid w:val="001D10ED"/>
    <w:rsid w:val="001D2D09"/>
    <w:rsid w:val="001D67BB"/>
    <w:rsid w:val="001E0E7F"/>
    <w:rsid w:val="001E2932"/>
    <w:rsid w:val="001E3596"/>
    <w:rsid w:val="001E5213"/>
    <w:rsid w:val="001F2E8E"/>
    <w:rsid w:val="001F552E"/>
    <w:rsid w:val="002036A1"/>
    <w:rsid w:val="00210A61"/>
    <w:rsid w:val="002134B4"/>
    <w:rsid w:val="00214111"/>
    <w:rsid w:val="002203C9"/>
    <w:rsid w:val="00234341"/>
    <w:rsid w:val="00237691"/>
    <w:rsid w:val="00242CA0"/>
    <w:rsid w:val="00243432"/>
    <w:rsid w:val="0024438F"/>
    <w:rsid w:val="00247146"/>
    <w:rsid w:val="002517E4"/>
    <w:rsid w:val="002525E0"/>
    <w:rsid w:val="00262716"/>
    <w:rsid w:val="00273D58"/>
    <w:rsid w:val="00277C1F"/>
    <w:rsid w:val="002866AD"/>
    <w:rsid w:val="00286BE3"/>
    <w:rsid w:val="00287ACB"/>
    <w:rsid w:val="00287B7D"/>
    <w:rsid w:val="0029135D"/>
    <w:rsid w:val="00292951"/>
    <w:rsid w:val="00293CD1"/>
    <w:rsid w:val="002A3962"/>
    <w:rsid w:val="002A5972"/>
    <w:rsid w:val="002A6FB5"/>
    <w:rsid w:val="002C5AE9"/>
    <w:rsid w:val="002E238B"/>
    <w:rsid w:val="002E4200"/>
    <w:rsid w:val="002E6DF9"/>
    <w:rsid w:val="002E6F9C"/>
    <w:rsid w:val="002F3BB8"/>
    <w:rsid w:val="00304132"/>
    <w:rsid w:val="00304EAD"/>
    <w:rsid w:val="00312124"/>
    <w:rsid w:val="00313820"/>
    <w:rsid w:val="00313AC0"/>
    <w:rsid w:val="00322C1B"/>
    <w:rsid w:val="0032649A"/>
    <w:rsid w:val="00332F98"/>
    <w:rsid w:val="0033578D"/>
    <w:rsid w:val="003430A6"/>
    <w:rsid w:val="003448FC"/>
    <w:rsid w:val="003548D8"/>
    <w:rsid w:val="00363CC2"/>
    <w:rsid w:val="00370C9A"/>
    <w:rsid w:val="00371EEC"/>
    <w:rsid w:val="003876F3"/>
    <w:rsid w:val="00390426"/>
    <w:rsid w:val="003908B9"/>
    <w:rsid w:val="00394AEB"/>
    <w:rsid w:val="003A4476"/>
    <w:rsid w:val="003A6353"/>
    <w:rsid w:val="003A70BB"/>
    <w:rsid w:val="003B2F28"/>
    <w:rsid w:val="003C13C6"/>
    <w:rsid w:val="003D5958"/>
    <w:rsid w:val="003D6AC7"/>
    <w:rsid w:val="003E15A0"/>
    <w:rsid w:val="003E49A6"/>
    <w:rsid w:val="003E5E34"/>
    <w:rsid w:val="003E6021"/>
    <w:rsid w:val="003F53FB"/>
    <w:rsid w:val="00400B4D"/>
    <w:rsid w:val="00401F18"/>
    <w:rsid w:val="00403B06"/>
    <w:rsid w:val="004056B7"/>
    <w:rsid w:val="00410AC8"/>
    <w:rsid w:val="00414664"/>
    <w:rsid w:val="004172C1"/>
    <w:rsid w:val="00423E3A"/>
    <w:rsid w:val="004328D9"/>
    <w:rsid w:val="00435E05"/>
    <w:rsid w:val="0043771F"/>
    <w:rsid w:val="00442410"/>
    <w:rsid w:val="00443460"/>
    <w:rsid w:val="0044773C"/>
    <w:rsid w:val="00461B8A"/>
    <w:rsid w:val="004672B5"/>
    <w:rsid w:val="004779EA"/>
    <w:rsid w:val="004809D2"/>
    <w:rsid w:val="004844D1"/>
    <w:rsid w:val="0048559D"/>
    <w:rsid w:val="0049001D"/>
    <w:rsid w:val="00494A93"/>
    <w:rsid w:val="00494D75"/>
    <w:rsid w:val="004A1763"/>
    <w:rsid w:val="004B1E83"/>
    <w:rsid w:val="004D1C78"/>
    <w:rsid w:val="004D441E"/>
    <w:rsid w:val="004D46D1"/>
    <w:rsid w:val="004D6C55"/>
    <w:rsid w:val="004E1D9E"/>
    <w:rsid w:val="004E5B39"/>
    <w:rsid w:val="00501A15"/>
    <w:rsid w:val="005164DC"/>
    <w:rsid w:val="00522B8D"/>
    <w:rsid w:val="0052585C"/>
    <w:rsid w:val="00530EBD"/>
    <w:rsid w:val="005622FE"/>
    <w:rsid w:val="00567912"/>
    <w:rsid w:val="00570098"/>
    <w:rsid w:val="005805E7"/>
    <w:rsid w:val="005825A4"/>
    <w:rsid w:val="00583F5D"/>
    <w:rsid w:val="0058424C"/>
    <w:rsid w:val="00584F8D"/>
    <w:rsid w:val="005A0350"/>
    <w:rsid w:val="005A7D9E"/>
    <w:rsid w:val="005B2697"/>
    <w:rsid w:val="005B5990"/>
    <w:rsid w:val="005C6147"/>
    <w:rsid w:val="005D5F8C"/>
    <w:rsid w:val="005E5148"/>
    <w:rsid w:val="005F1C66"/>
    <w:rsid w:val="005F4B4F"/>
    <w:rsid w:val="0060114B"/>
    <w:rsid w:val="00603D4A"/>
    <w:rsid w:val="00611DE2"/>
    <w:rsid w:val="00614A1C"/>
    <w:rsid w:val="006227B3"/>
    <w:rsid w:val="00627B1F"/>
    <w:rsid w:val="006367E3"/>
    <w:rsid w:val="00642220"/>
    <w:rsid w:val="0065148D"/>
    <w:rsid w:val="00652ED1"/>
    <w:rsid w:val="006626FF"/>
    <w:rsid w:val="006650A8"/>
    <w:rsid w:val="0067772C"/>
    <w:rsid w:val="00683A96"/>
    <w:rsid w:val="00685435"/>
    <w:rsid w:val="00687746"/>
    <w:rsid w:val="00690F56"/>
    <w:rsid w:val="006A4637"/>
    <w:rsid w:val="006C39F8"/>
    <w:rsid w:val="006E1A08"/>
    <w:rsid w:val="006E4433"/>
    <w:rsid w:val="006E54FE"/>
    <w:rsid w:val="006E604F"/>
    <w:rsid w:val="006E6370"/>
    <w:rsid w:val="006E63C6"/>
    <w:rsid w:val="006F2132"/>
    <w:rsid w:val="006F66F9"/>
    <w:rsid w:val="006F6E13"/>
    <w:rsid w:val="00700F5E"/>
    <w:rsid w:val="007010C5"/>
    <w:rsid w:val="007011F1"/>
    <w:rsid w:val="007029EF"/>
    <w:rsid w:val="007127A1"/>
    <w:rsid w:val="00713ACE"/>
    <w:rsid w:val="00715F82"/>
    <w:rsid w:val="0071749C"/>
    <w:rsid w:val="00721E05"/>
    <w:rsid w:val="00735B13"/>
    <w:rsid w:val="007412B6"/>
    <w:rsid w:val="00753389"/>
    <w:rsid w:val="00755761"/>
    <w:rsid w:val="007636EC"/>
    <w:rsid w:val="00767D37"/>
    <w:rsid w:val="00774503"/>
    <w:rsid w:val="007754A0"/>
    <w:rsid w:val="00777CD2"/>
    <w:rsid w:val="00780272"/>
    <w:rsid w:val="0078038F"/>
    <w:rsid w:val="0078153B"/>
    <w:rsid w:val="00785FE9"/>
    <w:rsid w:val="00786E04"/>
    <w:rsid w:val="007A7F79"/>
    <w:rsid w:val="007C124D"/>
    <w:rsid w:val="007D46C2"/>
    <w:rsid w:val="007E3065"/>
    <w:rsid w:val="007F3B38"/>
    <w:rsid w:val="007F3C02"/>
    <w:rsid w:val="00802605"/>
    <w:rsid w:val="00802A30"/>
    <w:rsid w:val="008043E5"/>
    <w:rsid w:val="00804A1A"/>
    <w:rsid w:val="0081073D"/>
    <w:rsid w:val="00813CC0"/>
    <w:rsid w:val="008323ED"/>
    <w:rsid w:val="00835955"/>
    <w:rsid w:val="00846701"/>
    <w:rsid w:val="008624D5"/>
    <w:rsid w:val="00871CA6"/>
    <w:rsid w:val="00882AB5"/>
    <w:rsid w:val="00882B1D"/>
    <w:rsid w:val="0088672C"/>
    <w:rsid w:val="008A1F0C"/>
    <w:rsid w:val="008A40D1"/>
    <w:rsid w:val="008B3128"/>
    <w:rsid w:val="008B541B"/>
    <w:rsid w:val="008C6A87"/>
    <w:rsid w:val="008F47CB"/>
    <w:rsid w:val="00901003"/>
    <w:rsid w:val="0090158E"/>
    <w:rsid w:val="00901EF6"/>
    <w:rsid w:val="0090413E"/>
    <w:rsid w:val="00923B37"/>
    <w:rsid w:val="009271B1"/>
    <w:rsid w:val="0093485F"/>
    <w:rsid w:val="009407FC"/>
    <w:rsid w:val="00942985"/>
    <w:rsid w:val="009441E2"/>
    <w:rsid w:val="00963680"/>
    <w:rsid w:val="00964D3F"/>
    <w:rsid w:val="009700D9"/>
    <w:rsid w:val="009822AF"/>
    <w:rsid w:val="00983CA7"/>
    <w:rsid w:val="00985369"/>
    <w:rsid w:val="00985C15"/>
    <w:rsid w:val="0099225A"/>
    <w:rsid w:val="00996A5D"/>
    <w:rsid w:val="009A6DCA"/>
    <w:rsid w:val="009B00FD"/>
    <w:rsid w:val="009B38D1"/>
    <w:rsid w:val="009B4116"/>
    <w:rsid w:val="009B689F"/>
    <w:rsid w:val="009B6955"/>
    <w:rsid w:val="009C2A10"/>
    <w:rsid w:val="009D0BBA"/>
    <w:rsid w:val="009D1EA2"/>
    <w:rsid w:val="009E0141"/>
    <w:rsid w:val="009E234B"/>
    <w:rsid w:val="009F52F3"/>
    <w:rsid w:val="00A10441"/>
    <w:rsid w:val="00A15094"/>
    <w:rsid w:val="00A217C3"/>
    <w:rsid w:val="00A21F98"/>
    <w:rsid w:val="00A2391E"/>
    <w:rsid w:val="00A33AAC"/>
    <w:rsid w:val="00A41C21"/>
    <w:rsid w:val="00A47DA7"/>
    <w:rsid w:val="00A52DE7"/>
    <w:rsid w:val="00A55023"/>
    <w:rsid w:val="00A56B86"/>
    <w:rsid w:val="00A632EF"/>
    <w:rsid w:val="00A677E9"/>
    <w:rsid w:val="00A740AB"/>
    <w:rsid w:val="00A743F4"/>
    <w:rsid w:val="00A834BF"/>
    <w:rsid w:val="00A8370D"/>
    <w:rsid w:val="00A90769"/>
    <w:rsid w:val="00A973AA"/>
    <w:rsid w:val="00AA177A"/>
    <w:rsid w:val="00AA418C"/>
    <w:rsid w:val="00AB4DC3"/>
    <w:rsid w:val="00AC775D"/>
    <w:rsid w:val="00AD022F"/>
    <w:rsid w:val="00AD113F"/>
    <w:rsid w:val="00AD75AC"/>
    <w:rsid w:val="00AE0D00"/>
    <w:rsid w:val="00AF2C11"/>
    <w:rsid w:val="00AF3788"/>
    <w:rsid w:val="00AF5262"/>
    <w:rsid w:val="00AF7928"/>
    <w:rsid w:val="00B13844"/>
    <w:rsid w:val="00B26E3E"/>
    <w:rsid w:val="00B35DAD"/>
    <w:rsid w:val="00B417B3"/>
    <w:rsid w:val="00B47443"/>
    <w:rsid w:val="00B5043F"/>
    <w:rsid w:val="00B5377A"/>
    <w:rsid w:val="00B6181C"/>
    <w:rsid w:val="00B64496"/>
    <w:rsid w:val="00B66231"/>
    <w:rsid w:val="00B674DE"/>
    <w:rsid w:val="00B67A3F"/>
    <w:rsid w:val="00B9439C"/>
    <w:rsid w:val="00B96E43"/>
    <w:rsid w:val="00BA6A42"/>
    <w:rsid w:val="00BA6C9C"/>
    <w:rsid w:val="00BB2AA1"/>
    <w:rsid w:val="00BB3BEF"/>
    <w:rsid w:val="00BC5F22"/>
    <w:rsid w:val="00BD21CA"/>
    <w:rsid w:val="00BD34F2"/>
    <w:rsid w:val="00BF0E96"/>
    <w:rsid w:val="00C015CB"/>
    <w:rsid w:val="00C02E4A"/>
    <w:rsid w:val="00C05B4B"/>
    <w:rsid w:val="00C05B88"/>
    <w:rsid w:val="00C07F7F"/>
    <w:rsid w:val="00C12530"/>
    <w:rsid w:val="00C14429"/>
    <w:rsid w:val="00C16FA7"/>
    <w:rsid w:val="00C247D8"/>
    <w:rsid w:val="00C25486"/>
    <w:rsid w:val="00C25E66"/>
    <w:rsid w:val="00C34009"/>
    <w:rsid w:val="00C42ED4"/>
    <w:rsid w:val="00C4763A"/>
    <w:rsid w:val="00C52031"/>
    <w:rsid w:val="00C63D1E"/>
    <w:rsid w:val="00C667F3"/>
    <w:rsid w:val="00C712D2"/>
    <w:rsid w:val="00C77B5C"/>
    <w:rsid w:val="00C824C6"/>
    <w:rsid w:val="00C8275F"/>
    <w:rsid w:val="00C87068"/>
    <w:rsid w:val="00C9162F"/>
    <w:rsid w:val="00CA2F0A"/>
    <w:rsid w:val="00CB1ECE"/>
    <w:rsid w:val="00CB3579"/>
    <w:rsid w:val="00CB3726"/>
    <w:rsid w:val="00CB5C31"/>
    <w:rsid w:val="00CC0731"/>
    <w:rsid w:val="00CC1B60"/>
    <w:rsid w:val="00CC4002"/>
    <w:rsid w:val="00CC770C"/>
    <w:rsid w:val="00CD215D"/>
    <w:rsid w:val="00CD4F92"/>
    <w:rsid w:val="00CD6268"/>
    <w:rsid w:val="00CD6628"/>
    <w:rsid w:val="00D00B48"/>
    <w:rsid w:val="00D21CF3"/>
    <w:rsid w:val="00D2331B"/>
    <w:rsid w:val="00D36BB6"/>
    <w:rsid w:val="00D4451A"/>
    <w:rsid w:val="00D472BE"/>
    <w:rsid w:val="00D53DEB"/>
    <w:rsid w:val="00D57DE8"/>
    <w:rsid w:val="00D72D63"/>
    <w:rsid w:val="00D735B0"/>
    <w:rsid w:val="00D73AAD"/>
    <w:rsid w:val="00D75842"/>
    <w:rsid w:val="00D802D6"/>
    <w:rsid w:val="00D86A15"/>
    <w:rsid w:val="00D86FF7"/>
    <w:rsid w:val="00DA7DC9"/>
    <w:rsid w:val="00DB3F0C"/>
    <w:rsid w:val="00DB7B7C"/>
    <w:rsid w:val="00DD6DF0"/>
    <w:rsid w:val="00E0031C"/>
    <w:rsid w:val="00E0138A"/>
    <w:rsid w:val="00E04130"/>
    <w:rsid w:val="00E0638A"/>
    <w:rsid w:val="00E06430"/>
    <w:rsid w:val="00E13DE5"/>
    <w:rsid w:val="00E163CF"/>
    <w:rsid w:val="00E20D5B"/>
    <w:rsid w:val="00E22463"/>
    <w:rsid w:val="00E23871"/>
    <w:rsid w:val="00E322E9"/>
    <w:rsid w:val="00E400EA"/>
    <w:rsid w:val="00E46EE5"/>
    <w:rsid w:val="00E57F5E"/>
    <w:rsid w:val="00E6014B"/>
    <w:rsid w:val="00E60FB0"/>
    <w:rsid w:val="00E614A1"/>
    <w:rsid w:val="00E674A9"/>
    <w:rsid w:val="00E700AD"/>
    <w:rsid w:val="00E73F2D"/>
    <w:rsid w:val="00E74ABD"/>
    <w:rsid w:val="00E81C88"/>
    <w:rsid w:val="00E829F2"/>
    <w:rsid w:val="00E83023"/>
    <w:rsid w:val="00E83271"/>
    <w:rsid w:val="00E833E4"/>
    <w:rsid w:val="00E86973"/>
    <w:rsid w:val="00E909D5"/>
    <w:rsid w:val="00E92EED"/>
    <w:rsid w:val="00E93A0F"/>
    <w:rsid w:val="00EA3E66"/>
    <w:rsid w:val="00EC0B43"/>
    <w:rsid w:val="00EC4383"/>
    <w:rsid w:val="00EC5D7E"/>
    <w:rsid w:val="00ED49C1"/>
    <w:rsid w:val="00EE2223"/>
    <w:rsid w:val="00EF70DB"/>
    <w:rsid w:val="00F11AA8"/>
    <w:rsid w:val="00F12F81"/>
    <w:rsid w:val="00F24787"/>
    <w:rsid w:val="00F27223"/>
    <w:rsid w:val="00F3623C"/>
    <w:rsid w:val="00F41116"/>
    <w:rsid w:val="00F44D20"/>
    <w:rsid w:val="00F4518C"/>
    <w:rsid w:val="00F4529D"/>
    <w:rsid w:val="00F53F09"/>
    <w:rsid w:val="00F56B20"/>
    <w:rsid w:val="00F6219B"/>
    <w:rsid w:val="00F64E0B"/>
    <w:rsid w:val="00F72D66"/>
    <w:rsid w:val="00F8164B"/>
    <w:rsid w:val="00F935EE"/>
    <w:rsid w:val="00F96885"/>
    <w:rsid w:val="00FA3D8C"/>
    <w:rsid w:val="00FB026D"/>
    <w:rsid w:val="00FB587F"/>
    <w:rsid w:val="00FD35DD"/>
    <w:rsid w:val="00FD5326"/>
    <w:rsid w:val="00FE523D"/>
    <w:rsid w:val="00FF352A"/>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EA165D9"/>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hyperlink" Target="https://www.bls.gov/ooh/protective-service/police-and-detectives.htm"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2520</Words>
  <Characters>14232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Holmes-Brooks, Colette N. (ATF) (CTR)</cp:lastModifiedBy>
  <cp:revision>2</cp:revision>
  <cp:lastPrinted>2020-02-19T15:46:00Z</cp:lastPrinted>
  <dcterms:created xsi:type="dcterms:W3CDTF">2023-11-07T19:56:00Z</dcterms:created>
  <dcterms:modified xsi:type="dcterms:W3CDTF">2023-11-07T19:56:00Z</dcterms:modified>
</cp:coreProperties>
</file>