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86237F" w:rsidP="00E86973" w14:paraId="7E97B93F" w14:textId="77777777">
      <w:pPr>
        <w:widowControl/>
        <w:tabs>
          <w:tab w:val="left" w:pos="720"/>
        </w:tabs>
        <w:ind w:left="720" w:hanging="1440"/>
        <w:jc w:val="center"/>
        <w:rPr>
          <w:rFonts w:ascii="Times New Roman" w:hAnsi="Times New Roman"/>
          <w:b/>
          <w:bCs/>
        </w:rPr>
      </w:pPr>
      <w:r w:rsidRPr="0086237F">
        <w:rPr>
          <w:rFonts w:ascii="Times New Roman" w:hAnsi="Times New Roman"/>
          <w:b/>
          <w:bCs/>
        </w:rPr>
        <w:t>SUPPORTING STATEMENT FOR</w:t>
      </w:r>
    </w:p>
    <w:p w:rsidR="00E86973" w:rsidRPr="0086237F" w:rsidP="00E86973" w14:paraId="60089450" w14:textId="0FF34E77">
      <w:pPr>
        <w:widowControl/>
        <w:jc w:val="center"/>
        <w:rPr>
          <w:rFonts w:ascii="Times New Roman" w:hAnsi="Times New Roman"/>
          <w:b/>
          <w:bCs/>
        </w:rPr>
      </w:pPr>
      <w:r w:rsidRPr="0086237F">
        <w:rPr>
          <w:rFonts w:ascii="Times New Roman" w:hAnsi="Times New Roman"/>
          <w:b/>
          <w:bCs/>
          <w:color w:val="000000"/>
        </w:rPr>
        <w:t>Report of Multiple Sale or Other Disposition of Certain Rifles - ATF Form 3310.12</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91A13" w:rsidP="00D91A13" w14:paraId="3CA00914" w14:textId="77777777">
      <w:pPr>
        <w:widowControl/>
        <w:autoSpaceDE/>
        <w:autoSpaceDN/>
        <w:adjustRightInd/>
        <w:spacing w:after="200" w:line="276" w:lineRule="auto"/>
        <w:ind w:left="1260"/>
        <w:contextualSpacing/>
        <w:rPr>
          <w:rFonts w:ascii="Times New Roman" w:eastAsia="Calibri" w:hAnsi="Times New Roman"/>
        </w:rPr>
      </w:pPr>
    </w:p>
    <w:p w:rsidR="00D91A13" w:rsidRPr="00D91A13" w:rsidP="00AE1328" w14:paraId="0EAA24D7" w14:textId="3E1166C3">
      <w:pPr>
        <w:widowControl/>
        <w:autoSpaceDE/>
        <w:autoSpaceDN/>
        <w:adjustRightInd/>
        <w:spacing w:after="200" w:line="276" w:lineRule="auto"/>
        <w:contextualSpacing/>
        <w:rPr>
          <w:rFonts w:ascii="Times New Roman" w:eastAsia="Calibri" w:hAnsi="Times New Roman"/>
        </w:rPr>
      </w:pPr>
      <w:r w:rsidRPr="00D91A13">
        <w:rPr>
          <w:rFonts w:ascii="Times New Roman" w:eastAsia="Calibri" w:hAnsi="Times New Roman"/>
        </w:rPr>
        <w:t xml:space="preserve">As part of the Southwest Border Firearms Trafficking/Violence Initiative, ATF has been requiring licensed dealers and pawnbrokers in Arizona, California, </w:t>
      </w:r>
      <w:r w:rsidRPr="00D91A13">
        <w:rPr>
          <w:rFonts w:ascii="Times New Roman" w:eastAsia="Calibri" w:hAnsi="Times New Roman"/>
        </w:rPr>
        <w:t>New Mexico</w:t>
      </w:r>
      <w:r w:rsidRPr="00D91A13">
        <w:rPr>
          <w:rFonts w:ascii="Times New Roman" w:eastAsia="Calibri" w:hAnsi="Times New Roman"/>
        </w:rPr>
        <w:t xml:space="preserve"> and Texas to submit information concerning multiple sale or other disposition of certain rifles. The Gun Control Act (GCA), 18 U.S.C. § 923(g)(3</w:t>
      </w:r>
      <w:r w:rsidRPr="00D91A13">
        <w:rPr>
          <w:rFonts w:ascii="Times New Roman" w:eastAsia="Calibri" w:hAnsi="Times New Roman"/>
        </w:rPr>
        <w:t>),  requires</w:t>
      </w:r>
      <w:r w:rsidRPr="00D91A13">
        <w:rPr>
          <w:rFonts w:ascii="Times New Roman" w:eastAsia="Calibri" w:hAnsi="Times New Roman"/>
        </w:rPr>
        <w:t xml:space="preserve"> Federal firearms licensees (FFLs) to report multiple sale or other disposition of handguns to the same purchaser. The sale or other disposition of two or more handguns must be reported if they occur at one time, or within five consecutive business days of each other. The report must be filed with ATF no later than the close of business on the day the multiple sale or other disposition took place, using the Report of Multiple Sale or Other Disposition of Certain Rifles - ATF Form 3310.12. This report must also include information that identifies the purchaser and the firearms purchased. By law, a copy of this report must be provided to designated state or local law enforcement agencies. These reports provide ATF with potential intelligence, and almost real-time investigative leads that can indicate illegal firearms trafficking. Prior to this reporting requirement for certain rifles, ATF was not notified about individuals purchasing dozens of rifles at one time. This distinction is because when the requirement for multiple sale reporting was debated in Congress, handguns, not long guns, were considered far more likely to be diverted for illicit purposes within the United States. </w:t>
      </w:r>
    </w:p>
    <w:p w:rsidR="00AE1328" w:rsidP="00AE1328" w14:paraId="61BB2258" w14:textId="77777777">
      <w:pPr>
        <w:widowControl/>
        <w:autoSpaceDE/>
        <w:autoSpaceDN/>
        <w:adjustRightInd/>
        <w:spacing w:after="200" w:line="276" w:lineRule="auto"/>
        <w:rPr>
          <w:rFonts w:ascii="Times New Roman" w:eastAsia="Calibri" w:hAnsi="Times New Roman"/>
        </w:rPr>
      </w:pPr>
    </w:p>
    <w:p w:rsidR="00D91A13" w:rsidRPr="00D91A13" w:rsidP="00AE1328" w14:paraId="3054049A" w14:textId="2F8785E4">
      <w:pPr>
        <w:widowControl/>
        <w:autoSpaceDE/>
        <w:autoSpaceDN/>
        <w:adjustRightInd/>
        <w:spacing w:after="200" w:line="276" w:lineRule="auto"/>
        <w:rPr>
          <w:rFonts w:ascii="Times New Roman" w:eastAsia="Calibri" w:hAnsi="Times New Roman"/>
        </w:rPr>
      </w:pPr>
      <w:r w:rsidRPr="00D91A13">
        <w:rPr>
          <w:rFonts w:ascii="Times New Roman" w:eastAsia="Calibri" w:hAnsi="Times New Roman"/>
        </w:rPr>
        <w:t xml:space="preserve">ATF has long used multiple sale or other disposition information to detect, investigate and prevent firearms trafficking. ATF views the recovery of one or more firearms that were part of a multiple purchase or other disposition, as an indicator of firearms trafficking, which is known as a short time-to-crime. Since 1975, all FFLs have been required to notify ATF about multiple handgun </w:t>
      </w:r>
      <w:r w:rsidRPr="00D91A13" w:rsidR="00F17675">
        <w:rPr>
          <w:rFonts w:ascii="Times New Roman" w:eastAsia="Calibri" w:hAnsi="Times New Roman"/>
        </w:rPr>
        <w:t>purchases and</w:t>
      </w:r>
      <w:r w:rsidRPr="00D91A13">
        <w:rPr>
          <w:rFonts w:ascii="Times New Roman" w:eastAsia="Calibri" w:hAnsi="Times New Roman"/>
        </w:rPr>
        <w:t xml:space="preserve"> are familiar with and know how to complete the Report of Multiple Sale or Other Disposition of Certain Rifles - ATF Form 3310.12. Many licensees also utilize commercial software that automatically identifies multiple sale, and complete the form required to report them. Accordingly, the reporting requirement for certain types of rifles has been no different and has not imposed an undue burden on licensees.</w:t>
      </w:r>
    </w:p>
    <w:p w:rsidR="00D91A13" w:rsidRPr="00D91A13" w:rsidP="00AE1328" w14:paraId="22416023" w14:textId="77777777">
      <w:pPr>
        <w:widowControl/>
        <w:autoSpaceDE/>
        <w:autoSpaceDN/>
        <w:adjustRightInd/>
        <w:spacing w:line="276" w:lineRule="auto"/>
        <w:rPr>
          <w:rFonts w:ascii="Times New Roman" w:eastAsia="Calibri" w:hAnsi="Times New Roman"/>
          <w:sz w:val="22"/>
          <w:szCs w:val="22"/>
        </w:rPr>
      </w:pPr>
      <w:r w:rsidRPr="00D91A13">
        <w:rPr>
          <w:rFonts w:ascii="Times New Roman" w:eastAsia="Calibri" w:hAnsi="Times New Roman"/>
        </w:rPr>
        <w:t xml:space="preserve">While handguns remain popular as crime guns in the United States, law enforcement officials have reported that certain types of rifles are regularly being used to commit violent crimes in Mexico. These rifles typically include AR-type and AK-type variants with detachable magazines. Mexican officials believe that these rifles primarily come from the United States in large </w:t>
      </w:r>
      <w:r w:rsidRPr="00D91A13">
        <w:rPr>
          <w:rFonts w:ascii="Times New Roman" w:eastAsia="Calibri" w:hAnsi="Times New Roman"/>
        </w:rPr>
        <w:t>quantities, and</w:t>
      </w:r>
      <w:r w:rsidRPr="00D91A13">
        <w:rPr>
          <w:rFonts w:ascii="Times New Roman" w:eastAsia="Calibri" w:hAnsi="Times New Roman"/>
        </w:rPr>
        <w:t xml:space="preserve"> have been sold to persons working for Mexican drug trafficking organizations. Successful trace data from recovered rifles also confirm that many of these rifles have been sold by FFLs on the U.S. Southwest border. </w:t>
      </w:r>
      <w:r w:rsidRPr="00D91A13">
        <w:rPr>
          <w:rFonts w:ascii="Times New Roman" w:eastAsia="Calibri" w:hAnsi="Times New Roman"/>
        </w:rPr>
        <w:t>The continued existence of this reporting requirement of multiple sale or other disposition of the specified rifles,</w:t>
      </w:r>
      <w:r w:rsidRPr="00D91A13">
        <w:rPr>
          <w:rFonts w:ascii="Times New Roman" w:eastAsia="Calibri" w:hAnsi="Times New Roman"/>
        </w:rPr>
        <w:t xml:space="preserve"> have contributed significant leads to law enforcement and the pursuit firearms trafficking to Mexico and along the U.S. Southwest border. The authority requiring FFLs to submit records information concerning multiple sale or other disposition of certain rifles is derived from 18 U.S.C. § 923 (g)(5). As a result, FFLs are not expected or required to provide copies of the reports generated by this request to designated state and local law enforcement agencies, which may otherwise have access to them, pursuant to 18 U.S.C. </w:t>
      </w:r>
      <w:r w:rsidRPr="00D91A13">
        <w:rPr>
          <w:rFonts w:ascii="Times New Roman" w:eastAsia="Calibri" w:hAnsi="Times New Roman"/>
          <w:sz w:val="22"/>
          <w:szCs w:val="22"/>
        </w:rPr>
        <w:t>§ 923(g)(3)(A).</w:t>
      </w:r>
    </w:p>
    <w:p w:rsidR="00AE1328" w:rsidP="00690F56" w14:paraId="6F63E17F" w14:textId="77777777">
      <w:pPr>
        <w:widowControl/>
        <w:rPr>
          <w:rFonts w:ascii="Times New Roman" w:hAnsi="Times New Roman"/>
          <w:b/>
          <w:bCs/>
        </w:rPr>
      </w:pPr>
    </w:p>
    <w:p w:rsidR="00690F56" w:rsidP="00690F56" w14:paraId="2BBF8E2F" w14:textId="1D44B1C0">
      <w:pPr>
        <w:widowControl/>
        <w:rPr>
          <w:rFonts w:ascii="Times New Roman" w:hAnsi="Times New Roman"/>
          <w:b/>
          <w:bCs/>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AE1328" w:rsidP="00AE1328" w14:paraId="36B8F13E" w14:textId="77777777">
      <w:pPr>
        <w:pStyle w:val="ListParagraph"/>
        <w:widowControl/>
        <w:autoSpaceDE/>
        <w:autoSpaceDN/>
        <w:adjustRightInd/>
        <w:spacing w:after="200" w:line="276" w:lineRule="auto"/>
        <w:ind w:left="1260"/>
        <w:contextualSpacing/>
        <w:rPr>
          <w:rFonts w:ascii="Times New Roman" w:hAnsi="Times New Roman"/>
        </w:rPr>
      </w:pPr>
    </w:p>
    <w:p w:rsidR="00AE1328" w:rsidRPr="00AE1328" w:rsidP="00AE1328" w14:paraId="58CC5592" w14:textId="6A616DAA">
      <w:pPr>
        <w:widowControl/>
        <w:autoSpaceDE/>
        <w:autoSpaceDN/>
        <w:adjustRightInd/>
        <w:spacing w:after="200" w:line="276" w:lineRule="auto"/>
        <w:contextualSpacing/>
        <w:rPr>
          <w:rFonts w:ascii="Times New Roman" w:hAnsi="Times New Roman"/>
        </w:rPr>
      </w:pPr>
      <w:r w:rsidRPr="00AE1328">
        <w:rPr>
          <w:rFonts w:ascii="Times New Roman" w:hAnsi="Times New Roman"/>
        </w:rPr>
        <w:t xml:space="preserve">The Report of Multiple Sale or Other Disposition of Certain Rifles - ATF Form 3310.12 will be used to discern patterns in the purchase of firearms that may end up in interstate and/or international trafficking of illegal firearms. The collected information is used to determine if the buyer (transferee) is involved in any unlawful activity, such as straw purchases. This is because the submitted information may provide leads about illegal firearms traffickers who supply firearms to drug trafficking organizations and/or use them to commit violent crime. Multiple sale reports or other disposition are entered into the ATF’s Firearms Tracing System (FTS) and made available to all ATF field divisions via ATF’s </w:t>
      </w:r>
      <w:r w:rsidRPr="00AE1328">
        <w:rPr>
          <w:rFonts w:ascii="Times New Roman" w:hAnsi="Times New Roman"/>
        </w:rPr>
        <w:t>eTrace</w:t>
      </w:r>
      <w:r w:rsidRPr="00AE1328">
        <w:rPr>
          <w:rFonts w:ascii="Times New Roman" w:hAnsi="Times New Roman"/>
        </w:rPr>
        <w:t xml:space="preserve"> system. Investigators review and analyze the reports daily in conjunction with firearms trace data, any information about repeat purchasers and recoveries in crimes, and other particulars that may disclose trafficking patterns. Information from multiple sale or other disposition reports frequently results in criminal investigations. Continuation of the current program ensures that ATF will receive multiple sale or other disposition reports about specific long guns used by drug trafficking organizations in Mexico and along the U.S. Southwest border. These reports help law enforcement agencies to detect and disrupt firearms trafficking, before these firearms are used in violent crime in the United States and/or Mexico.</w:t>
      </w:r>
    </w:p>
    <w:p w:rsidR="00AE1328" w:rsidRPr="00115304" w:rsidP="00AE1328" w14:paraId="31FB9BE1" w14:textId="77777777">
      <w:pPr>
        <w:pStyle w:val="ListParagraph"/>
        <w:ind w:left="1260"/>
        <w:rPr>
          <w:rFonts w:ascii="Times New Roman" w:hAnsi="Times New Roman"/>
        </w:rPr>
      </w:pPr>
    </w:p>
    <w:p w:rsidR="00AE1328" w:rsidRPr="00AE1328" w:rsidP="00AE1328" w14:paraId="1C97D86A" w14:textId="77777777">
      <w:pPr>
        <w:rPr>
          <w:rFonts w:ascii="Times New Roman" w:hAnsi="Times New Roman"/>
        </w:rPr>
      </w:pPr>
      <w:r w:rsidRPr="00AE1328">
        <w:rPr>
          <w:rFonts w:ascii="Times New Roman" w:hAnsi="Times New Roman"/>
        </w:rPr>
        <w:t xml:space="preserve">In addition to providing real-time intelligence, the Report of Multiple </w:t>
      </w:r>
      <w:r w:rsidRPr="00AE1328">
        <w:rPr>
          <w:rFonts w:ascii="Times New Roman" w:hAnsi="Times New Roman"/>
        </w:rPr>
        <w:t>Sale</w:t>
      </w:r>
      <w:r w:rsidRPr="00AE1328">
        <w:rPr>
          <w:rFonts w:ascii="Times New Roman" w:hAnsi="Times New Roman"/>
        </w:rPr>
        <w:t xml:space="preserve"> or Other Disposition of Certain Rifles - ATF Form 3310.12 also assists in identifying secondhand sales of the specified firearms. Secondhand sales refer to firearms that were previously sold by a licensee to </w:t>
      </w:r>
      <w:r w:rsidRPr="00AE1328">
        <w:rPr>
          <w:rFonts w:ascii="Times New Roman" w:hAnsi="Times New Roman"/>
        </w:rPr>
        <w:t xml:space="preserve">an unlicensed individual, and then subsequently resold, pawned, or consigned to a dealer or pawnbroker for resale. Firearms sold in secondhand sales generally cannot be traced from the original manufacturer to the secondhand purchaser. Traces of firearms typically end after new firearms are manufactured and sold by licensees to their first retail purchasers. Multiple sale or other disposition reports concerning secondhand sales of qualifying rifles from retail dealers can be traced by ATF personnel who have access to forms and data reported by secondhand retail dealers and pawnbrokers. </w:t>
      </w:r>
    </w:p>
    <w:p w:rsidR="00AE1328" w:rsidP="00AE1328" w14:paraId="08560D8A" w14:textId="77777777">
      <w:pPr>
        <w:pStyle w:val="ListParagraph"/>
        <w:ind w:left="1260"/>
        <w:rPr>
          <w:rFonts w:ascii="Times New Roman" w:hAnsi="Times New Roman"/>
        </w:rPr>
      </w:pPr>
    </w:p>
    <w:p w:rsidR="00AE1328" w:rsidRPr="00AE1328" w:rsidP="00AE1328" w14:paraId="68520EFE" w14:textId="77777777">
      <w:pPr>
        <w:rPr>
          <w:rFonts w:ascii="Times New Roman" w:hAnsi="Times New Roman"/>
        </w:rPr>
      </w:pPr>
      <w:r w:rsidRPr="00AE1328">
        <w:rPr>
          <w:rFonts w:ascii="Times New Roman" w:hAnsi="Times New Roman"/>
        </w:rPr>
        <w:t xml:space="preserve">During the implementation of this program, a letter was sent to all applicable FFLs in the states along the U.S. Southwest border, providing them instructions about the reporting requirement on the Report of Multiple Sale or Other Disposition of Certain Rifles - ATF Form 3310.12. Currently, when a new entity obtains a </w:t>
      </w:r>
      <w:r w:rsidRPr="00AE1328">
        <w:rPr>
          <w:rFonts w:ascii="Times New Roman" w:hAnsi="Times New Roman"/>
        </w:rPr>
        <w:t>Federal</w:t>
      </w:r>
      <w:r w:rsidRPr="00AE1328">
        <w:rPr>
          <w:rFonts w:ascii="Times New Roman" w:hAnsi="Times New Roman"/>
        </w:rPr>
        <w:t xml:space="preserve"> firearms license, they are also instructed to utilize ATF Form 3310.12 to report multiple sale or other disposition of two or more semi-automatic rifles capable of accepting a detachable magazine, and/or with a caliber greater than .22 (including .223/5.56 caliber), to an unlicensed person. The report is mandatory if the sale or disposition occurs at one time, or within five consecutive business days of each other. The completed form must be submitted no later than the close of business on the day multiple sale or disposition takes place.</w:t>
      </w:r>
    </w:p>
    <w:p w:rsidR="00C25E66" w:rsidP="00690F56" w14:paraId="5EFBC942" w14:textId="77777777">
      <w:pPr>
        <w:widowControl/>
        <w:rPr>
          <w:rFonts w:ascii="Times New Roman" w:hAnsi="Times New Roman"/>
          <w:b/>
          <w:bCs/>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E1328" w:rsidRPr="00AE1328" w:rsidP="00AE1328" w14:paraId="07160F5C" w14:textId="77777777">
      <w:pPr>
        <w:widowControl/>
        <w:autoSpaceDE/>
        <w:autoSpaceDN/>
        <w:adjustRightInd/>
        <w:spacing w:line="276" w:lineRule="auto"/>
        <w:contextualSpacing/>
        <w:rPr>
          <w:rFonts w:ascii="Times New Roman" w:hAnsi="Times New Roman"/>
        </w:rPr>
      </w:pPr>
      <w:r w:rsidRPr="00AE1328">
        <w:rPr>
          <w:rFonts w:ascii="Times New Roman" w:hAnsi="Times New Roman"/>
        </w:rPr>
        <w:t>The Report of Multiple Sale or Other Disposition of Certain Rifles - ATF Form 3310.12 is available on the ATF website as a fillable form. The respondent has the option to fax, mail or email the completed form to the ATF National Tracing Center for processing. ATF software does not currently support the creation of an e-form to fulfill this multiple sale-reporting requirement.</w:t>
      </w:r>
    </w:p>
    <w:p w:rsidR="00AE1328" w:rsidP="00690F56" w14:paraId="5B37CF3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4755EE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65CEC1A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AE1328" w:rsidP="00690F56" w14:paraId="4053344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E1328" w:rsidRPr="00AE1328" w:rsidP="00AE1328" w14:paraId="0D10395B" w14:textId="77777777">
      <w:pPr>
        <w:widowControl/>
        <w:autoSpaceDE/>
        <w:autoSpaceDN/>
        <w:adjustRightInd/>
        <w:spacing w:line="276" w:lineRule="auto"/>
        <w:contextualSpacing/>
        <w:rPr>
          <w:rFonts w:ascii="Times New Roman" w:hAnsi="Times New Roman"/>
        </w:rPr>
      </w:pPr>
      <w:r w:rsidRPr="00AE1328">
        <w:rPr>
          <w:rFonts w:ascii="Times New Roman" w:hAnsi="Times New Roman"/>
        </w:rPr>
        <w:t>ATF uses a subject classification code on all forms. This code ensures that there is no duplication of information. Similar information is unavailable elsewhere to fulfill this information collection requirement.</w:t>
      </w:r>
    </w:p>
    <w:p w:rsidR="00AE1328" w:rsidRPr="00D53DEB" w:rsidP="00690F56" w14:paraId="2FB8D30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902271" w:rsidP="00690F56" w14:paraId="62D84AD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02271" w:rsidRPr="00902271" w:rsidP="00902271" w14:paraId="37C6225F" w14:textId="77777777">
      <w:pPr>
        <w:widowControl/>
        <w:autoSpaceDE/>
        <w:autoSpaceDN/>
        <w:adjustRightInd/>
        <w:spacing w:line="276" w:lineRule="auto"/>
        <w:contextualSpacing/>
        <w:rPr>
          <w:rFonts w:ascii="Times New Roman" w:hAnsi="Times New Roman"/>
        </w:rPr>
      </w:pPr>
      <w:r w:rsidRPr="00902271">
        <w:rPr>
          <w:rFonts w:ascii="Times New Roman" w:hAnsi="Times New Roman"/>
        </w:rPr>
        <w:t xml:space="preserve">This collection of information affects only a limited number of small businesses. Specifically, only licensees who </w:t>
      </w:r>
      <w:r w:rsidRPr="00902271">
        <w:rPr>
          <w:rFonts w:ascii="Times New Roman" w:hAnsi="Times New Roman"/>
        </w:rPr>
        <w:t>actually sell</w:t>
      </w:r>
      <w:r w:rsidRPr="00902271">
        <w:rPr>
          <w:rFonts w:ascii="Times New Roman" w:hAnsi="Times New Roman"/>
        </w:rPr>
        <w:t xml:space="preserve"> or dispose of multiple specified long guns, to the same individual once or within five consecutive business days, are required to complete and submit the report. ATF does not collect information about the size of the FFLs and is unable to determine how many are small businesses are impacted by this collection, or which ones sell the long guns that are the subject of this collection. Moreover, licensees are already familiar with the reporting requirement for multiple sale of handguns, and should have no problem completing the Form 3310.12, which is modeled after the Report of Multiple Sale or Other Disposition of Pistols and Revolvers - ATF Form 3310.4.</w:t>
      </w:r>
    </w:p>
    <w:p w:rsidR="00902271" w:rsidRPr="00D53DEB" w:rsidP="00690F56" w14:paraId="3ECC1EC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1EE49F9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902271" w:rsidP="00902271" w14:paraId="6D2ACFBE" w14:textId="77777777">
      <w:pPr>
        <w:widowControl/>
        <w:autoSpaceDE/>
        <w:autoSpaceDN/>
        <w:adjustRightInd/>
        <w:spacing w:line="276" w:lineRule="auto"/>
        <w:contextualSpacing/>
        <w:rPr>
          <w:rFonts w:ascii="Times New Roman" w:hAnsi="Times New Roman"/>
        </w:rPr>
      </w:pPr>
    </w:p>
    <w:p w:rsidR="00902271" w:rsidRPr="00902271" w:rsidP="00902271" w14:paraId="028D35FE" w14:textId="61ED7192">
      <w:pPr>
        <w:widowControl/>
        <w:autoSpaceDE/>
        <w:autoSpaceDN/>
        <w:adjustRightInd/>
        <w:spacing w:line="276" w:lineRule="auto"/>
        <w:contextualSpacing/>
        <w:rPr>
          <w:rFonts w:ascii="Times New Roman" w:hAnsi="Times New Roman"/>
        </w:rPr>
      </w:pPr>
      <w:r w:rsidRPr="00902271">
        <w:rPr>
          <w:rFonts w:ascii="Times New Roman" w:hAnsi="Times New Roman"/>
        </w:rPr>
        <w:t xml:space="preserve">Public safety and national security would be threatened without this information collection, which would limit the capacity of law enforcement to combat </w:t>
      </w:r>
      <w:r w:rsidRPr="00902271">
        <w:rPr>
          <w:rFonts w:ascii="Times New Roman" w:hAnsi="Times New Roman"/>
        </w:rPr>
        <w:t>firearms trafficking, and</w:t>
      </w:r>
      <w:r w:rsidRPr="00902271">
        <w:rPr>
          <w:rFonts w:ascii="Times New Roman" w:hAnsi="Times New Roman"/>
        </w:rPr>
        <w:t xml:space="preserve"> reduce violent crime along the U.S. Southwest border and in Mexico.</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015F8AA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r w:rsidR="00C8477E">
        <w:rPr>
          <w:b/>
          <w:bCs/>
        </w:rPr>
        <w:t xml:space="preserve"> </w:t>
      </w:r>
      <w:r w:rsidRPr="00115304" w:rsidR="00C8477E">
        <w:t xml:space="preserve">This </w:t>
      </w:r>
      <w:r w:rsidR="00C8477E">
        <w:t xml:space="preserve">information </w:t>
      </w:r>
      <w:r w:rsidRPr="00115304" w:rsidR="00C8477E">
        <w:t>collection w</w:t>
      </w:r>
      <w:r w:rsidR="00C8477E">
        <w:t>ill</w:t>
      </w:r>
      <w:r w:rsidRPr="00115304" w:rsidR="00C8477E">
        <w:t xml:space="preserve"> continue to be</w:t>
      </w:r>
      <w:r w:rsidR="00C8477E">
        <w:t xml:space="preserve"> filed more than quarterly. </w:t>
      </w:r>
      <w:r w:rsidRPr="00115304" w:rsidR="00C8477E">
        <w:t>This collection require</w:t>
      </w:r>
      <w:r w:rsidR="00C8477E">
        <w:t>s</w:t>
      </w:r>
      <w:r w:rsidRPr="00115304" w:rsidR="00C8477E">
        <w:t xml:space="preserve"> respondents to prepare </w:t>
      </w:r>
      <w:r w:rsidR="00C8477E">
        <w:t>their</w:t>
      </w:r>
      <w:r w:rsidRPr="00115304" w:rsidR="00C8477E">
        <w:t xml:space="preserve"> response no later than the close of business on the day multiple sale or other disposition occurs.</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2BE763CE">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r w:rsidR="00074499">
        <w:rPr>
          <w:b/>
          <w:bCs/>
        </w:rPr>
        <w:t xml:space="preserve"> </w:t>
      </w:r>
      <w:r w:rsidRPr="00115304" w:rsidR="00F569DC">
        <w:t>This collection require</w:t>
      </w:r>
      <w:r w:rsidR="00F569DC">
        <w:t>s</w:t>
      </w:r>
      <w:r w:rsidRPr="00115304" w:rsidR="00F569DC">
        <w:t xml:space="preserve"> respondents to prepare </w:t>
      </w:r>
      <w:r w:rsidR="00F569DC">
        <w:t>their</w:t>
      </w:r>
      <w:r w:rsidRPr="00115304" w:rsidR="00F569DC">
        <w:t xml:space="preserve"> response no later than the close of business on the day multiple sale or other disposition occurs.</w:t>
      </w:r>
      <w:r w:rsidR="00F569DC">
        <w:t xml:space="preserve">  </w:t>
      </w:r>
      <w:r w:rsidRPr="00115304" w:rsidR="00074499">
        <w:t xml:space="preserve">Timely responses are required to enable law enforcement to detect illegal firearms trafficking. </w:t>
      </w:r>
      <w:r w:rsidR="00074499">
        <w:t xml:space="preserve">All responses must be provided on the </w:t>
      </w:r>
      <w:r w:rsidRPr="00625E16" w:rsidR="00074499">
        <w:t>Report of Multiple Sale or Other Disposition of Certain Rifles - ATF Form 3310.12</w:t>
      </w:r>
      <w:r w:rsidR="00074499">
        <w:t xml:space="preserve">, which </w:t>
      </w:r>
      <w:r w:rsidRPr="00115304" w:rsidR="00074499">
        <w:t xml:space="preserve">may be submitted via fax, </w:t>
      </w:r>
      <w:r w:rsidRPr="00115304" w:rsidR="00074499">
        <w:t>mail</w:t>
      </w:r>
      <w:r w:rsidRPr="00115304" w:rsidR="00074499">
        <w:t xml:space="preserve"> or email</w:t>
      </w:r>
      <w:r w:rsidR="00074499">
        <w:t xml:space="preserve"> to ATF for </w:t>
      </w:r>
      <w:r w:rsidR="00EF5B94">
        <w:t>processing.</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1409630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r w:rsidR="00074499">
        <w:rPr>
          <w:b/>
          <w:bCs/>
        </w:rPr>
        <w:t xml:space="preserve"> </w:t>
      </w:r>
      <w:r w:rsidR="00EF5B94">
        <w:t>One copy of the ATF Form 3310.12 will be submitted to ATF while a</w:t>
      </w:r>
      <w:r w:rsidR="00222A6C">
        <w:t>nother</w:t>
      </w:r>
      <w:r w:rsidR="00074499">
        <w:t xml:space="preserve"> copy of the</w:t>
      </w:r>
      <w:r w:rsidRPr="00115304" w:rsidR="00074499">
        <w:t xml:space="preserve"> </w:t>
      </w:r>
      <w:r w:rsidR="00222A6C">
        <w:t xml:space="preserve">form </w:t>
      </w:r>
      <w:r w:rsidRPr="00115304" w:rsidR="00074499">
        <w:t>will be retained by licensees</w:t>
      </w:r>
      <w:r w:rsidR="00CE3E2B">
        <w:t xml:space="preserve"> by attaching</w:t>
      </w:r>
      <w:r w:rsidRPr="00115304" w:rsidR="00074499">
        <w:t xml:space="preserve"> to the ATF F 4473 executed upon </w:t>
      </w:r>
      <w:r w:rsidR="008E57FC">
        <w:t>transfer</w:t>
      </w:r>
      <w:r w:rsidRPr="00115304" w:rsidR="00074499">
        <w:t xml:space="preserve"> of the rifles.</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42FAAAAA">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sidR="0049536F">
        <w:rPr>
          <w:b/>
          <w:bCs/>
        </w:rPr>
        <w:t>years;</w:t>
      </w:r>
      <w:r w:rsidR="0049536F">
        <w:rPr>
          <w:b/>
          <w:bCs/>
        </w:rPr>
        <w:t xml:space="preserve"> </w:t>
      </w:r>
      <w:r w:rsidRPr="0049536F" w:rsidR="0049536F">
        <w:t>The</w:t>
      </w:r>
      <w:r w:rsidR="00CE3E2B">
        <w:t xml:space="preserve"> ATF Form 3310.12 will be retained by the licensee for the life of the Federal Firearms License.</w:t>
      </w:r>
      <w:r w:rsidR="008E57FC">
        <w:t xml:space="preserve">  The form must be attached to the corresponding ATF Form 4473.  Currently, ATF Form 4473s must be retained for the entire lifespan of the Federal Firearms License.</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06AFB2B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r w:rsidR="00D6316D">
        <w:rPr>
          <w:b/>
          <w:bCs/>
        </w:rPr>
        <w:t xml:space="preserve"> </w:t>
      </w:r>
      <w:r w:rsidR="00D6316D">
        <w:t>No special circumstances identified.</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257216C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r w:rsidR="008E57FC">
        <w:rPr>
          <w:b/>
          <w:bCs/>
        </w:rPr>
        <w:t xml:space="preserve"> </w:t>
      </w:r>
      <w:bookmarkStart w:id="0" w:name="_Hlk150162719"/>
      <w:r w:rsidR="00D6316D">
        <w:t>No special circumstances identified.</w:t>
      </w:r>
      <w:bookmarkEnd w:id="0"/>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4337BA" w:rsidRPr="00D53DEB" w:rsidP="004337BA" w14:paraId="2A5192A3" w14:textId="075589E1">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No special circumstances identified.</w:t>
      </w:r>
    </w:p>
    <w:p w:rsidR="00690F56" w:rsidP="00690F56" w14:paraId="109C5387" w14:textId="1673528E">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49536F" w:rsidRPr="00D53DEB" w:rsidP="00690F56" w14:paraId="5D387E2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6316D" w:rsidP="00690F56" w14:paraId="583D2BFF" w14:textId="41665DA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r w:rsidR="00D6316D">
        <w:rPr>
          <w:b/>
          <w:bCs/>
        </w:rPr>
        <w:t xml:space="preserve"> </w:t>
      </w:r>
    </w:p>
    <w:p w:rsidR="00D6316D" w:rsidRPr="00D53DEB" w:rsidP="004337BA" w14:paraId="62311FAE" w14:textId="26DA05F8">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 xml:space="preserve">            </w:t>
      </w:r>
      <w:r>
        <w:t>No special circumstances identified.</w:t>
      </w:r>
    </w:p>
    <w:p w:rsidR="00690F56" w:rsidRPr="00871CA6" w:rsidP="00690F56" w14:paraId="186CBA80" w14:textId="79F8306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D6316D" w:rsidRPr="00D6316D" w:rsidP="00D6316D" w14:paraId="6EF68A7C" w14:textId="0404D0F1">
      <w:pPr>
        <w:widowControl/>
        <w:autoSpaceDE/>
        <w:autoSpaceDN/>
        <w:adjustRightInd/>
        <w:spacing w:line="276" w:lineRule="auto"/>
        <w:contextualSpacing/>
        <w:rPr>
          <w:rFonts w:ascii="Times New Roman" w:hAnsi="Times New Roman"/>
        </w:rPr>
      </w:pPr>
      <w:r w:rsidRPr="00D6316D">
        <w:rPr>
          <w:rFonts w:ascii="Times New Roman" w:hAnsi="Times New Roman"/>
          <w:b/>
          <w:bCs/>
        </w:rPr>
        <w:t xml:space="preserve">8.  If applicable, provide a copy and identify the date and page number of publication in the </w:t>
      </w:r>
      <w:r w:rsidRPr="00D6316D">
        <w:rPr>
          <w:rStyle w:val="Heading2Char"/>
          <w:rFonts w:ascii="Times New Roman" w:hAnsi="Times New Roman" w:cs="Times New Roman"/>
          <w:bCs w:val="0"/>
          <w:sz w:val="24"/>
          <w:szCs w:val="24"/>
        </w:rPr>
        <w:t>Federal Register</w:t>
      </w:r>
      <w:r w:rsidRPr="00D6316D">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6316D" w:rsidR="00E46EE5">
        <w:rPr>
          <w:rFonts w:ascii="Times New Roman" w:hAnsi="Times New Roman"/>
          <w:b/>
          <w:bCs/>
        </w:rPr>
        <w:t xml:space="preserve"> </w:t>
      </w:r>
      <w:r w:rsidRPr="00D6316D">
        <w:rPr>
          <w:rFonts w:ascii="Times New Roman" w:hAnsi="Times New Roman"/>
          <w:b/>
          <w:bCs/>
        </w:rPr>
        <w:t>Specifically address comments received on cost and hour burden.</w:t>
      </w:r>
      <w:r w:rsidRPr="00D6316D">
        <w:rPr>
          <w:rFonts w:ascii="Times New Roman" w:hAnsi="Times New Roman"/>
          <w:b/>
          <w:bCs/>
        </w:rPr>
        <w:t xml:space="preserve"> </w:t>
      </w:r>
      <w:r w:rsidRPr="00D6316D">
        <w:rPr>
          <w:rFonts w:ascii="Times New Roman" w:hAnsi="Times New Roman"/>
        </w:rPr>
        <w:t>All comments received during the 60-day Federal Register notice period received a response. However, a 30-day notice will be published in the Federal Register to solicit public comments.</w:t>
      </w:r>
    </w:p>
    <w:p w:rsidR="00690F56" w:rsidRPr="00D53DEB" w:rsidP="00690F56" w14:paraId="1E3B8C08" w14:textId="032BB9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17675" w:rsidP="00690F56" w14:paraId="26F2F511" w14:textId="626DA0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F17675">
        <w:rPr>
          <w:rFonts w:ascii="Times New Roman" w:hAnsi="Times New Roman"/>
          <w:b/>
          <w:bCs/>
        </w:rPr>
        <w:t xml:space="preserve">  </w:t>
      </w:r>
      <w:r w:rsidRPr="007936E9" w:rsidR="00D510F4">
        <w:rPr>
          <w:rFonts w:ascii="Times New Roman" w:hAnsi="Times New Roman"/>
        </w:rPr>
        <w:t xml:space="preserve">No efforts to consult with persons outside the agency.  The ATF Economist was frequently consulted </w:t>
      </w:r>
      <w:r w:rsidRPr="007936E9" w:rsidR="007936E9">
        <w:rPr>
          <w:rFonts w:ascii="Times New Roman" w:hAnsi="Times New Roman"/>
        </w:rPr>
        <w:t>during preparation of the IC.</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41C77B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w:t>
      </w:r>
      <w:r w:rsidRPr="00D53DEB">
        <w:rPr>
          <w:rFonts w:ascii="Times New Roman" w:hAnsi="Times New Roman"/>
          <w:b/>
          <w:bCs/>
        </w:rPr>
        <w:t>should be explained.</w:t>
      </w:r>
      <w:r w:rsidR="004337BA">
        <w:rPr>
          <w:rFonts w:ascii="Times New Roman" w:hAnsi="Times New Roman"/>
          <w:b/>
          <w:bCs/>
        </w:rPr>
        <w:t xml:space="preserve">   </w:t>
      </w:r>
      <w:r w:rsidRPr="004337BA" w:rsidR="004337BA">
        <w:rPr>
          <w:rFonts w:ascii="Times New Roman" w:hAnsi="Times New Roman"/>
        </w:rPr>
        <w:t>No circumstances identified that would preclude consultation with those who must compile records.</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B16DB7" w:rsidP="00690F56" w14:paraId="13A55570" w14:textId="28D6AD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 questions of a sensitive nature are asked.</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4337BA" w:rsidRPr="00115304" w:rsidP="004337BA" w14:paraId="6A6564EE" w14:textId="77777777">
      <w:pPr>
        <w:pStyle w:val="ListParagraph"/>
        <w:widowControl/>
        <w:autoSpaceDE/>
        <w:autoSpaceDN/>
        <w:adjustRightInd/>
        <w:spacing w:line="276" w:lineRule="auto"/>
        <w:ind w:left="1080"/>
        <w:contextualSpacing/>
        <w:rPr>
          <w:rFonts w:ascii="Times New Roman" w:hAnsi="Times New Roman"/>
        </w:rPr>
      </w:pPr>
      <w:r w:rsidRPr="00115304">
        <w:rPr>
          <w:rFonts w:ascii="Times New Roman" w:hAnsi="Times New Roman"/>
        </w:rPr>
        <w:t xml:space="preserve">The estimated number of </w:t>
      </w:r>
      <w:r>
        <w:rPr>
          <w:rFonts w:ascii="Times New Roman" w:hAnsi="Times New Roman"/>
        </w:rPr>
        <w:t xml:space="preserve">annual eligible </w:t>
      </w:r>
      <w:r w:rsidRPr="00115304">
        <w:rPr>
          <w:rFonts w:ascii="Times New Roman" w:hAnsi="Times New Roman"/>
        </w:rPr>
        <w:t>respondents is 1</w:t>
      </w:r>
      <w:r>
        <w:rPr>
          <w:rFonts w:ascii="Times New Roman" w:hAnsi="Times New Roman"/>
        </w:rPr>
        <w:t>0</w:t>
      </w:r>
      <w:r w:rsidRPr="00115304">
        <w:rPr>
          <w:rFonts w:ascii="Times New Roman" w:hAnsi="Times New Roman"/>
        </w:rPr>
        <w:t>,000</w:t>
      </w:r>
      <w:r>
        <w:rPr>
          <w:rFonts w:ascii="Times New Roman" w:hAnsi="Times New Roman"/>
        </w:rPr>
        <w:t>, while</w:t>
      </w:r>
      <w:r w:rsidRPr="00115304">
        <w:rPr>
          <w:rFonts w:ascii="Times New Roman" w:hAnsi="Times New Roman"/>
        </w:rPr>
        <w:t xml:space="preserve"> </w:t>
      </w:r>
      <w:r>
        <w:rPr>
          <w:rFonts w:ascii="Times New Roman" w:hAnsi="Times New Roman"/>
        </w:rPr>
        <w:t>t</w:t>
      </w:r>
      <w:r w:rsidRPr="00115304">
        <w:rPr>
          <w:rFonts w:ascii="Times New Roman" w:hAnsi="Times New Roman"/>
        </w:rPr>
        <w:t xml:space="preserve">he estimated number of </w:t>
      </w:r>
      <w:r>
        <w:rPr>
          <w:rFonts w:ascii="Times New Roman" w:hAnsi="Times New Roman"/>
        </w:rPr>
        <w:t xml:space="preserve">actual </w:t>
      </w:r>
      <w:r w:rsidRPr="00115304">
        <w:rPr>
          <w:rFonts w:ascii="Times New Roman" w:hAnsi="Times New Roman"/>
        </w:rPr>
        <w:t xml:space="preserve">responses is </w:t>
      </w:r>
      <w:r>
        <w:rPr>
          <w:rFonts w:ascii="Times New Roman" w:hAnsi="Times New Roman"/>
        </w:rPr>
        <w:t>8</w:t>
      </w:r>
      <w:r w:rsidRPr="00115304">
        <w:rPr>
          <w:rFonts w:ascii="Times New Roman" w:hAnsi="Times New Roman"/>
        </w:rPr>
        <w:t xml:space="preserve">,000. </w:t>
      </w:r>
      <w:r>
        <w:rPr>
          <w:rFonts w:ascii="Times New Roman" w:hAnsi="Times New Roman"/>
        </w:rPr>
        <w:t xml:space="preserve">Since </w:t>
      </w:r>
      <w:r w:rsidRPr="00115304">
        <w:rPr>
          <w:rFonts w:ascii="Times New Roman" w:hAnsi="Times New Roman"/>
        </w:rPr>
        <w:t>the specified rifles</w:t>
      </w:r>
      <w:r>
        <w:rPr>
          <w:rFonts w:ascii="Times New Roman" w:hAnsi="Times New Roman"/>
        </w:rPr>
        <w:t>, i.e., (a) semi-automatic,</w:t>
      </w:r>
      <w:r w:rsidRPr="00115304">
        <w:rPr>
          <w:rFonts w:ascii="Times New Roman" w:hAnsi="Times New Roman"/>
        </w:rPr>
        <w:t xml:space="preserve"> (b) a caliber greater than .22 (including .223/5.56 caliber)</w:t>
      </w:r>
      <w:r>
        <w:rPr>
          <w:rFonts w:ascii="Times New Roman" w:hAnsi="Times New Roman"/>
        </w:rPr>
        <w:t xml:space="preserve">, </w:t>
      </w:r>
      <w:r w:rsidRPr="00115304">
        <w:rPr>
          <w:rFonts w:ascii="Times New Roman" w:hAnsi="Times New Roman"/>
        </w:rPr>
        <w:t xml:space="preserve">and (c) the ability to accept a </w:t>
      </w:r>
      <w:r>
        <w:rPr>
          <w:rFonts w:ascii="Times New Roman" w:hAnsi="Times New Roman"/>
        </w:rPr>
        <w:t>detachable magazine,</w:t>
      </w:r>
      <w:r w:rsidRPr="00115304">
        <w:rPr>
          <w:rFonts w:ascii="Times New Roman" w:hAnsi="Times New Roman"/>
        </w:rPr>
        <w:t xml:space="preserve"> are a subset of the long gun category, we estimate we will receive </w:t>
      </w:r>
      <w:r>
        <w:rPr>
          <w:rFonts w:ascii="Times New Roman" w:hAnsi="Times New Roman"/>
        </w:rPr>
        <w:t>8</w:t>
      </w:r>
      <w:r w:rsidRPr="00115304">
        <w:rPr>
          <w:rFonts w:ascii="Times New Roman" w:hAnsi="Times New Roman"/>
        </w:rPr>
        <w:t xml:space="preserve">,000 responses from FFLs located in the four </w:t>
      </w:r>
      <w:r>
        <w:rPr>
          <w:rFonts w:ascii="Times New Roman" w:hAnsi="Times New Roman"/>
        </w:rPr>
        <w:t>S</w:t>
      </w:r>
      <w:r w:rsidRPr="00115304">
        <w:rPr>
          <w:rFonts w:ascii="Times New Roman" w:hAnsi="Times New Roman"/>
        </w:rPr>
        <w:t>outhwest border states</w:t>
      </w:r>
      <w:r>
        <w:rPr>
          <w:rFonts w:ascii="Times New Roman" w:hAnsi="Times New Roman"/>
        </w:rPr>
        <w:t xml:space="preserve">, i.e., Arizona, </w:t>
      </w:r>
      <w:r w:rsidRPr="00504648">
        <w:rPr>
          <w:rFonts w:ascii="Times New Roman" w:hAnsi="Times New Roman"/>
        </w:rPr>
        <w:t xml:space="preserve">California, </w:t>
      </w:r>
      <w:r w:rsidRPr="00504648">
        <w:rPr>
          <w:rFonts w:ascii="Times New Roman" w:hAnsi="Times New Roman"/>
        </w:rPr>
        <w:t xml:space="preserve">New </w:t>
      </w:r>
      <w:r w:rsidRPr="00AE487F">
        <w:rPr>
          <w:rFonts w:ascii="Times New Roman" w:hAnsi="Times New Roman"/>
        </w:rPr>
        <w:t>Mexico</w:t>
      </w:r>
      <w:r w:rsidRPr="00AE487F">
        <w:rPr>
          <w:rFonts w:ascii="Times New Roman" w:hAnsi="Times New Roman"/>
        </w:rPr>
        <w:t xml:space="preserve"> and Texas</w:t>
      </w:r>
      <w:r w:rsidRPr="00115304">
        <w:rPr>
          <w:rFonts w:ascii="Times New Roman" w:hAnsi="Times New Roman"/>
        </w:rPr>
        <w:t xml:space="preserve">. We </w:t>
      </w:r>
      <w:r>
        <w:rPr>
          <w:rFonts w:ascii="Times New Roman" w:hAnsi="Times New Roman"/>
        </w:rPr>
        <w:t xml:space="preserve">also anticipate that respondents </w:t>
      </w:r>
      <w:r w:rsidRPr="00115304">
        <w:rPr>
          <w:rFonts w:ascii="Times New Roman" w:hAnsi="Times New Roman"/>
        </w:rPr>
        <w:t>will take 12 minutes to complete</w:t>
      </w:r>
      <w:r>
        <w:rPr>
          <w:rFonts w:ascii="Times New Roman" w:hAnsi="Times New Roman"/>
        </w:rPr>
        <w:t xml:space="preserve"> each report. </w:t>
      </w:r>
      <w:r w:rsidRPr="00115304">
        <w:rPr>
          <w:rFonts w:ascii="Times New Roman" w:hAnsi="Times New Roman"/>
        </w:rPr>
        <w:t xml:space="preserve">The estimated total annual burden is </w:t>
      </w:r>
      <w:r>
        <w:rPr>
          <w:rFonts w:ascii="Times New Roman" w:hAnsi="Times New Roman"/>
        </w:rPr>
        <w:t>1,6</w:t>
      </w:r>
      <w:r w:rsidRPr="00115304">
        <w:rPr>
          <w:rFonts w:ascii="Times New Roman" w:hAnsi="Times New Roman"/>
        </w:rPr>
        <w:t>00 hours (</w:t>
      </w:r>
      <w:r>
        <w:rPr>
          <w:rFonts w:ascii="Times New Roman" w:hAnsi="Times New Roman"/>
        </w:rPr>
        <w:t>8</w:t>
      </w:r>
      <w:r w:rsidRPr="00115304">
        <w:rPr>
          <w:rFonts w:ascii="Times New Roman" w:hAnsi="Times New Roman"/>
        </w:rPr>
        <w:t>,000 responses x 12 minutes divided by 60).</w:t>
      </w:r>
    </w:p>
    <w:p w:rsidR="004337BA" w:rsidRPr="00D53DEB" w:rsidP="004337BA" w14:paraId="0C161E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0A5EE58C">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r w:rsidR="004337BA">
        <w:rPr>
          <w:b/>
          <w:bCs/>
        </w:rPr>
        <w:t xml:space="preserve">  </w:t>
      </w:r>
      <w:r w:rsidRPr="004337BA" w:rsidR="004337BA">
        <w:t xml:space="preserve">This request for approval does not </w:t>
      </w:r>
      <w:r w:rsidR="005741E2">
        <w:t>c</w:t>
      </w:r>
      <w:r w:rsidRPr="004337BA" w:rsidR="004337BA">
        <w:t>over more than one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89"/>
        <w:gridCol w:w="1434"/>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8C6A87" w14:paraId="4E4E0FA6" w14:textId="17DFDA45">
            <w:pPr>
              <w:jc w:val="right"/>
              <w:rPr>
                <w:rFonts w:ascii="Times New Roman" w:hAnsi="Times New Roman"/>
                <w:sz w:val="22"/>
                <w:szCs w:val="22"/>
              </w:rPr>
            </w:pPr>
            <w:r>
              <w:rPr>
                <w:rFonts w:ascii="Times New Roman" w:hAnsi="Times New Roman"/>
                <w:sz w:val="22"/>
                <w:szCs w:val="22"/>
              </w:rPr>
              <w:t>Name of collection instrument</w:t>
            </w:r>
          </w:p>
        </w:tc>
        <w:tc>
          <w:tcPr>
            <w:tcW w:w="1415" w:type="dxa"/>
            <w:vAlign w:val="bottom"/>
          </w:tcPr>
          <w:p w:rsidR="003908B9" w:rsidRPr="008F47CB" w:rsidP="008C6A87" w14:paraId="23BB2474" w14:textId="28803C33">
            <w:pPr>
              <w:jc w:val="right"/>
              <w:rPr>
                <w:rFonts w:ascii="Times New Roman" w:hAnsi="Times New Roman"/>
                <w:sz w:val="22"/>
                <w:szCs w:val="22"/>
              </w:rPr>
            </w:pPr>
            <w:r>
              <w:rPr>
                <w:rFonts w:ascii="Times New Roman" w:hAnsi="Times New Roman"/>
                <w:sz w:val="22"/>
                <w:szCs w:val="22"/>
              </w:rPr>
              <w:t>10,000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40B3B59F">
            <w:pPr>
              <w:jc w:val="right"/>
              <w:rPr>
                <w:rFonts w:ascii="Times New Roman" w:hAnsi="Times New Roman"/>
                <w:sz w:val="22"/>
                <w:szCs w:val="22"/>
              </w:rPr>
            </w:pPr>
            <w:r>
              <w:rPr>
                <w:rFonts w:ascii="Times New Roman" w:hAnsi="Times New Roman"/>
                <w:sz w:val="22"/>
                <w:szCs w:val="22"/>
              </w:rPr>
              <w:t>80</w:t>
            </w:r>
            <w:r w:rsidR="003C7C8C">
              <w:rPr>
                <w:rFonts w:ascii="Times New Roman" w:hAnsi="Times New Roman"/>
                <w:sz w:val="22"/>
                <w:szCs w:val="22"/>
              </w:rPr>
              <w:t>00</w:t>
            </w:r>
          </w:p>
        </w:tc>
        <w:tc>
          <w:tcPr>
            <w:tcW w:w="1097" w:type="dxa"/>
            <w:vAlign w:val="bottom"/>
          </w:tcPr>
          <w:p w:rsidR="003908B9" w:rsidRPr="008F47CB" w:rsidP="008C6A87" w14:paraId="3704ADCE" w14:textId="0B5833D2">
            <w:pPr>
              <w:jc w:val="right"/>
              <w:rPr>
                <w:rFonts w:ascii="Times New Roman" w:hAnsi="Times New Roman"/>
                <w:sz w:val="22"/>
                <w:szCs w:val="22"/>
              </w:rPr>
            </w:pPr>
            <w:r>
              <w:rPr>
                <w:rFonts w:ascii="Times New Roman" w:hAnsi="Times New Roman"/>
                <w:sz w:val="22"/>
                <w:szCs w:val="22"/>
              </w:rPr>
              <w:t>12</w:t>
            </w:r>
            <w:r w:rsidR="000114C0">
              <w:rPr>
                <w:rFonts w:ascii="Times New Roman" w:hAnsi="Times New Roman"/>
                <w:sz w:val="22"/>
                <w:szCs w:val="22"/>
              </w:rPr>
              <w:t>min</w:t>
            </w:r>
          </w:p>
        </w:tc>
        <w:tc>
          <w:tcPr>
            <w:tcW w:w="950" w:type="dxa"/>
            <w:vAlign w:val="bottom"/>
          </w:tcPr>
          <w:p w:rsidR="003908B9" w:rsidRPr="008F47CB" w:rsidP="008C6A87" w14:paraId="498C761A" w14:textId="688E961C">
            <w:pPr>
              <w:jc w:val="right"/>
              <w:rPr>
                <w:rFonts w:ascii="Times New Roman" w:hAnsi="Times New Roman"/>
                <w:sz w:val="22"/>
                <w:szCs w:val="22"/>
              </w:rPr>
            </w:pPr>
            <w:r>
              <w:rPr>
                <w:rFonts w:ascii="Times New Roman" w:hAnsi="Times New Roman"/>
                <w:sz w:val="22"/>
                <w:szCs w:val="22"/>
              </w:rPr>
              <w:t>1</w:t>
            </w:r>
            <w:r w:rsidR="003C7C8C">
              <w:rPr>
                <w:rFonts w:ascii="Times New Roman" w:hAnsi="Times New Roman"/>
                <w:sz w:val="22"/>
                <w:szCs w:val="22"/>
              </w:rPr>
              <w:t>600</w:t>
            </w:r>
          </w:p>
        </w:tc>
        <w:tc>
          <w:tcPr>
            <w:tcW w:w="889" w:type="dxa"/>
            <w:vAlign w:val="bottom"/>
          </w:tcPr>
          <w:p w:rsidR="003908B9" w:rsidRPr="008F47CB" w:rsidP="008C6A87" w14:paraId="2C9B9B1D" w14:textId="1F98E8B2">
            <w:pPr>
              <w:jc w:val="right"/>
              <w:rPr>
                <w:rFonts w:ascii="Times New Roman" w:hAnsi="Times New Roman"/>
                <w:sz w:val="22"/>
                <w:szCs w:val="22"/>
              </w:rPr>
            </w:pPr>
            <w:r>
              <w:rPr>
                <w:rFonts w:ascii="Times New Roman" w:hAnsi="Times New Roman"/>
                <w:sz w:val="22"/>
                <w:szCs w:val="22"/>
              </w:rPr>
              <w:t>$</w:t>
            </w:r>
            <w:r w:rsidR="003C7C8C">
              <w:rPr>
                <w:rFonts w:ascii="Times New Roman" w:hAnsi="Times New Roman"/>
                <w:sz w:val="22"/>
                <w:szCs w:val="22"/>
              </w:rPr>
              <w:t>16.70</w:t>
            </w:r>
          </w:p>
        </w:tc>
        <w:tc>
          <w:tcPr>
            <w:tcW w:w="1434" w:type="dxa"/>
            <w:vAlign w:val="bottom"/>
          </w:tcPr>
          <w:p w:rsidR="003908B9" w:rsidRPr="008F47CB" w:rsidP="008C6A87" w14:paraId="689A6EF1" w14:textId="4299A8B5">
            <w:pPr>
              <w:jc w:val="right"/>
              <w:rPr>
                <w:rFonts w:ascii="Times New Roman" w:hAnsi="Times New Roman"/>
                <w:sz w:val="22"/>
                <w:szCs w:val="22"/>
              </w:rPr>
            </w:pPr>
            <w:r>
              <w:rPr>
                <w:rFonts w:ascii="Times New Roman" w:hAnsi="Times New Roman"/>
                <w:sz w:val="22"/>
                <w:szCs w:val="22"/>
              </w:rPr>
              <w:t>$</w:t>
            </w:r>
            <w:r w:rsidR="00171189">
              <w:rPr>
                <w:rFonts w:ascii="Times New Roman" w:hAnsi="Times New Roman"/>
                <w:sz w:val="22"/>
                <w:szCs w:val="22"/>
              </w:rPr>
              <w:t>26,720</w:t>
            </w:r>
          </w:p>
        </w:tc>
      </w:tr>
      <w:tr w14:paraId="28A27403" w14:textId="77777777" w:rsidTr="00501A15">
        <w:tblPrEx>
          <w:tblW w:w="9625"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889" w:type="dxa"/>
            <w:vAlign w:val="bottom"/>
          </w:tcPr>
          <w:p w:rsidR="003908B9" w:rsidRPr="008F47CB" w:rsidP="008C6A87" w14:paraId="52BBFE45" w14:textId="77777777">
            <w:pPr>
              <w:jc w:val="right"/>
              <w:rPr>
                <w:rFonts w:ascii="Times New Roman" w:hAnsi="Times New Roman"/>
                <w:sz w:val="22"/>
                <w:szCs w:val="22"/>
              </w:rPr>
            </w:pPr>
          </w:p>
        </w:tc>
        <w:tc>
          <w:tcPr>
            <w:tcW w:w="1434"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501A15">
        <w:tblPrEx>
          <w:tblW w:w="9625" w:type="dxa"/>
          <w:tblLook w:val="04A0"/>
        </w:tblPrEx>
        <w:tc>
          <w:tcPr>
            <w:tcW w:w="1439"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889" w:type="dxa"/>
            <w:vAlign w:val="bottom"/>
          </w:tcPr>
          <w:p w:rsidR="003908B9" w:rsidRPr="008F47CB" w:rsidP="008C6A87" w14:paraId="1869DBC4" w14:textId="77777777">
            <w:pPr>
              <w:jc w:val="right"/>
              <w:rPr>
                <w:rFonts w:ascii="Times New Roman" w:hAnsi="Times New Roman"/>
                <w:sz w:val="22"/>
                <w:szCs w:val="22"/>
              </w:rPr>
            </w:pPr>
          </w:p>
        </w:tc>
        <w:tc>
          <w:tcPr>
            <w:tcW w:w="1434" w:type="dxa"/>
            <w:vAlign w:val="bottom"/>
          </w:tcPr>
          <w:p w:rsidR="003908B9" w:rsidRPr="008F47CB" w:rsidP="008C6A87" w14:paraId="3020B04B" w14:textId="77777777">
            <w:pPr>
              <w:jc w:val="right"/>
              <w:rPr>
                <w:rFonts w:ascii="Times New Roman" w:hAnsi="Times New Roman"/>
                <w:sz w:val="22"/>
                <w:szCs w:val="22"/>
              </w:rPr>
            </w:pPr>
          </w:p>
        </w:tc>
      </w:tr>
      <w:tr w14:paraId="4F62D8EB" w14:textId="77777777" w:rsidTr="00501A15">
        <w:tblPrEx>
          <w:tblW w:w="9625" w:type="dxa"/>
          <w:tblLook w:val="04A0"/>
        </w:tblPrEx>
        <w:tc>
          <w:tcPr>
            <w:tcW w:w="1439" w:type="dxa"/>
            <w:vAlign w:val="bottom"/>
          </w:tcPr>
          <w:p w:rsidR="00403B06" w:rsidRPr="008F47CB" w:rsidP="008C6A87" w14:paraId="1182DFD4" w14:textId="77777777">
            <w:pPr>
              <w:jc w:val="right"/>
              <w:rPr>
                <w:rFonts w:ascii="Times New Roman" w:hAnsi="Times New Roman"/>
                <w:sz w:val="22"/>
                <w:szCs w:val="22"/>
              </w:rPr>
            </w:pPr>
          </w:p>
        </w:tc>
        <w:tc>
          <w:tcPr>
            <w:tcW w:w="1415" w:type="dxa"/>
            <w:vAlign w:val="bottom"/>
          </w:tcPr>
          <w:p w:rsidR="00403B06" w:rsidRPr="008F47CB" w:rsidP="008C6A87" w14:paraId="64D194D1" w14:textId="77777777">
            <w:pPr>
              <w:jc w:val="right"/>
              <w:rPr>
                <w:rFonts w:ascii="Times New Roman" w:hAnsi="Times New Roman"/>
                <w:sz w:val="22"/>
                <w:szCs w:val="22"/>
              </w:rPr>
            </w:pPr>
          </w:p>
        </w:tc>
        <w:tc>
          <w:tcPr>
            <w:tcW w:w="1219" w:type="dxa"/>
            <w:vAlign w:val="bottom"/>
          </w:tcPr>
          <w:p w:rsidR="00403B06" w:rsidRPr="008F47CB" w:rsidP="008C6A87" w14:paraId="5746F6BB" w14:textId="77777777">
            <w:pPr>
              <w:jc w:val="right"/>
              <w:rPr>
                <w:rFonts w:ascii="Times New Roman" w:hAnsi="Times New Roman"/>
                <w:sz w:val="22"/>
                <w:szCs w:val="22"/>
              </w:rPr>
            </w:pPr>
          </w:p>
        </w:tc>
        <w:tc>
          <w:tcPr>
            <w:tcW w:w="1182" w:type="dxa"/>
            <w:vAlign w:val="bottom"/>
          </w:tcPr>
          <w:p w:rsidR="00403B06" w:rsidRPr="008F47CB" w:rsidP="008C6A87" w14:paraId="587457D9" w14:textId="77777777">
            <w:pPr>
              <w:jc w:val="right"/>
              <w:rPr>
                <w:rFonts w:ascii="Times New Roman" w:hAnsi="Times New Roman"/>
                <w:sz w:val="22"/>
                <w:szCs w:val="22"/>
              </w:rPr>
            </w:pPr>
          </w:p>
        </w:tc>
        <w:tc>
          <w:tcPr>
            <w:tcW w:w="1097" w:type="dxa"/>
            <w:vAlign w:val="bottom"/>
          </w:tcPr>
          <w:p w:rsidR="00403B06" w:rsidRPr="008F47CB" w:rsidP="008C6A87" w14:paraId="025AF99A" w14:textId="77777777">
            <w:pPr>
              <w:jc w:val="right"/>
              <w:rPr>
                <w:rFonts w:ascii="Times New Roman" w:hAnsi="Times New Roman"/>
                <w:sz w:val="22"/>
                <w:szCs w:val="22"/>
              </w:rPr>
            </w:pPr>
          </w:p>
        </w:tc>
        <w:tc>
          <w:tcPr>
            <w:tcW w:w="950" w:type="dxa"/>
            <w:vAlign w:val="bottom"/>
          </w:tcPr>
          <w:p w:rsidR="00403B06" w:rsidRPr="008F47CB" w:rsidP="008C6A87" w14:paraId="77262D48" w14:textId="77777777">
            <w:pPr>
              <w:jc w:val="right"/>
              <w:rPr>
                <w:rFonts w:ascii="Times New Roman" w:hAnsi="Times New Roman"/>
                <w:sz w:val="22"/>
                <w:szCs w:val="22"/>
              </w:rPr>
            </w:pPr>
          </w:p>
        </w:tc>
        <w:tc>
          <w:tcPr>
            <w:tcW w:w="889" w:type="dxa"/>
            <w:vAlign w:val="bottom"/>
          </w:tcPr>
          <w:p w:rsidR="00403B06" w:rsidRPr="008F47CB" w:rsidP="008C6A87" w14:paraId="0EA42709" w14:textId="77777777">
            <w:pPr>
              <w:jc w:val="right"/>
              <w:rPr>
                <w:rFonts w:ascii="Times New Roman" w:hAnsi="Times New Roman"/>
                <w:sz w:val="22"/>
                <w:szCs w:val="22"/>
              </w:rPr>
            </w:pPr>
          </w:p>
        </w:tc>
        <w:tc>
          <w:tcPr>
            <w:tcW w:w="1434" w:type="dxa"/>
            <w:vAlign w:val="bottom"/>
          </w:tcPr>
          <w:p w:rsidR="00403B06" w:rsidRPr="008F47CB" w:rsidP="008C6A87" w14:paraId="4A7A42D6" w14:textId="77777777">
            <w:pPr>
              <w:jc w:val="right"/>
              <w:rPr>
                <w:rFonts w:ascii="Times New Roman" w:hAnsi="Times New Roman"/>
                <w:sz w:val="22"/>
                <w:szCs w:val="22"/>
              </w:rPr>
            </w:pPr>
          </w:p>
        </w:tc>
      </w:tr>
      <w:tr w14:paraId="0A87EBC1" w14:textId="77777777" w:rsidTr="00501A15">
        <w:tblPrEx>
          <w:tblW w:w="9625" w:type="dxa"/>
          <w:tblLook w:val="04A0"/>
        </w:tblPrEx>
        <w:tc>
          <w:tcPr>
            <w:tcW w:w="1439" w:type="dxa"/>
            <w:vAlign w:val="bottom"/>
          </w:tcPr>
          <w:p w:rsidR="00403B06" w:rsidRPr="008F47CB" w:rsidP="008C6A87" w14:paraId="37C5EA3C" w14:textId="77777777">
            <w:pPr>
              <w:jc w:val="right"/>
              <w:rPr>
                <w:rFonts w:ascii="Times New Roman" w:hAnsi="Times New Roman"/>
                <w:sz w:val="22"/>
                <w:szCs w:val="22"/>
              </w:rPr>
            </w:pPr>
          </w:p>
        </w:tc>
        <w:tc>
          <w:tcPr>
            <w:tcW w:w="1415" w:type="dxa"/>
            <w:vAlign w:val="bottom"/>
          </w:tcPr>
          <w:p w:rsidR="00403B06" w:rsidRPr="008F47CB" w:rsidP="008C6A87" w14:paraId="3EB7E1A7" w14:textId="77777777">
            <w:pPr>
              <w:jc w:val="right"/>
              <w:rPr>
                <w:rFonts w:ascii="Times New Roman" w:hAnsi="Times New Roman"/>
                <w:sz w:val="22"/>
                <w:szCs w:val="22"/>
              </w:rPr>
            </w:pPr>
          </w:p>
        </w:tc>
        <w:tc>
          <w:tcPr>
            <w:tcW w:w="1219" w:type="dxa"/>
            <w:vAlign w:val="bottom"/>
          </w:tcPr>
          <w:p w:rsidR="00403B06" w:rsidRPr="008F47CB" w:rsidP="008C6A87" w14:paraId="2F58A60D" w14:textId="77777777">
            <w:pPr>
              <w:jc w:val="right"/>
              <w:rPr>
                <w:rFonts w:ascii="Times New Roman" w:hAnsi="Times New Roman"/>
                <w:sz w:val="22"/>
                <w:szCs w:val="22"/>
              </w:rPr>
            </w:pPr>
          </w:p>
        </w:tc>
        <w:tc>
          <w:tcPr>
            <w:tcW w:w="1182" w:type="dxa"/>
            <w:vAlign w:val="bottom"/>
          </w:tcPr>
          <w:p w:rsidR="00403B06" w:rsidRPr="008F47CB" w:rsidP="008C6A87" w14:paraId="76E70727" w14:textId="77777777">
            <w:pPr>
              <w:jc w:val="right"/>
              <w:rPr>
                <w:rFonts w:ascii="Times New Roman" w:hAnsi="Times New Roman"/>
                <w:sz w:val="22"/>
                <w:szCs w:val="22"/>
              </w:rPr>
            </w:pPr>
          </w:p>
        </w:tc>
        <w:tc>
          <w:tcPr>
            <w:tcW w:w="1097" w:type="dxa"/>
            <w:vAlign w:val="bottom"/>
          </w:tcPr>
          <w:p w:rsidR="00403B06" w:rsidRPr="008F47CB" w:rsidP="008C6A87" w14:paraId="180A597C" w14:textId="77777777">
            <w:pPr>
              <w:jc w:val="right"/>
              <w:rPr>
                <w:rFonts w:ascii="Times New Roman" w:hAnsi="Times New Roman"/>
                <w:sz w:val="22"/>
                <w:szCs w:val="22"/>
              </w:rPr>
            </w:pPr>
          </w:p>
        </w:tc>
        <w:tc>
          <w:tcPr>
            <w:tcW w:w="950" w:type="dxa"/>
            <w:vAlign w:val="bottom"/>
          </w:tcPr>
          <w:p w:rsidR="00403B06" w:rsidRPr="008F47CB" w:rsidP="008C6A87" w14:paraId="60179654" w14:textId="77777777">
            <w:pPr>
              <w:jc w:val="right"/>
              <w:rPr>
                <w:rFonts w:ascii="Times New Roman" w:hAnsi="Times New Roman"/>
                <w:sz w:val="22"/>
                <w:szCs w:val="22"/>
              </w:rPr>
            </w:pPr>
          </w:p>
        </w:tc>
        <w:tc>
          <w:tcPr>
            <w:tcW w:w="889" w:type="dxa"/>
            <w:vAlign w:val="bottom"/>
          </w:tcPr>
          <w:p w:rsidR="00403B06" w:rsidRPr="008F47CB" w:rsidP="008C6A87" w14:paraId="03EEFBC5" w14:textId="77777777">
            <w:pPr>
              <w:jc w:val="right"/>
              <w:rPr>
                <w:rFonts w:ascii="Times New Roman" w:hAnsi="Times New Roman"/>
                <w:sz w:val="22"/>
                <w:szCs w:val="22"/>
              </w:rPr>
            </w:pPr>
          </w:p>
        </w:tc>
        <w:tc>
          <w:tcPr>
            <w:tcW w:w="1434" w:type="dxa"/>
            <w:vAlign w:val="bottom"/>
          </w:tcPr>
          <w:p w:rsidR="00403B06" w:rsidRPr="008F47CB" w:rsidP="008C6A87" w14:paraId="023D7396"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C30E059">
            <w:pPr>
              <w:jc w:val="right"/>
              <w:rPr>
                <w:rFonts w:ascii="Times New Roman" w:hAnsi="Times New Roman"/>
                <w:b/>
                <w:i/>
                <w:sz w:val="22"/>
                <w:szCs w:val="22"/>
              </w:rPr>
            </w:pP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0A1B8370">
            <w:pPr>
              <w:jc w:val="right"/>
              <w:rPr>
                <w:rFonts w:ascii="Times New Roman" w:hAnsi="Times New Roman"/>
                <w:b/>
                <w:i/>
                <w:sz w:val="22"/>
                <w:szCs w:val="22"/>
              </w:rPr>
            </w:pP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5C8E0FA4">
            <w:pPr>
              <w:jc w:val="right"/>
              <w:rPr>
                <w:rFonts w:ascii="Times New Roman" w:hAnsi="Times New Roman"/>
                <w:b/>
                <w:i/>
                <w:sz w:val="22"/>
                <w:szCs w:val="22"/>
              </w:rPr>
            </w:pPr>
          </w:p>
        </w:tc>
        <w:tc>
          <w:tcPr>
            <w:tcW w:w="889" w:type="dxa"/>
            <w:vAlign w:val="bottom"/>
          </w:tcPr>
          <w:p w:rsidR="00501A15" w:rsidRPr="008F47CB" w:rsidP="00501A15" w14:paraId="7F82B751" w14:textId="50FAEA02">
            <w:pPr>
              <w:jc w:val="right"/>
              <w:rPr>
                <w:rFonts w:ascii="Times New Roman" w:hAnsi="Times New Roman"/>
                <w:b/>
                <w:i/>
                <w:sz w:val="22"/>
                <w:szCs w:val="22"/>
              </w:rPr>
            </w:pPr>
          </w:p>
        </w:tc>
        <w:tc>
          <w:tcPr>
            <w:tcW w:w="1434"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7B331F" w:rsidP="007B331F" w14:paraId="439913CE" w14:textId="77777777">
      <w:pPr>
        <w:widowControl/>
        <w:autoSpaceDE/>
        <w:autoSpaceDN/>
        <w:adjustRightInd/>
        <w:spacing w:line="276" w:lineRule="auto"/>
        <w:contextualSpacing/>
        <w:rPr>
          <w:rFonts w:ascii="Times New Roman" w:hAnsi="Times New Roman"/>
        </w:rPr>
      </w:pPr>
      <w:r w:rsidRPr="007B331F">
        <w:rPr>
          <w:rFonts w:ascii="Times New Roman" w:hAnsi="Times New Roman"/>
        </w:rPr>
        <w:t xml:space="preserve">The estimated number of annual eligible respondents is 10,000, while the estimated number of actual responses is 8,000. Since the specified rifles, i.e., (a) semi-automatic, (b) a caliber greater than .22 (including .223/5.56 caliber), and (c) the ability to accept a detachable magazine, are a subset of the long gun category, we estimate we will receive 8,000 responses from FFLs located in the four Southwest border states, i.e., Arizona, California, </w:t>
      </w:r>
      <w:r w:rsidRPr="007B331F">
        <w:rPr>
          <w:rFonts w:ascii="Times New Roman" w:hAnsi="Times New Roman"/>
        </w:rPr>
        <w:t>New Mexico</w:t>
      </w:r>
      <w:r w:rsidRPr="007B331F">
        <w:rPr>
          <w:rFonts w:ascii="Times New Roman" w:hAnsi="Times New Roman"/>
        </w:rPr>
        <w:t xml:space="preserve"> and Texas. We also anticipate that respondents will take 12 minutes to complete each report. The estimated total annual burden is 1,600 hours (8,000 responses x 12 minutes divided by 60).</w:t>
      </w:r>
    </w:p>
    <w:p w:rsidR="009667BB" w:rsidP="007B331F" w14:paraId="6228B2B3" w14:textId="77777777">
      <w:pPr>
        <w:widowControl/>
        <w:autoSpaceDE/>
        <w:autoSpaceDN/>
        <w:adjustRightInd/>
        <w:spacing w:line="276" w:lineRule="auto"/>
        <w:contextualSpacing/>
        <w:rPr>
          <w:rFonts w:ascii="Times New Roman" w:hAnsi="Times New Roman"/>
        </w:rPr>
      </w:pPr>
    </w:p>
    <w:p w:rsidR="009667BB" w:rsidRPr="00B26EA8" w:rsidP="009667BB" w14:paraId="68549301" w14:textId="77777777">
      <w:pPr>
        <w:widowControl/>
        <w:autoSpaceDE/>
        <w:autoSpaceDN/>
        <w:adjustRightInd/>
        <w:spacing w:line="276" w:lineRule="auto"/>
        <w:contextualSpacing/>
        <w:rPr>
          <w:rFonts w:ascii="Times New Roman" w:hAnsi="Times New Roman"/>
        </w:rPr>
      </w:pPr>
      <w:r w:rsidRPr="00B26EA8">
        <w:rPr>
          <w:rFonts w:ascii="Times New Roman" w:hAnsi="Times New Roman"/>
        </w:rPr>
        <w:t xml:space="preserve">We estimate the average wage for a </w:t>
      </w:r>
      <w:r w:rsidRPr="00B26EA8">
        <w:rPr>
          <w:rFonts w:ascii="Times New Roman" w:hAnsi="Times New Roman"/>
        </w:rPr>
        <w:t>firearms</w:t>
      </w:r>
      <w:r w:rsidRPr="00B26EA8">
        <w:rPr>
          <w:rFonts w:ascii="Times New Roman" w:hAnsi="Times New Roman"/>
        </w:rPr>
        <w:t xml:space="preserve"> sales clerk is $16.70 per hour and postage at $0.51.</w:t>
      </w:r>
      <w:r>
        <w:rPr>
          <w:rStyle w:val="FootnoteReference"/>
          <w:rFonts w:ascii="Times New Roman" w:hAnsi="Times New Roman"/>
        </w:rPr>
        <w:footnoteReference w:id="2"/>
      </w:r>
      <w:r w:rsidRPr="00B26EA8">
        <w:rPr>
          <w:rFonts w:ascii="Times New Roman" w:hAnsi="Times New Roman"/>
          <w:vertAlign w:val="superscript"/>
        </w:rPr>
        <w:t>,</w:t>
      </w:r>
      <w:r>
        <w:rPr>
          <w:rStyle w:val="FootnoteReference"/>
          <w:rFonts w:ascii="Times New Roman" w:hAnsi="Times New Roman"/>
        </w:rPr>
        <w:footnoteReference w:id="3"/>
      </w:r>
      <w:r w:rsidRPr="00B26EA8">
        <w:rPr>
          <w:rFonts w:ascii="Times New Roman" w:hAnsi="Times New Roman"/>
        </w:rPr>
        <w:t xml:space="preserve"> Accordingly, we estimate the total burden on respondents is $30,800.00 annually (1,600 total hourly burden x $16.70 hourly wage rate for a sales clerk) + (postage: $0.51 x 8,000 responses). </w:t>
      </w:r>
    </w:p>
    <w:p w:rsidR="009667BB" w:rsidRPr="007B331F" w:rsidP="007B331F" w14:paraId="0704671E" w14:textId="77777777">
      <w:pPr>
        <w:widowControl/>
        <w:autoSpaceDE/>
        <w:autoSpaceDN/>
        <w:adjustRightInd/>
        <w:spacing w:line="276" w:lineRule="auto"/>
        <w:contextualSpacing/>
        <w:rPr>
          <w:rFonts w:ascii="Times New Roman" w:hAnsi="Times New Roman"/>
        </w:rPr>
      </w:pPr>
    </w:p>
    <w:p w:rsidR="007B331F" w:rsidP="00CD215D" w14:paraId="13D741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7B331F" w:rsidP="00CD215D" w14:paraId="38017F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D215D" w:rsidRPr="00D53DEB" w:rsidP="00CD215D" w14:paraId="4F65FC61" w14:textId="440612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9667BB" w:rsidP="00584F8D" w14:paraId="60519FD7"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
    <w:p w:rsidR="009667BB" w:rsidP="009667BB" w14:paraId="1B5AAA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are/are no start-up costs associated with this collection.</w:t>
      </w:r>
    </w:p>
    <w:p w:rsidR="009667BB" w:rsidRPr="006F6E13" w:rsidP="00584F8D" w14:paraId="46DCEF3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9667BB" w:rsidRPr="00D53DEB" w:rsidP="000E3641" w14:paraId="394733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
    <w:p w:rsidR="00CD215D" w:rsidP="00CD215D" w14:paraId="148E4C51" w14:textId="3C8344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 range of costs are </w:t>
      </w:r>
      <w:r>
        <w:rPr>
          <w:rFonts w:ascii="Times New Roman" w:hAnsi="Times New Roman"/>
        </w:rPr>
        <w:t>estimated</w:t>
      </w:r>
    </w:p>
    <w:p w:rsidR="009667BB" w:rsidRPr="00D53DEB" w:rsidP="00CD215D" w14:paraId="0DE7EB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26EA8" w:rsidP="00690F56" w14:paraId="2918CE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26EA8" w:rsidP="00690F56" w14:paraId="0EEFEC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D83740" w:rsidRPr="00D83740" w:rsidP="00D83740" w14:paraId="44B9A046" w14:textId="44BB5181">
      <w:pPr>
        <w:widowControl/>
        <w:autoSpaceDE/>
        <w:autoSpaceDN/>
        <w:adjustRightInd/>
        <w:spacing w:after="200" w:line="276" w:lineRule="auto"/>
        <w:contextualSpacing/>
        <w:rPr>
          <w:rFonts w:ascii="Times New Roman" w:hAnsi="Times New Roman"/>
          <w:color w:val="000000" w:themeColor="text1"/>
        </w:rPr>
      </w:pPr>
      <w:r w:rsidRPr="00D83740">
        <w:rPr>
          <w:rFonts w:ascii="Times New Roman" w:hAnsi="Times New Roman"/>
        </w:rPr>
        <w:t>The estimated a</w:t>
      </w:r>
      <w:r w:rsidRPr="00D83740">
        <w:rPr>
          <w:rFonts w:ascii="Times New Roman" w:hAnsi="Times New Roman"/>
          <w:color w:val="000000" w:themeColor="text1"/>
        </w:rPr>
        <w:t>nnual cost to the Federal Government is $51,180, which can be calculated as follows:</w:t>
      </w:r>
    </w:p>
    <w:p w:rsidR="00D83740" w:rsidRPr="009E4F79" w:rsidP="00D83740" w14:paraId="204676E5" w14:textId="77777777">
      <w:pPr>
        <w:pStyle w:val="ListParagraph"/>
        <w:rPr>
          <w:rFonts w:ascii="Times New Roman" w:hAnsi="Times New Roman"/>
          <w:color w:val="000000" w:themeColor="text1"/>
        </w:rPr>
      </w:pPr>
    </w:p>
    <w:p w:rsidR="00D83740" w:rsidP="00D83740" w14:paraId="4A4C0462" w14:textId="34987829">
      <w:pPr>
        <w:pStyle w:val="ListParagraph"/>
        <w:ind w:left="1260"/>
        <w:rPr>
          <w:rFonts w:ascii="Times New Roman" w:hAnsi="Times New Roman"/>
          <w:color w:val="000000" w:themeColor="text1"/>
        </w:rPr>
      </w:pPr>
      <w:r>
        <w:rPr>
          <w:rFonts w:ascii="Times New Roman" w:hAnsi="Times New Roman"/>
          <w:color w:val="000000" w:themeColor="text1"/>
        </w:rPr>
        <w:t>Printing Cost:</w:t>
      </w:r>
      <w:r>
        <w:rPr>
          <w:rFonts w:ascii="Times New Roman" w:hAnsi="Times New Roman"/>
          <w:color w:val="000000" w:themeColor="text1"/>
        </w:rPr>
        <w:tab/>
        <w:t xml:space="preserve">         $      200</w:t>
      </w:r>
    </w:p>
    <w:p w:rsidR="00D83740" w:rsidP="00D83740" w14:paraId="61511198" w14:textId="254590AA">
      <w:pPr>
        <w:pStyle w:val="ListParagraph"/>
        <w:ind w:left="1260"/>
        <w:rPr>
          <w:rFonts w:ascii="Times New Roman" w:hAnsi="Times New Roman"/>
          <w:color w:val="000000" w:themeColor="text1"/>
        </w:rPr>
      </w:pPr>
      <w:r>
        <w:rPr>
          <w:rFonts w:ascii="Times New Roman" w:hAnsi="Times New Roman"/>
          <w:color w:val="000000" w:themeColor="text1"/>
        </w:rPr>
        <w:t>Distribution Cost:       $      980</w:t>
      </w:r>
    </w:p>
    <w:p w:rsidR="00D83740" w:rsidP="00D83740" w14:paraId="7E1CE6EE" w14:textId="77777777">
      <w:pPr>
        <w:pStyle w:val="ListParagraph"/>
        <w:ind w:left="1260"/>
        <w:rPr>
          <w:rFonts w:ascii="Times New Roman" w:hAnsi="Times New Roman"/>
          <w:color w:val="000000" w:themeColor="text1"/>
          <w:u w:val="single"/>
        </w:rPr>
      </w:pPr>
      <w:r>
        <w:rPr>
          <w:rFonts w:ascii="Times New Roman" w:hAnsi="Times New Roman"/>
          <w:color w:val="000000" w:themeColor="text1"/>
        </w:rPr>
        <w:t xml:space="preserve">Labor Cost:                 </w:t>
      </w:r>
      <w:r w:rsidRPr="007053E0">
        <w:rPr>
          <w:rFonts w:ascii="Times New Roman" w:hAnsi="Times New Roman"/>
          <w:color w:val="000000" w:themeColor="text1"/>
          <w:u w:val="single"/>
        </w:rPr>
        <w:t>$ 50,</w:t>
      </w:r>
      <w:r>
        <w:rPr>
          <w:rFonts w:ascii="Times New Roman" w:hAnsi="Times New Roman"/>
          <w:color w:val="000000" w:themeColor="text1"/>
          <w:u w:val="single"/>
        </w:rPr>
        <w:t xml:space="preserve"> </w:t>
      </w:r>
      <w:r w:rsidRPr="007053E0">
        <w:rPr>
          <w:rFonts w:ascii="Times New Roman" w:hAnsi="Times New Roman"/>
          <w:color w:val="000000" w:themeColor="text1"/>
          <w:u w:val="single"/>
        </w:rPr>
        <w:t xml:space="preserve">000 </w:t>
      </w:r>
    </w:p>
    <w:p w:rsidR="00D83740" w:rsidP="00D83740" w14:paraId="35D43C30" w14:textId="77777777">
      <w:pPr>
        <w:pStyle w:val="ListParagraph"/>
        <w:ind w:left="1260"/>
        <w:rPr>
          <w:rFonts w:ascii="Times New Roman" w:hAnsi="Times New Roman"/>
          <w:b/>
          <w:color w:val="000000" w:themeColor="text1"/>
        </w:rPr>
      </w:pPr>
      <w:r w:rsidRPr="007053E0">
        <w:rPr>
          <w:rFonts w:ascii="Times New Roman" w:hAnsi="Times New Roman"/>
          <w:color w:val="000000" w:themeColor="text1"/>
        </w:rPr>
        <w:t xml:space="preserve">                                  </w:t>
      </w:r>
      <w:r w:rsidRPr="007053E0">
        <w:rPr>
          <w:rFonts w:ascii="Times New Roman" w:hAnsi="Times New Roman"/>
          <w:b/>
          <w:color w:val="000000" w:themeColor="text1"/>
        </w:rPr>
        <w:t xml:space="preserve">  $ 51,</w:t>
      </w:r>
      <w:r>
        <w:rPr>
          <w:rFonts w:ascii="Times New Roman" w:hAnsi="Times New Roman"/>
          <w:b/>
          <w:color w:val="000000" w:themeColor="text1"/>
        </w:rPr>
        <w:t xml:space="preserve"> </w:t>
      </w:r>
      <w:r w:rsidRPr="007053E0">
        <w:rPr>
          <w:rFonts w:ascii="Times New Roman" w:hAnsi="Times New Roman"/>
          <w:b/>
          <w:color w:val="000000" w:themeColor="text1"/>
        </w:rPr>
        <w:t>180</w:t>
      </w:r>
    </w:p>
    <w:p w:rsidR="009667BB" w:rsidRPr="007053E0" w:rsidP="00D83740" w14:paraId="29E45331" w14:textId="77777777">
      <w:pPr>
        <w:pStyle w:val="ListParagraph"/>
        <w:ind w:left="1260"/>
        <w:rPr>
          <w:rFonts w:ascii="Times New Roman" w:hAnsi="Times New Roman"/>
          <w:b/>
          <w:color w:val="000000" w:themeColor="text1"/>
        </w:rPr>
      </w:pPr>
    </w:p>
    <w:p w:rsidR="00690F56" w:rsidRPr="00A47DA7" w:rsidP="00EB7258"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D83740" w:rsidRPr="00D83740" w:rsidP="00D83740" w14:paraId="748C60C8" w14:textId="1A01EBED">
      <w:pPr>
        <w:widowControl/>
        <w:autoSpaceDE/>
        <w:autoSpaceDN/>
        <w:adjustRightInd/>
        <w:spacing w:after="200" w:line="276" w:lineRule="auto"/>
        <w:contextualSpacing/>
        <w:rPr>
          <w:rFonts w:ascii="Times New Roman" w:hAnsi="Times New Roman"/>
          <w:color w:val="000000" w:themeColor="text1"/>
        </w:rPr>
      </w:pPr>
      <w:r w:rsidRPr="00D83740">
        <w:rPr>
          <w:rFonts w:ascii="Times New Roman" w:hAnsi="Times New Roman"/>
          <w:color w:val="000000" w:themeColor="text1"/>
        </w:rPr>
        <w:t xml:space="preserve">The burden adjustments associated with this collection include an increase in the number of respondents (10,000) and responses (8,000). Consequently, the collection burden hours and public cost burden have also </w:t>
      </w:r>
      <w:r>
        <w:rPr>
          <w:rFonts w:ascii="Times New Roman" w:hAnsi="Times New Roman"/>
          <w:color w:val="000000" w:themeColor="text1"/>
        </w:rPr>
        <w:t>increased</w:t>
      </w:r>
      <w:r w:rsidRPr="00D83740">
        <w:rPr>
          <w:rFonts w:ascii="Times New Roman" w:hAnsi="Times New Roman"/>
          <w:color w:val="000000" w:themeColor="text1"/>
        </w:rPr>
        <w:t xml:space="preserve"> by 1,600 and $30,800. The recalculated burden for this collection corresponds with the </w:t>
      </w:r>
      <w:r w:rsidRPr="00D83740">
        <w:rPr>
          <w:rFonts w:ascii="Times New Roman" w:hAnsi="Times New Roman"/>
          <w:color w:val="000000" w:themeColor="text1"/>
        </w:rPr>
        <w:t>amount</w:t>
      </w:r>
      <w:r w:rsidRPr="00D83740">
        <w:rPr>
          <w:rFonts w:ascii="Times New Roman" w:hAnsi="Times New Roman"/>
          <w:color w:val="000000" w:themeColor="text1"/>
        </w:rPr>
        <w:t xml:space="preserve"> of responses received for this collection recently, which have </w:t>
      </w:r>
      <w:r>
        <w:rPr>
          <w:rFonts w:ascii="Times New Roman" w:hAnsi="Times New Roman"/>
          <w:color w:val="000000" w:themeColor="text1"/>
        </w:rPr>
        <w:t>increased</w:t>
      </w:r>
      <w:r w:rsidRPr="00D83740">
        <w:rPr>
          <w:rFonts w:ascii="Times New Roman" w:hAnsi="Times New Roman"/>
          <w:color w:val="000000" w:themeColor="text1"/>
        </w:rPr>
        <w:t xml:space="preserve"> since the last renewal in 2019. </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EB7258" w:rsidRPr="00EB7258" w:rsidP="00EB7258" w14:paraId="179F0AAB" w14:textId="77777777">
      <w:pPr>
        <w:widowControl/>
        <w:autoSpaceDE/>
        <w:autoSpaceDN/>
        <w:adjustRightInd/>
        <w:spacing w:line="276" w:lineRule="auto"/>
        <w:contextualSpacing/>
        <w:rPr>
          <w:rFonts w:ascii="Times New Roman" w:hAnsi="Times New Roman"/>
          <w:color w:val="000000" w:themeColor="text1"/>
        </w:rPr>
      </w:pPr>
      <w:r w:rsidRPr="00EB7258">
        <w:rPr>
          <w:rFonts w:ascii="Times New Roman" w:hAnsi="Times New Roman"/>
          <w:color w:val="000000" w:themeColor="text1"/>
        </w:rPr>
        <w:t>The results of this information collection will not be published.</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EB7258" w:rsidRPr="00EB7258" w:rsidP="00EB7258" w14:paraId="5DE107C2" w14:textId="77777777">
      <w:pPr>
        <w:widowControl/>
        <w:autoSpaceDE/>
        <w:autoSpaceDN/>
        <w:adjustRightInd/>
        <w:spacing w:line="276" w:lineRule="auto"/>
        <w:contextualSpacing/>
        <w:rPr>
          <w:rFonts w:ascii="Times New Roman" w:hAnsi="Times New Roman"/>
        </w:rPr>
      </w:pPr>
      <w:r w:rsidRPr="00EB7258">
        <w:rPr>
          <w:rFonts w:ascii="Times New Roman" w:hAnsi="Times New Roman"/>
        </w:rPr>
        <w:t xml:space="preserve">Printing the expiration date on this form will result in increased cost to replace inventories that become </w:t>
      </w:r>
      <w:r w:rsidRPr="00EB7258">
        <w:rPr>
          <w:rFonts w:ascii="Times New Roman" w:hAnsi="Times New Roman"/>
        </w:rPr>
        <w:t>obsolete, when</w:t>
      </w:r>
      <w:r w:rsidRPr="00EB7258">
        <w:rPr>
          <w:rFonts w:ascii="Times New Roman" w:hAnsi="Times New Roman"/>
        </w:rPr>
        <w:t xml:space="preserve"> OMB issues a new expiration date for this collection. ATF must </w:t>
      </w:r>
      <w:r w:rsidRPr="00EB7258">
        <w:rPr>
          <w:rFonts w:ascii="Times New Roman" w:hAnsi="Times New Roman"/>
        </w:rPr>
        <w:t>maintain a substantial inventory of forms at the Distribution Center at all times</w:t>
      </w:r>
      <w:r w:rsidRPr="00EB7258">
        <w:rPr>
          <w:rFonts w:ascii="Times New Roman" w:hAnsi="Times New Roman"/>
        </w:rPr>
        <w:t>. For these reasons, ATF requests authorization to omit printing the expiration date on the form.</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32F98" w:rsidRPr="00EB7258" w:rsidP="00EB7258" w14:paraId="3E8CBCDA" w14:textId="4096C913">
      <w:pPr>
        <w:pStyle w:val="ListParagraph"/>
        <w:widowControl/>
        <w:numPr>
          <w:ilvl w:val="0"/>
          <w:numId w:val="8"/>
        </w:numPr>
        <w:autoSpaceDE/>
        <w:autoSpaceDN/>
        <w:adjustRightInd/>
        <w:spacing w:after="200" w:line="276" w:lineRule="auto"/>
        <w:rPr>
          <w:rFonts w:ascii="Times New Roman" w:hAnsi="Times New Roman"/>
        </w:rPr>
      </w:pPr>
      <w:r w:rsidRPr="00EB7258">
        <w:rPr>
          <w:rFonts w:ascii="Times New Roman" w:hAnsi="Times New Roman"/>
          <w:b/>
          <w:bCs/>
        </w:rPr>
        <w:t>COLLECTIONS OF INFORMATON EMPLOYING STATISTICAL METHODS.</w:t>
      </w:r>
      <w:r w:rsidR="00EB7258">
        <w:rPr>
          <w:rFonts w:ascii="Times New Roman" w:hAnsi="Times New Roman"/>
          <w:b/>
          <w:bCs/>
        </w:rPr>
        <w:t xml:space="preserve"> </w:t>
      </w:r>
      <w:r w:rsidRPr="00EB7258" w:rsidR="006E63C6">
        <w:rPr>
          <w:rFonts w:ascii="Times New Roman" w:hAnsi="Times New Roman"/>
        </w:rPr>
        <w:t>This collection</w:t>
      </w:r>
      <w:r w:rsidRPr="00EB7258" w:rsidR="00CC1B60">
        <w:rPr>
          <w:rFonts w:ascii="Times New Roman" w:hAnsi="Times New Roman"/>
        </w:rPr>
        <w:t xml:space="preserve"> does/does not</w:t>
      </w:r>
      <w:r w:rsidRPr="00EB7258" w:rsidR="006E63C6">
        <w:rPr>
          <w:rFonts w:ascii="Times New Roman" w:hAnsi="Times New Roman"/>
        </w:rPr>
        <w:t xml:space="preserve"> contain statistical data.</w:t>
      </w: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288C" w14:paraId="4C1908EE" w14:textId="77777777">
      <w:r>
        <w:separator/>
      </w:r>
    </w:p>
  </w:footnote>
  <w:footnote w:type="continuationSeparator" w:id="1">
    <w:p w:rsidR="00C2288C" w14:paraId="652CB19F" w14:textId="77777777">
      <w:r>
        <w:continuationSeparator/>
      </w:r>
    </w:p>
  </w:footnote>
  <w:footnote w:id="2">
    <w:p w:rsidR="009667BB" w:rsidRPr="006D1745" w:rsidP="009667BB" w14:paraId="0F988181" w14:textId="77777777">
      <w:pPr>
        <w:pStyle w:val="FootnoteText"/>
        <w:rPr>
          <w:rFonts w:ascii="Times New Roman" w:hAnsi="Times New Roman"/>
        </w:rPr>
      </w:pPr>
      <w:r w:rsidRPr="006D1745">
        <w:rPr>
          <w:rStyle w:val="FootnoteReference"/>
          <w:rFonts w:ascii="Times New Roman" w:hAnsi="Times New Roman"/>
        </w:rPr>
        <w:footnoteRef/>
      </w:r>
      <w:r w:rsidRPr="006D1745">
        <w:rPr>
          <w:rFonts w:ascii="Times New Roman" w:hAnsi="Times New Roman"/>
        </w:rPr>
        <w:t xml:space="preserve"> </w:t>
      </w:r>
      <w:hyperlink r:id="rId1" w:history="1">
        <w:r w:rsidRPr="006D1745">
          <w:rPr>
            <w:rStyle w:val="Hyperlink"/>
            <w:rFonts w:ascii="Times New Roman" w:hAnsi="Times New Roman"/>
          </w:rPr>
          <w:t>Retail Salespersons (bls.gov)</w:t>
        </w:r>
      </w:hyperlink>
    </w:p>
  </w:footnote>
  <w:footnote w:id="3">
    <w:p w:rsidR="009667BB" w:rsidP="009667BB" w14:paraId="68ACFA2B" w14:textId="77777777">
      <w:pPr>
        <w:pStyle w:val="FootnoteText"/>
      </w:pPr>
      <w:r w:rsidRPr="006D1745">
        <w:rPr>
          <w:rStyle w:val="FootnoteReference"/>
          <w:rFonts w:ascii="Times New Roman" w:hAnsi="Times New Roman"/>
        </w:rPr>
        <w:footnoteRef/>
      </w:r>
      <w:r w:rsidRPr="006D1745">
        <w:rPr>
          <w:rFonts w:ascii="Times New Roman" w:hAnsi="Times New Roman"/>
        </w:rPr>
        <w:t xml:space="preserve"> </w:t>
      </w:r>
      <w:hyperlink r:id="rId2" w:history="1">
        <w:r w:rsidRPr="006D1745">
          <w:rPr>
            <w:rStyle w:val="Hyperlink"/>
            <w:rFonts w:ascii="Times New Roman" w:hAnsi="Times New Roman"/>
          </w:rPr>
          <w:t>Postage Rates &amp; Prices | USPS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86237F" w:rsidP="00F8164B" w14:paraId="4C516217" w14:textId="6910AC83">
    <w:pPr>
      <w:pStyle w:val="Header"/>
      <w:rPr>
        <w:rFonts w:ascii="Times New Roman" w:hAnsi="Times New Roman"/>
      </w:rPr>
    </w:pPr>
    <w:r w:rsidRPr="0086237F">
      <w:rPr>
        <w:rFonts w:ascii="Times New Roman" w:hAnsi="Times New Roman"/>
        <w:color w:val="000000"/>
      </w:rPr>
      <w:t>Report of Multiple Sale or Other Disposition of Certain Rifles - ATF Form 3310.12</w:t>
    </w:r>
  </w:p>
  <w:p w:rsidR="00EC0B43" w:rsidRPr="0086237F" w14:paraId="52F50703" w14:textId="163D1696">
    <w:pPr>
      <w:pStyle w:val="Header"/>
      <w:rPr>
        <w:rFonts w:ascii="Times New Roman" w:hAnsi="Times New Roman"/>
      </w:rPr>
    </w:pPr>
    <w:r w:rsidRPr="0086237F">
      <w:rPr>
        <w:rFonts w:ascii="Times New Roman" w:hAnsi="Times New Roman"/>
      </w:rPr>
      <w:t xml:space="preserve">OMB Control </w:t>
    </w:r>
    <w:r w:rsidRPr="0086237F" w:rsidR="006E1A08">
      <w:rPr>
        <w:rFonts w:ascii="Times New Roman" w:hAnsi="Times New Roman"/>
      </w:rPr>
      <w:t>Number</w:t>
    </w:r>
    <w:r w:rsidRPr="0086237F" w:rsidR="0086237F">
      <w:rPr>
        <w:rFonts w:ascii="Times New Roman" w:hAnsi="Times New Roman"/>
      </w:rPr>
      <w:t>:  1140-0100</w:t>
    </w:r>
  </w:p>
  <w:p w:rsidR="00304132" w:rsidRPr="0086237F" w14:paraId="29EBD65C" w14:textId="56CF380C">
    <w:pPr>
      <w:pStyle w:val="Header"/>
      <w:rPr>
        <w:rFonts w:ascii="Times New Roman" w:hAnsi="Times New Roman"/>
      </w:rPr>
    </w:pPr>
    <w:r w:rsidRPr="0086237F">
      <w:rPr>
        <w:rFonts w:ascii="Times New Roman" w:hAnsi="Times New Roman"/>
      </w:rPr>
      <w:t>OMB Expiration Date:</w:t>
    </w:r>
    <w:r w:rsidRPr="0086237F" w:rsidR="0086237F">
      <w:rPr>
        <w:rFonts w:ascii="Times New Roman" w:hAnsi="Times New Roman"/>
      </w:rPr>
      <w:t xml:space="preserve">  11/03/2023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4A1241"/>
    <w:multiLevelType w:val="hybridMultilevel"/>
    <w:tmpl w:val="7360ACD8"/>
    <w:lvl w:ilvl="0">
      <w:start w:val="1"/>
      <w:numFmt w:val="decimal"/>
      <w:lvlText w:val="%1."/>
      <w:lvlJc w:val="left"/>
      <w:pPr>
        <w:ind w:left="1260" w:hanging="360"/>
      </w:pPr>
      <w:rPr>
        <w:rFonts w:ascii="Times New Roman" w:hAnsi="Times New Roman" w:cs="Times New Roman" w:hint="default"/>
        <w:sz w:val="24"/>
        <w:szCs w:val="24"/>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0"/>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2"/>
  </w:num>
  <w:num w:numId="9" w16cid:durableId="312102842">
    <w:abstractNumId w:val="1"/>
  </w:num>
  <w:num w:numId="10" w16cid:durableId="1376466984">
    <w:abstractNumId w:val="11"/>
  </w:num>
  <w:num w:numId="11" w16cid:durableId="1904831391">
    <w:abstractNumId w:val="7"/>
  </w:num>
  <w:num w:numId="12" w16cid:durableId="1478107046">
    <w:abstractNumId w:val="9"/>
  </w:num>
  <w:num w:numId="13" w16cid:durableId="1542084800">
    <w:abstractNumId w:val="6"/>
  </w:num>
  <w:num w:numId="14" w16cid:durableId="136800702">
    <w:abstractNumId w:val="13"/>
  </w:num>
  <w:num w:numId="15" w16cid:durableId="1217090383">
    <w:abstractNumId w:val="8"/>
  </w:num>
  <w:num w:numId="16" w16cid:durableId="136447829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eana Davalos">
    <w15:presenceInfo w15:providerId="None" w15:userId="Jeana Dava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74499"/>
    <w:rsid w:val="00094A5E"/>
    <w:rsid w:val="00095C30"/>
    <w:rsid w:val="00097C15"/>
    <w:rsid w:val="000A7853"/>
    <w:rsid w:val="000B0391"/>
    <w:rsid w:val="000B4875"/>
    <w:rsid w:val="000B6FB6"/>
    <w:rsid w:val="000C257C"/>
    <w:rsid w:val="000C3A92"/>
    <w:rsid w:val="000C74FB"/>
    <w:rsid w:val="000D7F95"/>
    <w:rsid w:val="000E1C64"/>
    <w:rsid w:val="000E3641"/>
    <w:rsid w:val="000F6836"/>
    <w:rsid w:val="001040D4"/>
    <w:rsid w:val="001078BB"/>
    <w:rsid w:val="00115304"/>
    <w:rsid w:val="00116CD5"/>
    <w:rsid w:val="00117CA5"/>
    <w:rsid w:val="00133C47"/>
    <w:rsid w:val="00133E3D"/>
    <w:rsid w:val="001376D3"/>
    <w:rsid w:val="0014556E"/>
    <w:rsid w:val="0014601E"/>
    <w:rsid w:val="0015322B"/>
    <w:rsid w:val="0015365E"/>
    <w:rsid w:val="00157A90"/>
    <w:rsid w:val="00167AD4"/>
    <w:rsid w:val="00171189"/>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22A6C"/>
    <w:rsid w:val="00234341"/>
    <w:rsid w:val="00237691"/>
    <w:rsid w:val="00242CA0"/>
    <w:rsid w:val="00243432"/>
    <w:rsid w:val="0024438F"/>
    <w:rsid w:val="00247146"/>
    <w:rsid w:val="002517E4"/>
    <w:rsid w:val="00262716"/>
    <w:rsid w:val="00273D58"/>
    <w:rsid w:val="00277C1F"/>
    <w:rsid w:val="002866AD"/>
    <w:rsid w:val="00286BE3"/>
    <w:rsid w:val="00287A6F"/>
    <w:rsid w:val="00287ACB"/>
    <w:rsid w:val="00287B7D"/>
    <w:rsid w:val="0029135D"/>
    <w:rsid w:val="00292951"/>
    <w:rsid w:val="00293CD1"/>
    <w:rsid w:val="002A3962"/>
    <w:rsid w:val="002A5972"/>
    <w:rsid w:val="002A6FB5"/>
    <w:rsid w:val="002C5AE9"/>
    <w:rsid w:val="002D52D2"/>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C7C8C"/>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37BA"/>
    <w:rsid w:val="00435E05"/>
    <w:rsid w:val="0043771F"/>
    <w:rsid w:val="00442410"/>
    <w:rsid w:val="00443460"/>
    <w:rsid w:val="0044773C"/>
    <w:rsid w:val="00461B8A"/>
    <w:rsid w:val="004672B5"/>
    <w:rsid w:val="004844D1"/>
    <w:rsid w:val="0048559D"/>
    <w:rsid w:val="0049001D"/>
    <w:rsid w:val="00494A93"/>
    <w:rsid w:val="00494D75"/>
    <w:rsid w:val="0049536F"/>
    <w:rsid w:val="004A1763"/>
    <w:rsid w:val="004B1E83"/>
    <w:rsid w:val="004D1C78"/>
    <w:rsid w:val="004D441E"/>
    <w:rsid w:val="004D46D1"/>
    <w:rsid w:val="004E1D9E"/>
    <w:rsid w:val="004E5B39"/>
    <w:rsid w:val="00501A15"/>
    <w:rsid w:val="00504648"/>
    <w:rsid w:val="005164DC"/>
    <w:rsid w:val="00522B8D"/>
    <w:rsid w:val="0052585C"/>
    <w:rsid w:val="00530EBD"/>
    <w:rsid w:val="005622FE"/>
    <w:rsid w:val="00567912"/>
    <w:rsid w:val="00570098"/>
    <w:rsid w:val="005741E2"/>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4A1C"/>
    <w:rsid w:val="006227B3"/>
    <w:rsid w:val="00625E16"/>
    <w:rsid w:val="00627B1F"/>
    <w:rsid w:val="00642220"/>
    <w:rsid w:val="0065148D"/>
    <w:rsid w:val="00652ED1"/>
    <w:rsid w:val="006626FF"/>
    <w:rsid w:val="006650A8"/>
    <w:rsid w:val="0067772C"/>
    <w:rsid w:val="00683A96"/>
    <w:rsid w:val="00685435"/>
    <w:rsid w:val="00687746"/>
    <w:rsid w:val="00690F56"/>
    <w:rsid w:val="006A4637"/>
    <w:rsid w:val="006C39F8"/>
    <w:rsid w:val="006D1745"/>
    <w:rsid w:val="006E1A08"/>
    <w:rsid w:val="006E4433"/>
    <w:rsid w:val="006E54FE"/>
    <w:rsid w:val="006E604F"/>
    <w:rsid w:val="006E63C6"/>
    <w:rsid w:val="006F2132"/>
    <w:rsid w:val="006F66F9"/>
    <w:rsid w:val="006F6E13"/>
    <w:rsid w:val="007010C5"/>
    <w:rsid w:val="007011F1"/>
    <w:rsid w:val="007053E0"/>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936E9"/>
    <w:rsid w:val="007A7F79"/>
    <w:rsid w:val="007B331F"/>
    <w:rsid w:val="007C124D"/>
    <w:rsid w:val="007D46C2"/>
    <w:rsid w:val="007E3065"/>
    <w:rsid w:val="007F3B38"/>
    <w:rsid w:val="007F3C02"/>
    <w:rsid w:val="00802605"/>
    <w:rsid w:val="00802A30"/>
    <w:rsid w:val="008043E5"/>
    <w:rsid w:val="00804A1A"/>
    <w:rsid w:val="0081073D"/>
    <w:rsid w:val="00813CC0"/>
    <w:rsid w:val="008323ED"/>
    <w:rsid w:val="00835955"/>
    <w:rsid w:val="00846701"/>
    <w:rsid w:val="0086237F"/>
    <w:rsid w:val="008624D5"/>
    <w:rsid w:val="00871CA6"/>
    <w:rsid w:val="00882AB5"/>
    <w:rsid w:val="00882B1D"/>
    <w:rsid w:val="0088672C"/>
    <w:rsid w:val="008A1F0C"/>
    <w:rsid w:val="008A40D1"/>
    <w:rsid w:val="008B3128"/>
    <w:rsid w:val="008B541B"/>
    <w:rsid w:val="008C656B"/>
    <w:rsid w:val="008C6A87"/>
    <w:rsid w:val="008E57FC"/>
    <w:rsid w:val="008F47CB"/>
    <w:rsid w:val="00901003"/>
    <w:rsid w:val="0090158E"/>
    <w:rsid w:val="00901EF6"/>
    <w:rsid w:val="00902271"/>
    <w:rsid w:val="0090413E"/>
    <w:rsid w:val="00923B37"/>
    <w:rsid w:val="009271B1"/>
    <w:rsid w:val="0093485F"/>
    <w:rsid w:val="009407FC"/>
    <w:rsid w:val="009441E2"/>
    <w:rsid w:val="00962C17"/>
    <w:rsid w:val="00963680"/>
    <w:rsid w:val="00964D3F"/>
    <w:rsid w:val="009667BB"/>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E4F79"/>
    <w:rsid w:val="009F52F3"/>
    <w:rsid w:val="00A10441"/>
    <w:rsid w:val="00A15094"/>
    <w:rsid w:val="00A217C3"/>
    <w:rsid w:val="00A21F98"/>
    <w:rsid w:val="00A2391E"/>
    <w:rsid w:val="00A33AAC"/>
    <w:rsid w:val="00A41C21"/>
    <w:rsid w:val="00A47DA7"/>
    <w:rsid w:val="00A51C2A"/>
    <w:rsid w:val="00A52DE7"/>
    <w:rsid w:val="00A55023"/>
    <w:rsid w:val="00A56B86"/>
    <w:rsid w:val="00A632EF"/>
    <w:rsid w:val="00A677E9"/>
    <w:rsid w:val="00A740AB"/>
    <w:rsid w:val="00A834BF"/>
    <w:rsid w:val="00A90769"/>
    <w:rsid w:val="00A973AA"/>
    <w:rsid w:val="00AA177A"/>
    <w:rsid w:val="00AA418C"/>
    <w:rsid w:val="00AB4DC3"/>
    <w:rsid w:val="00AC3FEE"/>
    <w:rsid w:val="00AC775D"/>
    <w:rsid w:val="00AD022F"/>
    <w:rsid w:val="00AD113F"/>
    <w:rsid w:val="00AD75AC"/>
    <w:rsid w:val="00AE0D00"/>
    <w:rsid w:val="00AE1328"/>
    <w:rsid w:val="00AE487F"/>
    <w:rsid w:val="00AF2C11"/>
    <w:rsid w:val="00AF3788"/>
    <w:rsid w:val="00AF5262"/>
    <w:rsid w:val="00AF7928"/>
    <w:rsid w:val="00B13844"/>
    <w:rsid w:val="00B16DB7"/>
    <w:rsid w:val="00B26E3E"/>
    <w:rsid w:val="00B26EA8"/>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288C"/>
    <w:rsid w:val="00C247D8"/>
    <w:rsid w:val="00C25486"/>
    <w:rsid w:val="00C25E66"/>
    <w:rsid w:val="00C34009"/>
    <w:rsid w:val="00C4763A"/>
    <w:rsid w:val="00C63D1E"/>
    <w:rsid w:val="00C667F3"/>
    <w:rsid w:val="00C712D2"/>
    <w:rsid w:val="00C77B5C"/>
    <w:rsid w:val="00C824C6"/>
    <w:rsid w:val="00C8275F"/>
    <w:rsid w:val="00C8477E"/>
    <w:rsid w:val="00C87068"/>
    <w:rsid w:val="00C9162F"/>
    <w:rsid w:val="00CA2F0A"/>
    <w:rsid w:val="00CB1ECE"/>
    <w:rsid w:val="00CB3579"/>
    <w:rsid w:val="00CB5C31"/>
    <w:rsid w:val="00CC0731"/>
    <w:rsid w:val="00CC1B60"/>
    <w:rsid w:val="00CC770C"/>
    <w:rsid w:val="00CD215D"/>
    <w:rsid w:val="00CD4F92"/>
    <w:rsid w:val="00CD6628"/>
    <w:rsid w:val="00CE3E2B"/>
    <w:rsid w:val="00D00B48"/>
    <w:rsid w:val="00D2331B"/>
    <w:rsid w:val="00D36BB6"/>
    <w:rsid w:val="00D472BE"/>
    <w:rsid w:val="00D510F4"/>
    <w:rsid w:val="00D53DEB"/>
    <w:rsid w:val="00D57DE8"/>
    <w:rsid w:val="00D6316D"/>
    <w:rsid w:val="00D735B0"/>
    <w:rsid w:val="00D73AAD"/>
    <w:rsid w:val="00D75842"/>
    <w:rsid w:val="00D802D6"/>
    <w:rsid w:val="00D83740"/>
    <w:rsid w:val="00D86A15"/>
    <w:rsid w:val="00D86FF7"/>
    <w:rsid w:val="00D91A13"/>
    <w:rsid w:val="00DA7DC9"/>
    <w:rsid w:val="00DB7B7C"/>
    <w:rsid w:val="00DD6DF0"/>
    <w:rsid w:val="00E0031C"/>
    <w:rsid w:val="00E0138A"/>
    <w:rsid w:val="00E06430"/>
    <w:rsid w:val="00E06F8A"/>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B7258"/>
    <w:rsid w:val="00EC0B43"/>
    <w:rsid w:val="00EC4383"/>
    <w:rsid w:val="00EC5D7E"/>
    <w:rsid w:val="00ED49C1"/>
    <w:rsid w:val="00EE2223"/>
    <w:rsid w:val="00EF5B94"/>
    <w:rsid w:val="00EF70DB"/>
    <w:rsid w:val="00F11AA8"/>
    <w:rsid w:val="00F12F81"/>
    <w:rsid w:val="00F17675"/>
    <w:rsid w:val="00F24787"/>
    <w:rsid w:val="00F27223"/>
    <w:rsid w:val="00F3623C"/>
    <w:rsid w:val="00F41116"/>
    <w:rsid w:val="00F44D20"/>
    <w:rsid w:val="00F4518C"/>
    <w:rsid w:val="00F4529D"/>
    <w:rsid w:val="00F53F09"/>
    <w:rsid w:val="00F569DC"/>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412031.htm" TargetMode="External" /><Relationship Id="rId2" Type="http://schemas.openxmlformats.org/officeDocument/2006/relationships/hyperlink" Target="https://www.usps.com/business/pric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3410</Words>
  <Characters>19442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Grim, Matthew S. (ATF)</cp:lastModifiedBy>
  <cp:revision>2</cp:revision>
  <cp:lastPrinted>2020-02-19T15:46:00Z</cp:lastPrinted>
  <dcterms:created xsi:type="dcterms:W3CDTF">2023-11-07T14:46:00Z</dcterms:created>
  <dcterms:modified xsi:type="dcterms:W3CDTF">2023-11-07T14:46:00Z</dcterms:modified>
</cp:coreProperties>
</file>