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17A7" w:rsidP="00724460" w14:paraId="276F41F4" w14:textId="51A0A1DE">
      <w:pPr>
        <w:ind w:left="0"/>
        <w:jc w:val="center"/>
        <w:rPr>
          <w:b/>
          <w:bCs/>
        </w:rPr>
      </w:pPr>
      <w:bookmarkStart w:id="0" w:name="QuickMark"/>
      <w:bookmarkEnd w:id="0"/>
      <w:r w:rsidRPr="001D3049">
        <w:rPr>
          <w:b/>
          <w:bCs/>
        </w:rPr>
        <w:t>SUPPORTING STATEMENT FOR PAPERWORK REDUCTION ACT 1995:</w:t>
      </w:r>
    </w:p>
    <w:p w:rsidR="009A1C36" w14:paraId="01D39C9C" w14:textId="54C3A5BA">
      <w:pPr>
        <w:ind w:left="0"/>
        <w:jc w:val="center"/>
        <w:rPr>
          <w:b/>
          <w:bCs/>
        </w:rPr>
      </w:pPr>
      <w:r w:rsidRPr="001D3049">
        <w:rPr>
          <w:b/>
          <w:bCs/>
        </w:rPr>
        <w:t xml:space="preserve">THE </w:t>
      </w:r>
      <w:r w:rsidR="00206757">
        <w:rPr>
          <w:b/>
          <w:bCs/>
        </w:rPr>
        <w:t>FINAL</w:t>
      </w:r>
      <w:r w:rsidRPr="001D3049" w:rsidR="00206757">
        <w:rPr>
          <w:b/>
          <w:bCs/>
        </w:rPr>
        <w:t xml:space="preserve"> </w:t>
      </w:r>
      <w:r w:rsidRPr="001D3049">
        <w:rPr>
          <w:b/>
          <w:bCs/>
        </w:rPr>
        <w:t xml:space="preserve">AMENDMENT TO </w:t>
      </w:r>
    </w:p>
    <w:p w:rsidR="00A10441" w:rsidRPr="001D3049" w:rsidP="00724460" w14:paraId="1DAA9F6C" w14:textId="051E98AB">
      <w:pPr>
        <w:ind w:left="0"/>
        <w:jc w:val="center"/>
        <w:rPr>
          <w:b/>
          <w:bCs/>
        </w:rPr>
      </w:pPr>
      <w:r w:rsidRPr="001D3049">
        <w:rPr>
          <w:b/>
          <w:bCs/>
        </w:rPr>
        <w:t>PROHIBITED TRANSACTION CLASS EXEMPTION 84-14</w:t>
      </w:r>
    </w:p>
    <w:p w:rsidR="00530EBD" w:rsidRPr="001D3049" w:rsidP="000401EC" w14:paraId="3086E90B" w14:textId="77777777">
      <w:pPr>
        <w:rPr>
          <w:b/>
          <w:bCs/>
        </w:rPr>
      </w:pPr>
    </w:p>
    <w:p w:rsidR="00376DD2" w:rsidRPr="00BF6BDA" w:rsidP="00724460" w14:paraId="30E2624D" w14:textId="77777777">
      <w:pPr>
        <w:ind w:left="0"/>
        <w:contextualSpacing/>
        <w:rPr>
          <w:b/>
          <w:bCs/>
        </w:rPr>
      </w:pPr>
      <w:r w:rsidRPr="00BF6BDA">
        <w:rPr>
          <w:b/>
          <w:bCs/>
        </w:rPr>
        <w:t>This information collection request (ICR) seeks approval for a revision of an existing control number.</w:t>
      </w:r>
    </w:p>
    <w:p w:rsidR="000B6FB6" w:rsidRPr="00A47DA7" w:rsidP="000401EC" w14:paraId="1CF8A88F" w14:textId="77777777"/>
    <w:p w:rsidR="00690F56" w:rsidRPr="009A46BB" w:rsidP="000401EC" w14:paraId="0A674873" w14:textId="4B24F9CF">
      <w:pPr>
        <w:pStyle w:val="Heading1"/>
      </w:pPr>
      <w:r w:rsidRPr="009A46BB">
        <w:t>JUSTIFICATION</w:t>
      </w:r>
    </w:p>
    <w:p w:rsidR="00690F56" w:rsidRPr="00F4518C" w:rsidP="000401EC" w14:paraId="375316BB" w14:textId="77777777"/>
    <w:p w:rsidR="00690F56" w:rsidRPr="00891ED6" w:rsidP="000401EC" w14:paraId="099BCB32" w14:textId="3174F6C3">
      <w:pPr>
        <w:pStyle w:val="Heading2"/>
        <w:rPr>
          <w:rStyle w:val="Heading2Char"/>
          <w:b/>
          <w:bCs/>
        </w:rPr>
      </w:pPr>
      <w:r w:rsidRPr="00891ED6">
        <w:rPr>
          <w:rStyle w:val="Heading2Char"/>
          <w:b/>
          <w:bCs/>
        </w:rPr>
        <w:t>Explain the circumstances that make the collection of information necessary.</w:t>
      </w:r>
      <w:r w:rsidR="0068062D">
        <w:rPr>
          <w:rStyle w:val="Heading2Char"/>
          <w:b/>
          <w:bCs/>
        </w:rPr>
        <w:t xml:space="preserve"> </w:t>
      </w:r>
      <w:r w:rsidRPr="00891ED6">
        <w:rPr>
          <w:rStyle w:val="Heading2Char"/>
          <w:b/>
          <w:bCs/>
        </w:rPr>
        <w:t>Identify any legal or administrative requirements that necessitate the collection.</w:t>
      </w:r>
      <w:r w:rsidR="0068062D">
        <w:rPr>
          <w:rStyle w:val="Heading2Char"/>
          <w:b/>
          <w:bCs/>
        </w:rPr>
        <w:t xml:space="preserve"> </w:t>
      </w:r>
      <w:r w:rsidRPr="00891ED6">
        <w:rPr>
          <w:rStyle w:val="Heading2Char"/>
          <w:b/>
          <w:bCs/>
        </w:rPr>
        <w:t>Attach a copy of the appropriate section of each statute and regulation mandating or authorizing the collection of information.</w:t>
      </w:r>
    </w:p>
    <w:p w:rsidR="00690F56" w:rsidRPr="00CE4A81" w:rsidP="000401EC" w14:paraId="38CEE6AD" w14:textId="77777777"/>
    <w:p w:rsidR="00A75EE2" w:rsidP="000401EC" w14:paraId="1CF525BF" w14:textId="4960850E">
      <w:r w:rsidRPr="00EE7F17">
        <w:t xml:space="preserve">The Department of Labor (the Department) has the authority, pursuant to section 408(a) of the Employee Retirement Income Security Act of 1974 (ERISA) and section 4975(c)(2) of the Internal Revenue Code of 1986 (the Code), to grant an exemption from all or part of the restrictions imposed, respectively, by </w:t>
      </w:r>
      <w:r w:rsidR="00C61848">
        <w:t xml:space="preserve">ERISA </w:t>
      </w:r>
      <w:r w:rsidRPr="00EE7F17">
        <w:t xml:space="preserve">section 406 and from </w:t>
      </w:r>
      <w:r w:rsidR="003D305C">
        <w:t xml:space="preserve">the </w:t>
      </w:r>
      <w:r w:rsidRPr="00EE7F17">
        <w:t>taxes imposed by</w:t>
      </w:r>
      <w:r w:rsidR="003D305C">
        <w:t xml:space="preserve"> Code</w:t>
      </w:r>
      <w:r w:rsidRPr="00EE7F17">
        <w:t xml:space="preserve"> sections 4975(a) and (b) by reason of </w:t>
      </w:r>
      <w:r w:rsidR="00600038">
        <w:t xml:space="preserve">Code </w:t>
      </w:r>
      <w:r w:rsidRPr="00EE7F17">
        <w:t>section 4975(c)(1)(A) through (E).</w:t>
      </w:r>
      <w:r w:rsidR="0068062D">
        <w:t xml:space="preserve"> </w:t>
      </w:r>
    </w:p>
    <w:p w:rsidR="00041307" w:rsidP="000401EC" w14:paraId="12A5CB64" w14:textId="77777777"/>
    <w:p w:rsidR="00726CAE" w:rsidP="00923885" w14:paraId="5D9D1A8E" w14:textId="7F4FFDEB">
      <w:r w:rsidRPr="00EE7F17">
        <w:t>Prohibited Transaction Exemption 84-14 (49 FR 9494, March 13, 1984, as corrected at 50 FR 41430, October 10, 1985) (</w:t>
      </w:r>
      <w:r>
        <w:t>the QPAM Exemption</w:t>
      </w:r>
      <w:r w:rsidRPr="00EE7F17">
        <w:t xml:space="preserve">) </w:t>
      </w:r>
      <w:r w:rsidR="0068264E">
        <w:t xml:space="preserve">was granted to </w:t>
      </w:r>
      <w:r w:rsidRPr="00EE7F17">
        <w:t xml:space="preserve">permit various parties </w:t>
      </w:r>
      <w:r w:rsidR="0056609A">
        <w:t xml:space="preserve">related </w:t>
      </w:r>
      <w:r w:rsidRPr="00EE7F17">
        <w:t>to employee benefit plans to engage in transactions involving plan assets if, among other conditions, the assets are managed by a “qualified professional asset manager” (</w:t>
      </w:r>
      <w:r>
        <w:t xml:space="preserve">a </w:t>
      </w:r>
      <w:r w:rsidRPr="00EE7F17">
        <w:t>QPAM).</w:t>
      </w:r>
      <w:r>
        <w:t xml:space="preserve"> </w:t>
      </w:r>
    </w:p>
    <w:p w:rsidR="00726CAE" w:rsidP="00923885" w14:paraId="0771459F" w14:textId="77777777"/>
    <w:p w:rsidR="00923885" w:rsidRPr="00EE7F17" w:rsidP="00923885" w14:paraId="0909690E" w14:textId="1A20B2B3">
      <w:r w:rsidRPr="00EE7F17">
        <w:t xml:space="preserve">In 2003, the Department published a proposed amendment to the QPAM </w:t>
      </w:r>
      <w:r>
        <w:t>E</w:t>
      </w:r>
      <w:r w:rsidRPr="00EE7F17">
        <w:t xml:space="preserve">xemption based </w:t>
      </w:r>
      <w:r>
        <w:t>on feedback from</w:t>
      </w:r>
      <w:r w:rsidRPr="00EE7F17">
        <w:t xml:space="preserve"> financial institutions </w:t>
      </w:r>
      <w:r>
        <w:t>that indicated certain conditions were difficult to satisfy or needed clarification. In connection with the 2003 proposal which was ultimately granted in 2005</w:t>
      </w:r>
      <w:r w:rsidR="00504DA1">
        <w:t xml:space="preserve"> (</w:t>
      </w:r>
      <w:r w:rsidRPr="00EE7F17" w:rsidR="00504DA1">
        <w:t>70 FR 49305</w:t>
      </w:r>
      <w:r w:rsidR="00504DA1">
        <w:t>,</w:t>
      </w:r>
      <w:r w:rsidRPr="00EE7F17" w:rsidR="00504DA1">
        <w:t xml:space="preserve"> August 23, 2005</w:t>
      </w:r>
      <w:r w:rsidR="00504DA1">
        <w:t>)</w:t>
      </w:r>
      <w:r>
        <w:t>, it also appeared that many financial institutions were</w:t>
      </w:r>
      <w:r w:rsidRPr="00EE7F17">
        <w:t xml:space="preserve"> unaware that the class exemption did not provide relief for transactions by a QPAM in managing its own plans.</w:t>
      </w:r>
      <w:r>
        <w:t xml:space="preserve"> </w:t>
      </w:r>
      <w:r w:rsidRPr="00EE7F17">
        <w:t xml:space="preserve">The Department determined that such relief might be appropriate, and </w:t>
      </w:r>
      <w:r>
        <w:t>proposed an additional amendment in 2005</w:t>
      </w:r>
      <w:r w:rsidRPr="00EE7F17">
        <w:t xml:space="preserve">, </w:t>
      </w:r>
      <w:r>
        <w:t xml:space="preserve">which would </w:t>
      </w:r>
      <w:r w:rsidRPr="00EE7F17">
        <w:t>provide retroactive and transitional relief for a QPAM to manage the assets of its own plans.</w:t>
      </w:r>
      <w:r>
        <w:t xml:space="preserve"> </w:t>
      </w:r>
    </w:p>
    <w:p w:rsidR="00923885" w:rsidRPr="00EE7F17" w:rsidP="00923885" w14:paraId="490FE520" w14:textId="77777777"/>
    <w:p w:rsidR="00923885" w:rsidP="00923885" w14:paraId="01D5C875" w14:textId="349C7D46">
      <w:r w:rsidRPr="00EE7F17">
        <w:t xml:space="preserve">On July 6, 2010, the Department adopted a final amendment to </w:t>
      </w:r>
      <w:r>
        <w:t>the QPAM Exemption</w:t>
      </w:r>
      <w:r w:rsidRPr="00EE7F17">
        <w:t xml:space="preserve"> (75 FR 38837</w:t>
      </w:r>
      <w:r w:rsidR="0068264E">
        <w:t xml:space="preserve">, </w:t>
      </w:r>
      <w:r w:rsidRPr="00A434C3" w:rsidR="0068264E">
        <w:t>July 6, 2010</w:t>
      </w:r>
      <w:r w:rsidRPr="00EE7F17">
        <w:t>) permitting a QPAM to manage an investment fund that contains the assets of its own plan or the plan of an affiliate of the QPAM.</w:t>
      </w:r>
      <w:r>
        <w:t xml:space="preserve"> </w:t>
      </w:r>
      <w:r w:rsidRPr="00EE7F17">
        <w:t xml:space="preserve">This relief is described in Part V of the </w:t>
      </w:r>
      <w:r>
        <w:t>QPAM Exemption.</w:t>
      </w:r>
    </w:p>
    <w:p w:rsidR="00923885" w:rsidP="00923885" w14:paraId="74049C12" w14:textId="77777777"/>
    <w:p w:rsidR="00923885" w:rsidP="00923885" w14:paraId="1E4F8462" w14:textId="43BE6C10">
      <w:pPr>
        <w:rPr>
          <w:rFonts w:eastAsia="Calibri"/>
        </w:rPr>
      </w:pPr>
      <w:r>
        <w:rPr>
          <w:rFonts w:eastAsia="Calibri"/>
        </w:rPr>
        <w:t xml:space="preserve">The Department is </w:t>
      </w:r>
      <w:r w:rsidR="002F0C59">
        <w:rPr>
          <w:rFonts w:eastAsia="Calibri"/>
        </w:rPr>
        <w:t xml:space="preserve">now </w:t>
      </w:r>
      <w:r>
        <w:rPr>
          <w:rFonts w:eastAsia="Calibri"/>
        </w:rPr>
        <w:t xml:space="preserve">amending </w:t>
      </w:r>
      <w:r w:rsidR="009475E2">
        <w:rPr>
          <w:rFonts w:eastAsia="Calibri"/>
        </w:rPr>
        <w:t>the QPAM Exemption</w:t>
      </w:r>
      <w:r w:rsidR="002F0C59">
        <w:rPr>
          <w:rFonts w:eastAsia="Calibri"/>
        </w:rPr>
        <w:t xml:space="preserve"> in response to</w:t>
      </w:r>
      <w:r w:rsidR="009475E2">
        <w:rPr>
          <w:rFonts w:eastAsia="Calibri"/>
        </w:rPr>
        <w:t xml:space="preserve"> s</w:t>
      </w:r>
      <w:r w:rsidRPr="006842C0">
        <w:rPr>
          <w:rFonts w:eastAsia="Calibri"/>
        </w:rPr>
        <w:t>ubstantial changes in the financial services industry since 1984.</w:t>
      </w:r>
      <w:r>
        <w:rPr>
          <w:rFonts w:eastAsia="Calibri"/>
        </w:rPr>
        <w:t xml:space="preserve"> </w:t>
      </w:r>
      <w:r w:rsidRPr="00915E3D">
        <w:rPr>
          <w:rFonts w:eastAsia="Calibri"/>
        </w:rPr>
        <w:t xml:space="preserve">These changes include industry consolidation caused by a variety of factors and an increasingly global reach for financial </w:t>
      </w:r>
      <w:r w:rsidRPr="00915E3D">
        <w:rPr>
          <w:rFonts w:eastAsia="Calibri"/>
        </w:rPr>
        <w:t>services institutions, both in their affiliations and in their investment strategies, including those for plan assets.</w:t>
      </w:r>
    </w:p>
    <w:p w:rsidR="00842BE6" w:rsidP="00923885" w14:paraId="5A4ED9D0" w14:textId="77777777">
      <w:pPr>
        <w:rPr>
          <w:rFonts w:eastAsia="Calibri"/>
        </w:rPr>
      </w:pPr>
    </w:p>
    <w:p w:rsidR="00842BE6" w:rsidP="00842BE6" w14:paraId="7CBB8C6C" w14:textId="77777777">
      <w:pPr>
        <w:rPr>
          <w:iCs/>
        </w:rPr>
      </w:pPr>
      <w:r w:rsidRPr="00ED227D">
        <w:rPr>
          <w:rFonts w:eastAsia="Calibri"/>
        </w:rPr>
        <w:t>An amendment to the QPAM Exemption is needed to address ambiguity as to whether foreign convictions are included in the scope of the ineligibility provision under Section I(g).</w:t>
      </w:r>
      <w:r>
        <w:rPr>
          <w:rFonts w:eastAsia="Calibri"/>
        </w:rPr>
        <w:t xml:space="preserve"> </w:t>
      </w:r>
      <w:r w:rsidRPr="00ED227D">
        <w:rPr>
          <w:rFonts w:eastAsia="Calibri"/>
        </w:rPr>
        <w:t>QPAMs today often have corporate or relationship ties to a broad range of entities, some of whom are located internationally.</w:t>
      </w:r>
      <w:r>
        <w:rPr>
          <w:rFonts w:eastAsia="Calibri"/>
        </w:rPr>
        <w:t xml:space="preserve"> </w:t>
      </w:r>
      <w:r w:rsidRPr="00ED227D">
        <w:rPr>
          <w:rFonts w:eastAsia="Calibri"/>
        </w:rPr>
        <w:t>Additionally, some global financial service institutions are headquartered or have parent entities that reside in foreign jurisdictions.</w:t>
      </w:r>
      <w:r>
        <w:rPr>
          <w:rFonts w:eastAsia="Calibri"/>
        </w:rPr>
        <w:t xml:space="preserve"> </w:t>
      </w:r>
      <w:r w:rsidRPr="00ED227D">
        <w:rPr>
          <w:rFonts w:eastAsia="Calibri"/>
        </w:rPr>
        <w:t>These entities may have significant control and influence over the operation and management of all entities within a large financial institution’s organizational structure, including those operating as QPAMs for some plans.</w:t>
      </w:r>
      <w:r>
        <w:rPr>
          <w:rFonts w:eastAsia="Calibri"/>
        </w:rPr>
        <w:t xml:space="preserve"> </w:t>
      </w:r>
      <w:r w:rsidRPr="00ED227D">
        <w:rPr>
          <w:rFonts w:eastAsia="Calibri"/>
        </w:rPr>
        <w:t>Additionally, the international ties of QPAMs come not just from their affiliations and parent entities, but also their investment strategies, including those involving plan assets.</w:t>
      </w:r>
      <w:r w:rsidRPr="00606BB2">
        <w:rPr>
          <w:iCs/>
        </w:rPr>
        <w:t xml:space="preserve"> </w:t>
      </w:r>
    </w:p>
    <w:p w:rsidR="00B363D8" w:rsidP="00842BE6" w14:paraId="1BFCE5C1" w14:textId="77777777">
      <w:pPr>
        <w:rPr>
          <w:iCs/>
        </w:rPr>
      </w:pPr>
    </w:p>
    <w:p w:rsidR="00B363D8" w:rsidP="00B363D8" w14:paraId="267657DE" w14:textId="6BCE8070">
      <w:pPr>
        <w:rPr>
          <w:iCs/>
        </w:rPr>
      </w:pPr>
      <w:r w:rsidRPr="00B363D8">
        <w:rPr>
          <w:iCs/>
        </w:rPr>
        <w:t xml:space="preserve">The amendment </w:t>
      </w:r>
      <w:r>
        <w:rPr>
          <w:iCs/>
        </w:rPr>
        <w:t xml:space="preserve">also </w:t>
      </w:r>
      <w:r w:rsidRPr="00B363D8">
        <w:rPr>
          <w:iCs/>
        </w:rPr>
        <w:t xml:space="preserve">expands the circumstances that may lead to </w:t>
      </w:r>
      <w:r>
        <w:rPr>
          <w:iCs/>
        </w:rPr>
        <w:t xml:space="preserve">a QPAM’s </w:t>
      </w:r>
      <w:r w:rsidRPr="00B363D8">
        <w:rPr>
          <w:iCs/>
        </w:rPr>
        <w:t>ineligibility under a new category of Prohibited Misconduct, which triggers ineligibility if a QPAM, its Affiliates, and owners of a five (5) percent or more interest in the QPAM</w:t>
      </w:r>
      <w:r>
        <w:rPr>
          <w:iCs/>
        </w:rPr>
        <w:t xml:space="preserve"> </w:t>
      </w:r>
      <w:r w:rsidRPr="00B363D8">
        <w:rPr>
          <w:iCs/>
        </w:rPr>
        <w:t>enters into domestic non-prosecution or deferred prosecution agreements</w:t>
      </w:r>
      <w:r w:rsidR="000D1F42">
        <w:rPr>
          <w:iCs/>
        </w:rPr>
        <w:t>,</w:t>
      </w:r>
      <w:r w:rsidRPr="00B363D8">
        <w:rPr>
          <w:iCs/>
        </w:rPr>
        <w:t xml:space="preserve"> or</w:t>
      </w:r>
      <w:r>
        <w:rPr>
          <w:iCs/>
        </w:rPr>
        <w:t xml:space="preserve"> </w:t>
      </w:r>
      <w:r w:rsidRPr="00B363D8">
        <w:rPr>
          <w:iCs/>
        </w:rPr>
        <w:t xml:space="preserve">is found in a court’s final judgment or court approved settlement to have </w:t>
      </w:r>
      <w:r w:rsidR="0045691C">
        <w:rPr>
          <w:iCs/>
        </w:rPr>
        <w:t>P</w:t>
      </w:r>
      <w:r w:rsidRPr="00B363D8">
        <w:rPr>
          <w:iCs/>
        </w:rPr>
        <w:t xml:space="preserve">articipated </w:t>
      </w:r>
      <w:r w:rsidR="0045691C">
        <w:rPr>
          <w:iCs/>
        </w:rPr>
        <w:t>I</w:t>
      </w:r>
      <w:r w:rsidRPr="00B363D8">
        <w:rPr>
          <w:iCs/>
        </w:rPr>
        <w:t>n conduct that</w:t>
      </w:r>
      <w:r>
        <w:rPr>
          <w:iCs/>
        </w:rPr>
        <w:t xml:space="preserve"> </w:t>
      </w:r>
      <w:r w:rsidRPr="00B363D8">
        <w:rPr>
          <w:iCs/>
        </w:rPr>
        <w:t>intentionally violated the exemption’s conditions or provided misleading information in connection with the exemption’s conditions.</w:t>
      </w:r>
    </w:p>
    <w:p w:rsidR="00842BE6" w:rsidP="00842BE6" w14:paraId="420717BA" w14:textId="77777777"/>
    <w:p w:rsidR="00842BE6" w:rsidP="00842BE6" w14:paraId="2526043A" w14:textId="7140B792">
      <w:r w:rsidRPr="00ED227D">
        <w:t xml:space="preserve">Through its administration of the individual exemption program, the Department also determined that certain aspects of the QPAM Exemption would benefit from a focus on mitigating potential costs and disruption to plans when a QPAM becomes ineligible for the exemptive relief </w:t>
      </w:r>
      <w:r w:rsidRPr="00ED227D">
        <w:t>as a result of</w:t>
      </w:r>
      <w:r w:rsidRPr="00ED227D">
        <w:t xml:space="preserve"> </w:t>
      </w:r>
      <w:r>
        <w:t>ineligibility</w:t>
      </w:r>
      <w:r w:rsidRPr="00ED227D">
        <w:t xml:space="preserve"> under Section I(g).</w:t>
      </w:r>
      <w:r>
        <w:t xml:space="preserve"> T</w:t>
      </w:r>
      <w:r w:rsidRPr="00ED227D">
        <w:t xml:space="preserve">he amendment would reduce the impact on plans by including a one-year </w:t>
      </w:r>
      <w:r w:rsidR="0056609A">
        <w:t>transition</w:t>
      </w:r>
      <w:r w:rsidRPr="00ED227D">
        <w:t xml:space="preserve"> period </w:t>
      </w:r>
      <w:r w:rsidRPr="00ED227D">
        <w:t>in order to</w:t>
      </w:r>
      <w:r w:rsidRPr="00ED227D">
        <w:t xml:space="preserve"> avoid immediate and abrupt disruption to plans upon </w:t>
      </w:r>
      <w:r w:rsidR="00DC25E0">
        <w:t xml:space="preserve">a QPAM’s </w:t>
      </w:r>
      <w:r>
        <w:t>ineligibility</w:t>
      </w:r>
      <w:r w:rsidRPr="00ED227D">
        <w:t>.</w:t>
      </w:r>
      <w:r>
        <w:t xml:space="preserve"> </w:t>
      </w:r>
      <w:r w:rsidRPr="00ED227D">
        <w:t xml:space="preserve">The </w:t>
      </w:r>
      <w:r w:rsidR="0056609A">
        <w:t>transition</w:t>
      </w:r>
      <w:r w:rsidRPr="00ED227D">
        <w:t xml:space="preserve"> period will help bridge the gap between the QPAM Exemption and the Department’s administration of the individual exemption program in connection with Section I(g) ineligibility.</w:t>
      </w:r>
    </w:p>
    <w:p w:rsidR="00721FB3" w:rsidP="00842BE6" w14:paraId="5F18C954" w14:textId="77777777"/>
    <w:p w:rsidR="00721FB3" w:rsidP="00721FB3" w14:paraId="4ADBB112" w14:textId="00D44913">
      <w:r w:rsidRPr="00ED227D">
        <w:t xml:space="preserve">The </w:t>
      </w:r>
      <w:r>
        <w:t>Final Amendment also</w:t>
      </w:r>
      <w:r w:rsidRPr="00ED227D">
        <w:t xml:space="preserve"> update</w:t>
      </w:r>
      <w:r>
        <w:t>s</w:t>
      </w:r>
      <w:r w:rsidRPr="00ED227D">
        <w:t xml:space="preserve"> asset management and equity thresholds to current values in the definition of “QPAM” in Section VI(a).</w:t>
      </w:r>
      <w:r>
        <w:t xml:space="preserve"> </w:t>
      </w:r>
      <w:r w:rsidRPr="00ED227D">
        <w:t>Some of the thresholds that establish the requisite independence upon which the QPAM Exemption is based have not been updated since 1984; the thresholds for registered investment advisers have not been updated since 2005.</w:t>
      </w:r>
      <w:r>
        <w:t xml:space="preserve"> </w:t>
      </w:r>
      <w:r w:rsidRPr="00ED227D">
        <w:t>The amendment will standardize all the thresholds to current values using the Bureau of Labor Statistics Consumer Price index.</w:t>
      </w:r>
    </w:p>
    <w:p w:rsidR="00721FB3" w:rsidP="00842BE6" w14:paraId="6B180B47" w14:textId="77777777"/>
    <w:p w:rsidR="00690F56" w:rsidRPr="00891ED6" w:rsidP="000401EC" w14:paraId="2BBF8E2F" w14:textId="5A8A26D0">
      <w:pPr>
        <w:pStyle w:val="Heading2"/>
      </w:pPr>
      <w:r w:rsidRPr="00891ED6">
        <w:t>Indicate how, by whom, and for what purpose the information is to be used.</w:t>
      </w:r>
      <w:r w:rsidR="0068062D">
        <w:t xml:space="preserve"> </w:t>
      </w:r>
      <w:r w:rsidRPr="00891ED6">
        <w:t>Except for a new collection, indicate the actual use the agency has made of the information received from the current collection.</w:t>
      </w:r>
    </w:p>
    <w:p w:rsidR="00690F56" w:rsidP="000401EC" w14:paraId="6EBE63D5" w14:textId="581ABA13"/>
    <w:p w:rsidR="00712396" w:rsidRPr="007B5207" w:rsidP="00712396" w14:paraId="33731D71" w14:textId="173B62D9">
      <w:pPr>
        <w:pStyle w:val="CommentText"/>
        <w:rPr>
          <w:sz w:val="24"/>
          <w:szCs w:val="24"/>
        </w:rPr>
      </w:pPr>
      <w:r>
        <w:rPr>
          <w:sz w:val="24"/>
          <w:szCs w:val="24"/>
        </w:rPr>
        <w:t xml:space="preserve">The discussion below summarizes the </w:t>
      </w:r>
      <w:r w:rsidR="0001182D">
        <w:rPr>
          <w:sz w:val="24"/>
          <w:szCs w:val="24"/>
        </w:rPr>
        <w:t xml:space="preserve">existing information requirements </w:t>
      </w:r>
      <w:r w:rsidR="00766A6E">
        <w:rPr>
          <w:sz w:val="24"/>
          <w:szCs w:val="24"/>
        </w:rPr>
        <w:t xml:space="preserve">as well as </w:t>
      </w:r>
      <w:r w:rsidR="0001182D">
        <w:rPr>
          <w:sz w:val="24"/>
          <w:szCs w:val="24"/>
        </w:rPr>
        <w:t>the additional requirements from the Final Amendment</w:t>
      </w:r>
      <w:r w:rsidR="00FF16EB">
        <w:rPr>
          <w:sz w:val="24"/>
          <w:szCs w:val="24"/>
        </w:rPr>
        <w:t xml:space="preserve">. </w:t>
      </w:r>
      <w:r w:rsidRPr="007B5207">
        <w:rPr>
          <w:sz w:val="24"/>
          <w:szCs w:val="24"/>
        </w:rPr>
        <w:t xml:space="preserve">These information collections are </w:t>
      </w:r>
      <w:r w:rsidRPr="007B5207">
        <w:rPr>
          <w:sz w:val="24"/>
          <w:szCs w:val="24"/>
        </w:rPr>
        <w:t>designed to safeguard participants and beneficiaries in plans that are involved in transactions covered by the exemption.</w:t>
      </w:r>
      <w:r>
        <w:rPr>
          <w:sz w:val="24"/>
          <w:szCs w:val="24"/>
        </w:rPr>
        <w:t xml:space="preserve"> </w:t>
      </w:r>
    </w:p>
    <w:p w:rsidR="00712396" w:rsidP="000401EC" w14:paraId="0092141E" w14:textId="77777777"/>
    <w:p w:rsidR="00712396" w:rsidRPr="00D269B6" w:rsidP="00712396" w14:paraId="59CE3CAA" w14:textId="77777777">
      <w:pPr>
        <w:rPr>
          <w:u w:val="single"/>
        </w:rPr>
      </w:pPr>
      <w:r w:rsidRPr="00D269B6">
        <w:rPr>
          <w:u w:val="single"/>
        </w:rPr>
        <w:t xml:space="preserve">Existing </w:t>
      </w:r>
      <w:r>
        <w:rPr>
          <w:u w:val="single"/>
        </w:rPr>
        <w:t>Information Requirements</w:t>
      </w:r>
    </w:p>
    <w:p w:rsidR="00FF16EB" w:rsidP="00712396" w14:paraId="233C66BB" w14:textId="77777777">
      <w:pPr>
        <w:rPr>
          <w:i/>
          <w:iCs/>
        </w:rPr>
      </w:pPr>
    </w:p>
    <w:p w:rsidR="00712396" w:rsidRPr="00D269B6" w:rsidP="00712396" w14:paraId="57FA2285" w14:textId="0F008D60">
      <w:pPr>
        <w:rPr>
          <w:i/>
          <w:iCs/>
        </w:rPr>
      </w:pPr>
      <w:r w:rsidRPr="00D269B6">
        <w:rPr>
          <w:i/>
          <w:iCs/>
        </w:rPr>
        <w:t>Written Policies and Procedures for QPAM-sponsored Plans</w:t>
      </w:r>
    </w:p>
    <w:p w:rsidR="00712396" w:rsidRPr="00EE7F17" w:rsidP="00712396" w14:paraId="320B1D36" w14:textId="77777777"/>
    <w:p w:rsidR="00712396" w:rsidP="00712396" w14:paraId="6F6C72BC" w14:textId="77777777">
      <w:r w:rsidRPr="00EE7F17">
        <w:t xml:space="preserve">The </w:t>
      </w:r>
      <w:r>
        <w:t xml:space="preserve">QPAM must adopt </w:t>
      </w:r>
      <w:r w:rsidRPr="00EE7F17">
        <w:t xml:space="preserve">written policies and procedures </w:t>
      </w:r>
      <w:r>
        <w:t>designed</w:t>
      </w:r>
      <w:r w:rsidRPr="00EE7F17">
        <w:t xml:space="preserve"> to </w:t>
      </w:r>
      <w:r>
        <w:t>en</w:t>
      </w:r>
      <w:r w:rsidRPr="00EE7F17">
        <w:t xml:space="preserve">sure compliance with </w:t>
      </w:r>
      <w:r>
        <w:t>the conditions of the exemption.</w:t>
      </w:r>
      <w:r w:rsidRPr="00EE7F17">
        <w:t xml:space="preserve"> </w:t>
      </w:r>
      <w:r>
        <w:t xml:space="preserve">Specifically, the policies and procedures must describe </w:t>
      </w:r>
      <w:r w:rsidRPr="00EE7F17">
        <w:t>each of the following</w:t>
      </w:r>
      <w:r>
        <w:t xml:space="preserve"> and the steps adopted by the QPAM to ensure compliance with these requirements</w:t>
      </w:r>
      <w:r w:rsidRPr="00EE7F17">
        <w:t xml:space="preserve">: </w:t>
      </w:r>
    </w:p>
    <w:p w:rsidR="00712396" w:rsidP="00712396" w14:paraId="2E7A997F" w14:textId="77777777"/>
    <w:p w:rsidR="00712396" w:rsidP="00712396" w14:paraId="305F7913" w14:textId="5C4BD06F">
      <w:pPr>
        <w:pStyle w:val="ListParagraph"/>
        <w:numPr>
          <w:ilvl w:val="0"/>
          <w:numId w:val="24"/>
        </w:numPr>
      </w:pPr>
      <w:r>
        <w:t>T</w:t>
      </w:r>
      <w:r w:rsidRPr="00EE7F17">
        <w:t xml:space="preserve">he entity meets the definition of a QPAM; </w:t>
      </w:r>
    </w:p>
    <w:p w:rsidR="00712396" w:rsidP="00712396" w14:paraId="59B4A2DF" w14:textId="189F3A14">
      <w:pPr>
        <w:pStyle w:val="ListParagraph"/>
        <w:numPr>
          <w:ilvl w:val="0"/>
          <w:numId w:val="24"/>
        </w:numPr>
      </w:pPr>
      <w:r w:rsidRPr="00466D9E">
        <w:rPr>
          <w:rFonts w:cs="Courier New"/>
          <w:szCs w:val="20"/>
        </w:rPr>
        <w:t xml:space="preserve">The QPAM has discretionary authority or control with respect to the </w:t>
      </w:r>
      <w:r w:rsidRPr="00466D9E">
        <w:rPr>
          <w:szCs w:val="20"/>
        </w:rPr>
        <w:t>Plan</w:t>
      </w:r>
      <w:r w:rsidRPr="00466D9E">
        <w:rPr>
          <w:rFonts w:cs="Courier New"/>
          <w:szCs w:val="20"/>
        </w:rPr>
        <w:t xml:space="preserve"> assets involved in the transaction</w:t>
      </w:r>
      <w:r>
        <w:t>;</w:t>
      </w:r>
    </w:p>
    <w:p w:rsidR="00712396" w:rsidP="00712396" w14:paraId="01D91E1B" w14:textId="2F83C20C">
      <w:pPr>
        <w:pStyle w:val="ListParagraph"/>
        <w:numPr>
          <w:ilvl w:val="0"/>
          <w:numId w:val="24"/>
        </w:numPr>
      </w:pPr>
      <w:r>
        <w:t xml:space="preserve">For transactions described in Part I, the transaction is not entered into with any person excluded from relief; and </w:t>
      </w:r>
    </w:p>
    <w:p w:rsidR="00712396" w:rsidP="00712396" w14:paraId="0164A42A" w14:textId="6A6567FD">
      <w:pPr>
        <w:pStyle w:val="ListParagraph"/>
        <w:numPr>
          <w:ilvl w:val="0"/>
          <w:numId w:val="24"/>
        </w:numPr>
      </w:pPr>
      <w:r>
        <w:t xml:space="preserve">For transactions described in Part III, the amount of space covered by a lease does not exceed the limitations and no commission or other fee is paid by the investment fund. </w:t>
      </w:r>
    </w:p>
    <w:p w:rsidR="00712396" w:rsidP="00712396" w14:paraId="0CFA9523" w14:textId="77777777"/>
    <w:p w:rsidR="00712396" w:rsidRPr="00EE7F17" w:rsidP="00712396" w14:paraId="04381AD5" w14:textId="77777777">
      <w:r>
        <w:t>With respect to a QPAM-sponsored plan, s</w:t>
      </w:r>
      <w:r w:rsidRPr="00EE7F17">
        <w:t xml:space="preserve">ince there is no independent person present who would be responsible for monitoring the actions of the QPAM with respect to its own plan, the Department included specific policy and procedures and audit requirements as conditions of </w:t>
      </w:r>
      <w:r>
        <w:t xml:space="preserve">Part V of </w:t>
      </w:r>
      <w:r w:rsidRPr="00EE7F17">
        <w:t>the exemption.</w:t>
      </w:r>
      <w:r>
        <w:t xml:space="preserve"> </w:t>
      </w:r>
      <w:r w:rsidRPr="00EE7F17">
        <w:t>These information collections are designed to safeguard plans involved in transactions covered by the exemption and the participants and beneficiaries of such plans.</w:t>
      </w:r>
    </w:p>
    <w:p w:rsidR="00712396" w:rsidRPr="00EE7F17" w:rsidP="00712396" w14:paraId="776A09CA" w14:textId="77777777"/>
    <w:p w:rsidR="00712396" w:rsidRPr="00D269B6" w:rsidP="00712396" w14:paraId="3A06876C" w14:textId="77777777">
      <w:pPr>
        <w:rPr>
          <w:i/>
          <w:iCs/>
        </w:rPr>
      </w:pPr>
      <w:r w:rsidRPr="00D269B6">
        <w:rPr>
          <w:i/>
          <w:iCs/>
        </w:rPr>
        <w:t>Audit Requirements for QPAM-sponsored Plans</w:t>
      </w:r>
    </w:p>
    <w:p w:rsidR="00712396" w:rsidRPr="00EE7F17" w:rsidP="00712396" w14:paraId="2785FBA6" w14:textId="77777777"/>
    <w:p w:rsidR="00712396" w:rsidRPr="00EE7F17" w:rsidP="00712396" w14:paraId="5A13D8BC" w14:textId="77777777">
      <w:r w:rsidRPr="00EE7F17">
        <w:t>An exemption audit is required to be conducted by an independent auditor, who has appropriate technical training or experience and proficiency with ERISA’s fiduciary responsibility provisions, and so represents in writing.</w:t>
      </w:r>
      <w:r>
        <w:t xml:space="preserve"> </w:t>
      </w:r>
      <w:r w:rsidRPr="00EE7F17">
        <w:t>The exemption audit and report are required to consist of the following:</w:t>
      </w:r>
    </w:p>
    <w:p w:rsidR="00712396" w:rsidRPr="00EE7F17" w:rsidP="00712396" w14:paraId="466E7E6F" w14:textId="77777777"/>
    <w:p w:rsidR="00712396" w:rsidRPr="00EE7F17" w:rsidP="00712396" w14:paraId="17F555DF" w14:textId="77777777">
      <w:pPr>
        <w:pStyle w:val="ListParagraph"/>
        <w:numPr>
          <w:ilvl w:val="0"/>
          <w:numId w:val="25"/>
        </w:numPr>
        <w:tabs>
          <w:tab w:val="clear" w:pos="780"/>
        </w:tabs>
        <w:ind w:left="1440"/>
      </w:pPr>
      <w:r w:rsidRPr="00EE7F17">
        <w:t>A review of the written policies and procedures adopted by the QPAM for consistency with each of the objective requirements of the exemption.</w:t>
      </w:r>
    </w:p>
    <w:p w:rsidR="00712396" w:rsidRPr="00EE7F17" w:rsidP="00712396" w14:paraId="39EC14EB" w14:textId="77777777">
      <w:pPr>
        <w:pStyle w:val="ListParagraph"/>
        <w:numPr>
          <w:ilvl w:val="0"/>
          <w:numId w:val="25"/>
        </w:numPr>
        <w:tabs>
          <w:tab w:val="clear" w:pos="780"/>
        </w:tabs>
        <w:ind w:left="1440"/>
      </w:pPr>
      <w:r w:rsidRPr="00EE7F17">
        <w:t xml:space="preserve">A test of a representative sample of the plan’s transactions in order to make findings regarding whether the QPAM is in compliance with the written policies and procedures adopted by the QPAM and the objective requirements of the exemption. </w:t>
      </w:r>
    </w:p>
    <w:p w:rsidR="00712396" w:rsidRPr="00EE7F17" w:rsidP="00712396" w14:paraId="30EB4B19" w14:textId="77777777">
      <w:pPr>
        <w:pStyle w:val="ListParagraph"/>
        <w:numPr>
          <w:ilvl w:val="0"/>
          <w:numId w:val="25"/>
        </w:numPr>
        <w:tabs>
          <w:tab w:val="clear" w:pos="780"/>
        </w:tabs>
        <w:ind w:left="1440"/>
      </w:pPr>
      <w:r w:rsidRPr="00EE7F17">
        <w:t>A determination as to whether the QPAM has satisfied the definition of a QPAM under the exemption.</w:t>
      </w:r>
    </w:p>
    <w:p w:rsidR="00712396" w:rsidRPr="00EE7F17" w:rsidP="00712396" w14:paraId="4DACBBBF" w14:textId="77777777">
      <w:pPr>
        <w:pStyle w:val="ListParagraph"/>
        <w:numPr>
          <w:ilvl w:val="0"/>
          <w:numId w:val="25"/>
        </w:numPr>
        <w:tabs>
          <w:tab w:val="clear" w:pos="780"/>
        </w:tabs>
        <w:ind w:left="1440"/>
      </w:pPr>
      <w:r w:rsidRPr="00EE7F17">
        <w:t>Issuance of a written report describing the steps performed by the auditor during the course of its review and the auditor’s findings.</w:t>
      </w:r>
    </w:p>
    <w:p w:rsidR="00712396" w:rsidRPr="00EE7F17" w:rsidP="00712396" w14:paraId="76AB7B08" w14:textId="77777777"/>
    <w:p w:rsidR="00712396" w:rsidP="00712396" w14:paraId="2B9BCA48" w14:textId="777810DC">
      <w:r w:rsidRPr="00EE7F17">
        <w:t>Following completion of the exemption audit, the auditor is required to issue a written report presenting its specific findings regarding the level of compliance with the policies and procedures adopted by the QPAM.</w:t>
      </w:r>
      <w:r>
        <w:t xml:space="preserve"> </w:t>
      </w:r>
      <w:r w:rsidRPr="00EE7F17">
        <w:t>The exemption audit and the written report are required to be completed within six months following the end of the year to which the audit relates.</w:t>
      </w:r>
      <w:r w:rsidR="00AE21DD">
        <w:t xml:space="preserve"> </w:t>
      </w:r>
      <w:r w:rsidRPr="007B5207" w:rsidR="00AE21DD">
        <w:t>The audit could be used to verify compliance with the exemption if a field investigation of the QPAM were conducted.</w:t>
      </w:r>
    </w:p>
    <w:p w:rsidR="00712396" w:rsidP="00712396" w14:paraId="12AC070C" w14:textId="77777777">
      <w:pPr>
        <w:rPr>
          <w:i/>
          <w:iCs/>
        </w:rPr>
      </w:pPr>
    </w:p>
    <w:p w:rsidR="00712396" w:rsidRPr="00D269B6" w:rsidP="00712396" w14:paraId="6C97177F" w14:textId="77777777">
      <w:pPr>
        <w:rPr>
          <w:i/>
          <w:iCs/>
        </w:rPr>
      </w:pPr>
      <w:r>
        <w:rPr>
          <w:i/>
          <w:iCs/>
        </w:rPr>
        <w:t>Property Manager Written Guidelines</w:t>
      </w:r>
    </w:p>
    <w:p w:rsidR="00712396" w:rsidP="00712396" w14:paraId="7B6D4F8E" w14:textId="77777777"/>
    <w:p w:rsidR="00712396" w:rsidP="0084246B" w14:paraId="3137B888" w14:textId="1ED59AAF">
      <w:r>
        <w:t>The existing information requirements for the QPAM E</w:t>
      </w:r>
      <w:r w:rsidR="0084246B">
        <w:t>xe</w:t>
      </w:r>
      <w:r>
        <w:t xml:space="preserve">mption </w:t>
      </w:r>
      <w:r w:rsidRPr="00EE7F17">
        <w:t>contains requirements for written guidelines, when, in certain instances, a property manager acts on behalf of a QPAM, and for a written management agreement acknowledging that an institution is a fiduciary with respect to each plan that has retained the QPAM.</w:t>
      </w:r>
      <w:r>
        <w:t xml:space="preserve"> Part V of the exemption</w:t>
      </w:r>
      <w:r w:rsidRPr="00EE7F17">
        <w:t xml:space="preserve"> </w:t>
      </w:r>
      <w:r w:rsidR="0084246B">
        <w:t xml:space="preserve">requires </w:t>
      </w:r>
      <w:r w:rsidRPr="00EE7F17">
        <w:t xml:space="preserve">that the QPAM develop written policies and procedures designed to </w:t>
      </w:r>
      <w:r>
        <w:t>en</w:t>
      </w:r>
      <w:r w:rsidRPr="00EE7F17">
        <w:t>sure compliance with the conditions of the exemption and have an independent auditor conduct an annual exemption audit and issue an audit report to the plan.</w:t>
      </w:r>
      <w:r>
        <w:t xml:space="preserve"> </w:t>
      </w:r>
    </w:p>
    <w:p w:rsidR="00712396" w:rsidP="00712396" w14:paraId="41AF0A67" w14:textId="77777777"/>
    <w:p w:rsidR="00712396" w:rsidRPr="00D269B6" w:rsidP="00712396" w14:paraId="732EF8D1" w14:textId="77777777">
      <w:pPr>
        <w:rPr>
          <w:u w:val="single"/>
        </w:rPr>
      </w:pPr>
      <w:r w:rsidRPr="00D269B6">
        <w:rPr>
          <w:u w:val="single"/>
        </w:rPr>
        <w:t>Additional Information Collections Under the 2023 Final Amendment</w:t>
      </w:r>
    </w:p>
    <w:p w:rsidR="00712396" w:rsidP="00712396" w14:paraId="6C0C5D3D" w14:textId="77777777"/>
    <w:p w:rsidR="00712396" w:rsidP="00712396" w14:paraId="3161DBFB" w14:textId="77777777">
      <w:pPr>
        <w:rPr>
          <w:i/>
          <w:iCs/>
        </w:rPr>
      </w:pPr>
      <w:r>
        <w:rPr>
          <w:i/>
          <w:iCs/>
        </w:rPr>
        <w:t>Reporting Reliance on the QPAM Exemption</w:t>
      </w:r>
    </w:p>
    <w:p w:rsidR="00712396" w:rsidP="00712396" w14:paraId="1240F88A" w14:textId="77777777">
      <w:pPr>
        <w:rPr>
          <w:i/>
          <w:iCs/>
        </w:rPr>
      </w:pPr>
    </w:p>
    <w:p w:rsidR="00712396" w:rsidP="00712396" w14:paraId="618B7D21" w14:textId="115D05D0">
      <w:r>
        <w:t>Section I(</w:t>
      </w:r>
      <w:r w:rsidR="005727CE">
        <w:t>k</w:t>
      </w:r>
      <w:r>
        <w:t>) of the Final Amendment will require QPAMs to report</w:t>
      </w:r>
      <w:r w:rsidRPr="00366044">
        <w:t xml:space="preserve"> </w:t>
      </w:r>
      <w:r>
        <w:t xml:space="preserve">their </w:t>
      </w:r>
      <w:r w:rsidRPr="00366044">
        <w:t>reliance</w:t>
      </w:r>
      <w:r>
        <w:t xml:space="preserve"> on the QPAM Exemption</w:t>
      </w:r>
      <w:r w:rsidRPr="00366044">
        <w:t xml:space="preserve"> by email to the Department</w:t>
      </w:r>
      <w:r>
        <w:t xml:space="preserve">. </w:t>
      </w:r>
      <w:r w:rsidRPr="00DB7701">
        <w:rPr>
          <w:rFonts w:eastAsia="Calibri"/>
        </w:rPr>
        <w:t>The email must include the legal name of the entity and any name the QPAM may be operating under.</w:t>
      </w:r>
      <w:r>
        <w:rPr>
          <w:rFonts w:eastAsia="Calibri"/>
        </w:rPr>
        <w:t xml:space="preserve"> </w:t>
      </w:r>
      <w:r w:rsidRPr="3C37F710">
        <w:t>The notice</w:t>
      </w:r>
      <w:r>
        <w:t xml:space="preserve"> requirement provides the Department with knowledge of </w:t>
      </w:r>
      <w:r w:rsidRPr="3C37F710">
        <w:t xml:space="preserve">the </w:t>
      </w:r>
      <w:r>
        <w:t>investment managers that are relying on the exemption</w:t>
      </w:r>
      <w:r w:rsidRPr="3C37F710">
        <w:t xml:space="preserve"> and</w:t>
      </w:r>
      <w:r>
        <w:t xml:space="preserve"> will serve as an important reminder to investment managers relying on the QPAM Exemption that the “QPAM” title and status are tied to an administrative prohibited transaction exemption that requires </w:t>
      </w:r>
      <w:r w:rsidRPr="64383B6D">
        <w:t>compliance</w:t>
      </w:r>
      <w:r>
        <w:t xml:space="preserve"> with the exemption’s conditions.</w:t>
      </w:r>
    </w:p>
    <w:p w:rsidR="00712396" w:rsidP="00712396" w14:paraId="3F4C4144" w14:textId="77777777">
      <w:pPr>
        <w:rPr>
          <w:i/>
          <w:iCs/>
        </w:rPr>
      </w:pPr>
    </w:p>
    <w:p w:rsidR="00712396" w:rsidP="00712396" w14:paraId="6B70A538" w14:textId="77777777">
      <w:pPr>
        <w:rPr>
          <w:i/>
          <w:iCs/>
        </w:rPr>
      </w:pPr>
      <w:r>
        <w:rPr>
          <w:i/>
          <w:iCs/>
        </w:rPr>
        <w:t>Recordkeeping</w:t>
      </w:r>
    </w:p>
    <w:p w:rsidR="00712396" w:rsidP="00712396" w14:paraId="5B7F352D" w14:textId="77777777">
      <w:pPr>
        <w:rPr>
          <w:i/>
          <w:iCs/>
        </w:rPr>
      </w:pPr>
    </w:p>
    <w:p w:rsidR="00712396" w:rsidRPr="00D269B6" w:rsidP="00712396" w14:paraId="3A27E57A" w14:textId="77777777">
      <w:r>
        <w:t xml:space="preserve">The Final Amendment will require QPAMs to maintain records sufficient to determine whether the conditions of the exemption have been met for a given transaction. QPAMs also </w:t>
      </w:r>
      <w:r>
        <w:rPr>
          <w:rFonts w:eastAsia="Calibri"/>
        </w:rPr>
        <w:t>will</w:t>
      </w:r>
      <w:r w:rsidRPr="00DB7701">
        <w:rPr>
          <w:rFonts w:eastAsia="Calibri"/>
        </w:rPr>
        <w:t xml:space="preserve"> be required to make those records available to the persons identified in Subsection VI(</w:t>
      </w:r>
      <w:r>
        <w:rPr>
          <w:rFonts w:eastAsia="Calibri"/>
        </w:rPr>
        <w:t>u</w:t>
      </w:r>
      <w:r w:rsidRPr="00DB7701">
        <w:rPr>
          <w:rFonts w:eastAsia="Calibri"/>
        </w:rPr>
        <w:t>)(2) for six years.</w:t>
      </w:r>
      <w:r>
        <w:rPr>
          <w:rFonts w:eastAsia="Calibri"/>
        </w:rPr>
        <w:t xml:space="preserve"> </w:t>
      </w:r>
      <w:r w:rsidRPr="005F5FC7">
        <w:rPr>
          <w:rFonts w:cs="Courier New"/>
          <w:color w:val="000000"/>
        </w:rPr>
        <w:t xml:space="preserve">The Department </w:t>
      </w:r>
      <w:r>
        <w:rPr>
          <w:rFonts w:cs="Courier New"/>
          <w:color w:val="000000"/>
        </w:rPr>
        <w:t xml:space="preserve">included this provision to make the QPAM Exemption consistent with other exemptions that </w:t>
      </w:r>
      <w:r w:rsidRPr="005F5FC7">
        <w:rPr>
          <w:rFonts w:cs="Courier New"/>
          <w:color w:val="000000"/>
        </w:rPr>
        <w:t xml:space="preserve">generally impose a recordkeeping requirement on parties relying on an exemption </w:t>
      </w:r>
      <w:r>
        <w:rPr>
          <w:rFonts w:cs="Courier New"/>
          <w:color w:val="000000"/>
        </w:rPr>
        <w:t>and</w:t>
      </w:r>
      <w:r w:rsidRPr="005F5FC7">
        <w:rPr>
          <w:rFonts w:cs="Courier New"/>
          <w:color w:val="000000"/>
        </w:rPr>
        <w:t xml:space="preserve"> to ensure they will be able to demonstrate, and that the Department will be able to verify, compliance with the exemption</w:t>
      </w:r>
      <w:r>
        <w:rPr>
          <w:rFonts w:cs="Courier New"/>
          <w:color w:val="000000"/>
        </w:rPr>
        <w:t xml:space="preserve"> conditions</w:t>
      </w:r>
      <w:r w:rsidRPr="005F5FC7">
        <w:rPr>
          <w:rFonts w:cs="Courier New"/>
          <w:color w:val="000000"/>
        </w:rPr>
        <w:t>.</w:t>
      </w:r>
    </w:p>
    <w:p w:rsidR="00712396" w:rsidP="00712396" w14:paraId="279B42E7" w14:textId="77777777">
      <w:pPr>
        <w:rPr>
          <w:i/>
          <w:iCs/>
        </w:rPr>
      </w:pPr>
    </w:p>
    <w:p w:rsidR="00712396" w:rsidP="00712396" w14:paraId="0A6259A2" w14:textId="77777777">
      <w:pPr>
        <w:rPr>
          <w:i/>
          <w:iCs/>
        </w:rPr>
      </w:pPr>
      <w:r>
        <w:rPr>
          <w:i/>
          <w:iCs/>
        </w:rPr>
        <w:t>Notice to Plans</w:t>
      </w:r>
    </w:p>
    <w:p w:rsidR="00712396" w:rsidP="00712396" w14:paraId="7A155ACA" w14:textId="77777777">
      <w:pPr>
        <w:rPr>
          <w:i/>
          <w:iCs/>
        </w:rPr>
      </w:pPr>
    </w:p>
    <w:p w:rsidR="00712396" w:rsidP="00712396" w14:paraId="2048E767" w14:textId="77777777">
      <w:pPr>
        <w:rPr>
          <w:i/>
          <w:iCs/>
        </w:rPr>
      </w:pPr>
      <w:r w:rsidRPr="00DB7701">
        <w:rPr>
          <w:color w:val="000000"/>
          <w:szCs w:val="20"/>
        </w:rPr>
        <w:t xml:space="preserve">Within 30 days after the </w:t>
      </w:r>
      <w:r>
        <w:rPr>
          <w:color w:val="000000"/>
          <w:szCs w:val="20"/>
        </w:rPr>
        <w:t>Ineligibility Date</w:t>
      </w:r>
      <w:r w:rsidRPr="00DB7701">
        <w:rPr>
          <w:color w:val="000000"/>
          <w:szCs w:val="20"/>
        </w:rPr>
        <w:t>, the QPAM must provide notice to the Department and each of its client Plans.</w:t>
      </w:r>
      <w:r>
        <w:rPr>
          <w:color w:val="000000"/>
          <w:szCs w:val="20"/>
        </w:rPr>
        <w:t xml:space="preserve"> This notice states that </w:t>
      </w:r>
      <w:r w:rsidRPr="6CCCBF95">
        <w:rPr>
          <w:color w:val="000000" w:themeColor="text1"/>
        </w:rPr>
        <w:t xml:space="preserve">the QPAM will not restrict the client’s ability to terminate or withdraw from its arrangement with the QPAM. </w:t>
      </w:r>
      <w:r w:rsidRPr="6CCCBF95">
        <w:rPr>
          <w:rFonts w:cs="Courier New"/>
          <w:color w:val="000000" w:themeColor="text1"/>
        </w:rPr>
        <w:t>Thus,</w:t>
      </w:r>
      <w:r w:rsidRPr="6CCCBF95">
        <w:rPr>
          <w:color w:val="000000" w:themeColor="text1"/>
        </w:rPr>
        <w:t xml:space="preserve"> the QPAM would not be permitted to impose any fees, penalties, or charges on c</w:t>
      </w:r>
      <w:r w:rsidRPr="6CCCBF95">
        <w:rPr>
          <w:rFonts w:cs="Courier New"/>
          <w:color w:val="000000" w:themeColor="text1"/>
        </w:rPr>
        <w:t>lient Plan</w:t>
      </w:r>
      <w:r w:rsidRPr="6CCCBF95">
        <w:rPr>
          <w:color w:val="000000" w:themeColor="text1"/>
        </w:rPr>
        <w:t>s in connection with the process of terminating or withdrawing from a QPAM-managed Investment Fund except for reasonable fees, appropriately disclosed in advance, that are specifically designed to prevent generally recognized abusive investment practices or specifically designed to ensure equitable treatment of all investors in a pooled fund in the event such withdrawal or termination may have adverse consequences for all other investors.</w:t>
      </w:r>
    </w:p>
    <w:p w:rsidR="00712396" w:rsidP="00712396" w14:paraId="27E2232D" w14:textId="77777777">
      <w:pPr>
        <w:rPr>
          <w:i/>
          <w:iCs/>
        </w:rPr>
      </w:pPr>
    </w:p>
    <w:p w:rsidR="00712396" w:rsidP="00712396" w14:paraId="296C3723" w14:textId="44B1D861">
      <w:pPr>
        <w:rPr>
          <w:i/>
          <w:iCs/>
        </w:rPr>
      </w:pPr>
      <w:r>
        <w:rPr>
          <w:i/>
          <w:iCs/>
        </w:rPr>
        <w:t>Notice to the Department of</w:t>
      </w:r>
      <w:r w:rsidR="00F3025B">
        <w:rPr>
          <w:i/>
          <w:iCs/>
        </w:rPr>
        <w:t xml:space="preserve"> </w:t>
      </w:r>
      <w:r w:rsidR="00617F3A">
        <w:rPr>
          <w:i/>
          <w:iCs/>
        </w:rPr>
        <w:t xml:space="preserve">Prohibited </w:t>
      </w:r>
      <w:r w:rsidR="00D13D07">
        <w:rPr>
          <w:i/>
          <w:iCs/>
        </w:rPr>
        <w:t xml:space="preserve">Misconduct </w:t>
      </w:r>
      <w:r w:rsidR="00BA7BC6">
        <w:rPr>
          <w:i/>
          <w:iCs/>
        </w:rPr>
        <w:t xml:space="preserve">and </w:t>
      </w:r>
      <w:r w:rsidR="00FE498E">
        <w:rPr>
          <w:i/>
          <w:iCs/>
        </w:rPr>
        <w:t>Foreign</w:t>
      </w:r>
      <w:r>
        <w:rPr>
          <w:i/>
          <w:iCs/>
        </w:rPr>
        <w:t xml:space="preserve"> Non-Prosecution Agreements (NPAs) or Deferred Prosecution Agreements (DPAs)</w:t>
      </w:r>
    </w:p>
    <w:p w:rsidR="00712396" w:rsidP="00712396" w14:paraId="378BFFA0" w14:textId="77777777">
      <w:pPr>
        <w:rPr>
          <w:i/>
          <w:iCs/>
        </w:rPr>
      </w:pPr>
    </w:p>
    <w:p w:rsidR="00712396" w:rsidP="00712396" w14:paraId="7B2E9F79" w14:textId="2AA1B6FD">
      <w:pPr>
        <w:rPr>
          <w:i/>
          <w:iCs/>
        </w:rPr>
      </w:pPr>
      <w:r w:rsidRPr="712F0D35">
        <w:rPr>
          <w:rFonts w:eastAsia="Calibri"/>
        </w:rPr>
        <w:t>The Department is includ</w:t>
      </w:r>
      <w:r>
        <w:rPr>
          <w:rFonts w:eastAsia="Calibri"/>
        </w:rPr>
        <w:t>ing</w:t>
      </w:r>
      <w:r w:rsidRPr="712F0D35">
        <w:rPr>
          <w:rFonts w:eastAsia="Calibri"/>
        </w:rPr>
        <w:t xml:space="preserve"> a requirement</w:t>
      </w:r>
      <w:r>
        <w:rPr>
          <w:rFonts w:eastAsia="Calibri"/>
        </w:rPr>
        <w:t xml:space="preserve"> in this Final Amendment</w:t>
      </w:r>
      <w:r w:rsidRPr="712F0D35">
        <w:rPr>
          <w:rFonts w:eastAsia="Calibri"/>
        </w:rPr>
        <w:t xml:space="preserve"> that </w:t>
      </w:r>
      <w:r w:rsidR="0091373A">
        <w:rPr>
          <w:rFonts w:eastAsia="Calibri"/>
        </w:rPr>
        <w:t>if</w:t>
      </w:r>
      <w:r w:rsidRPr="712F0D35" w:rsidR="0091373A">
        <w:rPr>
          <w:rFonts w:eastAsia="Calibri"/>
        </w:rPr>
        <w:t xml:space="preserve"> </w:t>
      </w:r>
      <w:r w:rsidRPr="712F0D35">
        <w:rPr>
          <w:rFonts w:eastAsia="Calibri"/>
        </w:rPr>
        <w:t xml:space="preserve">a QPAM, </w:t>
      </w:r>
      <w:r w:rsidR="005C45D2">
        <w:rPr>
          <w:rFonts w:eastAsia="Calibri"/>
        </w:rPr>
        <w:t>an</w:t>
      </w:r>
      <w:r w:rsidRPr="712F0D35">
        <w:rPr>
          <w:rFonts w:eastAsia="Calibri"/>
        </w:rPr>
        <w:t xml:space="preserve"> Affiliate, or owner </w:t>
      </w:r>
      <w:r w:rsidR="0005289F">
        <w:rPr>
          <w:rFonts w:eastAsia="Calibri"/>
        </w:rPr>
        <w:t xml:space="preserve">of a </w:t>
      </w:r>
      <w:r w:rsidR="00717CB5">
        <w:rPr>
          <w:rFonts w:eastAsia="Calibri"/>
        </w:rPr>
        <w:t xml:space="preserve">five </w:t>
      </w:r>
      <w:r w:rsidR="00E23288">
        <w:rPr>
          <w:rFonts w:eastAsia="Calibri"/>
        </w:rPr>
        <w:t xml:space="preserve">percent or more </w:t>
      </w:r>
      <w:r w:rsidR="00DC7775">
        <w:rPr>
          <w:rFonts w:eastAsia="Calibri"/>
        </w:rPr>
        <w:t xml:space="preserve">interest </w:t>
      </w:r>
      <w:r w:rsidR="009B375E">
        <w:rPr>
          <w:rFonts w:eastAsia="Calibri"/>
        </w:rPr>
        <w:t xml:space="preserve">in a QPAM </w:t>
      </w:r>
      <w:r w:rsidR="002F34F1">
        <w:rPr>
          <w:rFonts w:eastAsia="Calibri"/>
        </w:rPr>
        <w:t>P</w:t>
      </w:r>
      <w:r w:rsidR="000331E0">
        <w:rPr>
          <w:rFonts w:eastAsia="Calibri"/>
        </w:rPr>
        <w:t xml:space="preserve">articipates </w:t>
      </w:r>
      <w:r w:rsidR="002F34F1">
        <w:rPr>
          <w:rFonts w:eastAsia="Calibri"/>
        </w:rPr>
        <w:t>I</w:t>
      </w:r>
      <w:r w:rsidR="00BD50B2">
        <w:rPr>
          <w:rFonts w:eastAsia="Calibri"/>
        </w:rPr>
        <w:t xml:space="preserve">n Prohibited Misconduct </w:t>
      </w:r>
      <w:r w:rsidR="00A31139">
        <w:rPr>
          <w:rFonts w:eastAsia="Calibri"/>
        </w:rPr>
        <w:t xml:space="preserve">or </w:t>
      </w:r>
      <w:r w:rsidRPr="712F0D35">
        <w:rPr>
          <w:rFonts w:eastAsia="Calibri"/>
        </w:rPr>
        <w:t>enter</w:t>
      </w:r>
      <w:r w:rsidR="00F7669F">
        <w:rPr>
          <w:rFonts w:eastAsia="Calibri"/>
        </w:rPr>
        <w:t>s</w:t>
      </w:r>
      <w:r w:rsidRPr="712F0D35">
        <w:rPr>
          <w:rFonts w:eastAsia="Calibri"/>
        </w:rPr>
        <w:t xml:space="preserve"> into a</w:t>
      </w:r>
      <w:r w:rsidR="002662C8">
        <w:rPr>
          <w:rFonts w:eastAsia="Calibri"/>
        </w:rPr>
        <w:t xml:space="preserve"> foreign </w:t>
      </w:r>
      <w:r w:rsidR="00435371">
        <w:rPr>
          <w:rFonts w:eastAsia="Calibri"/>
        </w:rPr>
        <w:t xml:space="preserve">equivalent </w:t>
      </w:r>
      <w:r w:rsidR="009B3C9F">
        <w:rPr>
          <w:rFonts w:eastAsia="Calibri"/>
        </w:rPr>
        <w:t>of an</w:t>
      </w:r>
      <w:r w:rsidR="008351D9">
        <w:rPr>
          <w:rFonts w:eastAsia="Calibri"/>
        </w:rPr>
        <w:t xml:space="preserve"> </w:t>
      </w:r>
      <w:r w:rsidRPr="712F0D35">
        <w:rPr>
          <w:rFonts w:eastAsia="Calibri"/>
        </w:rPr>
        <w:t xml:space="preserve">NPA or DPA, </w:t>
      </w:r>
      <w:r w:rsidR="009E53BC">
        <w:rPr>
          <w:rFonts w:eastAsia="Calibri"/>
        </w:rPr>
        <w:t xml:space="preserve">the </w:t>
      </w:r>
      <w:r w:rsidR="00273DA1">
        <w:rPr>
          <w:rFonts w:eastAsia="Calibri"/>
        </w:rPr>
        <w:t xml:space="preserve">QPAM is required </w:t>
      </w:r>
      <w:r w:rsidR="00875476">
        <w:rPr>
          <w:rFonts w:eastAsia="Calibri"/>
        </w:rPr>
        <w:t xml:space="preserve">to provide </w:t>
      </w:r>
      <w:r w:rsidR="001E0B17">
        <w:rPr>
          <w:rFonts w:eastAsia="Calibri"/>
        </w:rPr>
        <w:t xml:space="preserve">notice to the Department </w:t>
      </w:r>
      <w:r w:rsidR="0086178F">
        <w:rPr>
          <w:rFonts w:eastAsia="Calibri"/>
        </w:rPr>
        <w:t>wit</w:t>
      </w:r>
      <w:r w:rsidR="0027743E">
        <w:rPr>
          <w:rFonts w:eastAsia="Calibri"/>
        </w:rPr>
        <w:t xml:space="preserve">hin 30 days of the Ineligibility Date. </w:t>
      </w:r>
      <w:r w:rsidR="00E775C6">
        <w:rPr>
          <w:rFonts w:eastAsia="Calibri"/>
        </w:rPr>
        <w:t xml:space="preserve">The notice must include a description of the Prohibited Misconduct </w:t>
      </w:r>
      <w:r w:rsidR="00FD0A6C">
        <w:rPr>
          <w:rFonts w:eastAsia="Calibri"/>
        </w:rPr>
        <w:t>and the name of and contact information for the QPAM.</w:t>
      </w:r>
      <w:r w:rsidR="002C77F5">
        <w:rPr>
          <w:rFonts w:eastAsia="Calibri"/>
        </w:rPr>
        <w:t xml:space="preserve"> </w:t>
      </w:r>
      <w:r w:rsidRPr="0023055E" w:rsidR="0023055E">
        <w:rPr>
          <w:color w:val="000000" w:themeColor="text1"/>
        </w:rPr>
        <w:t xml:space="preserve">Although the foreign equivalent of NPAs or DPAs </w:t>
      </w:r>
      <w:r w:rsidR="0023055E">
        <w:rPr>
          <w:color w:val="000000" w:themeColor="text1"/>
        </w:rPr>
        <w:t xml:space="preserve">is not </w:t>
      </w:r>
      <w:r w:rsidRPr="0023055E" w:rsidR="0023055E">
        <w:rPr>
          <w:color w:val="000000" w:themeColor="text1"/>
        </w:rPr>
        <w:t xml:space="preserve">an ineligibility trigger, the Final Amendment to Section I(g)(2) requires the QPAM to notify the Department when the QPAM, any Affiliate thereof, or any owner, direct or indirect, of a five (5) percent or more interest in the QPAM </w:t>
      </w:r>
      <w:r w:rsidR="00006783">
        <w:rPr>
          <w:color w:val="000000" w:themeColor="text1"/>
        </w:rPr>
        <w:t>e</w:t>
      </w:r>
      <w:r w:rsidRPr="0023055E" w:rsidR="0023055E">
        <w:rPr>
          <w:color w:val="000000" w:themeColor="text1"/>
        </w:rPr>
        <w:t xml:space="preserve">xecutes a domestic or foreign equivalent NPA or DPA. This notice will give the Department the ability to take appropriate additional action in specific cases and will provide the Department with broader information about these practices as the QPAM exemption continues to be relied upon by parties in the future. </w:t>
      </w:r>
    </w:p>
    <w:p w:rsidR="00712396" w:rsidP="00712396" w14:paraId="46A8D25A" w14:textId="77777777">
      <w:pPr>
        <w:rPr>
          <w:i/>
          <w:iCs/>
        </w:rPr>
      </w:pPr>
      <w:r>
        <w:rPr>
          <w:i/>
          <w:iCs/>
        </w:rPr>
        <w:t>Requesting an Individual Exemption</w:t>
      </w:r>
    </w:p>
    <w:p w:rsidR="00712396" w:rsidP="00712396" w14:paraId="559AA807" w14:textId="77777777">
      <w:pPr>
        <w:rPr>
          <w:i/>
          <w:iCs/>
        </w:rPr>
      </w:pPr>
    </w:p>
    <w:p w:rsidR="00712396" w:rsidRPr="00DB7701" w:rsidP="00712396" w14:paraId="292CEC83" w14:textId="632CCBF6">
      <w:pPr>
        <w:contextualSpacing/>
        <w:rPr>
          <w:rFonts w:eastAsia="Calibri"/>
        </w:rPr>
      </w:pPr>
      <w:r>
        <w:t xml:space="preserve">A Conviction or </w:t>
      </w:r>
      <w:r w:rsidR="002F34F1">
        <w:t>P</w:t>
      </w:r>
      <w:r>
        <w:t xml:space="preserve">articipation </w:t>
      </w:r>
      <w:r w:rsidR="002F34F1">
        <w:t>I</w:t>
      </w:r>
      <w:r>
        <w:t xml:space="preserve">n </w:t>
      </w:r>
      <w:r w:rsidRPr="712F0D35">
        <w:rPr>
          <w:rFonts w:eastAsia="Calibri"/>
        </w:rPr>
        <w:t xml:space="preserve">Prohibited Misconduct could lead a QPAM to request an individual exemption. The burden for filing an application requesting an individual exemption is included in the ICR for the Exemption Procedure Regulation, which has been approved under OMB Control Number 1210-0060. Instead of amending that ICR, the estimated burden for applications from QPAMs </w:t>
      </w:r>
      <w:r w:rsidR="002F34F1">
        <w:rPr>
          <w:rFonts w:eastAsia="Calibri"/>
        </w:rPr>
        <w:t>becoming ineligible</w:t>
      </w:r>
      <w:r w:rsidRPr="712F0D35">
        <w:rPr>
          <w:rFonts w:eastAsia="Calibri"/>
        </w:rPr>
        <w:t xml:space="preserve"> due to </w:t>
      </w:r>
      <w:r w:rsidR="0098108D">
        <w:rPr>
          <w:rFonts w:eastAsia="Calibri"/>
        </w:rPr>
        <w:t xml:space="preserve">a Conviction or Participation In </w:t>
      </w:r>
      <w:r w:rsidRPr="712F0D35">
        <w:rPr>
          <w:rFonts w:eastAsia="Calibri"/>
        </w:rPr>
        <w:t>Prohibited Misconduct is included here.</w:t>
      </w:r>
      <w:r>
        <w:rPr>
          <w:rFonts w:eastAsia="Calibri"/>
          <w:vertAlign w:val="superscript"/>
        </w:rPr>
        <w:footnoteReference w:id="3"/>
      </w:r>
      <w:r w:rsidRPr="712F0D35">
        <w:rPr>
          <w:rFonts w:eastAsia="Calibri"/>
        </w:rPr>
        <w:t xml:space="preserve"> </w:t>
      </w:r>
    </w:p>
    <w:p w:rsidR="00712396" w:rsidP="00712396" w14:paraId="3B7A1A82" w14:textId="77777777">
      <w:pPr>
        <w:rPr>
          <w:i/>
          <w:iCs/>
        </w:rPr>
      </w:pPr>
    </w:p>
    <w:p w:rsidR="00712396" w:rsidP="00712396" w14:paraId="5657BA8D" w14:textId="77777777">
      <w:pPr>
        <w:rPr>
          <w:i/>
          <w:iCs/>
        </w:rPr>
      </w:pPr>
      <w:r w:rsidRPr="712F0D35">
        <w:rPr>
          <w:rFonts w:eastAsia="Calibri"/>
        </w:rPr>
        <w:t xml:space="preserve">For applications that reach the stage of publication </w:t>
      </w:r>
      <w:r w:rsidRPr="712F0D35">
        <w:rPr>
          <w:rFonts w:eastAsia="Calibri"/>
        </w:rPr>
        <w:t>of a proposed</w:t>
      </w:r>
      <w:r>
        <w:rPr>
          <w:rFonts w:eastAsia="Calibri"/>
        </w:rPr>
        <w:t xml:space="preserve"> individual</w:t>
      </w:r>
      <w:r w:rsidRPr="712F0D35">
        <w:rPr>
          <w:rFonts w:eastAsia="Calibri"/>
        </w:rPr>
        <w:t xml:space="preserve"> exemption </w:t>
      </w:r>
      <w:r w:rsidRPr="712F0D35">
        <w:rPr>
          <w:rFonts w:eastAsia="Calibri"/>
        </w:rPr>
        <w:t xml:space="preserve">in the </w:t>
      </w:r>
      <w:r w:rsidRPr="6CCCBF95">
        <w:rPr>
          <w:rFonts w:eastAsia="Calibri"/>
          <w:i/>
          <w:iCs/>
        </w:rPr>
        <w:t>Federal Register</w:t>
      </w:r>
      <w:r w:rsidRPr="712F0D35">
        <w:rPr>
          <w:rFonts w:eastAsia="Calibri"/>
        </w:rPr>
        <w:t>, a notice must be prepared and distributed to interested parties</w:t>
      </w:r>
      <w:r w:rsidRPr="712F0D35">
        <w:rPr>
          <w:rFonts w:eastAsia="Calibri"/>
        </w:rPr>
        <w:t>.</w:t>
      </w:r>
    </w:p>
    <w:p w:rsidR="00712396" w:rsidP="00712396" w14:paraId="7E9C9E71" w14:textId="77777777">
      <w:pPr>
        <w:rPr>
          <w:i/>
          <w:iCs/>
        </w:rPr>
      </w:pPr>
    </w:p>
    <w:p w:rsidR="00712396" w:rsidRPr="00D269B6" w:rsidP="00712396" w14:paraId="5977527B" w14:textId="77777777">
      <w:pPr>
        <w:rPr>
          <w:i/>
          <w:iCs/>
        </w:rPr>
      </w:pPr>
      <w:r>
        <w:rPr>
          <w:i/>
          <w:iCs/>
        </w:rPr>
        <w:t>Additional Requirements for QPAMs Requesting an Individual Exemption</w:t>
      </w:r>
    </w:p>
    <w:p w:rsidR="00712396" w:rsidP="00712396" w14:paraId="51A41538" w14:textId="77777777"/>
    <w:p w:rsidR="00712396" w:rsidP="00712396" w14:paraId="1ECEEBB3" w14:textId="38BBD11B">
      <w:r w:rsidRPr="00DB7701">
        <w:rPr>
          <w:rFonts w:cs="Courier New"/>
          <w:color w:val="000000"/>
        </w:rPr>
        <w:t>New Section I(</w:t>
      </w:r>
      <w:r w:rsidR="00CD10C2">
        <w:rPr>
          <w:rFonts w:cs="Courier New"/>
          <w:color w:val="000000"/>
        </w:rPr>
        <w:t>j</w:t>
      </w:r>
      <w:r w:rsidRPr="00DB7701">
        <w:rPr>
          <w:rFonts w:cs="Courier New"/>
          <w:color w:val="000000"/>
        </w:rPr>
        <w:t xml:space="preserve">) indicates that a QPAM that is ineligible or anticipates that it will become ineligible due to an actual or possible Criminal Conviction </w:t>
      </w:r>
      <w:r w:rsidR="00B2062E">
        <w:rPr>
          <w:rFonts w:cs="Courier New"/>
          <w:color w:val="000000"/>
        </w:rPr>
        <w:t xml:space="preserve">or for </w:t>
      </w:r>
      <w:r w:rsidR="0098108D">
        <w:rPr>
          <w:rFonts w:cs="Courier New"/>
          <w:color w:val="000000"/>
        </w:rPr>
        <w:t>P</w:t>
      </w:r>
      <w:r w:rsidR="00B2062E">
        <w:rPr>
          <w:rFonts w:cs="Courier New"/>
          <w:color w:val="000000"/>
        </w:rPr>
        <w:t xml:space="preserve">articipating </w:t>
      </w:r>
      <w:r w:rsidR="0098108D">
        <w:rPr>
          <w:rFonts w:cs="Courier New"/>
          <w:color w:val="000000"/>
        </w:rPr>
        <w:t>I</w:t>
      </w:r>
      <w:r w:rsidR="00B2062E">
        <w:rPr>
          <w:rFonts w:cs="Courier New"/>
          <w:color w:val="000000"/>
        </w:rPr>
        <w:t xml:space="preserve">n </w:t>
      </w:r>
      <w:r w:rsidR="00B2062E">
        <w:rPr>
          <w:rFonts w:cs="Courier New"/>
          <w:color w:val="000000"/>
        </w:rPr>
        <w:t xml:space="preserve">Prohibited Misconduct </w:t>
      </w:r>
      <w:r w:rsidRPr="00DB7701">
        <w:rPr>
          <w:rFonts w:cs="Courier New"/>
          <w:color w:val="000000"/>
        </w:rPr>
        <w:t xml:space="preserve">may apply for an individual exemption from the Department to continue to rely on the relief provided in this exemption for a longer period than the one-year </w:t>
      </w:r>
      <w:r w:rsidRPr="00E74A84">
        <w:rPr>
          <w:rFonts w:cs="Courier New"/>
          <w:color w:val="000000"/>
        </w:rPr>
        <w:t>Transition</w:t>
      </w:r>
      <w:r w:rsidRPr="00DB7701">
        <w:rPr>
          <w:rFonts w:cs="Courier New"/>
          <w:color w:val="000000"/>
        </w:rPr>
        <w:t xml:space="preserve"> </w:t>
      </w:r>
      <w:r>
        <w:rPr>
          <w:rFonts w:cs="Courier New"/>
          <w:color w:val="000000"/>
        </w:rPr>
        <w:t>P</w:t>
      </w:r>
      <w:r w:rsidRPr="00DB7701">
        <w:rPr>
          <w:rFonts w:cs="Courier New"/>
          <w:color w:val="000000"/>
        </w:rPr>
        <w:t>eriod. In such an event, an applicant should review the Department’s most recently granted individual exemptions involving Section I(g) ineligibility. If an applicant requests the Department to exclude any term or condition from its exemption that is included in a recently granted individual exemption, the applicant must include a detailed statement with its exemption application explaining the reason(s) why the variation is necessary and in the interest and protective of affected Plans and their participants and beneficiaries.</w:t>
      </w:r>
    </w:p>
    <w:p w:rsidR="00712396" w:rsidP="00712396" w14:paraId="0334EA27" w14:textId="77777777"/>
    <w:p w:rsidR="00712396" w:rsidRPr="00EE7F17" w:rsidP="00712396" w14:paraId="20078F85" w14:textId="77777777">
      <w:r w:rsidRPr="00ED227D">
        <w:t>Together, the Department believes these updates are necessary to ensure the QPAM Exemption remains in the interest of and protective of the rights of plans and their participants and beneficiaries.</w:t>
      </w:r>
    </w:p>
    <w:p w:rsidR="00712396" w:rsidRPr="00D53DEB" w:rsidP="00712396" w14:paraId="5D19A162" w14:textId="77777777"/>
    <w:p w:rsidR="00690F56" w:rsidRPr="00D53DEB" w:rsidP="000401EC" w14:paraId="1908DC84" w14:textId="0BC68FA7">
      <w:pPr>
        <w:pStyle w:val="Heading2"/>
      </w:pPr>
      <w:r w:rsidRPr="00D53DE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68062D">
        <w:t xml:space="preserve"> </w:t>
      </w:r>
      <w:r w:rsidRPr="00D53DEB">
        <w:t>Also</w:t>
      </w:r>
      <w:r w:rsidRPr="00D53DEB" w:rsidR="00237691">
        <w:t>,</w:t>
      </w:r>
      <w:r w:rsidRPr="00D53DEB">
        <w:t xml:space="preserve"> describe any consideration of using information technology to reduce burden.</w:t>
      </w:r>
    </w:p>
    <w:p w:rsidR="00690F56" w:rsidP="000401EC" w14:paraId="04006A6E" w14:textId="7DFB1A6E"/>
    <w:p w:rsidR="00F93344" w:rsidP="000401EC" w14:paraId="78F70B62" w14:textId="3CBC1294">
      <w:pPr>
        <w:pStyle w:val="BodyText"/>
      </w:pPr>
      <w:r>
        <w:t xml:space="preserve">QPAMs are required to report </w:t>
      </w:r>
      <w:r w:rsidR="00CF4296">
        <w:t>their reliance on the QPAM Exemption</w:t>
      </w:r>
      <w:r w:rsidR="00392F17">
        <w:t xml:space="preserve"> </w:t>
      </w:r>
      <w:r w:rsidR="002720A9">
        <w:t xml:space="preserve">to the Department </w:t>
      </w:r>
      <w:r w:rsidR="00416B4B">
        <w:t xml:space="preserve">and </w:t>
      </w:r>
      <w:r w:rsidR="002720A9">
        <w:t xml:space="preserve">to notify the Department of </w:t>
      </w:r>
      <w:r w:rsidR="003568D7">
        <w:t xml:space="preserve">Prohibited Misconduct and Foreign </w:t>
      </w:r>
      <w:r w:rsidR="002720A9">
        <w:t>NPAs or DPAs</w:t>
      </w:r>
      <w:r w:rsidR="00ED7DAD">
        <w:t xml:space="preserve"> </w:t>
      </w:r>
      <w:r w:rsidR="00392F17">
        <w:t xml:space="preserve">through email. </w:t>
      </w:r>
    </w:p>
    <w:p w:rsidR="00ED7DAD" w:rsidP="000401EC" w14:paraId="2F69D5BB" w14:textId="77777777">
      <w:pPr>
        <w:pStyle w:val="BodyText"/>
      </w:pPr>
    </w:p>
    <w:p w:rsidR="000B26AD" w:rsidRPr="00EE7F17" w:rsidP="000401EC" w14:paraId="62FFA3CF" w14:textId="3133A2BF">
      <w:pPr>
        <w:pStyle w:val="BodyText"/>
      </w:pPr>
      <w:r>
        <w:t>N</w:t>
      </w:r>
      <w:r w:rsidR="002714E1">
        <w:t>otice</w:t>
      </w:r>
      <w:r w:rsidR="00634034">
        <w:t>s</w:t>
      </w:r>
      <w:r w:rsidR="002714E1">
        <w:t xml:space="preserve"> to client </w:t>
      </w:r>
      <w:r w:rsidR="00634034">
        <w:t>P</w:t>
      </w:r>
      <w:r w:rsidR="002714E1">
        <w:t>lans in connection with Section I(g) ineligibility may also be carried out electronically or in any manner the QPAM deems appropriate</w:t>
      </w:r>
      <w:r w:rsidR="00AA1710">
        <w:t xml:space="preserve"> to ensure its clients receive the notice</w:t>
      </w:r>
      <w:r w:rsidR="002714E1">
        <w:t xml:space="preserve">. </w:t>
      </w:r>
      <w:r w:rsidRPr="712F0D35" w:rsidR="0031444E">
        <w:rPr>
          <w:szCs w:val="24"/>
        </w:rPr>
        <w:t xml:space="preserve">The Department does not have </w:t>
      </w:r>
      <w:r w:rsidR="0031444E">
        <w:rPr>
          <w:szCs w:val="24"/>
        </w:rPr>
        <w:t xml:space="preserve">sufficient </w:t>
      </w:r>
      <w:r w:rsidRPr="712F0D35" w:rsidR="0031444E">
        <w:rPr>
          <w:szCs w:val="24"/>
        </w:rPr>
        <w:t xml:space="preserve">data </w:t>
      </w:r>
      <w:r w:rsidR="0031444E">
        <w:rPr>
          <w:szCs w:val="24"/>
        </w:rPr>
        <w:t>to estimate</w:t>
      </w:r>
      <w:r w:rsidRPr="712F0D35" w:rsidR="0031444E">
        <w:rPr>
          <w:szCs w:val="24"/>
        </w:rPr>
        <w:t xml:space="preserve"> how often QPAMs will elect to send such notices electronically or by mail. For the purposes of this analysis, the Department estimates that 80</w:t>
      </w:r>
      <w:r w:rsidR="0031444E">
        <w:rPr>
          <w:szCs w:val="24"/>
        </w:rPr>
        <w:t xml:space="preserve"> percent</w:t>
      </w:r>
      <w:r w:rsidRPr="712F0D35" w:rsidR="0031444E">
        <w:rPr>
          <w:szCs w:val="24"/>
        </w:rPr>
        <w:t xml:space="preserve"> of these notices will be delivered by first-class mail.</w:t>
      </w:r>
    </w:p>
    <w:p w:rsidR="000B26AD" w:rsidRPr="00A47DA7" w:rsidP="000401EC" w14:paraId="2531F6A2" w14:textId="77777777"/>
    <w:p w:rsidR="00690F56" w:rsidRPr="00D53DEB" w:rsidP="000401EC" w14:paraId="529483DE" w14:textId="24F73C60">
      <w:pPr>
        <w:pStyle w:val="Heading2"/>
      </w:pPr>
      <w:r w:rsidRPr="00D53DEB">
        <w:t>Describe efforts to identify duplication.</w:t>
      </w:r>
      <w:r w:rsidR="0068062D">
        <w:t xml:space="preserve"> </w:t>
      </w:r>
      <w:r w:rsidRPr="00D53DEB">
        <w:t xml:space="preserve">Show specifically why similar information already available cannot be used or modified for use for the purposes described in Item </w:t>
      </w:r>
      <w:r w:rsidRPr="00D53DEB" w:rsidR="00237691">
        <w:t>A.</w:t>
      </w:r>
      <w:r w:rsidRPr="00D53DEB">
        <w:t>2 above.</w:t>
      </w:r>
    </w:p>
    <w:p w:rsidR="00690F56" w:rsidP="000401EC" w14:paraId="2693B8DC" w14:textId="7C201263"/>
    <w:p w:rsidR="000B26AD" w:rsidRPr="00EE7F17" w:rsidP="000401EC" w14:paraId="2CF05B2D" w14:textId="1FECEBFD">
      <w:pPr>
        <w:pStyle w:val="BodyText"/>
      </w:pPr>
      <w:r w:rsidRPr="00EE7F17">
        <w:t>The Department has attempted to avoid duplication of information collection requirements.</w:t>
      </w:r>
      <w:r w:rsidR="0068062D">
        <w:t xml:space="preserve"> </w:t>
      </w:r>
      <w:r w:rsidRPr="00EE7F17">
        <w:t>The required policies and procedures and exemption audit are unique to the circumstances of the particular transactions covered by the exemption and do not replicate any other requirements by state or federal regulations.</w:t>
      </w:r>
      <w:r w:rsidR="0068062D">
        <w:t xml:space="preserve"> </w:t>
      </w:r>
      <w:r w:rsidRPr="00EE7F17">
        <w:t>The exemption permits respondents to satisfy the requirements for written guidelines between the QPAM and property manager with documents that are already in existence due to ordinary and customary business practices, provided such documents contain the required disclosures.</w:t>
      </w:r>
    </w:p>
    <w:p w:rsidR="000B26AD" w:rsidRPr="00A47DA7" w:rsidP="000401EC" w14:paraId="756E62B6" w14:textId="77777777"/>
    <w:p w:rsidR="00690F56" w:rsidRPr="00D53DEB" w:rsidP="000401EC" w14:paraId="686EF219" w14:textId="7A0E53D5">
      <w:pPr>
        <w:pStyle w:val="Heading2"/>
      </w:pPr>
      <w:r w:rsidRPr="00D53DEB">
        <w:t>If the collection of information impacts small businesses or other small entities</w:t>
      </w:r>
      <w:r w:rsidRPr="00D53DEB" w:rsidR="00237691">
        <w:t>,</w:t>
      </w:r>
      <w:r w:rsidRPr="00D53DEB">
        <w:t xml:space="preserve"> describe any methods used to minimize burden.</w:t>
      </w:r>
    </w:p>
    <w:p w:rsidR="00690F56" w:rsidP="000401EC" w14:paraId="034A882C" w14:textId="23BB9971"/>
    <w:p w:rsidR="00117855" w:rsidP="000401EC" w14:paraId="351B4146" w14:textId="64CBD1D6">
      <w:pPr>
        <w:pStyle w:val="BodyText"/>
        <w:rPr>
          <w:rFonts w:eastAsia="Calibri"/>
          <w:szCs w:val="24"/>
        </w:rPr>
      </w:pPr>
      <w:r>
        <w:rPr>
          <w:rFonts w:eastAsia="Calibri"/>
          <w:szCs w:val="24"/>
        </w:rPr>
        <w:t>T</w:t>
      </w:r>
      <w:r w:rsidRPr="2213DDA9">
        <w:rPr>
          <w:rFonts w:eastAsia="Calibri"/>
          <w:szCs w:val="24"/>
        </w:rPr>
        <w:t xml:space="preserve">he exemption’s minimum asset and equity thresholds are intended to ensure that the fiduciaries managing Plan assets are established institutions that are large enough not to be unduly influenced in their discretionary decision-making process by Parties in Interest. </w:t>
      </w:r>
    </w:p>
    <w:p w:rsidR="00117855" w:rsidP="000401EC" w14:paraId="377D3389" w14:textId="77777777">
      <w:pPr>
        <w:pStyle w:val="BodyText"/>
        <w:rPr>
          <w:rFonts w:eastAsia="Calibri"/>
          <w:szCs w:val="24"/>
        </w:rPr>
      </w:pPr>
    </w:p>
    <w:p w:rsidR="006C0759" w:rsidP="006C0759" w14:paraId="399C4CDA" w14:textId="77777777">
      <w:pPr>
        <w:pStyle w:val="BodyText"/>
        <w:rPr>
          <w:rFonts w:eastAsia="Calibri"/>
          <w:szCs w:val="24"/>
        </w:rPr>
      </w:pPr>
      <w:r w:rsidRPr="00DB7701">
        <w:rPr>
          <w:rFonts w:eastAsia="Calibri"/>
        </w:rPr>
        <w:t xml:space="preserve">To qualify as a QPAM, financial institutions must meet equity capital, net worth, and/or asset under management requirements. The </w:t>
      </w:r>
      <w:r>
        <w:rPr>
          <w:rFonts w:eastAsia="Calibri"/>
        </w:rPr>
        <w:t>Final A</w:t>
      </w:r>
      <w:r w:rsidRPr="00DB7701">
        <w:rPr>
          <w:rFonts w:eastAsia="Calibri"/>
        </w:rPr>
        <w:t>mendment will update these thresholds based on the price inflation since 1984</w:t>
      </w:r>
      <w:r>
        <w:rPr>
          <w:rFonts w:eastAsia="Calibri"/>
        </w:rPr>
        <w:t xml:space="preserve">, </w:t>
      </w:r>
      <w:r w:rsidRPr="00DB7701">
        <w:rPr>
          <w:rFonts w:eastAsia="Calibri"/>
        </w:rPr>
        <w:t xml:space="preserve">incrementally </w:t>
      </w:r>
      <w:r>
        <w:rPr>
          <w:rFonts w:eastAsia="Calibri"/>
        </w:rPr>
        <w:t>phasing in the thresholds from the Proposed Amendment over the period</w:t>
      </w:r>
      <w:r w:rsidRPr="00DB7701">
        <w:rPr>
          <w:rFonts w:eastAsia="Calibri"/>
        </w:rPr>
        <w:t xml:space="preserve"> between 2024 and 2030.</w:t>
      </w:r>
      <w:r w:rsidR="00A808C1">
        <w:rPr>
          <w:rFonts w:eastAsia="Calibri"/>
        </w:rPr>
        <w:t xml:space="preserve"> </w:t>
      </w:r>
      <w:r w:rsidRPr="2213DDA9">
        <w:rPr>
          <w:rFonts w:eastAsia="Calibri"/>
          <w:szCs w:val="24"/>
        </w:rPr>
        <w:t xml:space="preserve">The Department lacks sufficient data to identify how many of the estimated asset managers providing services to Plans </w:t>
      </w:r>
      <w:r>
        <w:rPr>
          <w:rFonts w:eastAsia="Calibri"/>
          <w:szCs w:val="24"/>
        </w:rPr>
        <w:t>would be considered small entities</w:t>
      </w:r>
      <w:r w:rsidRPr="2213DDA9">
        <w:rPr>
          <w:rFonts w:eastAsia="Calibri"/>
          <w:szCs w:val="24"/>
        </w:rPr>
        <w:t xml:space="preserve">. </w:t>
      </w:r>
      <w:r>
        <w:rPr>
          <w:rFonts w:eastAsia="Calibri"/>
          <w:szCs w:val="24"/>
        </w:rPr>
        <w:t>The Department believes that most are large entities, but</w:t>
      </w:r>
      <w:r w:rsidRPr="2213DDA9">
        <w:rPr>
          <w:rFonts w:eastAsia="Calibri"/>
          <w:szCs w:val="24"/>
        </w:rPr>
        <w:t xml:space="preserve"> some small entities</w:t>
      </w:r>
      <w:r>
        <w:rPr>
          <w:rFonts w:eastAsia="Calibri"/>
          <w:szCs w:val="24"/>
        </w:rPr>
        <w:t xml:space="preserve"> may be affected.</w:t>
      </w:r>
    </w:p>
    <w:p w:rsidR="006C0759" w:rsidP="000401EC" w14:paraId="5781628C" w14:textId="77777777">
      <w:pPr>
        <w:pStyle w:val="BodyText"/>
        <w:rPr>
          <w:rFonts w:eastAsia="Calibri"/>
        </w:rPr>
      </w:pPr>
    </w:p>
    <w:p w:rsidR="0040128E" w:rsidP="000401EC" w14:paraId="164DBBAF" w14:textId="77777777">
      <w:pPr>
        <w:pStyle w:val="BodyText"/>
        <w:rPr>
          <w:rFonts w:eastAsia="Calibri"/>
          <w:szCs w:val="24"/>
        </w:rPr>
      </w:pPr>
      <w:r>
        <w:rPr>
          <w:rFonts w:eastAsia="Calibri"/>
        </w:rPr>
        <w:t>T</w:t>
      </w:r>
      <w:r w:rsidRPr="00605FD5">
        <w:rPr>
          <w:rFonts w:eastAsia="Calibri"/>
        </w:rPr>
        <w:t>he updates to the asset management and equity thresholds</w:t>
      </w:r>
      <w:r>
        <w:rPr>
          <w:rFonts w:eastAsia="Calibri"/>
        </w:rPr>
        <w:t xml:space="preserve"> could cause some small</w:t>
      </w:r>
      <w:r w:rsidR="00E315C8">
        <w:rPr>
          <w:rFonts w:eastAsia="Calibri"/>
        </w:rPr>
        <w:t>er</w:t>
      </w:r>
      <w:r>
        <w:rPr>
          <w:rFonts w:eastAsia="Calibri"/>
        </w:rPr>
        <w:t xml:space="preserve"> QPAMs</w:t>
      </w:r>
      <w:r w:rsidR="00E315C8">
        <w:rPr>
          <w:rFonts w:eastAsia="Calibri"/>
        </w:rPr>
        <w:t>, near the threshold,</w:t>
      </w:r>
      <w:r>
        <w:rPr>
          <w:rFonts w:eastAsia="Calibri"/>
        </w:rPr>
        <w:t xml:space="preserve"> to be ineligible to use the exemption. </w:t>
      </w:r>
      <w:r w:rsidRPr="2213DDA9" w:rsidR="00197F00">
        <w:rPr>
          <w:rFonts w:eastAsia="Calibri"/>
          <w:szCs w:val="24"/>
        </w:rPr>
        <w:t>By spreading out the proposed increases occurring with this Final Amendment incrementally from 2024 through 2030, the impact of a sudden increase in the threshold will be greatly reduced. This longer implementation period will provide ample opportunity for QPAMs to prepare and be on notice that the thresholds are increasing in this manner and on an annual basis thereafter.</w:t>
      </w:r>
      <w:r w:rsidR="002C56E3">
        <w:rPr>
          <w:rFonts w:eastAsia="Calibri"/>
          <w:szCs w:val="24"/>
        </w:rPr>
        <w:t xml:space="preserve"> </w:t>
      </w:r>
    </w:p>
    <w:p w:rsidR="0040128E" w:rsidP="000401EC" w14:paraId="37384D42" w14:textId="77777777">
      <w:pPr>
        <w:pStyle w:val="BodyText"/>
        <w:rPr>
          <w:rFonts w:eastAsia="Calibri"/>
          <w:szCs w:val="24"/>
        </w:rPr>
      </w:pPr>
    </w:p>
    <w:p w:rsidR="00650DCB" w:rsidP="000401EC" w14:paraId="5C630A51" w14:textId="1D994692">
      <w:pPr>
        <w:pStyle w:val="BodyText"/>
        <w:rPr>
          <w:rFonts w:eastAsia="Calibri"/>
        </w:rPr>
      </w:pPr>
      <w:r>
        <w:rPr>
          <w:rFonts w:eastAsia="Calibri"/>
          <w:szCs w:val="24"/>
        </w:rPr>
        <w:t>Additionally, s</w:t>
      </w:r>
      <w:r w:rsidRPr="00FC32C5" w:rsidR="00FC32C5">
        <w:rPr>
          <w:rFonts w:eastAsia="Calibri"/>
          <w:szCs w:val="24"/>
        </w:rPr>
        <w:t>mall asset managers or start-ups can apply for individual exemptive relief to use the QPAM Exemption if they are detrimentally impacted by the Final Amendment’s increase to the equity and asset thresholds, and the Department will consider those requests on a case-by-case basis</w:t>
      </w:r>
      <w:r w:rsidR="00FC32C5">
        <w:rPr>
          <w:rFonts w:eastAsia="Calibri"/>
          <w:szCs w:val="24"/>
        </w:rPr>
        <w:t>.</w:t>
      </w:r>
    </w:p>
    <w:p w:rsidR="00080268" w:rsidP="00342A96" w14:paraId="745256CA" w14:textId="77777777">
      <w:pPr>
        <w:pStyle w:val="BodyText"/>
        <w:ind w:left="0"/>
        <w:rPr>
          <w:rFonts w:eastAsia="Calibri"/>
          <w:szCs w:val="24"/>
        </w:rPr>
      </w:pPr>
    </w:p>
    <w:p w:rsidR="00080268" w:rsidP="000401EC" w14:paraId="135AB382" w14:textId="472E9B0C">
      <w:pPr>
        <w:pStyle w:val="BodyText"/>
      </w:pPr>
      <w:r w:rsidRPr="007F6950">
        <w:t xml:space="preserve">The </w:t>
      </w:r>
      <w:r w:rsidR="00C979B0">
        <w:t>Final Amendment</w:t>
      </w:r>
      <w:r w:rsidRPr="007F6950">
        <w:t xml:space="preserve"> seeks to </w:t>
      </w:r>
      <w:r w:rsidR="007511D6">
        <w:t xml:space="preserve">update the QPAM Exemption to account for changes in the financial services industry. </w:t>
      </w:r>
      <w:r w:rsidRPr="007F6950">
        <w:t xml:space="preserve">These </w:t>
      </w:r>
      <w:r w:rsidR="00870A7E">
        <w:t xml:space="preserve">updates are necessary </w:t>
      </w:r>
      <w:r w:rsidR="00C0459E">
        <w:t xml:space="preserve">to protect </w:t>
      </w:r>
      <w:r w:rsidR="000333A9">
        <w:t xml:space="preserve">Plans, their participants and </w:t>
      </w:r>
      <w:r w:rsidR="00653447">
        <w:t xml:space="preserve">beneficiaries, regardless of the size </w:t>
      </w:r>
      <w:r w:rsidR="00162E7A">
        <w:t xml:space="preserve">the QPAM they rely upon. As such, </w:t>
      </w:r>
      <w:r w:rsidRPr="007F6950">
        <w:t>the Department’s ability to craft specific alternatives for small</w:t>
      </w:r>
      <w:r w:rsidR="00162E7A">
        <w:t>er</w:t>
      </w:r>
      <w:r w:rsidRPr="007F6950">
        <w:t xml:space="preserve"> </w:t>
      </w:r>
      <w:r w:rsidR="00162E7A">
        <w:t>QPAMs</w:t>
      </w:r>
      <w:r w:rsidRPr="007F6950">
        <w:t xml:space="preserve"> is limited.</w:t>
      </w:r>
    </w:p>
    <w:p w:rsidR="00690F56" w:rsidRPr="00A973AA" w:rsidP="000401EC" w14:paraId="5D56A05A" w14:textId="77777777"/>
    <w:p w:rsidR="00690F56" w:rsidRPr="00FA1677" w:rsidP="000401EC" w14:paraId="5F528885" w14:textId="07AF0A98">
      <w:pPr>
        <w:pStyle w:val="Heading2"/>
      </w:pPr>
      <w:r w:rsidRPr="00FA1677">
        <w:t>Describe the consequence to f</w:t>
      </w:r>
      <w:r w:rsidRPr="00FA1677">
        <w:t>ederal program or policy activities if the collection is not conducted or is conducted less frequently, as well as any technical or legal obstacles to reducing burden.</w:t>
      </w:r>
    </w:p>
    <w:p w:rsidR="00690F56" w:rsidRPr="00FA1677" w:rsidP="000401EC" w14:paraId="7C4C2F67" w14:textId="30607E91"/>
    <w:p w:rsidR="00A52C99" w:rsidRPr="00FA1677" w:rsidP="000401EC" w14:paraId="2E322840" w14:textId="6B191818">
      <w:r w:rsidRPr="00FA1677">
        <w:t xml:space="preserve">Without the current information collection, compliance with the exemption would be difficult to monitor </w:t>
      </w:r>
      <w:r w:rsidR="00FC32C5">
        <w:t>and</w:t>
      </w:r>
      <w:r w:rsidRPr="00FA1677" w:rsidR="00FC32C5">
        <w:t xml:space="preserve"> </w:t>
      </w:r>
      <w:r w:rsidRPr="00FA1677">
        <w:t>adequately safeguard plan assets as required under ERISA section 408(a) and Code section 4975(c)(2).</w:t>
      </w:r>
      <w:r w:rsidRPr="00FA1677" w:rsidR="00A22DC0">
        <w:t xml:space="preserve"> The policies and procedures and accompanying audit of QPAM-sponsored plans is n</w:t>
      </w:r>
      <w:r w:rsidRPr="00FA1677" w:rsidR="002978CD">
        <w:t>ecessary to address the lack of independence of the QPAM with respect to its own plan.</w:t>
      </w:r>
      <w:r w:rsidRPr="00FA1677" w:rsidR="0068062D">
        <w:t xml:space="preserve"> </w:t>
      </w:r>
      <w:r w:rsidRPr="00FA1677" w:rsidR="002978CD">
        <w:t xml:space="preserve">Independence of the QPAM from the plan is otherwise required under the exemption. </w:t>
      </w:r>
    </w:p>
    <w:p w:rsidR="00A52C99" w:rsidRPr="00FA1677" w:rsidP="000401EC" w14:paraId="751F8B15" w14:textId="77777777"/>
    <w:p w:rsidR="000B26AD" w:rsidRPr="00FA1677" w:rsidP="000401EC" w14:paraId="63B19072" w14:textId="5FAB23D4">
      <w:r w:rsidRPr="00FA1677">
        <w:t>T</w:t>
      </w:r>
      <w:r w:rsidRPr="00FA1677">
        <w:t xml:space="preserve">he requirements of this </w:t>
      </w:r>
      <w:r w:rsidRPr="00FA1677" w:rsidR="00E45A6D">
        <w:t>Final Amendment</w:t>
      </w:r>
      <w:r w:rsidRPr="00FA1677">
        <w:t xml:space="preserve"> are only mandatory if financial institutions that are fiduciaries wish to utilize the </w:t>
      </w:r>
      <w:r w:rsidRPr="00FA1677" w:rsidR="009676DE">
        <w:t>QPAM E</w:t>
      </w:r>
      <w:r w:rsidRPr="00FA1677">
        <w:t>xemption</w:t>
      </w:r>
      <w:r w:rsidRPr="00FA1677" w:rsidR="00B831AD">
        <w:t xml:space="preserve"> by acting as a QPAM</w:t>
      </w:r>
      <w:r w:rsidRPr="00FA1677">
        <w:t>.</w:t>
      </w:r>
      <w:r w:rsidRPr="00FA1677" w:rsidR="0068062D">
        <w:t xml:space="preserve"> </w:t>
      </w:r>
      <w:r w:rsidRPr="00FA1677" w:rsidR="009E29EA">
        <w:t xml:space="preserve">Moreover, </w:t>
      </w:r>
      <w:r w:rsidRPr="00FA1677" w:rsidR="00AC6DE4">
        <w:t>a</w:t>
      </w:r>
      <w:r w:rsidRPr="00FA1677" w:rsidR="009E29EA">
        <w:t xml:space="preserve"> notice requirement is only necessary when a QPAM has violated the eligibility provision</w:t>
      </w:r>
      <w:r w:rsidRPr="00FA1677" w:rsidR="00AC6DE4">
        <w:t>.</w:t>
      </w:r>
    </w:p>
    <w:p w:rsidR="00DB435B" w:rsidRPr="00FA1677" w:rsidP="000401EC" w14:paraId="2832D2FF" w14:textId="2C44DB80"/>
    <w:p w:rsidR="005F2778" w:rsidRPr="00FA1677" w:rsidP="000401EC" w14:paraId="5213FED7" w14:textId="1851BD25">
      <w:r w:rsidRPr="00FA1677">
        <w:t>S</w:t>
      </w:r>
      <w:r w:rsidRPr="00FA1677" w:rsidR="001E778D">
        <w:t>ubs</w:t>
      </w:r>
      <w:r w:rsidRPr="00FA1677" w:rsidR="00786BFD">
        <w:t>ection I</w:t>
      </w:r>
      <w:r w:rsidRPr="00FA1677" w:rsidR="001E778D">
        <w:t>(</w:t>
      </w:r>
      <w:r w:rsidR="00860972">
        <w:t>i</w:t>
      </w:r>
      <w:r w:rsidRPr="00FA1677" w:rsidR="001E778D">
        <w:t>)(1)</w:t>
      </w:r>
      <w:r w:rsidRPr="00FA1677" w:rsidR="00E2641A">
        <w:t xml:space="preserve"> </w:t>
      </w:r>
      <w:r w:rsidRPr="00FA1677" w:rsidR="00AC6DE4">
        <w:t>ensur</w:t>
      </w:r>
      <w:r w:rsidRPr="00FA1677" w:rsidR="00E2641A">
        <w:t>e</w:t>
      </w:r>
      <w:r w:rsidRPr="00FA1677">
        <w:t>s</w:t>
      </w:r>
      <w:r w:rsidRPr="00FA1677" w:rsidR="008F6EEF">
        <w:t xml:space="preserve"> </w:t>
      </w:r>
      <w:r w:rsidRPr="00FA1677" w:rsidR="007810DF">
        <w:t xml:space="preserve">an </w:t>
      </w:r>
      <w:r w:rsidRPr="00FA1677" w:rsidR="008F6EEF">
        <w:t>ineligible QPAM provide</w:t>
      </w:r>
      <w:r w:rsidRPr="00FA1677" w:rsidR="007810DF">
        <w:t>s</w:t>
      </w:r>
      <w:r w:rsidRPr="00FA1677" w:rsidR="008F6EEF">
        <w:t xml:space="preserve"> notice to its client Plans</w:t>
      </w:r>
      <w:r w:rsidRPr="00FA1677">
        <w:t>:</w:t>
      </w:r>
    </w:p>
    <w:p w:rsidR="00530131" w:rsidRPr="00FA1677" w:rsidP="000401EC" w14:paraId="017392C2" w14:textId="77777777"/>
    <w:p w:rsidR="005F2778" w:rsidRPr="00FA1677" w:rsidP="005F2778" w14:paraId="4B36554E" w14:textId="1FE854E2">
      <w:pPr>
        <w:pStyle w:val="ListParagraph"/>
        <w:numPr>
          <w:ilvl w:val="0"/>
          <w:numId w:val="27"/>
        </w:numPr>
      </w:pPr>
      <w:r>
        <w:t>A statement that it</w:t>
      </w:r>
      <w:r w:rsidRPr="00FA1677" w:rsidR="00AC6DE4">
        <w:t xml:space="preserve"> fail</w:t>
      </w:r>
      <w:r>
        <w:t>ed</w:t>
      </w:r>
      <w:r w:rsidRPr="00FA1677" w:rsidR="00AC6DE4">
        <w:t xml:space="preserve"> to satisfy subsection I(g)(</w:t>
      </w:r>
      <w:r w:rsidR="007A2804">
        <w:t>1</w:t>
      </w:r>
      <w:r w:rsidRPr="00FA1677" w:rsidR="00AC6DE4">
        <w:t>)</w:t>
      </w:r>
      <w:r>
        <w:t>;</w:t>
      </w:r>
    </w:p>
    <w:p w:rsidR="00FD5003" w:rsidP="00AA0EDA" w14:paraId="6DB7E9E3" w14:textId="12D20119">
      <w:pPr>
        <w:pStyle w:val="ListParagraph"/>
        <w:numPr>
          <w:ilvl w:val="0"/>
          <w:numId w:val="27"/>
        </w:numPr>
      </w:pPr>
      <w:r>
        <w:t xml:space="preserve">A statement </w:t>
      </w:r>
      <w:r w:rsidRPr="00FA1677" w:rsidR="00AC6DE4">
        <w:t xml:space="preserve">that it agrees </w:t>
      </w:r>
      <w:r w:rsidRPr="00FA1677" w:rsidR="0085214D">
        <w:rPr>
          <w:iCs/>
        </w:rPr>
        <w:t>to</w:t>
      </w:r>
      <w:r w:rsidR="001439F3">
        <w:rPr>
          <w:iCs/>
        </w:rPr>
        <w:t xml:space="preserve"> (a) </w:t>
      </w:r>
      <w:r w:rsidRPr="00D24036" w:rsidR="0085214D">
        <w:rPr>
          <w:iCs/>
        </w:rPr>
        <w:t>indemnify the Plan for actual losses related to ineligibility</w:t>
      </w:r>
      <w:r w:rsidRPr="00D24036">
        <w:rPr>
          <w:iCs/>
        </w:rPr>
        <w:t>,</w:t>
      </w:r>
      <w:r w:rsidRPr="00D24036" w:rsidR="0085214D">
        <w:rPr>
          <w:iCs/>
        </w:rPr>
        <w:t xml:space="preserve"> </w:t>
      </w:r>
      <w:r w:rsidRPr="00D24036" w:rsidR="00D24036">
        <w:rPr>
          <w:iCs/>
        </w:rPr>
        <w:t xml:space="preserve">(b) </w:t>
      </w:r>
      <w:r w:rsidRPr="00FA1677" w:rsidR="00AC6DE4">
        <w:t>not to restrict the ability of a client Plan to terminate or withdraw from its arrangement with the QPAM</w:t>
      </w:r>
      <w:r w:rsidR="00D24036">
        <w:t xml:space="preserve">, (c) </w:t>
      </w:r>
      <w:r>
        <w:t xml:space="preserve">not to </w:t>
      </w:r>
      <w:r w:rsidRPr="007073B3">
        <w:rPr>
          <w:rFonts w:cs="Courier New"/>
          <w:color w:val="000000"/>
        </w:rPr>
        <w:t>impose any fees, penalties, or charges on client Plans in connection with the process of terminating or withdrawing from an Investment Fund managed by the QPAM</w:t>
      </w:r>
      <w:r w:rsidR="007073B3">
        <w:t xml:space="preserve">, and (d) </w:t>
      </w:r>
      <w:r w:rsidRPr="00FD5003">
        <w:t xml:space="preserve">not employ or knowingly engage any individual that participated in the conduct that is the subject of a Criminal Conviction or </w:t>
      </w:r>
      <w:r w:rsidR="00790B02">
        <w:t>P</w:t>
      </w:r>
      <w:r w:rsidR="00EA3323">
        <w:t>r</w:t>
      </w:r>
      <w:r w:rsidR="00790B02">
        <w:t>ohibited Misconduct</w:t>
      </w:r>
      <w:r>
        <w:t>;</w:t>
      </w:r>
      <w:r w:rsidR="003D0175">
        <w:t xml:space="preserve"> and</w:t>
      </w:r>
    </w:p>
    <w:p w:rsidR="00530131" w:rsidRPr="00FA1677" w:rsidP="00FD5003" w14:paraId="5FFEF550" w14:textId="1D80C898">
      <w:pPr>
        <w:pStyle w:val="ListParagraph"/>
        <w:numPr>
          <w:ilvl w:val="0"/>
          <w:numId w:val="27"/>
        </w:numPr>
      </w:pPr>
      <w:r w:rsidRPr="00FD5003">
        <w:t xml:space="preserve">an objective description of the facts and circumstances upon which the Criminal Conviction or </w:t>
      </w:r>
      <w:r w:rsidR="001C4282">
        <w:t>Prohibited Misconduct</w:t>
      </w:r>
      <w:r w:rsidRPr="00FD5003">
        <w:t xml:space="preserve"> is based</w:t>
      </w:r>
      <w:r w:rsidR="003D0175">
        <w:t>.</w:t>
      </w:r>
      <w:r w:rsidRPr="00FA1677" w:rsidR="00AC6DE4">
        <w:t xml:space="preserve"> </w:t>
      </w:r>
    </w:p>
    <w:p w:rsidR="00530131" w:rsidRPr="00FA1677" w:rsidP="00530131" w14:paraId="6EA1CFF4" w14:textId="77777777"/>
    <w:p w:rsidR="008F6EEF" w:rsidRPr="00FA1677" w:rsidP="00530131" w14:paraId="1BE6EF6A" w14:textId="68430849">
      <w:r w:rsidRPr="00FA1677">
        <w:t xml:space="preserve">This notice informs </w:t>
      </w:r>
      <w:r w:rsidRPr="00FA1677" w:rsidR="0085214D">
        <w:t>P</w:t>
      </w:r>
      <w:r w:rsidRPr="00FA1677">
        <w:t>lans of the failure and informs them of their protections.</w:t>
      </w:r>
      <w:r w:rsidRPr="00FA1677" w:rsidR="0068062D">
        <w:t xml:space="preserve"> </w:t>
      </w:r>
      <w:r w:rsidRPr="00FA1677" w:rsidR="00B55C3D">
        <w:t xml:space="preserve">This requirement ensures that other plan fiduciaries have the information they need to </w:t>
      </w:r>
      <w:r w:rsidRPr="00FA1677" w:rsidR="006B7B99">
        <w:t>prudently</w:t>
      </w:r>
      <w:r w:rsidRPr="00FA1677" w:rsidR="00B55C3D">
        <w:t xml:space="preserve"> monitor the QPAM. </w:t>
      </w:r>
    </w:p>
    <w:p w:rsidR="00825343" w:rsidRPr="00FA1677" w:rsidP="000401EC" w14:paraId="539D8818" w14:textId="06F9795A"/>
    <w:p w:rsidR="001E7E20" w:rsidRPr="00FA1677" w:rsidP="000401EC" w14:paraId="011FFEBD" w14:textId="3CB13B0C">
      <w:r w:rsidRPr="00FA1677">
        <w:t xml:space="preserve">The new recordkeeping provision is necessary to ensure </w:t>
      </w:r>
      <w:r w:rsidRPr="00FA1677" w:rsidR="00244CC0">
        <w:t xml:space="preserve">that </w:t>
      </w:r>
      <w:r w:rsidRPr="00FA1677">
        <w:t xml:space="preserve">all parties </w:t>
      </w:r>
      <w:r w:rsidRPr="00FA1677" w:rsidR="00244CC0">
        <w:t>who</w:t>
      </w:r>
      <w:r w:rsidRPr="00FA1677">
        <w:t xml:space="preserve"> rely upon the relief in the exemption can verify </w:t>
      </w:r>
      <w:r w:rsidRPr="00FA1677" w:rsidR="00244CC0">
        <w:t xml:space="preserve">that </w:t>
      </w:r>
      <w:r w:rsidRPr="00FA1677" w:rsidR="00FE6A73">
        <w:t xml:space="preserve">the exemption’s </w:t>
      </w:r>
      <w:r w:rsidRPr="00FA1677" w:rsidR="00244CC0">
        <w:t>conditions are being satisfied.</w:t>
      </w:r>
      <w:r w:rsidRPr="00FA1677" w:rsidR="0068062D">
        <w:t xml:space="preserve"> </w:t>
      </w:r>
      <w:r w:rsidRPr="00FA1677" w:rsidR="00244CC0">
        <w:t xml:space="preserve">Eliminating this information collection is inconsistent with the fiduciary </w:t>
      </w:r>
      <w:r w:rsidRPr="00FA1677" w:rsidR="00373E19">
        <w:t>duties under ERISA</w:t>
      </w:r>
      <w:r w:rsidRPr="00FA1677" w:rsidR="00FE6A73">
        <w:t xml:space="preserve"> and could leave </w:t>
      </w:r>
      <w:r w:rsidRPr="00FA1677" w:rsidR="003F3453">
        <w:t>P</w:t>
      </w:r>
      <w:r w:rsidRPr="00FA1677" w:rsidR="00FE6A73">
        <w:t>lans exposed to situations in which they do not know if they have prohibited transaction relief under ERISA and the Code</w:t>
      </w:r>
      <w:r w:rsidRPr="00FA1677" w:rsidR="00715B01">
        <w:t xml:space="preserve"> for important plan transactions</w:t>
      </w:r>
      <w:r w:rsidRPr="00FA1677" w:rsidR="00373E19">
        <w:t xml:space="preserve">. </w:t>
      </w:r>
    </w:p>
    <w:p w:rsidR="001E7E20" w:rsidRPr="00FA1677" w:rsidP="000401EC" w14:paraId="7E805A64" w14:textId="77777777"/>
    <w:p w:rsidR="00825343" w:rsidRPr="00FA1677" w:rsidP="000401EC" w14:paraId="2BB1191C" w14:textId="0BE6C761">
      <w:r w:rsidRPr="00FA1677">
        <w:t xml:space="preserve">The </w:t>
      </w:r>
      <w:r w:rsidRPr="00FA1677" w:rsidR="00927880">
        <w:t>recordkeeping requirement</w:t>
      </w:r>
      <w:r w:rsidRPr="00FA1677">
        <w:t xml:space="preserve"> also requires that if the QPAM refuse</w:t>
      </w:r>
      <w:r w:rsidRPr="00FA1677" w:rsidR="00927880">
        <w:t>s</w:t>
      </w:r>
      <w:r w:rsidRPr="00FA1677">
        <w:t xml:space="preserve"> to disclose information to a person on the basis that the information is exempt from disclosure, the QPAM must provide a written notice advising the requestor of the reasons for the refusal and that the Department may request such information by the close of the thirtieth (30th) day following the request.</w:t>
      </w:r>
      <w:r w:rsidRPr="00FA1677" w:rsidR="0068062D">
        <w:t xml:space="preserve"> </w:t>
      </w:r>
      <w:r w:rsidRPr="00FA1677">
        <w:t xml:space="preserve">This requirement </w:t>
      </w:r>
      <w:r w:rsidRPr="00FA1677" w:rsidR="00927880">
        <w:t xml:space="preserve">ensures that </w:t>
      </w:r>
      <w:r w:rsidRPr="00FA1677" w:rsidR="005C3BC5">
        <w:t xml:space="preserve">parties otherwise entitled to records are </w:t>
      </w:r>
      <w:r w:rsidRPr="00FA1677" w:rsidR="00674F08">
        <w:t xml:space="preserve">promptly informed </w:t>
      </w:r>
      <w:r w:rsidRPr="00FA1677" w:rsidR="005C3BC5">
        <w:t>when a refusal occurs</w:t>
      </w:r>
      <w:r w:rsidRPr="00FA1677">
        <w:t xml:space="preserve"> while still </w:t>
      </w:r>
      <w:r w:rsidRPr="00FA1677" w:rsidR="00674F08">
        <w:t>providing the Department an opportunity to seek out such records before the need for the information becomes stale</w:t>
      </w:r>
      <w:r w:rsidRPr="00FA1677">
        <w:t>.</w:t>
      </w:r>
    </w:p>
    <w:p w:rsidR="00583E64" w:rsidRPr="00FA1677" w:rsidP="00583E64" w14:paraId="0AD19EB6" w14:textId="77777777"/>
    <w:p w:rsidR="00583E64" w:rsidP="00583E64" w14:paraId="26C25B19" w14:textId="709C1EA5">
      <w:r>
        <w:t xml:space="preserve">Under the Final Amendment, </w:t>
      </w:r>
      <w:r w:rsidRPr="00FA1677">
        <w:t xml:space="preserve">a QPAM that is ineligible or anticipates that it will become ineligible due to an actual or possible conviction may apply for an individual exemption from the Department to continue to rely on the relief provided in this exemption for a longer period than the one-year </w:t>
      </w:r>
      <w:r w:rsidR="00B07725">
        <w:t>transition</w:t>
      </w:r>
      <w:r w:rsidRPr="00FA1677">
        <w:t xml:space="preserve"> period. To reduce the burden in the application process, the Department requires that an applicant should review the Department’s most recently granted individual exemptions involving Section I(g) ineligibility and include in its application a description of any term(s) or condition(s) it believes should be excluded in its exemption and a detailed explanation of the reason(s) such term(s) or condition(s) should be excluded. If this collection is not conducted, the process for requesting an </w:t>
      </w:r>
      <w:r w:rsidRPr="00FA1677">
        <w:t>individual exemption for ineligible QPAMs will be less efficient, resulting in a longer application process.</w:t>
      </w:r>
      <w:r>
        <w:t xml:space="preserve"> </w:t>
      </w:r>
    </w:p>
    <w:p w:rsidR="00583E64" w:rsidRPr="00A47DA7" w:rsidP="000401EC" w14:paraId="017EB9B8" w14:textId="77777777"/>
    <w:p w:rsidR="00690F56" w:rsidRPr="00D53DEB" w:rsidP="000401EC" w14:paraId="144BC160" w14:textId="56AC3A1F">
      <w:pPr>
        <w:pStyle w:val="Heading2"/>
      </w:pPr>
      <w:r w:rsidRPr="00D53DEB">
        <w:t>Explain any special circumstances that would cause an information collection to be conducted in a manner:</w:t>
      </w:r>
    </w:p>
    <w:p w:rsidR="007950E6" w:rsidRPr="00156E88" w:rsidP="00342A96" w14:paraId="3ED4E232" w14:textId="77777777">
      <w:pPr>
        <w:numPr>
          <w:ilvl w:val="1"/>
          <w:numId w:val="18"/>
        </w:numPr>
        <w:tabs>
          <w:tab w:val="clear" w:pos="1440"/>
        </w:tabs>
        <w:autoSpaceDE/>
        <w:autoSpaceDN/>
        <w:adjustRightInd/>
        <w:contextualSpacing/>
        <w:rPr>
          <w:b/>
        </w:rPr>
      </w:pPr>
      <w:r w:rsidRPr="00156E88">
        <w:rPr>
          <w:b/>
        </w:rPr>
        <w:t>Requiring respondents to report information to the agency more often than quarterly;</w:t>
      </w:r>
    </w:p>
    <w:p w:rsidR="007950E6" w:rsidRPr="00156E88" w:rsidP="00342A96" w14:paraId="07F65B27" w14:textId="77777777">
      <w:pPr>
        <w:numPr>
          <w:ilvl w:val="1"/>
          <w:numId w:val="18"/>
        </w:numPr>
        <w:tabs>
          <w:tab w:val="clear" w:pos="1440"/>
        </w:tabs>
        <w:autoSpaceDE/>
        <w:autoSpaceDN/>
        <w:adjustRightInd/>
        <w:contextualSpacing/>
        <w:rPr>
          <w:b/>
        </w:rPr>
      </w:pPr>
      <w:r w:rsidRPr="00156E88">
        <w:rPr>
          <w:b/>
        </w:rPr>
        <w:t>Requiring respondents to prepare a written response to a collection of information in fewer than 30 days after receipt of it;</w:t>
      </w:r>
    </w:p>
    <w:p w:rsidR="007950E6" w:rsidRPr="00156E88" w:rsidP="00342A96" w14:paraId="1113A97C" w14:textId="77777777">
      <w:pPr>
        <w:numPr>
          <w:ilvl w:val="1"/>
          <w:numId w:val="18"/>
        </w:numPr>
        <w:tabs>
          <w:tab w:val="clear" w:pos="1440"/>
        </w:tabs>
        <w:autoSpaceDE/>
        <w:autoSpaceDN/>
        <w:adjustRightInd/>
        <w:contextualSpacing/>
        <w:rPr>
          <w:b/>
        </w:rPr>
      </w:pPr>
      <w:r w:rsidRPr="00156E88">
        <w:rPr>
          <w:b/>
        </w:rPr>
        <w:t>Requiring respondents to submit more than an original and two copies of any document;</w:t>
      </w:r>
    </w:p>
    <w:p w:rsidR="007950E6" w:rsidRPr="00156E88" w:rsidP="00342A96" w14:paraId="3A59A402" w14:textId="77777777">
      <w:pPr>
        <w:numPr>
          <w:ilvl w:val="1"/>
          <w:numId w:val="18"/>
        </w:numPr>
        <w:tabs>
          <w:tab w:val="clear" w:pos="1440"/>
        </w:tabs>
        <w:autoSpaceDE/>
        <w:autoSpaceDN/>
        <w:adjustRightInd/>
        <w:contextualSpacing/>
        <w:rPr>
          <w:b/>
        </w:rPr>
      </w:pPr>
      <w:r w:rsidRPr="00156E88">
        <w:rPr>
          <w:b/>
        </w:rPr>
        <w:t>Requiring respondents to retain records, other than health, medical, government contract, grant-in-aid, or tax records for more than three years;</w:t>
      </w:r>
    </w:p>
    <w:p w:rsidR="007950E6" w:rsidRPr="00156E88" w:rsidP="00342A96" w14:paraId="1BF5AFC7" w14:textId="77777777">
      <w:pPr>
        <w:numPr>
          <w:ilvl w:val="1"/>
          <w:numId w:val="18"/>
        </w:numPr>
        <w:tabs>
          <w:tab w:val="clear" w:pos="1440"/>
        </w:tabs>
        <w:autoSpaceDE/>
        <w:autoSpaceDN/>
        <w:adjustRightInd/>
        <w:contextualSpacing/>
        <w:rPr>
          <w:b/>
        </w:rPr>
      </w:pPr>
      <w:r w:rsidRPr="00156E88">
        <w:rPr>
          <w:b/>
        </w:rPr>
        <w:t>In connection with a statistical survey, that is not designed to produce valid and reliable result that can be generalized to the universe of study;</w:t>
      </w:r>
    </w:p>
    <w:p w:rsidR="007950E6" w:rsidRPr="00156E88" w:rsidP="00342A96" w14:paraId="3B6530F9" w14:textId="77777777">
      <w:pPr>
        <w:numPr>
          <w:ilvl w:val="1"/>
          <w:numId w:val="18"/>
        </w:numPr>
        <w:tabs>
          <w:tab w:val="clear" w:pos="1440"/>
        </w:tabs>
        <w:autoSpaceDE/>
        <w:autoSpaceDN/>
        <w:adjustRightInd/>
        <w:contextualSpacing/>
        <w:rPr>
          <w:b/>
        </w:rPr>
      </w:pPr>
      <w:r w:rsidRPr="00156E88">
        <w:rPr>
          <w:b/>
        </w:rPr>
        <w:t>Requiring the use of a statistical data classification that has not been reviewed and approved by OMB;</w:t>
      </w:r>
    </w:p>
    <w:p w:rsidR="007950E6" w:rsidRPr="00156E88" w:rsidP="00342A96" w14:paraId="34148578" w14:textId="77777777">
      <w:pPr>
        <w:numPr>
          <w:ilvl w:val="1"/>
          <w:numId w:val="18"/>
        </w:numPr>
        <w:tabs>
          <w:tab w:val="clear" w:pos="1440"/>
        </w:tabs>
        <w:autoSpaceDE/>
        <w:autoSpaceDN/>
        <w:adjustRightInd/>
        <w:contextualSpacing/>
        <w:rPr>
          <w:b/>
        </w:rPr>
      </w:pPr>
      <w:r w:rsidRPr="00156E88">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950E6" w:rsidRPr="00156E88" w:rsidP="00342A96" w14:paraId="12510B3D" w14:textId="77777777">
      <w:pPr>
        <w:numPr>
          <w:ilvl w:val="1"/>
          <w:numId w:val="18"/>
        </w:numPr>
        <w:tabs>
          <w:tab w:val="clear" w:pos="1440"/>
        </w:tabs>
        <w:autoSpaceDE/>
        <w:autoSpaceDN/>
        <w:adjustRightInd/>
        <w:contextualSpacing/>
        <w:rPr>
          <w:b/>
        </w:rPr>
      </w:pPr>
      <w:r w:rsidRPr="00156E88">
        <w:rPr>
          <w:b/>
        </w:rPr>
        <w:t>Requiring respondents to submit proprietary trade secret, or other confidential information unless the agency can demonstrate that it has instituted procedures to protect the information’s confidentiality to the extent permitted by law.</w:t>
      </w:r>
    </w:p>
    <w:p w:rsidR="00642220" w:rsidP="000401EC" w14:paraId="3DCDBA31" w14:textId="67A68EC5">
      <w:pPr>
        <w:pStyle w:val="Level1"/>
      </w:pPr>
    </w:p>
    <w:p w:rsidR="00EF3371" w:rsidRPr="00724460" w:rsidP="000401EC" w14:paraId="5013ACF1" w14:textId="546E4EAA">
      <w:pPr>
        <w:pStyle w:val="CommentText"/>
        <w:rPr>
          <w:sz w:val="24"/>
          <w:szCs w:val="24"/>
        </w:rPr>
      </w:pPr>
      <w:r w:rsidRPr="00724460">
        <w:rPr>
          <w:sz w:val="24"/>
          <w:szCs w:val="24"/>
        </w:rPr>
        <w:t>The 6-year retention requirement conforms to the statute of limitations under ERISA section 413 for fiduciary breaches</w:t>
      </w:r>
      <w:r w:rsidRPr="00724460" w:rsidR="00F376ED">
        <w:rPr>
          <w:sz w:val="24"/>
          <w:szCs w:val="24"/>
        </w:rPr>
        <w:t xml:space="preserve"> and the recordkeeping requirements in ERISA section 107</w:t>
      </w:r>
      <w:r w:rsidRPr="00724460">
        <w:rPr>
          <w:sz w:val="24"/>
          <w:szCs w:val="24"/>
        </w:rPr>
        <w:t>.</w:t>
      </w:r>
      <w:r w:rsidR="0068062D">
        <w:rPr>
          <w:sz w:val="24"/>
          <w:szCs w:val="24"/>
        </w:rPr>
        <w:t xml:space="preserve"> </w:t>
      </w:r>
      <w:r w:rsidRPr="00724460">
        <w:rPr>
          <w:sz w:val="24"/>
          <w:szCs w:val="24"/>
        </w:rPr>
        <w:t>As a fiduciary, the QPAM is subject to section</w:t>
      </w:r>
      <w:r w:rsidRPr="00724460" w:rsidR="00051B04">
        <w:rPr>
          <w:sz w:val="24"/>
          <w:szCs w:val="24"/>
        </w:rPr>
        <w:t>s 107 and</w:t>
      </w:r>
      <w:r w:rsidRPr="00724460">
        <w:rPr>
          <w:sz w:val="24"/>
          <w:szCs w:val="24"/>
        </w:rPr>
        <w:t xml:space="preserve"> 413.</w:t>
      </w:r>
    </w:p>
    <w:p w:rsidR="00690F56" w:rsidRPr="00871CA6" w:rsidP="000401EC" w14:paraId="186CBA80" w14:textId="77777777"/>
    <w:p w:rsidR="00690F56" w:rsidRPr="00D53DEB" w:rsidP="000401EC" w14:paraId="1E3B8C08" w14:textId="6C4C9148">
      <w:pPr>
        <w:pStyle w:val="Heading2"/>
      </w:pPr>
      <w:r w:rsidRPr="00D53DEB">
        <w:t xml:space="preserve">If applicable, provide a copy and identify the date and page number of publication in the </w:t>
      </w:r>
      <w:r w:rsidRPr="006C601A">
        <w:t>Federal Register</w:t>
      </w:r>
      <w:r w:rsidRPr="00D53DEB">
        <w:t xml:space="preserve"> of the agency's notice, required by 5 CFR 1320.8(d), soliciting comments on the information collection prior to submission to OMB.</w:t>
      </w:r>
      <w:r w:rsidR="0068062D">
        <w:t xml:space="preserve"> </w:t>
      </w:r>
      <w:r w:rsidRPr="00D53DEB">
        <w:t>Summarize public comments received in response to that notice and describe actions taken by the agency in response to these comments.</w:t>
      </w:r>
      <w:r w:rsidR="0068062D">
        <w:t xml:space="preserve"> </w:t>
      </w:r>
      <w:r w:rsidRPr="00D53DEB">
        <w:t>Specifically address comments received on cost and hour burden.</w:t>
      </w:r>
    </w:p>
    <w:p w:rsidR="00690F56" w:rsidRPr="00D53DEB" w:rsidP="000401EC" w14:paraId="6D77C5FA" w14:textId="77777777"/>
    <w:p w:rsidR="00690F56" w:rsidRPr="00724460" w:rsidP="000401EC" w14:paraId="26F2F511" w14:textId="77777777">
      <w:pPr>
        <w:rPr>
          <w:b/>
          <w:bCs/>
        </w:rPr>
      </w:pPr>
      <w:r w:rsidRPr="00724460">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724460" w:rsidP="000401EC" w14:paraId="51B060B8" w14:textId="77777777">
      <w:pPr>
        <w:rPr>
          <w:b/>
          <w:bCs/>
        </w:rPr>
      </w:pPr>
    </w:p>
    <w:p w:rsidR="00690F56" w:rsidRPr="00724460" w:rsidP="000401EC" w14:paraId="767B60FC" w14:textId="6C78FCC4">
      <w:pPr>
        <w:rPr>
          <w:b/>
          <w:bCs/>
        </w:rPr>
      </w:pPr>
      <w:r w:rsidRPr="00724460">
        <w:rPr>
          <w:b/>
          <w:bCs/>
        </w:rPr>
        <w:t>Consultation with representatives of those from whom information is to be obtained or those who must compile records should occur at least once every 3 years</w:t>
      </w:r>
      <w:r w:rsidRPr="00724460" w:rsidR="00901EF6">
        <w:rPr>
          <w:b/>
          <w:bCs/>
        </w:rPr>
        <w:t xml:space="preserve"> --</w:t>
      </w:r>
      <w:r w:rsidRPr="00724460">
        <w:rPr>
          <w:b/>
          <w:bCs/>
        </w:rPr>
        <w:t xml:space="preserve"> even if </w:t>
      </w:r>
      <w:r w:rsidRPr="00724460">
        <w:rPr>
          <w:b/>
          <w:bCs/>
        </w:rPr>
        <w:t>the collection-of-information activity is the same as in prior periods.</w:t>
      </w:r>
      <w:r w:rsidR="0068062D">
        <w:rPr>
          <w:b/>
          <w:bCs/>
        </w:rPr>
        <w:t xml:space="preserve"> </w:t>
      </w:r>
      <w:r w:rsidRPr="00724460">
        <w:rPr>
          <w:b/>
          <w:bCs/>
        </w:rPr>
        <w:t>There may be circumstances that may preclude consultation in a specific situation.</w:t>
      </w:r>
      <w:r w:rsidR="0068062D">
        <w:rPr>
          <w:b/>
          <w:bCs/>
        </w:rPr>
        <w:t xml:space="preserve"> </w:t>
      </w:r>
      <w:r w:rsidRPr="00724460">
        <w:rPr>
          <w:b/>
          <w:bCs/>
        </w:rPr>
        <w:t>These circumstances should be explained.</w:t>
      </w:r>
    </w:p>
    <w:p w:rsidR="00690F56" w:rsidP="000401EC" w14:paraId="7644A432" w14:textId="2AF33587"/>
    <w:p w:rsidR="005E717D" w:rsidP="00074453" w14:paraId="2ED20B98" w14:textId="30509F52">
      <w:pPr>
        <w:rPr>
          <w:iCs/>
        </w:rPr>
      </w:pPr>
      <w:r w:rsidRPr="00116257">
        <w:rPr>
          <w:bCs/>
        </w:rPr>
        <w:t xml:space="preserve">The Department published the </w:t>
      </w:r>
      <w:r>
        <w:rPr>
          <w:bCs/>
        </w:rPr>
        <w:t xml:space="preserve">required 60-day </w:t>
      </w:r>
      <w:r w:rsidRPr="00116257">
        <w:rPr>
          <w:bCs/>
        </w:rPr>
        <w:t xml:space="preserve">notice </w:t>
      </w:r>
      <w:r w:rsidRPr="006C4E0B">
        <w:rPr>
          <w:iCs/>
        </w:rPr>
        <w:t xml:space="preserve">soliciting comments on the </w:t>
      </w:r>
      <w:r>
        <w:rPr>
          <w:iCs/>
        </w:rPr>
        <w:t xml:space="preserve">IC in the preamble to the Notice of Proposed Rulemaking published in the Federal Register on </w:t>
      </w:r>
      <w:r w:rsidR="00D65DCF">
        <w:rPr>
          <w:iCs/>
        </w:rPr>
        <w:t>July 27, 2022</w:t>
      </w:r>
      <w:r>
        <w:rPr>
          <w:iCs/>
        </w:rPr>
        <w:t xml:space="preserve"> (</w:t>
      </w:r>
      <w:r w:rsidR="00D65DCF">
        <w:rPr>
          <w:iCs/>
        </w:rPr>
        <w:t>87 FR 45204</w:t>
      </w:r>
      <w:r>
        <w:rPr>
          <w:iCs/>
        </w:rPr>
        <w:t xml:space="preserve">). </w:t>
      </w:r>
      <w:r w:rsidR="003C3BB4">
        <w:rPr>
          <w:iCs/>
        </w:rPr>
        <w:t>Additionally, the Department p</w:t>
      </w:r>
      <w:r w:rsidR="00497A0B">
        <w:rPr>
          <w:iCs/>
        </w:rPr>
        <w:t>ublished its Initial Regulatory flexibility Analysis separately on September 16, 2022 (87 FR 56912)</w:t>
      </w:r>
      <w:r w:rsidR="00AF4870">
        <w:rPr>
          <w:iCs/>
        </w:rPr>
        <w:t>.</w:t>
      </w:r>
      <w:r>
        <w:rPr>
          <w:iCs/>
        </w:rPr>
        <w:t xml:space="preserve"> In </w:t>
      </w:r>
      <w:r>
        <w:rPr>
          <w:iCs/>
        </w:rPr>
        <w:t xml:space="preserve">total, the Department received </w:t>
      </w:r>
      <w:r w:rsidR="00AA40D5">
        <w:rPr>
          <w:iCs/>
        </w:rPr>
        <w:t xml:space="preserve">188 </w:t>
      </w:r>
      <w:r>
        <w:rPr>
          <w:iCs/>
        </w:rPr>
        <w:t xml:space="preserve">written comments during the open comment period from a variety </w:t>
      </w:r>
      <w:r w:rsidR="00BD0F03">
        <w:rPr>
          <w:iCs/>
        </w:rPr>
        <w:t xml:space="preserve">of parties. Responses to all comments are discussed in the preamble of the Final Amendment. The comments can be found at </w:t>
      </w:r>
      <w:hyperlink r:id="rId9" w:history="1">
        <w:r w:rsidRPr="00A2300C" w:rsidR="00BD0F03">
          <w:rPr>
            <w:rStyle w:val="Hyperlink"/>
            <w:iCs/>
          </w:rPr>
          <w:t>https://www.dol.gov/agencies/ebsa/laws-and-regulations/rules-and-regulations/public-comments/1210-ZA07</w:t>
        </w:r>
      </w:hyperlink>
      <w:r w:rsidR="00BD0F03">
        <w:rPr>
          <w:iCs/>
        </w:rPr>
        <w:t>.</w:t>
      </w:r>
    </w:p>
    <w:p w:rsidR="005E717D" w:rsidP="00074453" w14:paraId="4FA9448D" w14:textId="77777777">
      <w:pPr>
        <w:rPr>
          <w:iCs/>
        </w:rPr>
      </w:pPr>
    </w:p>
    <w:p w:rsidR="00074453" w:rsidRPr="00292222" w:rsidP="00724460" w14:paraId="68F5A287" w14:textId="34CBFAD4">
      <w:r w:rsidRPr="00292222">
        <w:t xml:space="preserve">The Department received several comments that specifically addressed the paperwork burden analysis of the </w:t>
      </w:r>
      <w:r>
        <w:t>IC</w:t>
      </w:r>
      <w:r w:rsidRPr="00292222">
        <w:t xml:space="preserve"> contained in the </w:t>
      </w:r>
      <w:r w:rsidR="0080491D">
        <w:t>Proposed Amendment</w:t>
      </w:r>
      <w:r w:rsidRPr="00292222">
        <w:t xml:space="preserve">.  The Department took into account such public comments in developing the revised paperwork burden analysis </w:t>
      </w:r>
      <w:r>
        <w:t xml:space="preserve">for the </w:t>
      </w:r>
      <w:r w:rsidR="00BD0F03">
        <w:t>Final Amendment</w:t>
      </w:r>
      <w:r>
        <w:t xml:space="preserve"> </w:t>
      </w:r>
      <w:r w:rsidRPr="00292222">
        <w:t>discussed below.</w:t>
      </w:r>
    </w:p>
    <w:p w:rsidR="00B708D9" w:rsidP="00074453" w14:paraId="14AD45D9" w14:textId="77777777"/>
    <w:p w:rsidR="00B708D9" w:rsidP="00074453" w14:paraId="0B747F17" w14:textId="288A6737">
      <w:pPr>
        <w:rPr>
          <w:rFonts w:eastAsia="Calibri"/>
        </w:rPr>
      </w:pPr>
      <w:r w:rsidRPr="712F0D35">
        <w:rPr>
          <w:rFonts w:eastAsia="Calibri"/>
        </w:rPr>
        <w:t xml:space="preserve">Several comments on the </w:t>
      </w:r>
      <w:r>
        <w:rPr>
          <w:rFonts w:eastAsia="Calibri"/>
        </w:rPr>
        <w:t>Proposed Amendment</w:t>
      </w:r>
      <w:r w:rsidRPr="712F0D35">
        <w:rPr>
          <w:rFonts w:eastAsia="Calibri"/>
        </w:rPr>
        <w:t xml:space="preserve"> stated that the Department underestimated the number of QPAMs in </w:t>
      </w:r>
      <w:r>
        <w:rPr>
          <w:rFonts w:eastAsia="Calibri"/>
        </w:rPr>
        <w:t xml:space="preserve">the economic </w:t>
      </w:r>
      <w:r w:rsidRPr="712F0D35">
        <w:rPr>
          <w:rFonts w:eastAsia="Calibri"/>
        </w:rPr>
        <w:t>analysis</w:t>
      </w:r>
      <w:r>
        <w:rPr>
          <w:rFonts w:eastAsia="Calibri"/>
        </w:rPr>
        <w:t xml:space="preserve"> for the Proposed Amendment</w:t>
      </w:r>
      <w:r w:rsidRPr="712F0D35">
        <w:rPr>
          <w:rFonts w:eastAsia="Calibri"/>
        </w:rPr>
        <w:t>, with one commenter remarking that the actual number of QPAMs was likely 10 to 20 times larger than the Department’s original estimate of 616 QPAMs.</w:t>
      </w:r>
      <w:r>
        <w:rPr>
          <w:rFonts w:eastAsia="Calibri"/>
          <w:vertAlign w:val="superscript"/>
        </w:rPr>
        <w:footnoteReference w:id="4"/>
      </w:r>
      <w:r w:rsidRPr="712F0D35">
        <w:rPr>
          <w:rFonts w:eastAsia="Calibri"/>
        </w:rPr>
        <w:t xml:space="preserve"> Another commenter estimated that more than 90 percent of investment managers investing </w:t>
      </w:r>
      <w:r>
        <w:rPr>
          <w:rFonts w:eastAsia="Calibri"/>
        </w:rPr>
        <w:t>P</w:t>
      </w:r>
      <w:r w:rsidRPr="712F0D35">
        <w:rPr>
          <w:rFonts w:eastAsia="Calibri"/>
        </w:rPr>
        <w:t>lan assets rely on the QPAM Exemption. They recommended an alternative estimation method</w:t>
      </w:r>
      <w:r>
        <w:rPr>
          <w:rFonts w:eastAsia="Calibri"/>
        </w:rPr>
        <w:t>ology that involved</w:t>
      </w:r>
      <w:r w:rsidRPr="712F0D35">
        <w:rPr>
          <w:rFonts w:eastAsia="Calibri"/>
        </w:rPr>
        <w:t xml:space="preserve"> multiplying the number of investment managers reported on the Form 5500 Schedule C by 90 percent.</w:t>
      </w:r>
      <w:r>
        <w:rPr>
          <w:rFonts w:eastAsia="Calibri"/>
          <w:vertAlign w:val="superscript"/>
        </w:rPr>
        <w:footnoteReference w:id="5"/>
      </w:r>
      <w:r w:rsidRPr="712F0D35">
        <w:rPr>
          <w:rFonts w:eastAsia="Calibri"/>
        </w:rPr>
        <w:t xml:space="preserve"> This results in an estimate of 3,876 QPAMs</w:t>
      </w:r>
      <w:r>
        <w:rPr>
          <w:rFonts w:eastAsia="Calibri"/>
        </w:rPr>
        <w:t>.</w:t>
      </w:r>
      <w:r>
        <w:rPr>
          <w:rFonts w:eastAsia="Calibri"/>
          <w:vertAlign w:val="superscript"/>
        </w:rPr>
        <w:footnoteReference w:id="6"/>
      </w:r>
      <w:r w:rsidRPr="712F0D35">
        <w:rPr>
          <w:rFonts w:eastAsia="Calibri"/>
        </w:rPr>
        <w:t xml:space="preserve"> </w:t>
      </w:r>
      <w:r>
        <w:rPr>
          <w:rFonts w:eastAsia="Calibri"/>
        </w:rPr>
        <w:t xml:space="preserve">After considering </w:t>
      </w:r>
      <w:r w:rsidRPr="712F0D35">
        <w:rPr>
          <w:rFonts w:eastAsia="Calibri"/>
        </w:rPr>
        <w:t>these comments, the Department has revised its estimates</w:t>
      </w:r>
      <w:r>
        <w:rPr>
          <w:rFonts w:eastAsia="Calibri"/>
        </w:rPr>
        <w:t>.</w:t>
      </w:r>
    </w:p>
    <w:p w:rsidR="00FE7808" w:rsidP="00074453" w14:paraId="39D3F0EF" w14:textId="77777777">
      <w:pPr>
        <w:rPr>
          <w:rFonts w:eastAsia="Calibri"/>
        </w:rPr>
      </w:pPr>
    </w:p>
    <w:p w:rsidR="00FE7808" w:rsidP="00074453" w14:paraId="68DA706E" w14:textId="1FFCDE8A">
      <w:r>
        <w:rPr>
          <w:rFonts w:eastAsia="Calibri"/>
        </w:rPr>
        <w:t>Additionally, s</w:t>
      </w:r>
      <w:r w:rsidRPr="00DB7701">
        <w:rPr>
          <w:rFonts w:eastAsia="Calibri"/>
        </w:rPr>
        <w:t>everal comments expressed concern that the proposal would decrease the number of entities acting as QPAM</w:t>
      </w:r>
      <w:r>
        <w:rPr>
          <w:rFonts w:eastAsia="Calibri"/>
        </w:rPr>
        <w:t>s</w:t>
      </w:r>
      <w:r w:rsidRPr="00DB7701">
        <w:rPr>
          <w:rFonts w:eastAsia="Calibri"/>
        </w:rPr>
        <w:t xml:space="preserve"> due to the costs and risks associated with the proposed requirements to add penalty-free withdrawal and indemnification </w:t>
      </w:r>
      <w:r>
        <w:rPr>
          <w:rFonts w:eastAsia="Calibri"/>
        </w:rPr>
        <w:t>provisions for QPAMs that become ineligible due to a Section I(g) triggering event</w:t>
      </w:r>
      <w:r w:rsidRPr="00DB7701">
        <w:rPr>
          <w:rFonts w:eastAsia="Calibri"/>
        </w:rPr>
        <w:t xml:space="preserve">. In response, the Department moved these conditions into the </w:t>
      </w:r>
      <w:r w:rsidR="00983492">
        <w:rPr>
          <w:rFonts w:eastAsia="Calibri"/>
        </w:rPr>
        <w:t xml:space="preserve">one-year </w:t>
      </w:r>
      <w:r>
        <w:rPr>
          <w:rFonts w:eastAsia="Calibri"/>
        </w:rPr>
        <w:t>transition</w:t>
      </w:r>
      <w:r w:rsidRPr="00DB7701">
        <w:rPr>
          <w:rFonts w:eastAsia="Calibri"/>
        </w:rPr>
        <w:t xml:space="preserve"> provision </w:t>
      </w:r>
      <w:r>
        <w:rPr>
          <w:rFonts w:eastAsia="Calibri"/>
        </w:rPr>
        <w:t xml:space="preserve">of the Final Amendment </w:t>
      </w:r>
      <w:r w:rsidRPr="00DB7701">
        <w:rPr>
          <w:rFonts w:eastAsia="Calibri"/>
        </w:rPr>
        <w:t xml:space="preserve">so that only QPAMs that experience an ineligibility trigger will be required to agree to these </w:t>
      </w:r>
      <w:r w:rsidR="00956066">
        <w:rPr>
          <w:rFonts w:eastAsia="Calibri"/>
        </w:rPr>
        <w:t xml:space="preserve">conditions </w:t>
      </w:r>
      <w:r w:rsidRPr="00DB7701">
        <w:rPr>
          <w:rFonts w:eastAsia="Calibri"/>
        </w:rPr>
        <w:t>with their client Plans.</w:t>
      </w:r>
    </w:p>
    <w:p w:rsidR="001A5474" w:rsidP="00074453" w14:paraId="2796767D" w14:textId="77777777"/>
    <w:p w:rsidR="00CB37FD" w:rsidRPr="00DB7701" w:rsidP="00CB37FD" w14:paraId="6BE810BC" w14:textId="77777777">
      <w:pPr>
        <w:contextualSpacing/>
      </w:pPr>
      <w:r w:rsidRPr="712F0D35">
        <w:t xml:space="preserve">A few commenters stated that the Department underestimated the number of Plans </w:t>
      </w:r>
      <w:r>
        <w:t xml:space="preserve">that have hired </w:t>
      </w:r>
      <w:r w:rsidRPr="712F0D35">
        <w:t>a QPAM. Comment</w:t>
      </w:r>
      <w:r>
        <w:t>er</w:t>
      </w:r>
      <w:r w:rsidRPr="712F0D35">
        <w:t>s remarked that investment managers may manage assets for hundreds to thousands of Plans, while one commenter stated that the largest investment managers manage assets for between 2,000 and 4,000 client Plans.</w:t>
      </w:r>
      <w:r>
        <w:rPr>
          <w:vertAlign w:val="superscript"/>
        </w:rPr>
        <w:footnoteReference w:id="7"/>
      </w:r>
      <w:r w:rsidRPr="712F0D35">
        <w:t xml:space="preserve"> Another commenter estimated that</w:t>
      </w:r>
      <w:r w:rsidRPr="712F0D35">
        <w:t xml:space="preserve"> </w:t>
      </w:r>
      <w:r w:rsidRPr="712F0D35">
        <w:t>the average number of contracts per QPAM is 14,180 with a median of 14,500</w:t>
      </w:r>
      <w:r w:rsidRPr="00C055A5">
        <w:t xml:space="preserve"> </w:t>
      </w:r>
      <w:r w:rsidRPr="712F0D35">
        <w:t>based on</w:t>
      </w:r>
      <w:r>
        <w:t xml:space="preserve"> the number of</w:t>
      </w:r>
      <w:r w:rsidRPr="712F0D35">
        <w:t xml:space="preserve"> QPAMs that are members of its associat</w:t>
      </w:r>
      <w:r>
        <w:t>i</w:t>
      </w:r>
      <w:r w:rsidRPr="712F0D35">
        <w:t>on.</w:t>
      </w:r>
      <w:r>
        <w:rPr>
          <w:vertAlign w:val="superscript"/>
        </w:rPr>
        <w:footnoteReference w:id="8"/>
      </w:r>
      <w:r w:rsidRPr="712F0D35">
        <w:t xml:space="preserve"> </w:t>
      </w:r>
    </w:p>
    <w:p w:rsidR="001A5474" w:rsidP="00CB37FD" w14:paraId="2CD7C257" w14:textId="7C6A417B">
      <w:r w:rsidRPr="712F0D35">
        <w:t>In response to these comments</w:t>
      </w:r>
      <w:r>
        <w:t>,</w:t>
      </w:r>
      <w:r w:rsidRPr="712F0D35">
        <w:t xml:space="preserve"> the Department conducted further analysis on QPAM-Plan relationships</w:t>
      </w:r>
      <w:r>
        <w:t xml:space="preserve"> and revised its estimates</w:t>
      </w:r>
      <w:r w:rsidRPr="712F0D35">
        <w:t>.</w:t>
      </w:r>
    </w:p>
    <w:p w:rsidR="00CB37FD" w:rsidP="00CB37FD" w14:paraId="2949BE51" w14:textId="77777777"/>
    <w:p w:rsidR="00CB37FD" w:rsidP="00CB37FD" w14:paraId="39E3CB49" w14:textId="7BFD8D49">
      <w:r w:rsidRPr="00DB7701">
        <w:rPr>
          <w:rFonts w:eastAsia="Calibri"/>
        </w:rPr>
        <w:t xml:space="preserve">The Department received several comments that the </w:t>
      </w:r>
      <w:r>
        <w:rPr>
          <w:rFonts w:eastAsia="Calibri"/>
        </w:rPr>
        <w:t xml:space="preserve">Department </w:t>
      </w:r>
      <w:r w:rsidRPr="00DB7701">
        <w:rPr>
          <w:rFonts w:eastAsia="Calibri"/>
        </w:rPr>
        <w:t>underestimated the cost associated with th</w:t>
      </w:r>
      <w:r>
        <w:rPr>
          <w:rFonts w:eastAsia="Calibri"/>
        </w:rPr>
        <w:t>e recordkeeping</w:t>
      </w:r>
      <w:r w:rsidRPr="00DB7701">
        <w:rPr>
          <w:rFonts w:eastAsia="Calibri"/>
        </w:rPr>
        <w:t xml:space="preserve"> requirement</w:t>
      </w:r>
      <w:r>
        <w:rPr>
          <w:rFonts w:eastAsia="Calibri"/>
        </w:rPr>
        <w:t xml:space="preserve"> in the economic analysis for the Proposed Amendment. Several</w:t>
      </w:r>
      <w:r w:rsidRPr="00DB7701">
        <w:rPr>
          <w:rFonts w:eastAsia="Calibri"/>
        </w:rPr>
        <w:t xml:space="preserve"> commenters expressed concern that the requirements in the </w:t>
      </w:r>
      <w:r>
        <w:rPr>
          <w:rFonts w:eastAsia="Calibri"/>
        </w:rPr>
        <w:t>P</w:t>
      </w:r>
      <w:r w:rsidRPr="00DB7701">
        <w:rPr>
          <w:rFonts w:eastAsia="Calibri"/>
        </w:rPr>
        <w:t>ropos</w:t>
      </w:r>
      <w:r>
        <w:rPr>
          <w:rFonts w:eastAsia="Calibri"/>
        </w:rPr>
        <w:t>ed Amendment</w:t>
      </w:r>
      <w:r w:rsidRPr="00DB7701">
        <w:rPr>
          <w:rFonts w:eastAsia="Calibri"/>
        </w:rPr>
        <w:t xml:space="preserve"> were vague or confusing. In response to these comments, the Department has provided additional guidance on recordkeeping </w:t>
      </w:r>
      <w:r>
        <w:rPr>
          <w:rFonts w:eastAsia="Calibri"/>
        </w:rPr>
        <w:t xml:space="preserve">in </w:t>
      </w:r>
      <w:r w:rsidR="00320D4B">
        <w:rPr>
          <w:rFonts w:eastAsia="Calibri"/>
        </w:rPr>
        <w:t>the</w:t>
      </w:r>
      <w:r w:rsidRPr="00DB7701" w:rsidR="00320D4B">
        <w:rPr>
          <w:rFonts w:eastAsia="Calibri"/>
        </w:rPr>
        <w:t xml:space="preserve"> </w:t>
      </w:r>
      <w:r>
        <w:rPr>
          <w:rFonts w:eastAsia="Calibri"/>
        </w:rPr>
        <w:t>p</w:t>
      </w:r>
      <w:r w:rsidRPr="00DB7701">
        <w:rPr>
          <w:rFonts w:eastAsia="Calibri"/>
        </w:rPr>
        <w:t xml:space="preserve">reamble </w:t>
      </w:r>
      <w:r w:rsidR="00320D4B">
        <w:rPr>
          <w:rFonts w:eastAsia="Calibri"/>
        </w:rPr>
        <w:t xml:space="preserve">of the Final Amendment </w:t>
      </w:r>
      <w:r w:rsidRPr="00DB7701">
        <w:rPr>
          <w:rFonts w:eastAsia="Calibri"/>
        </w:rPr>
        <w:t>to alleviate potential confusion.</w:t>
      </w:r>
      <w:r w:rsidR="002207F2">
        <w:rPr>
          <w:rFonts w:eastAsia="Calibri"/>
        </w:rPr>
        <w:t xml:space="preserve"> </w:t>
      </w:r>
      <w:r w:rsidRPr="00DB7701" w:rsidR="002207F2">
        <w:rPr>
          <w:rFonts w:eastAsia="Calibri"/>
        </w:rPr>
        <w:t>The additional guidance clarifies that recordkeeping should be based on a “facts and circumstances” test. After further consideration, the Department maintains that these requirements are consistent with common business practices for entities relying on the QPAM Exemption.</w:t>
      </w:r>
    </w:p>
    <w:p w:rsidR="00A17288" w:rsidP="00CB37FD" w14:paraId="1295D1A8" w14:textId="77777777"/>
    <w:p w:rsidR="00633FE6" w:rsidRPr="00DB7701" w:rsidP="00633FE6" w14:paraId="0D7227AD" w14:textId="35F88924">
      <w:pPr>
        <w:contextualSpacing/>
      </w:pPr>
      <w:r w:rsidRPr="00DB7701">
        <w:t xml:space="preserve">In the </w:t>
      </w:r>
      <w:r w:rsidRPr="00C57649">
        <w:t>proposal,</w:t>
      </w:r>
      <w:r w:rsidRPr="00DB7701">
        <w:t xml:space="preserve"> the Department included a requirement for all QPAMs to amend their </w:t>
      </w:r>
      <w:r w:rsidR="00306864">
        <w:t>Written Management Agreements (</w:t>
      </w:r>
      <w:r w:rsidRPr="00DB7701">
        <w:t>WMAs</w:t>
      </w:r>
      <w:r w:rsidR="00306864">
        <w:t>)</w:t>
      </w:r>
      <w:r w:rsidRPr="00DB7701">
        <w:t xml:space="preserve"> with client Plans to include:</w:t>
      </w:r>
    </w:p>
    <w:p w:rsidR="00633FE6" w:rsidRPr="00DB7701" w:rsidP="00724460" w14:paraId="6F68D1FD" w14:textId="42F20E21">
      <w:pPr>
        <w:numPr>
          <w:ilvl w:val="0"/>
          <w:numId w:val="29"/>
        </w:numPr>
        <w:autoSpaceDE/>
        <w:autoSpaceDN/>
        <w:adjustRightInd/>
        <w:ind w:left="1440"/>
        <w:contextualSpacing/>
        <w:rPr>
          <w:rFonts w:eastAsia="Cambria"/>
          <w:color w:val="000000"/>
          <w:szCs w:val="20"/>
        </w:rPr>
      </w:pPr>
      <w:r w:rsidRPr="1C02B5CD">
        <w:rPr>
          <w:rFonts w:eastAsia="Cambria"/>
          <w:color w:val="000000" w:themeColor="text1"/>
        </w:rPr>
        <w:t xml:space="preserve">A provision providing that in the event the QPAM, its Affiliates, and five percent or more owners engage in conduct resulting in a Criminal Conviction or </w:t>
      </w:r>
      <w:r w:rsidRPr="1C02B5CD" w:rsidR="00CF34F8">
        <w:rPr>
          <w:rFonts w:eastAsia="Cambria"/>
          <w:color w:val="000000" w:themeColor="text1"/>
        </w:rPr>
        <w:t>for Participating in Prohibited Misconduct</w:t>
      </w:r>
      <w:r w:rsidRPr="1C02B5CD">
        <w:rPr>
          <w:rFonts w:eastAsia="Cambria"/>
          <w:color w:val="000000" w:themeColor="text1"/>
        </w:rPr>
        <w:t>, the QPAM would not restrict its client Plan's ability to terminate or withdraw from its arrangement with the QPAM;</w:t>
      </w:r>
    </w:p>
    <w:p w:rsidR="00633FE6" w:rsidRPr="00DB7701" w:rsidP="00724460" w14:paraId="234CD551" w14:textId="48CCAED8">
      <w:pPr>
        <w:numPr>
          <w:ilvl w:val="0"/>
          <w:numId w:val="29"/>
        </w:numPr>
        <w:autoSpaceDE/>
        <w:autoSpaceDN/>
        <w:adjustRightInd/>
        <w:ind w:left="1440"/>
        <w:contextualSpacing/>
        <w:rPr>
          <w:rFonts w:eastAsia="Cambria"/>
          <w:color w:val="000000"/>
          <w:szCs w:val="20"/>
        </w:rPr>
      </w:pPr>
      <w:r w:rsidRPr="00DB7701">
        <w:rPr>
          <w:rFonts w:eastAsia="Cambria"/>
          <w:color w:val="000000"/>
          <w:szCs w:val="20"/>
          <w:vertAlign w:val="superscript"/>
        </w:rPr>
        <w:t xml:space="preserve"> </w:t>
      </w:r>
      <w:r w:rsidRPr="00DB7701">
        <w:rPr>
          <w:rFonts w:eastAsia="Cambria"/>
          <w:color w:val="000000"/>
          <w:szCs w:val="20"/>
        </w:rPr>
        <w:t xml:space="preserve">A provision requiring the QPAM to indemnify, hold harmless, and promptly restore actual losses to each client Plan for any damages directly resulting from a violation of applicable laws, a breach of contract, or any claim arising out of the failure of such QPAM to remain eligible for relief under the QPAM Exemption as a result of conduct that leads to a Criminal Conviction or </w:t>
      </w:r>
      <w:r w:rsidRPr="00CF34F8" w:rsidR="00CF34F8">
        <w:rPr>
          <w:rFonts w:eastAsia="Cambria"/>
          <w:color w:val="000000"/>
          <w:szCs w:val="20"/>
        </w:rPr>
        <w:t>for Participating in Prohibited Misconduct</w:t>
      </w:r>
      <w:r w:rsidRPr="00DB7701">
        <w:rPr>
          <w:rFonts w:eastAsia="Cambria"/>
          <w:color w:val="000000"/>
          <w:szCs w:val="20"/>
        </w:rPr>
        <w:t>; and</w:t>
      </w:r>
    </w:p>
    <w:p w:rsidR="00A17288" w:rsidP="00724460" w14:paraId="011F72E5" w14:textId="6F5C8349">
      <w:pPr>
        <w:pStyle w:val="ListParagraph"/>
        <w:numPr>
          <w:ilvl w:val="0"/>
          <w:numId w:val="29"/>
        </w:numPr>
        <w:ind w:left="1440"/>
        <w:contextualSpacing/>
      </w:pPr>
      <w:r w:rsidRPr="00724460">
        <w:rPr>
          <w:rFonts w:eastAsia="Cambria"/>
          <w:color w:val="000000"/>
          <w:szCs w:val="20"/>
        </w:rPr>
        <w:t xml:space="preserve">A provision requiring the QPAM to agree not to employ or knowingly engage any individual that participated in the conduct that is the subject of a Criminal Conviction or </w:t>
      </w:r>
      <w:r w:rsidRPr="00CF34F8" w:rsidR="00CF34F8">
        <w:rPr>
          <w:rFonts w:eastAsia="Cambria"/>
          <w:color w:val="000000"/>
          <w:szCs w:val="20"/>
        </w:rPr>
        <w:t>for Participating in Prohibited Misconduct</w:t>
      </w:r>
      <w:r w:rsidRPr="00724460">
        <w:rPr>
          <w:rFonts w:eastAsia="Cambria"/>
          <w:color w:val="000000"/>
          <w:szCs w:val="20"/>
        </w:rPr>
        <w:t>.</w:t>
      </w:r>
    </w:p>
    <w:p w:rsidR="00633FE6" w:rsidP="00CB37FD" w14:paraId="25740F77" w14:textId="77777777"/>
    <w:p w:rsidR="00F53911" w:rsidP="00F53911" w14:paraId="7CB53CF1" w14:textId="7F331A0E">
      <w:pPr>
        <w:contextualSpacing/>
        <w:rPr>
          <w:rFonts w:eastAsia="Calibri"/>
        </w:rPr>
      </w:pPr>
      <w:r w:rsidRPr="00DB7701">
        <w:rPr>
          <w:rFonts w:eastAsia="Calibri"/>
        </w:rPr>
        <w:t xml:space="preserve">In its estimate, the Department assumed that amendments to </w:t>
      </w:r>
      <w:r w:rsidR="00EC5EB5">
        <w:rPr>
          <w:rFonts w:eastAsia="Calibri"/>
        </w:rPr>
        <w:t>WMAs</w:t>
      </w:r>
      <w:r w:rsidRPr="00DB7701">
        <w:rPr>
          <w:rFonts w:eastAsia="Calibri"/>
        </w:rPr>
        <w:t xml:space="preserve"> would be uniform across client</w:t>
      </w:r>
      <w:r>
        <w:rPr>
          <w:rFonts w:eastAsia="Calibri"/>
        </w:rPr>
        <w:t xml:space="preserve"> Plan</w:t>
      </w:r>
      <w:r w:rsidRPr="00DB7701">
        <w:rPr>
          <w:rFonts w:eastAsia="Calibri"/>
        </w:rPr>
        <w:t xml:space="preserve">s, and accordingly, the Department estimated that the associated costs would be relatively small. However, several commenters disagreed with this assumption, stating that the necessary amendments would differ by the type of relationship and investment strategy. Some commenters noted that such amendments would require </w:t>
      </w:r>
      <w:r w:rsidRPr="00DB7701">
        <w:rPr>
          <w:rFonts w:eastAsia="Calibri"/>
        </w:rPr>
        <w:t>QPAMs to open contract negotiations with each QPAM client</w:t>
      </w:r>
      <w:r>
        <w:rPr>
          <w:rFonts w:eastAsia="Calibri"/>
        </w:rPr>
        <w:t xml:space="preserve"> Plan</w:t>
      </w:r>
      <w:r w:rsidRPr="00DB7701">
        <w:rPr>
          <w:rFonts w:eastAsia="Calibri"/>
        </w:rPr>
        <w:t>, potentially leading to a time-consuming process. Other commenters indicated that some QPAMs would incur costs associated with consulting outside counsel on these provisions and contract negotiations. Further, several of the commenters stated that amending necessary contracts would not be possible within the 60-day effective period proposed.</w:t>
      </w:r>
    </w:p>
    <w:p w:rsidR="000F0387" w:rsidP="00F53911" w14:paraId="736732E1" w14:textId="77777777">
      <w:pPr>
        <w:contextualSpacing/>
        <w:rPr>
          <w:rFonts w:eastAsia="Calibri"/>
        </w:rPr>
      </w:pPr>
    </w:p>
    <w:p w:rsidR="000F0387" w:rsidRPr="00DB7701" w:rsidP="00F53911" w14:paraId="7D3CA5AC" w14:textId="4B257A29">
      <w:pPr>
        <w:contextualSpacing/>
        <w:rPr>
          <w:rFonts w:eastAsia="Calibri"/>
        </w:rPr>
      </w:pPr>
      <w:r>
        <w:rPr>
          <w:rFonts w:eastAsia="Calibri"/>
        </w:rPr>
        <w:t>B</w:t>
      </w:r>
      <w:r w:rsidRPr="00DB7701">
        <w:rPr>
          <w:rFonts w:eastAsia="Calibri"/>
        </w:rPr>
        <w:t xml:space="preserve">ased on the feedback from commenters, the Department removed the requirement to amend WMAs. Instead, the </w:t>
      </w:r>
      <w:r>
        <w:rPr>
          <w:rFonts w:eastAsia="Calibri"/>
        </w:rPr>
        <w:t>F</w:t>
      </w:r>
      <w:r w:rsidRPr="00DB7701">
        <w:rPr>
          <w:rFonts w:eastAsia="Calibri"/>
        </w:rPr>
        <w:t xml:space="preserve">inal </w:t>
      </w:r>
      <w:r>
        <w:rPr>
          <w:rFonts w:eastAsia="Calibri"/>
        </w:rPr>
        <w:t>A</w:t>
      </w:r>
      <w:r w:rsidRPr="00DB7701">
        <w:rPr>
          <w:rFonts w:eastAsia="Calibri"/>
        </w:rPr>
        <w:t xml:space="preserve">mendment requires QPAMs to notify and agree to these provisions with Plans in the Notice to Plans </w:t>
      </w:r>
      <w:r>
        <w:rPr>
          <w:rFonts w:eastAsia="Calibri"/>
        </w:rPr>
        <w:t xml:space="preserve">required </w:t>
      </w:r>
      <w:r>
        <w:t>within 30 days of the Ineligibility Date</w:t>
      </w:r>
      <w:r w:rsidRPr="00DB7701">
        <w:t xml:space="preserve">. The Department determined the approach in the </w:t>
      </w:r>
      <w:r>
        <w:t>F</w:t>
      </w:r>
      <w:r w:rsidRPr="00DB7701">
        <w:t xml:space="preserve">inal </w:t>
      </w:r>
      <w:r>
        <w:t>A</w:t>
      </w:r>
      <w:r w:rsidRPr="00DB7701">
        <w:t xml:space="preserve">mendment provides </w:t>
      </w:r>
      <w:r w:rsidR="00943B74">
        <w:t>similar</w:t>
      </w:r>
      <w:r w:rsidRPr="00DB7701">
        <w:t xml:space="preserve"> protection to Plans while significantly reducing the cost burden.</w:t>
      </w:r>
    </w:p>
    <w:p w:rsidR="000B26AD" w:rsidRPr="00A47DA7" w:rsidP="000401EC" w14:paraId="0B334601" w14:textId="77777777">
      <w:pPr>
        <w:rPr>
          <w:rFonts w:eastAsia="Calibri"/>
        </w:rPr>
      </w:pPr>
    </w:p>
    <w:p w:rsidR="00690F56" w:rsidRPr="00D53DEB" w:rsidP="000401EC" w14:paraId="608739E9" w14:textId="45EDBCE0">
      <w:pPr>
        <w:pStyle w:val="Heading2"/>
      </w:pPr>
      <w:r w:rsidRPr="00D53DEB">
        <w:t>Explain any decision to provide any payments or gift</w:t>
      </w:r>
      <w:r w:rsidR="009441E2">
        <w:t>s</w:t>
      </w:r>
      <w:r w:rsidRPr="00D53DEB">
        <w:t xml:space="preserve"> to respondents, other than </w:t>
      </w:r>
      <w:r w:rsidRPr="00D53DEB" w:rsidR="006E1A08">
        <w:t>remuneration</w:t>
      </w:r>
      <w:r w:rsidRPr="00D53DEB">
        <w:t xml:space="preserve"> of contractors or grantees.</w:t>
      </w:r>
    </w:p>
    <w:p w:rsidR="00690F56" w:rsidRPr="00A47DA7" w:rsidP="000401EC" w14:paraId="3EC59954" w14:textId="77777777"/>
    <w:p w:rsidR="000B26AD" w:rsidRPr="00EE7F17" w:rsidP="000401EC" w14:paraId="6DEC7468" w14:textId="5F4BF935">
      <w:pPr>
        <w:pStyle w:val="BodyText"/>
      </w:pPr>
      <w:r w:rsidRPr="00374AD6">
        <w:t xml:space="preserve">No payments or gifts are provided to respondents. </w:t>
      </w:r>
    </w:p>
    <w:p w:rsidR="000B26AD" w:rsidRPr="00871CA6" w:rsidP="000401EC" w14:paraId="48F6E3A7" w14:textId="77777777"/>
    <w:p w:rsidR="00690F56" w:rsidRPr="00D53DEB" w:rsidP="000401EC" w14:paraId="0BFB46C5" w14:textId="22E29F23">
      <w:pPr>
        <w:pStyle w:val="Heading2"/>
      </w:pPr>
      <w:r w:rsidRPr="00D53DEB">
        <w:t>Describe any assurance of confidentiality provided to respondents and the basis for</w:t>
      </w:r>
      <w:r w:rsidR="00D1443B">
        <w:t xml:space="preserve"> t</w:t>
      </w:r>
      <w:r w:rsidRPr="00D53DEB">
        <w:t>he assurance in statute, regulation, or agency policy.</w:t>
      </w:r>
    </w:p>
    <w:p w:rsidR="00690F56" w:rsidP="000401EC" w14:paraId="41D6A133" w14:textId="60DDE81B"/>
    <w:p w:rsidR="000B26AD" w:rsidRPr="00EE7F17" w:rsidP="000401EC" w14:paraId="24F9A174" w14:textId="58C0C57A">
      <w:pPr>
        <w:pStyle w:val="BodyText"/>
      </w:pPr>
      <w:r>
        <w:t>A</w:t>
      </w:r>
      <w:r w:rsidR="0045471D">
        <w:t xml:space="preserve"> QPAM may ref</w:t>
      </w:r>
      <w:r w:rsidR="0019418E">
        <w:t>use to disclose information in connection with the recordkeeping provision if it is otherwise exempt from disclosure</w:t>
      </w:r>
      <w:r>
        <w:t xml:space="preserve">, such as privileged trade secrets or information identifying </w:t>
      </w:r>
      <w:r w:rsidR="00AA3CEB">
        <w:t>private information of</w:t>
      </w:r>
      <w:r>
        <w:t xml:space="preserve"> individuals</w:t>
      </w:r>
      <w:r w:rsidR="00AA3CEB">
        <w:t xml:space="preserve"> other than the requestor</w:t>
      </w:r>
      <w:r w:rsidR="0019418E">
        <w:t>. T</w:t>
      </w:r>
      <w:r w:rsidR="0045471D">
        <w:t>his is consistent with federal privacy laws</w:t>
      </w:r>
      <w:r w:rsidR="00D456F5">
        <w:t xml:space="preserve"> and a fiduciary’s duties under ERISA</w:t>
      </w:r>
      <w:r w:rsidR="0045471D">
        <w:t>.</w:t>
      </w:r>
      <w:r w:rsidR="0068062D">
        <w:t xml:space="preserve"> </w:t>
      </w:r>
    </w:p>
    <w:p w:rsidR="00690F56" w:rsidRPr="00871CA6" w:rsidP="000401EC" w14:paraId="61F2ECC1" w14:textId="77777777"/>
    <w:p w:rsidR="00690F56" w:rsidRPr="00D53DEB" w:rsidP="000401EC" w14:paraId="3F71900A" w14:textId="33D6E6DA">
      <w:pPr>
        <w:pStyle w:val="Heading2"/>
      </w:pPr>
      <w:r w:rsidRPr="00D53DEB">
        <w:t>Provide additional justification for any questions of a sensitive nature, such as sexual behavior and attitudes, religious beliefs, and other matters that are commonly considered private.</w:t>
      </w:r>
      <w:r w:rsidR="0068062D">
        <w:t xml:space="preserve"> </w:t>
      </w:r>
      <w:r w:rsidRPr="00D53DEB">
        <w:t xml:space="preserve">This justification should include the reasons why the </w:t>
      </w:r>
      <w:r w:rsidRPr="00D53DEB" w:rsidR="00C667F3">
        <w:t>a</w:t>
      </w:r>
      <w:r w:rsidRPr="00D53DEB">
        <w:t>gency considers the questions necessary, the specific uses to be made of the information, the explanation to be given to persons from whom the information is requested, and any steps to be taken to obtain their consent.</w:t>
      </w:r>
    </w:p>
    <w:p w:rsidR="00690F56" w:rsidRPr="00A47DA7" w:rsidP="000401EC" w14:paraId="02AFA701" w14:textId="77777777"/>
    <w:p w:rsidR="000B26AD" w:rsidRPr="00EE7F17" w:rsidP="000401EC" w14:paraId="64AD77A8" w14:textId="1CD489A8">
      <w:pPr>
        <w:pStyle w:val="BodyText"/>
      </w:pPr>
      <w:r w:rsidRPr="00374AD6">
        <w:t>This information collection does not ask questions of a sensitive nature</w:t>
      </w:r>
      <w:r w:rsidR="006D3E47">
        <w:t xml:space="preserve"> as described in</w:t>
      </w:r>
      <w:r w:rsidR="0068062D">
        <w:t xml:space="preserve"> </w:t>
      </w:r>
      <w:r w:rsidR="006D3E47">
        <w:t>the question</w:t>
      </w:r>
      <w:r w:rsidRPr="00374AD6">
        <w:t>.</w:t>
      </w:r>
      <w:r>
        <w:t xml:space="preserve"> </w:t>
      </w:r>
    </w:p>
    <w:p w:rsidR="000B26AD" w:rsidRPr="00871CA6" w:rsidP="000401EC" w14:paraId="20650FB0" w14:textId="77777777"/>
    <w:p w:rsidR="00690F56" w:rsidRPr="00D53DEB" w:rsidP="000401EC" w14:paraId="0DE6D347" w14:textId="13B59B1E">
      <w:pPr>
        <w:pStyle w:val="Heading2"/>
      </w:pPr>
      <w:r w:rsidRPr="00D53DEB">
        <w:t>Provide estimates of the hour burden of the collection of information.</w:t>
      </w:r>
      <w:r w:rsidR="0068062D">
        <w:t xml:space="preserve"> </w:t>
      </w:r>
      <w:r w:rsidRPr="00D53DEB">
        <w:t>The statement should:</w:t>
      </w:r>
    </w:p>
    <w:p w:rsidR="00BE3D19" w:rsidRPr="00223C0F" w:rsidP="00342A96" w14:paraId="081F52B4" w14:textId="77777777">
      <w:pPr>
        <w:pStyle w:val="BodyTextIndent"/>
        <w:numPr>
          <w:ilvl w:val="1"/>
          <w:numId w:val="18"/>
        </w:numPr>
        <w:tabs>
          <w:tab w:val="clear" w:pos="1440"/>
        </w:tabs>
        <w:autoSpaceDE/>
        <w:autoSpaceDN/>
        <w:adjustRightInd/>
        <w:spacing w:after="0"/>
        <w:contextualSpacing/>
        <w:rPr>
          <w:b/>
        </w:rPr>
      </w:pPr>
      <w:r w:rsidRPr="00223C0F">
        <w:rPr>
          <w:b/>
        </w:rPr>
        <w:t>Indicate the number of respondents, frequency of response, annual hour burden, and an explanation of how the burden was estimated.</w:t>
      </w:r>
      <w:r>
        <w:rPr>
          <w:b/>
        </w:rPr>
        <w:t xml:space="preserve"> </w:t>
      </w:r>
      <w:r w:rsidRPr="00223C0F">
        <w:rPr>
          <w:b/>
        </w:rPr>
        <w:t>Unless directed to do so, agencies should not conduct special surveys to obtain information on which to base hour burden estimates.</w:t>
      </w:r>
      <w:r>
        <w:rPr>
          <w:b/>
        </w:rPr>
        <w:t xml:space="preserve"> </w:t>
      </w:r>
      <w:r w:rsidRPr="00223C0F">
        <w:rPr>
          <w:b/>
        </w:rPr>
        <w:t>Consultation with a sample (fewer than 10) of potential respondents is desirable.</w:t>
      </w:r>
      <w:r>
        <w:rPr>
          <w:b/>
        </w:rPr>
        <w:t xml:space="preserve"> </w:t>
      </w:r>
      <w:r w:rsidRPr="00223C0F">
        <w:rPr>
          <w:b/>
        </w:rPr>
        <w:t xml:space="preserve">If the hour burden on respondents is expected to vary widely because of difference in activity, size, or complexity, show the range of estimated hour burden, and </w:t>
      </w:r>
      <w:r w:rsidRPr="00223C0F">
        <w:rPr>
          <w:b/>
        </w:rPr>
        <w:t>explain the reasons for the variance.</w:t>
      </w:r>
      <w:r>
        <w:rPr>
          <w:b/>
        </w:rPr>
        <w:t xml:space="preserve"> </w:t>
      </w:r>
      <w:r w:rsidRPr="00223C0F">
        <w:rPr>
          <w:b/>
        </w:rPr>
        <w:t>Generally, estimates should not include burden hours for customary and usual business practices.</w:t>
      </w:r>
    </w:p>
    <w:p w:rsidR="00BE3D19" w:rsidRPr="00223C0F" w:rsidP="00342A96" w14:paraId="34B46CC1" w14:textId="77777777">
      <w:pPr>
        <w:pStyle w:val="BodyTextIndent"/>
        <w:numPr>
          <w:ilvl w:val="1"/>
          <w:numId w:val="18"/>
        </w:numPr>
        <w:tabs>
          <w:tab w:val="clear" w:pos="1440"/>
        </w:tabs>
        <w:autoSpaceDE/>
        <w:autoSpaceDN/>
        <w:adjustRightInd/>
        <w:spacing w:after="0"/>
        <w:contextualSpacing/>
        <w:rPr>
          <w:b/>
        </w:rPr>
      </w:pPr>
      <w:r w:rsidRPr="00223C0F">
        <w:rPr>
          <w:b/>
          <w:iCs/>
        </w:rPr>
        <w:t>If this request for approval covers more than one form, provide separate hour burden estimates for each form and aggregate the hour burdens.</w:t>
      </w:r>
    </w:p>
    <w:p w:rsidR="00BE3D19" w:rsidRPr="00223C0F" w:rsidP="00342A96" w14:paraId="08BCE5C8" w14:textId="77777777">
      <w:pPr>
        <w:pStyle w:val="BodyTextIndent"/>
        <w:numPr>
          <w:ilvl w:val="1"/>
          <w:numId w:val="18"/>
        </w:numPr>
        <w:tabs>
          <w:tab w:val="clear" w:pos="1440"/>
        </w:tabs>
        <w:autoSpaceDE/>
        <w:autoSpaceDN/>
        <w:adjustRightInd/>
        <w:spacing w:after="0"/>
        <w:contextualSpacing/>
        <w:rPr>
          <w:b/>
        </w:rPr>
      </w:pPr>
      <w:r w:rsidRPr="00223C0F">
        <w:rPr>
          <w:b/>
        </w:rPr>
        <w:t>Provide estimates of annualized cost to respondents for the hour burdens for collection of information, identifying and using appropriate wage rate categories.</w:t>
      </w:r>
      <w:r>
        <w:rPr>
          <w:b/>
        </w:rPr>
        <w:t xml:space="preserve"> </w:t>
      </w:r>
      <w:r w:rsidRPr="00223C0F">
        <w:rPr>
          <w:b/>
        </w:rPr>
        <w:t>The cost of contracting out or paying outside parties for information collection activities should not be included here.</w:t>
      </w:r>
    </w:p>
    <w:p w:rsidR="0038745B" w:rsidRPr="00D53DEB" w:rsidP="000401EC" w14:paraId="03B0CC22" w14:textId="77777777"/>
    <w:p w:rsidR="00B0532F" w:rsidRPr="00DB7701" w:rsidP="00B0532F" w14:paraId="7F1E44A3" w14:textId="18FF4BB8">
      <w:pPr>
        <w:contextualSpacing/>
        <w:rPr>
          <w:rFonts w:eastAsia="Calibri"/>
        </w:rPr>
      </w:pPr>
      <w:r>
        <w:rPr>
          <w:rFonts w:eastAsia="Calibri"/>
        </w:rPr>
        <w:t>T</w:t>
      </w:r>
      <w:r w:rsidRPr="712F0D35">
        <w:rPr>
          <w:rFonts w:eastAsia="Calibri"/>
        </w:rPr>
        <w:t>o estimate the number of QPAMs, the Department identified the number of unique entities that provided investment management services in the 2020 Form 5500 Schedule C dataset.</w:t>
      </w:r>
      <w:r>
        <w:rPr>
          <w:rFonts w:eastAsia="Calibri"/>
          <w:vertAlign w:val="superscript"/>
        </w:rPr>
        <w:footnoteReference w:id="9"/>
      </w:r>
      <w:r w:rsidRPr="712F0D35">
        <w:rPr>
          <w:rFonts w:eastAsia="Calibri"/>
        </w:rPr>
        <w:t xml:space="preserve"> This analysis yielded 5,702 unique investment managers. Small Plans are not required to file a Schedule C</w:t>
      </w:r>
      <w:r>
        <w:rPr>
          <w:rFonts w:eastAsia="Calibri"/>
        </w:rPr>
        <w:t>; therefore,</w:t>
      </w:r>
      <w:r w:rsidRPr="712F0D35">
        <w:rPr>
          <w:rFonts w:eastAsia="Calibri"/>
        </w:rPr>
        <w:t xml:space="preserve"> </w:t>
      </w:r>
      <w:r>
        <w:rPr>
          <w:rFonts w:eastAsia="Calibri"/>
        </w:rPr>
        <w:t>i</w:t>
      </w:r>
      <w:r w:rsidRPr="712F0D35">
        <w:rPr>
          <w:rFonts w:eastAsia="Calibri"/>
        </w:rPr>
        <w:t>n order to account for asset managers used by small Plans, the Department looked at</w:t>
      </w:r>
      <w:r>
        <w:rPr>
          <w:rFonts w:eastAsia="Calibri"/>
        </w:rPr>
        <w:t xml:space="preserve"> the</w:t>
      </w:r>
      <w:r w:rsidRPr="712F0D35">
        <w:rPr>
          <w:rFonts w:eastAsia="Calibri"/>
        </w:rPr>
        <w:t xml:space="preserve"> </w:t>
      </w:r>
      <w:r>
        <w:rPr>
          <w:rFonts w:eastAsia="Calibri"/>
        </w:rPr>
        <w:t xml:space="preserve">Form 5500 Schedule C that were voluntarily filed by </w:t>
      </w:r>
      <w:r w:rsidRPr="712F0D35">
        <w:rPr>
          <w:rFonts w:eastAsia="Calibri"/>
        </w:rPr>
        <w:t xml:space="preserve">small Plans. Among the 1,267 small Plans that filed a Schedule C, the Department found 10 unique asset managers that were not used by large Plans. Applying this ratio to the universe of small Plans, the Department estimates that 5,153 additional unique QPAMs may be used by small </w:t>
      </w:r>
      <w:r>
        <w:rPr>
          <w:rFonts w:eastAsia="Calibri"/>
        </w:rPr>
        <w:t>P</w:t>
      </w:r>
      <w:r w:rsidRPr="712F0D35">
        <w:rPr>
          <w:rFonts w:eastAsia="Calibri"/>
        </w:rPr>
        <w:t>lans.</w:t>
      </w:r>
      <w:r>
        <w:rPr>
          <w:rFonts w:eastAsia="Calibri"/>
          <w:vertAlign w:val="superscript"/>
        </w:rPr>
        <w:footnoteReference w:id="10"/>
      </w:r>
      <w:r w:rsidRPr="712F0D35">
        <w:rPr>
          <w:rFonts w:eastAsia="Calibri"/>
        </w:rPr>
        <w:t xml:space="preserve"> </w:t>
      </w:r>
      <w:r>
        <w:rPr>
          <w:rFonts w:eastAsia="Calibri"/>
        </w:rPr>
        <w:t xml:space="preserve">Therefore </w:t>
      </w:r>
      <w:r w:rsidRPr="712F0D35">
        <w:rPr>
          <w:rFonts w:eastAsia="Calibri"/>
        </w:rPr>
        <w:t xml:space="preserve">the Department estimates that 10,855 unique QPAMs could be affected by the </w:t>
      </w:r>
      <w:r>
        <w:rPr>
          <w:rFonts w:eastAsia="Calibri"/>
        </w:rPr>
        <w:t>Final A</w:t>
      </w:r>
      <w:r w:rsidRPr="712F0D35">
        <w:rPr>
          <w:rFonts w:eastAsia="Calibri"/>
        </w:rPr>
        <w:t>mendment.</w:t>
      </w:r>
      <w:r>
        <w:rPr>
          <w:rFonts w:eastAsia="Calibri"/>
          <w:vertAlign w:val="superscript"/>
        </w:rPr>
        <w:footnoteReference w:id="11"/>
      </w:r>
      <w:r w:rsidRPr="712F0D35">
        <w:rPr>
          <w:rFonts w:eastAsia="Calibri"/>
        </w:rPr>
        <w:t xml:space="preserve"> </w:t>
      </w:r>
    </w:p>
    <w:p w:rsidR="00B0532F" w:rsidP="0027731B" w14:paraId="1625B090" w14:textId="77777777">
      <w:pPr>
        <w:contextualSpacing/>
        <w:rPr>
          <w:rFonts w:eastAsia="Calibri"/>
        </w:rPr>
      </w:pPr>
    </w:p>
    <w:p w:rsidR="006171E6" w:rsidRPr="00DB7701" w:rsidP="006171E6" w14:paraId="7477DDC0" w14:textId="77777777">
      <w:pPr>
        <w:contextualSpacing/>
      </w:pPr>
      <w:r w:rsidRPr="712F0D35">
        <w:t xml:space="preserve">The Department assumes that different types of personnel will be responsible for satisfying the requirements in the </w:t>
      </w:r>
      <w:r>
        <w:t>Final A</w:t>
      </w:r>
      <w:r w:rsidRPr="712F0D35">
        <w:t>mendment. To account for the labor costs associated with different types of personnel, the Department estimates the hourly labor costs for each type of personnel. In the analysis below the Department applies the hourly labor costs of $63.45 for clerical personnel, $159.34 for internal legal professionals, $190.63 for financial managers, and $535.85 for outside legal professionals.</w:t>
      </w:r>
      <w:r>
        <w:rPr>
          <w:vertAlign w:val="superscript"/>
        </w:rPr>
        <w:footnoteReference w:id="12"/>
      </w:r>
    </w:p>
    <w:p w:rsidR="004C3AB6" w:rsidP="000401EC" w14:paraId="32EF125B" w14:textId="77777777"/>
    <w:p w:rsidR="00F82225" w:rsidRPr="00724460" w:rsidP="00F82225" w14:paraId="32B6AC12" w14:textId="77777777">
      <w:pPr>
        <w:widowControl w:val="0"/>
        <w:contextualSpacing/>
        <w:outlineLvl w:val="2"/>
        <w:rPr>
          <w:rStyle w:val="SubtleEmphasis"/>
          <w:rFonts w:eastAsia="Calibri"/>
        </w:rPr>
      </w:pPr>
      <w:r w:rsidRPr="00724460">
        <w:rPr>
          <w:rStyle w:val="SubtleEmphasis"/>
          <w:rFonts w:eastAsia="Calibri"/>
        </w:rPr>
        <w:t>QPAM-Sponsored Plans – Policies and Procedures – Section V(b)</w:t>
      </w:r>
    </w:p>
    <w:p w:rsidR="00F82225" w:rsidP="00F82225" w14:paraId="24F40E13" w14:textId="77777777">
      <w:pPr>
        <w:contextualSpacing/>
        <w:rPr>
          <w:rFonts w:eastAsia="Calibri"/>
        </w:rPr>
      </w:pPr>
    </w:p>
    <w:p w:rsidR="00F82225" w:rsidRPr="00DB7701" w:rsidP="00F82225" w14:paraId="41CCB915" w14:textId="77777777">
      <w:pPr>
        <w:contextualSpacing/>
        <w:rPr>
          <w:rFonts w:eastAsia="Calibri"/>
        </w:rPr>
      </w:pPr>
      <w:r w:rsidRPr="00DB7701">
        <w:rPr>
          <w:rFonts w:eastAsia="Calibri"/>
        </w:rPr>
        <w:t xml:space="preserve">The existing information collection requirements of the QPAM Exemption require in-house QPAMs to develop written policies and procedures designed to ensure compliance </w:t>
      </w:r>
      <w:r w:rsidRPr="00DB7701">
        <w:rPr>
          <w:rFonts w:eastAsia="Calibri"/>
        </w:rPr>
        <w:t>with the conditions of the exemption. Existing in-house QPAMs will have already prepared their policies and procedures in accordance with the QPAM Exemption</w:t>
      </w:r>
      <w:r>
        <w:rPr>
          <w:rFonts w:eastAsia="Calibri"/>
        </w:rPr>
        <w:t>.</w:t>
      </w:r>
      <w:r w:rsidRPr="00DB7701">
        <w:rPr>
          <w:rFonts w:eastAsia="Calibri"/>
        </w:rPr>
        <w:t xml:space="preserve"> </w:t>
      </w:r>
      <w:r>
        <w:rPr>
          <w:rFonts w:eastAsia="Calibri"/>
        </w:rPr>
        <w:t>H</w:t>
      </w:r>
      <w:r w:rsidRPr="00DB7701">
        <w:rPr>
          <w:rFonts w:eastAsia="Calibri"/>
        </w:rPr>
        <w:t>owever</w:t>
      </w:r>
      <w:r>
        <w:rPr>
          <w:rFonts w:eastAsia="Calibri"/>
        </w:rPr>
        <w:t>,</w:t>
      </w:r>
      <w:r w:rsidRPr="00DB7701">
        <w:rPr>
          <w:rFonts w:eastAsia="Calibri"/>
        </w:rPr>
        <w:t xml:space="preserve"> some in-house QPAMs may also update their policies and procedures in a given year. </w:t>
      </w:r>
    </w:p>
    <w:p w:rsidR="00F82225" w:rsidP="00F82225" w14:paraId="65E52DB9" w14:textId="77777777">
      <w:pPr>
        <w:contextualSpacing/>
      </w:pPr>
    </w:p>
    <w:p w:rsidR="00F82225" w:rsidRPr="000F06CE" w:rsidP="00F82225" w14:paraId="2417FCE8" w14:textId="77777777">
      <w:pPr>
        <w:contextualSpacing/>
      </w:pPr>
      <w:r w:rsidRPr="712F0D35">
        <w:t>The latest Form 5500 estimates from the year 2020 indicate that there are approximately 50 in-house QPAMs.</w:t>
      </w:r>
      <w:r>
        <w:rPr>
          <w:vertAlign w:val="superscript"/>
        </w:rPr>
        <w:footnoteReference w:id="13"/>
      </w:r>
      <w:r w:rsidRPr="712F0D35">
        <w:t xml:space="preserve"> </w:t>
      </w:r>
      <w:r w:rsidRPr="712F0D35">
        <w:rPr>
          <w:rFonts w:eastAsia="Calibri"/>
        </w:rPr>
        <w:t xml:space="preserve">The Department estimates that the burden associated with preparing policies and procedures will affect ten percent of all in-house QPAMs, including all new in-house QPAMs and some existing in-house QPAMs. </w:t>
      </w:r>
      <w:r w:rsidRPr="712F0D35">
        <w:t xml:space="preserve">Therefore, the Department estimates that about </w:t>
      </w:r>
      <w:r>
        <w:t>five</w:t>
      </w:r>
      <w:r w:rsidRPr="712F0D35">
        <w:t xml:space="preserve"> QPAMs will need to update their policies and procedures each year.</w:t>
      </w:r>
      <w:r>
        <w:rPr>
          <w:vertAlign w:val="superscript"/>
        </w:rPr>
        <w:footnoteReference w:id="14"/>
      </w:r>
      <w:r w:rsidRPr="712F0D35">
        <w:t xml:space="preserve"> The Department estimates that the burden associated with new QPAMs meeting the policies and procedures requirements of the QPAM Exemption will be </w:t>
      </w:r>
      <w:r>
        <w:t>five</w:t>
      </w:r>
      <w:r w:rsidRPr="712F0D35">
        <w:t xml:space="preserve"> hours with an equivalent cost of $797.</w:t>
      </w:r>
      <w:r>
        <w:rPr>
          <w:vertAlign w:val="superscript"/>
        </w:rPr>
        <w:footnoteReference w:id="15"/>
      </w:r>
      <w:r w:rsidRPr="712F0D35">
        <w:t xml:space="preserve"> </w:t>
      </w:r>
    </w:p>
    <w:p w:rsidR="00F82225" w:rsidP="00F82225" w14:paraId="474E1CEF" w14:textId="77777777"/>
    <w:p w:rsidR="00C522F6" w:rsidRPr="00DB7701" w:rsidP="00C522F6" w14:paraId="25FA1912" w14:textId="77777777">
      <w:pPr>
        <w:widowControl w:val="0"/>
        <w:contextualSpacing/>
        <w:outlineLvl w:val="2"/>
        <w:rPr>
          <w:rFonts w:eastAsia="Calibri"/>
          <w:bCs/>
          <w:i/>
          <w:iCs/>
        </w:rPr>
      </w:pPr>
      <w:r w:rsidRPr="00DB7701">
        <w:rPr>
          <w:rFonts w:eastAsia="Calibri"/>
          <w:bCs/>
          <w:i/>
          <w:iCs/>
        </w:rPr>
        <w:t>QPAM-Sponsored Plans – Independent Audit – Section V(c)</w:t>
      </w:r>
    </w:p>
    <w:p w:rsidR="00C522F6" w:rsidP="00C522F6" w14:paraId="54BF3C76" w14:textId="77777777">
      <w:pPr>
        <w:contextualSpacing/>
      </w:pPr>
    </w:p>
    <w:p w:rsidR="00E7577A" w:rsidP="00E7577A" w14:paraId="76141395" w14:textId="77777777">
      <w:pPr>
        <w:contextualSpacing/>
      </w:pPr>
      <w:r w:rsidRPr="712F0D35">
        <w:t>Additionally, the exemption requires in-house QPAMs to engage an independent auditor to conduct an annual exemption audit and issue an audit report to the Plan. The Department estimates that each of the 50</w:t>
      </w:r>
      <w:r w:rsidRPr="00DB7701">
        <w:t xml:space="preserve"> </w:t>
      </w:r>
      <w:r w:rsidRPr="712F0D35">
        <w:t>in-house QPAMs will use in-house legal professionals, financial managers, and clerical time to provide documents and respond to questions from the auditor.</w:t>
      </w:r>
      <w:r w:rsidRPr="00DB7701">
        <w:t xml:space="preserve"> </w:t>
      </w:r>
    </w:p>
    <w:p w:rsidR="00E7577A" w:rsidP="00E7577A" w14:paraId="1246A3E5" w14:textId="77777777">
      <w:pPr>
        <w:contextualSpacing/>
      </w:pPr>
    </w:p>
    <w:p w:rsidR="00C522F6" w:rsidRPr="00DB7701" w:rsidP="00E7577A" w14:paraId="06A07CF7" w14:textId="7F9500A5">
      <w:pPr>
        <w:contextualSpacing/>
      </w:pPr>
      <w:r>
        <w:t>E</w:t>
      </w:r>
      <w:r w:rsidRPr="712F0D35">
        <w:t>ach exemption audit is assumed to require about 5 hours of a legal professional’s time, 13 hours of a financial manager’s time, and six hours of clerical time for each of the 50</w:t>
      </w:r>
      <w:r w:rsidRPr="00DB7701">
        <w:t xml:space="preserve"> </w:t>
      </w:r>
      <w:r w:rsidRPr="712F0D35">
        <w:t>QPAMs to provide needed materials for the audit. This results in a burden estimate of 1,200 hours with an equivalent cost of $182,780.</w:t>
      </w:r>
      <w:r>
        <w:rPr>
          <w:vertAlign w:val="superscript"/>
        </w:rPr>
        <w:footnoteReference w:id="16"/>
      </w:r>
      <w:r w:rsidRPr="712F0D35">
        <w:t xml:space="preserve"> </w:t>
      </w:r>
    </w:p>
    <w:p w:rsidR="00053596" w:rsidRPr="002D74B5" w:rsidP="000401EC" w14:paraId="4EB3D025" w14:textId="77777777">
      <w:pPr>
        <w:pStyle w:val="BodyText"/>
      </w:pPr>
    </w:p>
    <w:p w:rsidR="007949B7" w:rsidRPr="002D74B5" w:rsidP="007949B7" w14:paraId="04261BEE" w14:textId="77777777">
      <w:pPr>
        <w:widowControl w:val="0"/>
        <w:contextualSpacing/>
        <w:outlineLvl w:val="2"/>
        <w:rPr>
          <w:bCs/>
          <w:i/>
          <w:iCs/>
        </w:rPr>
      </w:pPr>
      <w:r w:rsidRPr="002D74B5">
        <w:rPr>
          <w:bCs/>
          <w:i/>
          <w:iCs/>
        </w:rPr>
        <w:t>Property Manager Written Guidelines – Section I(c)</w:t>
      </w:r>
    </w:p>
    <w:p w:rsidR="00551761" w:rsidP="007949B7" w14:paraId="43FD9AF4" w14:textId="77777777">
      <w:pPr>
        <w:contextualSpacing/>
        <w:rPr>
          <w:rFonts w:eastAsia="Calibri"/>
        </w:rPr>
      </w:pPr>
    </w:p>
    <w:p w:rsidR="007949B7" w:rsidRPr="00DB7701" w:rsidP="007949B7" w14:paraId="450A26CB" w14:textId="77777777">
      <w:pPr>
        <w:contextualSpacing/>
        <w:rPr>
          <w:rFonts w:eastAsia="Calibri"/>
        </w:rPr>
      </w:pPr>
      <w:r w:rsidRPr="002D74B5">
        <w:rPr>
          <w:rFonts w:eastAsia="Calibri"/>
        </w:rPr>
        <w:t>The</w:t>
      </w:r>
      <w:r w:rsidRPr="00DB7701">
        <w:rPr>
          <w:rFonts w:eastAsia="Calibri"/>
        </w:rPr>
        <w:t xml:space="preserve"> exemption also contains a requirement for written guidelines when, in certain instances, a property manager acts on behalf of a QPAM. In this case,</w:t>
      </w:r>
      <w:r w:rsidRPr="00DB7701">
        <w:rPr>
          <w:rFonts w:eastAsia="Calibri"/>
        </w:rPr>
        <w:t xml:space="preserve"> the QPAM is </w:t>
      </w:r>
      <w:r w:rsidRPr="00DB7701">
        <w:rPr>
          <w:rFonts w:eastAsia="Calibri"/>
        </w:rPr>
        <w:t>required to establish and administer the guidelines. Because agreements between an institution and a property manager are customary, the Department estimates that this requirement will impose no additional burden on QPAMs.</w:t>
      </w:r>
    </w:p>
    <w:p w:rsidR="005133AD" w:rsidP="000401EC" w14:paraId="34B159B2" w14:textId="77777777">
      <w:pPr>
        <w:pStyle w:val="BodyText"/>
        <w:rPr>
          <w:highlight w:val="yellow"/>
        </w:rPr>
      </w:pPr>
    </w:p>
    <w:p w:rsidR="00FB3E2B" w:rsidRPr="00DB7701" w:rsidP="00FB3E2B" w14:paraId="75698623" w14:textId="77777777">
      <w:pPr>
        <w:widowControl w:val="0"/>
        <w:contextualSpacing/>
        <w:outlineLvl w:val="2"/>
        <w:rPr>
          <w:bCs/>
          <w:i/>
          <w:iCs/>
        </w:rPr>
      </w:pPr>
      <w:r w:rsidRPr="00DB7701">
        <w:rPr>
          <w:bCs/>
          <w:i/>
          <w:iCs/>
        </w:rPr>
        <w:t>Reporting Reliance on the QPAM Exemption – Subsection I(g)(1)</w:t>
      </w:r>
    </w:p>
    <w:p w:rsidR="00667EF9" w:rsidP="00FB3E2B" w14:paraId="3D6F7602" w14:textId="77777777">
      <w:pPr>
        <w:contextualSpacing/>
      </w:pPr>
    </w:p>
    <w:p w:rsidR="00FB3E2B" w:rsidP="00FB3E2B" w14:paraId="6C4BF0F6" w14:textId="53820C65">
      <w:pPr>
        <w:contextualSpacing/>
      </w:pPr>
      <w:r w:rsidRPr="712F0D35">
        <w:t>QPAMs will have to report their reliance on the QPAM Exemption via email to QPAM@dol.gov. This notification would occur only once for most QPAMs.</w:t>
      </w:r>
      <w:r w:rsidRPr="00DB7701">
        <w:rPr>
          <w:sz w:val="23"/>
          <w:szCs w:val="23"/>
        </w:rPr>
        <w:t xml:space="preserve"> </w:t>
      </w:r>
      <w:r w:rsidRPr="712F0D35">
        <w:t>The information required under subsection I</w:t>
      </w:r>
      <w:r w:rsidRPr="712F0D35" w:rsidR="00F4512C">
        <w:t xml:space="preserve"> </w:t>
      </w:r>
      <w:r w:rsidR="007652A4">
        <w:t>(g)</w:t>
      </w:r>
      <w:r w:rsidRPr="712F0D35">
        <w:t>(</w:t>
      </w:r>
      <w:r w:rsidR="00F4512C">
        <w:t>l</w:t>
      </w:r>
      <w:r w:rsidRPr="712F0D35">
        <w:t>) is limited to the legal name of the entity relying upon the exemption and any name the QPAM may be operating under. The Department expects it will take 15 minutes, on average, for each QPAM to both prepare and send this electronic notification. This burden is estimated to amount to 2,713.8 hours with an equivalent cost of $172,187 in the first year.</w:t>
      </w:r>
      <w:r>
        <w:rPr>
          <w:vertAlign w:val="superscript"/>
        </w:rPr>
        <w:footnoteReference w:id="17"/>
      </w:r>
      <w:r w:rsidRPr="712F0D35">
        <w:t xml:space="preserve"> In subsequent years, new QPAMs or QPAMs that change their name will be required to send the notification. The Department does not have data on how many QPAMs will be required to send this notification in subsequent years. For the purposes of this analysis, the Department assumes that one percent of QPAMs, or 109 QPAMs, will either be new or have a name change.</w:t>
      </w:r>
      <w:r>
        <w:rPr>
          <w:vertAlign w:val="superscript"/>
        </w:rPr>
        <w:footnoteReference w:id="18"/>
      </w:r>
      <w:r w:rsidRPr="712F0D35">
        <w:t xml:space="preserve"> Accordingly, th</w:t>
      </w:r>
      <w:r>
        <w:t>is</w:t>
      </w:r>
      <w:r w:rsidRPr="712F0D35">
        <w:t xml:space="preserve"> is estimated to amount to 27.3 hours, with an equivalent cost of $1,729.</w:t>
      </w:r>
      <w:r>
        <w:rPr>
          <w:vertAlign w:val="superscript"/>
        </w:rPr>
        <w:footnoteReference w:id="19"/>
      </w:r>
    </w:p>
    <w:p w:rsidR="00FB3E2B" w:rsidRPr="00DB7701" w:rsidP="00FB3E2B" w14:paraId="60E60EFD" w14:textId="77777777">
      <w:pPr>
        <w:contextualSpacing/>
      </w:pPr>
    </w:p>
    <w:p w:rsidR="00FB3E2B" w:rsidRPr="000F06CE" w:rsidP="00FB3E2B" w14:paraId="3867FE23" w14:textId="77777777">
      <w:pPr>
        <w:contextualSpacing/>
      </w:pPr>
      <w:r w:rsidRPr="00DB7701">
        <w:t xml:space="preserve">If a QPAM fails to report </w:t>
      </w:r>
      <w:r>
        <w:t>its</w:t>
      </w:r>
      <w:r w:rsidRPr="00DB7701">
        <w:t xml:space="preserve"> reliance on the exemption within</w:t>
      </w:r>
      <w:r w:rsidRPr="00DB7701">
        <w:t xml:space="preserve"> </w:t>
      </w:r>
      <w:r w:rsidRPr="00DB7701">
        <w:t xml:space="preserve">90 days, the QPAM must send a notice to the Department within an additional 90 days, </w:t>
      </w:r>
      <w:r>
        <w:t>indicating</w:t>
      </w:r>
      <w:r w:rsidRPr="00DB7701">
        <w:t xml:space="preserve"> its reliance on the exemption or name change, as well as an explanation for the failure to provide notice. The Department does not have information on what percent of QPAMs is likely to fail to report reliance. For the purposes of this analysis, the Department estimates that two percent of QPAMS required to report will fail to report reliance each year, or 217 QPAMs in the first year and two QPAMs in subsequent years.</w:t>
      </w:r>
      <w:r>
        <w:rPr>
          <w:vertAlign w:val="superscript"/>
        </w:rPr>
        <w:footnoteReference w:id="20"/>
      </w:r>
      <w:r w:rsidRPr="00DB7701">
        <w:t xml:space="preserve"> The Department estimates that preparing the notice will require a legal professional 30 minutes. The burden is estimated to be 108.5 hours with an equivalent cost of approximately $17,288 in the first year</w:t>
      </w:r>
      <w:r>
        <w:rPr>
          <w:rFonts w:eastAsia="Calibri"/>
          <w:vertAlign w:val="superscript"/>
        </w:rPr>
        <w:footnoteReference w:id="21"/>
      </w:r>
      <w:r w:rsidRPr="00DB7701">
        <w:t xml:space="preserve"> and one hour with an equivalent cost of approximately $159 in subsequent years.</w:t>
      </w:r>
      <w:r>
        <w:rPr>
          <w:vertAlign w:val="superscript"/>
        </w:rPr>
        <w:footnoteReference w:id="22"/>
      </w:r>
      <w:r w:rsidRPr="00DB7701">
        <w:t xml:space="preserve"> The cost for a clerical professional to draft and send an email notifying the Department of its reliance or name change is included in the cost estimate of sending notice of reliance above.</w:t>
      </w:r>
    </w:p>
    <w:p w:rsidR="00FB3E2B" w:rsidP="000401EC" w14:paraId="37A3F936" w14:textId="77777777">
      <w:pPr>
        <w:pStyle w:val="BodyText"/>
        <w:rPr>
          <w:highlight w:val="yellow"/>
        </w:rPr>
      </w:pPr>
    </w:p>
    <w:p w:rsidR="008E123A" w:rsidP="008E123A" w14:paraId="18B5FE6F" w14:textId="77777777">
      <w:pPr>
        <w:widowControl w:val="0"/>
        <w:contextualSpacing/>
        <w:outlineLvl w:val="2"/>
        <w:rPr>
          <w:bCs/>
          <w:i/>
          <w:iCs/>
        </w:rPr>
      </w:pPr>
      <w:r w:rsidRPr="00DB7701">
        <w:rPr>
          <w:bCs/>
          <w:i/>
          <w:iCs/>
        </w:rPr>
        <w:t>Recordkeeping – Section VI(</w:t>
      </w:r>
      <w:r>
        <w:rPr>
          <w:bCs/>
          <w:i/>
          <w:iCs/>
        </w:rPr>
        <w:t>u</w:t>
      </w:r>
      <w:r w:rsidRPr="00DB7701">
        <w:rPr>
          <w:bCs/>
          <w:i/>
          <w:iCs/>
        </w:rPr>
        <w:t>)</w:t>
      </w:r>
    </w:p>
    <w:p w:rsidR="00CA25F2" w:rsidRPr="00DB7701" w:rsidP="00724460" w14:paraId="4DAFBF9F" w14:textId="77777777"/>
    <w:p w:rsidR="008E123A" w:rsidP="008E123A" w14:paraId="18EEB79A" w14:textId="77777777">
      <w:pPr>
        <w:contextualSpacing/>
        <w:rPr>
          <w:rFonts w:eastAsia="Calibri"/>
        </w:rPr>
      </w:pPr>
      <w:r w:rsidRPr="712F0D35">
        <w:rPr>
          <w:rFonts w:eastAsia="Calibri"/>
        </w:rPr>
        <w:t>The amendment adds a new recordkeeping provision that will apply to all 10,855 QPAMs. Due to the fiduciary status of QPAMs and the existing regulatory environment in which they exist, the Department assumes that QPAMs already maintain many of the required records as part of their regular business practices. In addition, the recordkeeping requirements correspond to the six-year period in ERISA sections 107 and 413. The Department expects that the recordkeeping requirement would impose, on average, a burden of one hour per QPAM. Therefore, the Department estimates that the overall hour burden of this recordkeeping requirement for all 10,855 QPAMs will be 10,855 hours with an equivalent cost of $688,750.</w:t>
      </w:r>
      <w:r>
        <w:rPr>
          <w:rFonts w:eastAsia="Calibri"/>
          <w:vertAlign w:val="superscript"/>
        </w:rPr>
        <w:footnoteReference w:id="23"/>
      </w:r>
      <w:r w:rsidRPr="712F0D35">
        <w:rPr>
          <w:rFonts w:eastAsia="Calibri"/>
        </w:rPr>
        <w:t xml:space="preserve"> </w:t>
      </w:r>
    </w:p>
    <w:p w:rsidR="00CA25F2" w:rsidRPr="00DB7701" w:rsidP="008E123A" w14:paraId="4A3AC847" w14:textId="77777777">
      <w:pPr>
        <w:contextualSpacing/>
        <w:rPr>
          <w:rFonts w:eastAsia="Calibri"/>
        </w:rPr>
      </w:pPr>
    </w:p>
    <w:p w:rsidR="008E123A" w:rsidRPr="00DB7701" w:rsidP="008E123A" w14:paraId="1906492B" w14:textId="77777777">
      <w:pPr>
        <w:contextualSpacing/>
        <w:rPr>
          <w:rFonts w:eastAsia="Calibri"/>
        </w:rPr>
      </w:pPr>
      <w:r w:rsidRPr="00DB7701">
        <w:rPr>
          <w:rFonts w:eastAsia="Calibri"/>
        </w:rPr>
        <w:t>If a QPAM refuses to disclose information to any of the parties listed in Section VI(</w:t>
      </w:r>
      <w:r>
        <w:rPr>
          <w:rFonts w:eastAsia="Calibri"/>
        </w:rPr>
        <w:t>u</w:t>
      </w:r>
      <w:r w:rsidRPr="00DB7701">
        <w:rPr>
          <w:rFonts w:eastAsia="Calibri"/>
        </w:rPr>
        <w:t xml:space="preserve">) on the basis that such information is exempt from disclosure, the QPAM must provide a written notice advising the requestor of the reason for the refusal and that the Department may request such information. The Department does not have data on how often such a refusal is likely to occur. </w:t>
      </w:r>
      <w:r w:rsidRPr="712F0D35">
        <w:rPr>
          <w:rFonts w:eastAsia="Calibri"/>
        </w:rPr>
        <w:t xml:space="preserve">For the purposes of this illustration, the Department estimates that two percent of QPAMs, or 217 QPAMs, will refuse to disclose requested information annually. The Department estimates that drafting a written notice advising the requestor of the reason for the refusal and that the Department may request such information will </w:t>
      </w:r>
      <w:r>
        <w:rPr>
          <w:rFonts w:eastAsia="Calibri"/>
        </w:rPr>
        <w:t xml:space="preserve">require </w:t>
      </w:r>
      <w:r w:rsidRPr="712F0D35">
        <w:rPr>
          <w:rFonts w:eastAsia="Calibri"/>
        </w:rPr>
        <w:t xml:space="preserve">an internal legal professional </w:t>
      </w:r>
      <w:r>
        <w:rPr>
          <w:rFonts w:eastAsia="Calibri"/>
        </w:rPr>
        <w:t xml:space="preserve">to spend </w:t>
      </w:r>
      <w:r w:rsidRPr="712F0D35">
        <w:rPr>
          <w:rFonts w:eastAsia="Calibri"/>
        </w:rPr>
        <w:t>one hour, resulting in a burden of 217 hours with an equivalent cost of approximately $34,577.</w:t>
      </w:r>
      <w:r>
        <w:rPr>
          <w:rFonts w:eastAsia="Calibri"/>
          <w:vertAlign w:val="superscript"/>
        </w:rPr>
        <w:footnoteReference w:id="24"/>
      </w:r>
    </w:p>
    <w:p w:rsidR="005133AD" w:rsidP="000401EC" w14:paraId="3BDA8080" w14:textId="77777777">
      <w:pPr>
        <w:pStyle w:val="BodyText"/>
        <w:rPr>
          <w:highlight w:val="yellow"/>
        </w:rPr>
      </w:pPr>
    </w:p>
    <w:p w:rsidR="003B634D" w:rsidP="003B634D" w14:paraId="36C1036C" w14:textId="609180FD">
      <w:pPr>
        <w:widowControl w:val="0"/>
        <w:contextualSpacing/>
        <w:outlineLvl w:val="2"/>
        <w:rPr>
          <w:rFonts w:eastAsia="Calibri"/>
          <w:bCs/>
          <w:i/>
          <w:iCs/>
        </w:rPr>
      </w:pPr>
      <w:r w:rsidRPr="00DB7701">
        <w:rPr>
          <w:rFonts w:eastAsia="Calibri"/>
          <w:bCs/>
          <w:i/>
          <w:iCs/>
        </w:rPr>
        <w:t>Notice to Plans – Subsection I(</w:t>
      </w:r>
      <w:r w:rsidR="004B044B">
        <w:rPr>
          <w:rFonts w:eastAsia="Calibri"/>
          <w:bCs/>
          <w:i/>
          <w:iCs/>
        </w:rPr>
        <w:t>i</w:t>
      </w:r>
      <w:r w:rsidRPr="00DB7701">
        <w:rPr>
          <w:rFonts w:eastAsia="Calibri"/>
          <w:bCs/>
          <w:i/>
          <w:iCs/>
        </w:rPr>
        <w:t>j</w:t>
      </w:r>
      <w:r w:rsidRPr="00DB7701">
        <w:rPr>
          <w:rFonts w:eastAsia="Calibri"/>
          <w:bCs/>
          <w:i/>
          <w:iCs/>
        </w:rPr>
        <w:t xml:space="preserve">)(1) </w:t>
      </w:r>
    </w:p>
    <w:p w:rsidR="003B634D" w:rsidRPr="00DB7701" w:rsidP="00724460" w14:paraId="18BC8C0B" w14:textId="77777777">
      <w:pPr>
        <w:rPr>
          <w:rFonts w:eastAsia="Calibri"/>
        </w:rPr>
      </w:pPr>
    </w:p>
    <w:p w:rsidR="000D2F9D" w:rsidP="003B634D" w14:paraId="5B7D42D3" w14:textId="71871923">
      <w:pPr>
        <w:contextualSpacing/>
        <w:rPr>
          <w:color w:val="000000"/>
          <w:szCs w:val="20"/>
        </w:rPr>
      </w:pPr>
      <w:r w:rsidRPr="00DB7701">
        <w:rPr>
          <w:color w:val="000000"/>
          <w:szCs w:val="20"/>
        </w:rPr>
        <w:t xml:space="preserve">Within 30 days after the </w:t>
      </w:r>
      <w:r>
        <w:rPr>
          <w:color w:val="000000"/>
          <w:szCs w:val="20"/>
        </w:rPr>
        <w:t>Ineligibility Date</w:t>
      </w:r>
      <w:r w:rsidRPr="00DB7701">
        <w:rPr>
          <w:color w:val="000000"/>
          <w:szCs w:val="20"/>
        </w:rPr>
        <w:t xml:space="preserve">, the QPAM must provide notice to the Department and each of its client Plans. </w:t>
      </w:r>
    </w:p>
    <w:p w:rsidR="000D2F9D" w:rsidP="003B634D" w14:paraId="33885934" w14:textId="77777777">
      <w:pPr>
        <w:contextualSpacing/>
        <w:rPr>
          <w:color w:val="000000"/>
          <w:szCs w:val="20"/>
        </w:rPr>
      </w:pPr>
    </w:p>
    <w:p w:rsidR="000D2F9D" w:rsidP="003B634D" w14:paraId="54961575" w14:textId="77CC4D6F">
      <w:pPr>
        <w:contextualSpacing/>
        <w:rPr>
          <w:color w:val="000000"/>
          <w:szCs w:val="20"/>
        </w:rPr>
      </w:pPr>
      <w:r w:rsidRPr="712F0D35">
        <w:rPr>
          <w:rFonts w:eastAsia="Calibri"/>
        </w:rPr>
        <w:t xml:space="preserve">The number of QPAMs affected in any given year is a function of the number of convictions covered by Section I(g) and the number of entities within a corporate family operating as QPAMs. As shown by past experience, this </w:t>
      </w:r>
      <w:r>
        <w:rPr>
          <w:rFonts w:eastAsia="Calibri"/>
        </w:rPr>
        <w:t xml:space="preserve">number </w:t>
      </w:r>
      <w:r w:rsidRPr="712F0D35">
        <w:rPr>
          <w:rFonts w:eastAsia="Calibri"/>
        </w:rPr>
        <w:t>is likely to fluctuate between years.</w:t>
      </w:r>
      <w:r w:rsidR="002C3F3D">
        <w:rPr>
          <w:rFonts w:eastAsia="Calibri"/>
        </w:rPr>
        <w:t xml:space="preserve"> Based on the Department’s experience, the Department estimates </w:t>
      </w:r>
      <w:r w:rsidRPr="712F0D35" w:rsidR="00AD7637">
        <w:rPr>
          <w:rFonts w:eastAsia="Calibri"/>
        </w:rPr>
        <w:t>that, on average, eight QPAMs each year will lose eligibility due to a Criminal Conviction.</w:t>
      </w:r>
      <w:r>
        <w:rPr>
          <w:rFonts w:eastAsia="Calibri"/>
          <w:vertAlign w:val="superscript"/>
        </w:rPr>
        <w:footnoteReference w:id="25"/>
      </w:r>
      <w:r w:rsidR="00AF44A2">
        <w:rPr>
          <w:rFonts w:eastAsia="Calibri"/>
        </w:rPr>
        <w:t xml:space="preserve"> </w:t>
      </w:r>
      <w:r w:rsidRPr="5653E293" w:rsidR="00AF44A2">
        <w:rPr>
          <w:rFonts w:eastAsia="Calibri"/>
        </w:rPr>
        <w:t>The Department’s expansion of the ineligibility provision to include Prohibited Misconduct under Subsection I(g)(</w:t>
      </w:r>
      <w:r w:rsidR="00D24257">
        <w:rPr>
          <w:rFonts w:eastAsia="Calibri"/>
        </w:rPr>
        <w:t>1</w:t>
      </w:r>
      <w:r w:rsidRPr="5653E293" w:rsidR="00AF44A2">
        <w:rPr>
          <w:rFonts w:eastAsia="Calibri"/>
        </w:rPr>
        <w:t>)(B) and Section VI(s) will likely increase the number of QPAMs that become ineligible under Section I(g).</w:t>
      </w:r>
      <w:r w:rsidR="00C0565F">
        <w:rPr>
          <w:rFonts w:eastAsia="Calibri"/>
        </w:rPr>
        <w:t xml:space="preserve"> </w:t>
      </w:r>
      <w:r w:rsidRPr="712F0D35" w:rsidR="00C0565F">
        <w:rPr>
          <w:rFonts w:eastAsia="Calibri"/>
        </w:rPr>
        <w:t xml:space="preserve">For the purposes of this analysis, the Department assumes </w:t>
      </w:r>
      <w:r w:rsidR="00C0565F">
        <w:rPr>
          <w:rFonts w:eastAsia="Calibri"/>
        </w:rPr>
        <w:t xml:space="preserve">four </w:t>
      </w:r>
      <w:r w:rsidRPr="712F0D35" w:rsidR="00C0565F">
        <w:rPr>
          <w:rFonts w:eastAsia="Calibri"/>
        </w:rPr>
        <w:t xml:space="preserve">additional </w:t>
      </w:r>
      <w:r w:rsidR="00C0565F">
        <w:rPr>
          <w:rFonts w:eastAsia="Calibri"/>
        </w:rPr>
        <w:t>QPAMs will become ineligible</w:t>
      </w:r>
      <w:r w:rsidR="005F1E75">
        <w:rPr>
          <w:rFonts w:eastAsia="Calibri"/>
        </w:rPr>
        <w:t xml:space="preserve">. Accordingly, </w:t>
      </w:r>
      <w:r w:rsidR="004E1D37">
        <w:rPr>
          <w:rFonts w:eastAsia="Calibri"/>
        </w:rPr>
        <w:t>in</w:t>
      </w:r>
      <w:r w:rsidRPr="00DB7701" w:rsidR="005F1E75">
        <w:rPr>
          <w:rFonts w:eastAsia="Calibri"/>
        </w:rPr>
        <w:t xml:space="preserve"> total, the Department estimates that 12 QPAMs, on average, will become ineligible due to a Criminal Conviction or Prohibited Misconduct annually.</w:t>
      </w:r>
    </w:p>
    <w:p w:rsidR="003B634D" w:rsidP="003B634D" w14:paraId="04514665" w14:textId="77777777">
      <w:pPr>
        <w:contextualSpacing/>
        <w:rPr>
          <w:color w:val="000000"/>
          <w:szCs w:val="20"/>
        </w:rPr>
      </w:pPr>
    </w:p>
    <w:p w:rsidR="003B634D" w:rsidP="00724460" w14:paraId="4ED06EFE" w14:textId="02FA7A27">
      <w:pPr>
        <w:contextualSpacing/>
      </w:pPr>
      <w:r w:rsidRPr="712F0D35">
        <w:t>In its analysis of the 2020 Form 5500, the Department estimates that there are 547,546 client Plans with QPAM relationships, resulting in an average of 50 client Plans per QPAM.</w:t>
      </w:r>
      <w:r>
        <w:rPr>
          <w:vertAlign w:val="superscript"/>
        </w:rPr>
        <w:footnoteReference w:id="26"/>
      </w:r>
      <w:r w:rsidRPr="712F0D35">
        <w:t xml:space="preserve"> The Department estimates </w:t>
      </w:r>
      <w:r>
        <w:t>that</w:t>
      </w:r>
      <w:r w:rsidRPr="712F0D35">
        <w:t xml:space="preserve"> a legal professional at each ineligible QPAM </w:t>
      </w:r>
      <w:r>
        <w:t xml:space="preserve">will spend one hour </w:t>
      </w:r>
      <w:r w:rsidRPr="712F0D35">
        <w:t>prepar</w:t>
      </w:r>
      <w:r>
        <w:t>ing</w:t>
      </w:r>
      <w:r w:rsidRPr="712F0D35">
        <w:t xml:space="preserve"> the notice and two minutes for</w:t>
      </w:r>
      <w:r w:rsidRPr="712F0D35">
        <w:t xml:space="preserve"> </w:t>
      </w:r>
      <w:r w:rsidRPr="712F0D35">
        <w:t xml:space="preserve">clerical personnel </w:t>
      </w:r>
      <w:r>
        <w:t xml:space="preserve">will spend two minutes </w:t>
      </w:r>
      <w:r w:rsidRPr="712F0D35">
        <w:t>prepar</w:t>
      </w:r>
      <w:r>
        <w:t>ing</w:t>
      </w:r>
      <w:r w:rsidRPr="712F0D35">
        <w:t xml:space="preserve"> each notice </w:t>
      </w:r>
      <w:r>
        <w:t xml:space="preserve">to be </w:t>
      </w:r>
      <w:r w:rsidRPr="712F0D35">
        <w:t>sent to a Plan by mail, resulting in an hour burden of 22 hours with an equivalent cost of $1,971.</w:t>
      </w:r>
      <w:r>
        <w:rPr>
          <w:vertAlign w:val="superscript"/>
        </w:rPr>
        <w:footnoteReference w:id="27"/>
      </w:r>
    </w:p>
    <w:p w:rsidR="00820416" w:rsidP="003B634D" w14:paraId="1D514024" w14:textId="77777777">
      <w:pPr>
        <w:pStyle w:val="BodyText"/>
        <w:rPr>
          <w:szCs w:val="24"/>
        </w:rPr>
      </w:pPr>
    </w:p>
    <w:p w:rsidR="00820416" w:rsidRPr="00DB7701" w:rsidP="00820416" w14:paraId="7FF7A46E" w14:textId="491B9C2B">
      <w:pPr>
        <w:widowControl w:val="0"/>
        <w:contextualSpacing/>
        <w:outlineLvl w:val="2"/>
        <w:rPr>
          <w:bCs/>
          <w:i/>
          <w:iCs/>
        </w:rPr>
      </w:pPr>
      <w:r w:rsidRPr="00DB7701">
        <w:rPr>
          <w:bCs/>
          <w:i/>
          <w:iCs/>
        </w:rPr>
        <w:t xml:space="preserve">Notice to the Department of </w:t>
      </w:r>
      <w:r w:rsidR="00896BF5">
        <w:rPr>
          <w:bCs/>
          <w:i/>
          <w:iCs/>
        </w:rPr>
        <w:t>Prohibited</w:t>
      </w:r>
      <w:r w:rsidR="004B6F2B">
        <w:rPr>
          <w:bCs/>
          <w:i/>
          <w:iCs/>
        </w:rPr>
        <w:t xml:space="preserve"> Misconduct and Foreign </w:t>
      </w:r>
      <w:r w:rsidRPr="00DB7701">
        <w:rPr>
          <w:bCs/>
          <w:i/>
          <w:iCs/>
        </w:rPr>
        <w:t>NPAs or DPAs</w:t>
      </w:r>
    </w:p>
    <w:p w:rsidR="00820416" w:rsidP="00820416" w14:paraId="75868978" w14:textId="77777777">
      <w:pPr>
        <w:contextualSpacing/>
        <w:rPr>
          <w:rFonts w:eastAsia="Calibri"/>
        </w:rPr>
      </w:pPr>
    </w:p>
    <w:p w:rsidR="00820416" w:rsidRPr="000F06CE" w:rsidP="3353844A" w14:paraId="5A6C0B24" w14:textId="0B08A2D4">
      <w:pPr>
        <w:contextualSpacing/>
        <w:rPr>
          <w:rFonts w:cs="Courier New"/>
          <w:color w:val="000000"/>
        </w:rPr>
      </w:pPr>
      <w:r w:rsidRPr="712F0D35">
        <w:rPr>
          <w:rFonts w:eastAsia="Calibri"/>
        </w:rPr>
        <w:t>If a QPAM, an Affiliate, or owner</w:t>
      </w:r>
      <w:r>
        <w:rPr>
          <w:rFonts w:eastAsia="Calibri"/>
        </w:rPr>
        <w:t xml:space="preserve"> of a </w:t>
      </w:r>
      <w:r w:rsidRPr="003F65F9">
        <w:rPr>
          <w:rFonts w:eastAsia="Calibri"/>
        </w:rPr>
        <w:t xml:space="preserve">five </w:t>
      </w:r>
      <w:r w:rsidRPr="5760CAB9">
        <w:rPr>
          <w:rFonts w:eastAsia="Calibri"/>
        </w:rPr>
        <w:t xml:space="preserve">(5) </w:t>
      </w:r>
      <w:r w:rsidRPr="003F65F9">
        <w:rPr>
          <w:rFonts w:eastAsia="Calibri"/>
        </w:rPr>
        <w:t>percent or more</w:t>
      </w:r>
      <w:r>
        <w:rPr>
          <w:rFonts w:eastAsia="Calibri"/>
        </w:rPr>
        <w:t xml:space="preserve"> interest</w:t>
      </w:r>
      <w:r w:rsidRPr="712F0D35">
        <w:rPr>
          <w:rFonts w:eastAsia="Calibri"/>
        </w:rPr>
        <w:t xml:space="preserve"> </w:t>
      </w:r>
      <w:r>
        <w:rPr>
          <w:rFonts w:eastAsia="Calibri"/>
        </w:rPr>
        <w:t>in</w:t>
      </w:r>
      <w:r w:rsidRPr="712F0D35">
        <w:rPr>
          <w:rFonts w:eastAsia="Calibri"/>
        </w:rPr>
        <w:t xml:space="preserve"> a QPAM </w:t>
      </w:r>
      <w:r>
        <w:rPr>
          <w:rFonts w:eastAsia="Calibri"/>
        </w:rPr>
        <w:t xml:space="preserve">Participates </w:t>
      </w:r>
      <w:r w:rsidR="00EA3323">
        <w:rPr>
          <w:rFonts w:eastAsia="Calibri"/>
        </w:rPr>
        <w:t>I</w:t>
      </w:r>
      <w:r>
        <w:rPr>
          <w:rFonts w:eastAsia="Calibri"/>
        </w:rPr>
        <w:t xml:space="preserve">n Prohibited Misconduct or </w:t>
      </w:r>
      <w:r w:rsidRPr="712F0D35">
        <w:rPr>
          <w:rFonts w:eastAsia="Calibri"/>
        </w:rPr>
        <w:t>enters into a</w:t>
      </w:r>
      <w:r>
        <w:rPr>
          <w:rFonts w:eastAsia="Calibri"/>
        </w:rPr>
        <w:t xml:space="preserve"> foreign equivalent of an</w:t>
      </w:r>
      <w:r w:rsidRPr="712F0D35">
        <w:rPr>
          <w:rFonts w:eastAsia="Calibri"/>
        </w:rPr>
        <w:t xml:space="preserve"> NPA or DPA, the QPAM is required to provide notice to the Department.</w:t>
      </w:r>
      <w:r>
        <w:rPr>
          <w:rFonts w:eastAsia="Calibri"/>
        </w:rPr>
        <w:t xml:space="preserve"> </w:t>
      </w:r>
      <w:r w:rsidRPr="712F0D35" w:rsidR="452ACA34">
        <w:rPr>
          <w:rFonts w:eastAsia="Calibri"/>
        </w:rPr>
        <w:t xml:space="preserve">The Department does not have data on how frequently these entities enter into such agreements </w:t>
      </w:r>
      <w:r w:rsidR="007207E7">
        <w:rPr>
          <w:rFonts w:eastAsia="Calibri"/>
        </w:rPr>
        <w:t xml:space="preserve">or Participate in Prohibited Misconduct </w:t>
      </w:r>
      <w:r w:rsidRPr="712F0D35" w:rsidR="452ACA34">
        <w:rPr>
          <w:rFonts w:eastAsia="Calibri"/>
        </w:rPr>
        <w:t xml:space="preserve">but assumes it will be infrequent. For the purposes of this analysis, the Department assumes that </w:t>
      </w:r>
      <w:r w:rsidRPr="3353844A" w:rsidR="7FC4ADFD">
        <w:rPr>
          <w:rFonts w:eastAsia="Calibri"/>
        </w:rPr>
        <w:t xml:space="preserve">four </w:t>
      </w:r>
      <w:r w:rsidR="00FD7C58">
        <w:rPr>
          <w:rFonts w:eastAsia="Calibri"/>
        </w:rPr>
        <w:t xml:space="preserve">instances of Prohibited Misconduct or </w:t>
      </w:r>
      <w:r w:rsidRPr="712F0D35" w:rsidR="452ACA34">
        <w:rPr>
          <w:rFonts w:eastAsia="Calibri"/>
        </w:rPr>
        <w:t xml:space="preserve">agreements each year will require such a notice. </w:t>
      </w:r>
      <w:r w:rsidRPr="00DB7701" w:rsidR="452ACA34">
        <w:rPr>
          <w:rFonts w:cs="Courier New"/>
          <w:color w:val="000000"/>
        </w:rPr>
        <w:t>The Department estimates that this will result in a cost of approximately $</w:t>
      </w:r>
      <w:r w:rsidR="000025A5">
        <w:rPr>
          <w:rFonts w:cs="Courier New"/>
          <w:color w:val="000000"/>
        </w:rPr>
        <w:t>340</w:t>
      </w:r>
      <w:r w:rsidRPr="00DB7701" w:rsidR="452ACA34">
        <w:rPr>
          <w:rFonts w:cs="Courier New"/>
          <w:color w:val="000000"/>
        </w:rPr>
        <w:t>.</w:t>
      </w:r>
      <w:r>
        <w:rPr>
          <w:rFonts w:cs="Courier New"/>
          <w:color w:val="000000"/>
          <w:vertAlign w:val="superscript"/>
        </w:rPr>
        <w:footnoteReference w:id="28"/>
      </w:r>
    </w:p>
    <w:p w:rsidR="00820416" w:rsidP="00724460" w14:paraId="3EB50C8A" w14:textId="77777777"/>
    <w:p w:rsidR="00820416" w:rsidRPr="00DB7701" w:rsidP="00820416" w14:paraId="7DF45597" w14:textId="655B5556">
      <w:pPr>
        <w:widowControl w:val="0"/>
        <w:contextualSpacing/>
        <w:outlineLvl w:val="2"/>
        <w:rPr>
          <w:bCs/>
          <w:i/>
          <w:iCs/>
        </w:rPr>
      </w:pPr>
      <w:r w:rsidRPr="00DB7701">
        <w:rPr>
          <w:bCs/>
          <w:i/>
          <w:iCs/>
        </w:rPr>
        <w:t>Requesting an Individual Exemption – Section I(</w:t>
      </w:r>
      <w:r w:rsidR="00C17499">
        <w:rPr>
          <w:bCs/>
          <w:i/>
          <w:iCs/>
        </w:rPr>
        <w:t>j</w:t>
      </w:r>
      <w:r w:rsidRPr="00DB7701">
        <w:rPr>
          <w:bCs/>
          <w:i/>
          <w:iCs/>
        </w:rPr>
        <w:t>)</w:t>
      </w:r>
    </w:p>
    <w:p w:rsidR="00820416" w:rsidP="00820416" w14:paraId="377DE4D0" w14:textId="77777777">
      <w:pPr>
        <w:contextualSpacing/>
      </w:pPr>
    </w:p>
    <w:p w:rsidR="00820416" w:rsidP="00820416" w14:paraId="2184892E" w14:textId="7DF8A49B">
      <w:pPr>
        <w:contextualSpacing/>
        <w:rPr>
          <w:rFonts w:eastAsia="Calibri"/>
        </w:rPr>
      </w:pPr>
      <w:r>
        <w:rPr>
          <w:rFonts w:eastAsia="Calibri"/>
        </w:rPr>
        <w:t>A Conviction</w:t>
      </w:r>
      <w:r w:rsidR="00325FA3">
        <w:rPr>
          <w:rFonts w:eastAsia="Calibri"/>
        </w:rPr>
        <w:t xml:space="preserve"> or </w:t>
      </w:r>
      <w:r>
        <w:rPr>
          <w:rFonts w:eastAsia="Calibri"/>
        </w:rPr>
        <w:t xml:space="preserve">Participating In </w:t>
      </w:r>
      <w:r w:rsidRPr="712F0D35">
        <w:rPr>
          <w:rFonts w:eastAsia="Calibri"/>
        </w:rPr>
        <w:t>Prohibited Misconduct</w:t>
      </w:r>
      <w:r w:rsidR="008E72F3">
        <w:rPr>
          <w:rFonts w:eastAsia="Calibri"/>
        </w:rPr>
        <w:t>,</w:t>
      </w:r>
      <w:r w:rsidRPr="712F0D35">
        <w:rPr>
          <w:rFonts w:eastAsia="Calibri"/>
        </w:rPr>
        <w:t xml:space="preserve"> could lead a QPAM to request an individual exemption. The burden for filing an application requesting an individual exemption is included in the ICR for the Exemption Procedure Regulation, which has been approved under OMB Control Number 1210-0060. Instead of amending that ICR, the estimated burden for applications from QPAMs </w:t>
      </w:r>
      <w:r w:rsidR="00AF50AD">
        <w:rPr>
          <w:rFonts w:eastAsia="Calibri"/>
        </w:rPr>
        <w:t xml:space="preserve">becoming ineligible due to a Conviction or </w:t>
      </w:r>
      <w:r w:rsidR="004B11C7">
        <w:rPr>
          <w:rFonts w:eastAsia="Calibri"/>
        </w:rPr>
        <w:t>for Participating In</w:t>
      </w:r>
      <w:r w:rsidRPr="712F0D35">
        <w:rPr>
          <w:rFonts w:eastAsia="Calibri"/>
        </w:rPr>
        <w:t xml:space="preserve"> Prohibited Misconduct is included here.</w:t>
      </w:r>
      <w:r>
        <w:rPr>
          <w:rFonts w:eastAsia="Calibri"/>
          <w:vertAlign w:val="superscript"/>
        </w:rPr>
        <w:footnoteReference w:id="29"/>
      </w:r>
      <w:r w:rsidRPr="712F0D35">
        <w:rPr>
          <w:rFonts w:eastAsia="Calibri"/>
        </w:rPr>
        <w:t xml:space="preserve"> </w:t>
      </w:r>
    </w:p>
    <w:p w:rsidR="00820416" w:rsidRPr="00DB7701" w:rsidP="00820416" w14:paraId="17C1D122" w14:textId="77777777">
      <w:pPr>
        <w:contextualSpacing/>
        <w:rPr>
          <w:rFonts w:eastAsia="Calibri"/>
        </w:rPr>
      </w:pPr>
    </w:p>
    <w:p w:rsidR="00820416" w:rsidRPr="00DB7701" w:rsidP="00820416" w14:paraId="748F5EFB" w14:textId="61D5F324">
      <w:pPr>
        <w:contextualSpacing/>
        <w:rPr>
          <w:rFonts w:eastAsia="Calibri"/>
        </w:rPr>
      </w:pPr>
      <w:r w:rsidRPr="712F0D35">
        <w:rPr>
          <w:rFonts w:eastAsia="Calibri"/>
        </w:rPr>
        <w:t xml:space="preserve">The Department estimates that there will, on average, be one application each year related to </w:t>
      </w:r>
      <w:r w:rsidR="00200FF5">
        <w:rPr>
          <w:rFonts w:eastAsia="Calibri"/>
        </w:rPr>
        <w:t xml:space="preserve">Convictions or </w:t>
      </w:r>
      <w:r w:rsidRPr="712F0D35">
        <w:rPr>
          <w:rFonts w:eastAsia="Calibri"/>
        </w:rPr>
        <w:t>Prohibited Misconduct, affecting four QPAMs. The Department estimates that gathering and preparing the information for the application will take, on average, 20 hours of in-house legal professional labor and 20 hours of clerical personnel labor at each QPAM. The Department assumes that the application will be prepared by an outside legal professional specializing in such matters. The Department estimates that it will require 15 hours, on average, of outside legal professional labor to prepare the application. For the four QPAMs losing eligibility due to Prohibited Misconduct, this will result in an hour burden of 175 hours with an equivalent cost of $25,861.</w:t>
      </w:r>
      <w:r>
        <w:rPr>
          <w:rFonts w:eastAsia="Calibri"/>
          <w:vertAlign w:val="superscript"/>
        </w:rPr>
        <w:footnoteReference w:id="30"/>
      </w:r>
    </w:p>
    <w:p w:rsidR="00820416" w:rsidP="00820416" w14:paraId="4608AFA7" w14:textId="77777777">
      <w:pPr>
        <w:contextualSpacing/>
        <w:rPr>
          <w:rFonts w:eastAsia="Calibri"/>
        </w:rPr>
      </w:pPr>
    </w:p>
    <w:p w:rsidR="00820416" w:rsidRPr="000F06CE" w:rsidP="00820416" w14:paraId="3B3BC902" w14:textId="0D9B3818">
      <w:pPr>
        <w:contextualSpacing/>
        <w:rPr>
          <w:rFonts w:cs="Courier New"/>
          <w:color w:val="000000"/>
        </w:rPr>
      </w:pPr>
      <w:r w:rsidRPr="712F0D35">
        <w:rPr>
          <w:rFonts w:eastAsia="Calibri"/>
        </w:rPr>
        <w:t xml:space="preserve">For applications that reach the stage of publication </w:t>
      </w:r>
      <w:r w:rsidRPr="712F0D35">
        <w:rPr>
          <w:rFonts w:eastAsia="Calibri"/>
        </w:rPr>
        <w:t>of a proposed</w:t>
      </w:r>
      <w:r>
        <w:rPr>
          <w:rFonts w:eastAsia="Calibri"/>
        </w:rPr>
        <w:t xml:space="preserve"> individual</w:t>
      </w:r>
      <w:r w:rsidRPr="712F0D35">
        <w:rPr>
          <w:rFonts w:eastAsia="Calibri"/>
        </w:rPr>
        <w:t xml:space="preserve"> exemption </w:t>
      </w:r>
      <w:r w:rsidRPr="712F0D35">
        <w:rPr>
          <w:rFonts w:eastAsia="Calibri"/>
        </w:rPr>
        <w:t xml:space="preserve">in the </w:t>
      </w:r>
      <w:r w:rsidRPr="6CCCBF95">
        <w:rPr>
          <w:rFonts w:eastAsia="Calibri"/>
          <w:i/>
          <w:iCs/>
        </w:rPr>
        <w:t>Federal Register</w:t>
      </w:r>
      <w:r w:rsidRPr="712F0D35">
        <w:rPr>
          <w:rFonts w:eastAsia="Calibri"/>
        </w:rPr>
        <w:t>, a notice must be prepared and distributed to interested parties</w:t>
      </w:r>
      <w:r w:rsidRPr="712F0D35">
        <w:rPr>
          <w:rFonts w:eastAsia="Calibri"/>
        </w:rPr>
        <w:t>. Similarly, if the exemption is ultimately granted, each of these four QPAMs will be required to send an objective description of the facts and circumstances upon which the misconduct is based to each client Plan. The Department estimates that</w:t>
      </w:r>
      <w:r w:rsidRPr="712F0D35">
        <w:rPr>
          <w:rFonts w:eastAsia="Calibri"/>
        </w:rPr>
        <w:t xml:space="preserve"> approximately </w:t>
      </w:r>
      <w:r w:rsidRPr="712F0D35">
        <w:rPr>
          <w:rFonts w:eastAsia="Calibri"/>
        </w:rPr>
        <w:t>200 notices will be distributed annually, corresponding to an average of 50 client Plans for each of the four QPAMs estimated to be affected by the application. The Department estimates that it will take 10 minutes for clerical personnel to distribute the notices and objective descriptions, resulting in an hour burden of 3</w:t>
      </w:r>
      <w:r w:rsidR="002F666B">
        <w:rPr>
          <w:rFonts w:eastAsia="Calibri"/>
        </w:rPr>
        <w:t>3</w:t>
      </w:r>
      <w:r w:rsidRPr="712F0D35">
        <w:rPr>
          <w:rFonts w:eastAsia="Calibri"/>
        </w:rPr>
        <w:t xml:space="preserve"> hours with an equivalent cost of approximately $2,116.</w:t>
      </w:r>
      <w:r>
        <w:rPr>
          <w:rFonts w:eastAsia="Calibri"/>
          <w:vertAlign w:val="superscript"/>
        </w:rPr>
        <w:footnoteReference w:id="31"/>
      </w:r>
      <w:r w:rsidRPr="712F0D35">
        <w:rPr>
          <w:rFonts w:eastAsia="Calibri"/>
        </w:rPr>
        <w:t xml:space="preserve"> </w:t>
      </w:r>
    </w:p>
    <w:p w:rsidR="00820416" w:rsidP="00724460" w14:paraId="2D61216F" w14:textId="77777777"/>
    <w:p w:rsidR="00820416" w:rsidRPr="00DB7701" w:rsidP="00820416" w14:paraId="7F9B1515" w14:textId="62248076">
      <w:pPr>
        <w:widowControl w:val="0"/>
        <w:contextualSpacing/>
        <w:outlineLvl w:val="2"/>
        <w:rPr>
          <w:bCs/>
          <w:i/>
          <w:iCs/>
        </w:rPr>
      </w:pPr>
      <w:r w:rsidRPr="00DB7701">
        <w:rPr>
          <w:bCs/>
          <w:i/>
          <w:iCs/>
        </w:rPr>
        <w:t>Additional Requirement for QPAMs Requesting an Individual Exemption</w:t>
      </w:r>
    </w:p>
    <w:p w:rsidR="00820416" w:rsidP="00820416" w14:paraId="5CADC590" w14:textId="77777777">
      <w:pPr>
        <w:contextualSpacing/>
        <w:rPr>
          <w:rFonts w:cs="Courier New"/>
          <w:color w:val="000000"/>
        </w:rPr>
      </w:pPr>
    </w:p>
    <w:p w:rsidR="00820416" w:rsidP="00820416" w14:paraId="7B84D224" w14:textId="70DA360F">
      <w:pPr>
        <w:contextualSpacing/>
        <w:rPr>
          <w:rFonts w:eastAsia="Calibri"/>
        </w:rPr>
      </w:pPr>
      <w:r w:rsidRPr="00DB7701">
        <w:rPr>
          <w:rFonts w:cs="Courier New"/>
          <w:color w:val="000000"/>
        </w:rPr>
        <w:t>New Section I(</w:t>
      </w:r>
      <w:r w:rsidR="007A3359">
        <w:rPr>
          <w:rFonts w:cs="Courier New"/>
          <w:color w:val="000000"/>
        </w:rPr>
        <w:t>j</w:t>
      </w:r>
      <w:r w:rsidRPr="00DB7701">
        <w:rPr>
          <w:rFonts w:cs="Courier New"/>
          <w:color w:val="000000"/>
        </w:rPr>
        <w:t xml:space="preserve">) indicates that a QPAM that is ineligible or anticipates that it will become ineligible due to an actual or possible Criminal Conviction </w:t>
      </w:r>
      <w:r w:rsidR="007A3359">
        <w:rPr>
          <w:rFonts w:cs="Courier New"/>
          <w:color w:val="000000"/>
        </w:rPr>
        <w:t xml:space="preserve">or for Participating In Prohibited Misconduct </w:t>
      </w:r>
      <w:r w:rsidRPr="00DB7701">
        <w:rPr>
          <w:rFonts w:cs="Courier New"/>
          <w:color w:val="000000"/>
        </w:rPr>
        <w:t xml:space="preserve">may apply for an individual exemption from the Department to continue to rely on the relief provided in this exemption for a longer period than the one-year winding-down period. In such an event, an applicant should </w:t>
      </w:r>
      <w:bookmarkStart w:id="3" w:name="_Hlk98947857"/>
      <w:r w:rsidRPr="00DB7701">
        <w:rPr>
          <w:rFonts w:cs="Courier New"/>
          <w:color w:val="000000"/>
        </w:rPr>
        <w:t>review the Department’s most recently granted individual exemptions involving Section I(g) ineligibility</w:t>
      </w:r>
      <w:bookmarkEnd w:id="3"/>
      <w:r w:rsidRPr="00DB7701">
        <w:rPr>
          <w:rFonts w:cs="Courier New"/>
          <w:color w:val="000000"/>
        </w:rPr>
        <w:t xml:space="preserve">. </w:t>
      </w:r>
      <w:bookmarkStart w:id="4" w:name="_Hlk98931690"/>
      <w:r w:rsidRPr="00DB7701">
        <w:rPr>
          <w:rFonts w:cs="Courier New"/>
          <w:color w:val="000000"/>
        </w:rPr>
        <w:t>If an applicant requests the Department to exclude any term or condition from its exemption that is included in a recently granted individual exemption, the applicant must include a detailed statement with its exemption application explaining the reason(s) why the variation is necessary and in the interest and protective of affected Plans and their participants and beneficiaries.</w:t>
      </w:r>
      <w:r w:rsidRPr="712F0D35">
        <w:rPr>
          <w:rFonts w:eastAsia="Calibri"/>
        </w:rPr>
        <w:t xml:space="preserve"> For the three applications covering the 12 </w:t>
      </w:r>
      <w:r w:rsidRPr="712F0D35">
        <w:rPr>
          <w:rFonts w:eastAsia="Calibri"/>
        </w:rPr>
        <w:t>ineligible QPAMs, the burden is estimated to be 9 hours with an equivalent cost of $4,823.</w:t>
      </w:r>
      <w:r>
        <w:rPr>
          <w:rFonts w:eastAsia="Calibri"/>
          <w:vertAlign w:val="superscript"/>
        </w:rPr>
        <w:footnoteReference w:id="32"/>
      </w:r>
    </w:p>
    <w:p w:rsidR="00820416" w:rsidRPr="00DB7701" w:rsidP="00820416" w14:paraId="46FF6821" w14:textId="77777777">
      <w:pPr>
        <w:contextualSpacing/>
        <w:rPr>
          <w:rFonts w:cs="Courier New"/>
          <w:color w:val="000000"/>
          <w:szCs w:val="20"/>
        </w:rPr>
      </w:pPr>
    </w:p>
    <w:p w:rsidR="00820416" w:rsidRPr="00DB7701" w:rsidP="00820416" w14:paraId="317EB7AC" w14:textId="19F84246">
      <w:pPr>
        <w:contextualSpacing/>
        <w:rPr>
          <w:rFonts w:eastAsia="Calibri"/>
        </w:rPr>
      </w:pPr>
      <w:r w:rsidRPr="00DB7701">
        <w:rPr>
          <w:rFonts w:cs="Courier New"/>
          <w:color w:val="000000" w:themeColor="text1"/>
        </w:rPr>
        <w:t>Such applicants also should provide detailed information in their applications quantifying the specific cost or harms in dollar amounts</w:t>
      </w:r>
      <w:bookmarkEnd w:id="4"/>
      <w:r w:rsidRPr="00DB7701">
        <w:rPr>
          <w:rFonts w:cs="Courier New"/>
          <w:color w:val="000000" w:themeColor="text1"/>
        </w:rPr>
        <w:t xml:space="preserve">, if any, Plans would suffer if a QPAM could not rely on the exemption after the </w:t>
      </w:r>
      <w:r w:rsidR="00113C83">
        <w:rPr>
          <w:rFonts w:cs="Courier New"/>
          <w:color w:val="000000" w:themeColor="text1"/>
        </w:rPr>
        <w:t>Transition</w:t>
      </w:r>
      <w:r w:rsidRPr="00DB7701">
        <w:rPr>
          <w:rFonts w:cs="Courier New"/>
          <w:color w:val="000000" w:themeColor="text1"/>
        </w:rPr>
        <w:t xml:space="preserve"> </w:t>
      </w:r>
      <w:r>
        <w:rPr>
          <w:rFonts w:cs="Courier New"/>
          <w:color w:val="000000" w:themeColor="text1"/>
        </w:rPr>
        <w:t>P</w:t>
      </w:r>
      <w:r w:rsidRPr="00DB7701">
        <w:rPr>
          <w:rFonts w:cs="Courier New"/>
          <w:color w:val="000000" w:themeColor="text1"/>
        </w:rPr>
        <w:t xml:space="preserve">eriod, including the specific dollar amounts of investment losses resulting from foregone investment opportunities and any evidence supporting the proposition that investment opportunities would only be available to Plans on less advantageous terms. </w:t>
      </w:r>
      <w:r w:rsidRPr="712F0D35">
        <w:rPr>
          <w:rFonts w:cs="Courier New"/>
          <w:color w:val="000000"/>
        </w:rPr>
        <w:t xml:space="preserve">All three applications will need to include this information if they submit an exemption application. The Department estimates that it will require </w:t>
      </w:r>
      <w:r w:rsidRPr="712F0D35">
        <w:rPr>
          <w:rFonts w:eastAsia="Calibri"/>
        </w:rPr>
        <w:t xml:space="preserve">four hours of a financial professional’s time to prepare such </w:t>
      </w:r>
      <w:r>
        <w:rPr>
          <w:rFonts w:eastAsia="Calibri"/>
        </w:rPr>
        <w:t>information</w:t>
      </w:r>
      <w:r w:rsidRPr="712F0D35">
        <w:rPr>
          <w:rFonts w:cs="Courier New"/>
          <w:color w:val="000000"/>
        </w:rPr>
        <w:t xml:space="preserve">. </w:t>
      </w:r>
      <w:r w:rsidRPr="712F0D35">
        <w:rPr>
          <w:rFonts w:eastAsia="Calibri"/>
        </w:rPr>
        <w:t>Therefore, for the three applications covering the estimated 12 QPAMs losing eligibility annually, the cost associated with the additional requirement results in an hour burden of 12 hours with an equivalent cost of $2,288.</w:t>
      </w:r>
      <w:r>
        <w:rPr>
          <w:vertAlign w:val="superscript"/>
        </w:rPr>
        <w:footnoteReference w:id="33"/>
      </w:r>
    </w:p>
    <w:p w:rsidR="00820416" w:rsidP="003B634D" w14:paraId="62E66CE6" w14:textId="77777777">
      <w:pPr>
        <w:pStyle w:val="BodyText"/>
      </w:pPr>
    </w:p>
    <w:p w:rsidR="00D010B4" w:rsidRPr="00DB7701" w:rsidP="00D010B4" w14:paraId="34D34528" w14:textId="77777777">
      <w:pPr>
        <w:widowControl w:val="0"/>
        <w:contextualSpacing/>
        <w:outlineLvl w:val="2"/>
        <w:rPr>
          <w:bCs/>
          <w:i/>
          <w:iCs/>
        </w:rPr>
      </w:pPr>
      <w:r>
        <w:rPr>
          <w:bCs/>
          <w:i/>
          <w:iCs/>
        </w:rPr>
        <w:t>Summary</w:t>
      </w:r>
    </w:p>
    <w:p w:rsidR="00D010B4" w:rsidRPr="00486710" w:rsidP="003B634D" w14:paraId="1BD8A633" w14:textId="77777777">
      <w:pPr>
        <w:pStyle w:val="BodyText"/>
      </w:pPr>
    </w:p>
    <w:p w:rsidR="005133AD" w:rsidRPr="00486710" w:rsidP="000401EC" w14:paraId="488088F0" w14:textId="7737C28C">
      <w:pPr>
        <w:pStyle w:val="BodyText"/>
      </w:pPr>
      <w:r w:rsidRPr="00486710">
        <w:t xml:space="preserve">In summary, the Department estimates that the total hour burden imposed by the existing exemption and </w:t>
      </w:r>
      <w:r w:rsidR="004700A1">
        <w:t>P</w:t>
      </w:r>
      <w:r w:rsidRPr="00486710">
        <w:t xml:space="preserve">roposed </w:t>
      </w:r>
      <w:r w:rsidR="004700A1">
        <w:t>A</w:t>
      </w:r>
      <w:r w:rsidRPr="00486710">
        <w:t xml:space="preserve">mendment is approximately </w:t>
      </w:r>
      <w:r w:rsidRPr="00724460" w:rsidR="003742FC">
        <w:t>15,35</w:t>
      </w:r>
      <w:r w:rsidR="00BB34AD">
        <w:t>3</w:t>
      </w:r>
      <w:r w:rsidRPr="00486710" w:rsidR="00AF2FC1">
        <w:t xml:space="preserve"> </w:t>
      </w:r>
      <w:r w:rsidRPr="00486710">
        <w:t>hours</w:t>
      </w:r>
      <w:r w:rsidRPr="00724460" w:rsidR="003742FC">
        <w:t xml:space="preserve"> in the first year and 12,55</w:t>
      </w:r>
      <w:r w:rsidR="00BB34AD">
        <w:t>9</w:t>
      </w:r>
      <w:r w:rsidRPr="00724460" w:rsidR="003742FC">
        <w:t xml:space="preserve"> hours in subsequent years</w:t>
      </w:r>
      <w:r w:rsidRPr="00486710">
        <w:t>.</w:t>
      </w:r>
      <w:r w:rsidR="0068062D">
        <w:t xml:space="preserve"> </w:t>
      </w:r>
      <w:r w:rsidRPr="00486710">
        <w:t xml:space="preserve">The total equivalent annual cost of this hour burden is </w:t>
      </w:r>
      <w:r w:rsidRPr="00486710" w:rsidR="00AF2FC1">
        <w:t>$</w:t>
      </w:r>
      <w:r w:rsidRPr="00724460" w:rsidR="00486710">
        <w:t>1,133,</w:t>
      </w:r>
      <w:r w:rsidR="008006D6">
        <w:t>778</w:t>
      </w:r>
      <w:r w:rsidRPr="00724460" w:rsidR="00486710">
        <w:t xml:space="preserve"> in the first year and $946,</w:t>
      </w:r>
      <w:r w:rsidR="008006D6">
        <w:t>191</w:t>
      </w:r>
      <w:r w:rsidRPr="00724460" w:rsidR="00486710">
        <w:t xml:space="preserve"> in subsequent years</w:t>
      </w:r>
      <w:r w:rsidRPr="00486710" w:rsidR="00E42BD7">
        <w:t>.</w:t>
      </w:r>
      <w:r w:rsidR="0041233C">
        <w:t xml:space="preserve"> The three-year average hour burden is</w:t>
      </w:r>
      <w:r w:rsidR="00D6697F">
        <w:t xml:space="preserve"> </w:t>
      </w:r>
      <w:r w:rsidR="0041233C">
        <w:t>13,4</w:t>
      </w:r>
      <w:r w:rsidR="00342A96">
        <w:t>90</w:t>
      </w:r>
      <w:r w:rsidR="0041233C">
        <w:t xml:space="preserve"> hours with an equivalent cost of </w:t>
      </w:r>
      <w:r w:rsidRPr="005D583D" w:rsidR="005D583D">
        <w:t>$1,008,</w:t>
      </w:r>
      <w:r w:rsidR="00342A96">
        <w:t>720</w:t>
      </w:r>
      <w:r w:rsidR="005D583D">
        <w:t>.</w:t>
      </w:r>
    </w:p>
    <w:p w:rsidR="00AF2FC1" w:rsidRPr="00724460" w:rsidP="000401EC" w14:paraId="18464EDA" w14:textId="77777777">
      <w:pPr>
        <w:rPr>
          <w:highlight w:val="yellow"/>
        </w:rPr>
      </w:pPr>
    </w:p>
    <w:tbl>
      <w:tblPr>
        <w:tblW w:w="10220" w:type="dxa"/>
        <w:tblLook w:val="04A0"/>
      </w:tblPr>
      <w:tblGrid>
        <w:gridCol w:w="1890"/>
        <w:gridCol w:w="1306"/>
        <w:gridCol w:w="1580"/>
        <w:gridCol w:w="1094"/>
        <w:gridCol w:w="1060"/>
        <w:gridCol w:w="1080"/>
        <w:gridCol w:w="970"/>
        <w:gridCol w:w="1240"/>
      </w:tblGrid>
      <w:tr w14:paraId="38DE6CC4" w14:textId="77777777" w:rsidTr="00C02CB8">
        <w:tblPrEx>
          <w:tblW w:w="10220" w:type="dxa"/>
          <w:tblLook w:val="04A0"/>
        </w:tblPrEx>
        <w:trPr>
          <w:trHeight w:val="255"/>
        </w:trPr>
        <w:tc>
          <w:tcPr>
            <w:tcW w:w="1022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02CB8" w:rsidRPr="00C02CB8" w:rsidP="00C02CB8" w14:paraId="4B8B44E2" w14:textId="77777777">
            <w:pPr>
              <w:autoSpaceDE/>
              <w:autoSpaceDN/>
              <w:adjustRightInd/>
              <w:ind w:left="0"/>
              <w:jc w:val="center"/>
              <w:rPr>
                <w:b/>
                <w:bCs/>
                <w:sz w:val="20"/>
                <w:szCs w:val="20"/>
              </w:rPr>
            </w:pPr>
            <w:r w:rsidRPr="00C02CB8">
              <w:rPr>
                <w:b/>
                <w:bCs/>
                <w:sz w:val="20"/>
                <w:szCs w:val="20"/>
              </w:rPr>
              <w:t>Table 1 - Estimated Annualized Respondent Hour Burden and Equivalent Cost of Hour Burden</w:t>
            </w:r>
          </w:p>
        </w:tc>
      </w:tr>
      <w:tr w14:paraId="4E5CEABB" w14:textId="77777777" w:rsidTr="00166307">
        <w:tblPrEx>
          <w:tblW w:w="10220" w:type="dxa"/>
          <w:tblLook w:val="04A0"/>
        </w:tblPrEx>
        <w:trPr>
          <w:trHeight w:val="765"/>
        </w:trPr>
        <w:tc>
          <w:tcPr>
            <w:tcW w:w="1890" w:type="dxa"/>
            <w:tcBorders>
              <w:top w:val="nil"/>
              <w:left w:val="single" w:sz="4" w:space="0" w:color="auto"/>
              <w:bottom w:val="nil"/>
              <w:right w:val="single" w:sz="4" w:space="0" w:color="auto"/>
            </w:tcBorders>
            <w:shd w:val="clear" w:color="auto" w:fill="auto"/>
            <w:vAlign w:val="center"/>
            <w:hideMark/>
          </w:tcPr>
          <w:p w:rsidR="00C02CB8" w:rsidRPr="00C02CB8" w:rsidP="00C02CB8" w14:paraId="47FF6CCD" w14:textId="77777777">
            <w:pPr>
              <w:autoSpaceDE/>
              <w:autoSpaceDN/>
              <w:adjustRightInd/>
              <w:ind w:left="0"/>
              <w:jc w:val="center"/>
              <w:rPr>
                <w:b/>
                <w:bCs/>
                <w:color w:val="000000"/>
                <w:sz w:val="20"/>
                <w:szCs w:val="20"/>
              </w:rPr>
            </w:pPr>
            <w:r w:rsidRPr="00C02CB8">
              <w:rPr>
                <w:b/>
                <w:bCs/>
                <w:color w:val="000000"/>
                <w:sz w:val="20"/>
                <w:szCs w:val="20"/>
              </w:rPr>
              <w:t>Activity</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2CFDC6E5" w14:textId="77777777">
            <w:pPr>
              <w:autoSpaceDE/>
              <w:autoSpaceDN/>
              <w:adjustRightInd/>
              <w:ind w:left="0"/>
              <w:jc w:val="center"/>
              <w:rPr>
                <w:b/>
                <w:bCs/>
                <w:color w:val="000000"/>
                <w:sz w:val="20"/>
                <w:szCs w:val="20"/>
              </w:rPr>
            </w:pPr>
            <w:r w:rsidRPr="00C02CB8">
              <w:rPr>
                <w:b/>
                <w:bCs/>
                <w:color w:val="000000"/>
                <w:sz w:val="20"/>
                <w:szCs w:val="20"/>
              </w:rPr>
              <w:t xml:space="preserve"> No. of Respondents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1EC4118A" w14:textId="77777777">
            <w:pPr>
              <w:autoSpaceDE/>
              <w:autoSpaceDN/>
              <w:adjustRightInd/>
              <w:ind w:left="0"/>
              <w:jc w:val="center"/>
              <w:rPr>
                <w:b/>
                <w:bCs/>
                <w:sz w:val="20"/>
                <w:szCs w:val="20"/>
              </w:rPr>
            </w:pPr>
            <w:r w:rsidRPr="00C02CB8">
              <w:rPr>
                <w:b/>
                <w:bCs/>
                <w:sz w:val="20"/>
                <w:szCs w:val="20"/>
              </w:rPr>
              <w:t>No. of Responses per Respondent</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C02CB8" w14:paraId="62E1A682" w14:textId="77777777">
            <w:pPr>
              <w:autoSpaceDE/>
              <w:autoSpaceDN/>
              <w:adjustRightInd/>
              <w:ind w:left="0"/>
              <w:jc w:val="center"/>
              <w:rPr>
                <w:b/>
                <w:bCs/>
                <w:color w:val="000000"/>
                <w:sz w:val="20"/>
                <w:szCs w:val="20"/>
              </w:rPr>
            </w:pPr>
            <w:r w:rsidRPr="00C02CB8">
              <w:rPr>
                <w:b/>
                <w:bCs/>
                <w:color w:val="000000"/>
                <w:sz w:val="20"/>
                <w:szCs w:val="20"/>
              </w:rPr>
              <w:t>Total Responses</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05BDBF18" w14:textId="77777777">
            <w:pPr>
              <w:autoSpaceDE/>
              <w:autoSpaceDN/>
              <w:adjustRightInd/>
              <w:ind w:left="0"/>
              <w:jc w:val="center"/>
              <w:rPr>
                <w:b/>
                <w:bCs/>
                <w:color w:val="000000"/>
                <w:sz w:val="20"/>
                <w:szCs w:val="20"/>
              </w:rPr>
            </w:pPr>
            <w:r w:rsidRPr="00C02CB8">
              <w:rPr>
                <w:b/>
                <w:bCs/>
                <w:color w:val="000000"/>
                <w:sz w:val="20"/>
                <w:szCs w:val="20"/>
              </w:rPr>
              <w:t>Average Burden (Hours)</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5B58A47A" w14:textId="77777777">
            <w:pPr>
              <w:autoSpaceDE/>
              <w:autoSpaceDN/>
              <w:adjustRightInd/>
              <w:ind w:left="0"/>
              <w:jc w:val="center"/>
              <w:rPr>
                <w:b/>
                <w:bCs/>
                <w:color w:val="000000"/>
                <w:sz w:val="20"/>
                <w:szCs w:val="20"/>
              </w:rPr>
            </w:pPr>
            <w:r w:rsidRPr="00C02CB8">
              <w:rPr>
                <w:b/>
                <w:bCs/>
                <w:color w:val="000000"/>
                <w:sz w:val="20"/>
                <w:szCs w:val="20"/>
              </w:rPr>
              <w:t>Total Burden (Hours)</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72AAD554" w14:textId="77777777">
            <w:pPr>
              <w:autoSpaceDE/>
              <w:autoSpaceDN/>
              <w:adjustRightInd/>
              <w:ind w:left="0"/>
              <w:jc w:val="center"/>
              <w:rPr>
                <w:b/>
                <w:bCs/>
                <w:color w:val="000000"/>
                <w:sz w:val="20"/>
                <w:szCs w:val="20"/>
              </w:rPr>
            </w:pPr>
            <w:r w:rsidRPr="00C02CB8">
              <w:rPr>
                <w:b/>
                <w:bCs/>
                <w:color w:val="000000"/>
                <w:sz w:val="20"/>
                <w:szCs w:val="20"/>
              </w:rPr>
              <w:t xml:space="preserve"> Hourly Wage Rate </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1EC6DEC5" w14:textId="77777777">
            <w:pPr>
              <w:autoSpaceDE/>
              <w:autoSpaceDN/>
              <w:adjustRightInd/>
              <w:ind w:left="0"/>
              <w:jc w:val="center"/>
              <w:rPr>
                <w:b/>
                <w:bCs/>
                <w:color w:val="000000"/>
                <w:sz w:val="20"/>
                <w:szCs w:val="20"/>
              </w:rPr>
            </w:pPr>
            <w:r w:rsidRPr="00C02CB8">
              <w:rPr>
                <w:b/>
                <w:bCs/>
                <w:color w:val="000000"/>
                <w:sz w:val="20"/>
                <w:szCs w:val="20"/>
              </w:rPr>
              <w:t>Equivalent Cost of Hour Burden</w:t>
            </w:r>
          </w:p>
        </w:tc>
      </w:tr>
      <w:tr w14:paraId="40885274" w14:textId="77777777" w:rsidTr="00C02CB8">
        <w:tblPrEx>
          <w:tblW w:w="10220" w:type="dxa"/>
          <w:tblLook w:val="04A0"/>
        </w:tblPrEx>
        <w:trPr>
          <w:trHeight w:val="255"/>
        </w:trPr>
        <w:tc>
          <w:tcPr>
            <w:tcW w:w="10220" w:type="dxa"/>
            <w:gridSpan w:val="8"/>
            <w:tcBorders>
              <w:top w:val="single" w:sz="4" w:space="0" w:color="auto"/>
              <w:left w:val="single" w:sz="4" w:space="0" w:color="auto"/>
              <w:bottom w:val="single" w:sz="4" w:space="0" w:color="auto"/>
              <w:right w:val="single" w:sz="4" w:space="0" w:color="000000"/>
            </w:tcBorders>
            <w:shd w:val="clear" w:color="auto" w:fill="auto"/>
            <w:hideMark/>
          </w:tcPr>
          <w:p w:rsidR="00C02CB8" w:rsidRPr="00C02CB8" w:rsidP="00C02CB8" w14:paraId="5DA5E67E" w14:textId="77777777">
            <w:pPr>
              <w:autoSpaceDE/>
              <w:autoSpaceDN/>
              <w:adjustRightInd/>
              <w:ind w:left="0"/>
              <w:rPr>
                <w:b/>
                <w:bCs/>
                <w:color w:val="000000"/>
                <w:sz w:val="20"/>
                <w:szCs w:val="20"/>
              </w:rPr>
            </w:pPr>
            <w:r w:rsidRPr="00C02CB8">
              <w:rPr>
                <w:b/>
                <w:bCs/>
                <w:color w:val="000000"/>
                <w:sz w:val="20"/>
                <w:szCs w:val="20"/>
              </w:rPr>
              <w:t>First Year Hour Burden and Equivalent Cost</w:t>
            </w:r>
          </w:p>
        </w:tc>
      </w:tr>
      <w:tr w14:paraId="70C7113D" w14:textId="77777777" w:rsidTr="00C02CB8">
        <w:tblPrEx>
          <w:tblW w:w="10220" w:type="dxa"/>
          <w:tblLook w:val="04A0"/>
        </w:tblPrEx>
        <w:trPr>
          <w:trHeight w:val="255"/>
        </w:trPr>
        <w:tc>
          <w:tcPr>
            <w:tcW w:w="10220" w:type="dxa"/>
            <w:gridSpan w:val="8"/>
            <w:tcBorders>
              <w:top w:val="single" w:sz="4" w:space="0" w:color="auto"/>
              <w:left w:val="single" w:sz="4" w:space="0" w:color="auto"/>
              <w:bottom w:val="single" w:sz="4" w:space="0" w:color="auto"/>
              <w:right w:val="single" w:sz="4" w:space="0" w:color="000000"/>
            </w:tcBorders>
            <w:shd w:val="clear" w:color="auto" w:fill="auto"/>
            <w:hideMark/>
          </w:tcPr>
          <w:p w:rsidR="00C02CB8" w:rsidRPr="00C02CB8" w:rsidP="00C02CB8" w14:paraId="48D00E72" w14:textId="77777777">
            <w:pPr>
              <w:autoSpaceDE/>
              <w:autoSpaceDN/>
              <w:adjustRightInd/>
              <w:ind w:left="0"/>
              <w:rPr>
                <w:b/>
                <w:bCs/>
                <w:i/>
                <w:iCs/>
                <w:sz w:val="20"/>
                <w:szCs w:val="20"/>
              </w:rPr>
            </w:pPr>
            <w:r w:rsidRPr="00C02CB8">
              <w:rPr>
                <w:b/>
                <w:bCs/>
                <w:i/>
                <w:iCs/>
                <w:sz w:val="20"/>
                <w:szCs w:val="20"/>
              </w:rPr>
              <w:t>Policies and Procedures (In-House QPAMs)</w:t>
            </w:r>
          </w:p>
        </w:tc>
      </w:tr>
      <w:tr w14:paraId="24E20083" w14:textId="77777777" w:rsidTr="00166307">
        <w:tblPrEx>
          <w:tblW w:w="10220"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1FED4B98" w14:textId="77777777">
            <w:pPr>
              <w:autoSpaceDE/>
              <w:autoSpaceDN/>
              <w:adjustRightInd/>
              <w:ind w:left="0" w:firstLine="200" w:firstLineChars="100"/>
              <w:rPr>
                <w:sz w:val="20"/>
                <w:szCs w:val="20"/>
              </w:rPr>
            </w:pPr>
            <w:r w:rsidRPr="00C02CB8">
              <w:rPr>
                <w:sz w:val="20"/>
                <w:szCs w:val="20"/>
              </w:rPr>
              <w:t>Legal Professional</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6D79D890" w14:textId="3B669727">
            <w:pPr>
              <w:autoSpaceDE/>
              <w:autoSpaceDN/>
              <w:adjustRightInd/>
              <w:ind w:left="0"/>
              <w:jc w:val="center"/>
              <w:rPr>
                <w:sz w:val="20"/>
                <w:szCs w:val="20"/>
              </w:rPr>
            </w:pPr>
            <w:r w:rsidRPr="00C02CB8">
              <w:rPr>
                <w:sz w:val="20"/>
                <w:szCs w:val="20"/>
              </w:rPr>
              <w:t xml:space="preserve">5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7675FE0D" w14:textId="77777777">
            <w:pPr>
              <w:autoSpaceDE/>
              <w:autoSpaceDN/>
              <w:adjustRightInd/>
              <w:ind w:left="0"/>
              <w:jc w:val="right"/>
              <w:rPr>
                <w:sz w:val="20"/>
                <w:szCs w:val="20"/>
              </w:rPr>
            </w:pPr>
            <w:r w:rsidRPr="00C02CB8">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C02CB8" w14:paraId="27A02EBD" w14:textId="77777777">
            <w:pPr>
              <w:autoSpaceDE/>
              <w:autoSpaceDN/>
              <w:adjustRightInd/>
              <w:ind w:left="0"/>
              <w:jc w:val="right"/>
              <w:rPr>
                <w:sz w:val="20"/>
                <w:szCs w:val="20"/>
              </w:rPr>
            </w:pPr>
            <w:r w:rsidRPr="00C02CB8">
              <w:rPr>
                <w:sz w:val="20"/>
                <w:szCs w:val="20"/>
              </w:rPr>
              <w:t>5</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472DBF6F" w14:textId="6E945C9E">
            <w:pPr>
              <w:autoSpaceDE/>
              <w:autoSpaceDN/>
              <w:adjustRightInd/>
              <w:ind w:left="0"/>
              <w:jc w:val="right"/>
              <w:rPr>
                <w:sz w:val="20"/>
                <w:szCs w:val="20"/>
              </w:rPr>
            </w:pPr>
            <w:r w:rsidRPr="00C02CB8">
              <w:rPr>
                <w:sz w:val="20"/>
                <w:szCs w:val="20"/>
              </w:rPr>
              <w:t>1</w:t>
            </w:r>
            <w:r w:rsidR="0068062D">
              <w:rPr>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4115D6B2" w14:textId="77777777">
            <w:pPr>
              <w:autoSpaceDE/>
              <w:autoSpaceDN/>
              <w:adjustRightInd/>
              <w:ind w:left="0"/>
              <w:jc w:val="right"/>
              <w:rPr>
                <w:sz w:val="20"/>
                <w:szCs w:val="20"/>
              </w:rPr>
            </w:pPr>
            <w:r w:rsidRPr="00C02CB8">
              <w:rPr>
                <w:sz w:val="20"/>
                <w:szCs w:val="20"/>
              </w:rPr>
              <w:t>5</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7DDA4E8A" w14:textId="77777777">
            <w:pPr>
              <w:autoSpaceDE/>
              <w:autoSpaceDN/>
              <w:adjustRightInd/>
              <w:ind w:left="0"/>
              <w:jc w:val="right"/>
              <w:rPr>
                <w:sz w:val="20"/>
                <w:szCs w:val="20"/>
              </w:rPr>
            </w:pPr>
            <w:r w:rsidRPr="00C02CB8">
              <w:rPr>
                <w:sz w:val="20"/>
                <w:szCs w:val="20"/>
              </w:rPr>
              <w:t>$159.34</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3B040935" w14:textId="77777777">
            <w:pPr>
              <w:autoSpaceDE/>
              <w:autoSpaceDN/>
              <w:adjustRightInd/>
              <w:ind w:left="0"/>
              <w:jc w:val="right"/>
              <w:rPr>
                <w:sz w:val="20"/>
                <w:szCs w:val="20"/>
              </w:rPr>
            </w:pPr>
            <w:r w:rsidRPr="00C02CB8">
              <w:rPr>
                <w:sz w:val="20"/>
                <w:szCs w:val="20"/>
              </w:rPr>
              <w:t>$797</w:t>
            </w:r>
          </w:p>
        </w:tc>
      </w:tr>
      <w:tr w14:paraId="11E6DE76" w14:textId="77777777" w:rsidTr="00C02CB8">
        <w:tblPrEx>
          <w:tblW w:w="10220" w:type="dxa"/>
          <w:tblLook w:val="04A0"/>
        </w:tblPrEx>
        <w:trPr>
          <w:trHeight w:val="255"/>
        </w:trPr>
        <w:tc>
          <w:tcPr>
            <w:tcW w:w="10220" w:type="dxa"/>
            <w:gridSpan w:val="8"/>
            <w:tcBorders>
              <w:top w:val="single" w:sz="4" w:space="0" w:color="auto"/>
              <w:left w:val="single" w:sz="4" w:space="0" w:color="auto"/>
              <w:bottom w:val="single" w:sz="4" w:space="0" w:color="auto"/>
              <w:right w:val="single" w:sz="4" w:space="0" w:color="000000"/>
            </w:tcBorders>
            <w:shd w:val="clear" w:color="auto" w:fill="auto"/>
            <w:hideMark/>
          </w:tcPr>
          <w:p w:rsidR="00C02CB8" w:rsidRPr="00C02CB8" w:rsidP="00C02CB8" w14:paraId="0D3A554B" w14:textId="77777777">
            <w:pPr>
              <w:autoSpaceDE/>
              <w:autoSpaceDN/>
              <w:adjustRightInd/>
              <w:ind w:left="0"/>
              <w:rPr>
                <w:b/>
                <w:bCs/>
                <w:i/>
                <w:iCs/>
                <w:sz w:val="20"/>
                <w:szCs w:val="20"/>
              </w:rPr>
            </w:pPr>
            <w:r w:rsidRPr="00C02CB8">
              <w:rPr>
                <w:b/>
                <w:bCs/>
                <w:i/>
                <w:iCs/>
                <w:sz w:val="20"/>
                <w:szCs w:val="20"/>
              </w:rPr>
              <w:t>Annual Audit (In-House QPAMs)</w:t>
            </w:r>
          </w:p>
        </w:tc>
      </w:tr>
      <w:tr w14:paraId="47015CD4" w14:textId="77777777" w:rsidTr="00166307">
        <w:tblPrEx>
          <w:tblW w:w="10220"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60F121E4" w14:textId="77777777">
            <w:pPr>
              <w:autoSpaceDE/>
              <w:autoSpaceDN/>
              <w:adjustRightInd/>
              <w:ind w:left="0" w:firstLine="200" w:firstLineChars="100"/>
              <w:rPr>
                <w:sz w:val="20"/>
                <w:szCs w:val="20"/>
              </w:rPr>
            </w:pPr>
            <w:r w:rsidRPr="00C02CB8">
              <w:rPr>
                <w:sz w:val="20"/>
                <w:szCs w:val="20"/>
              </w:rPr>
              <w:t>Legal Professional</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1DAE1D8B" w14:textId="2D1BE3FB">
            <w:pPr>
              <w:autoSpaceDE/>
              <w:autoSpaceDN/>
              <w:adjustRightInd/>
              <w:ind w:left="0"/>
              <w:jc w:val="center"/>
              <w:rPr>
                <w:sz w:val="20"/>
                <w:szCs w:val="20"/>
              </w:rPr>
            </w:pPr>
            <w:r w:rsidRPr="00C02CB8">
              <w:rPr>
                <w:sz w:val="20"/>
                <w:szCs w:val="20"/>
              </w:rPr>
              <w:t xml:space="preserve">50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3BB01EAF" w14:textId="77777777">
            <w:pPr>
              <w:autoSpaceDE/>
              <w:autoSpaceDN/>
              <w:adjustRightInd/>
              <w:ind w:left="0"/>
              <w:jc w:val="right"/>
              <w:rPr>
                <w:sz w:val="20"/>
                <w:szCs w:val="20"/>
              </w:rPr>
            </w:pPr>
            <w:r w:rsidRPr="00C02CB8">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C02CB8" w14:paraId="6E95FA76" w14:textId="77777777">
            <w:pPr>
              <w:autoSpaceDE/>
              <w:autoSpaceDN/>
              <w:adjustRightInd/>
              <w:ind w:left="0"/>
              <w:jc w:val="right"/>
              <w:rPr>
                <w:sz w:val="20"/>
                <w:szCs w:val="20"/>
              </w:rPr>
            </w:pPr>
            <w:r w:rsidRPr="00C02CB8">
              <w:rPr>
                <w:sz w:val="20"/>
                <w:szCs w:val="20"/>
              </w:rPr>
              <w:t>50</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0AB6675F" w14:textId="5832372D">
            <w:pPr>
              <w:autoSpaceDE/>
              <w:autoSpaceDN/>
              <w:adjustRightInd/>
              <w:ind w:left="0"/>
              <w:jc w:val="right"/>
              <w:rPr>
                <w:sz w:val="20"/>
                <w:szCs w:val="20"/>
              </w:rPr>
            </w:pPr>
            <w:r w:rsidRPr="00C02CB8">
              <w:rPr>
                <w:sz w:val="20"/>
                <w:szCs w:val="20"/>
              </w:rPr>
              <w:t>5</w:t>
            </w:r>
            <w:r w:rsidR="0068062D">
              <w:rPr>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12A86D93" w14:textId="77777777">
            <w:pPr>
              <w:autoSpaceDE/>
              <w:autoSpaceDN/>
              <w:adjustRightInd/>
              <w:ind w:left="0"/>
              <w:jc w:val="right"/>
              <w:rPr>
                <w:sz w:val="20"/>
                <w:szCs w:val="20"/>
              </w:rPr>
            </w:pPr>
            <w:r w:rsidRPr="00C02CB8">
              <w:rPr>
                <w:sz w:val="20"/>
                <w:szCs w:val="20"/>
              </w:rPr>
              <w:t>250</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62804D82" w14:textId="77777777">
            <w:pPr>
              <w:autoSpaceDE/>
              <w:autoSpaceDN/>
              <w:adjustRightInd/>
              <w:ind w:left="0"/>
              <w:jc w:val="right"/>
              <w:rPr>
                <w:sz w:val="20"/>
                <w:szCs w:val="20"/>
              </w:rPr>
            </w:pPr>
            <w:r w:rsidRPr="00C02CB8">
              <w:rPr>
                <w:sz w:val="20"/>
                <w:szCs w:val="20"/>
              </w:rPr>
              <w:t>$159.34</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6F2A5B66" w14:textId="77777777">
            <w:pPr>
              <w:autoSpaceDE/>
              <w:autoSpaceDN/>
              <w:adjustRightInd/>
              <w:ind w:left="0"/>
              <w:jc w:val="right"/>
              <w:rPr>
                <w:sz w:val="20"/>
                <w:szCs w:val="20"/>
              </w:rPr>
            </w:pPr>
            <w:r w:rsidRPr="00C02CB8">
              <w:rPr>
                <w:sz w:val="20"/>
                <w:szCs w:val="20"/>
              </w:rPr>
              <w:t>$39,835</w:t>
            </w:r>
          </w:p>
        </w:tc>
      </w:tr>
      <w:tr w14:paraId="284998D0" w14:textId="77777777" w:rsidTr="00166307">
        <w:tblPrEx>
          <w:tblW w:w="10220"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1A5305C3" w14:textId="77777777">
            <w:pPr>
              <w:autoSpaceDE/>
              <w:autoSpaceDN/>
              <w:adjustRightInd/>
              <w:ind w:left="0" w:firstLine="200" w:firstLineChars="100"/>
              <w:rPr>
                <w:sz w:val="20"/>
                <w:szCs w:val="20"/>
              </w:rPr>
            </w:pPr>
            <w:r w:rsidRPr="00C02CB8">
              <w:rPr>
                <w:sz w:val="20"/>
                <w:szCs w:val="20"/>
              </w:rPr>
              <w:t>Financial Professional</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7E10CE05" w14:textId="56E580BB">
            <w:pPr>
              <w:autoSpaceDE/>
              <w:autoSpaceDN/>
              <w:adjustRightInd/>
              <w:ind w:left="0"/>
              <w:jc w:val="center"/>
              <w:rPr>
                <w:sz w:val="20"/>
                <w:szCs w:val="20"/>
              </w:rPr>
            </w:pPr>
            <w:r w:rsidRPr="00C02CB8">
              <w:rPr>
                <w:sz w:val="20"/>
                <w:szCs w:val="20"/>
              </w:rPr>
              <w:t xml:space="preserve">50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65BCA142" w14:textId="77777777">
            <w:pPr>
              <w:autoSpaceDE/>
              <w:autoSpaceDN/>
              <w:adjustRightInd/>
              <w:ind w:left="0"/>
              <w:jc w:val="right"/>
              <w:rPr>
                <w:sz w:val="20"/>
                <w:szCs w:val="20"/>
              </w:rPr>
            </w:pPr>
            <w:r w:rsidRPr="00C02CB8">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C02CB8" w14:paraId="10833C2B" w14:textId="77777777">
            <w:pPr>
              <w:autoSpaceDE/>
              <w:autoSpaceDN/>
              <w:adjustRightInd/>
              <w:ind w:left="0"/>
              <w:jc w:val="right"/>
              <w:rPr>
                <w:sz w:val="20"/>
                <w:szCs w:val="20"/>
              </w:rPr>
            </w:pPr>
            <w:r w:rsidRPr="00C02CB8">
              <w:rPr>
                <w:sz w:val="20"/>
                <w:szCs w:val="20"/>
              </w:rPr>
              <w:t>50</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15A7F346" w14:textId="11B19A83">
            <w:pPr>
              <w:autoSpaceDE/>
              <w:autoSpaceDN/>
              <w:adjustRightInd/>
              <w:ind w:left="0"/>
              <w:jc w:val="right"/>
              <w:rPr>
                <w:sz w:val="20"/>
                <w:szCs w:val="20"/>
              </w:rPr>
            </w:pPr>
            <w:r w:rsidRPr="00C02CB8">
              <w:rPr>
                <w:sz w:val="20"/>
                <w:szCs w:val="20"/>
              </w:rPr>
              <w:t>13</w:t>
            </w:r>
            <w:r w:rsidR="0068062D">
              <w:rPr>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672C7A00" w14:textId="77777777">
            <w:pPr>
              <w:autoSpaceDE/>
              <w:autoSpaceDN/>
              <w:adjustRightInd/>
              <w:ind w:left="0"/>
              <w:jc w:val="right"/>
              <w:rPr>
                <w:sz w:val="20"/>
                <w:szCs w:val="20"/>
              </w:rPr>
            </w:pPr>
            <w:r w:rsidRPr="00C02CB8">
              <w:rPr>
                <w:sz w:val="20"/>
                <w:szCs w:val="20"/>
              </w:rPr>
              <w:t>650</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30514D55" w14:textId="77777777">
            <w:pPr>
              <w:autoSpaceDE/>
              <w:autoSpaceDN/>
              <w:adjustRightInd/>
              <w:ind w:left="0"/>
              <w:jc w:val="right"/>
              <w:rPr>
                <w:sz w:val="20"/>
                <w:szCs w:val="20"/>
              </w:rPr>
            </w:pPr>
            <w:r w:rsidRPr="00C02CB8">
              <w:rPr>
                <w:sz w:val="20"/>
                <w:szCs w:val="20"/>
              </w:rPr>
              <w:t>$190.63</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3A108EF8" w14:textId="77777777">
            <w:pPr>
              <w:autoSpaceDE/>
              <w:autoSpaceDN/>
              <w:adjustRightInd/>
              <w:ind w:left="0"/>
              <w:jc w:val="right"/>
              <w:rPr>
                <w:sz w:val="20"/>
                <w:szCs w:val="20"/>
              </w:rPr>
            </w:pPr>
            <w:r w:rsidRPr="00C02CB8">
              <w:rPr>
                <w:sz w:val="20"/>
                <w:szCs w:val="20"/>
              </w:rPr>
              <w:t>$123,910</w:t>
            </w:r>
          </w:p>
        </w:tc>
      </w:tr>
      <w:tr w14:paraId="2F9C997F" w14:textId="77777777" w:rsidTr="00166307">
        <w:tblPrEx>
          <w:tblW w:w="10220"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2A781970" w14:textId="77777777">
            <w:pPr>
              <w:autoSpaceDE/>
              <w:autoSpaceDN/>
              <w:adjustRightInd/>
              <w:ind w:left="0" w:firstLine="200" w:firstLineChars="100"/>
              <w:rPr>
                <w:sz w:val="20"/>
                <w:szCs w:val="20"/>
              </w:rPr>
            </w:pPr>
            <w:r w:rsidRPr="00C02CB8">
              <w:rPr>
                <w:sz w:val="20"/>
                <w:szCs w:val="20"/>
              </w:rPr>
              <w:t>Clerical Worker</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5C74A82A" w14:textId="37ABD41D">
            <w:pPr>
              <w:autoSpaceDE/>
              <w:autoSpaceDN/>
              <w:adjustRightInd/>
              <w:ind w:left="0"/>
              <w:jc w:val="center"/>
              <w:rPr>
                <w:sz w:val="20"/>
                <w:szCs w:val="20"/>
              </w:rPr>
            </w:pPr>
            <w:r w:rsidRPr="00C02CB8">
              <w:rPr>
                <w:sz w:val="20"/>
                <w:szCs w:val="20"/>
              </w:rPr>
              <w:t xml:space="preserve">50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0264423B" w14:textId="77777777">
            <w:pPr>
              <w:autoSpaceDE/>
              <w:autoSpaceDN/>
              <w:adjustRightInd/>
              <w:ind w:left="0"/>
              <w:jc w:val="right"/>
              <w:rPr>
                <w:sz w:val="20"/>
                <w:szCs w:val="20"/>
              </w:rPr>
            </w:pPr>
            <w:r w:rsidRPr="00C02CB8">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C02CB8" w14:paraId="5B4D8548" w14:textId="77777777">
            <w:pPr>
              <w:autoSpaceDE/>
              <w:autoSpaceDN/>
              <w:adjustRightInd/>
              <w:ind w:left="0"/>
              <w:jc w:val="right"/>
              <w:rPr>
                <w:sz w:val="20"/>
                <w:szCs w:val="20"/>
              </w:rPr>
            </w:pPr>
            <w:r w:rsidRPr="00C02CB8">
              <w:rPr>
                <w:sz w:val="20"/>
                <w:szCs w:val="20"/>
              </w:rPr>
              <w:t>50</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47FF0FAC" w14:textId="05BF3CF1">
            <w:pPr>
              <w:autoSpaceDE/>
              <w:autoSpaceDN/>
              <w:adjustRightInd/>
              <w:ind w:left="0"/>
              <w:jc w:val="right"/>
              <w:rPr>
                <w:sz w:val="20"/>
                <w:szCs w:val="20"/>
              </w:rPr>
            </w:pPr>
            <w:r w:rsidRPr="00C02CB8">
              <w:rPr>
                <w:sz w:val="20"/>
                <w:szCs w:val="20"/>
              </w:rPr>
              <w:t>6</w:t>
            </w:r>
            <w:r w:rsidR="0068062D">
              <w:rPr>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1F091546" w14:textId="77777777">
            <w:pPr>
              <w:autoSpaceDE/>
              <w:autoSpaceDN/>
              <w:adjustRightInd/>
              <w:ind w:left="0"/>
              <w:jc w:val="right"/>
              <w:rPr>
                <w:sz w:val="20"/>
                <w:szCs w:val="20"/>
              </w:rPr>
            </w:pPr>
            <w:r w:rsidRPr="00C02CB8">
              <w:rPr>
                <w:sz w:val="20"/>
                <w:szCs w:val="20"/>
              </w:rPr>
              <w:t>300</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3A81E576" w14:textId="77777777">
            <w:pPr>
              <w:autoSpaceDE/>
              <w:autoSpaceDN/>
              <w:adjustRightInd/>
              <w:ind w:left="0"/>
              <w:jc w:val="right"/>
              <w:rPr>
                <w:sz w:val="20"/>
                <w:szCs w:val="20"/>
              </w:rPr>
            </w:pPr>
            <w:r w:rsidRPr="00C02CB8">
              <w:rPr>
                <w:sz w:val="20"/>
                <w:szCs w:val="20"/>
              </w:rPr>
              <w:t>$63.45</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244CC133" w14:textId="77777777">
            <w:pPr>
              <w:autoSpaceDE/>
              <w:autoSpaceDN/>
              <w:adjustRightInd/>
              <w:ind w:left="0"/>
              <w:jc w:val="right"/>
              <w:rPr>
                <w:sz w:val="20"/>
                <w:szCs w:val="20"/>
              </w:rPr>
            </w:pPr>
            <w:r w:rsidRPr="00C02CB8">
              <w:rPr>
                <w:sz w:val="20"/>
                <w:szCs w:val="20"/>
              </w:rPr>
              <w:t>$19,035</w:t>
            </w:r>
          </w:p>
        </w:tc>
      </w:tr>
      <w:tr w14:paraId="52C09869" w14:textId="77777777" w:rsidTr="00C02CB8">
        <w:tblPrEx>
          <w:tblW w:w="10220" w:type="dxa"/>
          <w:tblLook w:val="04A0"/>
        </w:tblPrEx>
        <w:trPr>
          <w:trHeight w:val="270"/>
        </w:trPr>
        <w:tc>
          <w:tcPr>
            <w:tcW w:w="10220" w:type="dxa"/>
            <w:gridSpan w:val="8"/>
            <w:tcBorders>
              <w:top w:val="single" w:sz="4" w:space="0" w:color="auto"/>
              <w:left w:val="single" w:sz="4" w:space="0" w:color="auto"/>
              <w:bottom w:val="single" w:sz="4" w:space="0" w:color="auto"/>
              <w:right w:val="single" w:sz="4" w:space="0" w:color="000000"/>
            </w:tcBorders>
            <w:shd w:val="clear" w:color="auto" w:fill="auto"/>
            <w:hideMark/>
          </w:tcPr>
          <w:p w:rsidR="00C02CB8" w:rsidRPr="00C02CB8" w:rsidP="00C02CB8" w14:paraId="25B95A0E" w14:textId="77777777">
            <w:pPr>
              <w:autoSpaceDE/>
              <w:autoSpaceDN/>
              <w:adjustRightInd/>
              <w:ind w:left="0"/>
              <w:rPr>
                <w:b/>
                <w:bCs/>
                <w:i/>
                <w:iCs/>
                <w:sz w:val="20"/>
                <w:szCs w:val="20"/>
              </w:rPr>
            </w:pPr>
            <w:r w:rsidRPr="00C02CB8">
              <w:rPr>
                <w:b/>
                <w:bCs/>
                <w:i/>
                <w:iCs/>
                <w:sz w:val="20"/>
                <w:szCs w:val="20"/>
              </w:rPr>
              <w:t>Notice to Plans</w:t>
            </w:r>
          </w:p>
        </w:tc>
      </w:tr>
      <w:tr w14:paraId="7D3504C8" w14:textId="77777777" w:rsidTr="00166307">
        <w:tblPrEx>
          <w:tblW w:w="10220"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41A3DF5E" w14:textId="77777777">
            <w:pPr>
              <w:autoSpaceDE/>
              <w:autoSpaceDN/>
              <w:adjustRightInd/>
              <w:ind w:left="0" w:firstLine="200" w:firstLineChars="100"/>
              <w:rPr>
                <w:sz w:val="20"/>
                <w:szCs w:val="20"/>
              </w:rPr>
            </w:pPr>
            <w:r w:rsidRPr="00C02CB8">
              <w:rPr>
                <w:sz w:val="20"/>
                <w:szCs w:val="20"/>
              </w:rPr>
              <w:t>Legal Professional</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46BCF037" w14:textId="2E802CAB">
            <w:pPr>
              <w:autoSpaceDE/>
              <w:autoSpaceDN/>
              <w:adjustRightInd/>
              <w:ind w:left="0"/>
              <w:jc w:val="center"/>
              <w:rPr>
                <w:sz w:val="20"/>
                <w:szCs w:val="20"/>
              </w:rPr>
            </w:pPr>
            <w:r w:rsidRPr="00C02CB8">
              <w:rPr>
                <w:sz w:val="20"/>
                <w:szCs w:val="20"/>
              </w:rPr>
              <w:t xml:space="preserve">12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59584A5E" w14:textId="77777777">
            <w:pPr>
              <w:autoSpaceDE/>
              <w:autoSpaceDN/>
              <w:adjustRightInd/>
              <w:ind w:left="0"/>
              <w:jc w:val="right"/>
              <w:rPr>
                <w:sz w:val="20"/>
                <w:szCs w:val="20"/>
              </w:rPr>
            </w:pPr>
            <w:r w:rsidRPr="00C02CB8">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C02CB8" w14:paraId="2B29D091" w14:textId="77777777">
            <w:pPr>
              <w:autoSpaceDE/>
              <w:autoSpaceDN/>
              <w:adjustRightInd/>
              <w:ind w:left="0"/>
              <w:jc w:val="right"/>
              <w:rPr>
                <w:sz w:val="20"/>
                <w:szCs w:val="20"/>
              </w:rPr>
            </w:pPr>
            <w:r w:rsidRPr="00C02CB8">
              <w:rPr>
                <w:sz w:val="20"/>
                <w:szCs w:val="20"/>
              </w:rPr>
              <w:t>12</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7E330B09" w14:textId="0B8267DD">
            <w:pPr>
              <w:autoSpaceDE/>
              <w:autoSpaceDN/>
              <w:adjustRightInd/>
              <w:ind w:left="0"/>
              <w:jc w:val="right"/>
              <w:rPr>
                <w:sz w:val="20"/>
                <w:szCs w:val="20"/>
              </w:rPr>
            </w:pPr>
            <w:r>
              <w:rPr>
                <w:sz w:val="20"/>
                <w:szCs w:val="20"/>
              </w:rPr>
              <w:t xml:space="preserve"> </w:t>
            </w:r>
            <w:r w:rsidRPr="00C02CB8">
              <w:rPr>
                <w:sz w:val="20"/>
                <w:szCs w:val="20"/>
              </w:rPr>
              <w:t>30/60</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073B5999" w14:textId="77777777">
            <w:pPr>
              <w:autoSpaceDE/>
              <w:autoSpaceDN/>
              <w:adjustRightInd/>
              <w:ind w:left="0"/>
              <w:jc w:val="right"/>
              <w:rPr>
                <w:sz w:val="20"/>
                <w:szCs w:val="20"/>
              </w:rPr>
            </w:pPr>
            <w:r w:rsidRPr="00C02CB8">
              <w:rPr>
                <w:sz w:val="20"/>
                <w:szCs w:val="20"/>
              </w:rPr>
              <w:t>6</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0AE909D8" w14:textId="77777777">
            <w:pPr>
              <w:autoSpaceDE/>
              <w:autoSpaceDN/>
              <w:adjustRightInd/>
              <w:ind w:left="0"/>
              <w:jc w:val="right"/>
              <w:rPr>
                <w:sz w:val="20"/>
                <w:szCs w:val="20"/>
              </w:rPr>
            </w:pPr>
            <w:r w:rsidRPr="00C02CB8">
              <w:rPr>
                <w:sz w:val="20"/>
                <w:szCs w:val="20"/>
              </w:rPr>
              <w:t>$159.34</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292B4CFB" w14:textId="77777777">
            <w:pPr>
              <w:autoSpaceDE/>
              <w:autoSpaceDN/>
              <w:adjustRightInd/>
              <w:ind w:left="0"/>
              <w:jc w:val="right"/>
              <w:rPr>
                <w:sz w:val="20"/>
                <w:szCs w:val="20"/>
              </w:rPr>
            </w:pPr>
            <w:r w:rsidRPr="00C02CB8">
              <w:rPr>
                <w:sz w:val="20"/>
                <w:szCs w:val="20"/>
              </w:rPr>
              <w:t>$956</w:t>
            </w:r>
          </w:p>
        </w:tc>
      </w:tr>
      <w:tr w14:paraId="1E092C6F" w14:textId="77777777" w:rsidTr="00166307">
        <w:tblPrEx>
          <w:tblW w:w="10220"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7605776C" w14:textId="77777777">
            <w:pPr>
              <w:autoSpaceDE/>
              <w:autoSpaceDN/>
              <w:adjustRightInd/>
              <w:ind w:left="0" w:firstLine="200" w:firstLineChars="100"/>
              <w:rPr>
                <w:sz w:val="20"/>
                <w:szCs w:val="20"/>
              </w:rPr>
            </w:pPr>
            <w:r w:rsidRPr="00C02CB8">
              <w:rPr>
                <w:sz w:val="20"/>
                <w:szCs w:val="20"/>
              </w:rPr>
              <w:t>Clerical Worker</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4AC3535C" w14:textId="063E57EB">
            <w:pPr>
              <w:autoSpaceDE/>
              <w:autoSpaceDN/>
              <w:adjustRightInd/>
              <w:ind w:left="0"/>
              <w:jc w:val="center"/>
              <w:rPr>
                <w:sz w:val="20"/>
                <w:szCs w:val="20"/>
              </w:rPr>
            </w:pPr>
            <w:r w:rsidRPr="00C02CB8">
              <w:rPr>
                <w:sz w:val="20"/>
                <w:szCs w:val="20"/>
              </w:rPr>
              <w:t xml:space="preserve">12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4261C444" w14:textId="77777777">
            <w:pPr>
              <w:autoSpaceDE/>
              <w:autoSpaceDN/>
              <w:adjustRightInd/>
              <w:ind w:left="0"/>
              <w:jc w:val="right"/>
              <w:rPr>
                <w:sz w:val="20"/>
                <w:szCs w:val="20"/>
              </w:rPr>
            </w:pPr>
            <w:r w:rsidRPr="00C02CB8">
              <w:rPr>
                <w:sz w:val="20"/>
                <w:szCs w:val="20"/>
              </w:rPr>
              <w:t>40</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C02CB8" w14:paraId="3BB3485C" w14:textId="77777777">
            <w:pPr>
              <w:autoSpaceDE/>
              <w:autoSpaceDN/>
              <w:adjustRightInd/>
              <w:ind w:left="0"/>
              <w:jc w:val="right"/>
              <w:rPr>
                <w:sz w:val="20"/>
                <w:szCs w:val="20"/>
              </w:rPr>
            </w:pPr>
            <w:r w:rsidRPr="00C02CB8">
              <w:rPr>
                <w:sz w:val="20"/>
                <w:szCs w:val="20"/>
              </w:rPr>
              <w:t>480</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67EBBB39" w14:textId="41810A3F">
            <w:pPr>
              <w:autoSpaceDE/>
              <w:autoSpaceDN/>
              <w:adjustRightInd/>
              <w:ind w:left="0"/>
              <w:jc w:val="right"/>
              <w:rPr>
                <w:sz w:val="20"/>
                <w:szCs w:val="20"/>
              </w:rPr>
            </w:pPr>
            <w:r>
              <w:rPr>
                <w:sz w:val="20"/>
                <w:szCs w:val="20"/>
              </w:rPr>
              <w:t xml:space="preserve"> </w:t>
            </w:r>
            <w:r w:rsidRPr="00C02CB8">
              <w:rPr>
                <w:sz w:val="20"/>
                <w:szCs w:val="20"/>
              </w:rPr>
              <w:t>2/60</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597A76B0" w14:textId="77777777">
            <w:pPr>
              <w:autoSpaceDE/>
              <w:autoSpaceDN/>
              <w:adjustRightInd/>
              <w:ind w:left="0"/>
              <w:jc w:val="right"/>
              <w:rPr>
                <w:sz w:val="20"/>
                <w:szCs w:val="20"/>
              </w:rPr>
            </w:pPr>
            <w:r w:rsidRPr="00C02CB8">
              <w:rPr>
                <w:sz w:val="20"/>
                <w:szCs w:val="20"/>
              </w:rPr>
              <w:t>16</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4A2816E1" w14:textId="77777777">
            <w:pPr>
              <w:autoSpaceDE/>
              <w:autoSpaceDN/>
              <w:adjustRightInd/>
              <w:ind w:left="0"/>
              <w:jc w:val="right"/>
              <w:rPr>
                <w:sz w:val="20"/>
                <w:szCs w:val="20"/>
              </w:rPr>
            </w:pPr>
            <w:r w:rsidRPr="00C02CB8">
              <w:rPr>
                <w:sz w:val="20"/>
                <w:szCs w:val="20"/>
              </w:rPr>
              <w:t>$63.45</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7F028083" w14:textId="77777777">
            <w:pPr>
              <w:autoSpaceDE/>
              <w:autoSpaceDN/>
              <w:adjustRightInd/>
              <w:ind w:left="0"/>
              <w:jc w:val="right"/>
              <w:rPr>
                <w:sz w:val="20"/>
                <w:szCs w:val="20"/>
              </w:rPr>
            </w:pPr>
            <w:r w:rsidRPr="00C02CB8">
              <w:rPr>
                <w:sz w:val="20"/>
                <w:szCs w:val="20"/>
              </w:rPr>
              <w:t>$1,015</w:t>
            </w:r>
          </w:p>
        </w:tc>
      </w:tr>
      <w:tr w14:paraId="0179909C" w14:textId="77777777" w:rsidTr="00C02CB8">
        <w:tblPrEx>
          <w:tblW w:w="10220" w:type="dxa"/>
          <w:tblLook w:val="04A0"/>
        </w:tblPrEx>
        <w:trPr>
          <w:trHeight w:val="270"/>
        </w:trPr>
        <w:tc>
          <w:tcPr>
            <w:tcW w:w="10220" w:type="dxa"/>
            <w:gridSpan w:val="8"/>
            <w:tcBorders>
              <w:top w:val="single" w:sz="4" w:space="0" w:color="auto"/>
              <w:left w:val="single" w:sz="4" w:space="0" w:color="auto"/>
              <w:bottom w:val="single" w:sz="4" w:space="0" w:color="auto"/>
              <w:right w:val="single" w:sz="4" w:space="0" w:color="000000"/>
            </w:tcBorders>
            <w:shd w:val="clear" w:color="auto" w:fill="auto"/>
            <w:hideMark/>
          </w:tcPr>
          <w:p w:rsidR="00C02CB8" w:rsidRPr="00C02CB8" w:rsidP="00C02CB8" w14:paraId="60FA6820" w14:textId="77777777">
            <w:pPr>
              <w:autoSpaceDE/>
              <w:autoSpaceDN/>
              <w:adjustRightInd/>
              <w:ind w:left="0"/>
              <w:rPr>
                <w:b/>
                <w:bCs/>
                <w:i/>
                <w:iCs/>
                <w:sz w:val="20"/>
                <w:szCs w:val="20"/>
              </w:rPr>
            </w:pPr>
            <w:r w:rsidRPr="00C02CB8">
              <w:rPr>
                <w:b/>
                <w:bCs/>
                <w:i/>
                <w:iCs/>
                <w:sz w:val="20"/>
                <w:szCs w:val="20"/>
              </w:rPr>
              <w:t xml:space="preserve">Recordkeeping </w:t>
            </w:r>
          </w:p>
        </w:tc>
      </w:tr>
      <w:tr w14:paraId="0C096A90" w14:textId="77777777" w:rsidTr="00166307">
        <w:tblPrEx>
          <w:tblW w:w="10220"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2FAD6340" w14:textId="77777777">
            <w:pPr>
              <w:autoSpaceDE/>
              <w:autoSpaceDN/>
              <w:adjustRightInd/>
              <w:ind w:left="0" w:firstLine="200" w:firstLineChars="100"/>
              <w:rPr>
                <w:sz w:val="20"/>
                <w:szCs w:val="20"/>
              </w:rPr>
            </w:pPr>
            <w:r w:rsidRPr="00C02CB8">
              <w:rPr>
                <w:sz w:val="20"/>
                <w:szCs w:val="20"/>
              </w:rPr>
              <w:t>Clerical Worker</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29C55908" w14:textId="20BF83E7">
            <w:pPr>
              <w:autoSpaceDE/>
              <w:autoSpaceDN/>
              <w:adjustRightInd/>
              <w:ind w:left="0"/>
              <w:jc w:val="center"/>
              <w:rPr>
                <w:sz w:val="20"/>
                <w:szCs w:val="20"/>
              </w:rPr>
            </w:pPr>
            <w:r w:rsidRPr="00C02CB8">
              <w:rPr>
                <w:sz w:val="20"/>
                <w:szCs w:val="20"/>
              </w:rPr>
              <w:t xml:space="preserve"> 10,855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12F55187" w14:textId="77777777">
            <w:pPr>
              <w:autoSpaceDE/>
              <w:autoSpaceDN/>
              <w:adjustRightInd/>
              <w:ind w:left="0"/>
              <w:jc w:val="right"/>
              <w:rPr>
                <w:sz w:val="20"/>
                <w:szCs w:val="20"/>
              </w:rPr>
            </w:pPr>
            <w:r w:rsidRPr="00C02CB8">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5D583D" w14:paraId="68455A0E" w14:textId="3E664CCB">
            <w:pPr>
              <w:autoSpaceDE/>
              <w:autoSpaceDN/>
              <w:adjustRightInd/>
              <w:ind w:left="0"/>
              <w:jc w:val="right"/>
              <w:rPr>
                <w:sz w:val="20"/>
                <w:szCs w:val="20"/>
              </w:rPr>
            </w:pPr>
            <w:r w:rsidRPr="00C02CB8">
              <w:rPr>
                <w:sz w:val="20"/>
                <w:szCs w:val="20"/>
              </w:rPr>
              <w:t xml:space="preserve">10,855 </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479CC183" w14:textId="1DF9718D">
            <w:pPr>
              <w:autoSpaceDE/>
              <w:autoSpaceDN/>
              <w:adjustRightInd/>
              <w:ind w:left="0"/>
              <w:jc w:val="right"/>
              <w:rPr>
                <w:sz w:val="20"/>
                <w:szCs w:val="20"/>
              </w:rPr>
            </w:pPr>
            <w:r w:rsidRPr="00C02CB8">
              <w:rPr>
                <w:sz w:val="20"/>
                <w:szCs w:val="20"/>
              </w:rPr>
              <w:t>1</w:t>
            </w:r>
            <w:r w:rsidR="0068062D">
              <w:rPr>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63B88878" w14:textId="77777777">
            <w:pPr>
              <w:autoSpaceDE/>
              <w:autoSpaceDN/>
              <w:adjustRightInd/>
              <w:ind w:left="0"/>
              <w:jc w:val="right"/>
              <w:rPr>
                <w:sz w:val="20"/>
                <w:szCs w:val="20"/>
              </w:rPr>
            </w:pPr>
            <w:r w:rsidRPr="00C02CB8">
              <w:rPr>
                <w:sz w:val="20"/>
                <w:szCs w:val="20"/>
              </w:rPr>
              <w:t>10,855</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3958412E" w14:textId="77777777">
            <w:pPr>
              <w:autoSpaceDE/>
              <w:autoSpaceDN/>
              <w:adjustRightInd/>
              <w:ind w:left="0"/>
              <w:jc w:val="right"/>
              <w:rPr>
                <w:sz w:val="20"/>
                <w:szCs w:val="20"/>
              </w:rPr>
            </w:pPr>
            <w:r w:rsidRPr="00C02CB8">
              <w:rPr>
                <w:sz w:val="20"/>
                <w:szCs w:val="20"/>
              </w:rPr>
              <w:t>$63.45</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09C95689" w14:textId="77777777">
            <w:pPr>
              <w:autoSpaceDE/>
              <w:autoSpaceDN/>
              <w:adjustRightInd/>
              <w:ind w:left="0"/>
              <w:jc w:val="right"/>
              <w:rPr>
                <w:sz w:val="20"/>
                <w:szCs w:val="20"/>
              </w:rPr>
            </w:pPr>
            <w:r w:rsidRPr="00C02CB8">
              <w:rPr>
                <w:sz w:val="20"/>
                <w:szCs w:val="20"/>
              </w:rPr>
              <w:t>$688,750</w:t>
            </w:r>
          </w:p>
        </w:tc>
      </w:tr>
      <w:tr w14:paraId="0AE02FC6" w14:textId="77777777" w:rsidTr="00C02CB8">
        <w:tblPrEx>
          <w:tblW w:w="10220" w:type="dxa"/>
          <w:tblLook w:val="04A0"/>
        </w:tblPrEx>
        <w:trPr>
          <w:trHeight w:val="255"/>
        </w:trPr>
        <w:tc>
          <w:tcPr>
            <w:tcW w:w="10220" w:type="dxa"/>
            <w:gridSpan w:val="8"/>
            <w:tcBorders>
              <w:top w:val="single" w:sz="4" w:space="0" w:color="auto"/>
              <w:left w:val="single" w:sz="4" w:space="0" w:color="auto"/>
              <w:bottom w:val="single" w:sz="4" w:space="0" w:color="auto"/>
              <w:right w:val="single" w:sz="4" w:space="0" w:color="000000"/>
            </w:tcBorders>
            <w:shd w:val="clear" w:color="auto" w:fill="auto"/>
            <w:hideMark/>
          </w:tcPr>
          <w:p w:rsidR="00C02CB8" w:rsidRPr="00C02CB8" w:rsidP="00C02CB8" w14:paraId="6049D0E8" w14:textId="77777777">
            <w:pPr>
              <w:autoSpaceDE/>
              <w:autoSpaceDN/>
              <w:adjustRightInd/>
              <w:ind w:left="0"/>
              <w:rPr>
                <w:b/>
                <w:bCs/>
                <w:i/>
                <w:iCs/>
                <w:sz w:val="20"/>
                <w:szCs w:val="20"/>
              </w:rPr>
            </w:pPr>
            <w:r w:rsidRPr="00C02CB8">
              <w:rPr>
                <w:b/>
                <w:bCs/>
                <w:i/>
                <w:iCs/>
                <w:sz w:val="20"/>
                <w:szCs w:val="20"/>
              </w:rPr>
              <w:t>Refusal to Disclose Requested Information</w:t>
            </w:r>
          </w:p>
        </w:tc>
      </w:tr>
      <w:tr w14:paraId="49D6B199" w14:textId="77777777" w:rsidTr="00166307">
        <w:tblPrEx>
          <w:tblW w:w="10220"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55956A16" w14:textId="77777777">
            <w:pPr>
              <w:autoSpaceDE/>
              <w:autoSpaceDN/>
              <w:adjustRightInd/>
              <w:ind w:left="0" w:firstLine="200" w:firstLineChars="100"/>
              <w:rPr>
                <w:sz w:val="20"/>
                <w:szCs w:val="20"/>
              </w:rPr>
            </w:pPr>
            <w:r w:rsidRPr="00C02CB8">
              <w:rPr>
                <w:sz w:val="20"/>
                <w:szCs w:val="20"/>
              </w:rPr>
              <w:t>Legal Professional</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6013BFCE" w14:textId="5B35AB5B">
            <w:pPr>
              <w:autoSpaceDE/>
              <w:autoSpaceDN/>
              <w:adjustRightInd/>
              <w:ind w:left="0"/>
              <w:jc w:val="center"/>
              <w:rPr>
                <w:sz w:val="20"/>
                <w:szCs w:val="20"/>
              </w:rPr>
            </w:pPr>
            <w:r>
              <w:rPr>
                <w:sz w:val="20"/>
                <w:szCs w:val="20"/>
              </w:rPr>
              <w:t xml:space="preserve"> </w:t>
            </w:r>
            <w:r w:rsidRPr="00C02CB8">
              <w:rPr>
                <w:sz w:val="20"/>
                <w:szCs w:val="20"/>
              </w:rPr>
              <w:t xml:space="preserve">217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70B23EAA" w14:textId="77777777">
            <w:pPr>
              <w:autoSpaceDE/>
              <w:autoSpaceDN/>
              <w:adjustRightInd/>
              <w:ind w:left="0"/>
              <w:jc w:val="right"/>
              <w:rPr>
                <w:sz w:val="20"/>
                <w:szCs w:val="20"/>
              </w:rPr>
            </w:pPr>
            <w:r w:rsidRPr="00C02CB8">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5D583D" w14:paraId="011AF121" w14:textId="58C61818">
            <w:pPr>
              <w:autoSpaceDE/>
              <w:autoSpaceDN/>
              <w:adjustRightInd/>
              <w:ind w:left="0"/>
              <w:jc w:val="right"/>
              <w:rPr>
                <w:sz w:val="20"/>
                <w:szCs w:val="20"/>
              </w:rPr>
            </w:pPr>
            <w:r w:rsidRPr="00C02CB8">
              <w:rPr>
                <w:sz w:val="20"/>
                <w:szCs w:val="20"/>
              </w:rPr>
              <w:t xml:space="preserve"> 217 </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01A12BB9" w14:textId="159791AC">
            <w:pPr>
              <w:autoSpaceDE/>
              <w:autoSpaceDN/>
              <w:adjustRightInd/>
              <w:ind w:left="0"/>
              <w:jc w:val="right"/>
              <w:rPr>
                <w:sz w:val="20"/>
                <w:szCs w:val="20"/>
              </w:rPr>
            </w:pPr>
            <w:r w:rsidRPr="00C02CB8">
              <w:rPr>
                <w:sz w:val="20"/>
                <w:szCs w:val="20"/>
              </w:rPr>
              <w:t>1</w:t>
            </w:r>
            <w:r w:rsidR="0068062D">
              <w:rPr>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1F171C8C" w14:textId="77777777">
            <w:pPr>
              <w:autoSpaceDE/>
              <w:autoSpaceDN/>
              <w:adjustRightInd/>
              <w:ind w:left="0"/>
              <w:jc w:val="right"/>
              <w:rPr>
                <w:sz w:val="20"/>
                <w:szCs w:val="20"/>
              </w:rPr>
            </w:pPr>
            <w:r w:rsidRPr="00C02CB8">
              <w:rPr>
                <w:sz w:val="20"/>
                <w:szCs w:val="20"/>
              </w:rPr>
              <w:t>217</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54AED8A5" w14:textId="77777777">
            <w:pPr>
              <w:autoSpaceDE/>
              <w:autoSpaceDN/>
              <w:adjustRightInd/>
              <w:ind w:left="0"/>
              <w:jc w:val="right"/>
              <w:rPr>
                <w:sz w:val="20"/>
                <w:szCs w:val="20"/>
              </w:rPr>
            </w:pPr>
            <w:r w:rsidRPr="00C02CB8">
              <w:rPr>
                <w:sz w:val="20"/>
                <w:szCs w:val="20"/>
              </w:rPr>
              <w:t>$159.34</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52BA22D2" w14:textId="77777777">
            <w:pPr>
              <w:autoSpaceDE/>
              <w:autoSpaceDN/>
              <w:adjustRightInd/>
              <w:ind w:left="0"/>
              <w:jc w:val="right"/>
              <w:rPr>
                <w:sz w:val="20"/>
                <w:szCs w:val="20"/>
              </w:rPr>
            </w:pPr>
            <w:r w:rsidRPr="00C02CB8">
              <w:rPr>
                <w:sz w:val="20"/>
                <w:szCs w:val="20"/>
              </w:rPr>
              <w:t>$34,577</w:t>
            </w:r>
          </w:p>
        </w:tc>
      </w:tr>
      <w:tr w14:paraId="502941CD" w14:textId="77777777" w:rsidTr="00C02CB8">
        <w:tblPrEx>
          <w:tblW w:w="10220" w:type="dxa"/>
          <w:tblLook w:val="04A0"/>
        </w:tblPrEx>
        <w:trPr>
          <w:trHeight w:val="255"/>
        </w:trPr>
        <w:tc>
          <w:tcPr>
            <w:tcW w:w="10220" w:type="dxa"/>
            <w:gridSpan w:val="8"/>
            <w:tcBorders>
              <w:top w:val="single" w:sz="4" w:space="0" w:color="auto"/>
              <w:left w:val="single" w:sz="4" w:space="0" w:color="auto"/>
              <w:bottom w:val="single" w:sz="4" w:space="0" w:color="auto"/>
              <w:right w:val="single" w:sz="4" w:space="0" w:color="000000"/>
            </w:tcBorders>
            <w:shd w:val="clear" w:color="auto" w:fill="auto"/>
            <w:hideMark/>
          </w:tcPr>
          <w:p w:rsidR="00C02CB8" w:rsidRPr="00C02CB8" w:rsidP="00C02CB8" w14:paraId="4C681638" w14:textId="77777777">
            <w:pPr>
              <w:autoSpaceDE/>
              <w:autoSpaceDN/>
              <w:adjustRightInd/>
              <w:ind w:left="0"/>
              <w:rPr>
                <w:b/>
                <w:bCs/>
                <w:i/>
                <w:iCs/>
                <w:sz w:val="20"/>
                <w:szCs w:val="20"/>
              </w:rPr>
            </w:pPr>
            <w:r w:rsidRPr="00C02CB8">
              <w:rPr>
                <w:b/>
                <w:bCs/>
                <w:i/>
                <w:iCs/>
                <w:sz w:val="20"/>
                <w:szCs w:val="20"/>
              </w:rPr>
              <w:t>Reporting Reliance on the QPAM Exemption</w:t>
            </w:r>
          </w:p>
        </w:tc>
      </w:tr>
      <w:tr w14:paraId="7FA68747" w14:textId="77777777" w:rsidTr="00166307">
        <w:tblPrEx>
          <w:tblW w:w="10220"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59CE3F0C" w14:textId="77777777">
            <w:pPr>
              <w:autoSpaceDE/>
              <w:autoSpaceDN/>
              <w:adjustRightInd/>
              <w:ind w:left="0" w:firstLine="200" w:firstLineChars="100"/>
              <w:rPr>
                <w:sz w:val="20"/>
                <w:szCs w:val="20"/>
              </w:rPr>
            </w:pPr>
            <w:r w:rsidRPr="00C02CB8">
              <w:rPr>
                <w:sz w:val="20"/>
                <w:szCs w:val="20"/>
              </w:rPr>
              <w:t>Clerical Worker</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58558693" w14:textId="3ED7E423">
            <w:pPr>
              <w:autoSpaceDE/>
              <w:autoSpaceDN/>
              <w:adjustRightInd/>
              <w:ind w:left="0"/>
              <w:jc w:val="center"/>
              <w:rPr>
                <w:sz w:val="20"/>
                <w:szCs w:val="20"/>
              </w:rPr>
            </w:pPr>
            <w:r w:rsidRPr="00C02CB8">
              <w:rPr>
                <w:sz w:val="20"/>
                <w:szCs w:val="20"/>
              </w:rPr>
              <w:t xml:space="preserve"> 10,855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64189FB9" w14:textId="77777777">
            <w:pPr>
              <w:autoSpaceDE/>
              <w:autoSpaceDN/>
              <w:adjustRightInd/>
              <w:ind w:left="0"/>
              <w:jc w:val="right"/>
              <w:rPr>
                <w:sz w:val="20"/>
                <w:szCs w:val="20"/>
              </w:rPr>
            </w:pPr>
            <w:r w:rsidRPr="00C02CB8">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5D583D" w14:paraId="1FB472BF" w14:textId="57CF09BE">
            <w:pPr>
              <w:autoSpaceDE/>
              <w:autoSpaceDN/>
              <w:adjustRightInd/>
              <w:ind w:left="0"/>
              <w:jc w:val="right"/>
              <w:rPr>
                <w:sz w:val="20"/>
                <w:szCs w:val="20"/>
              </w:rPr>
            </w:pPr>
            <w:r w:rsidRPr="00C02CB8">
              <w:rPr>
                <w:sz w:val="20"/>
                <w:szCs w:val="20"/>
              </w:rPr>
              <w:t xml:space="preserve">10,855 </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68A2CA7F" w14:textId="30970774">
            <w:pPr>
              <w:autoSpaceDE/>
              <w:autoSpaceDN/>
              <w:adjustRightInd/>
              <w:ind w:left="0"/>
              <w:jc w:val="right"/>
              <w:rPr>
                <w:sz w:val="20"/>
                <w:szCs w:val="20"/>
              </w:rPr>
            </w:pPr>
            <w:r>
              <w:rPr>
                <w:sz w:val="20"/>
                <w:szCs w:val="20"/>
              </w:rPr>
              <w:t xml:space="preserve"> </w:t>
            </w:r>
            <w:r w:rsidRPr="00C02CB8">
              <w:rPr>
                <w:sz w:val="20"/>
                <w:szCs w:val="20"/>
              </w:rPr>
              <w:t>15/60</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483F646B" w14:textId="77777777">
            <w:pPr>
              <w:autoSpaceDE/>
              <w:autoSpaceDN/>
              <w:adjustRightInd/>
              <w:ind w:left="0"/>
              <w:jc w:val="right"/>
              <w:rPr>
                <w:sz w:val="20"/>
                <w:szCs w:val="20"/>
              </w:rPr>
            </w:pPr>
            <w:r w:rsidRPr="00C02CB8">
              <w:rPr>
                <w:sz w:val="20"/>
                <w:szCs w:val="20"/>
              </w:rPr>
              <w:t>2,714</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42FC477F" w14:textId="77777777">
            <w:pPr>
              <w:autoSpaceDE/>
              <w:autoSpaceDN/>
              <w:adjustRightInd/>
              <w:ind w:left="0"/>
              <w:jc w:val="right"/>
              <w:rPr>
                <w:sz w:val="20"/>
                <w:szCs w:val="20"/>
              </w:rPr>
            </w:pPr>
            <w:r w:rsidRPr="00C02CB8">
              <w:rPr>
                <w:sz w:val="20"/>
                <w:szCs w:val="20"/>
              </w:rPr>
              <w:t>$63.45</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634F98D1" w14:textId="77777777">
            <w:pPr>
              <w:autoSpaceDE/>
              <w:autoSpaceDN/>
              <w:adjustRightInd/>
              <w:ind w:left="0"/>
              <w:jc w:val="right"/>
              <w:rPr>
                <w:sz w:val="20"/>
                <w:szCs w:val="20"/>
              </w:rPr>
            </w:pPr>
            <w:r w:rsidRPr="00C02CB8">
              <w:rPr>
                <w:sz w:val="20"/>
                <w:szCs w:val="20"/>
              </w:rPr>
              <w:t>$172,187</w:t>
            </w:r>
          </w:p>
        </w:tc>
      </w:tr>
      <w:tr w14:paraId="58BCA5F0" w14:textId="77777777" w:rsidTr="00C02CB8">
        <w:tblPrEx>
          <w:tblW w:w="10220" w:type="dxa"/>
          <w:tblLook w:val="04A0"/>
        </w:tblPrEx>
        <w:trPr>
          <w:trHeight w:val="255"/>
        </w:trPr>
        <w:tc>
          <w:tcPr>
            <w:tcW w:w="10220" w:type="dxa"/>
            <w:gridSpan w:val="8"/>
            <w:tcBorders>
              <w:top w:val="single" w:sz="4" w:space="0" w:color="auto"/>
              <w:left w:val="single" w:sz="4" w:space="0" w:color="auto"/>
              <w:bottom w:val="single" w:sz="4" w:space="0" w:color="auto"/>
              <w:right w:val="single" w:sz="4" w:space="0" w:color="000000"/>
            </w:tcBorders>
            <w:shd w:val="clear" w:color="auto" w:fill="auto"/>
            <w:hideMark/>
          </w:tcPr>
          <w:p w:rsidR="00C02CB8" w:rsidRPr="00C02CB8" w:rsidP="00C02CB8" w14:paraId="32A0AA93" w14:textId="77777777">
            <w:pPr>
              <w:autoSpaceDE/>
              <w:autoSpaceDN/>
              <w:adjustRightInd/>
              <w:ind w:left="0"/>
              <w:rPr>
                <w:b/>
                <w:bCs/>
                <w:i/>
                <w:iCs/>
                <w:sz w:val="20"/>
                <w:szCs w:val="20"/>
              </w:rPr>
            </w:pPr>
            <w:r w:rsidRPr="00C02CB8">
              <w:rPr>
                <w:b/>
                <w:bCs/>
                <w:i/>
                <w:iCs/>
                <w:sz w:val="20"/>
                <w:szCs w:val="20"/>
              </w:rPr>
              <w:t>Notice of Failure to Provide Notice</w:t>
            </w:r>
          </w:p>
        </w:tc>
      </w:tr>
      <w:tr w14:paraId="3C8004F5" w14:textId="77777777" w:rsidTr="00166307">
        <w:tblPrEx>
          <w:tblW w:w="10220"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5836CE8A" w14:textId="77777777">
            <w:pPr>
              <w:autoSpaceDE/>
              <w:autoSpaceDN/>
              <w:adjustRightInd/>
              <w:ind w:left="0" w:firstLine="200" w:firstLineChars="100"/>
              <w:rPr>
                <w:sz w:val="20"/>
                <w:szCs w:val="20"/>
              </w:rPr>
            </w:pPr>
            <w:r w:rsidRPr="00C02CB8">
              <w:rPr>
                <w:sz w:val="20"/>
                <w:szCs w:val="20"/>
              </w:rPr>
              <w:t>Legal Professional</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499E629E" w14:textId="00577B5A">
            <w:pPr>
              <w:autoSpaceDE/>
              <w:autoSpaceDN/>
              <w:adjustRightInd/>
              <w:ind w:left="0"/>
              <w:jc w:val="center"/>
              <w:rPr>
                <w:sz w:val="20"/>
                <w:szCs w:val="20"/>
              </w:rPr>
            </w:pPr>
            <w:r>
              <w:rPr>
                <w:sz w:val="20"/>
                <w:szCs w:val="20"/>
              </w:rPr>
              <w:t xml:space="preserve"> </w:t>
            </w:r>
            <w:r w:rsidRPr="00C02CB8">
              <w:rPr>
                <w:sz w:val="20"/>
                <w:szCs w:val="20"/>
              </w:rPr>
              <w:t xml:space="preserve">217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5C3A231C" w14:textId="77777777">
            <w:pPr>
              <w:autoSpaceDE/>
              <w:autoSpaceDN/>
              <w:adjustRightInd/>
              <w:ind w:left="0"/>
              <w:jc w:val="right"/>
              <w:rPr>
                <w:sz w:val="20"/>
                <w:szCs w:val="20"/>
              </w:rPr>
            </w:pPr>
            <w:r w:rsidRPr="00C02CB8">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5D583D" w14:paraId="3D61CF99" w14:textId="7B57D938">
            <w:pPr>
              <w:autoSpaceDE/>
              <w:autoSpaceDN/>
              <w:adjustRightInd/>
              <w:ind w:left="0"/>
              <w:jc w:val="right"/>
              <w:rPr>
                <w:sz w:val="20"/>
                <w:szCs w:val="20"/>
              </w:rPr>
            </w:pPr>
            <w:r w:rsidRPr="00C02CB8">
              <w:rPr>
                <w:sz w:val="20"/>
                <w:szCs w:val="20"/>
              </w:rPr>
              <w:t xml:space="preserve"> 217 </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6C660608" w14:textId="26DE5E5E">
            <w:pPr>
              <w:autoSpaceDE/>
              <w:autoSpaceDN/>
              <w:adjustRightInd/>
              <w:ind w:left="0"/>
              <w:jc w:val="right"/>
              <w:rPr>
                <w:sz w:val="20"/>
                <w:szCs w:val="20"/>
              </w:rPr>
            </w:pPr>
            <w:r>
              <w:rPr>
                <w:sz w:val="20"/>
                <w:szCs w:val="20"/>
              </w:rPr>
              <w:t xml:space="preserve"> </w:t>
            </w:r>
            <w:r w:rsidRPr="00C02CB8">
              <w:rPr>
                <w:sz w:val="20"/>
                <w:szCs w:val="20"/>
              </w:rPr>
              <w:t>30/60</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21025EDD" w14:textId="77777777">
            <w:pPr>
              <w:autoSpaceDE/>
              <w:autoSpaceDN/>
              <w:adjustRightInd/>
              <w:ind w:left="0"/>
              <w:jc w:val="right"/>
              <w:rPr>
                <w:sz w:val="20"/>
                <w:szCs w:val="20"/>
              </w:rPr>
            </w:pPr>
            <w:r w:rsidRPr="00C02CB8">
              <w:rPr>
                <w:sz w:val="20"/>
                <w:szCs w:val="20"/>
              </w:rPr>
              <w:t>109</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72FE04CC" w14:textId="77777777">
            <w:pPr>
              <w:autoSpaceDE/>
              <w:autoSpaceDN/>
              <w:adjustRightInd/>
              <w:ind w:left="0"/>
              <w:jc w:val="right"/>
              <w:rPr>
                <w:sz w:val="20"/>
                <w:szCs w:val="20"/>
              </w:rPr>
            </w:pPr>
            <w:r w:rsidRPr="00C02CB8">
              <w:rPr>
                <w:sz w:val="20"/>
                <w:szCs w:val="20"/>
              </w:rPr>
              <w:t>$159.34</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160AEF03" w14:textId="77777777">
            <w:pPr>
              <w:autoSpaceDE/>
              <w:autoSpaceDN/>
              <w:adjustRightInd/>
              <w:ind w:left="0"/>
              <w:jc w:val="right"/>
              <w:rPr>
                <w:sz w:val="20"/>
                <w:szCs w:val="20"/>
              </w:rPr>
            </w:pPr>
            <w:r w:rsidRPr="00C02CB8">
              <w:rPr>
                <w:sz w:val="20"/>
                <w:szCs w:val="20"/>
              </w:rPr>
              <w:t>$17,288</w:t>
            </w:r>
          </w:p>
        </w:tc>
      </w:tr>
      <w:tr w14:paraId="538D6C1A" w14:textId="77777777" w:rsidTr="00C02CB8">
        <w:tblPrEx>
          <w:tblW w:w="10220" w:type="dxa"/>
          <w:tblLook w:val="04A0"/>
        </w:tblPrEx>
        <w:trPr>
          <w:trHeight w:val="255"/>
        </w:trPr>
        <w:tc>
          <w:tcPr>
            <w:tcW w:w="10220" w:type="dxa"/>
            <w:gridSpan w:val="8"/>
            <w:tcBorders>
              <w:top w:val="single" w:sz="4" w:space="0" w:color="auto"/>
              <w:left w:val="single" w:sz="4" w:space="0" w:color="auto"/>
              <w:bottom w:val="single" w:sz="4" w:space="0" w:color="auto"/>
              <w:right w:val="single" w:sz="4" w:space="0" w:color="000000"/>
            </w:tcBorders>
            <w:shd w:val="clear" w:color="auto" w:fill="auto"/>
            <w:hideMark/>
          </w:tcPr>
          <w:p w:rsidR="00C02CB8" w:rsidRPr="00C02CB8" w:rsidP="00C02CB8" w14:paraId="164AEDB1" w14:textId="7E58CA3E">
            <w:pPr>
              <w:autoSpaceDE/>
              <w:autoSpaceDN/>
              <w:adjustRightInd/>
              <w:ind w:left="0"/>
              <w:rPr>
                <w:b/>
                <w:bCs/>
                <w:i/>
                <w:iCs/>
                <w:sz w:val="20"/>
                <w:szCs w:val="20"/>
              </w:rPr>
            </w:pPr>
            <w:r w:rsidRPr="00C02CB8">
              <w:rPr>
                <w:b/>
                <w:bCs/>
                <w:i/>
                <w:iCs/>
                <w:sz w:val="20"/>
                <w:szCs w:val="20"/>
              </w:rPr>
              <w:t xml:space="preserve">Notice to the Department of </w:t>
            </w:r>
            <w:r w:rsidR="00417596">
              <w:rPr>
                <w:b/>
                <w:bCs/>
                <w:i/>
                <w:iCs/>
                <w:sz w:val="20"/>
                <w:szCs w:val="20"/>
              </w:rPr>
              <w:t xml:space="preserve">Prohibited </w:t>
            </w:r>
            <w:r w:rsidR="001F0883">
              <w:rPr>
                <w:b/>
                <w:bCs/>
                <w:i/>
                <w:iCs/>
                <w:sz w:val="20"/>
                <w:szCs w:val="20"/>
              </w:rPr>
              <w:t>Misconduct and Foreign NPA or DPA</w:t>
            </w:r>
            <w:r w:rsidR="00B77868">
              <w:rPr>
                <w:b/>
                <w:bCs/>
                <w:i/>
                <w:iCs/>
                <w:sz w:val="20"/>
                <w:szCs w:val="20"/>
              </w:rPr>
              <w:t xml:space="preserve"> </w:t>
            </w:r>
          </w:p>
        </w:tc>
      </w:tr>
      <w:tr w14:paraId="295BA0B0" w14:textId="77777777" w:rsidTr="00166307">
        <w:tblPrEx>
          <w:tblW w:w="10220"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73790240" w14:textId="77777777">
            <w:pPr>
              <w:autoSpaceDE/>
              <w:autoSpaceDN/>
              <w:adjustRightInd/>
              <w:ind w:left="0" w:firstLine="200" w:firstLineChars="100"/>
              <w:rPr>
                <w:sz w:val="20"/>
                <w:szCs w:val="20"/>
              </w:rPr>
            </w:pPr>
            <w:r w:rsidRPr="00C02CB8">
              <w:rPr>
                <w:sz w:val="20"/>
                <w:szCs w:val="20"/>
              </w:rPr>
              <w:t>Legal Professional</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0458452B" w14:textId="2F53A2D6">
            <w:pPr>
              <w:autoSpaceDE/>
              <w:autoSpaceDN/>
              <w:adjustRightInd/>
              <w:ind w:left="0"/>
              <w:jc w:val="center"/>
              <w:rPr>
                <w:sz w:val="20"/>
                <w:szCs w:val="20"/>
              </w:rPr>
            </w:pPr>
            <w:r>
              <w:rPr>
                <w:sz w:val="20"/>
                <w:szCs w:val="20"/>
              </w:rPr>
              <w:t xml:space="preserve">4 </w:t>
            </w:r>
            <w:r w:rsidRPr="00C02CB8">
              <w:rPr>
                <w:sz w:val="20"/>
                <w:szCs w:val="20"/>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49623619" w14:textId="77777777">
            <w:pPr>
              <w:autoSpaceDE/>
              <w:autoSpaceDN/>
              <w:adjustRightInd/>
              <w:ind w:left="0"/>
              <w:jc w:val="right"/>
              <w:rPr>
                <w:sz w:val="20"/>
                <w:szCs w:val="20"/>
              </w:rPr>
            </w:pPr>
            <w:r w:rsidRPr="00C02CB8">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5D583D" w14:paraId="57C22EC1" w14:textId="369ABE64">
            <w:pPr>
              <w:autoSpaceDE/>
              <w:autoSpaceDN/>
              <w:adjustRightInd/>
              <w:ind w:left="0"/>
              <w:jc w:val="right"/>
              <w:rPr>
                <w:sz w:val="20"/>
                <w:szCs w:val="20"/>
              </w:rPr>
            </w:pPr>
            <w:r w:rsidRPr="00C02CB8">
              <w:rPr>
                <w:sz w:val="20"/>
                <w:szCs w:val="20"/>
              </w:rPr>
              <w:t xml:space="preserve"> </w:t>
            </w:r>
            <w:r w:rsidR="00DE58C5">
              <w:rPr>
                <w:sz w:val="20"/>
                <w:szCs w:val="20"/>
              </w:rPr>
              <w:t xml:space="preserve">4 </w:t>
            </w:r>
            <w:r w:rsidRPr="00C02CB8">
              <w:rPr>
                <w:sz w:val="20"/>
                <w:szCs w:val="20"/>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4F887B81" w14:textId="35A836E3">
            <w:pPr>
              <w:autoSpaceDE/>
              <w:autoSpaceDN/>
              <w:adjustRightInd/>
              <w:ind w:left="0"/>
              <w:jc w:val="right"/>
              <w:rPr>
                <w:sz w:val="20"/>
                <w:szCs w:val="20"/>
              </w:rPr>
            </w:pPr>
            <w:r>
              <w:rPr>
                <w:sz w:val="20"/>
                <w:szCs w:val="20"/>
              </w:rPr>
              <w:t xml:space="preserve"> </w:t>
            </w:r>
            <w:r w:rsidRPr="00C02CB8">
              <w:rPr>
                <w:sz w:val="20"/>
                <w:szCs w:val="20"/>
              </w:rPr>
              <w:t>30/60</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41F6D217" w14:textId="77777777">
            <w:pPr>
              <w:autoSpaceDE/>
              <w:autoSpaceDN/>
              <w:adjustRightInd/>
              <w:ind w:left="0"/>
              <w:jc w:val="right"/>
              <w:rPr>
                <w:sz w:val="20"/>
                <w:szCs w:val="20"/>
              </w:rPr>
            </w:pPr>
            <w:r w:rsidRPr="00C02CB8">
              <w:rPr>
                <w:sz w:val="20"/>
                <w:szCs w:val="20"/>
              </w:rPr>
              <w:t>1</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34E6881C" w14:textId="77777777">
            <w:pPr>
              <w:autoSpaceDE/>
              <w:autoSpaceDN/>
              <w:adjustRightInd/>
              <w:ind w:left="0"/>
              <w:jc w:val="right"/>
              <w:rPr>
                <w:sz w:val="20"/>
                <w:szCs w:val="20"/>
              </w:rPr>
            </w:pPr>
            <w:r w:rsidRPr="00C02CB8">
              <w:rPr>
                <w:sz w:val="20"/>
                <w:szCs w:val="20"/>
              </w:rPr>
              <w:t>$159.34</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0B006627" w14:textId="6986C337">
            <w:pPr>
              <w:autoSpaceDE/>
              <w:autoSpaceDN/>
              <w:adjustRightInd/>
              <w:ind w:left="0"/>
              <w:jc w:val="right"/>
              <w:rPr>
                <w:sz w:val="20"/>
                <w:szCs w:val="20"/>
              </w:rPr>
            </w:pPr>
            <w:r w:rsidRPr="00C02CB8">
              <w:rPr>
                <w:sz w:val="20"/>
                <w:szCs w:val="20"/>
              </w:rPr>
              <w:t>$</w:t>
            </w:r>
            <w:r w:rsidR="003A1D18">
              <w:rPr>
                <w:sz w:val="20"/>
                <w:szCs w:val="20"/>
              </w:rPr>
              <w:t xml:space="preserve">319 </w:t>
            </w:r>
          </w:p>
        </w:tc>
      </w:tr>
      <w:tr w14:paraId="009E66EF" w14:textId="77777777" w:rsidTr="00166307">
        <w:tblPrEx>
          <w:tblW w:w="10220"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3B305475" w14:textId="77777777">
            <w:pPr>
              <w:autoSpaceDE/>
              <w:autoSpaceDN/>
              <w:adjustRightInd/>
              <w:ind w:left="0" w:firstLine="200" w:firstLineChars="100"/>
              <w:rPr>
                <w:sz w:val="20"/>
                <w:szCs w:val="20"/>
              </w:rPr>
            </w:pPr>
            <w:r w:rsidRPr="00C02CB8">
              <w:rPr>
                <w:sz w:val="20"/>
                <w:szCs w:val="20"/>
              </w:rPr>
              <w:t>Clerical Worker</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4824E226" w14:textId="71FBFA5B">
            <w:pPr>
              <w:autoSpaceDE/>
              <w:autoSpaceDN/>
              <w:adjustRightInd/>
              <w:ind w:left="0"/>
              <w:jc w:val="center"/>
              <w:rPr>
                <w:sz w:val="20"/>
                <w:szCs w:val="20"/>
              </w:rPr>
            </w:pPr>
            <w:r>
              <w:rPr>
                <w:sz w:val="20"/>
                <w:szCs w:val="20"/>
              </w:rPr>
              <w:t xml:space="preserve">4 </w:t>
            </w:r>
            <w:r w:rsidRPr="00C02CB8">
              <w:rPr>
                <w:sz w:val="20"/>
                <w:szCs w:val="20"/>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4A0496E2" w14:textId="77777777">
            <w:pPr>
              <w:autoSpaceDE/>
              <w:autoSpaceDN/>
              <w:adjustRightInd/>
              <w:ind w:left="0"/>
              <w:jc w:val="right"/>
              <w:rPr>
                <w:sz w:val="20"/>
                <w:szCs w:val="20"/>
              </w:rPr>
            </w:pPr>
            <w:r w:rsidRPr="00C02CB8">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5D583D" w14:paraId="2D1D3618" w14:textId="6AC06C0B">
            <w:pPr>
              <w:autoSpaceDE/>
              <w:autoSpaceDN/>
              <w:adjustRightInd/>
              <w:ind w:left="0"/>
              <w:jc w:val="right"/>
              <w:rPr>
                <w:sz w:val="20"/>
                <w:szCs w:val="20"/>
              </w:rPr>
            </w:pPr>
            <w:r w:rsidRPr="00C02CB8">
              <w:rPr>
                <w:sz w:val="20"/>
                <w:szCs w:val="20"/>
              </w:rPr>
              <w:t xml:space="preserve"> </w:t>
            </w:r>
            <w:r w:rsidR="00DE58C5">
              <w:rPr>
                <w:sz w:val="20"/>
                <w:szCs w:val="20"/>
              </w:rPr>
              <w:t xml:space="preserve">4 </w:t>
            </w:r>
            <w:r w:rsidRPr="00C02CB8">
              <w:rPr>
                <w:sz w:val="20"/>
                <w:szCs w:val="20"/>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54B0EFF7" w14:textId="1D4DE0D1">
            <w:pPr>
              <w:autoSpaceDE/>
              <w:autoSpaceDN/>
              <w:adjustRightInd/>
              <w:ind w:left="0"/>
              <w:jc w:val="right"/>
              <w:rPr>
                <w:sz w:val="20"/>
                <w:szCs w:val="20"/>
              </w:rPr>
            </w:pPr>
            <w:r>
              <w:rPr>
                <w:sz w:val="20"/>
                <w:szCs w:val="20"/>
              </w:rPr>
              <w:t xml:space="preserve"> </w:t>
            </w:r>
            <w:r w:rsidRPr="00C02CB8">
              <w:rPr>
                <w:sz w:val="20"/>
                <w:szCs w:val="20"/>
              </w:rPr>
              <w:t>5/60</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22F2A7E1" w14:textId="77777777">
            <w:pPr>
              <w:autoSpaceDE/>
              <w:autoSpaceDN/>
              <w:adjustRightInd/>
              <w:ind w:left="0"/>
              <w:jc w:val="right"/>
              <w:rPr>
                <w:sz w:val="20"/>
                <w:szCs w:val="20"/>
              </w:rPr>
            </w:pPr>
            <w:r w:rsidRPr="00C02CB8">
              <w:rPr>
                <w:sz w:val="20"/>
                <w:szCs w:val="20"/>
              </w:rPr>
              <w:t>0</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521F31B6" w14:textId="77777777">
            <w:pPr>
              <w:autoSpaceDE/>
              <w:autoSpaceDN/>
              <w:adjustRightInd/>
              <w:ind w:left="0"/>
              <w:jc w:val="right"/>
              <w:rPr>
                <w:sz w:val="20"/>
                <w:szCs w:val="20"/>
              </w:rPr>
            </w:pPr>
            <w:r w:rsidRPr="00C02CB8">
              <w:rPr>
                <w:sz w:val="20"/>
                <w:szCs w:val="20"/>
              </w:rPr>
              <w:t>$63.45</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11C2FE31" w14:textId="72FDCCEA">
            <w:pPr>
              <w:autoSpaceDE/>
              <w:autoSpaceDN/>
              <w:adjustRightInd/>
              <w:ind w:left="0"/>
              <w:jc w:val="right"/>
              <w:rPr>
                <w:sz w:val="20"/>
                <w:szCs w:val="20"/>
              </w:rPr>
            </w:pPr>
            <w:r w:rsidRPr="00C02CB8">
              <w:rPr>
                <w:sz w:val="20"/>
                <w:szCs w:val="20"/>
              </w:rPr>
              <w:t>$</w:t>
            </w:r>
            <w:r w:rsidR="003A1D18">
              <w:rPr>
                <w:sz w:val="20"/>
                <w:szCs w:val="20"/>
              </w:rPr>
              <w:t xml:space="preserve">21 </w:t>
            </w:r>
          </w:p>
        </w:tc>
      </w:tr>
      <w:tr w14:paraId="389A5306" w14:textId="77777777" w:rsidTr="00C02CB8">
        <w:tblPrEx>
          <w:tblW w:w="10220" w:type="dxa"/>
          <w:tblLook w:val="04A0"/>
        </w:tblPrEx>
        <w:trPr>
          <w:trHeight w:val="255"/>
        </w:trPr>
        <w:tc>
          <w:tcPr>
            <w:tcW w:w="10220" w:type="dxa"/>
            <w:gridSpan w:val="8"/>
            <w:tcBorders>
              <w:top w:val="single" w:sz="4" w:space="0" w:color="auto"/>
              <w:left w:val="single" w:sz="4" w:space="0" w:color="auto"/>
              <w:bottom w:val="single" w:sz="4" w:space="0" w:color="auto"/>
              <w:right w:val="single" w:sz="4" w:space="0" w:color="000000"/>
            </w:tcBorders>
            <w:shd w:val="clear" w:color="auto" w:fill="auto"/>
            <w:hideMark/>
          </w:tcPr>
          <w:p w:rsidR="00C02CB8" w:rsidRPr="00C02CB8" w:rsidP="00C02CB8" w14:paraId="57DF9D17" w14:textId="4108B976">
            <w:pPr>
              <w:autoSpaceDE/>
              <w:autoSpaceDN/>
              <w:adjustRightInd/>
              <w:ind w:left="0"/>
              <w:rPr>
                <w:b/>
                <w:bCs/>
                <w:i/>
                <w:iCs/>
                <w:sz w:val="20"/>
                <w:szCs w:val="20"/>
              </w:rPr>
            </w:pPr>
            <w:r w:rsidRPr="00C02CB8">
              <w:rPr>
                <w:b/>
                <w:bCs/>
                <w:i/>
                <w:iCs/>
                <w:sz w:val="20"/>
                <w:szCs w:val="20"/>
              </w:rPr>
              <w:t xml:space="preserve"> Requesting an Individual Exemption</w:t>
            </w:r>
            <w:r w:rsidR="0068062D">
              <w:rPr>
                <w:b/>
                <w:bCs/>
                <w:i/>
                <w:iCs/>
                <w:sz w:val="20"/>
                <w:szCs w:val="20"/>
              </w:rPr>
              <w:t xml:space="preserve"> </w:t>
            </w:r>
          </w:p>
        </w:tc>
      </w:tr>
      <w:tr w14:paraId="45F32884" w14:textId="77777777" w:rsidTr="00C02CB8">
        <w:tblPrEx>
          <w:tblW w:w="10220" w:type="dxa"/>
          <w:tblLook w:val="04A0"/>
        </w:tblPrEx>
        <w:trPr>
          <w:trHeight w:val="255"/>
        </w:trPr>
        <w:tc>
          <w:tcPr>
            <w:tcW w:w="10220" w:type="dxa"/>
            <w:gridSpan w:val="8"/>
            <w:tcBorders>
              <w:top w:val="single" w:sz="4" w:space="0" w:color="auto"/>
              <w:left w:val="single" w:sz="4" w:space="0" w:color="auto"/>
              <w:bottom w:val="single" w:sz="4" w:space="0" w:color="auto"/>
              <w:right w:val="single" w:sz="4" w:space="0" w:color="000000"/>
            </w:tcBorders>
            <w:shd w:val="clear" w:color="auto" w:fill="auto"/>
            <w:hideMark/>
          </w:tcPr>
          <w:p w:rsidR="00C02CB8" w:rsidRPr="00C02CB8" w:rsidP="00C02CB8" w14:paraId="136FE00E" w14:textId="77777777">
            <w:pPr>
              <w:autoSpaceDE/>
              <w:autoSpaceDN/>
              <w:adjustRightInd/>
              <w:ind w:left="0" w:firstLine="200" w:firstLineChars="100"/>
              <w:rPr>
                <w:i/>
                <w:iCs/>
                <w:sz w:val="20"/>
                <w:szCs w:val="20"/>
              </w:rPr>
            </w:pPr>
            <w:r w:rsidRPr="00C02CB8">
              <w:rPr>
                <w:i/>
                <w:iCs/>
                <w:sz w:val="20"/>
                <w:szCs w:val="20"/>
              </w:rPr>
              <w:t xml:space="preserve"> Preparation </w:t>
            </w:r>
          </w:p>
        </w:tc>
      </w:tr>
      <w:tr w14:paraId="14C44CB0" w14:textId="77777777" w:rsidTr="00166307">
        <w:tblPrEx>
          <w:tblW w:w="10220"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1C6628F8" w14:textId="77777777">
            <w:pPr>
              <w:autoSpaceDE/>
              <w:autoSpaceDN/>
              <w:adjustRightInd/>
              <w:ind w:left="0" w:firstLine="400" w:firstLineChars="200"/>
              <w:rPr>
                <w:sz w:val="20"/>
                <w:szCs w:val="20"/>
              </w:rPr>
            </w:pPr>
            <w:r w:rsidRPr="00C02CB8">
              <w:rPr>
                <w:sz w:val="20"/>
                <w:szCs w:val="20"/>
              </w:rPr>
              <w:t>Legal Professional</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163E83D8" w14:textId="283B4228">
            <w:pPr>
              <w:autoSpaceDE/>
              <w:autoSpaceDN/>
              <w:adjustRightInd/>
              <w:ind w:left="0"/>
              <w:jc w:val="center"/>
              <w:rPr>
                <w:sz w:val="20"/>
                <w:szCs w:val="20"/>
              </w:rPr>
            </w:pPr>
            <w:r w:rsidRPr="00C02CB8">
              <w:rPr>
                <w:sz w:val="20"/>
                <w:szCs w:val="20"/>
              </w:rPr>
              <w:t xml:space="preserve">4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7754AF76" w14:textId="77777777">
            <w:pPr>
              <w:autoSpaceDE/>
              <w:autoSpaceDN/>
              <w:adjustRightInd/>
              <w:ind w:left="0"/>
              <w:jc w:val="right"/>
              <w:rPr>
                <w:sz w:val="20"/>
                <w:szCs w:val="20"/>
              </w:rPr>
            </w:pPr>
            <w:r w:rsidRPr="00C02CB8">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C02CB8" w14:paraId="06DC3257" w14:textId="77777777">
            <w:pPr>
              <w:autoSpaceDE/>
              <w:autoSpaceDN/>
              <w:adjustRightInd/>
              <w:ind w:left="0"/>
              <w:jc w:val="right"/>
              <w:rPr>
                <w:sz w:val="20"/>
                <w:szCs w:val="20"/>
              </w:rPr>
            </w:pPr>
            <w:r w:rsidRPr="00C02CB8">
              <w:rPr>
                <w:sz w:val="20"/>
                <w:szCs w:val="20"/>
              </w:rPr>
              <w:t>4</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4883D972" w14:textId="096868ED">
            <w:pPr>
              <w:autoSpaceDE/>
              <w:autoSpaceDN/>
              <w:adjustRightInd/>
              <w:ind w:left="0"/>
              <w:jc w:val="right"/>
              <w:rPr>
                <w:sz w:val="20"/>
                <w:szCs w:val="20"/>
              </w:rPr>
            </w:pPr>
            <w:r w:rsidRPr="00C02CB8">
              <w:rPr>
                <w:sz w:val="20"/>
                <w:szCs w:val="20"/>
              </w:rPr>
              <w:t>20</w:t>
            </w:r>
            <w:r w:rsidR="0068062D">
              <w:rPr>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0539B9D8" w14:textId="77777777">
            <w:pPr>
              <w:autoSpaceDE/>
              <w:autoSpaceDN/>
              <w:adjustRightInd/>
              <w:ind w:left="0"/>
              <w:jc w:val="right"/>
              <w:rPr>
                <w:sz w:val="20"/>
                <w:szCs w:val="20"/>
              </w:rPr>
            </w:pPr>
            <w:r w:rsidRPr="00C02CB8">
              <w:rPr>
                <w:sz w:val="20"/>
                <w:szCs w:val="20"/>
              </w:rPr>
              <w:t>80</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129B3544" w14:textId="77777777">
            <w:pPr>
              <w:autoSpaceDE/>
              <w:autoSpaceDN/>
              <w:adjustRightInd/>
              <w:ind w:left="0"/>
              <w:jc w:val="right"/>
              <w:rPr>
                <w:sz w:val="20"/>
                <w:szCs w:val="20"/>
              </w:rPr>
            </w:pPr>
            <w:r w:rsidRPr="00C02CB8">
              <w:rPr>
                <w:sz w:val="20"/>
                <w:szCs w:val="20"/>
              </w:rPr>
              <w:t>$159.34</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6757221B" w14:textId="77777777">
            <w:pPr>
              <w:autoSpaceDE/>
              <w:autoSpaceDN/>
              <w:adjustRightInd/>
              <w:ind w:left="0"/>
              <w:jc w:val="right"/>
              <w:rPr>
                <w:sz w:val="20"/>
                <w:szCs w:val="20"/>
              </w:rPr>
            </w:pPr>
            <w:r w:rsidRPr="00C02CB8">
              <w:rPr>
                <w:sz w:val="20"/>
                <w:szCs w:val="20"/>
              </w:rPr>
              <w:t>$12,747</w:t>
            </w:r>
          </w:p>
        </w:tc>
      </w:tr>
      <w:tr w14:paraId="25C2F374" w14:textId="77777777" w:rsidTr="00166307">
        <w:tblPrEx>
          <w:tblW w:w="10220"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49BEBE79" w14:textId="77777777">
            <w:pPr>
              <w:autoSpaceDE/>
              <w:autoSpaceDN/>
              <w:adjustRightInd/>
              <w:ind w:left="0" w:firstLine="400" w:firstLineChars="200"/>
              <w:rPr>
                <w:sz w:val="20"/>
                <w:szCs w:val="20"/>
              </w:rPr>
            </w:pPr>
            <w:r w:rsidRPr="00C02CB8">
              <w:rPr>
                <w:sz w:val="20"/>
                <w:szCs w:val="20"/>
              </w:rPr>
              <w:t>Clerical Worker</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359E0D30" w14:textId="0465BED1">
            <w:pPr>
              <w:autoSpaceDE/>
              <w:autoSpaceDN/>
              <w:adjustRightInd/>
              <w:ind w:left="0"/>
              <w:jc w:val="center"/>
              <w:rPr>
                <w:sz w:val="20"/>
                <w:szCs w:val="20"/>
              </w:rPr>
            </w:pPr>
            <w:r w:rsidRPr="00C02CB8">
              <w:rPr>
                <w:sz w:val="20"/>
                <w:szCs w:val="20"/>
              </w:rPr>
              <w:t xml:space="preserve">4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0B6CAD21" w14:textId="77777777">
            <w:pPr>
              <w:autoSpaceDE/>
              <w:autoSpaceDN/>
              <w:adjustRightInd/>
              <w:ind w:left="0"/>
              <w:jc w:val="right"/>
              <w:rPr>
                <w:sz w:val="20"/>
                <w:szCs w:val="20"/>
              </w:rPr>
            </w:pPr>
            <w:r w:rsidRPr="00C02CB8">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C02CB8" w14:paraId="633A716D" w14:textId="77777777">
            <w:pPr>
              <w:autoSpaceDE/>
              <w:autoSpaceDN/>
              <w:adjustRightInd/>
              <w:ind w:left="0"/>
              <w:jc w:val="right"/>
              <w:rPr>
                <w:sz w:val="20"/>
                <w:szCs w:val="20"/>
              </w:rPr>
            </w:pPr>
            <w:r w:rsidRPr="00C02CB8">
              <w:rPr>
                <w:sz w:val="20"/>
                <w:szCs w:val="20"/>
              </w:rPr>
              <w:t>4</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541E4367" w14:textId="0D6F30AC">
            <w:pPr>
              <w:autoSpaceDE/>
              <w:autoSpaceDN/>
              <w:adjustRightInd/>
              <w:ind w:left="0"/>
              <w:jc w:val="right"/>
              <w:rPr>
                <w:sz w:val="20"/>
                <w:szCs w:val="20"/>
              </w:rPr>
            </w:pPr>
            <w:r w:rsidRPr="00C02CB8">
              <w:rPr>
                <w:sz w:val="20"/>
                <w:szCs w:val="20"/>
              </w:rPr>
              <w:t>20</w:t>
            </w:r>
            <w:r w:rsidR="0068062D">
              <w:rPr>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280CBA55" w14:textId="77777777">
            <w:pPr>
              <w:autoSpaceDE/>
              <w:autoSpaceDN/>
              <w:adjustRightInd/>
              <w:ind w:left="0"/>
              <w:jc w:val="right"/>
              <w:rPr>
                <w:sz w:val="20"/>
                <w:szCs w:val="20"/>
              </w:rPr>
            </w:pPr>
            <w:r w:rsidRPr="00C02CB8">
              <w:rPr>
                <w:sz w:val="20"/>
                <w:szCs w:val="20"/>
              </w:rPr>
              <w:t>80</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0B5528A6" w14:textId="77777777">
            <w:pPr>
              <w:autoSpaceDE/>
              <w:autoSpaceDN/>
              <w:adjustRightInd/>
              <w:ind w:left="0"/>
              <w:jc w:val="right"/>
              <w:rPr>
                <w:sz w:val="20"/>
                <w:szCs w:val="20"/>
              </w:rPr>
            </w:pPr>
            <w:r w:rsidRPr="00C02CB8">
              <w:rPr>
                <w:sz w:val="20"/>
                <w:szCs w:val="20"/>
              </w:rPr>
              <w:t>$63.45</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5D050CA5" w14:textId="77777777">
            <w:pPr>
              <w:autoSpaceDE/>
              <w:autoSpaceDN/>
              <w:adjustRightInd/>
              <w:ind w:left="0"/>
              <w:jc w:val="right"/>
              <w:rPr>
                <w:sz w:val="20"/>
                <w:szCs w:val="20"/>
              </w:rPr>
            </w:pPr>
            <w:r w:rsidRPr="00C02CB8">
              <w:rPr>
                <w:sz w:val="20"/>
                <w:szCs w:val="20"/>
              </w:rPr>
              <w:t>$5,076</w:t>
            </w:r>
          </w:p>
        </w:tc>
      </w:tr>
      <w:tr w14:paraId="59DA7AE0" w14:textId="77777777" w:rsidTr="00166307">
        <w:tblPrEx>
          <w:tblW w:w="10220" w:type="dxa"/>
          <w:tblLook w:val="04A0"/>
        </w:tblPrEx>
        <w:trPr>
          <w:trHeight w:val="510"/>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430276FE" w14:textId="77777777">
            <w:pPr>
              <w:autoSpaceDE/>
              <w:autoSpaceDN/>
              <w:adjustRightInd/>
              <w:ind w:left="0" w:firstLine="400" w:firstLineChars="200"/>
              <w:rPr>
                <w:sz w:val="20"/>
                <w:szCs w:val="20"/>
              </w:rPr>
            </w:pPr>
            <w:r w:rsidRPr="00C02CB8">
              <w:rPr>
                <w:sz w:val="20"/>
                <w:szCs w:val="20"/>
              </w:rPr>
              <w:t>Outside Legal Professional</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509BBD8C" w14:textId="4E5619F0">
            <w:pPr>
              <w:autoSpaceDE/>
              <w:autoSpaceDN/>
              <w:adjustRightInd/>
              <w:ind w:left="0"/>
              <w:jc w:val="center"/>
              <w:rPr>
                <w:sz w:val="20"/>
                <w:szCs w:val="20"/>
              </w:rPr>
            </w:pPr>
            <w:r w:rsidRPr="00C02CB8">
              <w:rPr>
                <w:sz w:val="20"/>
                <w:szCs w:val="20"/>
              </w:rPr>
              <w:t xml:space="preserve">1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01C38472" w14:textId="77777777">
            <w:pPr>
              <w:autoSpaceDE/>
              <w:autoSpaceDN/>
              <w:adjustRightInd/>
              <w:ind w:left="0"/>
              <w:jc w:val="right"/>
              <w:rPr>
                <w:sz w:val="20"/>
                <w:szCs w:val="20"/>
              </w:rPr>
            </w:pPr>
            <w:r w:rsidRPr="00C02CB8">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C02CB8" w14:paraId="44BCC20F" w14:textId="77777777">
            <w:pPr>
              <w:autoSpaceDE/>
              <w:autoSpaceDN/>
              <w:adjustRightInd/>
              <w:ind w:left="0"/>
              <w:jc w:val="right"/>
              <w:rPr>
                <w:sz w:val="20"/>
                <w:szCs w:val="20"/>
              </w:rPr>
            </w:pPr>
            <w:r w:rsidRPr="00C02CB8">
              <w:rPr>
                <w:sz w:val="20"/>
                <w:szCs w:val="20"/>
              </w:rPr>
              <w:t>1</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186D9F95" w14:textId="605D4B61">
            <w:pPr>
              <w:autoSpaceDE/>
              <w:autoSpaceDN/>
              <w:adjustRightInd/>
              <w:ind w:left="0"/>
              <w:jc w:val="right"/>
              <w:rPr>
                <w:sz w:val="20"/>
                <w:szCs w:val="20"/>
              </w:rPr>
            </w:pPr>
            <w:r w:rsidRPr="00C02CB8">
              <w:rPr>
                <w:sz w:val="20"/>
                <w:szCs w:val="20"/>
              </w:rPr>
              <w:t>15</w:t>
            </w:r>
            <w:r w:rsidR="0068062D">
              <w:rPr>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408FD159" w14:textId="77777777">
            <w:pPr>
              <w:autoSpaceDE/>
              <w:autoSpaceDN/>
              <w:adjustRightInd/>
              <w:ind w:left="0"/>
              <w:jc w:val="right"/>
              <w:rPr>
                <w:sz w:val="20"/>
                <w:szCs w:val="20"/>
              </w:rPr>
            </w:pPr>
            <w:r w:rsidRPr="00C02CB8">
              <w:rPr>
                <w:sz w:val="20"/>
                <w:szCs w:val="20"/>
              </w:rPr>
              <w:t>15</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685F2257" w14:textId="77777777">
            <w:pPr>
              <w:autoSpaceDE/>
              <w:autoSpaceDN/>
              <w:adjustRightInd/>
              <w:ind w:left="0"/>
              <w:jc w:val="right"/>
              <w:rPr>
                <w:sz w:val="20"/>
                <w:szCs w:val="20"/>
              </w:rPr>
            </w:pPr>
            <w:r w:rsidRPr="00C02CB8">
              <w:rPr>
                <w:sz w:val="20"/>
                <w:szCs w:val="20"/>
              </w:rPr>
              <w:t>$535.85</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24B549BC" w14:textId="77777777">
            <w:pPr>
              <w:autoSpaceDE/>
              <w:autoSpaceDN/>
              <w:adjustRightInd/>
              <w:ind w:left="0"/>
              <w:jc w:val="right"/>
              <w:rPr>
                <w:sz w:val="20"/>
                <w:szCs w:val="20"/>
              </w:rPr>
            </w:pPr>
            <w:r w:rsidRPr="00C02CB8">
              <w:rPr>
                <w:sz w:val="20"/>
                <w:szCs w:val="20"/>
              </w:rPr>
              <w:t>$8,038</w:t>
            </w:r>
          </w:p>
        </w:tc>
      </w:tr>
      <w:tr w14:paraId="3F91E015" w14:textId="77777777" w:rsidTr="00C02CB8">
        <w:tblPrEx>
          <w:tblW w:w="10220" w:type="dxa"/>
          <w:tblLook w:val="04A0"/>
        </w:tblPrEx>
        <w:trPr>
          <w:trHeight w:val="255"/>
        </w:trPr>
        <w:tc>
          <w:tcPr>
            <w:tcW w:w="10220" w:type="dxa"/>
            <w:gridSpan w:val="8"/>
            <w:tcBorders>
              <w:top w:val="single" w:sz="4" w:space="0" w:color="auto"/>
              <w:left w:val="single" w:sz="4" w:space="0" w:color="auto"/>
              <w:bottom w:val="single" w:sz="4" w:space="0" w:color="auto"/>
              <w:right w:val="single" w:sz="4" w:space="0" w:color="000000"/>
            </w:tcBorders>
            <w:shd w:val="clear" w:color="auto" w:fill="auto"/>
            <w:hideMark/>
          </w:tcPr>
          <w:p w:rsidR="00C02CB8" w:rsidRPr="00C02CB8" w:rsidP="00C02CB8" w14:paraId="2DA8CB74" w14:textId="543C43EE">
            <w:pPr>
              <w:autoSpaceDE/>
              <w:autoSpaceDN/>
              <w:adjustRightInd/>
              <w:ind w:left="0" w:firstLine="200" w:firstLineChars="100"/>
              <w:rPr>
                <w:i/>
                <w:iCs/>
                <w:sz w:val="20"/>
                <w:szCs w:val="20"/>
              </w:rPr>
            </w:pPr>
            <w:r w:rsidRPr="00C02CB8">
              <w:rPr>
                <w:i/>
                <w:iCs/>
                <w:sz w:val="20"/>
                <w:szCs w:val="20"/>
              </w:rPr>
              <w:t xml:space="preserve"> Notice Distribution</w:t>
            </w:r>
            <w:r w:rsidR="0068062D">
              <w:rPr>
                <w:i/>
                <w:iCs/>
                <w:sz w:val="20"/>
                <w:szCs w:val="20"/>
              </w:rPr>
              <w:t xml:space="preserve"> </w:t>
            </w:r>
          </w:p>
        </w:tc>
      </w:tr>
      <w:tr w14:paraId="04382A91" w14:textId="77777777" w:rsidTr="00166307">
        <w:tblPrEx>
          <w:tblW w:w="10220"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5A4E4F48" w14:textId="77777777">
            <w:pPr>
              <w:autoSpaceDE/>
              <w:autoSpaceDN/>
              <w:adjustRightInd/>
              <w:ind w:left="0" w:firstLine="400" w:firstLineChars="200"/>
              <w:rPr>
                <w:sz w:val="20"/>
                <w:szCs w:val="20"/>
              </w:rPr>
            </w:pPr>
            <w:r w:rsidRPr="00C02CB8">
              <w:rPr>
                <w:sz w:val="20"/>
                <w:szCs w:val="20"/>
              </w:rPr>
              <w:t>Clerical Worker</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09446C34" w14:textId="582DE700">
            <w:pPr>
              <w:autoSpaceDE/>
              <w:autoSpaceDN/>
              <w:adjustRightInd/>
              <w:ind w:left="0"/>
              <w:jc w:val="center"/>
              <w:rPr>
                <w:sz w:val="20"/>
                <w:szCs w:val="20"/>
              </w:rPr>
            </w:pPr>
            <w:r w:rsidRPr="00C02CB8">
              <w:rPr>
                <w:sz w:val="20"/>
                <w:szCs w:val="20"/>
              </w:rPr>
              <w:t xml:space="preserve">4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20F7C1B6" w14:textId="77777777">
            <w:pPr>
              <w:autoSpaceDE/>
              <w:autoSpaceDN/>
              <w:adjustRightInd/>
              <w:ind w:left="0"/>
              <w:jc w:val="right"/>
              <w:rPr>
                <w:sz w:val="20"/>
                <w:szCs w:val="20"/>
              </w:rPr>
            </w:pPr>
            <w:r w:rsidRPr="00C02CB8">
              <w:rPr>
                <w:sz w:val="20"/>
                <w:szCs w:val="20"/>
              </w:rPr>
              <w:t>50</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C02CB8" w14:paraId="5BCF2D25" w14:textId="77777777">
            <w:pPr>
              <w:autoSpaceDE/>
              <w:autoSpaceDN/>
              <w:adjustRightInd/>
              <w:ind w:left="0"/>
              <w:jc w:val="right"/>
              <w:rPr>
                <w:sz w:val="20"/>
                <w:szCs w:val="20"/>
              </w:rPr>
            </w:pPr>
            <w:r w:rsidRPr="00C02CB8">
              <w:rPr>
                <w:sz w:val="20"/>
                <w:szCs w:val="20"/>
              </w:rPr>
              <w:t>200</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3603CFF7" w14:textId="3C1F9D1F">
            <w:pPr>
              <w:autoSpaceDE/>
              <w:autoSpaceDN/>
              <w:adjustRightInd/>
              <w:ind w:left="0"/>
              <w:jc w:val="right"/>
              <w:rPr>
                <w:sz w:val="20"/>
                <w:szCs w:val="20"/>
              </w:rPr>
            </w:pPr>
            <w:r>
              <w:rPr>
                <w:sz w:val="20"/>
                <w:szCs w:val="20"/>
              </w:rPr>
              <w:t xml:space="preserve"> </w:t>
            </w:r>
            <w:r w:rsidRPr="00C02CB8">
              <w:rPr>
                <w:sz w:val="20"/>
                <w:szCs w:val="20"/>
              </w:rPr>
              <w:t>5/60</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4B4E034F" w14:textId="77777777">
            <w:pPr>
              <w:autoSpaceDE/>
              <w:autoSpaceDN/>
              <w:adjustRightInd/>
              <w:ind w:left="0"/>
              <w:jc w:val="right"/>
              <w:rPr>
                <w:sz w:val="20"/>
                <w:szCs w:val="20"/>
              </w:rPr>
            </w:pPr>
            <w:r w:rsidRPr="00C02CB8">
              <w:rPr>
                <w:sz w:val="20"/>
                <w:szCs w:val="20"/>
              </w:rPr>
              <w:t>17</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0AE1B99B" w14:textId="77777777">
            <w:pPr>
              <w:autoSpaceDE/>
              <w:autoSpaceDN/>
              <w:adjustRightInd/>
              <w:ind w:left="0"/>
              <w:jc w:val="right"/>
              <w:rPr>
                <w:sz w:val="20"/>
                <w:szCs w:val="20"/>
              </w:rPr>
            </w:pPr>
            <w:r w:rsidRPr="00C02CB8">
              <w:rPr>
                <w:sz w:val="20"/>
                <w:szCs w:val="20"/>
              </w:rPr>
              <w:t>$63.45</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109A22DD" w14:textId="77777777">
            <w:pPr>
              <w:autoSpaceDE/>
              <w:autoSpaceDN/>
              <w:adjustRightInd/>
              <w:ind w:left="0"/>
              <w:jc w:val="right"/>
              <w:rPr>
                <w:sz w:val="20"/>
                <w:szCs w:val="20"/>
              </w:rPr>
            </w:pPr>
            <w:r w:rsidRPr="00C02CB8">
              <w:rPr>
                <w:sz w:val="20"/>
                <w:szCs w:val="20"/>
              </w:rPr>
              <w:t>$1,058</w:t>
            </w:r>
          </w:p>
        </w:tc>
      </w:tr>
      <w:tr w14:paraId="2F5441BB" w14:textId="77777777" w:rsidTr="00C02CB8">
        <w:tblPrEx>
          <w:tblW w:w="10220" w:type="dxa"/>
          <w:tblLook w:val="04A0"/>
        </w:tblPrEx>
        <w:trPr>
          <w:trHeight w:val="255"/>
        </w:trPr>
        <w:tc>
          <w:tcPr>
            <w:tcW w:w="10220" w:type="dxa"/>
            <w:gridSpan w:val="8"/>
            <w:tcBorders>
              <w:top w:val="single" w:sz="4" w:space="0" w:color="auto"/>
              <w:left w:val="single" w:sz="4" w:space="0" w:color="auto"/>
              <w:bottom w:val="single" w:sz="4" w:space="0" w:color="auto"/>
              <w:right w:val="single" w:sz="4" w:space="0" w:color="000000"/>
            </w:tcBorders>
            <w:shd w:val="clear" w:color="auto" w:fill="auto"/>
            <w:hideMark/>
          </w:tcPr>
          <w:p w:rsidR="00C02CB8" w:rsidRPr="00C02CB8" w:rsidP="00C02CB8" w14:paraId="79C5AB94" w14:textId="77777777">
            <w:pPr>
              <w:autoSpaceDE/>
              <w:autoSpaceDN/>
              <w:adjustRightInd/>
              <w:ind w:left="0" w:firstLine="200" w:firstLineChars="100"/>
              <w:rPr>
                <w:i/>
                <w:iCs/>
                <w:sz w:val="20"/>
                <w:szCs w:val="20"/>
              </w:rPr>
            </w:pPr>
            <w:r w:rsidRPr="00C02CB8">
              <w:rPr>
                <w:i/>
                <w:iCs/>
                <w:sz w:val="20"/>
                <w:szCs w:val="20"/>
              </w:rPr>
              <w:t xml:space="preserve"> Objective Description Distribution </w:t>
            </w:r>
          </w:p>
        </w:tc>
      </w:tr>
      <w:tr w14:paraId="2E364068" w14:textId="77777777" w:rsidTr="00166307">
        <w:tblPrEx>
          <w:tblW w:w="10220"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4E6A6B3D" w14:textId="77777777">
            <w:pPr>
              <w:autoSpaceDE/>
              <w:autoSpaceDN/>
              <w:adjustRightInd/>
              <w:ind w:left="0" w:firstLine="400" w:firstLineChars="200"/>
              <w:rPr>
                <w:sz w:val="20"/>
                <w:szCs w:val="20"/>
              </w:rPr>
            </w:pPr>
            <w:r w:rsidRPr="00C02CB8">
              <w:rPr>
                <w:sz w:val="20"/>
                <w:szCs w:val="20"/>
              </w:rPr>
              <w:t>Clerical Worker</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63A0E7DD" w14:textId="7403CA88">
            <w:pPr>
              <w:autoSpaceDE/>
              <w:autoSpaceDN/>
              <w:adjustRightInd/>
              <w:ind w:left="0"/>
              <w:jc w:val="center"/>
              <w:rPr>
                <w:sz w:val="20"/>
                <w:szCs w:val="20"/>
              </w:rPr>
            </w:pPr>
            <w:r w:rsidRPr="00C02CB8">
              <w:rPr>
                <w:sz w:val="20"/>
                <w:szCs w:val="20"/>
              </w:rPr>
              <w:t xml:space="preserve">4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2EEBE7EC" w14:textId="77777777">
            <w:pPr>
              <w:autoSpaceDE/>
              <w:autoSpaceDN/>
              <w:adjustRightInd/>
              <w:ind w:left="0"/>
              <w:jc w:val="right"/>
              <w:rPr>
                <w:sz w:val="20"/>
                <w:szCs w:val="20"/>
              </w:rPr>
            </w:pPr>
            <w:r w:rsidRPr="00C02CB8">
              <w:rPr>
                <w:sz w:val="20"/>
                <w:szCs w:val="20"/>
              </w:rPr>
              <w:t>50</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C02CB8" w14:paraId="2B2D0C06" w14:textId="77777777">
            <w:pPr>
              <w:autoSpaceDE/>
              <w:autoSpaceDN/>
              <w:adjustRightInd/>
              <w:ind w:left="0"/>
              <w:jc w:val="right"/>
              <w:rPr>
                <w:sz w:val="20"/>
                <w:szCs w:val="20"/>
              </w:rPr>
            </w:pPr>
            <w:r w:rsidRPr="00C02CB8">
              <w:rPr>
                <w:sz w:val="20"/>
                <w:szCs w:val="20"/>
              </w:rPr>
              <w:t>200</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7A32F9FF" w14:textId="0C594B2E">
            <w:pPr>
              <w:autoSpaceDE/>
              <w:autoSpaceDN/>
              <w:adjustRightInd/>
              <w:ind w:left="0"/>
              <w:jc w:val="right"/>
              <w:rPr>
                <w:sz w:val="20"/>
                <w:szCs w:val="20"/>
              </w:rPr>
            </w:pPr>
            <w:r>
              <w:rPr>
                <w:sz w:val="20"/>
                <w:szCs w:val="20"/>
              </w:rPr>
              <w:t xml:space="preserve"> </w:t>
            </w:r>
            <w:r w:rsidRPr="00C02CB8">
              <w:rPr>
                <w:sz w:val="20"/>
                <w:szCs w:val="20"/>
              </w:rPr>
              <w:t>5/60</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10ADB835" w14:textId="77777777">
            <w:pPr>
              <w:autoSpaceDE/>
              <w:autoSpaceDN/>
              <w:adjustRightInd/>
              <w:ind w:left="0"/>
              <w:jc w:val="right"/>
              <w:rPr>
                <w:sz w:val="20"/>
                <w:szCs w:val="20"/>
              </w:rPr>
            </w:pPr>
            <w:r w:rsidRPr="00C02CB8">
              <w:rPr>
                <w:sz w:val="20"/>
                <w:szCs w:val="20"/>
              </w:rPr>
              <w:t>17</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73807370" w14:textId="77777777">
            <w:pPr>
              <w:autoSpaceDE/>
              <w:autoSpaceDN/>
              <w:adjustRightInd/>
              <w:ind w:left="0"/>
              <w:jc w:val="right"/>
              <w:rPr>
                <w:sz w:val="20"/>
                <w:szCs w:val="20"/>
              </w:rPr>
            </w:pPr>
            <w:r w:rsidRPr="00C02CB8">
              <w:rPr>
                <w:sz w:val="20"/>
                <w:szCs w:val="20"/>
              </w:rPr>
              <w:t>$63.45</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21D973A5" w14:textId="77777777">
            <w:pPr>
              <w:autoSpaceDE/>
              <w:autoSpaceDN/>
              <w:adjustRightInd/>
              <w:ind w:left="0"/>
              <w:jc w:val="right"/>
              <w:rPr>
                <w:sz w:val="20"/>
                <w:szCs w:val="20"/>
              </w:rPr>
            </w:pPr>
            <w:r w:rsidRPr="00C02CB8">
              <w:rPr>
                <w:sz w:val="20"/>
                <w:szCs w:val="20"/>
              </w:rPr>
              <w:t>$1,058</w:t>
            </w:r>
          </w:p>
        </w:tc>
      </w:tr>
      <w:tr w14:paraId="41EDE264" w14:textId="77777777" w:rsidTr="00C02CB8">
        <w:tblPrEx>
          <w:tblW w:w="10220" w:type="dxa"/>
          <w:tblLook w:val="04A0"/>
        </w:tblPrEx>
        <w:trPr>
          <w:trHeight w:val="255"/>
        </w:trPr>
        <w:tc>
          <w:tcPr>
            <w:tcW w:w="10220" w:type="dxa"/>
            <w:gridSpan w:val="8"/>
            <w:tcBorders>
              <w:top w:val="single" w:sz="4" w:space="0" w:color="auto"/>
              <w:left w:val="single" w:sz="4" w:space="0" w:color="auto"/>
              <w:bottom w:val="single" w:sz="4" w:space="0" w:color="auto"/>
              <w:right w:val="single" w:sz="4" w:space="0" w:color="000000"/>
            </w:tcBorders>
            <w:shd w:val="clear" w:color="auto" w:fill="auto"/>
            <w:hideMark/>
          </w:tcPr>
          <w:p w:rsidR="00C02CB8" w:rsidRPr="00C02CB8" w:rsidP="00C02CB8" w14:paraId="7251A9D9" w14:textId="77777777">
            <w:pPr>
              <w:autoSpaceDE/>
              <w:autoSpaceDN/>
              <w:adjustRightInd/>
              <w:ind w:left="0" w:firstLine="200" w:firstLineChars="100"/>
              <w:rPr>
                <w:i/>
                <w:iCs/>
                <w:sz w:val="20"/>
                <w:szCs w:val="20"/>
              </w:rPr>
            </w:pPr>
            <w:r w:rsidRPr="00C02CB8">
              <w:rPr>
                <w:i/>
                <w:iCs/>
                <w:sz w:val="20"/>
                <w:szCs w:val="20"/>
              </w:rPr>
              <w:t xml:space="preserve"> Additional Requirement Preparation </w:t>
            </w:r>
          </w:p>
        </w:tc>
      </w:tr>
      <w:tr w14:paraId="146FEEFD" w14:textId="77777777" w:rsidTr="00166307">
        <w:tblPrEx>
          <w:tblW w:w="10220" w:type="dxa"/>
          <w:tblLook w:val="04A0"/>
        </w:tblPrEx>
        <w:trPr>
          <w:trHeight w:val="510"/>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5E12FA35" w14:textId="77777777">
            <w:pPr>
              <w:autoSpaceDE/>
              <w:autoSpaceDN/>
              <w:adjustRightInd/>
              <w:ind w:left="0" w:firstLine="400" w:firstLineChars="200"/>
              <w:rPr>
                <w:sz w:val="20"/>
                <w:szCs w:val="20"/>
              </w:rPr>
            </w:pPr>
            <w:r w:rsidRPr="00C02CB8">
              <w:rPr>
                <w:sz w:val="20"/>
                <w:szCs w:val="20"/>
              </w:rPr>
              <w:t>Outside Legal Professional</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1915A1F7" w14:textId="507DB3F3">
            <w:pPr>
              <w:autoSpaceDE/>
              <w:autoSpaceDN/>
              <w:adjustRightInd/>
              <w:ind w:left="0"/>
              <w:jc w:val="center"/>
              <w:rPr>
                <w:sz w:val="20"/>
                <w:szCs w:val="20"/>
              </w:rPr>
            </w:pPr>
            <w:r w:rsidRPr="00C02CB8">
              <w:rPr>
                <w:sz w:val="20"/>
                <w:szCs w:val="20"/>
              </w:rPr>
              <w:t xml:space="preserve">3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6DF34AFB" w14:textId="77777777">
            <w:pPr>
              <w:autoSpaceDE/>
              <w:autoSpaceDN/>
              <w:adjustRightInd/>
              <w:ind w:left="0"/>
              <w:jc w:val="right"/>
              <w:rPr>
                <w:sz w:val="20"/>
                <w:szCs w:val="20"/>
              </w:rPr>
            </w:pPr>
            <w:r w:rsidRPr="00C02CB8">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C02CB8" w14:paraId="29907F9D" w14:textId="77777777">
            <w:pPr>
              <w:autoSpaceDE/>
              <w:autoSpaceDN/>
              <w:adjustRightInd/>
              <w:ind w:left="0"/>
              <w:jc w:val="right"/>
              <w:rPr>
                <w:sz w:val="20"/>
                <w:szCs w:val="20"/>
              </w:rPr>
            </w:pPr>
            <w:r w:rsidRPr="00C02CB8">
              <w:rPr>
                <w:sz w:val="20"/>
                <w:szCs w:val="20"/>
              </w:rPr>
              <w:t>3</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277C6A66" w14:textId="64F45039">
            <w:pPr>
              <w:autoSpaceDE/>
              <w:autoSpaceDN/>
              <w:adjustRightInd/>
              <w:ind w:left="0"/>
              <w:jc w:val="right"/>
              <w:rPr>
                <w:sz w:val="20"/>
                <w:szCs w:val="20"/>
              </w:rPr>
            </w:pPr>
            <w:r w:rsidRPr="00C02CB8">
              <w:rPr>
                <w:sz w:val="20"/>
                <w:szCs w:val="20"/>
              </w:rPr>
              <w:t>3</w:t>
            </w:r>
            <w:r w:rsidR="0068062D">
              <w:rPr>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6B0AA604" w14:textId="77777777">
            <w:pPr>
              <w:autoSpaceDE/>
              <w:autoSpaceDN/>
              <w:adjustRightInd/>
              <w:ind w:left="0"/>
              <w:jc w:val="right"/>
              <w:rPr>
                <w:sz w:val="20"/>
                <w:szCs w:val="20"/>
              </w:rPr>
            </w:pPr>
            <w:r w:rsidRPr="00C02CB8">
              <w:rPr>
                <w:sz w:val="20"/>
                <w:szCs w:val="20"/>
              </w:rPr>
              <w:t>9</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128FD4ED" w14:textId="77777777">
            <w:pPr>
              <w:autoSpaceDE/>
              <w:autoSpaceDN/>
              <w:adjustRightInd/>
              <w:ind w:left="0"/>
              <w:jc w:val="right"/>
              <w:rPr>
                <w:sz w:val="20"/>
                <w:szCs w:val="20"/>
              </w:rPr>
            </w:pPr>
            <w:r w:rsidRPr="00C02CB8">
              <w:rPr>
                <w:sz w:val="20"/>
                <w:szCs w:val="20"/>
              </w:rPr>
              <w:t>$535.85</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32E84A1C" w14:textId="77777777">
            <w:pPr>
              <w:autoSpaceDE/>
              <w:autoSpaceDN/>
              <w:adjustRightInd/>
              <w:ind w:left="0"/>
              <w:jc w:val="right"/>
              <w:rPr>
                <w:sz w:val="20"/>
                <w:szCs w:val="20"/>
              </w:rPr>
            </w:pPr>
            <w:r w:rsidRPr="00C02CB8">
              <w:rPr>
                <w:sz w:val="20"/>
                <w:szCs w:val="20"/>
              </w:rPr>
              <w:t>$4,823</w:t>
            </w:r>
          </w:p>
        </w:tc>
      </w:tr>
      <w:tr w14:paraId="57A1B652" w14:textId="77777777" w:rsidTr="00166307">
        <w:tblPrEx>
          <w:tblW w:w="10220" w:type="dxa"/>
          <w:tblLook w:val="04A0"/>
        </w:tblPrEx>
        <w:trPr>
          <w:trHeight w:val="525"/>
        </w:trPr>
        <w:tc>
          <w:tcPr>
            <w:tcW w:w="1890" w:type="dxa"/>
            <w:tcBorders>
              <w:top w:val="nil"/>
              <w:left w:val="single" w:sz="4" w:space="0" w:color="auto"/>
              <w:bottom w:val="nil"/>
              <w:right w:val="single" w:sz="4" w:space="0" w:color="auto"/>
            </w:tcBorders>
            <w:shd w:val="clear" w:color="auto" w:fill="auto"/>
            <w:vAlign w:val="center"/>
            <w:hideMark/>
          </w:tcPr>
          <w:p w:rsidR="00C02CB8" w:rsidRPr="00C02CB8" w:rsidP="00C02CB8" w14:paraId="25301915" w14:textId="77777777">
            <w:pPr>
              <w:autoSpaceDE/>
              <w:autoSpaceDN/>
              <w:adjustRightInd/>
              <w:ind w:left="0" w:firstLine="400" w:firstLineChars="200"/>
              <w:rPr>
                <w:sz w:val="20"/>
                <w:szCs w:val="20"/>
              </w:rPr>
            </w:pPr>
            <w:r w:rsidRPr="00C02CB8">
              <w:rPr>
                <w:sz w:val="20"/>
                <w:szCs w:val="20"/>
              </w:rPr>
              <w:t>Financial Professional</w:t>
            </w:r>
          </w:p>
        </w:tc>
        <w:tc>
          <w:tcPr>
            <w:tcW w:w="1306" w:type="dxa"/>
            <w:tcBorders>
              <w:top w:val="nil"/>
              <w:left w:val="nil"/>
              <w:bottom w:val="nil"/>
              <w:right w:val="single" w:sz="4" w:space="0" w:color="auto"/>
            </w:tcBorders>
            <w:shd w:val="clear" w:color="auto" w:fill="auto"/>
            <w:vAlign w:val="center"/>
            <w:hideMark/>
          </w:tcPr>
          <w:p w:rsidR="00C02CB8" w:rsidRPr="00C02CB8" w:rsidP="00C02CB8" w14:paraId="413F04CF" w14:textId="016D4487">
            <w:pPr>
              <w:autoSpaceDE/>
              <w:autoSpaceDN/>
              <w:adjustRightInd/>
              <w:ind w:left="0"/>
              <w:jc w:val="center"/>
              <w:rPr>
                <w:sz w:val="20"/>
                <w:szCs w:val="20"/>
              </w:rPr>
            </w:pPr>
            <w:r w:rsidRPr="00C02CB8">
              <w:rPr>
                <w:sz w:val="20"/>
                <w:szCs w:val="20"/>
              </w:rPr>
              <w:t xml:space="preserve">3 </w:t>
            </w:r>
          </w:p>
        </w:tc>
        <w:tc>
          <w:tcPr>
            <w:tcW w:w="1580" w:type="dxa"/>
            <w:tcBorders>
              <w:top w:val="nil"/>
              <w:left w:val="nil"/>
              <w:bottom w:val="nil"/>
              <w:right w:val="single" w:sz="4" w:space="0" w:color="auto"/>
            </w:tcBorders>
            <w:shd w:val="clear" w:color="auto" w:fill="auto"/>
            <w:vAlign w:val="center"/>
            <w:hideMark/>
          </w:tcPr>
          <w:p w:rsidR="00C02CB8" w:rsidRPr="00C02CB8" w:rsidP="00C02CB8" w14:paraId="29A84C4C" w14:textId="77777777">
            <w:pPr>
              <w:autoSpaceDE/>
              <w:autoSpaceDN/>
              <w:adjustRightInd/>
              <w:ind w:left="0"/>
              <w:jc w:val="right"/>
              <w:rPr>
                <w:sz w:val="20"/>
                <w:szCs w:val="20"/>
              </w:rPr>
            </w:pPr>
            <w:r w:rsidRPr="00C02CB8">
              <w:rPr>
                <w:sz w:val="20"/>
                <w:szCs w:val="20"/>
              </w:rPr>
              <w:t>1</w:t>
            </w:r>
          </w:p>
        </w:tc>
        <w:tc>
          <w:tcPr>
            <w:tcW w:w="1094" w:type="dxa"/>
            <w:tcBorders>
              <w:top w:val="nil"/>
              <w:left w:val="nil"/>
              <w:bottom w:val="nil"/>
              <w:right w:val="single" w:sz="4" w:space="0" w:color="auto"/>
            </w:tcBorders>
            <w:shd w:val="clear" w:color="auto" w:fill="auto"/>
            <w:vAlign w:val="center"/>
            <w:hideMark/>
          </w:tcPr>
          <w:p w:rsidR="00C02CB8" w:rsidRPr="00C02CB8" w:rsidP="00C02CB8" w14:paraId="3883C3F2" w14:textId="77777777">
            <w:pPr>
              <w:autoSpaceDE/>
              <w:autoSpaceDN/>
              <w:adjustRightInd/>
              <w:ind w:left="0"/>
              <w:jc w:val="right"/>
              <w:rPr>
                <w:sz w:val="20"/>
                <w:szCs w:val="20"/>
              </w:rPr>
            </w:pPr>
            <w:r w:rsidRPr="00C02CB8">
              <w:rPr>
                <w:sz w:val="20"/>
                <w:szCs w:val="20"/>
              </w:rPr>
              <w:t>3</w:t>
            </w:r>
          </w:p>
        </w:tc>
        <w:tc>
          <w:tcPr>
            <w:tcW w:w="1060" w:type="dxa"/>
            <w:tcBorders>
              <w:top w:val="nil"/>
              <w:left w:val="nil"/>
              <w:bottom w:val="nil"/>
              <w:right w:val="single" w:sz="4" w:space="0" w:color="auto"/>
            </w:tcBorders>
            <w:shd w:val="clear" w:color="auto" w:fill="auto"/>
            <w:vAlign w:val="center"/>
            <w:hideMark/>
          </w:tcPr>
          <w:p w:rsidR="00C02CB8" w:rsidRPr="00C02CB8" w:rsidP="00C02CB8" w14:paraId="3200E791" w14:textId="23A493F0">
            <w:pPr>
              <w:autoSpaceDE/>
              <w:autoSpaceDN/>
              <w:adjustRightInd/>
              <w:ind w:left="0"/>
              <w:jc w:val="right"/>
              <w:rPr>
                <w:sz w:val="20"/>
                <w:szCs w:val="20"/>
              </w:rPr>
            </w:pPr>
            <w:r w:rsidRPr="00C02CB8">
              <w:rPr>
                <w:sz w:val="20"/>
                <w:szCs w:val="20"/>
              </w:rPr>
              <w:t>4</w:t>
            </w:r>
            <w:r w:rsidR="0068062D">
              <w:rPr>
                <w:sz w:val="20"/>
                <w:szCs w:val="20"/>
              </w:rPr>
              <w:t xml:space="preserve"> </w:t>
            </w:r>
          </w:p>
        </w:tc>
        <w:tc>
          <w:tcPr>
            <w:tcW w:w="1080" w:type="dxa"/>
            <w:tcBorders>
              <w:top w:val="nil"/>
              <w:left w:val="nil"/>
              <w:bottom w:val="nil"/>
              <w:right w:val="single" w:sz="4" w:space="0" w:color="auto"/>
            </w:tcBorders>
            <w:shd w:val="clear" w:color="auto" w:fill="auto"/>
            <w:vAlign w:val="center"/>
            <w:hideMark/>
          </w:tcPr>
          <w:p w:rsidR="00C02CB8" w:rsidRPr="00C02CB8" w:rsidP="00C02CB8" w14:paraId="67C0788B" w14:textId="77777777">
            <w:pPr>
              <w:autoSpaceDE/>
              <w:autoSpaceDN/>
              <w:adjustRightInd/>
              <w:ind w:left="0"/>
              <w:jc w:val="right"/>
              <w:rPr>
                <w:sz w:val="20"/>
                <w:szCs w:val="20"/>
              </w:rPr>
            </w:pPr>
            <w:r w:rsidRPr="00C02CB8">
              <w:rPr>
                <w:sz w:val="20"/>
                <w:szCs w:val="20"/>
              </w:rPr>
              <w:t>12</w:t>
            </w:r>
          </w:p>
        </w:tc>
        <w:tc>
          <w:tcPr>
            <w:tcW w:w="970" w:type="dxa"/>
            <w:tcBorders>
              <w:top w:val="nil"/>
              <w:left w:val="nil"/>
              <w:bottom w:val="nil"/>
              <w:right w:val="single" w:sz="4" w:space="0" w:color="auto"/>
            </w:tcBorders>
            <w:shd w:val="clear" w:color="auto" w:fill="auto"/>
            <w:vAlign w:val="center"/>
            <w:hideMark/>
          </w:tcPr>
          <w:p w:rsidR="00C02CB8" w:rsidRPr="00C02CB8" w:rsidP="00C02CB8" w14:paraId="5DDD68A7" w14:textId="77777777">
            <w:pPr>
              <w:autoSpaceDE/>
              <w:autoSpaceDN/>
              <w:adjustRightInd/>
              <w:ind w:left="0"/>
              <w:jc w:val="right"/>
              <w:rPr>
                <w:sz w:val="20"/>
                <w:szCs w:val="20"/>
              </w:rPr>
            </w:pPr>
            <w:r w:rsidRPr="00C02CB8">
              <w:rPr>
                <w:sz w:val="20"/>
                <w:szCs w:val="20"/>
              </w:rPr>
              <w:t>$190.63</w:t>
            </w:r>
          </w:p>
        </w:tc>
        <w:tc>
          <w:tcPr>
            <w:tcW w:w="1240" w:type="dxa"/>
            <w:tcBorders>
              <w:top w:val="nil"/>
              <w:left w:val="nil"/>
              <w:bottom w:val="nil"/>
              <w:right w:val="single" w:sz="4" w:space="0" w:color="auto"/>
            </w:tcBorders>
            <w:shd w:val="clear" w:color="auto" w:fill="auto"/>
            <w:vAlign w:val="center"/>
            <w:hideMark/>
          </w:tcPr>
          <w:p w:rsidR="00C02CB8" w:rsidRPr="00C02CB8" w:rsidP="00C02CB8" w14:paraId="1204A7B0" w14:textId="77777777">
            <w:pPr>
              <w:autoSpaceDE/>
              <w:autoSpaceDN/>
              <w:adjustRightInd/>
              <w:ind w:left="0"/>
              <w:jc w:val="right"/>
              <w:rPr>
                <w:sz w:val="20"/>
                <w:szCs w:val="20"/>
              </w:rPr>
            </w:pPr>
            <w:r w:rsidRPr="00C02CB8">
              <w:rPr>
                <w:sz w:val="20"/>
                <w:szCs w:val="20"/>
              </w:rPr>
              <w:t>$2,288</w:t>
            </w:r>
          </w:p>
        </w:tc>
      </w:tr>
      <w:tr w14:paraId="501C8F2D" w14:textId="77777777" w:rsidTr="00166307">
        <w:tblPrEx>
          <w:tblW w:w="10220" w:type="dxa"/>
          <w:tblLook w:val="04A0"/>
        </w:tblPrEx>
        <w:trPr>
          <w:trHeight w:val="300"/>
        </w:trPr>
        <w:tc>
          <w:tcPr>
            <w:tcW w:w="1890" w:type="dxa"/>
            <w:tcBorders>
              <w:top w:val="double" w:sz="6" w:space="0" w:color="auto"/>
              <w:left w:val="single" w:sz="4" w:space="0" w:color="auto"/>
              <w:bottom w:val="single" w:sz="8" w:space="0" w:color="auto"/>
              <w:right w:val="single" w:sz="4" w:space="0" w:color="auto"/>
            </w:tcBorders>
            <w:shd w:val="clear" w:color="auto" w:fill="auto"/>
            <w:vAlign w:val="center"/>
            <w:hideMark/>
          </w:tcPr>
          <w:p w:rsidR="00C02CB8" w:rsidRPr="00C02CB8" w:rsidP="00C02CB8" w14:paraId="71DC4825" w14:textId="77777777">
            <w:pPr>
              <w:autoSpaceDE/>
              <w:autoSpaceDN/>
              <w:adjustRightInd/>
              <w:ind w:left="0"/>
              <w:rPr>
                <w:b/>
                <w:bCs/>
                <w:i/>
                <w:iCs/>
                <w:sz w:val="20"/>
                <w:szCs w:val="20"/>
              </w:rPr>
            </w:pPr>
            <w:r w:rsidRPr="00C02CB8">
              <w:rPr>
                <w:b/>
                <w:bCs/>
                <w:i/>
                <w:iCs/>
                <w:sz w:val="20"/>
                <w:szCs w:val="20"/>
              </w:rPr>
              <w:t>Total for First Year</w:t>
            </w:r>
          </w:p>
        </w:tc>
        <w:tc>
          <w:tcPr>
            <w:tcW w:w="1306" w:type="dxa"/>
            <w:tcBorders>
              <w:top w:val="double" w:sz="6" w:space="0" w:color="auto"/>
              <w:left w:val="nil"/>
              <w:bottom w:val="single" w:sz="8" w:space="0" w:color="auto"/>
              <w:right w:val="single" w:sz="4" w:space="0" w:color="auto"/>
            </w:tcBorders>
            <w:shd w:val="clear" w:color="auto" w:fill="auto"/>
            <w:noWrap/>
            <w:vAlign w:val="bottom"/>
            <w:hideMark/>
          </w:tcPr>
          <w:p w:rsidR="00C02CB8" w:rsidRPr="00C02CB8" w:rsidP="00C02CB8" w14:paraId="2AC8A3E9" w14:textId="2DC52A78">
            <w:pPr>
              <w:autoSpaceDE/>
              <w:autoSpaceDN/>
              <w:adjustRightInd/>
              <w:ind w:left="0"/>
              <w:jc w:val="center"/>
              <w:rPr>
                <w:sz w:val="20"/>
                <w:szCs w:val="20"/>
              </w:rPr>
            </w:pPr>
            <w:bookmarkStart w:id="5" w:name="RANGE!C37"/>
            <w:r w:rsidRPr="00C02CB8">
              <w:rPr>
                <w:sz w:val="20"/>
                <w:szCs w:val="20"/>
              </w:rPr>
              <w:t xml:space="preserve"> 10,855 </w:t>
            </w:r>
            <w:bookmarkEnd w:id="5"/>
          </w:p>
        </w:tc>
        <w:tc>
          <w:tcPr>
            <w:tcW w:w="1580" w:type="dxa"/>
            <w:tcBorders>
              <w:top w:val="double" w:sz="6" w:space="0" w:color="auto"/>
              <w:left w:val="nil"/>
              <w:bottom w:val="single" w:sz="8" w:space="0" w:color="auto"/>
              <w:right w:val="single" w:sz="4" w:space="0" w:color="auto"/>
            </w:tcBorders>
            <w:shd w:val="clear" w:color="auto" w:fill="auto"/>
            <w:noWrap/>
            <w:vAlign w:val="bottom"/>
            <w:hideMark/>
          </w:tcPr>
          <w:p w:rsidR="00C02CB8" w:rsidRPr="00C02CB8" w:rsidP="00C02CB8" w14:paraId="6E44EDD8" w14:textId="77777777">
            <w:pPr>
              <w:autoSpaceDE/>
              <w:autoSpaceDN/>
              <w:adjustRightInd/>
              <w:ind w:left="0"/>
              <w:jc w:val="right"/>
              <w:rPr>
                <w:sz w:val="20"/>
                <w:szCs w:val="20"/>
              </w:rPr>
            </w:pPr>
            <w:r w:rsidRPr="00C02CB8">
              <w:rPr>
                <w:sz w:val="20"/>
                <w:szCs w:val="20"/>
              </w:rPr>
              <w:t>2.13</w:t>
            </w:r>
          </w:p>
        </w:tc>
        <w:tc>
          <w:tcPr>
            <w:tcW w:w="1094" w:type="dxa"/>
            <w:tcBorders>
              <w:top w:val="double" w:sz="6" w:space="0" w:color="auto"/>
              <w:left w:val="nil"/>
              <w:bottom w:val="single" w:sz="8" w:space="0" w:color="auto"/>
              <w:right w:val="single" w:sz="4" w:space="0" w:color="auto"/>
            </w:tcBorders>
            <w:shd w:val="clear" w:color="auto" w:fill="auto"/>
            <w:noWrap/>
            <w:vAlign w:val="bottom"/>
            <w:hideMark/>
          </w:tcPr>
          <w:p w:rsidR="00C02CB8" w:rsidRPr="00C02CB8" w:rsidP="005D583D" w14:paraId="65656D41" w14:textId="0DAB34EE">
            <w:pPr>
              <w:autoSpaceDE/>
              <w:autoSpaceDN/>
              <w:adjustRightInd/>
              <w:ind w:left="0"/>
              <w:jc w:val="right"/>
              <w:rPr>
                <w:sz w:val="20"/>
                <w:szCs w:val="20"/>
              </w:rPr>
            </w:pPr>
            <w:bookmarkStart w:id="6" w:name="RANGE!E37"/>
            <w:r>
              <w:rPr>
                <w:sz w:val="20"/>
                <w:szCs w:val="20"/>
              </w:rPr>
              <w:t xml:space="preserve">23,093 </w:t>
            </w:r>
            <w:r w:rsidRPr="00C02CB8">
              <w:rPr>
                <w:sz w:val="20"/>
                <w:szCs w:val="20"/>
              </w:rPr>
              <w:t xml:space="preserve"> </w:t>
            </w:r>
            <w:bookmarkEnd w:id="6"/>
          </w:p>
        </w:tc>
        <w:tc>
          <w:tcPr>
            <w:tcW w:w="1060" w:type="dxa"/>
            <w:tcBorders>
              <w:top w:val="double" w:sz="6" w:space="0" w:color="auto"/>
              <w:left w:val="nil"/>
              <w:bottom w:val="single" w:sz="8" w:space="0" w:color="auto"/>
              <w:right w:val="single" w:sz="4" w:space="0" w:color="auto"/>
            </w:tcBorders>
            <w:shd w:val="clear" w:color="000000" w:fill="000000"/>
            <w:noWrap/>
            <w:vAlign w:val="bottom"/>
            <w:hideMark/>
          </w:tcPr>
          <w:p w:rsidR="00C02CB8" w:rsidRPr="00C02CB8" w:rsidP="00C02CB8" w14:paraId="7F1D4521" w14:textId="77777777">
            <w:pPr>
              <w:autoSpaceDE/>
              <w:autoSpaceDN/>
              <w:adjustRightInd/>
              <w:ind w:left="0"/>
              <w:rPr>
                <w:sz w:val="20"/>
                <w:szCs w:val="20"/>
              </w:rPr>
            </w:pPr>
            <w:r w:rsidRPr="00C02CB8">
              <w:rPr>
                <w:sz w:val="20"/>
                <w:szCs w:val="20"/>
              </w:rPr>
              <w:t> </w:t>
            </w:r>
          </w:p>
        </w:tc>
        <w:tc>
          <w:tcPr>
            <w:tcW w:w="1080" w:type="dxa"/>
            <w:tcBorders>
              <w:top w:val="double" w:sz="6" w:space="0" w:color="auto"/>
              <w:left w:val="nil"/>
              <w:bottom w:val="single" w:sz="8" w:space="0" w:color="auto"/>
              <w:right w:val="single" w:sz="4" w:space="0" w:color="auto"/>
            </w:tcBorders>
            <w:shd w:val="clear" w:color="auto" w:fill="auto"/>
            <w:noWrap/>
            <w:vAlign w:val="bottom"/>
            <w:hideMark/>
          </w:tcPr>
          <w:p w:rsidR="00C02CB8" w:rsidRPr="00C02CB8" w:rsidP="00C02CB8" w14:paraId="20F2001F" w14:textId="7A3267DC">
            <w:pPr>
              <w:autoSpaceDE/>
              <w:autoSpaceDN/>
              <w:adjustRightInd/>
              <w:ind w:left="0"/>
              <w:jc w:val="right"/>
              <w:rPr>
                <w:sz w:val="20"/>
                <w:szCs w:val="20"/>
              </w:rPr>
            </w:pPr>
            <w:r>
              <w:rPr>
                <w:sz w:val="20"/>
                <w:szCs w:val="20"/>
              </w:rPr>
              <w:t xml:space="preserve">15,353 </w:t>
            </w:r>
          </w:p>
        </w:tc>
        <w:tc>
          <w:tcPr>
            <w:tcW w:w="970" w:type="dxa"/>
            <w:tcBorders>
              <w:top w:val="double" w:sz="6" w:space="0" w:color="auto"/>
              <w:left w:val="nil"/>
              <w:bottom w:val="single" w:sz="8" w:space="0" w:color="auto"/>
              <w:right w:val="single" w:sz="4" w:space="0" w:color="auto"/>
            </w:tcBorders>
            <w:shd w:val="clear" w:color="000000" w:fill="000000"/>
            <w:noWrap/>
            <w:vAlign w:val="bottom"/>
            <w:hideMark/>
          </w:tcPr>
          <w:p w:rsidR="00C02CB8" w:rsidRPr="00C02CB8" w:rsidP="00C02CB8" w14:paraId="7EFB65EC" w14:textId="77777777">
            <w:pPr>
              <w:autoSpaceDE/>
              <w:autoSpaceDN/>
              <w:adjustRightInd/>
              <w:ind w:left="0"/>
              <w:rPr>
                <w:sz w:val="20"/>
                <w:szCs w:val="20"/>
              </w:rPr>
            </w:pPr>
            <w:r w:rsidRPr="00C02CB8">
              <w:rPr>
                <w:sz w:val="20"/>
                <w:szCs w:val="20"/>
              </w:rPr>
              <w:t> </w:t>
            </w:r>
          </w:p>
        </w:tc>
        <w:tc>
          <w:tcPr>
            <w:tcW w:w="1240" w:type="dxa"/>
            <w:tcBorders>
              <w:top w:val="double" w:sz="6" w:space="0" w:color="auto"/>
              <w:left w:val="nil"/>
              <w:bottom w:val="single" w:sz="8" w:space="0" w:color="auto"/>
              <w:right w:val="single" w:sz="4" w:space="0" w:color="auto"/>
            </w:tcBorders>
            <w:shd w:val="clear" w:color="auto" w:fill="auto"/>
            <w:noWrap/>
            <w:vAlign w:val="bottom"/>
            <w:hideMark/>
          </w:tcPr>
          <w:p w:rsidR="00C02CB8" w:rsidRPr="00C02CB8" w:rsidP="00C02CB8" w14:paraId="0D820593" w14:textId="7AC763DF">
            <w:pPr>
              <w:autoSpaceDE/>
              <w:autoSpaceDN/>
              <w:adjustRightInd/>
              <w:ind w:left="0"/>
              <w:jc w:val="right"/>
              <w:rPr>
                <w:sz w:val="20"/>
                <w:szCs w:val="20"/>
              </w:rPr>
            </w:pPr>
            <w:r w:rsidRPr="00C02CB8">
              <w:rPr>
                <w:sz w:val="20"/>
                <w:szCs w:val="20"/>
              </w:rPr>
              <w:t>$</w:t>
            </w:r>
            <w:r w:rsidR="007B5F34">
              <w:rPr>
                <w:sz w:val="20"/>
                <w:szCs w:val="20"/>
              </w:rPr>
              <w:t xml:space="preserve">1,133,778 </w:t>
            </w:r>
          </w:p>
        </w:tc>
      </w:tr>
      <w:tr w14:paraId="057CB0BA" w14:textId="77777777" w:rsidTr="00C02CB8">
        <w:tblPrEx>
          <w:tblW w:w="10220" w:type="dxa"/>
          <w:tblLook w:val="04A0"/>
        </w:tblPrEx>
        <w:trPr>
          <w:trHeight w:val="255"/>
        </w:trPr>
        <w:tc>
          <w:tcPr>
            <w:tcW w:w="10220" w:type="dxa"/>
            <w:gridSpan w:val="8"/>
            <w:tcBorders>
              <w:top w:val="nil"/>
              <w:left w:val="single" w:sz="4" w:space="0" w:color="auto"/>
              <w:bottom w:val="single" w:sz="4" w:space="0" w:color="auto"/>
              <w:right w:val="single" w:sz="4" w:space="0" w:color="000000"/>
            </w:tcBorders>
            <w:shd w:val="clear" w:color="auto" w:fill="auto"/>
            <w:hideMark/>
          </w:tcPr>
          <w:p w:rsidR="00C02CB8" w:rsidRPr="00C02CB8" w:rsidP="00C02CB8" w14:paraId="72AD82B8" w14:textId="77777777">
            <w:pPr>
              <w:autoSpaceDE/>
              <w:autoSpaceDN/>
              <w:adjustRightInd/>
              <w:ind w:left="0"/>
              <w:rPr>
                <w:b/>
                <w:bCs/>
                <w:color w:val="000000"/>
                <w:sz w:val="20"/>
                <w:szCs w:val="20"/>
              </w:rPr>
            </w:pPr>
            <w:r w:rsidRPr="00C02CB8">
              <w:rPr>
                <w:b/>
                <w:bCs/>
                <w:color w:val="000000"/>
                <w:sz w:val="20"/>
                <w:szCs w:val="20"/>
              </w:rPr>
              <w:t>Subsequent Year Hour Burden and Equivalent Cost</w:t>
            </w:r>
          </w:p>
        </w:tc>
      </w:tr>
      <w:tr w14:paraId="60228DA0" w14:textId="77777777" w:rsidTr="00166307">
        <w:tblPrEx>
          <w:tblW w:w="10220" w:type="dxa"/>
          <w:tblLook w:val="04A0"/>
        </w:tblPrEx>
        <w:trPr>
          <w:trHeight w:val="780"/>
        </w:trPr>
        <w:tc>
          <w:tcPr>
            <w:tcW w:w="1890" w:type="dxa"/>
            <w:tcBorders>
              <w:top w:val="nil"/>
              <w:left w:val="single" w:sz="4" w:space="0" w:color="auto"/>
              <w:bottom w:val="nil"/>
              <w:right w:val="single" w:sz="4" w:space="0" w:color="auto"/>
            </w:tcBorders>
            <w:shd w:val="clear" w:color="auto" w:fill="auto"/>
            <w:vAlign w:val="center"/>
            <w:hideMark/>
          </w:tcPr>
          <w:p w:rsidR="00C02CB8" w:rsidRPr="00C02CB8" w:rsidP="00C02CB8" w14:paraId="1B9487FE" w14:textId="77777777">
            <w:pPr>
              <w:autoSpaceDE/>
              <w:autoSpaceDN/>
              <w:adjustRightInd/>
              <w:ind w:left="0"/>
              <w:jc w:val="center"/>
              <w:rPr>
                <w:b/>
                <w:bCs/>
                <w:color w:val="000000"/>
                <w:sz w:val="20"/>
                <w:szCs w:val="20"/>
              </w:rPr>
            </w:pPr>
            <w:r w:rsidRPr="00C02CB8">
              <w:rPr>
                <w:b/>
                <w:bCs/>
                <w:color w:val="000000"/>
                <w:sz w:val="20"/>
                <w:szCs w:val="20"/>
              </w:rPr>
              <w:t>Activity</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2C31EC7F" w14:textId="77777777">
            <w:pPr>
              <w:autoSpaceDE/>
              <w:autoSpaceDN/>
              <w:adjustRightInd/>
              <w:ind w:left="0"/>
              <w:jc w:val="center"/>
              <w:rPr>
                <w:b/>
                <w:bCs/>
                <w:color w:val="000000"/>
                <w:sz w:val="20"/>
                <w:szCs w:val="20"/>
              </w:rPr>
            </w:pPr>
            <w:r w:rsidRPr="00C02CB8">
              <w:rPr>
                <w:b/>
                <w:bCs/>
                <w:color w:val="000000"/>
                <w:sz w:val="20"/>
                <w:szCs w:val="20"/>
              </w:rPr>
              <w:t xml:space="preserve"> No. of Respondents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124A9A15" w14:textId="77777777">
            <w:pPr>
              <w:autoSpaceDE/>
              <w:autoSpaceDN/>
              <w:adjustRightInd/>
              <w:ind w:left="0"/>
              <w:jc w:val="center"/>
              <w:rPr>
                <w:b/>
                <w:bCs/>
                <w:sz w:val="20"/>
                <w:szCs w:val="20"/>
              </w:rPr>
            </w:pPr>
            <w:r w:rsidRPr="00C02CB8">
              <w:rPr>
                <w:b/>
                <w:bCs/>
                <w:sz w:val="20"/>
                <w:szCs w:val="20"/>
              </w:rPr>
              <w:t>No. of Responses per Respondent</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C02CB8" w14:paraId="5305D837" w14:textId="77777777">
            <w:pPr>
              <w:autoSpaceDE/>
              <w:autoSpaceDN/>
              <w:adjustRightInd/>
              <w:ind w:left="0"/>
              <w:jc w:val="center"/>
              <w:rPr>
                <w:b/>
                <w:bCs/>
                <w:color w:val="000000"/>
                <w:sz w:val="20"/>
                <w:szCs w:val="20"/>
              </w:rPr>
            </w:pPr>
            <w:r w:rsidRPr="00C02CB8">
              <w:rPr>
                <w:b/>
                <w:bCs/>
                <w:color w:val="000000"/>
                <w:sz w:val="20"/>
                <w:szCs w:val="20"/>
              </w:rPr>
              <w:t>Total Responses</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2244A5DA" w14:textId="77777777">
            <w:pPr>
              <w:autoSpaceDE/>
              <w:autoSpaceDN/>
              <w:adjustRightInd/>
              <w:ind w:left="0"/>
              <w:jc w:val="center"/>
              <w:rPr>
                <w:b/>
                <w:bCs/>
                <w:color w:val="000000"/>
                <w:sz w:val="20"/>
                <w:szCs w:val="20"/>
              </w:rPr>
            </w:pPr>
            <w:r w:rsidRPr="00C02CB8">
              <w:rPr>
                <w:b/>
                <w:bCs/>
                <w:color w:val="000000"/>
                <w:sz w:val="20"/>
                <w:szCs w:val="20"/>
              </w:rPr>
              <w:t>Average Burden (Hours)</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3E9B56F1" w14:textId="77777777">
            <w:pPr>
              <w:autoSpaceDE/>
              <w:autoSpaceDN/>
              <w:adjustRightInd/>
              <w:ind w:left="0"/>
              <w:jc w:val="center"/>
              <w:rPr>
                <w:b/>
                <w:bCs/>
                <w:color w:val="000000"/>
                <w:sz w:val="20"/>
                <w:szCs w:val="20"/>
              </w:rPr>
            </w:pPr>
            <w:r w:rsidRPr="00C02CB8">
              <w:rPr>
                <w:b/>
                <w:bCs/>
                <w:color w:val="000000"/>
                <w:sz w:val="20"/>
                <w:szCs w:val="20"/>
              </w:rPr>
              <w:t>Total Burden (Hours)</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68631E9C" w14:textId="77777777">
            <w:pPr>
              <w:autoSpaceDE/>
              <w:autoSpaceDN/>
              <w:adjustRightInd/>
              <w:ind w:left="0"/>
              <w:jc w:val="center"/>
              <w:rPr>
                <w:b/>
                <w:bCs/>
                <w:color w:val="000000"/>
                <w:sz w:val="20"/>
                <w:szCs w:val="20"/>
              </w:rPr>
            </w:pPr>
            <w:r w:rsidRPr="00C02CB8">
              <w:rPr>
                <w:b/>
                <w:bCs/>
                <w:color w:val="000000"/>
                <w:sz w:val="20"/>
                <w:szCs w:val="20"/>
              </w:rPr>
              <w:t xml:space="preserve"> Hourly Wage Rate </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3D9A3651" w14:textId="77777777">
            <w:pPr>
              <w:autoSpaceDE/>
              <w:autoSpaceDN/>
              <w:adjustRightInd/>
              <w:ind w:left="0"/>
              <w:jc w:val="center"/>
              <w:rPr>
                <w:b/>
                <w:bCs/>
                <w:color w:val="000000"/>
                <w:sz w:val="20"/>
                <w:szCs w:val="20"/>
              </w:rPr>
            </w:pPr>
            <w:r w:rsidRPr="00C02CB8">
              <w:rPr>
                <w:b/>
                <w:bCs/>
                <w:color w:val="000000"/>
                <w:sz w:val="20"/>
                <w:szCs w:val="20"/>
              </w:rPr>
              <w:t>Equivalent Cost of Hour Burden</w:t>
            </w:r>
          </w:p>
        </w:tc>
      </w:tr>
      <w:tr w14:paraId="234E612A" w14:textId="77777777" w:rsidTr="00C02CB8">
        <w:tblPrEx>
          <w:tblW w:w="10220" w:type="dxa"/>
          <w:tblLook w:val="04A0"/>
        </w:tblPrEx>
        <w:trPr>
          <w:trHeight w:val="285"/>
        </w:trPr>
        <w:tc>
          <w:tcPr>
            <w:tcW w:w="10220" w:type="dxa"/>
            <w:gridSpan w:val="8"/>
            <w:tcBorders>
              <w:top w:val="single" w:sz="4" w:space="0" w:color="auto"/>
              <w:left w:val="single" w:sz="4" w:space="0" w:color="auto"/>
              <w:bottom w:val="single" w:sz="4" w:space="0" w:color="auto"/>
              <w:right w:val="single" w:sz="4" w:space="0" w:color="000000"/>
            </w:tcBorders>
            <w:shd w:val="clear" w:color="auto" w:fill="auto"/>
            <w:hideMark/>
          </w:tcPr>
          <w:p w:rsidR="00C02CB8" w:rsidRPr="00C02CB8" w:rsidP="00C02CB8" w14:paraId="28A028EA" w14:textId="77777777">
            <w:pPr>
              <w:autoSpaceDE/>
              <w:autoSpaceDN/>
              <w:adjustRightInd/>
              <w:ind w:left="0"/>
              <w:rPr>
                <w:b/>
                <w:bCs/>
                <w:i/>
                <w:iCs/>
                <w:sz w:val="20"/>
                <w:szCs w:val="20"/>
              </w:rPr>
            </w:pPr>
            <w:r w:rsidRPr="00C02CB8">
              <w:rPr>
                <w:b/>
                <w:bCs/>
                <w:i/>
                <w:iCs/>
                <w:sz w:val="20"/>
                <w:szCs w:val="20"/>
              </w:rPr>
              <w:t>Policies and Procedures (In-House QPAMs)</w:t>
            </w:r>
          </w:p>
        </w:tc>
      </w:tr>
      <w:tr w14:paraId="540FC083" w14:textId="77777777" w:rsidTr="00166307">
        <w:tblPrEx>
          <w:tblW w:w="10220"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10F25F07" w14:textId="77777777">
            <w:pPr>
              <w:autoSpaceDE/>
              <w:autoSpaceDN/>
              <w:adjustRightInd/>
              <w:ind w:left="0" w:firstLine="200" w:firstLineChars="100"/>
              <w:rPr>
                <w:sz w:val="20"/>
                <w:szCs w:val="20"/>
              </w:rPr>
            </w:pPr>
            <w:r w:rsidRPr="00C02CB8">
              <w:rPr>
                <w:sz w:val="20"/>
                <w:szCs w:val="20"/>
              </w:rPr>
              <w:t>Legal Professional</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3D34500F" w14:textId="57EA9AF3">
            <w:pPr>
              <w:autoSpaceDE/>
              <w:autoSpaceDN/>
              <w:adjustRightInd/>
              <w:ind w:left="0"/>
              <w:jc w:val="center"/>
              <w:rPr>
                <w:sz w:val="20"/>
                <w:szCs w:val="20"/>
              </w:rPr>
            </w:pPr>
            <w:r w:rsidRPr="00C02CB8">
              <w:rPr>
                <w:sz w:val="20"/>
                <w:szCs w:val="20"/>
              </w:rPr>
              <w:t xml:space="preserve">5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1AF011FD" w14:textId="77777777">
            <w:pPr>
              <w:autoSpaceDE/>
              <w:autoSpaceDN/>
              <w:adjustRightInd/>
              <w:ind w:left="0"/>
              <w:jc w:val="right"/>
              <w:rPr>
                <w:sz w:val="20"/>
                <w:szCs w:val="20"/>
              </w:rPr>
            </w:pPr>
            <w:r w:rsidRPr="00C02CB8">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C02CB8" w14:paraId="06EED5C7" w14:textId="77777777">
            <w:pPr>
              <w:autoSpaceDE/>
              <w:autoSpaceDN/>
              <w:adjustRightInd/>
              <w:ind w:left="0"/>
              <w:jc w:val="right"/>
              <w:rPr>
                <w:sz w:val="20"/>
                <w:szCs w:val="20"/>
              </w:rPr>
            </w:pPr>
            <w:r w:rsidRPr="00C02CB8">
              <w:rPr>
                <w:sz w:val="20"/>
                <w:szCs w:val="20"/>
              </w:rPr>
              <w:t>5</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138BF5FB" w14:textId="2F16684D">
            <w:pPr>
              <w:autoSpaceDE/>
              <w:autoSpaceDN/>
              <w:adjustRightInd/>
              <w:ind w:left="0"/>
              <w:jc w:val="right"/>
              <w:rPr>
                <w:sz w:val="20"/>
                <w:szCs w:val="20"/>
              </w:rPr>
            </w:pPr>
            <w:r w:rsidRPr="00C02CB8">
              <w:rPr>
                <w:sz w:val="20"/>
                <w:szCs w:val="20"/>
              </w:rPr>
              <w:t>1</w:t>
            </w:r>
            <w:r w:rsidR="0068062D">
              <w:rPr>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7B686AFB" w14:textId="77777777">
            <w:pPr>
              <w:autoSpaceDE/>
              <w:autoSpaceDN/>
              <w:adjustRightInd/>
              <w:ind w:left="0"/>
              <w:jc w:val="right"/>
              <w:rPr>
                <w:sz w:val="20"/>
                <w:szCs w:val="20"/>
              </w:rPr>
            </w:pPr>
            <w:r w:rsidRPr="00C02CB8">
              <w:rPr>
                <w:sz w:val="20"/>
                <w:szCs w:val="20"/>
              </w:rPr>
              <w:t>5</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6FDD265A" w14:textId="77777777">
            <w:pPr>
              <w:autoSpaceDE/>
              <w:autoSpaceDN/>
              <w:adjustRightInd/>
              <w:ind w:left="0"/>
              <w:jc w:val="right"/>
              <w:rPr>
                <w:sz w:val="20"/>
                <w:szCs w:val="20"/>
              </w:rPr>
            </w:pPr>
            <w:r w:rsidRPr="00C02CB8">
              <w:rPr>
                <w:sz w:val="20"/>
                <w:szCs w:val="20"/>
              </w:rPr>
              <w:t>$159.34</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12153E9D" w14:textId="77777777">
            <w:pPr>
              <w:autoSpaceDE/>
              <w:autoSpaceDN/>
              <w:adjustRightInd/>
              <w:ind w:left="0"/>
              <w:jc w:val="right"/>
              <w:rPr>
                <w:sz w:val="20"/>
                <w:szCs w:val="20"/>
              </w:rPr>
            </w:pPr>
            <w:r w:rsidRPr="00C02CB8">
              <w:rPr>
                <w:sz w:val="20"/>
                <w:szCs w:val="20"/>
              </w:rPr>
              <w:t>$797</w:t>
            </w:r>
          </w:p>
        </w:tc>
      </w:tr>
      <w:tr w14:paraId="28106ABB" w14:textId="77777777" w:rsidTr="00C02CB8">
        <w:tblPrEx>
          <w:tblW w:w="10220" w:type="dxa"/>
          <w:tblLook w:val="04A0"/>
        </w:tblPrEx>
        <w:trPr>
          <w:trHeight w:val="270"/>
        </w:trPr>
        <w:tc>
          <w:tcPr>
            <w:tcW w:w="10220" w:type="dxa"/>
            <w:gridSpan w:val="8"/>
            <w:tcBorders>
              <w:top w:val="single" w:sz="4" w:space="0" w:color="auto"/>
              <w:left w:val="single" w:sz="4" w:space="0" w:color="auto"/>
              <w:bottom w:val="single" w:sz="4" w:space="0" w:color="auto"/>
              <w:right w:val="single" w:sz="4" w:space="0" w:color="000000"/>
            </w:tcBorders>
            <w:shd w:val="clear" w:color="auto" w:fill="auto"/>
            <w:hideMark/>
          </w:tcPr>
          <w:p w:rsidR="00C02CB8" w:rsidRPr="00C02CB8" w:rsidP="00C02CB8" w14:paraId="7B593342" w14:textId="77777777">
            <w:pPr>
              <w:autoSpaceDE/>
              <w:autoSpaceDN/>
              <w:adjustRightInd/>
              <w:ind w:left="0"/>
              <w:rPr>
                <w:b/>
                <w:bCs/>
                <w:i/>
                <w:iCs/>
                <w:sz w:val="20"/>
                <w:szCs w:val="20"/>
              </w:rPr>
            </w:pPr>
            <w:r w:rsidRPr="00C02CB8">
              <w:rPr>
                <w:b/>
                <w:bCs/>
                <w:i/>
                <w:iCs/>
                <w:sz w:val="20"/>
                <w:szCs w:val="20"/>
              </w:rPr>
              <w:t>Annual Audit (In-House QPAMs)</w:t>
            </w:r>
          </w:p>
        </w:tc>
      </w:tr>
      <w:tr w14:paraId="7A761514" w14:textId="77777777" w:rsidTr="00166307">
        <w:tblPrEx>
          <w:tblW w:w="10220"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18DB563D" w14:textId="77777777">
            <w:pPr>
              <w:autoSpaceDE/>
              <w:autoSpaceDN/>
              <w:adjustRightInd/>
              <w:ind w:left="0" w:firstLine="200" w:firstLineChars="100"/>
              <w:rPr>
                <w:sz w:val="20"/>
                <w:szCs w:val="20"/>
              </w:rPr>
            </w:pPr>
            <w:r w:rsidRPr="00C02CB8">
              <w:rPr>
                <w:sz w:val="20"/>
                <w:szCs w:val="20"/>
              </w:rPr>
              <w:t>Legal Professional</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31880E85" w14:textId="474EF399">
            <w:pPr>
              <w:autoSpaceDE/>
              <w:autoSpaceDN/>
              <w:adjustRightInd/>
              <w:ind w:left="0"/>
              <w:jc w:val="center"/>
              <w:rPr>
                <w:sz w:val="20"/>
                <w:szCs w:val="20"/>
              </w:rPr>
            </w:pPr>
            <w:r w:rsidRPr="00C02CB8">
              <w:rPr>
                <w:sz w:val="20"/>
                <w:szCs w:val="20"/>
              </w:rPr>
              <w:t xml:space="preserve">50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4BA1CC2C" w14:textId="77777777">
            <w:pPr>
              <w:autoSpaceDE/>
              <w:autoSpaceDN/>
              <w:adjustRightInd/>
              <w:ind w:left="0"/>
              <w:jc w:val="right"/>
              <w:rPr>
                <w:sz w:val="20"/>
                <w:szCs w:val="20"/>
              </w:rPr>
            </w:pPr>
            <w:r w:rsidRPr="00C02CB8">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C02CB8" w14:paraId="1922953E" w14:textId="77777777">
            <w:pPr>
              <w:autoSpaceDE/>
              <w:autoSpaceDN/>
              <w:adjustRightInd/>
              <w:ind w:left="0"/>
              <w:jc w:val="right"/>
              <w:rPr>
                <w:sz w:val="20"/>
                <w:szCs w:val="20"/>
              </w:rPr>
            </w:pPr>
            <w:r w:rsidRPr="00C02CB8">
              <w:rPr>
                <w:sz w:val="20"/>
                <w:szCs w:val="20"/>
              </w:rPr>
              <w:t>50</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5EC43C85" w14:textId="498C2EC1">
            <w:pPr>
              <w:autoSpaceDE/>
              <w:autoSpaceDN/>
              <w:adjustRightInd/>
              <w:ind w:left="0"/>
              <w:jc w:val="right"/>
              <w:rPr>
                <w:sz w:val="20"/>
                <w:szCs w:val="20"/>
              </w:rPr>
            </w:pPr>
            <w:r w:rsidRPr="00C02CB8">
              <w:rPr>
                <w:sz w:val="20"/>
                <w:szCs w:val="20"/>
              </w:rPr>
              <w:t>5</w:t>
            </w:r>
            <w:r w:rsidR="0068062D">
              <w:rPr>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2952A1B8" w14:textId="77777777">
            <w:pPr>
              <w:autoSpaceDE/>
              <w:autoSpaceDN/>
              <w:adjustRightInd/>
              <w:ind w:left="0"/>
              <w:jc w:val="right"/>
              <w:rPr>
                <w:sz w:val="20"/>
                <w:szCs w:val="20"/>
              </w:rPr>
            </w:pPr>
            <w:r w:rsidRPr="00C02CB8">
              <w:rPr>
                <w:sz w:val="20"/>
                <w:szCs w:val="20"/>
              </w:rPr>
              <w:t>250</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6212DCCB" w14:textId="77777777">
            <w:pPr>
              <w:autoSpaceDE/>
              <w:autoSpaceDN/>
              <w:adjustRightInd/>
              <w:ind w:left="0"/>
              <w:jc w:val="right"/>
              <w:rPr>
                <w:sz w:val="20"/>
                <w:szCs w:val="20"/>
              </w:rPr>
            </w:pPr>
            <w:r w:rsidRPr="00C02CB8">
              <w:rPr>
                <w:sz w:val="20"/>
                <w:szCs w:val="20"/>
              </w:rPr>
              <w:t>$159.34</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08AD467E" w14:textId="77777777">
            <w:pPr>
              <w:autoSpaceDE/>
              <w:autoSpaceDN/>
              <w:adjustRightInd/>
              <w:ind w:left="0"/>
              <w:jc w:val="right"/>
              <w:rPr>
                <w:sz w:val="20"/>
                <w:szCs w:val="20"/>
              </w:rPr>
            </w:pPr>
            <w:r w:rsidRPr="00C02CB8">
              <w:rPr>
                <w:sz w:val="20"/>
                <w:szCs w:val="20"/>
              </w:rPr>
              <w:t>$39,835</w:t>
            </w:r>
          </w:p>
        </w:tc>
      </w:tr>
      <w:tr w14:paraId="35C40426" w14:textId="77777777" w:rsidTr="00166307">
        <w:tblPrEx>
          <w:tblW w:w="10220"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1F13A125" w14:textId="77777777">
            <w:pPr>
              <w:autoSpaceDE/>
              <w:autoSpaceDN/>
              <w:adjustRightInd/>
              <w:ind w:left="0" w:firstLine="200" w:firstLineChars="100"/>
              <w:rPr>
                <w:sz w:val="20"/>
                <w:szCs w:val="20"/>
              </w:rPr>
            </w:pPr>
            <w:r w:rsidRPr="00C02CB8">
              <w:rPr>
                <w:sz w:val="20"/>
                <w:szCs w:val="20"/>
              </w:rPr>
              <w:t>Financial Professional</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4F19CC1A" w14:textId="5A96F091">
            <w:pPr>
              <w:autoSpaceDE/>
              <w:autoSpaceDN/>
              <w:adjustRightInd/>
              <w:ind w:left="0"/>
              <w:jc w:val="center"/>
              <w:rPr>
                <w:sz w:val="20"/>
                <w:szCs w:val="20"/>
              </w:rPr>
            </w:pPr>
            <w:r w:rsidRPr="00C02CB8">
              <w:rPr>
                <w:sz w:val="20"/>
                <w:szCs w:val="20"/>
              </w:rPr>
              <w:t xml:space="preserve">50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2BB7DC1C" w14:textId="77777777">
            <w:pPr>
              <w:autoSpaceDE/>
              <w:autoSpaceDN/>
              <w:adjustRightInd/>
              <w:ind w:left="0"/>
              <w:jc w:val="right"/>
              <w:rPr>
                <w:sz w:val="20"/>
                <w:szCs w:val="20"/>
              </w:rPr>
            </w:pPr>
            <w:r w:rsidRPr="00C02CB8">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C02CB8" w14:paraId="4783EFC5" w14:textId="77777777">
            <w:pPr>
              <w:autoSpaceDE/>
              <w:autoSpaceDN/>
              <w:adjustRightInd/>
              <w:ind w:left="0"/>
              <w:jc w:val="right"/>
              <w:rPr>
                <w:sz w:val="20"/>
                <w:szCs w:val="20"/>
              </w:rPr>
            </w:pPr>
            <w:r w:rsidRPr="00C02CB8">
              <w:rPr>
                <w:sz w:val="20"/>
                <w:szCs w:val="20"/>
              </w:rPr>
              <w:t>50</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2B922AFD" w14:textId="791FBB7E">
            <w:pPr>
              <w:autoSpaceDE/>
              <w:autoSpaceDN/>
              <w:adjustRightInd/>
              <w:ind w:left="0"/>
              <w:jc w:val="right"/>
              <w:rPr>
                <w:sz w:val="20"/>
                <w:szCs w:val="20"/>
              </w:rPr>
            </w:pPr>
            <w:r w:rsidRPr="00C02CB8">
              <w:rPr>
                <w:sz w:val="20"/>
                <w:szCs w:val="20"/>
              </w:rPr>
              <w:t>13</w:t>
            </w:r>
            <w:r w:rsidR="0068062D">
              <w:rPr>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2187FE42" w14:textId="77777777">
            <w:pPr>
              <w:autoSpaceDE/>
              <w:autoSpaceDN/>
              <w:adjustRightInd/>
              <w:ind w:left="0"/>
              <w:jc w:val="right"/>
              <w:rPr>
                <w:sz w:val="20"/>
                <w:szCs w:val="20"/>
              </w:rPr>
            </w:pPr>
            <w:r w:rsidRPr="00C02CB8">
              <w:rPr>
                <w:sz w:val="20"/>
                <w:szCs w:val="20"/>
              </w:rPr>
              <w:t>650</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7931F55A" w14:textId="77777777">
            <w:pPr>
              <w:autoSpaceDE/>
              <w:autoSpaceDN/>
              <w:adjustRightInd/>
              <w:ind w:left="0"/>
              <w:jc w:val="right"/>
              <w:rPr>
                <w:sz w:val="20"/>
                <w:szCs w:val="20"/>
              </w:rPr>
            </w:pPr>
            <w:r w:rsidRPr="00C02CB8">
              <w:rPr>
                <w:sz w:val="20"/>
                <w:szCs w:val="20"/>
              </w:rPr>
              <w:t>$190.63</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0C9E7390" w14:textId="77777777">
            <w:pPr>
              <w:autoSpaceDE/>
              <w:autoSpaceDN/>
              <w:adjustRightInd/>
              <w:ind w:left="0"/>
              <w:jc w:val="right"/>
              <w:rPr>
                <w:sz w:val="20"/>
                <w:szCs w:val="20"/>
              </w:rPr>
            </w:pPr>
            <w:r w:rsidRPr="00C02CB8">
              <w:rPr>
                <w:sz w:val="20"/>
                <w:szCs w:val="20"/>
              </w:rPr>
              <w:t>$123,910</w:t>
            </w:r>
          </w:p>
        </w:tc>
      </w:tr>
      <w:tr w14:paraId="27E411CD" w14:textId="77777777" w:rsidTr="00166307">
        <w:tblPrEx>
          <w:tblW w:w="10220"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3BDFFF6B" w14:textId="77777777">
            <w:pPr>
              <w:autoSpaceDE/>
              <w:autoSpaceDN/>
              <w:adjustRightInd/>
              <w:ind w:left="0" w:firstLine="200" w:firstLineChars="100"/>
              <w:rPr>
                <w:sz w:val="20"/>
                <w:szCs w:val="20"/>
              </w:rPr>
            </w:pPr>
            <w:r w:rsidRPr="00C02CB8">
              <w:rPr>
                <w:sz w:val="20"/>
                <w:szCs w:val="20"/>
              </w:rPr>
              <w:t>Clerical Worker</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1B568F01" w14:textId="3C853DA5">
            <w:pPr>
              <w:autoSpaceDE/>
              <w:autoSpaceDN/>
              <w:adjustRightInd/>
              <w:ind w:left="0"/>
              <w:jc w:val="center"/>
              <w:rPr>
                <w:sz w:val="20"/>
                <w:szCs w:val="20"/>
              </w:rPr>
            </w:pPr>
            <w:r w:rsidRPr="00C02CB8">
              <w:rPr>
                <w:sz w:val="20"/>
                <w:szCs w:val="20"/>
              </w:rPr>
              <w:t xml:space="preserve">50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62B8D8C0" w14:textId="77777777">
            <w:pPr>
              <w:autoSpaceDE/>
              <w:autoSpaceDN/>
              <w:adjustRightInd/>
              <w:ind w:left="0"/>
              <w:jc w:val="right"/>
              <w:rPr>
                <w:sz w:val="20"/>
                <w:szCs w:val="20"/>
              </w:rPr>
            </w:pPr>
            <w:r w:rsidRPr="00C02CB8">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C02CB8" w14:paraId="68603136" w14:textId="77777777">
            <w:pPr>
              <w:autoSpaceDE/>
              <w:autoSpaceDN/>
              <w:adjustRightInd/>
              <w:ind w:left="0"/>
              <w:jc w:val="right"/>
              <w:rPr>
                <w:sz w:val="20"/>
                <w:szCs w:val="20"/>
              </w:rPr>
            </w:pPr>
            <w:r w:rsidRPr="00C02CB8">
              <w:rPr>
                <w:sz w:val="20"/>
                <w:szCs w:val="20"/>
              </w:rPr>
              <w:t>50</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4D4CE14C" w14:textId="1CD14469">
            <w:pPr>
              <w:autoSpaceDE/>
              <w:autoSpaceDN/>
              <w:adjustRightInd/>
              <w:ind w:left="0"/>
              <w:jc w:val="right"/>
              <w:rPr>
                <w:sz w:val="20"/>
                <w:szCs w:val="20"/>
              </w:rPr>
            </w:pPr>
            <w:r w:rsidRPr="00C02CB8">
              <w:rPr>
                <w:sz w:val="20"/>
                <w:szCs w:val="20"/>
              </w:rPr>
              <w:t>6</w:t>
            </w:r>
            <w:r w:rsidR="0068062D">
              <w:rPr>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196C040B" w14:textId="77777777">
            <w:pPr>
              <w:autoSpaceDE/>
              <w:autoSpaceDN/>
              <w:adjustRightInd/>
              <w:ind w:left="0"/>
              <w:jc w:val="right"/>
              <w:rPr>
                <w:sz w:val="20"/>
                <w:szCs w:val="20"/>
              </w:rPr>
            </w:pPr>
            <w:r w:rsidRPr="00C02CB8">
              <w:rPr>
                <w:sz w:val="20"/>
                <w:szCs w:val="20"/>
              </w:rPr>
              <w:t>300</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5FE3CEE5" w14:textId="77777777">
            <w:pPr>
              <w:autoSpaceDE/>
              <w:autoSpaceDN/>
              <w:adjustRightInd/>
              <w:ind w:left="0"/>
              <w:jc w:val="right"/>
              <w:rPr>
                <w:sz w:val="20"/>
                <w:szCs w:val="20"/>
              </w:rPr>
            </w:pPr>
            <w:r w:rsidRPr="00C02CB8">
              <w:rPr>
                <w:sz w:val="20"/>
                <w:szCs w:val="20"/>
              </w:rPr>
              <w:t>$63.45</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41850A2C" w14:textId="77777777">
            <w:pPr>
              <w:autoSpaceDE/>
              <w:autoSpaceDN/>
              <w:adjustRightInd/>
              <w:ind w:left="0"/>
              <w:jc w:val="right"/>
              <w:rPr>
                <w:sz w:val="20"/>
                <w:szCs w:val="20"/>
              </w:rPr>
            </w:pPr>
            <w:r w:rsidRPr="00C02CB8">
              <w:rPr>
                <w:sz w:val="20"/>
                <w:szCs w:val="20"/>
              </w:rPr>
              <w:t>$19,035</w:t>
            </w:r>
          </w:p>
        </w:tc>
      </w:tr>
      <w:tr w14:paraId="528AB97E" w14:textId="77777777" w:rsidTr="00C02CB8">
        <w:tblPrEx>
          <w:tblW w:w="10220" w:type="dxa"/>
          <w:tblLook w:val="04A0"/>
        </w:tblPrEx>
        <w:trPr>
          <w:trHeight w:val="270"/>
        </w:trPr>
        <w:tc>
          <w:tcPr>
            <w:tcW w:w="10220" w:type="dxa"/>
            <w:gridSpan w:val="8"/>
            <w:tcBorders>
              <w:top w:val="single" w:sz="4" w:space="0" w:color="auto"/>
              <w:left w:val="single" w:sz="4" w:space="0" w:color="auto"/>
              <w:bottom w:val="single" w:sz="4" w:space="0" w:color="auto"/>
              <w:right w:val="single" w:sz="4" w:space="0" w:color="000000"/>
            </w:tcBorders>
            <w:shd w:val="clear" w:color="auto" w:fill="auto"/>
            <w:hideMark/>
          </w:tcPr>
          <w:p w:rsidR="00C02CB8" w:rsidRPr="00C02CB8" w:rsidP="00C02CB8" w14:paraId="738BBAD0" w14:textId="77777777">
            <w:pPr>
              <w:autoSpaceDE/>
              <w:autoSpaceDN/>
              <w:adjustRightInd/>
              <w:ind w:left="0"/>
              <w:rPr>
                <w:b/>
                <w:bCs/>
                <w:i/>
                <w:iCs/>
                <w:sz w:val="20"/>
                <w:szCs w:val="20"/>
              </w:rPr>
            </w:pPr>
            <w:r w:rsidRPr="00C02CB8">
              <w:rPr>
                <w:b/>
                <w:bCs/>
                <w:i/>
                <w:iCs/>
                <w:sz w:val="20"/>
                <w:szCs w:val="20"/>
              </w:rPr>
              <w:t>Notice to Plans</w:t>
            </w:r>
          </w:p>
        </w:tc>
      </w:tr>
      <w:tr w14:paraId="7824E4DB" w14:textId="77777777" w:rsidTr="00166307">
        <w:tblPrEx>
          <w:tblW w:w="10220"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2EFB0166" w14:textId="77777777">
            <w:pPr>
              <w:autoSpaceDE/>
              <w:autoSpaceDN/>
              <w:adjustRightInd/>
              <w:ind w:left="0" w:firstLine="200" w:firstLineChars="100"/>
              <w:rPr>
                <w:sz w:val="20"/>
                <w:szCs w:val="20"/>
              </w:rPr>
            </w:pPr>
            <w:r w:rsidRPr="00C02CB8">
              <w:rPr>
                <w:sz w:val="20"/>
                <w:szCs w:val="20"/>
              </w:rPr>
              <w:t>Legal Professional</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6E716BBC" w14:textId="72124D46">
            <w:pPr>
              <w:autoSpaceDE/>
              <w:autoSpaceDN/>
              <w:adjustRightInd/>
              <w:ind w:left="0"/>
              <w:jc w:val="center"/>
              <w:rPr>
                <w:sz w:val="20"/>
                <w:szCs w:val="20"/>
              </w:rPr>
            </w:pPr>
            <w:r w:rsidRPr="00C02CB8">
              <w:rPr>
                <w:sz w:val="20"/>
                <w:szCs w:val="20"/>
              </w:rPr>
              <w:t xml:space="preserve">12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103F08A8" w14:textId="77777777">
            <w:pPr>
              <w:autoSpaceDE/>
              <w:autoSpaceDN/>
              <w:adjustRightInd/>
              <w:ind w:left="0"/>
              <w:jc w:val="right"/>
              <w:rPr>
                <w:sz w:val="20"/>
                <w:szCs w:val="20"/>
              </w:rPr>
            </w:pPr>
            <w:r w:rsidRPr="00C02CB8">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C02CB8" w14:paraId="5D3BC429" w14:textId="77777777">
            <w:pPr>
              <w:autoSpaceDE/>
              <w:autoSpaceDN/>
              <w:adjustRightInd/>
              <w:ind w:left="0"/>
              <w:jc w:val="right"/>
              <w:rPr>
                <w:sz w:val="20"/>
                <w:szCs w:val="20"/>
              </w:rPr>
            </w:pPr>
            <w:r w:rsidRPr="00C02CB8">
              <w:rPr>
                <w:sz w:val="20"/>
                <w:szCs w:val="20"/>
              </w:rPr>
              <w:t>12</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58E13C66" w14:textId="099C7285">
            <w:pPr>
              <w:autoSpaceDE/>
              <w:autoSpaceDN/>
              <w:adjustRightInd/>
              <w:ind w:left="0"/>
              <w:jc w:val="right"/>
              <w:rPr>
                <w:sz w:val="20"/>
                <w:szCs w:val="20"/>
              </w:rPr>
            </w:pPr>
            <w:r>
              <w:rPr>
                <w:sz w:val="20"/>
                <w:szCs w:val="20"/>
              </w:rPr>
              <w:t xml:space="preserve"> </w:t>
            </w:r>
            <w:r w:rsidRPr="00C02CB8">
              <w:rPr>
                <w:sz w:val="20"/>
                <w:szCs w:val="20"/>
              </w:rPr>
              <w:t>30/60</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53D6F749" w14:textId="77777777">
            <w:pPr>
              <w:autoSpaceDE/>
              <w:autoSpaceDN/>
              <w:adjustRightInd/>
              <w:ind w:left="0"/>
              <w:jc w:val="right"/>
              <w:rPr>
                <w:sz w:val="20"/>
                <w:szCs w:val="20"/>
              </w:rPr>
            </w:pPr>
            <w:r w:rsidRPr="00C02CB8">
              <w:rPr>
                <w:sz w:val="20"/>
                <w:szCs w:val="20"/>
              </w:rPr>
              <w:t>6</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78D98A60" w14:textId="77777777">
            <w:pPr>
              <w:autoSpaceDE/>
              <w:autoSpaceDN/>
              <w:adjustRightInd/>
              <w:ind w:left="0"/>
              <w:jc w:val="right"/>
              <w:rPr>
                <w:sz w:val="20"/>
                <w:szCs w:val="20"/>
              </w:rPr>
            </w:pPr>
            <w:r w:rsidRPr="00C02CB8">
              <w:rPr>
                <w:sz w:val="20"/>
                <w:szCs w:val="20"/>
              </w:rPr>
              <w:t>$159.34</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4C9E836E" w14:textId="77777777">
            <w:pPr>
              <w:autoSpaceDE/>
              <w:autoSpaceDN/>
              <w:adjustRightInd/>
              <w:ind w:left="0"/>
              <w:jc w:val="right"/>
              <w:rPr>
                <w:sz w:val="20"/>
                <w:szCs w:val="20"/>
              </w:rPr>
            </w:pPr>
            <w:r w:rsidRPr="00C02CB8">
              <w:rPr>
                <w:sz w:val="20"/>
                <w:szCs w:val="20"/>
              </w:rPr>
              <w:t>$956</w:t>
            </w:r>
          </w:p>
        </w:tc>
      </w:tr>
      <w:tr w14:paraId="6EB95F8F" w14:textId="77777777" w:rsidTr="00166307">
        <w:tblPrEx>
          <w:tblW w:w="10220"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3A6C93DB" w14:textId="77777777">
            <w:pPr>
              <w:autoSpaceDE/>
              <w:autoSpaceDN/>
              <w:adjustRightInd/>
              <w:ind w:left="0" w:firstLine="200" w:firstLineChars="100"/>
              <w:rPr>
                <w:sz w:val="20"/>
                <w:szCs w:val="20"/>
              </w:rPr>
            </w:pPr>
            <w:r w:rsidRPr="00C02CB8">
              <w:rPr>
                <w:sz w:val="20"/>
                <w:szCs w:val="20"/>
              </w:rPr>
              <w:t>Clerical Worker</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7270FA6B" w14:textId="432B6240">
            <w:pPr>
              <w:autoSpaceDE/>
              <w:autoSpaceDN/>
              <w:adjustRightInd/>
              <w:ind w:left="0"/>
              <w:jc w:val="center"/>
              <w:rPr>
                <w:sz w:val="20"/>
                <w:szCs w:val="20"/>
              </w:rPr>
            </w:pPr>
            <w:r w:rsidRPr="00C02CB8">
              <w:rPr>
                <w:sz w:val="20"/>
                <w:szCs w:val="20"/>
              </w:rPr>
              <w:t xml:space="preserve">12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7343CE1C" w14:textId="77777777">
            <w:pPr>
              <w:autoSpaceDE/>
              <w:autoSpaceDN/>
              <w:adjustRightInd/>
              <w:ind w:left="0"/>
              <w:jc w:val="right"/>
              <w:rPr>
                <w:sz w:val="20"/>
                <w:szCs w:val="20"/>
              </w:rPr>
            </w:pPr>
            <w:r w:rsidRPr="00C02CB8">
              <w:rPr>
                <w:sz w:val="20"/>
                <w:szCs w:val="20"/>
              </w:rPr>
              <w:t>40</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C02CB8" w14:paraId="0B46F01A" w14:textId="77777777">
            <w:pPr>
              <w:autoSpaceDE/>
              <w:autoSpaceDN/>
              <w:adjustRightInd/>
              <w:ind w:left="0"/>
              <w:jc w:val="right"/>
              <w:rPr>
                <w:sz w:val="20"/>
                <w:szCs w:val="20"/>
              </w:rPr>
            </w:pPr>
            <w:r w:rsidRPr="00C02CB8">
              <w:rPr>
                <w:sz w:val="20"/>
                <w:szCs w:val="20"/>
              </w:rPr>
              <w:t>480</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3B75C686" w14:textId="706238DC">
            <w:pPr>
              <w:autoSpaceDE/>
              <w:autoSpaceDN/>
              <w:adjustRightInd/>
              <w:ind w:left="0"/>
              <w:jc w:val="right"/>
              <w:rPr>
                <w:sz w:val="20"/>
                <w:szCs w:val="20"/>
              </w:rPr>
            </w:pPr>
            <w:r>
              <w:rPr>
                <w:sz w:val="20"/>
                <w:szCs w:val="20"/>
              </w:rPr>
              <w:t xml:space="preserve"> </w:t>
            </w:r>
            <w:r w:rsidRPr="00C02CB8">
              <w:rPr>
                <w:sz w:val="20"/>
                <w:szCs w:val="20"/>
              </w:rPr>
              <w:t>2/60</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304DDB8C" w14:textId="77777777">
            <w:pPr>
              <w:autoSpaceDE/>
              <w:autoSpaceDN/>
              <w:adjustRightInd/>
              <w:ind w:left="0"/>
              <w:jc w:val="right"/>
              <w:rPr>
                <w:sz w:val="20"/>
                <w:szCs w:val="20"/>
              </w:rPr>
            </w:pPr>
            <w:r w:rsidRPr="00C02CB8">
              <w:rPr>
                <w:sz w:val="20"/>
                <w:szCs w:val="20"/>
              </w:rPr>
              <w:t>16</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35EC4DAC" w14:textId="77777777">
            <w:pPr>
              <w:autoSpaceDE/>
              <w:autoSpaceDN/>
              <w:adjustRightInd/>
              <w:ind w:left="0"/>
              <w:jc w:val="right"/>
              <w:rPr>
                <w:sz w:val="20"/>
                <w:szCs w:val="20"/>
              </w:rPr>
            </w:pPr>
            <w:r w:rsidRPr="00C02CB8">
              <w:rPr>
                <w:sz w:val="20"/>
                <w:szCs w:val="20"/>
              </w:rPr>
              <w:t>$63.45</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456C81B9" w14:textId="77777777">
            <w:pPr>
              <w:autoSpaceDE/>
              <w:autoSpaceDN/>
              <w:adjustRightInd/>
              <w:ind w:left="0"/>
              <w:jc w:val="right"/>
              <w:rPr>
                <w:sz w:val="20"/>
                <w:szCs w:val="20"/>
              </w:rPr>
            </w:pPr>
            <w:r w:rsidRPr="00C02CB8">
              <w:rPr>
                <w:sz w:val="20"/>
                <w:szCs w:val="20"/>
              </w:rPr>
              <w:t>$1,015</w:t>
            </w:r>
          </w:p>
        </w:tc>
      </w:tr>
      <w:tr w14:paraId="3D976280" w14:textId="77777777" w:rsidTr="00C02CB8">
        <w:tblPrEx>
          <w:tblW w:w="10220" w:type="dxa"/>
          <w:tblLook w:val="04A0"/>
        </w:tblPrEx>
        <w:trPr>
          <w:trHeight w:val="270"/>
        </w:trPr>
        <w:tc>
          <w:tcPr>
            <w:tcW w:w="10220" w:type="dxa"/>
            <w:gridSpan w:val="8"/>
            <w:tcBorders>
              <w:top w:val="single" w:sz="4" w:space="0" w:color="auto"/>
              <w:left w:val="single" w:sz="4" w:space="0" w:color="auto"/>
              <w:bottom w:val="single" w:sz="4" w:space="0" w:color="auto"/>
              <w:right w:val="single" w:sz="4" w:space="0" w:color="000000"/>
            </w:tcBorders>
            <w:shd w:val="clear" w:color="auto" w:fill="auto"/>
            <w:hideMark/>
          </w:tcPr>
          <w:p w:rsidR="00C02CB8" w:rsidRPr="00C02CB8" w:rsidP="00C02CB8" w14:paraId="5893EA7B" w14:textId="77777777">
            <w:pPr>
              <w:autoSpaceDE/>
              <w:autoSpaceDN/>
              <w:adjustRightInd/>
              <w:ind w:left="0"/>
              <w:rPr>
                <w:b/>
                <w:bCs/>
                <w:i/>
                <w:iCs/>
                <w:sz w:val="20"/>
                <w:szCs w:val="20"/>
              </w:rPr>
            </w:pPr>
            <w:r w:rsidRPr="00C02CB8">
              <w:rPr>
                <w:b/>
                <w:bCs/>
                <w:i/>
                <w:iCs/>
                <w:sz w:val="20"/>
                <w:szCs w:val="20"/>
              </w:rPr>
              <w:t xml:space="preserve">Recordkeeping </w:t>
            </w:r>
          </w:p>
        </w:tc>
      </w:tr>
      <w:tr w14:paraId="19B9E34D" w14:textId="77777777" w:rsidTr="00166307">
        <w:tblPrEx>
          <w:tblW w:w="10220"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73AA9EF7" w14:textId="77777777">
            <w:pPr>
              <w:autoSpaceDE/>
              <w:autoSpaceDN/>
              <w:adjustRightInd/>
              <w:ind w:left="0" w:firstLine="200" w:firstLineChars="100"/>
              <w:rPr>
                <w:sz w:val="20"/>
                <w:szCs w:val="20"/>
              </w:rPr>
            </w:pPr>
            <w:r w:rsidRPr="00C02CB8">
              <w:rPr>
                <w:sz w:val="20"/>
                <w:szCs w:val="20"/>
              </w:rPr>
              <w:t>Clerical Worker</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73A15B18" w14:textId="726519C6">
            <w:pPr>
              <w:autoSpaceDE/>
              <w:autoSpaceDN/>
              <w:adjustRightInd/>
              <w:ind w:left="0"/>
              <w:jc w:val="center"/>
              <w:rPr>
                <w:sz w:val="20"/>
                <w:szCs w:val="20"/>
              </w:rPr>
            </w:pPr>
            <w:r w:rsidRPr="00C02CB8">
              <w:rPr>
                <w:sz w:val="20"/>
                <w:szCs w:val="20"/>
              </w:rPr>
              <w:t xml:space="preserve"> 10,855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1030A12E" w14:textId="77777777">
            <w:pPr>
              <w:autoSpaceDE/>
              <w:autoSpaceDN/>
              <w:adjustRightInd/>
              <w:ind w:left="0"/>
              <w:jc w:val="right"/>
              <w:rPr>
                <w:sz w:val="20"/>
                <w:szCs w:val="20"/>
              </w:rPr>
            </w:pPr>
            <w:r w:rsidRPr="00C02CB8">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5D583D" w14:paraId="34A4261F" w14:textId="32CDEED2">
            <w:pPr>
              <w:autoSpaceDE/>
              <w:autoSpaceDN/>
              <w:adjustRightInd/>
              <w:ind w:left="0"/>
              <w:jc w:val="right"/>
              <w:rPr>
                <w:sz w:val="20"/>
                <w:szCs w:val="20"/>
              </w:rPr>
            </w:pPr>
            <w:r w:rsidRPr="00C02CB8">
              <w:rPr>
                <w:sz w:val="20"/>
                <w:szCs w:val="20"/>
              </w:rPr>
              <w:t xml:space="preserve">10,855 </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185746E2" w14:textId="24523485">
            <w:pPr>
              <w:autoSpaceDE/>
              <w:autoSpaceDN/>
              <w:adjustRightInd/>
              <w:ind w:left="0"/>
              <w:jc w:val="right"/>
              <w:rPr>
                <w:sz w:val="20"/>
                <w:szCs w:val="20"/>
              </w:rPr>
            </w:pPr>
            <w:r w:rsidRPr="00C02CB8">
              <w:rPr>
                <w:sz w:val="20"/>
                <w:szCs w:val="20"/>
              </w:rPr>
              <w:t>1</w:t>
            </w:r>
            <w:r w:rsidR="0068062D">
              <w:rPr>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67471AD9" w14:textId="77777777">
            <w:pPr>
              <w:autoSpaceDE/>
              <w:autoSpaceDN/>
              <w:adjustRightInd/>
              <w:ind w:left="0"/>
              <w:jc w:val="right"/>
              <w:rPr>
                <w:sz w:val="20"/>
                <w:szCs w:val="20"/>
              </w:rPr>
            </w:pPr>
            <w:r w:rsidRPr="00C02CB8">
              <w:rPr>
                <w:sz w:val="20"/>
                <w:szCs w:val="20"/>
              </w:rPr>
              <w:t>10,855</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2DDDF35D" w14:textId="77777777">
            <w:pPr>
              <w:autoSpaceDE/>
              <w:autoSpaceDN/>
              <w:adjustRightInd/>
              <w:ind w:left="0"/>
              <w:jc w:val="right"/>
              <w:rPr>
                <w:sz w:val="20"/>
                <w:szCs w:val="20"/>
              </w:rPr>
            </w:pPr>
            <w:r w:rsidRPr="00C02CB8">
              <w:rPr>
                <w:sz w:val="20"/>
                <w:szCs w:val="20"/>
              </w:rPr>
              <w:t>$63.45</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36CE0C47" w14:textId="77777777">
            <w:pPr>
              <w:autoSpaceDE/>
              <w:autoSpaceDN/>
              <w:adjustRightInd/>
              <w:ind w:left="0"/>
              <w:jc w:val="right"/>
              <w:rPr>
                <w:sz w:val="20"/>
                <w:szCs w:val="20"/>
              </w:rPr>
            </w:pPr>
            <w:r w:rsidRPr="00C02CB8">
              <w:rPr>
                <w:sz w:val="20"/>
                <w:szCs w:val="20"/>
              </w:rPr>
              <w:t>$688,750</w:t>
            </w:r>
          </w:p>
        </w:tc>
      </w:tr>
      <w:tr w14:paraId="59C662F7" w14:textId="77777777" w:rsidTr="00C02CB8">
        <w:tblPrEx>
          <w:tblW w:w="10220" w:type="dxa"/>
          <w:tblLook w:val="04A0"/>
        </w:tblPrEx>
        <w:trPr>
          <w:trHeight w:val="270"/>
        </w:trPr>
        <w:tc>
          <w:tcPr>
            <w:tcW w:w="10220" w:type="dxa"/>
            <w:gridSpan w:val="8"/>
            <w:tcBorders>
              <w:top w:val="single" w:sz="4" w:space="0" w:color="auto"/>
              <w:left w:val="single" w:sz="4" w:space="0" w:color="auto"/>
              <w:bottom w:val="single" w:sz="4" w:space="0" w:color="auto"/>
              <w:right w:val="single" w:sz="4" w:space="0" w:color="000000"/>
            </w:tcBorders>
            <w:shd w:val="clear" w:color="auto" w:fill="auto"/>
            <w:hideMark/>
          </w:tcPr>
          <w:p w:rsidR="00C02CB8" w:rsidRPr="00C02CB8" w:rsidP="00C02CB8" w14:paraId="0B51BCD8" w14:textId="77777777">
            <w:pPr>
              <w:autoSpaceDE/>
              <w:autoSpaceDN/>
              <w:adjustRightInd/>
              <w:ind w:left="0"/>
              <w:rPr>
                <w:b/>
                <w:bCs/>
                <w:i/>
                <w:iCs/>
                <w:sz w:val="20"/>
                <w:szCs w:val="20"/>
              </w:rPr>
            </w:pPr>
            <w:r w:rsidRPr="00C02CB8">
              <w:rPr>
                <w:b/>
                <w:bCs/>
                <w:i/>
                <w:iCs/>
                <w:sz w:val="20"/>
                <w:szCs w:val="20"/>
              </w:rPr>
              <w:t>Refusal to Disclose Requested Information</w:t>
            </w:r>
          </w:p>
        </w:tc>
      </w:tr>
      <w:tr w14:paraId="5794AA99" w14:textId="77777777" w:rsidTr="00166307">
        <w:tblPrEx>
          <w:tblW w:w="10220"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2ACF75EC" w14:textId="77777777">
            <w:pPr>
              <w:autoSpaceDE/>
              <w:autoSpaceDN/>
              <w:adjustRightInd/>
              <w:ind w:left="0" w:firstLine="200" w:firstLineChars="100"/>
              <w:rPr>
                <w:sz w:val="20"/>
                <w:szCs w:val="20"/>
              </w:rPr>
            </w:pPr>
            <w:r w:rsidRPr="00C02CB8">
              <w:rPr>
                <w:sz w:val="20"/>
                <w:szCs w:val="20"/>
              </w:rPr>
              <w:t>Legal Professional</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73EBB08E" w14:textId="07713C4C">
            <w:pPr>
              <w:autoSpaceDE/>
              <w:autoSpaceDN/>
              <w:adjustRightInd/>
              <w:ind w:left="0"/>
              <w:jc w:val="center"/>
              <w:rPr>
                <w:sz w:val="20"/>
                <w:szCs w:val="20"/>
              </w:rPr>
            </w:pPr>
            <w:r>
              <w:rPr>
                <w:sz w:val="20"/>
                <w:szCs w:val="20"/>
              </w:rPr>
              <w:t xml:space="preserve"> </w:t>
            </w:r>
            <w:r w:rsidRPr="00C02CB8">
              <w:rPr>
                <w:sz w:val="20"/>
                <w:szCs w:val="20"/>
              </w:rPr>
              <w:t xml:space="preserve">217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33E11EEA" w14:textId="77777777">
            <w:pPr>
              <w:autoSpaceDE/>
              <w:autoSpaceDN/>
              <w:adjustRightInd/>
              <w:ind w:left="0"/>
              <w:jc w:val="right"/>
              <w:rPr>
                <w:sz w:val="20"/>
                <w:szCs w:val="20"/>
              </w:rPr>
            </w:pPr>
            <w:r w:rsidRPr="00C02CB8">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5D583D" w14:paraId="5E6BBD10" w14:textId="676C4FA6">
            <w:pPr>
              <w:autoSpaceDE/>
              <w:autoSpaceDN/>
              <w:adjustRightInd/>
              <w:ind w:left="0"/>
              <w:jc w:val="right"/>
              <w:rPr>
                <w:sz w:val="20"/>
                <w:szCs w:val="20"/>
              </w:rPr>
            </w:pPr>
            <w:r w:rsidRPr="00C02CB8">
              <w:rPr>
                <w:sz w:val="20"/>
                <w:szCs w:val="20"/>
              </w:rPr>
              <w:t xml:space="preserve"> 217 </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664108A5" w14:textId="3916FE7E">
            <w:pPr>
              <w:autoSpaceDE/>
              <w:autoSpaceDN/>
              <w:adjustRightInd/>
              <w:ind w:left="0"/>
              <w:jc w:val="right"/>
              <w:rPr>
                <w:sz w:val="20"/>
                <w:szCs w:val="20"/>
              </w:rPr>
            </w:pPr>
            <w:r w:rsidRPr="00C02CB8">
              <w:rPr>
                <w:sz w:val="20"/>
                <w:szCs w:val="20"/>
              </w:rPr>
              <w:t>1</w:t>
            </w:r>
            <w:r w:rsidR="0068062D">
              <w:rPr>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67F5891E" w14:textId="77777777">
            <w:pPr>
              <w:autoSpaceDE/>
              <w:autoSpaceDN/>
              <w:adjustRightInd/>
              <w:ind w:left="0"/>
              <w:jc w:val="right"/>
              <w:rPr>
                <w:sz w:val="20"/>
                <w:szCs w:val="20"/>
              </w:rPr>
            </w:pPr>
            <w:r w:rsidRPr="00C02CB8">
              <w:rPr>
                <w:sz w:val="20"/>
                <w:szCs w:val="20"/>
              </w:rPr>
              <w:t>217</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519A224F" w14:textId="77777777">
            <w:pPr>
              <w:autoSpaceDE/>
              <w:autoSpaceDN/>
              <w:adjustRightInd/>
              <w:ind w:left="0"/>
              <w:jc w:val="right"/>
              <w:rPr>
                <w:sz w:val="20"/>
                <w:szCs w:val="20"/>
              </w:rPr>
            </w:pPr>
            <w:r w:rsidRPr="00C02CB8">
              <w:rPr>
                <w:sz w:val="20"/>
                <w:szCs w:val="20"/>
              </w:rPr>
              <w:t>$159.34</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21230572" w14:textId="77777777">
            <w:pPr>
              <w:autoSpaceDE/>
              <w:autoSpaceDN/>
              <w:adjustRightInd/>
              <w:ind w:left="0"/>
              <w:jc w:val="right"/>
              <w:rPr>
                <w:sz w:val="20"/>
                <w:szCs w:val="20"/>
              </w:rPr>
            </w:pPr>
            <w:r w:rsidRPr="00C02CB8">
              <w:rPr>
                <w:sz w:val="20"/>
                <w:szCs w:val="20"/>
              </w:rPr>
              <w:t>$34,577</w:t>
            </w:r>
          </w:p>
        </w:tc>
      </w:tr>
      <w:tr w14:paraId="2390F282" w14:textId="77777777" w:rsidTr="00C02CB8">
        <w:tblPrEx>
          <w:tblW w:w="10220" w:type="dxa"/>
          <w:tblLook w:val="04A0"/>
        </w:tblPrEx>
        <w:trPr>
          <w:trHeight w:val="270"/>
        </w:trPr>
        <w:tc>
          <w:tcPr>
            <w:tcW w:w="10220" w:type="dxa"/>
            <w:gridSpan w:val="8"/>
            <w:tcBorders>
              <w:top w:val="single" w:sz="4" w:space="0" w:color="auto"/>
              <w:left w:val="single" w:sz="4" w:space="0" w:color="auto"/>
              <w:bottom w:val="single" w:sz="4" w:space="0" w:color="auto"/>
              <w:right w:val="single" w:sz="4" w:space="0" w:color="000000"/>
            </w:tcBorders>
            <w:shd w:val="clear" w:color="auto" w:fill="auto"/>
            <w:hideMark/>
          </w:tcPr>
          <w:p w:rsidR="00C02CB8" w:rsidRPr="00C02CB8" w:rsidP="00C02CB8" w14:paraId="7D6194A8" w14:textId="77777777">
            <w:pPr>
              <w:autoSpaceDE/>
              <w:autoSpaceDN/>
              <w:adjustRightInd/>
              <w:ind w:left="0"/>
              <w:rPr>
                <w:b/>
                <w:bCs/>
                <w:i/>
                <w:iCs/>
                <w:sz w:val="20"/>
                <w:szCs w:val="20"/>
              </w:rPr>
            </w:pPr>
            <w:r w:rsidRPr="00C02CB8">
              <w:rPr>
                <w:b/>
                <w:bCs/>
                <w:i/>
                <w:iCs/>
                <w:sz w:val="20"/>
                <w:szCs w:val="20"/>
              </w:rPr>
              <w:t>Reporting Reliance on the QPAM Exemption</w:t>
            </w:r>
          </w:p>
        </w:tc>
      </w:tr>
      <w:tr w14:paraId="234C530F" w14:textId="77777777" w:rsidTr="00166307">
        <w:tblPrEx>
          <w:tblW w:w="10220"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0AB43A46" w14:textId="77777777">
            <w:pPr>
              <w:autoSpaceDE/>
              <w:autoSpaceDN/>
              <w:adjustRightInd/>
              <w:ind w:left="0" w:firstLine="200" w:firstLineChars="100"/>
              <w:rPr>
                <w:sz w:val="20"/>
                <w:szCs w:val="20"/>
              </w:rPr>
            </w:pPr>
            <w:r w:rsidRPr="00C02CB8">
              <w:rPr>
                <w:sz w:val="20"/>
                <w:szCs w:val="20"/>
              </w:rPr>
              <w:t>Clerical Worker</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3F2C4920" w14:textId="35B5CE4F">
            <w:pPr>
              <w:autoSpaceDE/>
              <w:autoSpaceDN/>
              <w:adjustRightInd/>
              <w:ind w:left="0"/>
              <w:jc w:val="center"/>
              <w:rPr>
                <w:sz w:val="20"/>
                <w:szCs w:val="20"/>
              </w:rPr>
            </w:pPr>
            <w:r>
              <w:rPr>
                <w:sz w:val="20"/>
                <w:szCs w:val="20"/>
              </w:rPr>
              <w:t xml:space="preserve"> </w:t>
            </w:r>
            <w:r w:rsidRPr="00C02CB8">
              <w:rPr>
                <w:sz w:val="20"/>
                <w:szCs w:val="20"/>
              </w:rPr>
              <w:t xml:space="preserve">109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20FE2539" w14:textId="77777777">
            <w:pPr>
              <w:autoSpaceDE/>
              <w:autoSpaceDN/>
              <w:adjustRightInd/>
              <w:ind w:left="0"/>
              <w:jc w:val="right"/>
              <w:rPr>
                <w:sz w:val="20"/>
                <w:szCs w:val="20"/>
              </w:rPr>
            </w:pPr>
            <w:r w:rsidRPr="00C02CB8">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5D583D" w14:paraId="50E6B1F4" w14:textId="325A5595">
            <w:pPr>
              <w:autoSpaceDE/>
              <w:autoSpaceDN/>
              <w:adjustRightInd/>
              <w:ind w:left="0"/>
              <w:jc w:val="right"/>
              <w:rPr>
                <w:sz w:val="20"/>
                <w:szCs w:val="20"/>
              </w:rPr>
            </w:pPr>
            <w:r w:rsidRPr="00C02CB8">
              <w:rPr>
                <w:sz w:val="20"/>
                <w:szCs w:val="20"/>
              </w:rPr>
              <w:t xml:space="preserve"> 109 </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3D45CAF6" w14:textId="77FF2E40">
            <w:pPr>
              <w:autoSpaceDE/>
              <w:autoSpaceDN/>
              <w:adjustRightInd/>
              <w:ind w:left="0"/>
              <w:jc w:val="right"/>
              <w:rPr>
                <w:sz w:val="20"/>
                <w:szCs w:val="20"/>
              </w:rPr>
            </w:pPr>
            <w:r>
              <w:rPr>
                <w:sz w:val="20"/>
                <w:szCs w:val="20"/>
              </w:rPr>
              <w:t xml:space="preserve"> </w:t>
            </w:r>
            <w:r w:rsidRPr="00C02CB8">
              <w:rPr>
                <w:sz w:val="20"/>
                <w:szCs w:val="20"/>
              </w:rPr>
              <w:t>15/60</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398819BB" w14:textId="77777777">
            <w:pPr>
              <w:autoSpaceDE/>
              <w:autoSpaceDN/>
              <w:adjustRightInd/>
              <w:ind w:left="0"/>
              <w:jc w:val="right"/>
              <w:rPr>
                <w:sz w:val="20"/>
                <w:szCs w:val="20"/>
              </w:rPr>
            </w:pPr>
            <w:r w:rsidRPr="00C02CB8">
              <w:rPr>
                <w:sz w:val="20"/>
                <w:szCs w:val="20"/>
              </w:rPr>
              <w:t>27</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354FF705" w14:textId="77777777">
            <w:pPr>
              <w:autoSpaceDE/>
              <w:autoSpaceDN/>
              <w:adjustRightInd/>
              <w:ind w:left="0"/>
              <w:jc w:val="right"/>
              <w:rPr>
                <w:sz w:val="20"/>
                <w:szCs w:val="20"/>
              </w:rPr>
            </w:pPr>
            <w:r w:rsidRPr="00C02CB8">
              <w:rPr>
                <w:sz w:val="20"/>
                <w:szCs w:val="20"/>
              </w:rPr>
              <w:t>$63.45</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57C45DB8" w14:textId="77777777">
            <w:pPr>
              <w:autoSpaceDE/>
              <w:autoSpaceDN/>
              <w:adjustRightInd/>
              <w:ind w:left="0"/>
              <w:jc w:val="right"/>
              <w:rPr>
                <w:sz w:val="20"/>
                <w:szCs w:val="20"/>
              </w:rPr>
            </w:pPr>
            <w:r w:rsidRPr="00C02CB8">
              <w:rPr>
                <w:sz w:val="20"/>
                <w:szCs w:val="20"/>
              </w:rPr>
              <w:t>$1,729</w:t>
            </w:r>
          </w:p>
        </w:tc>
      </w:tr>
      <w:tr w14:paraId="24B00B6B" w14:textId="77777777" w:rsidTr="00C02CB8">
        <w:tblPrEx>
          <w:tblW w:w="10220" w:type="dxa"/>
          <w:tblLook w:val="04A0"/>
        </w:tblPrEx>
        <w:trPr>
          <w:trHeight w:val="270"/>
        </w:trPr>
        <w:tc>
          <w:tcPr>
            <w:tcW w:w="10220" w:type="dxa"/>
            <w:gridSpan w:val="8"/>
            <w:tcBorders>
              <w:top w:val="single" w:sz="4" w:space="0" w:color="auto"/>
              <w:left w:val="single" w:sz="4" w:space="0" w:color="auto"/>
              <w:bottom w:val="single" w:sz="4" w:space="0" w:color="auto"/>
              <w:right w:val="single" w:sz="4" w:space="0" w:color="000000"/>
            </w:tcBorders>
            <w:shd w:val="clear" w:color="auto" w:fill="auto"/>
            <w:hideMark/>
          </w:tcPr>
          <w:p w:rsidR="00C02CB8" w:rsidRPr="00C02CB8" w:rsidP="00C02CB8" w14:paraId="421B198D" w14:textId="77777777">
            <w:pPr>
              <w:autoSpaceDE/>
              <w:autoSpaceDN/>
              <w:adjustRightInd/>
              <w:ind w:left="0"/>
              <w:rPr>
                <w:b/>
                <w:bCs/>
                <w:i/>
                <w:iCs/>
                <w:sz w:val="20"/>
                <w:szCs w:val="20"/>
              </w:rPr>
            </w:pPr>
            <w:r w:rsidRPr="00C02CB8">
              <w:rPr>
                <w:b/>
                <w:bCs/>
                <w:i/>
                <w:iCs/>
                <w:sz w:val="20"/>
                <w:szCs w:val="20"/>
              </w:rPr>
              <w:t>Notice of Failure to Provide Notice</w:t>
            </w:r>
          </w:p>
        </w:tc>
      </w:tr>
      <w:tr w14:paraId="3F142703" w14:textId="77777777" w:rsidTr="00166307">
        <w:tblPrEx>
          <w:tblW w:w="10220"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10B2CF81" w14:textId="77777777">
            <w:pPr>
              <w:autoSpaceDE/>
              <w:autoSpaceDN/>
              <w:adjustRightInd/>
              <w:ind w:left="0" w:firstLine="200" w:firstLineChars="100"/>
              <w:rPr>
                <w:sz w:val="20"/>
                <w:szCs w:val="20"/>
              </w:rPr>
            </w:pPr>
            <w:r w:rsidRPr="00C02CB8">
              <w:rPr>
                <w:sz w:val="20"/>
                <w:szCs w:val="20"/>
              </w:rPr>
              <w:t>Legal Professional</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36CF5437" w14:textId="5E47470D">
            <w:pPr>
              <w:autoSpaceDE/>
              <w:autoSpaceDN/>
              <w:adjustRightInd/>
              <w:ind w:left="0"/>
              <w:jc w:val="center"/>
              <w:rPr>
                <w:sz w:val="20"/>
                <w:szCs w:val="20"/>
              </w:rPr>
            </w:pPr>
            <w:r w:rsidRPr="00C02CB8">
              <w:rPr>
                <w:sz w:val="20"/>
                <w:szCs w:val="20"/>
              </w:rPr>
              <w:t xml:space="preserve">2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4ADE9F57" w14:textId="77777777">
            <w:pPr>
              <w:autoSpaceDE/>
              <w:autoSpaceDN/>
              <w:adjustRightInd/>
              <w:ind w:left="0"/>
              <w:jc w:val="right"/>
              <w:rPr>
                <w:sz w:val="20"/>
                <w:szCs w:val="20"/>
              </w:rPr>
            </w:pPr>
            <w:r w:rsidRPr="00C02CB8">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5D583D" w14:paraId="5993B2E2" w14:textId="5C6F80DF">
            <w:pPr>
              <w:autoSpaceDE/>
              <w:autoSpaceDN/>
              <w:adjustRightInd/>
              <w:ind w:left="0"/>
              <w:jc w:val="right"/>
              <w:rPr>
                <w:sz w:val="20"/>
                <w:szCs w:val="20"/>
              </w:rPr>
            </w:pPr>
            <w:r w:rsidRPr="00C02CB8">
              <w:rPr>
                <w:sz w:val="20"/>
                <w:szCs w:val="20"/>
              </w:rPr>
              <w:t xml:space="preserve"> 2 </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12425F9F" w14:textId="1011EC4B">
            <w:pPr>
              <w:autoSpaceDE/>
              <w:autoSpaceDN/>
              <w:adjustRightInd/>
              <w:ind w:left="0"/>
              <w:jc w:val="right"/>
              <w:rPr>
                <w:sz w:val="20"/>
                <w:szCs w:val="20"/>
              </w:rPr>
            </w:pPr>
            <w:r>
              <w:rPr>
                <w:sz w:val="20"/>
                <w:szCs w:val="20"/>
              </w:rPr>
              <w:t xml:space="preserve"> </w:t>
            </w:r>
            <w:r w:rsidRPr="00C02CB8">
              <w:rPr>
                <w:sz w:val="20"/>
                <w:szCs w:val="20"/>
              </w:rPr>
              <w:t>30/60</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175B103C" w14:textId="77777777">
            <w:pPr>
              <w:autoSpaceDE/>
              <w:autoSpaceDN/>
              <w:adjustRightInd/>
              <w:ind w:left="0"/>
              <w:jc w:val="right"/>
              <w:rPr>
                <w:sz w:val="20"/>
                <w:szCs w:val="20"/>
              </w:rPr>
            </w:pPr>
            <w:r w:rsidRPr="00C02CB8">
              <w:rPr>
                <w:sz w:val="20"/>
                <w:szCs w:val="20"/>
              </w:rPr>
              <w:t>1</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1B8A8D7D" w14:textId="77777777">
            <w:pPr>
              <w:autoSpaceDE/>
              <w:autoSpaceDN/>
              <w:adjustRightInd/>
              <w:ind w:left="0"/>
              <w:jc w:val="right"/>
              <w:rPr>
                <w:sz w:val="20"/>
                <w:szCs w:val="20"/>
              </w:rPr>
            </w:pPr>
            <w:r w:rsidRPr="00C02CB8">
              <w:rPr>
                <w:sz w:val="20"/>
                <w:szCs w:val="20"/>
              </w:rPr>
              <w:t>$159.34</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2D62B706" w14:textId="77777777">
            <w:pPr>
              <w:autoSpaceDE/>
              <w:autoSpaceDN/>
              <w:adjustRightInd/>
              <w:ind w:left="0"/>
              <w:jc w:val="right"/>
              <w:rPr>
                <w:sz w:val="20"/>
                <w:szCs w:val="20"/>
              </w:rPr>
            </w:pPr>
            <w:r w:rsidRPr="00C02CB8">
              <w:rPr>
                <w:sz w:val="20"/>
                <w:szCs w:val="20"/>
              </w:rPr>
              <w:t>$159</w:t>
            </w:r>
          </w:p>
        </w:tc>
      </w:tr>
      <w:tr w14:paraId="6A9423FE" w14:textId="77777777" w:rsidTr="00C02CB8">
        <w:tblPrEx>
          <w:tblW w:w="10220" w:type="dxa"/>
          <w:tblLook w:val="04A0"/>
        </w:tblPrEx>
        <w:trPr>
          <w:trHeight w:val="270"/>
        </w:trPr>
        <w:tc>
          <w:tcPr>
            <w:tcW w:w="10220" w:type="dxa"/>
            <w:gridSpan w:val="8"/>
            <w:tcBorders>
              <w:top w:val="single" w:sz="4" w:space="0" w:color="auto"/>
              <w:left w:val="single" w:sz="4" w:space="0" w:color="auto"/>
              <w:bottom w:val="single" w:sz="4" w:space="0" w:color="auto"/>
              <w:right w:val="single" w:sz="4" w:space="0" w:color="000000"/>
            </w:tcBorders>
            <w:shd w:val="clear" w:color="auto" w:fill="auto"/>
            <w:hideMark/>
          </w:tcPr>
          <w:p w:rsidR="00C02CB8" w:rsidRPr="00C02CB8" w:rsidP="00C02CB8" w14:paraId="03298306" w14:textId="543303DA">
            <w:pPr>
              <w:autoSpaceDE/>
              <w:autoSpaceDN/>
              <w:adjustRightInd/>
              <w:ind w:left="0"/>
              <w:rPr>
                <w:b/>
                <w:bCs/>
                <w:i/>
                <w:iCs/>
                <w:sz w:val="20"/>
                <w:szCs w:val="20"/>
              </w:rPr>
            </w:pPr>
            <w:r w:rsidRPr="00C02CB8">
              <w:rPr>
                <w:b/>
                <w:bCs/>
                <w:i/>
                <w:iCs/>
                <w:sz w:val="20"/>
                <w:szCs w:val="20"/>
              </w:rPr>
              <w:t xml:space="preserve">Notice to the Department of </w:t>
            </w:r>
            <w:r w:rsidR="00EB272B">
              <w:rPr>
                <w:b/>
                <w:bCs/>
                <w:i/>
                <w:iCs/>
                <w:sz w:val="20"/>
                <w:szCs w:val="20"/>
              </w:rPr>
              <w:t xml:space="preserve">Prohibited Misconduct and </w:t>
            </w:r>
            <w:r w:rsidR="00EB336E">
              <w:rPr>
                <w:b/>
                <w:bCs/>
                <w:i/>
                <w:iCs/>
                <w:sz w:val="20"/>
                <w:szCs w:val="20"/>
              </w:rPr>
              <w:t xml:space="preserve">Foreign </w:t>
            </w:r>
            <w:r w:rsidR="00134761">
              <w:rPr>
                <w:b/>
                <w:bCs/>
                <w:i/>
                <w:iCs/>
                <w:sz w:val="20"/>
                <w:szCs w:val="20"/>
              </w:rPr>
              <w:t xml:space="preserve">NPAs or DPAs </w:t>
            </w:r>
          </w:p>
        </w:tc>
      </w:tr>
      <w:tr w14:paraId="02E428C8" w14:textId="77777777" w:rsidTr="00166307">
        <w:tblPrEx>
          <w:tblW w:w="10220"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5035A490" w14:textId="77777777">
            <w:pPr>
              <w:autoSpaceDE/>
              <w:autoSpaceDN/>
              <w:adjustRightInd/>
              <w:ind w:left="0" w:firstLine="200" w:firstLineChars="100"/>
              <w:rPr>
                <w:sz w:val="20"/>
                <w:szCs w:val="20"/>
              </w:rPr>
            </w:pPr>
            <w:r w:rsidRPr="00C02CB8">
              <w:rPr>
                <w:sz w:val="20"/>
                <w:szCs w:val="20"/>
              </w:rPr>
              <w:t>Legal Professional</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34F6F843" w14:textId="44279704">
            <w:pPr>
              <w:autoSpaceDE/>
              <w:autoSpaceDN/>
              <w:adjustRightInd/>
              <w:ind w:left="0"/>
              <w:jc w:val="center"/>
              <w:rPr>
                <w:sz w:val="20"/>
                <w:szCs w:val="20"/>
              </w:rPr>
            </w:pPr>
            <w:r>
              <w:rPr>
                <w:sz w:val="20"/>
                <w:szCs w:val="20"/>
              </w:rPr>
              <w:t xml:space="preserve">4 </w:t>
            </w:r>
            <w:r w:rsidRPr="00C02CB8">
              <w:rPr>
                <w:sz w:val="20"/>
                <w:szCs w:val="20"/>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019EF4EA" w14:textId="77777777">
            <w:pPr>
              <w:autoSpaceDE/>
              <w:autoSpaceDN/>
              <w:adjustRightInd/>
              <w:ind w:left="0"/>
              <w:jc w:val="right"/>
              <w:rPr>
                <w:sz w:val="20"/>
                <w:szCs w:val="20"/>
              </w:rPr>
            </w:pPr>
            <w:r w:rsidRPr="00C02CB8">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5D583D" w14:paraId="4A266EED" w14:textId="3DD93F9B">
            <w:pPr>
              <w:autoSpaceDE/>
              <w:autoSpaceDN/>
              <w:adjustRightInd/>
              <w:ind w:left="0"/>
              <w:jc w:val="right"/>
              <w:rPr>
                <w:sz w:val="20"/>
                <w:szCs w:val="20"/>
              </w:rPr>
            </w:pPr>
            <w:r>
              <w:rPr>
                <w:sz w:val="20"/>
                <w:szCs w:val="20"/>
              </w:rPr>
              <w:t>4</w:t>
            </w:r>
            <w:r w:rsidRPr="00C02CB8">
              <w:rPr>
                <w:sz w:val="20"/>
                <w:szCs w:val="20"/>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3F7A6399" w14:textId="1367B6B7">
            <w:pPr>
              <w:autoSpaceDE/>
              <w:autoSpaceDN/>
              <w:adjustRightInd/>
              <w:ind w:left="0"/>
              <w:jc w:val="right"/>
              <w:rPr>
                <w:sz w:val="20"/>
                <w:szCs w:val="20"/>
              </w:rPr>
            </w:pPr>
            <w:r>
              <w:rPr>
                <w:sz w:val="20"/>
                <w:szCs w:val="20"/>
              </w:rPr>
              <w:t xml:space="preserve"> </w:t>
            </w:r>
            <w:r w:rsidRPr="00C02CB8">
              <w:rPr>
                <w:sz w:val="20"/>
                <w:szCs w:val="20"/>
              </w:rPr>
              <w:t>30/60</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554BC04B" w14:textId="77777777">
            <w:pPr>
              <w:autoSpaceDE/>
              <w:autoSpaceDN/>
              <w:adjustRightInd/>
              <w:ind w:left="0"/>
              <w:jc w:val="right"/>
              <w:rPr>
                <w:sz w:val="20"/>
                <w:szCs w:val="20"/>
              </w:rPr>
            </w:pPr>
            <w:r w:rsidRPr="00C02CB8">
              <w:rPr>
                <w:sz w:val="20"/>
                <w:szCs w:val="20"/>
              </w:rPr>
              <w:t>1</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561CE3AC" w14:textId="77777777">
            <w:pPr>
              <w:autoSpaceDE/>
              <w:autoSpaceDN/>
              <w:adjustRightInd/>
              <w:ind w:left="0"/>
              <w:jc w:val="right"/>
              <w:rPr>
                <w:sz w:val="20"/>
                <w:szCs w:val="20"/>
              </w:rPr>
            </w:pPr>
            <w:r w:rsidRPr="00C02CB8">
              <w:rPr>
                <w:sz w:val="20"/>
                <w:szCs w:val="20"/>
              </w:rPr>
              <w:t>$159.34</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2D5722F0" w14:textId="5269FE44">
            <w:pPr>
              <w:autoSpaceDE/>
              <w:autoSpaceDN/>
              <w:adjustRightInd/>
              <w:ind w:left="0"/>
              <w:jc w:val="right"/>
              <w:rPr>
                <w:sz w:val="20"/>
                <w:szCs w:val="20"/>
              </w:rPr>
            </w:pPr>
            <w:r w:rsidRPr="00C02CB8">
              <w:rPr>
                <w:sz w:val="20"/>
                <w:szCs w:val="20"/>
              </w:rPr>
              <w:t>$</w:t>
            </w:r>
            <w:r w:rsidR="00BA6387">
              <w:rPr>
                <w:sz w:val="20"/>
                <w:szCs w:val="20"/>
              </w:rPr>
              <w:t xml:space="preserve">319 </w:t>
            </w:r>
          </w:p>
        </w:tc>
      </w:tr>
      <w:tr w14:paraId="5A380724" w14:textId="77777777" w:rsidTr="00166307">
        <w:tblPrEx>
          <w:tblW w:w="10220"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05FD4119" w14:textId="77777777">
            <w:pPr>
              <w:autoSpaceDE/>
              <w:autoSpaceDN/>
              <w:adjustRightInd/>
              <w:ind w:left="0" w:firstLine="200" w:firstLineChars="100"/>
              <w:rPr>
                <w:sz w:val="20"/>
                <w:szCs w:val="20"/>
              </w:rPr>
            </w:pPr>
            <w:r w:rsidRPr="00C02CB8">
              <w:rPr>
                <w:sz w:val="20"/>
                <w:szCs w:val="20"/>
              </w:rPr>
              <w:t>Clerical Worker</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5FB717A7" w14:textId="474C5231">
            <w:pPr>
              <w:autoSpaceDE/>
              <w:autoSpaceDN/>
              <w:adjustRightInd/>
              <w:ind w:left="0"/>
              <w:jc w:val="center"/>
              <w:rPr>
                <w:sz w:val="20"/>
                <w:szCs w:val="20"/>
              </w:rPr>
            </w:pPr>
            <w:r>
              <w:rPr>
                <w:sz w:val="20"/>
                <w:szCs w:val="20"/>
              </w:rPr>
              <w:t xml:space="preserve">4 </w:t>
            </w:r>
            <w:r w:rsidRPr="00C02CB8">
              <w:rPr>
                <w:sz w:val="20"/>
                <w:szCs w:val="20"/>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0E133BA7" w14:textId="77777777">
            <w:pPr>
              <w:autoSpaceDE/>
              <w:autoSpaceDN/>
              <w:adjustRightInd/>
              <w:ind w:left="0"/>
              <w:jc w:val="right"/>
              <w:rPr>
                <w:sz w:val="20"/>
                <w:szCs w:val="20"/>
              </w:rPr>
            </w:pPr>
            <w:r w:rsidRPr="00C02CB8">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5D583D" w14:paraId="12E41FA2" w14:textId="55F9F352">
            <w:pPr>
              <w:autoSpaceDE/>
              <w:autoSpaceDN/>
              <w:adjustRightInd/>
              <w:ind w:left="0"/>
              <w:jc w:val="right"/>
              <w:rPr>
                <w:sz w:val="20"/>
                <w:szCs w:val="20"/>
              </w:rPr>
            </w:pPr>
            <w:r w:rsidRPr="00C02CB8">
              <w:rPr>
                <w:sz w:val="20"/>
                <w:szCs w:val="20"/>
              </w:rPr>
              <w:t xml:space="preserve"> </w:t>
            </w:r>
            <w:r w:rsidR="007D62ED">
              <w:rPr>
                <w:sz w:val="20"/>
                <w:szCs w:val="20"/>
              </w:rPr>
              <w:t xml:space="preserve">4 </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549E3289" w14:textId="30928CE3">
            <w:pPr>
              <w:autoSpaceDE/>
              <w:autoSpaceDN/>
              <w:adjustRightInd/>
              <w:ind w:left="0"/>
              <w:jc w:val="right"/>
              <w:rPr>
                <w:sz w:val="20"/>
                <w:szCs w:val="20"/>
              </w:rPr>
            </w:pPr>
            <w:r>
              <w:rPr>
                <w:sz w:val="20"/>
                <w:szCs w:val="20"/>
              </w:rPr>
              <w:t xml:space="preserve"> </w:t>
            </w:r>
            <w:r w:rsidRPr="00C02CB8">
              <w:rPr>
                <w:sz w:val="20"/>
                <w:szCs w:val="20"/>
              </w:rPr>
              <w:t>5/60</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5405A3CF" w14:textId="77777777">
            <w:pPr>
              <w:autoSpaceDE/>
              <w:autoSpaceDN/>
              <w:adjustRightInd/>
              <w:ind w:left="0"/>
              <w:jc w:val="right"/>
              <w:rPr>
                <w:sz w:val="20"/>
                <w:szCs w:val="20"/>
              </w:rPr>
            </w:pPr>
            <w:r w:rsidRPr="00C02CB8">
              <w:rPr>
                <w:sz w:val="20"/>
                <w:szCs w:val="20"/>
              </w:rPr>
              <w:t>0</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776A2792" w14:textId="77777777">
            <w:pPr>
              <w:autoSpaceDE/>
              <w:autoSpaceDN/>
              <w:adjustRightInd/>
              <w:ind w:left="0"/>
              <w:jc w:val="right"/>
              <w:rPr>
                <w:sz w:val="20"/>
                <w:szCs w:val="20"/>
              </w:rPr>
            </w:pPr>
            <w:r w:rsidRPr="00C02CB8">
              <w:rPr>
                <w:sz w:val="20"/>
                <w:szCs w:val="20"/>
              </w:rPr>
              <w:t>$63.45</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3E7CF10B" w14:textId="70F8829A">
            <w:pPr>
              <w:autoSpaceDE/>
              <w:autoSpaceDN/>
              <w:adjustRightInd/>
              <w:ind w:left="0"/>
              <w:jc w:val="right"/>
              <w:rPr>
                <w:sz w:val="20"/>
                <w:szCs w:val="20"/>
              </w:rPr>
            </w:pPr>
            <w:r w:rsidRPr="00C02CB8">
              <w:rPr>
                <w:sz w:val="20"/>
                <w:szCs w:val="20"/>
              </w:rPr>
              <w:t>$</w:t>
            </w:r>
            <w:r w:rsidR="00BA6387">
              <w:rPr>
                <w:sz w:val="20"/>
                <w:szCs w:val="20"/>
              </w:rPr>
              <w:t xml:space="preserve">21 </w:t>
            </w:r>
          </w:p>
        </w:tc>
      </w:tr>
      <w:tr w14:paraId="12132F36" w14:textId="77777777" w:rsidTr="00C02CB8">
        <w:tblPrEx>
          <w:tblW w:w="10220" w:type="dxa"/>
          <w:tblLook w:val="04A0"/>
        </w:tblPrEx>
        <w:trPr>
          <w:trHeight w:val="270"/>
        </w:trPr>
        <w:tc>
          <w:tcPr>
            <w:tcW w:w="10220" w:type="dxa"/>
            <w:gridSpan w:val="8"/>
            <w:tcBorders>
              <w:top w:val="single" w:sz="4" w:space="0" w:color="auto"/>
              <w:left w:val="single" w:sz="4" w:space="0" w:color="auto"/>
              <w:bottom w:val="single" w:sz="4" w:space="0" w:color="auto"/>
              <w:right w:val="single" w:sz="4" w:space="0" w:color="000000"/>
            </w:tcBorders>
            <w:shd w:val="clear" w:color="auto" w:fill="auto"/>
            <w:hideMark/>
          </w:tcPr>
          <w:p w:rsidR="00C02CB8" w:rsidRPr="00C02CB8" w:rsidP="00C02CB8" w14:paraId="3276C93E" w14:textId="26DA25AB">
            <w:pPr>
              <w:autoSpaceDE/>
              <w:autoSpaceDN/>
              <w:adjustRightInd/>
              <w:ind w:left="0"/>
              <w:rPr>
                <w:b/>
                <w:bCs/>
                <w:i/>
                <w:iCs/>
                <w:sz w:val="20"/>
                <w:szCs w:val="20"/>
              </w:rPr>
            </w:pPr>
            <w:r w:rsidRPr="00C02CB8">
              <w:rPr>
                <w:b/>
                <w:bCs/>
                <w:i/>
                <w:iCs/>
                <w:sz w:val="20"/>
                <w:szCs w:val="20"/>
              </w:rPr>
              <w:t xml:space="preserve"> Requesting an Individual Exemption</w:t>
            </w:r>
            <w:r w:rsidR="0068062D">
              <w:rPr>
                <w:b/>
                <w:bCs/>
                <w:i/>
                <w:iCs/>
                <w:sz w:val="20"/>
                <w:szCs w:val="20"/>
              </w:rPr>
              <w:t xml:space="preserve"> </w:t>
            </w:r>
          </w:p>
        </w:tc>
      </w:tr>
      <w:tr w14:paraId="7340F35D" w14:textId="77777777" w:rsidTr="00C02CB8">
        <w:tblPrEx>
          <w:tblW w:w="10220" w:type="dxa"/>
          <w:tblLook w:val="04A0"/>
        </w:tblPrEx>
        <w:trPr>
          <w:trHeight w:val="255"/>
        </w:trPr>
        <w:tc>
          <w:tcPr>
            <w:tcW w:w="10220" w:type="dxa"/>
            <w:gridSpan w:val="8"/>
            <w:tcBorders>
              <w:top w:val="single" w:sz="4" w:space="0" w:color="auto"/>
              <w:left w:val="single" w:sz="4" w:space="0" w:color="auto"/>
              <w:bottom w:val="single" w:sz="4" w:space="0" w:color="auto"/>
              <w:right w:val="single" w:sz="4" w:space="0" w:color="000000"/>
            </w:tcBorders>
            <w:shd w:val="clear" w:color="auto" w:fill="auto"/>
            <w:hideMark/>
          </w:tcPr>
          <w:p w:rsidR="00C02CB8" w:rsidRPr="00C02CB8" w:rsidP="00C02CB8" w14:paraId="0506DC60" w14:textId="77777777">
            <w:pPr>
              <w:autoSpaceDE/>
              <w:autoSpaceDN/>
              <w:adjustRightInd/>
              <w:ind w:left="0" w:firstLine="200" w:firstLineChars="100"/>
              <w:rPr>
                <w:i/>
                <w:iCs/>
                <w:sz w:val="20"/>
                <w:szCs w:val="20"/>
              </w:rPr>
            </w:pPr>
            <w:r w:rsidRPr="00C02CB8">
              <w:rPr>
                <w:i/>
                <w:iCs/>
                <w:sz w:val="20"/>
                <w:szCs w:val="20"/>
              </w:rPr>
              <w:t xml:space="preserve"> Preparation </w:t>
            </w:r>
          </w:p>
        </w:tc>
      </w:tr>
      <w:tr w14:paraId="11F4ACF6" w14:textId="77777777" w:rsidTr="00166307">
        <w:tblPrEx>
          <w:tblW w:w="10220"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1DC5223C" w14:textId="77777777">
            <w:pPr>
              <w:autoSpaceDE/>
              <w:autoSpaceDN/>
              <w:adjustRightInd/>
              <w:ind w:left="0" w:firstLine="400" w:firstLineChars="200"/>
              <w:rPr>
                <w:sz w:val="20"/>
                <w:szCs w:val="20"/>
              </w:rPr>
            </w:pPr>
            <w:r w:rsidRPr="00C02CB8">
              <w:rPr>
                <w:sz w:val="20"/>
                <w:szCs w:val="20"/>
              </w:rPr>
              <w:t>Legal Professional</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2EBF1D8E" w14:textId="2406D149">
            <w:pPr>
              <w:autoSpaceDE/>
              <w:autoSpaceDN/>
              <w:adjustRightInd/>
              <w:ind w:left="0"/>
              <w:jc w:val="center"/>
              <w:rPr>
                <w:sz w:val="20"/>
                <w:szCs w:val="20"/>
              </w:rPr>
            </w:pPr>
            <w:r w:rsidRPr="00C02CB8">
              <w:rPr>
                <w:sz w:val="20"/>
                <w:szCs w:val="20"/>
              </w:rPr>
              <w:t xml:space="preserve">4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74DDAE8B" w14:textId="77777777">
            <w:pPr>
              <w:autoSpaceDE/>
              <w:autoSpaceDN/>
              <w:adjustRightInd/>
              <w:ind w:left="0"/>
              <w:jc w:val="right"/>
              <w:rPr>
                <w:sz w:val="20"/>
                <w:szCs w:val="20"/>
              </w:rPr>
            </w:pPr>
            <w:r w:rsidRPr="00C02CB8">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C02CB8" w14:paraId="777E0227" w14:textId="77777777">
            <w:pPr>
              <w:autoSpaceDE/>
              <w:autoSpaceDN/>
              <w:adjustRightInd/>
              <w:ind w:left="0"/>
              <w:jc w:val="right"/>
              <w:rPr>
                <w:sz w:val="20"/>
                <w:szCs w:val="20"/>
              </w:rPr>
            </w:pPr>
            <w:r w:rsidRPr="00C02CB8">
              <w:rPr>
                <w:sz w:val="20"/>
                <w:szCs w:val="20"/>
              </w:rPr>
              <w:t>4</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38259585" w14:textId="437C306C">
            <w:pPr>
              <w:autoSpaceDE/>
              <w:autoSpaceDN/>
              <w:adjustRightInd/>
              <w:ind w:left="0"/>
              <w:jc w:val="right"/>
              <w:rPr>
                <w:sz w:val="20"/>
                <w:szCs w:val="20"/>
              </w:rPr>
            </w:pPr>
            <w:r w:rsidRPr="00C02CB8">
              <w:rPr>
                <w:sz w:val="20"/>
                <w:szCs w:val="20"/>
              </w:rPr>
              <w:t>20</w:t>
            </w:r>
            <w:r w:rsidR="0068062D">
              <w:rPr>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14E5D2D4" w14:textId="77777777">
            <w:pPr>
              <w:autoSpaceDE/>
              <w:autoSpaceDN/>
              <w:adjustRightInd/>
              <w:ind w:left="0"/>
              <w:jc w:val="right"/>
              <w:rPr>
                <w:sz w:val="20"/>
                <w:szCs w:val="20"/>
              </w:rPr>
            </w:pPr>
            <w:r w:rsidRPr="00C02CB8">
              <w:rPr>
                <w:sz w:val="20"/>
                <w:szCs w:val="20"/>
              </w:rPr>
              <w:t>80</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4FD5DBBE" w14:textId="77777777">
            <w:pPr>
              <w:autoSpaceDE/>
              <w:autoSpaceDN/>
              <w:adjustRightInd/>
              <w:ind w:left="0"/>
              <w:jc w:val="right"/>
              <w:rPr>
                <w:sz w:val="20"/>
                <w:szCs w:val="20"/>
              </w:rPr>
            </w:pPr>
            <w:r w:rsidRPr="00C02CB8">
              <w:rPr>
                <w:sz w:val="20"/>
                <w:szCs w:val="20"/>
              </w:rPr>
              <w:t>$159.34</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5A5BE1DC" w14:textId="77777777">
            <w:pPr>
              <w:autoSpaceDE/>
              <w:autoSpaceDN/>
              <w:adjustRightInd/>
              <w:ind w:left="0"/>
              <w:jc w:val="right"/>
              <w:rPr>
                <w:sz w:val="20"/>
                <w:szCs w:val="20"/>
              </w:rPr>
            </w:pPr>
            <w:r w:rsidRPr="00C02CB8">
              <w:rPr>
                <w:sz w:val="20"/>
                <w:szCs w:val="20"/>
              </w:rPr>
              <w:t>$12,747</w:t>
            </w:r>
          </w:p>
        </w:tc>
      </w:tr>
      <w:tr w14:paraId="39F2955A" w14:textId="77777777" w:rsidTr="00166307">
        <w:tblPrEx>
          <w:tblW w:w="10220"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729C0C64" w14:textId="77777777">
            <w:pPr>
              <w:autoSpaceDE/>
              <w:autoSpaceDN/>
              <w:adjustRightInd/>
              <w:ind w:left="0" w:firstLine="400" w:firstLineChars="200"/>
              <w:rPr>
                <w:sz w:val="20"/>
                <w:szCs w:val="20"/>
              </w:rPr>
            </w:pPr>
            <w:r w:rsidRPr="00C02CB8">
              <w:rPr>
                <w:sz w:val="20"/>
                <w:szCs w:val="20"/>
              </w:rPr>
              <w:t>Clerical Worker</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67944CEA" w14:textId="34979F9B">
            <w:pPr>
              <w:autoSpaceDE/>
              <w:autoSpaceDN/>
              <w:adjustRightInd/>
              <w:ind w:left="0"/>
              <w:jc w:val="center"/>
              <w:rPr>
                <w:sz w:val="20"/>
                <w:szCs w:val="20"/>
              </w:rPr>
            </w:pPr>
            <w:r w:rsidRPr="00C02CB8">
              <w:rPr>
                <w:sz w:val="20"/>
                <w:szCs w:val="20"/>
              </w:rPr>
              <w:t xml:space="preserve">4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3F579F20" w14:textId="77777777">
            <w:pPr>
              <w:autoSpaceDE/>
              <w:autoSpaceDN/>
              <w:adjustRightInd/>
              <w:ind w:left="0"/>
              <w:jc w:val="right"/>
              <w:rPr>
                <w:sz w:val="20"/>
                <w:szCs w:val="20"/>
              </w:rPr>
            </w:pPr>
            <w:r w:rsidRPr="00C02CB8">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C02CB8" w14:paraId="1F805A9B" w14:textId="77777777">
            <w:pPr>
              <w:autoSpaceDE/>
              <w:autoSpaceDN/>
              <w:adjustRightInd/>
              <w:ind w:left="0"/>
              <w:jc w:val="right"/>
              <w:rPr>
                <w:sz w:val="20"/>
                <w:szCs w:val="20"/>
              </w:rPr>
            </w:pPr>
            <w:r w:rsidRPr="00C02CB8">
              <w:rPr>
                <w:sz w:val="20"/>
                <w:szCs w:val="20"/>
              </w:rPr>
              <w:t>4</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1A20A6D5" w14:textId="724C063D">
            <w:pPr>
              <w:autoSpaceDE/>
              <w:autoSpaceDN/>
              <w:adjustRightInd/>
              <w:ind w:left="0"/>
              <w:jc w:val="right"/>
              <w:rPr>
                <w:sz w:val="20"/>
                <w:szCs w:val="20"/>
              </w:rPr>
            </w:pPr>
            <w:r w:rsidRPr="00C02CB8">
              <w:rPr>
                <w:sz w:val="20"/>
                <w:szCs w:val="20"/>
              </w:rPr>
              <w:t>20</w:t>
            </w:r>
            <w:r w:rsidR="0068062D">
              <w:rPr>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71ACE788" w14:textId="77777777">
            <w:pPr>
              <w:autoSpaceDE/>
              <w:autoSpaceDN/>
              <w:adjustRightInd/>
              <w:ind w:left="0"/>
              <w:jc w:val="right"/>
              <w:rPr>
                <w:sz w:val="20"/>
                <w:szCs w:val="20"/>
              </w:rPr>
            </w:pPr>
            <w:r w:rsidRPr="00C02CB8">
              <w:rPr>
                <w:sz w:val="20"/>
                <w:szCs w:val="20"/>
              </w:rPr>
              <w:t>80</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113B486A" w14:textId="77777777">
            <w:pPr>
              <w:autoSpaceDE/>
              <w:autoSpaceDN/>
              <w:adjustRightInd/>
              <w:ind w:left="0"/>
              <w:jc w:val="right"/>
              <w:rPr>
                <w:sz w:val="20"/>
                <w:szCs w:val="20"/>
              </w:rPr>
            </w:pPr>
            <w:r w:rsidRPr="00C02CB8">
              <w:rPr>
                <w:sz w:val="20"/>
                <w:szCs w:val="20"/>
              </w:rPr>
              <w:t>$63.45</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2A55D5AA" w14:textId="77777777">
            <w:pPr>
              <w:autoSpaceDE/>
              <w:autoSpaceDN/>
              <w:adjustRightInd/>
              <w:ind w:left="0"/>
              <w:jc w:val="right"/>
              <w:rPr>
                <w:sz w:val="20"/>
                <w:szCs w:val="20"/>
              </w:rPr>
            </w:pPr>
            <w:r w:rsidRPr="00C02CB8">
              <w:rPr>
                <w:sz w:val="20"/>
                <w:szCs w:val="20"/>
              </w:rPr>
              <w:t>$5,076</w:t>
            </w:r>
          </w:p>
        </w:tc>
      </w:tr>
      <w:tr w14:paraId="30974592" w14:textId="77777777" w:rsidTr="00166307">
        <w:tblPrEx>
          <w:tblW w:w="10220" w:type="dxa"/>
          <w:tblLook w:val="04A0"/>
        </w:tblPrEx>
        <w:trPr>
          <w:trHeight w:val="510"/>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2A58792F" w14:textId="77777777">
            <w:pPr>
              <w:autoSpaceDE/>
              <w:autoSpaceDN/>
              <w:adjustRightInd/>
              <w:ind w:left="0" w:firstLine="400" w:firstLineChars="200"/>
              <w:rPr>
                <w:sz w:val="20"/>
                <w:szCs w:val="20"/>
              </w:rPr>
            </w:pPr>
            <w:r w:rsidRPr="00C02CB8">
              <w:rPr>
                <w:sz w:val="20"/>
                <w:szCs w:val="20"/>
              </w:rPr>
              <w:t>Outside Legal Professional</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1F2DD199" w14:textId="37D2DF17">
            <w:pPr>
              <w:autoSpaceDE/>
              <w:autoSpaceDN/>
              <w:adjustRightInd/>
              <w:ind w:left="0"/>
              <w:jc w:val="center"/>
              <w:rPr>
                <w:sz w:val="20"/>
                <w:szCs w:val="20"/>
              </w:rPr>
            </w:pPr>
            <w:r w:rsidRPr="00C02CB8">
              <w:rPr>
                <w:sz w:val="20"/>
                <w:szCs w:val="20"/>
              </w:rPr>
              <w:t xml:space="preserve">1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3BCEA609" w14:textId="77777777">
            <w:pPr>
              <w:autoSpaceDE/>
              <w:autoSpaceDN/>
              <w:adjustRightInd/>
              <w:ind w:left="0"/>
              <w:jc w:val="right"/>
              <w:rPr>
                <w:sz w:val="20"/>
                <w:szCs w:val="20"/>
              </w:rPr>
            </w:pPr>
            <w:r w:rsidRPr="00C02CB8">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C02CB8" w14:paraId="01C47DBE" w14:textId="77777777">
            <w:pPr>
              <w:autoSpaceDE/>
              <w:autoSpaceDN/>
              <w:adjustRightInd/>
              <w:ind w:left="0"/>
              <w:jc w:val="right"/>
              <w:rPr>
                <w:sz w:val="20"/>
                <w:szCs w:val="20"/>
              </w:rPr>
            </w:pPr>
            <w:r w:rsidRPr="00C02CB8">
              <w:rPr>
                <w:sz w:val="20"/>
                <w:szCs w:val="20"/>
              </w:rPr>
              <w:t>1</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6A1886A9" w14:textId="33950C09">
            <w:pPr>
              <w:autoSpaceDE/>
              <w:autoSpaceDN/>
              <w:adjustRightInd/>
              <w:ind w:left="0"/>
              <w:jc w:val="right"/>
              <w:rPr>
                <w:sz w:val="20"/>
                <w:szCs w:val="20"/>
              </w:rPr>
            </w:pPr>
            <w:r w:rsidRPr="00C02CB8">
              <w:rPr>
                <w:sz w:val="20"/>
                <w:szCs w:val="20"/>
              </w:rPr>
              <w:t>15</w:t>
            </w:r>
            <w:r w:rsidR="0068062D">
              <w:rPr>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49F2FAC8" w14:textId="77777777">
            <w:pPr>
              <w:autoSpaceDE/>
              <w:autoSpaceDN/>
              <w:adjustRightInd/>
              <w:ind w:left="0"/>
              <w:jc w:val="right"/>
              <w:rPr>
                <w:sz w:val="20"/>
                <w:szCs w:val="20"/>
              </w:rPr>
            </w:pPr>
            <w:r w:rsidRPr="00C02CB8">
              <w:rPr>
                <w:sz w:val="20"/>
                <w:szCs w:val="20"/>
              </w:rPr>
              <w:t>15</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098B9F07" w14:textId="77777777">
            <w:pPr>
              <w:autoSpaceDE/>
              <w:autoSpaceDN/>
              <w:adjustRightInd/>
              <w:ind w:left="0"/>
              <w:jc w:val="right"/>
              <w:rPr>
                <w:sz w:val="20"/>
                <w:szCs w:val="20"/>
              </w:rPr>
            </w:pPr>
            <w:r w:rsidRPr="00C02CB8">
              <w:rPr>
                <w:sz w:val="20"/>
                <w:szCs w:val="20"/>
              </w:rPr>
              <w:t>$535.85</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4C609740" w14:textId="77777777">
            <w:pPr>
              <w:autoSpaceDE/>
              <w:autoSpaceDN/>
              <w:adjustRightInd/>
              <w:ind w:left="0"/>
              <w:jc w:val="right"/>
              <w:rPr>
                <w:sz w:val="20"/>
                <w:szCs w:val="20"/>
              </w:rPr>
            </w:pPr>
            <w:r w:rsidRPr="00C02CB8">
              <w:rPr>
                <w:sz w:val="20"/>
                <w:szCs w:val="20"/>
              </w:rPr>
              <w:t>$8,038</w:t>
            </w:r>
          </w:p>
        </w:tc>
      </w:tr>
      <w:tr w14:paraId="6E074971" w14:textId="77777777" w:rsidTr="00C02CB8">
        <w:tblPrEx>
          <w:tblW w:w="10220" w:type="dxa"/>
          <w:tblLook w:val="04A0"/>
        </w:tblPrEx>
        <w:trPr>
          <w:trHeight w:val="255"/>
        </w:trPr>
        <w:tc>
          <w:tcPr>
            <w:tcW w:w="10220" w:type="dxa"/>
            <w:gridSpan w:val="8"/>
            <w:tcBorders>
              <w:top w:val="single" w:sz="4" w:space="0" w:color="auto"/>
              <w:left w:val="single" w:sz="4" w:space="0" w:color="auto"/>
              <w:bottom w:val="single" w:sz="4" w:space="0" w:color="auto"/>
              <w:right w:val="single" w:sz="4" w:space="0" w:color="000000"/>
            </w:tcBorders>
            <w:shd w:val="clear" w:color="auto" w:fill="auto"/>
            <w:hideMark/>
          </w:tcPr>
          <w:p w:rsidR="00C02CB8" w:rsidRPr="00C02CB8" w:rsidP="00C02CB8" w14:paraId="3654CB48" w14:textId="6D9472DF">
            <w:pPr>
              <w:autoSpaceDE/>
              <w:autoSpaceDN/>
              <w:adjustRightInd/>
              <w:ind w:left="0" w:firstLine="200" w:firstLineChars="100"/>
              <w:rPr>
                <w:i/>
                <w:iCs/>
                <w:sz w:val="20"/>
                <w:szCs w:val="20"/>
              </w:rPr>
            </w:pPr>
            <w:r w:rsidRPr="00C02CB8">
              <w:rPr>
                <w:i/>
                <w:iCs/>
                <w:sz w:val="20"/>
                <w:szCs w:val="20"/>
              </w:rPr>
              <w:t xml:space="preserve"> Notice Distribution</w:t>
            </w:r>
            <w:r w:rsidR="0068062D">
              <w:rPr>
                <w:i/>
                <w:iCs/>
                <w:sz w:val="20"/>
                <w:szCs w:val="20"/>
              </w:rPr>
              <w:t xml:space="preserve"> </w:t>
            </w:r>
          </w:p>
        </w:tc>
      </w:tr>
      <w:tr w14:paraId="18FE6200" w14:textId="77777777" w:rsidTr="00166307">
        <w:tblPrEx>
          <w:tblW w:w="10220"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28996E69" w14:textId="77777777">
            <w:pPr>
              <w:autoSpaceDE/>
              <w:autoSpaceDN/>
              <w:adjustRightInd/>
              <w:ind w:left="0" w:firstLine="400" w:firstLineChars="200"/>
              <w:rPr>
                <w:sz w:val="20"/>
                <w:szCs w:val="20"/>
              </w:rPr>
            </w:pPr>
            <w:r w:rsidRPr="00C02CB8">
              <w:rPr>
                <w:sz w:val="20"/>
                <w:szCs w:val="20"/>
              </w:rPr>
              <w:t>Clerical Worker</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212D7D73" w14:textId="2FC550C5">
            <w:pPr>
              <w:autoSpaceDE/>
              <w:autoSpaceDN/>
              <w:adjustRightInd/>
              <w:ind w:left="0"/>
              <w:jc w:val="center"/>
              <w:rPr>
                <w:sz w:val="20"/>
                <w:szCs w:val="20"/>
              </w:rPr>
            </w:pPr>
            <w:r w:rsidRPr="00C02CB8">
              <w:rPr>
                <w:sz w:val="20"/>
                <w:szCs w:val="20"/>
              </w:rPr>
              <w:t xml:space="preserve">4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69326D4E" w14:textId="77777777">
            <w:pPr>
              <w:autoSpaceDE/>
              <w:autoSpaceDN/>
              <w:adjustRightInd/>
              <w:ind w:left="0"/>
              <w:jc w:val="right"/>
              <w:rPr>
                <w:sz w:val="20"/>
                <w:szCs w:val="20"/>
              </w:rPr>
            </w:pPr>
            <w:r w:rsidRPr="00C02CB8">
              <w:rPr>
                <w:sz w:val="20"/>
                <w:szCs w:val="20"/>
              </w:rPr>
              <w:t>50</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C02CB8" w14:paraId="4E9842F2" w14:textId="77777777">
            <w:pPr>
              <w:autoSpaceDE/>
              <w:autoSpaceDN/>
              <w:adjustRightInd/>
              <w:ind w:left="0"/>
              <w:jc w:val="right"/>
              <w:rPr>
                <w:sz w:val="20"/>
                <w:szCs w:val="20"/>
              </w:rPr>
            </w:pPr>
            <w:r w:rsidRPr="00C02CB8">
              <w:rPr>
                <w:sz w:val="20"/>
                <w:szCs w:val="20"/>
              </w:rPr>
              <w:t>200</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424D102F" w14:textId="35741C47">
            <w:pPr>
              <w:autoSpaceDE/>
              <w:autoSpaceDN/>
              <w:adjustRightInd/>
              <w:ind w:left="0"/>
              <w:jc w:val="right"/>
              <w:rPr>
                <w:sz w:val="20"/>
                <w:szCs w:val="20"/>
              </w:rPr>
            </w:pPr>
            <w:r>
              <w:rPr>
                <w:sz w:val="20"/>
                <w:szCs w:val="20"/>
              </w:rPr>
              <w:t xml:space="preserve"> </w:t>
            </w:r>
            <w:r w:rsidRPr="00C02CB8">
              <w:rPr>
                <w:sz w:val="20"/>
                <w:szCs w:val="20"/>
              </w:rPr>
              <w:t>5/60</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2172C5D9" w14:textId="77777777">
            <w:pPr>
              <w:autoSpaceDE/>
              <w:autoSpaceDN/>
              <w:adjustRightInd/>
              <w:ind w:left="0"/>
              <w:jc w:val="right"/>
              <w:rPr>
                <w:sz w:val="20"/>
                <w:szCs w:val="20"/>
              </w:rPr>
            </w:pPr>
            <w:r w:rsidRPr="00C02CB8">
              <w:rPr>
                <w:sz w:val="20"/>
                <w:szCs w:val="20"/>
              </w:rPr>
              <w:t>17</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4B1CE974" w14:textId="77777777">
            <w:pPr>
              <w:autoSpaceDE/>
              <w:autoSpaceDN/>
              <w:adjustRightInd/>
              <w:ind w:left="0"/>
              <w:jc w:val="right"/>
              <w:rPr>
                <w:sz w:val="20"/>
                <w:szCs w:val="20"/>
              </w:rPr>
            </w:pPr>
            <w:r w:rsidRPr="00C02CB8">
              <w:rPr>
                <w:sz w:val="20"/>
                <w:szCs w:val="20"/>
              </w:rPr>
              <w:t>$63.45</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2F34D5E4" w14:textId="77777777">
            <w:pPr>
              <w:autoSpaceDE/>
              <w:autoSpaceDN/>
              <w:adjustRightInd/>
              <w:ind w:left="0"/>
              <w:jc w:val="right"/>
              <w:rPr>
                <w:sz w:val="20"/>
                <w:szCs w:val="20"/>
              </w:rPr>
            </w:pPr>
            <w:r w:rsidRPr="00C02CB8">
              <w:rPr>
                <w:sz w:val="20"/>
                <w:szCs w:val="20"/>
              </w:rPr>
              <w:t>$1,058</w:t>
            </w:r>
          </w:p>
        </w:tc>
      </w:tr>
      <w:tr w14:paraId="5CBC5A7E" w14:textId="77777777" w:rsidTr="00C02CB8">
        <w:tblPrEx>
          <w:tblW w:w="10220" w:type="dxa"/>
          <w:tblLook w:val="04A0"/>
        </w:tblPrEx>
        <w:trPr>
          <w:trHeight w:val="255"/>
        </w:trPr>
        <w:tc>
          <w:tcPr>
            <w:tcW w:w="10220" w:type="dxa"/>
            <w:gridSpan w:val="8"/>
            <w:tcBorders>
              <w:top w:val="single" w:sz="4" w:space="0" w:color="auto"/>
              <w:left w:val="single" w:sz="4" w:space="0" w:color="auto"/>
              <w:bottom w:val="single" w:sz="4" w:space="0" w:color="auto"/>
              <w:right w:val="single" w:sz="4" w:space="0" w:color="000000"/>
            </w:tcBorders>
            <w:shd w:val="clear" w:color="auto" w:fill="auto"/>
            <w:hideMark/>
          </w:tcPr>
          <w:p w:rsidR="00C02CB8" w:rsidRPr="00C02CB8" w:rsidP="00C02CB8" w14:paraId="72024921" w14:textId="77777777">
            <w:pPr>
              <w:autoSpaceDE/>
              <w:autoSpaceDN/>
              <w:adjustRightInd/>
              <w:ind w:left="0" w:firstLine="200" w:firstLineChars="100"/>
              <w:rPr>
                <w:i/>
                <w:iCs/>
                <w:sz w:val="20"/>
                <w:szCs w:val="20"/>
              </w:rPr>
            </w:pPr>
            <w:r w:rsidRPr="00C02CB8">
              <w:rPr>
                <w:i/>
                <w:iCs/>
                <w:sz w:val="20"/>
                <w:szCs w:val="20"/>
              </w:rPr>
              <w:t xml:space="preserve"> Objective Description Distribution </w:t>
            </w:r>
          </w:p>
        </w:tc>
      </w:tr>
      <w:tr w14:paraId="23EDB585" w14:textId="77777777" w:rsidTr="00166307">
        <w:tblPrEx>
          <w:tblW w:w="10220"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40E87601" w14:textId="77777777">
            <w:pPr>
              <w:autoSpaceDE/>
              <w:autoSpaceDN/>
              <w:adjustRightInd/>
              <w:ind w:left="0" w:firstLine="600" w:firstLineChars="300"/>
              <w:rPr>
                <w:sz w:val="20"/>
                <w:szCs w:val="20"/>
              </w:rPr>
            </w:pPr>
            <w:r w:rsidRPr="00C02CB8">
              <w:rPr>
                <w:sz w:val="20"/>
                <w:szCs w:val="20"/>
              </w:rPr>
              <w:t>Clerical Worker</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3103E339" w14:textId="3FB8601F">
            <w:pPr>
              <w:autoSpaceDE/>
              <w:autoSpaceDN/>
              <w:adjustRightInd/>
              <w:ind w:left="0"/>
              <w:jc w:val="center"/>
              <w:rPr>
                <w:sz w:val="20"/>
                <w:szCs w:val="20"/>
              </w:rPr>
            </w:pPr>
            <w:r w:rsidRPr="00C02CB8">
              <w:rPr>
                <w:sz w:val="20"/>
                <w:szCs w:val="20"/>
              </w:rPr>
              <w:t xml:space="preserve">4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7D30D9E5" w14:textId="77777777">
            <w:pPr>
              <w:autoSpaceDE/>
              <w:autoSpaceDN/>
              <w:adjustRightInd/>
              <w:ind w:left="0"/>
              <w:jc w:val="right"/>
              <w:rPr>
                <w:sz w:val="20"/>
                <w:szCs w:val="20"/>
              </w:rPr>
            </w:pPr>
            <w:r w:rsidRPr="00C02CB8">
              <w:rPr>
                <w:sz w:val="20"/>
                <w:szCs w:val="20"/>
              </w:rPr>
              <w:t>50</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C02CB8" w14:paraId="56241E60" w14:textId="77777777">
            <w:pPr>
              <w:autoSpaceDE/>
              <w:autoSpaceDN/>
              <w:adjustRightInd/>
              <w:ind w:left="0"/>
              <w:jc w:val="right"/>
              <w:rPr>
                <w:sz w:val="20"/>
                <w:szCs w:val="20"/>
              </w:rPr>
            </w:pPr>
            <w:r w:rsidRPr="00C02CB8">
              <w:rPr>
                <w:sz w:val="20"/>
                <w:szCs w:val="20"/>
              </w:rPr>
              <w:t>200</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42AE3034" w14:textId="079F45D5">
            <w:pPr>
              <w:autoSpaceDE/>
              <w:autoSpaceDN/>
              <w:adjustRightInd/>
              <w:ind w:left="0"/>
              <w:jc w:val="right"/>
              <w:rPr>
                <w:sz w:val="20"/>
                <w:szCs w:val="20"/>
              </w:rPr>
            </w:pPr>
            <w:r>
              <w:rPr>
                <w:sz w:val="20"/>
                <w:szCs w:val="20"/>
              </w:rPr>
              <w:t xml:space="preserve"> </w:t>
            </w:r>
            <w:r w:rsidRPr="00C02CB8">
              <w:rPr>
                <w:sz w:val="20"/>
                <w:szCs w:val="20"/>
              </w:rPr>
              <w:t>5/60</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2F7C00E0" w14:textId="77777777">
            <w:pPr>
              <w:autoSpaceDE/>
              <w:autoSpaceDN/>
              <w:adjustRightInd/>
              <w:ind w:left="0"/>
              <w:jc w:val="right"/>
              <w:rPr>
                <w:sz w:val="20"/>
                <w:szCs w:val="20"/>
              </w:rPr>
            </w:pPr>
            <w:r w:rsidRPr="00C02CB8">
              <w:rPr>
                <w:sz w:val="20"/>
                <w:szCs w:val="20"/>
              </w:rPr>
              <w:t>17</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433A5DE0" w14:textId="77777777">
            <w:pPr>
              <w:autoSpaceDE/>
              <w:autoSpaceDN/>
              <w:adjustRightInd/>
              <w:ind w:left="0"/>
              <w:jc w:val="right"/>
              <w:rPr>
                <w:sz w:val="20"/>
                <w:szCs w:val="20"/>
              </w:rPr>
            </w:pPr>
            <w:r w:rsidRPr="00C02CB8">
              <w:rPr>
                <w:sz w:val="20"/>
                <w:szCs w:val="20"/>
              </w:rPr>
              <w:t>$63.45</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313045AC" w14:textId="77777777">
            <w:pPr>
              <w:autoSpaceDE/>
              <w:autoSpaceDN/>
              <w:adjustRightInd/>
              <w:ind w:left="0"/>
              <w:jc w:val="right"/>
              <w:rPr>
                <w:sz w:val="20"/>
                <w:szCs w:val="20"/>
              </w:rPr>
            </w:pPr>
            <w:r w:rsidRPr="00C02CB8">
              <w:rPr>
                <w:sz w:val="20"/>
                <w:szCs w:val="20"/>
              </w:rPr>
              <w:t>$1,058</w:t>
            </w:r>
          </w:p>
        </w:tc>
      </w:tr>
      <w:tr w14:paraId="12B337EC" w14:textId="77777777" w:rsidTr="00C02CB8">
        <w:tblPrEx>
          <w:tblW w:w="10220" w:type="dxa"/>
          <w:tblLook w:val="04A0"/>
        </w:tblPrEx>
        <w:trPr>
          <w:trHeight w:val="255"/>
        </w:trPr>
        <w:tc>
          <w:tcPr>
            <w:tcW w:w="10220" w:type="dxa"/>
            <w:gridSpan w:val="8"/>
            <w:tcBorders>
              <w:top w:val="single" w:sz="4" w:space="0" w:color="auto"/>
              <w:left w:val="single" w:sz="4" w:space="0" w:color="auto"/>
              <w:bottom w:val="single" w:sz="4" w:space="0" w:color="auto"/>
              <w:right w:val="single" w:sz="4" w:space="0" w:color="000000"/>
            </w:tcBorders>
            <w:shd w:val="clear" w:color="auto" w:fill="auto"/>
            <w:hideMark/>
          </w:tcPr>
          <w:p w:rsidR="00C02CB8" w:rsidRPr="00C02CB8" w:rsidP="00C02CB8" w14:paraId="71598794" w14:textId="77777777">
            <w:pPr>
              <w:autoSpaceDE/>
              <w:autoSpaceDN/>
              <w:adjustRightInd/>
              <w:ind w:left="0" w:firstLine="200" w:firstLineChars="100"/>
              <w:rPr>
                <w:i/>
                <w:iCs/>
                <w:sz w:val="20"/>
                <w:szCs w:val="20"/>
              </w:rPr>
            </w:pPr>
            <w:r w:rsidRPr="00C02CB8">
              <w:rPr>
                <w:i/>
                <w:iCs/>
                <w:sz w:val="20"/>
                <w:szCs w:val="20"/>
              </w:rPr>
              <w:t xml:space="preserve"> Additional Requirement Preparation </w:t>
            </w:r>
          </w:p>
        </w:tc>
      </w:tr>
      <w:tr w14:paraId="68364E86" w14:textId="77777777" w:rsidTr="00166307">
        <w:tblPrEx>
          <w:tblW w:w="10220" w:type="dxa"/>
          <w:tblLook w:val="04A0"/>
        </w:tblPrEx>
        <w:trPr>
          <w:trHeight w:val="510"/>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C02CB8" w:rsidRPr="00C02CB8" w:rsidP="00C02CB8" w14:paraId="007515A8" w14:textId="77777777">
            <w:pPr>
              <w:autoSpaceDE/>
              <w:autoSpaceDN/>
              <w:adjustRightInd/>
              <w:ind w:left="0" w:firstLine="400" w:firstLineChars="200"/>
              <w:rPr>
                <w:sz w:val="20"/>
                <w:szCs w:val="20"/>
              </w:rPr>
            </w:pPr>
            <w:r w:rsidRPr="00C02CB8">
              <w:rPr>
                <w:sz w:val="20"/>
                <w:szCs w:val="20"/>
              </w:rPr>
              <w:t>Outside Legal Professional</w:t>
            </w:r>
          </w:p>
        </w:tc>
        <w:tc>
          <w:tcPr>
            <w:tcW w:w="1306" w:type="dxa"/>
            <w:tcBorders>
              <w:top w:val="nil"/>
              <w:left w:val="nil"/>
              <w:bottom w:val="single" w:sz="4" w:space="0" w:color="auto"/>
              <w:right w:val="single" w:sz="4" w:space="0" w:color="auto"/>
            </w:tcBorders>
            <w:shd w:val="clear" w:color="auto" w:fill="auto"/>
            <w:vAlign w:val="center"/>
            <w:hideMark/>
          </w:tcPr>
          <w:p w:rsidR="00C02CB8" w:rsidRPr="00C02CB8" w:rsidP="00C02CB8" w14:paraId="26CC74FF" w14:textId="1F4C54D6">
            <w:pPr>
              <w:autoSpaceDE/>
              <w:autoSpaceDN/>
              <w:adjustRightInd/>
              <w:ind w:left="0"/>
              <w:jc w:val="center"/>
              <w:rPr>
                <w:sz w:val="20"/>
                <w:szCs w:val="20"/>
              </w:rPr>
            </w:pPr>
            <w:r w:rsidRPr="00C02CB8">
              <w:rPr>
                <w:sz w:val="20"/>
                <w:szCs w:val="20"/>
              </w:rPr>
              <w:t xml:space="preserve">3 </w:t>
            </w:r>
          </w:p>
        </w:tc>
        <w:tc>
          <w:tcPr>
            <w:tcW w:w="1580" w:type="dxa"/>
            <w:tcBorders>
              <w:top w:val="nil"/>
              <w:left w:val="nil"/>
              <w:bottom w:val="single" w:sz="4" w:space="0" w:color="auto"/>
              <w:right w:val="single" w:sz="4" w:space="0" w:color="auto"/>
            </w:tcBorders>
            <w:shd w:val="clear" w:color="auto" w:fill="auto"/>
            <w:vAlign w:val="center"/>
            <w:hideMark/>
          </w:tcPr>
          <w:p w:rsidR="00C02CB8" w:rsidRPr="00C02CB8" w:rsidP="00C02CB8" w14:paraId="0CB11F80" w14:textId="77777777">
            <w:pPr>
              <w:autoSpaceDE/>
              <w:autoSpaceDN/>
              <w:adjustRightInd/>
              <w:ind w:left="0"/>
              <w:jc w:val="right"/>
              <w:rPr>
                <w:sz w:val="20"/>
                <w:szCs w:val="20"/>
              </w:rPr>
            </w:pPr>
            <w:r w:rsidRPr="00C02CB8">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C02CB8" w:rsidRPr="00C02CB8" w:rsidP="00C02CB8" w14:paraId="02122DB6" w14:textId="77777777">
            <w:pPr>
              <w:autoSpaceDE/>
              <w:autoSpaceDN/>
              <w:adjustRightInd/>
              <w:ind w:left="0"/>
              <w:jc w:val="right"/>
              <w:rPr>
                <w:sz w:val="20"/>
                <w:szCs w:val="20"/>
              </w:rPr>
            </w:pPr>
            <w:r w:rsidRPr="00C02CB8">
              <w:rPr>
                <w:sz w:val="20"/>
                <w:szCs w:val="20"/>
              </w:rPr>
              <w:t>3</w:t>
            </w:r>
          </w:p>
        </w:tc>
        <w:tc>
          <w:tcPr>
            <w:tcW w:w="1060" w:type="dxa"/>
            <w:tcBorders>
              <w:top w:val="nil"/>
              <w:left w:val="nil"/>
              <w:bottom w:val="single" w:sz="4" w:space="0" w:color="auto"/>
              <w:right w:val="single" w:sz="4" w:space="0" w:color="auto"/>
            </w:tcBorders>
            <w:shd w:val="clear" w:color="auto" w:fill="auto"/>
            <w:vAlign w:val="center"/>
            <w:hideMark/>
          </w:tcPr>
          <w:p w:rsidR="00C02CB8" w:rsidRPr="00C02CB8" w:rsidP="00C02CB8" w14:paraId="0E703D6E" w14:textId="646EBD59">
            <w:pPr>
              <w:autoSpaceDE/>
              <w:autoSpaceDN/>
              <w:adjustRightInd/>
              <w:ind w:left="0"/>
              <w:jc w:val="right"/>
              <w:rPr>
                <w:sz w:val="20"/>
                <w:szCs w:val="20"/>
              </w:rPr>
            </w:pPr>
            <w:r w:rsidRPr="00C02CB8">
              <w:rPr>
                <w:sz w:val="20"/>
                <w:szCs w:val="20"/>
              </w:rPr>
              <w:t>3</w:t>
            </w:r>
            <w:r w:rsidR="0068062D">
              <w:rPr>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02CB8" w:rsidRPr="00C02CB8" w:rsidP="00C02CB8" w14:paraId="02F1576E" w14:textId="77777777">
            <w:pPr>
              <w:autoSpaceDE/>
              <w:autoSpaceDN/>
              <w:adjustRightInd/>
              <w:ind w:left="0"/>
              <w:jc w:val="right"/>
              <w:rPr>
                <w:sz w:val="20"/>
                <w:szCs w:val="20"/>
              </w:rPr>
            </w:pPr>
            <w:r w:rsidRPr="00C02CB8">
              <w:rPr>
                <w:sz w:val="20"/>
                <w:szCs w:val="20"/>
              </w:rPr>
              <w:t>9</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7FB3DB1B" w14:textId="77777777">
            <w:pPr>
              <w:autoSpaceDE/>
              <w:autoSpaceDN/>
              <w:adjustRightInd/>
              <w:ind w:left="0"/>
              <w:jc w:val="right"/>
              <w:rPr>
                <w:sz w:val="20"/>
                <w:szCs w:val="20"/>
              </w:rPr>
            </w:pPr>
            <w:r w:rsidRPr="00C02CB8">
              <w:rPr>
                <w:sz w:val="20"/>
                <w:szCs w:val="20"/>
              </w:rPr>
              <w:t>$535.85</w:t>
            </w:r>
          </w:p>
        </w:tc>
        <w:tc>
          <w:tcPr>
            <w:tcW w:w="1240" w:type="dxa"/>
            <w:tcBorders>
              <w:top w:val="nil"/>
              <w:left w:val="nil"/>
              <w:bottom w:val="single" w:sz="4" w:space="0" w:color="auto"/>
              <w:right w:val="single" w:sz="4" w:space="0" w:color="auto"/>
            </w:tcBorders>
            <w:shd w:val="clear" w:color="auto" w:fill="auto"/>
            <w:vAlign w:val="center"/>
            <w:hideMark/>
          </w:tcPr>
          <w:p w:rsidR="00C02CB8" w:rsidRPr="00C02CB8" w:rsidP="00C02CB8" w14:paraId="31E98F96" w14:textId="77777777">
            <w:pPr>
              <w:autoSpaceDE/>
              <w:autoSpaceDN/>
              <w:adjustRightInd/>
              <w:ind w:left="0"/>
              <w:jc w:val="right"/>
              <w:rPr>
                <w:sz w:val="20"/>
                <w:szCs w:val="20"/>
              </w:rPr>
            </w:pPr>
            <w:r w:rsidRPr="00C02CB8">
              <w:rPr>
                <w:sz w:val="20"/>
                <w:szCs w:val="20"/>
              </w:rPr>
              <w:t>$4,823</w:t>
            </w:r>
          </w:p>
        </w:tc>
      </w:tr>
      <w:tr w14:paraId="2913B8B6" w14:textId="77777777" w:rsidTr="00166307">
        <w:tblPrEx>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25"/>
        </w:trPr>
        <w:tc>
          <w:tcPr>
            <w:tcW w:w="1890" w:type="dxa"/>
            <w:tcBorders>
              <w:top w:val="nil"/>
              <w:left w:val="single" w:sz="4" w:space="0" w:color="auto"/>
              <w:bottom w:val="nil"/>
              <w:right w:val="single" w:sz="4" w:space="0" w:color="auto"/>
            </w:tcBorders>
            <w:shd w:val="clear" w:color="auto" w:fill="auto"/>
            <w:vAlign w:val="center"/>
            <w:hideMark/>
          </w:tcPr>
          <w:p w:rsidR="00C02CB8" w:rsidRPr="00C02CB8" w:rsidP="00C02CB8" w14:paraId="066F4D24" w14:textId="77777777">
            <w:pPr>
              <w:autoSpaceDE/>
              <w:autoSpaceDN/>
              <w:adjustRightInd/>
              <w:ind w:left="0" w:firstLine="400" w:firstLineChars="200"/>
              <w:rPr>
                <w:sz w:val="20"/>
                <w:szCs w:val="20"/>
              </w:rPr>
            </w:pPr>
            <w:r w:rsidRPr="00C02CB8">
              <w:rPr>
                <w:sz w:val="20"/>
                <w:szCs w:val="20"/>
              </w:rPr>
              <w:t>Financial Professional</w:t>
            </w:r>
          </w:p>
        </w:tc>
        <w:tc>
          <w:tcPr>
            <w:tcW w:w="1306" w:type="dxa"/>
            <w:tcBorders>
              <w:top w:val="nil"/>
              <w:left w:val="nil"/>
              <w:bottom w:val="nil"/>
              <w:right w:val="single" w:sz="4" w:space="0" w:color="auto"/>
            </w:tcBorders>
            <w:shd w:val="clear" w:color="auto" w:fill="auto"/>
            <w:vAlign w:val="center"/>
            <w:hideMark/>
          </w:tcPr>
          <w:p w:rsidR="00C02CB8" w:rsidRPr="00C02CB8" w:rsidP="00C02CB8" w14:paraId="76EF051D" w14:textId="4E5F6BD6">
            <w:pPr>
              <w:autoSpaceDE/>
              <w:autoSpaceDN/>
              <w:adjustRightInd/>
              <w:ind w:left="0"/>
              <w:jc w:val="center"/>
              <w:rPr>
                <w:sz w:val="20"/>
                <w:szCs w:val="20"/>
              </w:rPr>
            </w:pPr>
            <w:r w:rsidRPr="00C02CB8">
              <w:rPr>
                <w:sz w:val="20"/>
                <w:szCs w:val="20"/>
              </w:rPr>
              <w:t xml:space="preserve">3 </w:t>
            </w:r>
          </w:p>
        </w:tc>
        <w:tc>
          <w:tcPr>
            <w:tcW w:w="1580" w:type="dxa"/>
            <w:tcBorders>
              <w:top w:val="nil"/>
              <w:left w:val="nil"/>
              <w:bottom w:val="nil"/>
              <w:right w:val="single" w:sz="4" w:space="0" w:color="auto"/>
            </w:tcBorders>
            <w:shd w:val="clear" w:color="auto" w:fill="auto"/>
            <w:vAlign w:val="center"/>
            <w:hideMark/>
          </w:tcPr>
          <w:p w:rsidR="00C02CB8" w:rsidRPr="00C02CB8" w:rsidP="00C02CB8" w14:paraId="4AA41BBA" w14:textId="77777777">
            <w:pPr>
              <w:autoSpaceDE/>
              <w:autoSpaceDN/>
              <w:adjustRightInd/>
              <w:ind w:left="0"/>
              <w:jc w:val="right"/>
              <w:rPr>
                <w:sz w:val="20"/>
                <w:szCs w:val="20"/>
              </w:rPr>
            </w:pPr>
            <w:r w:rsidRPr="00C02CB8">
              <w:rPr>
                <w:sz w:val="20"/>
                <w:szCs w:val="20"/>
              </w:rPr>
              <w:t>1</w:t>
            </w:r>
          </w:p>
        </w:tc>
        <w:tc>
          <w:tcPr>
            <w:tcW w:w="1094" w:type="dxa"/>
            <w:tcBorders>
              <w:top w:val="nil"/>
              <w:left w:val="nil"/>
              <w:bottom w:val="nil"/>
              <w:right w:val="single" w:sz="4" w:space="0" w:color="auto"/>
            </w:tcBorders>
            <w:shd w:val="clear" w:color="auto" w:fill="auto"/>
            <w:vAlign w:val="center"/>
            <w:hideMark/>
          </w:tcPr>
          <w:p w:rsidR="00C02CB8" w:rsidRPr="00C02CB8" w:rsidP="00C02CB8" w14:paraId="14C88185" w14:textId="77777777">
            <w:pPr>
              <w:autoSpaceDE/>
              <w:autoSpaceDN/>
              <w:adjustRightInd/>
              <w:ind w:left="0"/>
              <w:jc w:val="right"/>
              <w:rPr>
                <w:sz w:val="20"/>
                <w:szCs w:val="20"/>
              </w:rPr>
            </w:pPr>
            <w:r w:rsidRPr="00C02CB8">
              <w:rPr>
                <w:sz w:val="20"/>
                <w:szCs w:val="20"/>
              </w:rPr>
              <w:t>3</w:t>
            </w:r>
          </w:p>
        </w:tc>
        <w:tc>
          <w:tcPr>
            <w:tcW w:w="1060" w:type="dxa"/>
            <w:tcBorders>
              <w:top w:val="nil"/>
              <w:left w:val="nil"/>
              <w:bottom w:val="nil"/>
              <w:right w:val="single" w:sz="4" w:space="0" w:color="auto"/>
            </w:tcBorders>
            <w:shd w:val="clear" w:color="auto" w:fill="auto"/>
            <w:vAlign w:val="center"/>
            <w:hideMark/>
          </w:tcPr>
          <w:p w:rsidR="00C02CB8" w:rsidRPr="00C02CB8" w:rsidP="00C02CB8" w14:paraId="6B1D81B6" w14:textId="41B14978">
            <w:pPr>
              <w:autoSpaceDE/>
              <w:autoSpaceDN/>
              <w:adjustRightInd/>
              <w:ind w:left="0"/>
              <w:jc w:val="right"/>
              <w:rPr>
                <w:sz w:val="20"/>
                <w:szCs w:val="20"/>
              </w:rPr>
            </w:pPr>
            <w:r w:rsidRPr="00C02CB8">
              <w:rPr>
                <w:sz w:val="20"/>
                <w:szCs w:val="20"/>
              </w:rPr>
              <w:t>4</w:t>
            </w:r>
            <w:r w:rsidR="0068062D">
              <w:rPr>
                <w:sz w:val="20"/>
                <w:szCs w:val="20"/>
              </w:rPr>
              <w:t xml:space="preserve"> </w:t>
            </w:r>
          </w:p>
        </w:tc>
        <w:tc>
          <w:tcPr>
            <w:tcW w:w="1080" w:type="dxa"/>
            <w:tcBorders>
              <w:top w:val="nil"/>
              <w:left w:val="nil"/>
              <w:bottom w:val="nil"/>
              <w:right w:val="single" w:sz="4" w:space="0" w:color="auto"/>
            </w:tcBorders>
            <w:shd w:val="clear" w:color="auto" w:fill="auto"/>
            <w:vAlign w:val="center"/>
            <w:hideMark/>
          </w:tcPr>
          <w:p w:rsidR="00C02CB8" w:rsidRPr="00C02CB8" w:rsidP="00C02CB8" w14:paraId="66061E5F" w14:textId="77777777">
            <w:pPr>
              <w:autoSpaceDE/>
              <w:autoSpaceDN/>
              <w:adjustRightInd/>
              <w:ind w:left="0"/>
              <w:jc w:val="right"/>
              <w:rPr>
                <w:sz w:val="20"/>
                <w:szCs w:val="20"/>
              </w:rPr>
            </w:pPr>
            <w:r w:rsidRPr="00C02CB8">
              <w:rPr>
                <w:sz w:val="20"/>
                <w:szCs w:val="20"/>
              </w:rPr>
              <w:t>12</w:t>
            </w:r>
          </w:p>
        </w:tc>
        <w:tc>
          <w:tcPr>
            <w:tcW w:w="970" w:type="dxa"/>
            <w:tcBorders>
              <w:top w:val="nil"/>
              <w:left w:val="nil"/>
              <w:bottom w:val="single" w:sz="4" w:space="0" w:color="auto"/>
              <w:right w:val="single" w:sz="4" w:space="0" w:color="auto"/>
            </w:tcBorders>
            <w:shd w:val="clear" w:color="auto" w:fill="auto"/>
            <w:vAlign w:val="center"/>
            <w:hideMark/>
          </w:tcPr>
          <w:p w:rsidR="00C02CB8" w:rsidRPr="00C02CB8" w:rsidP="00C02CB8" w14:paraId="13C81B13" w14:textId="77777777">
            <w:pPr>
              <w:autoSpaceDE/>
              <w:autoSpaceDN/>
              <w:adjustRightInd/>
              <w:ind w:left="0"/>
              <w:jc w:val="right"/>
              <w:rPr>
                <w:sz w:val="20"/>
                <w:szCs w:val="20"/>
              </w:rPr>
            </w:pPr>
            <w:r w:rsidRPr="00C02CB8">
              <w:rPr>
                <w:sz w:val="20"/>
                <w:szCs w:val="20"/>
              </w:rPr>
              <w:t>$190.63</w:t>
            </w:r>
          </w:p>
        </w:tc>
        <w:tc>
          <w:tcPr>
            <w:tcW w:w="1240" w:type="dxa"/>
            <w:tcBorders>
              <w:top w:val="nil"/>
              <w:left w:val="nil"/>
              <w:bottom w:val="double" w:sz="6" w:space="0" w:color="auto"/>
              <w:right w:val="single" w:sz="4" w:space="0" w:color="auto"/>
            </w:tcBorders>
            <w:shd w:val="clear" w:color="auto" w:fill="auto"/>
            <w:vAlign w:val="center"/>
            <w:hideMark/>
          </w:tcPr>
          <w:p w:rsidR="00C02CB8" w:rsidRPr="00C02CB8" w:rsidP="00C02CB8" w14:paraId="7EC36557" w14:textId="77777777">
            <w:pPr>
              <w:autoSpaceDE/>
              <w:autoSpaceDN/>
              <w:adjustRightInd/>
              <w:ind w:left="0"/>
              <w:jc w:val="right"/>
              <w:rPr>
                <w:sz w:val="20"/>
                <w:szCs w:val="20"/>
              </w:rPr>
            </w:pPr>
            <w:r w:rsidRPr="00C02CB8">
              <w:rPr>
                <w:sz w:val="20"/>
                <w:szCs w:val="20"/>
              </w:rPr>
              <w:t>$2,288</w:t>
            </w:r>
          </w:p>
        </w:tc>
      </w:tr>
      <w:tr w14:paraId="262EA969" w14:textId="77777777" w:rsidTr="00166307">
        <w:tblPrEx>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55"/>
        </w:trPr>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2CB8" w:rsidRPr="00C02CB8" w:rsidP="00C02CB8" w14:paraId="16F7ED0A" w14:textId="344E8EA3">
            <w:pPr>
              <w:autoSpaceDE/>
              <w:autoSpaceDN/>
              <w:adjustRightInd/>
              <w:ind w:left="0"/>
              <w:rPr>
                <w:b/>
                <w:bCs/>
                <w:sz w:val="20"/>
                <w:szCs w:val="20"/>
              </w:rPr>
            </w:pPr>
            <w:r>
              <w:rPr>
                <w:b/>
                <w:bCs/>
                <w:sz w:val="20"/>
                <w:szCs w:val="20"/>
              </w:rPr>
              <w:t>Total (</w:t>
            </w:r>
            <w:r w:rsidRPr="00C02CB8">
              <w:rPr>
                <w:b/>
                <w:bCs/>
                <w:sz w:val="20"/>
                <w:szCs w:val="20"/>
              </w:rPr>
              <w:t>Three Year Average</w:t>
            </w:r>
            <w:r>
              <w:rPr>
                <w:b/>
                <w:bCs/>
                <w:sz w:val="20"/>
                <w:szCs w:val="20"/>
              </w:rPr>
              <w:t>)</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2CB8" w:rsidRPr="00C02CB8" w:rsidP="00724460" w14:paraId="404D594C" w14:textId="788F8DE2">
            <w:pPr>
              <w:autoSpaceDE/>
              <w:autoSpaceDN/>
              <w:adjustRightInd/>
              <w:ind w:left="0"/>
              <w:jc w:val="right"/>
              <w:rPr>
                <w:sz w:val="20"/>
                <w:szCs w:val="20"/>
              </w:rPr>
            </w:pPr>
            <w:r w:rsidRPr="00C02CB8">
              <w:rPr>
                <w:sz w:val="20"/>
                <w:szCs w:val="20"/>
              </w:rPr>
              <w:t xml:space="preserve"> 10,855 </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2CB8" w:rsidRPr="00C02CB8" w:rsidP="0093028F" w14:paraId="72678914" w14:textId="77777777">
            <w:pPr>
              <w:autoSpaceDE/>
              <w:autoSpaceDN/>
              <w:adjustRightInd/>
              <w:ind w:left="0"/>
              <w:jc w:val="right"/>
              <w:rPr>
                <w:sz w:val="20"/>
                <w:szCs w:val="20"/>
              </w:rPr>
            </w:pPr>
            <w:r w:rsidRPr="00C02CB8">
              <w:rPr>
                <w:sz w:val="20"/>
                <w:szCs w:val="20"/>
              </w:rPr>
              <w:t>1.45</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2CB8" w:rsidRPr="00C02CB8" w:rsidP="00724460" w14:paraId="0902C79E" w14:textId="30442D26">
            <w:pPr>
              <w:autoSpaceDE/>
              <w:autoSpaceDN/>
              <w:adjustRightInd/>
              <w:ind w:left="0"/>
              <w:jc w:val="right"/>
              <w:rPr>
                <w:sz w:val="20"/>
                <w:szCs w:val="20"/>
              </w:rPr>
            </w:pPr>
            <w:r>
              <w:rPr>
                <w:sz w:val="20"/>
                <w:szCs w:val="20"/>
              </w:rPr>
              <w:t xml:space="preserve">15,786 </w:t>
            </w:r>
            <w:r w:rsidRPr="00C02CB8">
              <w:rPr>
                <w:sz w:val="20"/>
                <w:szCs w:val="20"/>
              </w:rPr>
              <w:t xml:space="preserve"> </w:t>
            </w:r>
          </w:p>
        </w:tc>
        <w:tc>
          <w:tcPr>
            <w:tcW w:w="106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rsidR="00C02CB8" w:rsidRPr="00C02CB8" w:rsidP="00724460" w14:paraId="4AB0BBE9" w14:textId="77777777">
            <w:pPr>
              <w:autoSpaceDE/>
              <w:autoSpaceDN/>
              <w:adjustRightInd/>
              <w:ind w:left="0"/>
              <w:jc w:val="right"/>
              <w:rPr>
                <w:sz w:val="20"/>
                <w:szCs w:val="20"/>
              </w:rPr>
            </w:pPr>
            <w:r w:rsidRPr="00C02CB8">
              <w:rPr>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2CB8" w:rsidRPr="00C02CB8" w:rsidP="00724460" w14:paraId="7925A65E" w14:textId="4284EA43">
            <w:pPr>
              <w:autoSpaceDE/>
              <w:autoSpaceDN/>
              <w:adjustRightInd/>
              <w:ind w:left="0"/>
              <w:jc w:val="right"/>
              <w:rPr>
                <w:sz w:val="20"/>
                <w:szCs w:val="20"/>
              </w:rPr>
            </w:pPr>
            <w:r>
              <w:rPr>
                <w:sz w:val="20"/>
                <w:szCs w:val="20"/>
              </w:rPr>
              <w:t xml:space="preserve"> </w:t>
            </w:r>
            <w:r w:rsidR="00BA6387">
              <w:rPr>
                <w:sz w:val="20"/>
                <w:szCs w:val="20"/>
              </w:rPr>
              <w:t xml:space="preserve">13,490 </w:t>
            </w:r>
            <w:r w:rsidRPr="00C02CB8">
              <w:rPr>
                <w:sz w:val="20"/>
                <w:szCs w:val="20"/>
              </w:rPr>
              <w:t xml:space="preserve"> </w:t>
            </w:r>
          </w:p>
        </w:tc>
        <w:tc>
          <w:tcPr>
            <w:tcW w:w="97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rsidR="00C02CB8" w:rsidRPr="00C02CB8" w:rsidP="00724460" w14:paraId="346C645A" w14:textId="77777777">
            <w:pPr>
              <w:autoSpaceDE/>
              <w:autoSpaceDN/>
              <w:adjustRightInd/>
              <w:ind w:left="0"/>
              <w:jc w:val="right"/>
              <w:rPr>
                <w:sz w:val="20"/>
                <w:szCs w:val="20"/>
              </w:rPr>
            </w:pPr>
            <w:r w:rsidRPr="00C02CB8">
              <w:rPr>
                <w:sz w:val="20"/>
                <w:szCs w:val="20"/>
              </w:rPr>
              <w:t>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2CB8" w:rsidRPr="00C02CB8" w:rsidP="00724460" w14:paraId="3D52A271" w14:textId="4BB5E939">
            <w:pPr>
              <w:autoSpaceDE/>
              <w:autoSpaceDN/>
              <w:adjustRightInd/>
              <w:ind w:left="0"/>
              <w:jc w:val="right"/>
              <w:rPr>
                <w:sz w:val="20"/>
                <w:szCs w:val="20"/>
              </w:rPr>
            </w:pPr>
            <w:r w:rsidRPr="00C02CB8">
              <w:rPr>
                <w:sz w:val="20"/>
                <w:szCs w:val="20"/>
              </w:rPr>
              <w:t xml:space="preserve"> $</w:t>
            </w:r>
            <w:r w:rsidR="003F1683">
              <w:rPr>
                <w:sz w:val="20"/>
                <w:szCs w:val="20"/>
              </w:rPr>
              <w:t xml:space="preserve">1,008,720 </w:t>
            </w:r>
            <w:r w:rsidRPr="00C02CB8">
              <w:rPr>
                <w:sz w:val="20"/>
                <w:szCs w:val="20"/>
              </w:rPr>
              <w:t xml:space="preserve"> </w:t>
            </w:r>
          </w:p>
        </w:tc>
      </w:tr>
    </w:tbl>
    <w:p w:rsidR="005133AD" w:rsidRPr="00F72D66" w:rsidP="00724460" w14:paraId="18BADA78" w14:textId="77777777">
      <w:pPr>
        <w:ind w:left="0"/>
        <w:rPr>
          <w:highlight w:val="yellow"/>
        </w:rPr>
      </w:pPr>
    </w:p>
    <w:p w:rsidR="00635F81" w:rsidP="00635F81" w14:paraId="7FE23F8F" w14:textId="77777777">
      <w:pPr>
        <w:pStyle w:val="Heading2"/>
      </w:pPr>
      <w:r w:rsidRPr="00344B81">
        <w:t>Provide an estimate of the total annual cost burden to respondents or recordkeepers resulting from the collection of information.</w:t>
      </w:r>
      <w:r>
        <w:t xml:space="preserve"> </w:t>
      </w:r>
      <w:r w:rsidRPr="00344B81">
        <w:t>(Do not include the cost of any hour burden shown in Items 12 or 14).</w:t>
      </w:r>
      <w:r>
        <w:t xml:space="preserve"> </w:t>
      </w:r>
    </w:p>
    <w:p w:rsidR="00635F81" w:rsidRPr="00710ED4" w:rsidP="00CE575B" w14:paraId="25AD4CA8" w14:textId="77777777">
      <w:pPr>
        <w:widowControl w:val="0"/>
        <w:numPr>
          <w:ilvl w:val="0"/>
          <w:numId w:val="19"/>
        </w:numPr>
        <w:tabs>
          <w:tab w:val="clear" w:pos="1440"/>
        </w:tabs>
        <w:rPr>
          <w:b/>
        </w:rPr>
      </w:pPr>
      <w:r w:rsidRPr="00710ED4">
        <w:rPr>
          <w:b/>
        </w:rPr>
        <w:t>The cost estimate should be split into two components:</w:t>
      </w:r>
      <w:r>
        <w:rPr>
          <w:b/>
        </w:rPr>
        <w:t xml:space="preserve"> </w:t>
      </w:r>
      <w:r w:rsidRPr="00710ED4">
        <w:rPr>
          <w:b/>
        </w:rPr>
        <w:t>(a) a total capital and </w:t>
      </w:r>
      <w:r w:rsidRPr="00710ED4">
        <w:rPr>
          <w:b/>
        </w:rPr>
        <w:t>start up</w:t>
      </w:r>
      <w:r w:rsidRPr="00710ED4">
        <w:rPr>
          <w:b/>
        </w:rPr>
        <w:t xml:space="preserve"> cost component (annualized over its expected useful life); and (b) a total operation and maintenance and purchase of service component.</w:t>
      </w:r>
      <w:r>
        <w:rPr>
          <w:b/>
        </w:rPr>
        <w:t xml:space="preserve"> </w:t>
      </w:r>
      <w:r w:rsidRPr="00710ED4">
        <w:rPr>
          <w:b/>
        </w:rPr>
        <w:t xml:space="preserve">The estimates should </w:t>
      </w:r>
      <w:r w:rsidRPr="00710ED4">
        <w:rPr>
          <w:b/>
        </w:rPr>
        <w:t>take into account</w:t>
      </w:r>
      <w:r w:rsidRPr="00710ED4">
        <w:rPr>
          <w:b/>
        </w:rPr>
        <w:t xml:space="preserve"> costs associated with generating, maintaining, and disclosing or providing the information.</w:t>
      </w:r>
      <w:r>
        <w:rPr>
          <w:b/>
        </w:rPr>
        <w:t xml:space="preserve"> </w:t>
      </w:r>
      <w:r w:rsidRPr="00710ED4">
        <w:rPr>
          <w:b/>
        </w:rPr>
        <w:t xml:space="preserve">Include descriptions of methods used to estimate major cost factors including system and technology acquisition, expected useful life of capital equipment, the discount rate(s), and the </w:t>
      </w:r>
      <w:r w:rsidRPr="00710ED4">
        <w:rPr>
          <w:b/>
        </w:rPr>
        <w:t>time period</w:t>
      </w:r>
      <w:r w:rsidRPr="00710ED4">
        <w:rPr>
          <w:b/>
        </w:rPr>
        <w:t xml:space="preserve"> over which costs will be incurred.</w:t>
      </w:r>
      <w:r>
        <w:rPr>
          <w:b/>
        </w:rPr>
        <w:t xml:space="preserve"> </w:t>
      </w:r>
      <w:r w:rsidRPr="00710ED4">
        <w:rPr>
          <w:b/>
        </w:rPr>
        <w:t xml:space="preserve">Capital and start-up costs include, among other items, preparations for collecting information such as purchasing computers and software; monitoring, sampling, </w:t>
      </w:r>
      <w:r w:rsidRPr="00710ED4">
        <w:rPr>
          <w:b/>
        </w:rPr>
        <w:t>drilling</w:t>
      </w:r>
      <w:r w:rsidRPr="00710ED4">
        <w:rPr>
          <w:b/>
        </w:rPr>
        <w:t xml:space="preserve"> and testing equipment; and record storage facilities. </w:t>
      </w:r>
    </w:p>
    <w:p w:rsidR="00635F81" w:rsidRPr="00710ED4" w:rsidP="00CE575B" w14:paraId="04629EAE" w14:textId="77777777">
      <w:pPr>
        <w:widowControl w:val="0"/>
        <w:numPr>
          <w:ilvl w:val="0"/>
          <w:numId w:val="20"/>
        </w:numPr>
        <w:tabs>
          <w:tab w:val="clear" w:pos="1440"/>
        </w:tabs>
        <w:rPr>
          <w:b/>
        </w:rPr>
      </w:pPr>
      <w:r w:rsidRPr="00710ED4">
        <w:rPr>
          <w:b/>
        </w:rPr>
        <w:t>If cost estimates are expected to vary widely, agencies should present ranges of cost burdens and explain the reasons for the variance.</w:t>
      </w:r>
      <w:r>
        <w:rPr>
          <w:b/>
        </w:rPr>
        <w:t xml:space="preserve"> </w:t>
      </w:r>
      <w:r w:rsidRPr="00710ED4">
        <w:rPr>
          <w:b/>
        </w:rPr>
        <w:t>The cost of purchasing or contracting out information collection services should be a part of this cost burden estimate.</w:t>
      </w:r>
      <w:r>
        <w:rPr>
          <w:b/>
        </w:rPr>
        <w:t xml:space="preserve"> </w:t>
      </w:r>
      <w:r w:rsidRPr="00710ED4">
        <w:rPr>
          <w:b/>
        </w:rPr>
        <w:t xml:space="preserve">In developing cost burden estimates, agencies may consult with a sample of respondents (fewer than 10), utilize the 60-day pre-OMB submission public comment </w:t>
      </w:r>
      <w:r w:rsidRPr="00710ED4">
        <w:rPr>
          <w:b/>
        </w:rPr>
        <w:t>process</w:t>
      </w:r>
      <w:r w:rsidRPr="00710ED4">
        <w:rPr>
          <w:b/>
        </w:rPr>
        <w:t xml:space="preserve"> and use existing economic or regulatory impact analysis associated with the rulemaking containing the information collection, as appropriate. </w:t>
      </w:r>
    </w:p>
    <w:p w:rsidR="00635F81" w:rsidP="00CE575B" w14:paraId="566E1DED" w14:textId="77777777">
      <w:pPr>
        <w:widowControl w:val="0"/>
        <w:numPr>
          <w:ilvl w:val="0"/>
          <w:numId w:val="21"/>
        </w:numPr>
        <w:tabs>
          <w:tab w:val="clear" w:pos="1440"/>
        </w:tabs>
        <w:rPr>
          <w:b/>
        </w:rPr>
      </w:pPr>
      <w:r w:rsidRPr="00710ED4">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ED7B6D" w:rsidP="000401EC" w14:paraId="35B8CBA4" w14:textId="77777777">
      <w:pPr>
        <w:pStyle w:val="BodyText"/>
      </w:pPr>
    </w:p>
    <w:p w:rsidR="00ED7B6D" w:rsidRPr="00DB7701" w:rsidP="00ED7B6D" w14:paraId="342C1A5B" w14:textId="77777777">
      <w:pPr>
        <w:contextualSpacing/>
        <w:rPr>
          <w:rFonts w:eastAsia="Calibri"/>
        </w:rPr>
      </w:pPr>
      <w:r>
        <w:rPr>
          <w:rFonts w:eastAsia="Calibri"/>
        </w:rPr>
        <w:t>T</w:t>
      </w:r>
      <w:r w:rsidRPr="712F0D35">
        <w:rPr>
          <w:rFonts w:eastAsia="Calibri"/>
        </w:rPr>
        <w:t>o estimate the number of QPAMs, the Department identified the number of unique entities that provided investment management services in the 2020 Form 5500 Schedule C dataset.</w:t>
      </w:r>
      <w:r>
        <w:rPr>
          <w:rFonts w:eastAsia="Calibri"/>
          <w:vertAlign w:val="superscript"/>
        </w:rPr>
        <w:footnoteReference w:id="34"/>
      </w:r>
      <w:r w:rsidRPr="712F0D35">
        <w:rPr>
          <w:rFonts w:eastAsia="Calibri"/>
        </w:rPr>
        <w:t xml:space="preserve"> This analysis yielded 5,702 unique investment managers. Small Plans are not required to file a Schedule C</w:t>
      </w:r>
      <w:r>
        <w:rPr>
          <w:rFonts w:eastAsia="Calibri"/>
        </w:rPr>
        <w:t>; therefore,</w:t>
      </w:r>
      <w:r w:rsidRPr="712F0D35">
        <w:rPr>
          <w:rFonts w:eastAsia="Calibri"/>
        </w:rPr>
        <w:t xml:space="preserve"> </w:t>
      </w:r>
      <w:r>
        <w:rPr>
          <w:rFonts w:eastAsia="Calibri"/>
        </w:rPr>
        <w:t>i</w:t>
      </w:r>
      <w:r w:rsidRPr="712F0D35">
        <w:rPr>
          <w:rFonts w:eastAsia="Calibri"/>
        </w:rPr>
        <w:t>n order to</w:t>
      </w:r>
      <w:r w:rsidRPr="712F0D35">
        <w:rPr>
          <w:rFonts w:eastAsia="Calibri"/>
        </w:rPr>
        <w:t xml:space="preserve"> account for asset managers used by small Plans, the Department looked at</w:t>
      </w:r>
      <w:r>
        <w:rPr>
          <w:rFonts w:eastAsia="Calibri"/>
        </w:rPr>
        <w:t xml:space="preserve"> the</w:t>
      </w:r>
      <w:r w:rsidRPr="712F0D35">
        <w:rPr>
          <w:rFonts w:eastAsia="Calibri"/>
        </w:rPr>
        <w:t xml:space="preserve"> </w:t>
      </w:r>
      <w:r>
        <w:rPr>
          <w:rFonts w:eastAsia="Calibri"/>
        </w:rPr>
        <w:t xml:space="preserve">Form 5500 Schedule C that were voluntarily filed by </w:t>
      </w:r>
      <w:r w:rsidRPr="712F0D35">
        <w:rPr>
          <w:rFonts w:eastAsia="Calibri"/>
        </w:rPr>
        <w:t xml:space="preserve">small Plans. Among the 1,267 small Plans that filed a Schedule C, the Department found 10 unique asset managers that were not used by large Plans. Applying this ratio to the universe of small Plans, the Department estimates that 5,153 additional unique QPAMs may be used by small </w:t>
      </w:r>
      <w:r>
        <w:rPr>
          <w:rFonts w:eastAsia="Calibri"/>
        </w:rPr>
        <w:t>P</w:t>
      </w:r>
      <w:r w:rsidRPr="712F0D35">
        <w:rPr>
          <w:rFonts w:eastAsia="Calibri"/>
        </w:rPr>
        <w:t>lans.</w:t>
      </w:r>
      <w:r>
        <w:rPr>
          <w:rFonts w:eastAsia="Calibri"/>
          <w:vertAlign w:val="superscript"/>
        </w:rPr>
        <w:footnoteReference w:id="35"/>
      </w:r>
      <w:r w:rsidRPr="712F0D35">
        <w:rPr>
          <w:rFonts w:eastAsia="Calibri"/>
        </w:rPr>
        <w:t xml:space="preserve"> </w:t>
      </w:r>
      <w:r>
        <w:rPr>
          <w:rFonts w:eastAsia="Calibri"/>
        </w:rPr>
        <w:t xml:space="preserve">Therefore </w:t>
      </w:r>
      <w:r w:rsidRPr="712F0D35">
        <w:rPr>
          <w:rFonts w:eastAsia="Calibri"/>
        </w:rPr>
        <w:t xml:space="preserve">the Department estimates that 10,855 unique QPAMs could be affected by the </w:t>
      </w:r>
      <w:r>
        <w:rPr>
          <w:rFonts w:eastAsia="Calibri"/>
        </w:rPr>
        <w:t>Final A</w:t>
      </w:r>
      <w:r w:rsidRPr="712F0D35">
        <w:rPr>
          <w:rFonts w:eastAsia="Calibri"/>
        </w:rPr>
        <w:t>mendment.</w:t>
      </w:r>
      <w:r>
        <w:rPr>
          <w:rFonts w:eastAsia="Calibri"/>
          <w:vertAlign w:val="superscript"/>
        </w:rPr>
        <w:footnoteReference w:id="36"/>
      </w:r>
      <w:r w:rsidRPr="712F0D35">
        <w:rPr>
          <w:rFonts w:eastAsia="Calibri"/>
        </w:rPr>
        <w:t xml:space="preserve"> </w:t>
      </w:r>
    </w:p>
    <w:p w:rsidR="00ED7B6D" w:rsidP="00426AD2" w14:paraId="7BFF1C72" w14:textId="77777777">
      <w:pPr>
        <w:ind w:left="0"/>
      </w:pPr>
    </w:p>
    <w:p w:rsidR="007D3D33" w:rsidRPr="00DB7701" w:rsidP="007D3D33" w14:paraId="4E056855" w14:textId="63C8A136">
      <w:pPr>
        <w:contextualSpacing/>
      </w:pPr>
      <w:r w:rsidRPr="712F0D35">
        <w:t xml:space="preserve">The </w:t>
      </w:r>
      <w:r>
        <w:t>Final</w:t>
      </w:r>
      <w:r w:rsidRPr="712F0D35">
        <w:t xml:space="preserve"> </w:t>
      </w:r>
      <w:r>
        <w:t>A</w:t>
      </w:r>
      <w:r w:rsidRPr="712F0D35">
        <w:t xml:space="preserve">mendment requires QPAMs to distribute various notices to client Plans after an ineligibility trigger, as described below. The Department does not have </w:t>
      </w:r>
      <w:r>
        <w:t xml:space="preserve">sufficient </w:t>
      </w:r>
      <w:r w:rsidRPr="712F0D35">
        <w:t xml:space="preserve">data </w:t>
      </w:r>
      <w:r>
        <w:t xml:space="preserve">to estimate </w:t>
      </w:r>
      <w:r w:rsidRPr="712F0D35">
        <w:t xml:space="preserve">how </w:t>
      </w:r>
      <w:r>
        <w:t xml:space="preserve">many </w:t>
      </w:r>
      <w:r w:rsidRPr="712F0D35">
        <w:t xml:space="preserve">QPAMs will elect to send such notices electronically or by mail. </w:t>
      </w:r>
      <w:r w:rsidRPr="712F0D35">
        <w:t>For the purposes of this analysis, the Department estimates that 80 percent of these notices will be delivered by first-class mail</w:t>
      </w:r>
      <w:r>
        <w:t xml:space="preserve"> at a first-class mail postage rate of </w:t>
      </w:r>
      <w:r w:rsidRPr="712F0D35">
        <w:t>$</w:t>
      </w:r>
      <w:r w:rsidR="00A56199">
        <w:t>0.68</w:t>
      </w:r>
      <w:r w:rsidRPr="712F0D35">
        <w:t>.</w:t>
      </w:r>
      <w:r>
        <w:rPr>
          <w:vertAlign w:val="superscript"/>
        </w:rPr>
        <w:footnoteReference w:id="37"/>
      </w:r>
    </w:p>
    <w:p w:rsidR="007D3D33" w:rsidP="007D3D33" w14:paraId="001B9318" w14:textId="77777777"/>
    <w:p w:rsidR="00937EAD" w:rsidP="00937EAD" w14:paraId="57B63009" w14:textId="6AB206EF">
      <w:pPr>
        <w:widowControl w:val="0"/>
        <w:contextualSpacing/>
        <w:outlineLvl w:val="2"/>
        <w:rPr>
          <w:bCs/>
          <w:i/>
          <w:iCs/>
        </w:rPr>
      </w:pPr>
      <w:r>
        <w:rPr>
          <w:bCs/>
          <w:i/>
          <w:iCs/>
        </w:rPr>
        <w:t>Notice to Plans – Subsection I(</w:t>
      </w:r>
      <w:r w:rsidR="00073454">
        <w:rPr>
          <w:bCs/>
          <w:i/>
          <w:iCs/>
        </w:rPr>
        <w:t>i</w:t>
      </w:r>
      <w:r>
        <w:rPr>
          <w:bCs/>
          <w:i/>
          <w:iCs/>
        </w:rPr>
        <w:t>)(1)</w:t>
      </w:r>
      <w:r w:rsidRPr="00DB7701">
        <w:rPr>
          <w:bCs/>
          <w:i/>
          <w:iCs/>
        </w:rPr>
        <w:t xml:space="preserve"> </w:t>
      </w:r>
    </w:p>
    <w:p w:rsidR="007059D5" w:rsidRPr="00DB7701" w:rsidP="00724460" w14:paraId="79438AF2" w14:textId="77777777">
      <w:pPr>
        <w:rPr>
          <w:rFonts w:eastAsia="Calibri"/>
        </w:rPr>
      </w:pPr>
    </w:p>
    <w:p w:rsidR="009803B8" w:rsidP="009803B8" w14:paraId="0E2D8254" w14:textId="4AC0E2B4">
      <w:pPr>
        <w:contextualSpacing/>
        <w:rPr>
          <w:color w:val="000000"/>
          <w:szCs w:val="20"/>
        </w:rPr>
      </w:pPr>
      <w:r w:rsidRPr="00DB7701">
        <w:rPr>
          <w:color w:val="000000"/>
          <w:szCs w:val="20"/>
        </w:rPr>
        <w:t xml:space="preserve">Within 30 days </w:t>
      </w:r>
      <w:r>
        <w:rPr>
          <w:color w:val="000000"/>
          <w:szCs w:val="20"/>
        </w:rPr>
        <w:t>of the</w:t>
      </w:r>
      <w:r w:rsidRPr="00DB7701">
        <w:rPr>
          <w:color w:val="000000"/>
          <w:szCs w:val="20"/>
        </w:rPr>
        <w:t xml:space="preserve"> Ineligibility </w:t>
      </w:r>
      <w:r>
        <w:rPr>
          <w:color w:val="000000"/>
          <w:szCs w:val="20"/>
        </w:rPr>
        <w:t>Date</w:t>
      </w:r>
      <w:r w:rsidRPr="00DB7701">
        <w:rPr>
          <w:color w:val="000000"/>
          <w:szCs w:val="20"/>
        </w:rPr>
        <w:t xml:space="preserve">, the QPAM must provide notice to the Department and each of its client Plans. </w:t>
      </w:r>
      <w:r w:rsidRPr="712F0D35">
        <w:rPr>
          <w:rFonts w:eastAsia="Calibri"/>
        </w:rPr>
        <w:t xml:space="preserve">The number of QPAMs affected in any given year is a function of the number of convictions covered by Section I(g) and the number of entities within a corporate family operating as QPAMs. As shown by </w:t>
      </w:r>
      <w:r w:rsidRPr="712F0D35">
        <w:rPr>
          <w:rFonts w:eastAsia="Calibri"/>
        </w:rPr>
        <w:t>past experience</w:t>
      </w:r>
      <w:r w:rsidRPr="712F0D35">
        <w:rPr>
          <w:rFonts w:eastAsia="Calibri"/>
        </w:rPr>
        <w:t xml:space="preserve">, this </w:t>
      </w:r>
      <w:r>
        <w:rPr>
          <w:rFonts w:eastAsia="Calibri"/>
        </w:rPr>
        <w:t xml:space="preserve">number </w:t>
      </w:r>
      <w:r w:rsidRPr="712F0D35">
        <w:rPr>
          <w:rFonts w:eastAsia="Calibri"/>
        </w:rPr>
        <w:t>is likely to fluctuate between years.</w:t>
      </w:r>
      <w:r>
        <w:rPr>
          <w:rFonts w:eastAsia="Calibri"/>
        </w:rPr>
        <w:t xml:space="preserve"> Based on the Department’s experience, the Department estimates </w:t>
      </w:r>
      <w:r w:rsidRPr="712F0D35">
        <w:rPr>
          <w:rFonts w:eastAsia="Calibri"/>
        </w:rPr>
        <w:t>that, on average, eight QPAMs each year will lose eligibility due to a Criminal Conviction.</w:t>
      </w:r>
      <w:r>
        <w:rPr>
          <w:rFonts w:eastAsia="Calibri"/>
          <w:vertAlign w:val="superscript"/>
        </w:rPr>
        <w:footnoteReference w:id="38"/>
      </w:r>
      <w:r>
        <w:rPr>
          <w:rFonts w:eastAsia="Calibri"/>
        </w:rPr>
        <w:t xml:space="preserve"> </w:t>
      </w:r>
      <w:r w:rsidRPr="5653E293">
        <w:rPr>
          <w:rFonts w:eastAsia="Calibri"/>
        </w:rPr>
        <w:t>The Department’s expansion of the ineligibility provision to include Prohibited Misconduct under Subsection I(g)(</w:t>
      </w:r>
      <w:r w:rsidR="003E40BA">
        <w:rPr>
          <w:rFonts w:eastAsia="Calibri"/>
        </w:rPr>
        <w:t>1</w:t>
      </w:r>
      <w:r w:rsidRPr="5653E293">
        <w:rPr>
          <w:rFonts w:eastAsia="Calibri"/>
        </w:rPr>
        <w:t>)(B) and Section VI(s) will likely increase the number of QPAMs that become ineligible under Section I(g).</w:t>
      </w:r>
      <w:r>
        <w:rPr>
          <w:rFonts w:eastAsia="Calibri"/>
        </w:rPr>
        <w:t xml:space="preserve"> </w:t>
      </w:r>
      <w:r w:rsidRPr="712F0D35">
        <w:rPr>
          <w:rFonts w:eastAsia="Calibri"/>
        </w:rPr>
        <w:t xml:space="preserve">For the purposes of this analysis, the Department assumes </w:t>
      </w:r>
      <w:r>
        <w:rPr>
          <w:rFonts w:eastAsia="Calibri"/>
        </w:rPr>
        <w:t xml:space="preserve">four </w:t>
      </w:r>
      <w:r w:rsidRPr="712F0D35">
        <w:rPr>
          <w:rFonts w:eastAsia="Calibri"/>
        </w:rPr>
        <w:t xml:space="preserve">additional </w:t>
      </w:r>
      <w:r>
        <w:rPr>
          <w:rFonts w:eastAsia="Calibri"/>
        </w:rPr>
        <w:t>QPAMs will become ineligible. Accordingly, i</w:t>
      </w:r>
      <w:r w:rsidRPr="00DB7701">
        <w:rPr>
          <w:rFonts w:eastAsia="Calibri"/>
        </w:rPr>
        <w:t>n total, the Department estimates that 12 QPAMs, on average, will become ineligible due to a Criminal Conviction or Prohibited Misconduct annually.</w:t>
      </w:r>
    </w:p>
    <w:p w:rsidR="009803B8" w:rsidP="009803B8" w14:paraId="02ED7CE1" w14:textId="77777777">
      <w:pPr>
        <w:contextualSpacing/>
        <w:rPr>
          <w:color w:val="000000"/>
          <w:szCs w:val="20"/>
        </w:rPr>
      </w:pPr>
    </w:p>
    <w:p w:rsidR="00C05AEB" w:rsidP="004C1EE3" w14:paraId="5A52AB77" w14:textId="01A37BBA">
      <w:pPr>
        <w:contextualSpacing/>
      </w:pPr>
      <w:r w:rsidRPr="712F0D35">
        <w:t>In its analysis of the 2020 Form 5500, the Department estimates that there are 547,546 client Plans with QPAM relationships, resulting in an average of 50 client Plans per QPAM.</w:t>
      </w:r>
      <w:r>
        <w:rPr>
          <w:vertAlign w:val="superscript"/>
        </w:rPr>
        <w:footnoteReference w:id="39"/>
      </w:r>
      <w:r w:rsidR="00C235E0">
        <w:t xml:space="preserve"> T</w:t>
      </w:r>
      <w:r w:rsidRPr="712F0D35" w:rsidR="00C235E0">
        <w:t>he Department assumes that notices sent by mail will require two pages of paper each, resulting in a material and postage cost of approximately $</w:t>
      </w:r>
      <w:r w:rsidR="00684586">
        <w:t>37</w:t>
      </w:r>
      <w:r w:rsidR="0033202C">
        <w:t>5</w:t>
      </w:r>
      <w:r w:rsidRPr="712F0D35" w:rsidR="00C235E0">
        <w:t>.</w:t>
      </w:r>
      <w:r>
        <w:rPr>
          <w:vertAlign w:val="superscript"/>
        </w:rPr>
        <w:footnoteReference w:id="40"/>
      </w:r>
    </w:p>
    <w:p w:rsidR="00C05AEB" w:rsidP="004C1EE3" w14:paraId="07E82558" w14:textId="77777777">
      <w:pPr>
        <w:contextualSpacing/>
      </w:pPr>
    </w:p>
    <w:p w:rsidR="004C1EE3" w:rsidRPr="00DB7701" w:rsidP="004C1EE3" w14:paraId="069DC3E6" w14:textId="6A2E2902">
      <w:pPr>
        <w:contextualSpacing/>
        <w:rPr>
          <w:rFonts w:cs="Courier New"/>
          <w:color w:val="000000"/>
          <w:szCs w:val="20"/>
        </w:rPr>
      </w:pPr>
      <w:r w:rsidRPr="00DB7701">
        <w:rPr>
          <w:rFonts w:cs="Courier New"/>
          <w:color w:val="000000"/>
          <w:szCs w:val="20"/>
        </w:rPr>
        <w:t>The Department believes the cost of sending this notice to the Department will be negligible because the QPAM will have already prepared and sent the notice to client Plans</w:t>
      </w:r>
      <w:r>
        <w:rPr>
          <w:rFonts w:cs="Courier New"/>
          <w:color w:val="000000"/>
          <w:szCs w:val="20"/>
        </w:rPr>
        <w:t>, and t</w:t>
      </w:r>
      <w:r w:rsidRPr="00DB7701">
        <w:rPr>
          <w:rFonts w:cs="Courier New"/>
          <w:color w:val="000000"/>
          <w:szCs w:val="20"/>
        </w:rPr>
        <w:t>he notice to the Department is required to be s</w:t>
      </w:r>
      <w:r>
        <w:rPr>
          <w:rFonts w:cs="Courier New"/>
          <w:color w:val="000000"/>
          <w:szCs w:val="20"/>
        </w:rPr>
        <w:t>ubmit</w:t>
      </w:r>
      <w:r w:rsidRPr="00DB7701">
        <w:rPr>
          <w:rFonts w:cs="Courier New"/>
          <w:color w:val="000000"/>
          <w:szCs w:val="20"/>
        </w:rPr>
        <w:t>t</w:t>
      </w:r>
      <w:r>
        <w:rPr>
          <w:rFonts w:cs="Courier New"/>
          <w:color w:val="000000"/>
          <w:szCs w:val="20"/>
        </w:rPr>
        <w:t>ed</w:t>
      </w:r>
      <w:r w:rsidRPr="00DB7701">
        <w:rPr>
          <w:rFonts w:cs="Courier New"/>
          <w:color w:val="000000"/>
          <w:szCs w:val="20"/>
        </w:rPr>
        <w:t xml:space="preserve"> electronically.</w:t>
      </w:r>
    </w:p>
    <w:p w:rsidR="00D04440" w:rsidRPr="00724460" w:rsidP="000401EC" w14:paraId="4B240D42" w14:textId="77777777">
      <w:pPr>
        <w:pStyle w:val="BodyText"/>
        <w:rPr>
          <w:highlight w:val="yellow"/>
        </w:rPr>
      </w:pPr>
    </w:p>
    <w:p w:rsidR="00F26504" w:rsidP="00F26504" w14:paraId="14498DD2" w14:textId="18E599B4">
      <w:pPr>
        <w:widowControl w:val="0"/>
        <w:contextualSpacing/>
        <w:outlineLvl w:val="2"/>
        <w:rPr>
          <w:bCs/>
          <w:i/>
          <w:iCs/>
        </w:rPr>
      </w:pPr>
      <w:r w:rsidRPr="00DB7701">
        <w:rPr>
          <w:bCs/>
          <w:i/>
          <w:iCs/>
        </w:rPr>
        <w:t>Requesting an Individual Exemption – Section I(</w:t>
      </w:r>
      <w:r w:rsidR="00395360">
        <w:rPr>
          <w:bCs/>
          <w:i/>
          <w:iCs/>
        </w:rPr>
        <w:t>j</w:t>
      </w:r>
      <w:r w:rsidRPr="00DB7701">
        <w:rPr>
          <w:bCs/>
          <w:i/>
          <w:iCs/>
        </w:rPr>
        <w:t xml:space="preserve">) </w:t>
      </w:r>
    </w:p>
    <w:p w:rsidR="00F26504" w:rsidRPr="00DB7701" w:rsidP="00724460" w14:paraId="01A7DB7D" w14:textId="77777777"/>
    <w:p w:rsidR="00F26504" w:rsidP="00AA0EDA" w14:paraId="7DAA4871" w14:textId="5F92ED80">
      <w:pPr>
        <w:contextualSpacing/>
        <w:rPr>
          <w:rFonts w:eastAsia="Calibri"/>
        </w:rPr>
      </w:pPr>
      <w:r>
        <w:t xml:space="preserve">A </w:t>
      </w:r>
      <w:r w:rsidR="003D4529">
        <w:t>C</w:t>
      </w:r>
      <w:r>
        <w:t>onviction or</w:t>
      </w:r>
      <w:r w:rsidRPr="712F0D35">
        <w:rPr>
          <w:rFonts w:eastAsia="Calibri"/>
        </w:rPr>
        <w:t xml:space="preserve"> </w:t>
      </w:r>
      <w:r>
        <w:rPr>
          <w:rFonts w:eastAsia="Calibri"/>
        </w:rPr>
        <w:t>P</w:t>
      </w:r>
      <w:r w:rsidRPr="712F0D35">
        <w:rPr>
          <w:rFonts w:eastAsia="Calibri"/>
        </w:rPr>
        <w:t xml:space="preserve">articipating </w:t>
      </w:r>
      <w:r w:rsidR="00E60F88">
        <w:rPr>
          <w:rFonts w:eastAsia="Calibri"/>
        </w:rPr>
        <w:t>i</w:t>
      </w:r>
      <w:r w:rsidRPr="712F0D35">
        <w:rPr>
          <w:rFonts w:eastAsia="Calibri"/>
        </w:rPr>
        <w:t xml:space="preserve">n </w:t>
      </w:r>
      <w:r w:rsidRPr="712F0D35" w:rsidR="00EE36A1">
        <w:rPr>
          <w:rFonts w:eastAsia="Calibri"/>
        </w:rPr>
        <w:t>Prohibited Misconduct</w:t>
      </w:r>
      <w:r w:rsidR="00E60F88">
        <w:rPr>
          <w:rFonts w:eastAsia="Calibri"/>
        </w:rPr>
        <w:t xml:space="preserve"> </w:t>
      </w:r>
      <w:r w:rsidRPr="712F0D35" w:rsidR="00EE36A1">
        <w:rPr>
          <w:rFonts w:eastAsia="Calibri"/>
        </w:rPr>
        <w:t xml:space="preserve">could lead a QPAM to request an individual exemption. The burden for filing an application requesting an individual exemption is included in the ICR for the Exemption Procedure Regulation, which has been approved under OMB Control Number 1210-0060. Instead of amending that ICR, </w:t>
      </w:r>
      <w:r w:rsidRPr="712F0D35" w:rsidR="00EE36A1">
        <w:rPr>
          <w:rFonts w:eastAsia="Calibri"/>
        </w:rPr>
        <w:t>the estimated burden for applications from QPAMs receiving an Ineligibility Notice due to Prohibited Misconduct is included here.</w:t>
      </w:r>
      <w:r>
        <w:rPr>
          <w:rFonts w:eastAsia="Calibri"/>
          <w:vertAlign w:val="superscript"/>
        </w:rPr>
        <w:footnoteReference w:id="41"/>
      </w:r>
      <w:r w:rsidRPr="712F0D35" w:rsidR="00EE36A1">
        <w:rPr>
          <w:rFonts w:eastAsia="Calibri"/>
        </w:rPr>
        <w:t xml:space="preserve"> </w:t>
      </w:r>
      <w:r w:rsidR="00D512D0">
        <w:rPr>
          <w:rFonts w:eastAsia="Calibri"/>
        </w:rPr>
        <w:t xml:space="preserve"> </w:t>
      </w:r>
      <w:r w:rsidRPr="712F0D35" w:rsidR="00365522">
        <w:rPr>
          <w:rFonts w:eastAsia="Calibri"/>
        </w:rPr>
        <w:t>The Department estimates that there will, on average, be one application each year related to Prohibited Misconduct, affecting four QPAMs.</w:t>
      </w:r>
    </w:p>
    <w:p w:rsidR="00CF2FAE" w:rsidP="00F26504" w14:paraId="434A677A" w14:textId="77777777">
      <w:pPr>
        <w:pStyle w:val="BodyText"/>
        <w:rPr>
          <w:rFonts w:eastAsia="Calibri"/>
          <w:szCs w:val="24"/>
        </w:rPr>
      </w:pPr>
    </w:p>
    <w:p w:rsidR="00CF2FAE" w:rsidP="00F26504" w14:paraId="4F44CBC3" w14:textId="50A947ED">
      <w:pPr>
        <w:pStyle w:val="BodyText"/>
        <w:rPr>
          <w:rFonts w:eastAsia="Calibri"/>
          <w:szCs w:val="24"/>
        </w:rPr>
      </w:pPr>
      <w:r w:rsidRPr="712F0D35">
        <w:rPr>
          <w:rFonts w:eastAsia="Calibri"/>
          <w:szCs w:val="24"/>
        </w:rPr>
        <w:t xml:space="preserve">For applications that reach the stage of publication </w:t>
      </w:r>
      <w:r w:rsidRPr="712F0D35">
        <w:rPr>
          <w:rFonts w:eastAsia="Calibri"/>
          <w:szCs w:val="24"/>
        </w:rPr>
        <w:t>of a proposed</w:t>
      </w:r>
      <w:r>
        <w:rPr>
          <w:rFonts w:eastAsia="Calibri"/>
          <w:szCs w:val="24"/>
        </w:rPr>
        <w:t xml:space="preserve"> individual</w:t>
      </w:r>
      <w:r w:rsidRPr="712F0D35">
        <w:rPr>
          <w:rFonts w:eastAsia="Calibri"/>
          <w:szCs w:val="24"/>
        </w:rPr>
        <w:t xml:space="preserve"> exemption </w:t>
      </w:r>
      <w:r w:rsidRPr="712F0D35">
        <w:rPr>
          <w:rFonts w:eastAsia="Calibri"/>
          <w:szCs w:val="24"/>
        </w:rPr>
        <w:t xml:space="preserve">in the </w:t>
      </w:r>
      <w:r w:rsidRPr="00095AF1">
        <w:rPr>
          <w:rFonts w:eastAsia="Calibri"/>
          <w:i/>
          <w:szCs w:val="24"/>
        </w:rPr>
        <w:t>Federal Register</w:t>
      </w:r>
      <w:r w:rsidRPr="712F0D35">
        <w:rPr>
          <w:rFonts w:eastAsia="Calibri"/>
          <w:szCs w:val="24"/>
        </w:rPr>
        <w:t>, a notice must be prepared and distributed to interested parties</w:t>
      </w:r>
      <w:r w:rsidRPr="712F0D35">
        <w:rPr>
          <w:rFonts w:eastAsia="Calibri"/>
          <w:szCs w:val="24"/>
        </w:rPr>
        <w:t>. Similarly, if the exemption is ultimately granted, each of these four QPAMs will be required to send an objective description of the facts and circumstances upon which the misconduct is based to each client Plan.</w:t>
      </w:r>
      <w:r w:rsidR="008A626A">
        <w:rPr>
          <w:rFonts w:eastAsia="Calibri"/>
          <w:szCs w:val="24"/>
        </w:rPr>
        <w:t xml:space="preserve"> </w:t>
      </w:r>
      <w:r w:rsidRPr="712F0D35" w:rsidR="008A626A">
        <w:rPr>
          <w:rFonts w:eastAsia="Calibri"/>
          <w:szCs w:val="24"/>
        </w:rPr>
        <w:t>The Department estimates that</w:t>
      </w:r>
      <w:r w:rsidRPr="712F0D35" w:rsidR="008A626A">
        <w:rPr>
          <w:rFonts w:eastAsia="Calibri"/>
          <w:szCs w:val="24"/>
        </w:rPr>
        <w:t xml:space="preserve"> approximately </w:t>
      </w:r>
      <w:r w:rsidRPr="712F0D35" w:rsidR="008A626A">
        <w:rPr>
          <w:rFonts w:eastAsia="Calibri"/>
          <w:szCs w:val="24"/>
        </w:rPr>
        <w:t>200 notices will be distributed annually, corresponding to an average of 50 client Plans for each of the four QPAMs estimated to be affected by the application.</w:t>
      </w:r>
      <w:r w:rsidR="00C528A9">
        <w:rPr>
          <w:rFonts w:eastAsia="Calibri"/>
          <w:szCs w:val="24"/>
        </w:rPr>
        <w:t xml:space="preserve"> The Department estimates </w:t>
      </w:r>
      <w:r w:rsidRPr="712F0D35" w:rsidR="00C528A9">
        <w:rPr>
          <w:rFonts w:eastAsia="Calibri"/>
          <w:szCs w:val="24"/>
        </w:rPr>
        <w:t xml:space="preserve">material and mailing costs for </w:t>
      </w:r>
      <w:r w:rsidRPr="712F0D35" w:rsidR="00C528A9">
        <w:rPr>
          <w:rFonts w:eastAsia="Calibri"/>
          <w:szCs w:val="24"/>
        </w:rPr>
        <w:t>all of</w:t>
      </w:r>
      <w:r w:rsidRPr="712F0D35" w:rsidR="00C528A9">
        <w:rPr>
          <w:rFonts w:eastAsia="Calibri"/>
          <w:szCs w:val="24"/>
        </w:rPr>
        <w:t xml:space="preserve"> these notices totals approximately $</w:t>
      </w:r>
      <w:r w:rsidR="00E05B4B">
        <w:rPr>
          <w:rFonts w:eastAsia="Calibri"/>
          <w:szCs w:val="24"/>
        </w:rPr>
        <w:t>378</w:t>
      </w:r>
      <w:r w:rsidRPr="712F0D35" w:rsidR="00C528A9">
        <w:rPr>
          <w:rFonts w:eastAsia="Calibri"/>
          <w:szCs w:val="24"/>
        </w:rPr>
        <w:t>.</w:t>
      </w:r>
      <w:r>
        <w:rPr>
          <w:rFonts w:eastAsia="Calibri"/>
          <w:szCs w:val="24"/>
          <w:vertAlign w:val="superscript"/>
        </w:rPr>
        <w:footnoteReference w:id="42"/>
      </w:r>
    </w:p>
    <w:p w:rsidR="00F26504" w:rsidP="00F26504" w14:paraId="1ADA2BDA" w14:textId="77777777">
      <w:pPr>
        <w:pStyle w:val="BodyText"/>
      </w:pPr>
    </w:p>
    <w:p w:rsidR="00B95333" w:rsidRPr="00DB7701" w:rsidP="00B95333" w14:paraId="42E92444" w14:textId="77777777">
      <w:pPr>
        <w:widowControl w:val="0"/>
        <w:contextualSpacing/>
        <w:outlineLvl w:val="2"/>
        <w:rPr>
          <w:rFonts w:eastAsia="Calibri"/>
          <w:bCs/>
          <w:i/>
          <w:iCs/>
        </w:rPr>
      </w:pPr>
      <w:r w:rsidRPr="00DB7701">
        <w:rPr>
          <w:rFonts w:eastAsia="Calibri"/>
          <w:bCs/>
          <w:i/>
          <w:iCs/>
        </w:rPr>
        <w:t>QPAM-Sponsored Plans – Independent Audit – Section V(c)</w:t>
      </w:r>
    </w:p>
    <w:p w:rsidR="00B95333" w:rsidP="00B95333" w14:paraId="052115DB" w14:textId="77777777">
      <w:pPr>
        <w:contextualSpacing/>
      </w:pPr>
    </w:p>
    <w:p w:rsidR="00B95333" w:rsidP="00B95333" w14:paraId="61501B2B" w14:textId="77777777">
      <w:pPr>
        <w:contextualSpacing/>
      </w:pPr>
      <w:r w:rsidRPr="712F0D35">
        <w:t>Additionally, the exemption requires in-house QPAMs to engage an independent auditor to conduct an annual exemption audit and issue an audit report to the Plan. The Department estimates that each of the 50</w:t>
      </w:r>
      <w:r w:rsidRPr="00DB7701">
        <w:t xml:space="preserve"> </w:t>
      </w:r>
      <w:r w:rsidRPr="712F0D35">
        <w:t>in-house QPAMs will use in-house legal professionals, financial managers, and clerical time to provide documents and respond to questions from the auditor.</w:t>
      </w:r>
      <w:r w:rsidRPr="00DB7701">
        <w:t xml:space="preserve"> </w:t>
      </w:r>
      <w:r w:rsidRPr="712F0D35">
        <w:t>The Department assumes QPAMs use either a law firm or a consulting firm to conduct the exemption audits, and the Department assumes that the average cost of an exemption audit is $25,000</w:t>
      </w:r>
      <w:r w:rsidRPr="00DB7701">
        <w:t>.</w:t>
      </w:r>
      <w:r>
        <w:rPr>
          <w:rFonts w:eastAsia="Calibri"/>
          <w:vertAlign w:val="superscript"/>
        </w:rPr>
        <w:footnoteReference w:id="43"/>
      </w:r>
      <w:r w:rsidRPr="00DB7701">
        <w:t xml:space="preserve"> </w:t>
      </w:r>
      <w:r w:rsidRPr="712F0D35">
        <w:t>This results in a total estimated cost of $1,250,000.</w:t>
      </w:r>
      <w:r>
        <w:rPr>
          <w:vertAlign w:val="superscript"/>
        </w:rPr>
        <w:footnoteReference w:id="44"/>
      </w:r>
      <w:r w:rsidRPr="712F0D35">
        <w:t xml:space="preserve"> </w:t>
      </w:r>
    </w:p>
    <w:p w:rsidR="00B95333" w:rsidP="00F26504" w14:paraId="007A3784" w14:textId="77777777">
      <w:pPr>
        <w:pStyle w:val="BodyText"/>
      </w:pPr>
    </w:p>
    <w:p w:rsidR="00350CF1" w:rsidRPr="00DB7701" w:rsidP="00350CF1" w14:paraId="551D791C" w14:textId="67DF6D1D">
      <w:pPr>
        <w:widowControl w:val="0"/>
        <w:contextualSpacing/>
        <w:outlineLvl w:val="2"/>
        <w:rPr>
          <w:rFonts w:eastAsia="Calibri"/>
          <w:bCs/>
          <w:i/>
          <w:iCs/>
        </w:rPr>
      </w:pPr>
      <w:r>
        <w:rPr>
          <w:rFonts w:eastAsia="Calibri"/>
          <w:bCs/>
          <w:i/>
          <w:iCs/>
        </w:rPr>
        <w:t>Summary</w:t>
      </w:r>
    </w:p>
    <w:p w:rsidR="00350CF1" w:rsidRPr="00724460" w:rsidP="00F26504" w14:paraId="0BD2259A" w14:textId="77777777">
      <w:pPr>
        <w:pStyle w:val="BodyText"/>
      </w:pPr>
    </w:p>
    <w:p w:rsidR="002926B0" w:rsidRPr="002926B0" w:rsidP="000401EC" w14:paraId="078E8F29" w14:textId="237EC070">
      <w:pPr>
        <w:pStyle w:val="BodyText"/>
      </w:pPr>
      <w:r w:rsidRPr="007B0E43">
        <w:t xml:space="preserve">In summary, the annual total cost burden imposed by the existing exemption and </w:t>
      </w:r>
      <w:r w:rsidR="004700A1">
        <w:t>P</w:t>
      </w:r>
      <w:r w:rsidRPr="007B0E43">
        <w:t xml:space="preserve">roposed </w:t>
      </w:r>
      <w:r w:rsidR="004700A1">
        <w:t>A</w:t>
      </w:r>
      <w:r w:rsidRPr="007B0E43">
        <w:t xml:space="preserve">mendment is estimated to be approximately </w:t>
      </w:r>
      <w:r w:rsidRPr="007B0E43" w:rsidR="00E50B17">
        <w:rPr>
          <w:rFonts w:eastAsia="Calibri"/>
          <w:szCs w:val="24"/>
        </w:rPr>
        <w:t>$</w:t>
      </w:r>
      <w:r w:rsidR="006B0060">
        <w:rPr>
          <w:rFonts w:eastAsia="Calibri"/>
          <w:szCs w:val="24"/>
        </w:rPr>
        <w:t>1,250,75</w:t>
      </w:r>
      <w:r w:rsidR="00426AD2">
        <w:rPr>
          <w:rFonts w:eastAsia="Calibri"/>
          <w:szCs w:val="24"/>
        </w:rPr>
        <w:t>3</w:t>
      </w:r>
      <w:r w:rsidRPr="007B0E43" w:rsidR="00E50B17">
        <w:rPr>
          <w:rFonts w:eastAsia="Calibri"/>
          <w:szCs w:val="24"/>
        </w:rPr>
        <w:t>.</w:t>
      </w:r>
      <w:r>
        <w:rPr>
          <w:rFonts w:eastAsia="Calibri"/>
          <w:szCs w:val="24"/>
          <w:vertAlign w:val="superscript"/>
        </w:rPr>
        <w:footnoteReference w:id="45"/>
      </w:r>
    </w:p>
    <w:p w:rsidR="00D04440" w:rsidRPr="00F4518C" w:rsidP="000401EC" w14:paraId="48AE6B12" w14:textId="77777777"/>
    <w:p w:rsidR="00690F56" w:rsidRPr="00D53DEB" w:rsidP="000401EC" w14:paraId="697B43F9" w14:textId="25A1D4BE">
      <w:pPr>
        <w:pStyle w:val="Heading2"/>
      </w:pPr>
      <w:r w:rsidRPr="00D53DEB">
        <w:t>Provide estimates of the annualized cost to the Federal Government.</w:t>
      </w:r>
      <w:r w:rsidR="0068062D">
        <w:t xml:space="preserve"> </w:t>
      </w:r>
      <w:r w:rsidRPr="00D53DEB">
        <w:t xml:space="preserve">Also, provide a description of the method used to estimate cost, which should include quantification </w:t>
      </w:r>
      <w:r w:rsidRPr="00D53DEB">
        <w:t>of hours, operational expenses (such as equipment, overhead, printing, and support staff), any other expense that would not have been incurred without this collection of information.</w:t>
      </w:r>
      <w:r w:rsidR="0068062D">
        <w:t xml:space="preserve"> </w:t>
      </w:r>
      <w:r w:rsidRPr="00D53DEB">
        <w:t>Agencies also may aggregate cost estimates from Items 12, 13, and 14 into a single table.</w:t>
      </w:r>
    </w:p>
    <w:p w:rsidR="00690F56" w:rsidRPr="00D53DEB" w:rsidP="000401EC" w14:paraId="38EB8CFC" w14:textId="77777777"/>
    <w:p w:rsidR="002F390A" w:rsidRPr="00290E22" w:rsidP="000401EC" w14:paraId="3AFCB91E" w14:textId="6CBF9128">
      <w:r w:rsidRPr="00290E22">
        <w:t>The ERISA exemption procedure results in certain costs to the government</w:t>
      </w:r>
      <w:bookmarkStart w:id="7" w:name="_Hlk100325491"/>
      <w:r w:rsidRPr="00290E22">
        <w:t>.</w:t>
      </w:r>
      <w:r w:rsidR="0068062D">
        <w:t xml:space="preserve"> </w:t>
      </w:r>
      <w:r w:rsidRPr="00290E22">
        <w:t xml:space="preserve">Section 2570.42 of the procedure requires that before an exemption can be granted the Secretary shall publish a notice of a </w:t>
      </w:r>
      <w:r w:rsidR="00242E23">
        <w:t>Proposed Amendment</w:t>
      </w:r>
      <w:r w:rsidRPr="00290E22">
        <w:t xml:space="preserve"> in the </w:t>
      </w:r>
      <w:r w:rsidRPr="00290E22">
        <w:rPr>
          <w:u w:val="single"/>
        </w:rPr>
        <w:t>Federal Register</w:t>
      </w:r>
      <w:bookmarkEnd w:id="7"/>
      <w:r w:rsidRPr="00290E22">
        <w:t>.</w:t>
      </w:r>
      <w:r w:rsidR="0068062D">
        <w:t xml:space="preserve"> </w:t>
      </w:r>
      <w:r w:rsidRPr="00290E22">
        <w:t xml:space="preserve">The Department estimates that, on average, these notices will cover two pages in the </w:t>
      </w:r>
      <w:r w:rsidRPr="00290E22">
        <w:rPr>
          <w:u w:val="single"/>
        </w:rPr>
        <w:t xml:space="preserve">Federal Register; </w:t>
      </w:r>
      <w:r w:rsidRPr="00290E22">
        <w:t>therefore, the cost to publish the notice at $</w:t>
      </w:r>
      <w:r>
        <w:t>453</w:t>
      </w:r>
      <w:r w:rsidRPr="00290E22">
        <w:t xml:space="preserve"> per page</w:t>
      </w:r>
      <w:r>
        <w:t xml:space="preserve"> (2 pages per application)</w:t>
      </w:r>
      <w:r w:rsidRPr="00290E22">
        <w:t xml:space="preserve"> for </w:t>
      </w:r>
      <w:r>
        <w:t>2</w:t>
      </w:r>
      <w:r w:rsidRPr="00290E22">
        <w:t xml:space="preserve"> applicat</w:t>
      </w:r>
      <w:r>
        <w:t>ion</w:t>
      </w:r>
      <w:r w:rsidRPr="00290E22">
        <w:t xml:space="preserve">s is </w:t>
      </w:r>
      <w:r w:rsidRPr="00B93BCB">
        <w:t>$</w:t>
      </w:r>
      <w:r w:rsidR="003A4AFD">
        <w:t>1,812</w:t>
      </w:r>
      <w:r w:rsidRPr="00290E22">
        <w:t>.</w:t>
      </w:r>
      <w:r w:rsidR="007B3E3C">
        <w:t xml:space="preserve"> </w:t>
      </w:r>
    </w:p>
    <w:p w:rsidR="001745F5" w:rsidP="000401EC" w14:paraId="7345A785" w14:textId="77777777"/>
    <w:p w:rsidR="001745F5" w:rsidRPr="00290E22" w:rsidP="000401EC" w14:paraId="5EF95C7D" w14:textId="583BD217">
      <w:r>
        <w:t>After the not</w:t>
      </w:r>
      <w:r w:rsidR="003F2C08">
        <w:t>ice period ends, the</w:t>
      </w:r>
      <w:r>
        <w:t xml:space="preserve"> Department</w:t>
      </w:r>
      <w:r w:rsidR="003F2C08">
        <w:t xml:space="preserve"> must then also publish a granted exemption </w:t>
      </w:r>
      <w:r w:rsidR="000E06C7">
        <w:t>if it determines it is appropriate to do so after reviewing comments.</w:t>
      </w:r>
      <w:r w:rsidR="0068062D">
        <w:t xml:space="preserve"> </w:t>
      </w:r>
      <w:r w:rsidRPr="00290E22" w:rsidR="00050A84">
        <w:t xml:space="preserve">The Department estimates that, on average, these notices will </w:t>
      </w:r>
      <w:r w:rsidR="003633E8">
        <w:t xml:space="preserve">also </w:t>
      </w:r>
      <w:r w:rsidRPr="00290E22" w:rsidR="00050A84">
        <w:t xml:space="preserve">cover two pages in the </w:t>
      </w:r>
      <w:r w:rsidRPr="00290E22" w:rsidR="00050A84">
        <w:rPr>
          <w:u w:val="single"/>
        </w:rPr>
        <w:t xml:space="preserve">Federal Register; </w:t>
      </w:r>
      <w:r w:rsidRPr="00290E22" w:rsidR="00050A84">
        <w:t>therefore, the cost to publish the notice at $</w:t>
      </w:r>
      <w:r w:rsidR="00050A84">
        <w:t>453</w:t>
      </w:r>
      <w:r w:rsidRPr="00290E22" w:rsidR="00050A84">
        <w:t xml:space="preserve"> per page</w:t>
      </w:r>
      <w:r w:rsidR="00050A84">
        <w:t xml:space="preserve"> (2 pages per application)</w:t>
      </w:r>
      <w:r w:rsidRPr="00290E22" w:rsidR="00050A84">
        <w:t xml:space="preserve"> for </w:t>
      </w:r>
      <w:r w:rsidR="00050A84">
        <w:t>2</w:t>
      </w:r>
      <w:r w:rsidRPr="00290E22" w:rsidR="00050A84">
        <w:t xml:space="preserve"> applicat</w:t>
      </w:r>
      <w:r w:rsidR="00050A84">
        <w:t>ion</w:t>
      </w:r>
      <w:r w:rsidRPr="00290E22" w:rsidR="00050A84">
        <w:t xml:space="preserve">s is </w:t>
      </w:r>
      <w:r w:rsidRPr="00B93BCB" w:rsidR="00050A84">
        <w:t>$</w:t>
      </w:r>
      <w:r w:rsidR="00050A84">
        <w:t>1,812</w:t>
      </w:r>
      <w:r w:rsidRPr="00290E22" w:rsidR="00050A84">
        <w:t>.</w:t>
      </w:r>
    </w:p>
    <w:p w:rsidR="002F390A" w:rsidRPr="00290E22" w:rsidP="000401EC" w14:paraId="0C5678FC" w14:textId="77777777"/>
    <w:p w:rsidR="002F390A" w:rsidRPr="00290E22" w:rsidP="000401EC" w14:paraId="6C6C2127" w14:textId="249C4F49">
      <w:r w:rsidRPr="00290E22">
        <w:t>Additional costs include the filing, handling, and storing of the applications and supporting documentation.</w:t>
      </w:r>
      <w:r w:rsidR="0068062D">
        <w:t xml:space="preserve"> </w:t>
      </w:r>
      <w:r w:rsidRPr="00290E22">
        <w:t xml:space="preserve">EBSA has assigned approximately </w:t>
      </w:r>
      <w:r w:rsidR="00212E0C">
        <w:t>7.6</w:t>
      </w:r>
      <w:r w:rsidRPr="00290E22">
        <w:t xml:space="preserve"> staff hours to this function at a cost of roughly $</w:t>
      </w:r>
      <w:r w:rsidR="00212E0C">
        <w:t>539</w:t>
      </w:r>
      <w:r w:rsidRPr="00290E22">
        <w:t>.</w:t>
      </w:r>
      <w:r>
        <w:rPr>
          <w:rStyle w:val="FootnoteReference"/>
        </w:rPr>
        <w:footnoteReference w:id="46"/>
      </w:r>
      <w:r w:rsidR="0068062D">
        <w:t xml:space="preserve"> </w:t>
      </w:r>
      <w:r w:rsidRPr="00290E22">
        <w:t>(This includes space, supplies, and other overhead costs in addition to salary and fringe benefits.)</w:t>
      </w:r>
    </w:p>
    <w:p w:rsidR="002F390A" w:rsidRPr="00290E22" w:rsidP="000401EC" w14:paraId="0B40CB8F" w14:textId="77777777"/>
    <w:p w:rsidR="002F390A" w:rsidP="000401EC" w14:paraId="4FCDE020" w14:textId="21FCB048">
      <w:r w:rsidRPr="00290E22">
        <w:t>Based on the above, the total annual cost to the Federal government for publishing and processing the paperwork required under the application exemption procedure is estimated at $</w:t>
      </w:r>
      <w:r w:rsidR="007C283D">
        <w:t>4</w:t>
      </w:r>
      <w:r>
        <w:t>,</w:t>
      </w:r>
      <w:r w:rsidR="00212E0C">
        <w:t>163</w:t>
      </w:r>
      <w:r w:rsidRPr="00290E22">
        <w:t>.</w:t>
      </w:r>
    </w:p>
    <w:p w:rsidR="00D04440" w:rsidRPr="00871CA6" w:rsidP="000401EC" w14:paraId="74AA2FE7" w14:textId="77777777"/>
    <w:p w:rsidR="00690F56" w:rsidRPr="00A47DA7" w:rsidP="000401EC" w14:paraId="0BCEB47E" w14:textId="5F56EAA4">
      <w:pPr>
        <w:pStyle w:val="Heading2"/>
      </w:pPr>
      <w:r w:rsidRPr="00D53DEB">
        <w:t>Explain the reasons for any</w:t>
      </w:r>
      <w:r w:rsidRPr="00D53DEB" w:rsidR="00882AB5">
        <w:t xml:space="preserve"> program changes or adjustments</w:t>
      </w:r>
      <w:r w:rsidRPr="00A47DA7" w:rsidR="00882AB5">
        <w:t>.</w:t>
      </w:r>
    </w:p>
    <w:p w:rsidR="00690F56" w:rsidRPr="00F4518C" w:rsidP="000401EC" w14:paraId="13EF01B8" w14:textId="77777777"/>
    <w:p w:rsidR="00BF6DDD" w:rsidP="000401EC" w14:paraId="019C1A70" w14:textId="2C1EEB19">
      <w:r>
        <w:t>T</w:t>
      </w:r>
      <w:r w:rsidRPr="00EE7F17">
        <w:t>he Department</w:t>
      </w:r>
      <w:r w:rsidR="002F390A">
        <w:t xml:space="preserve"> is</w:t>
      </w:r>
      <w:r w:rsidRPr="00EE7F17">
        <w:t xml:space="preserve"> </w:t>
      </w:r>
      <w:r w:rsidR="00FD42FE">
        <w:t xml:space="preserve">updating </w:t>
      </w:r>
      <w:r w:rsidR="002F390A">
        <w:t xml:space="preserve">the estimation methodology to identify a QPAM. </w:t>
      </w:r>
      <w:r w:rsidR="00FD42FE">
        <w:t xml:space="preserve">Because of this new </w:t>
      </w:r>
      <w:r w:rsidRPr="000401EC" w:rsidR="00FD42FE">
        <w:t xml:space="preserve">methodology, the current estimated total number of respondents is considerably </w:t>
      </w:r>
      <w:r w:rsidR="007966BC">
        <w:t>higher</w:t>
      </w:r>
      <w:r w:rsidRPr="000401EC" w:rsidR="007966BC">
        <w:t xml:space="preserve"> </w:t>
      </w:r>
      <w:r w:rsidRPr="000401EC" w:rsidR="00FD42FE">
        <w:t xml:space="preserve">in </w:t>
      </w:r>
      <w:r w:rsidRPr="000401EC" w:rsidR="003E3DEE">
        <w:t>comparison</w:t>
      </w:r>
      <w:r w:rsidRPr="000401EC" w:rsidR="00FD42FE">
        <w:t xml:space="preserve"> to </w:t>
      </w:r>
      <w:r w:rsidR="00233EB3">
        <w:t>the</w:t>
      </w:r>
      <w:r w:rsidRPr="000401EC" w:rsidR="00233EB3">
        <w:t xml:space="preserve"> </w:t>
      </w:r>
      <w:r w:rsidRPr="000401EC" w:rsidR="00FD42FE">
        <w:t>estimations</w:t>
      </w:r>
      <w:r w:rsidR="00233EB3">
        <w:t xml:space="preserve"> presented in the proposal</w:t>
      </w:r>
      <w:r w:rsidRPr="000401EC" w:rsidR="00FD42FE">
        <w:t>. The Department is also using more recent Form 5500 data (</w:t>
      </w:r>
      <w:r w:rsidR="004D07BD">
        <w:t>2020</w:t>
      </w:r>
      <w:r w:rsidRPr="000401EC" w:rsidR="00FD42FE">
        <w:t>).</w:t>
      </w:r>
      <w:r w:rsidR="0068062D">
        <w:t xml:space="preserve"> </w:t>
      </w:r>
    </w:p>
    <w:p w:rsidR="00BF6DDD" w:rsidP="000401EC" w14:paraId="5E30F4FF" w14:textId="77777777"/>
    <w:p w:rsidR="00D04440" w:rsidRPr="00EE7F17" w:rsidP="000401EC" w14:paraId="09CC1200" w14:textId="7E7D47B1">
      <w:r w:rsidRPr="000401EC">
        <w:t xml:space="preserve">Additionally, </w:t>
      </w:r>
      <w:r w:rsidRPr="000401EC" w:rsidR="00FD42FE">
        <w:t xml:space="preserve">other things being equal, </w:t>
      </w:r>
      <w:r w:rsidRPr="000401EC">
        <w:t>t</w:t>
      </w:r>
      <w:r w:rsidRPr="000401EC" w:rsidR="00626ED8">
        <w:t xml:space="preserve">he </w:t>
      </w:r>
      <w:r w:rsidR="00BF6DDD">
        <w:t>Final Amendment</w:t>
      </w:r>
      <w:r w:rsidRPr="000401EC" w:rsidR="00626ED8">
        <w:t xml:space="preserve"> </w:t>
      </w:r>
      <w:r w:rsidR="00032579">
        <w:t xml:space="preserve">removes some of the </w:t>
      </w:r>
      <w:r w:rsidRPr="000401EC" w:rsidR="00626ED8">
        <w:t>adds requirements</w:t>
      </w:r>
      <w:r w:rsidR="0070795A">
        <w:t xml:space="preserve"> </w:t>
      </w:r>
      <w:r w:rsidR="00791BB5">
        <w:t>proposed in the Proposed Amendment</w:t>
      </w:r>
      <w:r w:rsidR="00626ED8">
        <w:t>.</w:t>
      </w:r>
      <w:r w:rsidR="0068062D">
        <w:t xml:space="preserve"> </w:t>
      </w:r>
      <w:r w:rsidR="00626ED8">
        <w:t>T</w:t>
      </w:r>
      <w:r w:rsidRPr="00EE7F17">
        <w:t>he Department is</w:t>
      </w:r>
      <w:r>
        <w:t xml:space="preserve"> also</w:t>
      </w:r>
      <w:r w:rsidRPr="00EE7F17">
        <w:t xml:space="preserve"> revising its estimate of the wage costs due to increased labor costs and inflation.</w:t>
      </w:r>
      <w:r>
        <w:t xml:space="preserve"> The overall effect is a decrease in the </w:t>
      </w:r>
      <w:r w:rsidR="00FA04E6">
        <w:t>total</w:t>
      </w:r>
      <w:r>
        <w:t xml:space="preserve"> burden. </w:t>
      </w:r>
      <w:r w:rsidR="0069516A">
        <w:t xml:space="preserve">As a result, the total number of responses has </w:t>
      </w:r>
      <w:r w:rsidR="00E71335">
        <w:t>in</w:t>
      </w:r>
      <w:r w:rsidR="0069516A">
        <w:t xml:space="preserve">creased by </w:t>
      </w:r>
      <w:r w:rsidR="00A972E2">
        <w:t>4,676</w:t>
      </w:r>
      <w:r w:rsidR="00021284">
        <w:t xml:space="preserve"> </w:t>
      </w:r>
      <w:r w:rsidR="0069516A">
        <w:t xml:space="preserve">responses, the hour burden has decreased by </w:t>
      </w:r>
      <w:r w:rsidR="00A972E2">
        <w:t>250,620</w:t>
      </w:r>
      <w:r w:rsidR="00F83C05">
        <w:t xml:space="preserve"> </w:t>
      </w:r>
      <w:r w:rsidR="0069516A">
        <w:t xml:space="preserve">hours, and </w:t>
      </w:r>
      <w:r w:rsidR="00A67647">
        <w:t>the cost burden has decreased by $</w:t>
      </w:r>
      <w:r w:rsidR="00157617">
        <w:t>108,</w:t>
      </w:r>
      <w:r w:rsidR="005F7C7A">
        <w:t>749,247</w:t>
      </w:r>
      <w:r w:rsidR="00A67647">
        <w:t>.</w:t>
      </w:r>
    </w:p>
    <w:p w:rsidR="00D04440" w:rsidRPr="00F4518C" w:rsidP="000401EC" w14:paraId="6E88DDA6" w14:textId="77777777"/>
    <w:p w:rsidR="00690F56" w:rsidRPr="00D53DEB" w:rsidP="000401EC" w14:paraId="4E4F3DC5" w14:textId="27525C62">
      <w:pPr>
        <w:pStyle w:val="Heading2"/>
      </w:pPr>
      <w:r w:rsidRPr="00D53DEB">
        <w:t>For collections of information whose results will be published, outline plans for tabulations, and publication.</w:t>
      </w:r>
      <w:r w:rsidR="0068062D">
        <w:t xml:space="preserve"> </w:t>
      </w:r>
      <w:r w:rsidRPr="00D53DEB">
        <w:t>Address any complex analytical techniques that will be used.</w:t>
      </w:r>
      <w:r w:rsidR="0068062D">
        <w:t xml:space="preserve"> </w:t>
      </w:r>
      <w:r w:rsidRPr="00D53DEB">
        <w:t>Provide the time schedule for the entire project, including beginning and ending dates of the collection of information, completion of report, publication dates, and other actions.</w:t>
      </w:r>
    </w:p>
    <w:p w:rsidR="00690F56" w:rsidRPr="00D04440" w:rsidP="000401EC" w14:paraId="510180C3" w14:textId="77777777"/>
    <w:p w:rsidR="00690F56" w:rsidRPr="00D04440" w:rsidP="000401EC" w14:paraId="41B59CA5" w14:textId="3CD5D267">
      <w:r w:rsidRPr="00A57B59">
        <w:t>There are no plans to publish the results of this collection of information.</w:t>
      </w:r>
    </w:p>
    <w:p w:rsidR="00D04440" w:rsidRPr="00D04440" w:rsidP="000401EC" w14:paraId="07D6497A" w14:textId="77777777"/>
    <w:p w:rsidR="00690F56" w:rsidRPr="00D53DEB" w:rsidP="000401EC" w14:paraId="6F473DAE" w14:textId="4CAF5500">
      <w:pPr>
        <w:pStyle w:val="Heading2"/>
      </w:pPr>
      <w:r w:rsidRPr="00D53DEB">
        <w:t>If seeking approval to not display the expiration date for OMB approval of the information collection, explain the reasons that display would be inappropriate.</w:t>
      </w:r>
    </w:p>
    <w:p w:rsidR="00690F56" w:rsidRPr="00A47DA7" w:rsidP="000401EC" w14:paraId="1B1630F4" w14:textId="77777777"/>
    <w:p w:rsidR="00D04440" w:rsidRPr="00EE7F17" w:rsidP="000401EC" w14:paraId="53ED437B" w14:textId="77777777">
      <w:pPr>
        <w:pStyle w:val="BodyText"/>
      </w:pPr>
      <w:r w:rsidRPr="00EE7F17">
        <w:t>The OMB expiration date will be published in the Federal Register following OMB approval.</w:t>
      </w:r>
    </w:p>
    <w:p w:rsidR="00D04440" w:rsidRPr="00A973AA" w:rsidP="000401EC" w14:paraId="1D77844D" w14:textId="77777777"/>
    <w:p w:rsidR="000C3A92" w:rsidRPr="000401EC" w:rsidP="000401EC" w14:paraId="41EAB492" w14:textId="25D72E6F">
      <w:pPr>
        <w:pStyle w:val="Heading2"/>
      </w:pPr>
      <w:r w:rsidRPr="000401EC">
        <w:t>Explain each exception to the certification statement.</w:t>
      </w:r>
    </w:p>
    <w:p w:rsidR="000C3A92" w:rsidRPr="00A47DA7" w:rsidP="000401EC" w14:paraId="641E1E6D" w14:textId="77777777"/>
    <w:p w:rsidR="00D04440" w:rsidRPr="00EE7F17" w:rsidP="000401EC" w14:paraId="27575FF4" w14:textId="77777777">
      <w:pPr>
        <w:pStyle w:val="BodyText"/>
      </w:pPr>
      <w:r w:rsidRPr="00EE7F17">
        <w:t>There are no exceptions to the certification statement.</w:t>
      </w:r>
    </w:p>
    <w:p w:rsidR="00690F56" w:rsidP="000401EC" w14:paraId="7282302F" w14:textId="0668E87C"/>
    <w:p w:rsidR="007A7F79" w:rsidRPr="00A973AA" w:rsidP="000401EC" w14:paraId="077F6D32" w14:textId="6E76354C">
      <w:pPr>
        <w:pStyle w:val="Heading1"/>
      </w:pPr>
      <w:r w:rsidRPr="00A973AA">
        <w:t>COLLECTIONS OF INFORMATON EMPLOYING STATISTICAL METHODS.</w:t>
      </w:r>
    </w:p>
    <w:p w:rsidR="000401EC" w:rsidP="000401EC" w14:paraId="1B4EC109" w14:textId="77777777">
      <w:pPr>
        <w:pStyle w:val="BodyText"/>
      </w:pPr>
    </w:p>
    <w:p w:rsidR="00D04440" w:rsidRPr="00EE7F17" w:rsidP="000401EC" w14:paraId="57CA4E64" w14:textId="47E79BBF">
      <w:pPr>
        <w:pStyle w:val="BodyText"/>
      </w:pPr>
      <w:r w:rsidRPr="00EE7F17">
        <w:t>The use of statistical methods is not relevant to this collection of information.</w:t>
      </w:r>
    </w:p>
    <w:p w:rsidR="00332F98" w:rsidRPr="00D53DEB" w:rsidP="000401EC" w14:paraId="3E8CBCDA" w14:textId="77777777"/>
    <w:sectPr w:rsidSect="000E0448">
      <w:headerReference w:type="default" r:id="rId10"/>
      <w:footerReference w:type="even" r:id="rId11"/>
      <w:footerReference w:type="default" r:id="rId12"/>
      <w:headerReference w:type="first" r:id="rId13"/>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3371" w:rsidP="000401EC" w14:paraId="1CA46638"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F3371" w:rsidP="000401EC" w14:paraId="69F235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3371" w:rsidRPr="00B26E3E" w:rsidP="007B5207" w14:paraId="5D246377" w14:textId="7B510B2D">
    <w:pPr>
      <w:pStyle w:val="Footer"/>
      <w:jc w:val="center"/>
      <w:rPr>
        <w:rStyle w:val="PageNumber"/>
      </w:rPr>
    </w:pPr>
    <w:r w:rsidRPr="00B26E3E">
      <w:rPr>
        <w:rStyle w:val="PageNumber"/>
      </w:rPr>
      <w:fldChar w:fldCharType="begin"/>
    </w:r>
    <w:r w:rsidRPr="00B26E3E">
      <w:rPr>
        <w:rStyle w:val="PageNumber"/>
      </w:rPr>
      <w:instrText xml:space="preserve">PAGE  </w:instrText>
    </w:r>
    <w:r w:rsidRPr="00B26E3E">
      <w:rPr>
        <w:rStyle w:val="PageNumber"/>
      </w:rPr>
      <w:fldChar w:fldCharType="separate"/>
    </w:r>
    <w:r w:rsidR="00727B88">
      <w:rPr>
        <w:rStyle w:val="PageNumber"/>
        <w:noProof/>
      </w:rPr>
      <w:t>8</w:t>
    </w:r>
    <w:r w:rsidRPr="00B26E3E">
      <w:rPr>
        <w:rStyle w:val="PageNumber"/>
      </w:rPr>
      <w:fldChar w:fldCharType="end"/>
    </w:r>
  </w:p>
  <w:p w:rsidR="00EF3371" w:rsidP="000401EC" w14:paraId="5808C3E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E0448" w:rsidP="000401EC" w14:paraId="772F7FDF" w14:textId="77777777">
      <w:r>
        <w:separator/>
      </w:r>
    </w:p>
  </w:footnote>
  <w:footnote w:type="continuationSeparator" w:id="1">
    <w:p w:rsidR="000E0448" w:rsidP="000401EC" w14:paraId="461DD780" w14:textId="77777777">
      <w:r>
        <w:continuationSeparator/>
      </w:r>
    </w:p>
  </w:footnote>
  <w:footnote w:type="continuationNotice" w:id="2">
    <w:p w:rsidR="000E0448" w:rsidP="000401EC" w14:paraId="3720BABE" w14:textId="77777777"/>
  </w:footnote>
  <w:footnote w:id="3">
    <w:p w:rsidR="00712396" w:rsidRPr="004024D5" w:rsidP="00AA0EDA" w14:paraId="2DE13531" w14:textId="77777777">
      <w:pPr>
        <w:pStyle w:val="FootnoteText"/>
        <w:ind w:left="0"/>
      </w:pPr>
      <w:r w:rsidRPr="004024D5">
        <w:rPr>
          <w:rStyle w:val="FootnoteReference"/>
        </w:rPr>
        <w:footnoteRef/>
      </w:r>
      <w:r w:rsidRPr="004024D5">
        <w:t xml:space="preserve"> In three years when control number 1210-0060 is extended, the increase in requests for individual exemptions will be captured in the historical data used for the renewal and the burden going forward will be captured there.</w:t>
      </w:r>
    </w:p>
  </w:footnote>
  <w:footnote w:id="4">
    <w:p w:rsidR="001A5474" w:rsidRPr="004024D5" w:rsidP="00AA0EDA" w14:paraId="70176DBC" w14:textId="77777777">
      <w:pPr>
        <w:pStyle w:val="FootnoteText"/>
        <w:ind w:left="0"/>
      </w:pPr>
      <w:r w:rsidRPr="004024D5">
        <w:rPr>
          <w:rStyle w:val="FootnoteReference"/>
        </w:rPr>
        <w:footnoteRef/>
      </w:r>
      <w:r w:rsidRPr="004024D5">
        <w:t xml:space="preserve"> Comment submitted by SIFMA on 11 October 2022. (</w:t>
      </w:r>
      <w:r w:rsidRPr="004024D5">
        <w:rPr>
          <w:i/>
        </w:rPr>
        <w:t>See</w:t>
      </w:r>
      <w:r w:rsidRPr="004024D5">
        <w:t xml:space="preserve"> https://www.dol.gov/sites/dolgov/files/EBSA/laws-and-regulations/rules-and-regulations/public-comments/1210-ZA07/00009.pdf).</w:t>
      </w:r>
    </w:p>
  </w:footnote>
  <w:footnote w:id="5">
    <w:p w:rsidR="001A5474" w:rsidRPr="004024D5" w:rsidP="00AA0EDA" w14:paraId="4DD9BC22" w14:textId="77777777">
      <w:pPr>
        <w:pStyle w:val="FootnoteText"/>
        <w:ind w:left="0"/>
      </w:pPr>
      <w:r w:rsidRPr="004024D5">
        <w:rPr>
          <w:rStyle w:val="FootnoteReference"/>
        </w:rPr>
        <w:footnoteRef/>
      </w:r>
      <w:r w:rsidRPr="004024D5">
        <w:t xml:space="preserve"> Comment submitted by the Seward and Kissel. (</w:t>
      </w:r>
      <w:r w:rsidRPr="004024D5">
        <w:rPr>
          <w:i/>
        </w:rPr>
        <w:t>See</w:t>
      </w:r>
      <w:r w:rsidRPr="004024D5">
        <w:t xml:space="preserve"> https://www.dol.gov/sites/dolgov/files/EBSA/laws-and-regulations/rules-and-regulations/public-comments/1210-ZA07/00025.pdf).</w:t>
      </w:r>
    </w:p>
  </w:footnote>
  <w:footnote w:id="6">
    <w:p w:rsidR="001A5474" w:rsidRPr="004024D5" w:rsidP="00AA0EDA" w14:paraId="3513417D" w14:textId="77777777">
      <w:pPr>
        <w:pStyle w:val="FootnoteText"/>
        <w:ind w:left="0"/>
      </w:pPr>
      <w:r w:rsidRPr="004024D5">
        <w:rPr>
          <w:rStyle w:val="FootnoteReference"/>
        </w:rPr>
        <w:footnoteRef/>
      </w:r>
      <w:r w:rsidRPr="004024D5">
        <w:t xml:space="preserve"> In the 2020 Form 5500, the Department identified 4,307 unique investment managers providing services under service code 28 (investment management) to Plans. This is estimated as: 4,307 x 90% = 3,876. As discussed later in this section, small Plans do not file the Form 5500 Schedule C, so relying solely on the Form 5500 Schedule C will likely underestimate the number of QPAMs.</w:t>
      </w:r>
    </w:p>
  </w:footnote>
  <w:footnote w:id="7">
    <w:p w:rsidR="00CB37FD" w:rsidRPr="004024D5" w:rsidP="00AA0EDA" w14:paraId="0EE17772" w14:textId="77777777">
      <w:pPr>
        <w:pStyle w:val="FootnoteText"/>
        <w:ind w:left="0"/>
      </w:pPr>
      <w:r w:rsidRPr="004024D5">
        <w:rPr>
          <w:rStyle w:val="FootnoteReference"/>
        </w:rPr>
        <w:footnoteRef/>
      </w:r>
      <w:r w:rsidRPr="004024D5">
        <w:t xml:space="preserve"> Comment submitted by SIFMA on 11 October 2022. (</w:t>
      </w:r>
      <w:r w:rsidRPr="004024D5">
        <w:rPr>
          <w:i/>
        </w:rPr>
        <w:t>See</w:t>
      </w:r>
      <w:r w:rsidRPr="004024D5">
        <w:t xml:space="preserve"> https://www.dol.gov/sites/dolgov/files/EBSA/laws-and-regulations/rules-and-regulations/public-comments/1210-ZA07/00009.pdf).</w:t>
      </w:r>
    </w:p>
  </w:footnote>
  <w:footnote w:id="8">
    <w:p w:rsidR="00CB37FD" w:rsidRPr="004024D5" w:rsidP="00AA0EDA" w14:paraId="7AB005C2" w14:textId="77777777">
      <w:pPr>
        <w:pStyle w:val="FootnoteText"/>
        <w:ind w:left="0"/>
      </w:pPr>
      <w:r w:rsidRPr="004024D5">
        <w:rPr>
          <w:rStyle w:val="FootnoteReference"/>
        </w:rPr>
        <w:footnoteRef/>
      </w:r>
      <w:r w:rsidRPr="004024D5">
        <w:t xml:space="preserve"> Comment submitted by the American Bankers Association on 6 January 2023. (</w:t>
      </w:r>
      <w:r w:rsidRPr="004024D5">
        <w:rPr>
          <w:i/>
        </w:rPr>
        <w:t>See</w:t>
      </w:r>
      <w:r w:rsidRPr="004024D5">
        <w:t xml:space="preserve"> https://www.dol.gov/sites/dolgov/files/ebsa/laws-and-regulations/rules-and-regulations/public-comments/1210-ZA07-2/00142.pdf).</w:t>
      </w:r>
    </w:p>
  </w:footnote>
  <w:footnote w:id="9">
    <w:p w:rsidR="00B0532F" w:rsidRPr="004024D5" w:rsidP="000E0628" w14:paraId="473C101C" w14:textId="77777777">
      <w:pPr>
        <w:pStyle w:val="FootnoteText"/>
        <w:ind w:left="0"/>
      </w:pPr>
      <w:r w:rsidRPr="004024D5">
        <w:rPr>
          <w:rStyle w:val="FootnoteReference"/>
        </w:rPr>
        <w:footnoteRef/>
      </w:r>
      <w:r w:rsidRPr="004024D5">
        <w:t xml:space="preserve"> The Department included service providers that were listed under service codes 28 (investment management), 51 (investment management fees paid directly by the plan), or 52 (investment management fees paid indirectly by the plan).</w:t>
      </w:r>
    </w:p>
  </w:footnote>
  <w:footnote w:id="10">
    <w:p w:rsidR="00B0532F" w:rsidRPr="004024D5" w:rsidP="000E0628" w14:paraId="6642D56A" w14:textId="5BADBCBC">
      <w:pPr>
        <w:pStyle w:val="FootnoteText"/>
        <w:ind w:left="0"/>
      </w:pPr>
      <w:r w:rsidRPr="004024D5">
        <w:rPr>
          <w:rStyle w:val="FootnoteReference"/>
        </w:rPr>
        <w:footnoteRef/>
      </w:r>
      <w:r w:rsidRPr="004024D5">
        <w:t xml:space="preserve"> </w:t>
      </w:r>
      <w:r w:rsidRPr="004024D5">
        <w:rPr>
          <w:rFonts w:eastAsia="Calibri"/>
        </w:rPr>
        <w:t>If the ratio of 10 unique providers for 1,267 small Plans is held constant for the whole universe of small plans, then that would indicate a further (10/1,267) x 652,934 = 5,153 additional unique QPAMs used exclusively by small Plans.</w:t>
      </w:r>
    </w:p>
  </w:footnote>
  <w:footnote w:id="11">
    <w:p w:rsidR="00B0532F" w:rsidRPr="004024D5" w:rsidP="000E0628" w14:paraId="2D023C25" w14:textId="77777777">
      <w:pPr>
        <w:pStyle w:val="FootnoteText"/>
        <w:ind w:left="0"/>
      </w:pPr>
      <w:r w:rsidRPr="004024D5">
        <w:rPr>
          <w:rStyle w:val="FootnoteReference"/>
        </w:rPr>
        <w:footnoteRef/>
      </w:r>
      <w:r w:rsidRPr="004024D5">
        <w:t xml:space="preserve"> The number of unique QPAMs is calculated as: 5,702 QPAMs found on the 2020 Form 5500 Schedule C + 5,153 QPAMs estimated as servicing exclusively small Plans = 10,855 QPAMs.</w:t>
      </w:r>
    </w:p>
  </w:footnote>
  <w:footnote w:id="12">
    <w:p w:rsidR="006171E6" w:rsidRPr="004024D5" w:rsidP="000E0628" w14:paraId="35830510" w14:textId="77777777">
      <w:pPr>
        <w:pStyle w:val="FootnoteText"/>
        <w:ind w:left="0"/>
        <w:rPr>
          <w:color w:val="000000" w:themeColor="text1"/>
        </w:rPr>
      </w:pPr>
      <w:r w:rsidRPr="004024D5">
        <w:rPr>
          <w:rStyle w:val="FootnoteReference"/>
          <w:color w:val="000000" w:themeColor="text1"/>
        </w:rPr>
        <w:footnoteRef/>
      </w:r>
      <w:r w:rsidRPr="004024D5">
        <w:rPr>
          <w:color w:val="000000" w:themeColor="text1"/>
        </w:rPr>
        <w:t xml:space="preserve"> Labor costs for clerical personnel, accountants or auditors, internal legal professionals, and financial managers are based off internal Department of Labor calculations based on 2023 labor cost data. For a description of the Department’s methodology for calculating wage rates, see https://www.dol.gov/sites/dolgov/files/EBSA/laws-and-regulations/rules-and-regulations/technical-appendices/labor-cost-inputs-used-in-ebsa-opr-ria-and-pra-burden-calculations-june-2019.pdf. </w:t>
      </w:r>
    </w:p>
    <w:p w:rsidR="006171E6" w:rsidRPr="004024D5" w:rsidP="000E0628" w14:paraId="7E660974" w14:textId="77777777">
      <w:pPr>
        <w:pStyle w:val="FootnoteText"/>
        <w:ind w:left="0"/>
        <w:rPr>
          <w:color w:val="000000" w:themeColor="text1"/>
        </w:rPr>
      </w:pPr>
      <w:r w:rsidRPr="004024D5">
        <w:rPr>
          <w:color w:val="000000" w:themeColor="text1"/>
        </w:rPr>
        <w:t xml:space="preserve">Labor costs for outside legal professionals is calculated as a composite weighted average based on the Laffey Matrix for Wage Rates for the time period 6/01/2022-5/31/2023, </w:t>
      </w:r>
      <w:r w:rsidRPr="005036C6">
        <w:rPr>
          <w:i/>
          <w:color w:val="000000" w:themeColor="text1"/>
        </w:rPr>
        <w:t>see</w:t>
      </w:r>
      <w:r w:rsidRPr="004024D5">
        <w:rPr>
          <w:color w:val="000000" w:themeColor="text1"/>
        </w:rPr>
        <w:t xml:space="preserve"> http://www.laffeymatrix.com/see.html. The labor cost is estimated as: (40% x $413) + (35% x $508) + (15% x $733) + (10% x $829) = $535.85.</w:t>
      </w:r>
    </w:p>
  </w:footnote>
  <w:footnote w:id="13">
    <w:p w:rsidR="00F82225" w:rsidRPr="004024D5" w:rsidP="000E0628" w14:paraId="1AB8CFB3" w14:textId="77777777">
      <w:pPr>
        <w:pStyle w:val="FootnoteText"/>
        <w:ind w:left="0"/>
      </w:pPr>
      <w:r w:rsidRPr="004024D5">
        <w:rPr>
          <w:rStyle w:val="FootnoteReference"/>
        </w:rPr>
        <w:footnoteRef/>
      </w:r>
      <w:r w:rsidRPr="004024D5">
        <w:t xml:space="preserve"> </w:t>
      </w:r>
      <w:r w:rsidRPr="004024D5">
        <w:rPr>
          <w:rStyle w:val="ui-provider"/>
        </w:rPr>
        <w:t>The Department estimated the number of in-house QPAMs by examining Schedule C of the 2020 Form 5500. Small Plans are not required to file the Schedule C. This estimate could underestimate the number of in-house QPAMs with small Plans, but the Department believes that in-house QPAMs with small Plans would be rare. In order for this to occur, an investment manager would have to simultaneously be large enough to qualify as a QPAM and small enough to qualify as a small plan for the Form 5500-SF.</w:t>
      </w:r>
    </w:p>
  </w:footnote>
  <w:footnote w:id="14">
    <w:p w:rsidR="00F82225" w:rsidRPr="004024D5" w:rsidP="000E0628" w14:paraId="3F04B575" w14:textId="77777777">
      <w:pPr>
        <w:pStyle w:val="FootnoteText"/>
        <w:ind w:left="0"/>
      </w:pPr>
      <w:r w:rsidRPr="004024D5">
        <w:rPr>
          <w:rStyle w:val="FootnoteReference"/>
        </w:rPr>
        <w:footnoteRef/>
      </w:r>
      <w:r w:rsidRPr="004024D5">
        <w:t xml:space="preserve"> This is estimated as: 50 in-house QPAMs x 10% = 5. </w:t>
      </w:r>
    </w:p>
  </w:footnote>
  <w:footnote w:id="15">
    <w:p w:rsidR="00F82225" w:rsidRPr="004024D5" w:rsidP="000E0628" w14:paraId="32B22285" w14:textId="77777777">
      <w:pPr>
        <w:pStyle w:val="FootnoteText"/>
        <w:ind w:left="0"/>
      </w:pPr>
      <w:r w:rsidRPr="004024D5">
        <w:rPr>
          <w:rStyle w:val="FootnoteReference"/>
        </w:rPr>
        <w:footnoteRef/>
      </w:r>
      <w:r w:rsidRPr="004024D5">
        <w:t xml:space="preserve"> The burden is estimated as follows: (5 QPAMs x 1 hour) = 5 hours. A labor rate of $159.34 is used for legal counsel and applied in the following calculation: (5 QPAMs x 1 hour x $159.34) = $797. </w:t>
      </w:r>
    </w:p>
  </w:footnote>
  <w:footnote w:id="16">
    <w:p w:rsidR="00C522F6" w:rsidRPr="004024D5" w:rsidP="000E0628" w14:paraId="09AD3890" w14:textId="77777777">
      <w:pPr>
        <w:pStyle w:val="FootnoteText"/>
        <w:ind w:left="0"/>
      </w:pPr>
      <w:r w:rsidRPr="004024D5">
        <w:rPr>
          <w:rStyle w:val="FootnoteReference"/>
        </w:rPr>
        <w:footnoteRef/>
      </w:r>
      <w:r w:rsidRPr="004024D5">
        <w:t xml:space="preserve"> The burden is estimated as follows: </w:t>
      </w:r>
      <w:bookmarkStart w:id="1" w:name="OLE_LINK4"/>
      <w:bookmarkStart w:id="2" w:name="OLE_LINK5"/>
      <w:r w:rsidRPr="004024D5">
        <w:t>(50 x 5 hours) + (50 x 13 hours) + (50 x 6 hours) = 1,200 hours</w:t>
      </w:r>
      <w:bookmarkEnd w:id="1"/>
      <w:bookmarkEnd w:id="2"/>
      <w:r w:rsidRPr="004024D5">
        <w:t>. A labor rate of $159.34 is used for legal counsel, a labor rate of $190.63 is used for a financial professional, and a labor rate of $63.45 is used for a clerical worker. These labor rates are applied in the following calculation: : (50 x 5 hours x $159.34) + (50 x 13 hours x $190.63) + (50 x 6 hours x $63.45) = $182,780.</w:t>
      </w:r>
    </w:p>
  </w:footnote>
  <w:footnote w:id="17">
    <w:p w:rsidR="00FB3E2B" w:rsidRPr="004024D5" w:rsidP="000E0628" w14:paraId="088D466E" w14:textId="765CF6A2">
      <w:pPr>
        <w:pStyle w:val="FootnoteText"/>
        <w:ind w:left="0"/>
      </w:pPr>
      <w:r w:rsidRPr="004024D5">
        <w:rPr>
          <w:rStyle w:val="FootnoteReference"/>
        </w:rPr>
        <w:footnoteRef/>
      </w:r>
      <w:r w:rsidRPr="004024D5">
        <w:t xml:space="preserve"> The hour burden is estimated as: 10,855 QPAMs x 15 minutes</w:t>
      </w:r>
      <w:r w:rsidR="0068062D">
        <w:t xml:space="preserve"> </w:t>
      </w:r>
      <w:r w:rsidRPr="004024D5">
        <w:t>= 2,713.8 hours. The labor cost of $63.45 is applied for a clerical worker. The equivalent cost is estimated as: 10,855 QPAMs x 15 minutes x $63.45 = $172,187.</w:t>
      </w:r>
    </w:p>
  </w:footnote>
  <w:footnote w:id="18">
    <w:p w:rsidR="00FB3E2B" w:rsidRPr="004024D5" w:rsidP="000E0628" w14:paraId="2ED3A8E7" w14:textId="77777777">
      <w:pPr>
        <w:pStyle w:val="FootnoteText"/>
        <w:ind w:left="0"/>
      </w:pPr>
      <w:r w:rsidRPr="004024D5">
        <w:rPr>
          <w:rStyle w:val="FootnoteReference"/>
        </w:rPr>
        <w:footnoteRef/>
      </w:r>
      <w:r w:rsidRPr="004024D5">
        <w:t xml:space="preserve"> The number of QPAMs is estimated as: 10,855 QPAMs x 1% = 108.6, rounded to 109.</w:t>
      </w:r>
    </w:p>
  </w:footnote>
  <w:footnote w:id="19">
    <w:p w:rsidR="00FB3E2B" w:rsidRPr="004024D5" w:rsidP="000E0628" w14:paraId="09036F93" w14:textId="7DF4A738">
      <w:pPr>
        <w:pStyle w:val="FootnoteText"/>
        <w:ind w:left="0"/>
      </w:pPr>
      <w:r w:rsidRPr="004024D5">
        <w:rPr>
          <w:rStyle w:val="FootnoteReference"/>
        </w:rPr>
        <w:footnoteRef/>
      </w:r>
      <w:r w:rsidRPr="004024D5">
        <w:t xml:space="preserve"> The hour burden is estimated as: 109 QPAMs x 15 minutes</w:t>
      </w:r>
      <w:r w:rsidR="0068062D">
        <w:t xml:space="preserve"> </w:t>
      </w:r>
      <w:r w:rsidRPr="004024D5">
        <w:t>= 27.3 hours. The labor cost of $63.45 is applied for a clerical worker. The equivalent cost is estimated as: 109 QPAMs x 15 minutes x $63.45 = $1,729.</w:t>
      </w:r>
    </w:p>
  </w:footnote>
  <w:footnote w:id="20">
    <w:p w:rsidR="00FB3E2B" w:rsidRPr="004024D5" w:rsidP="000E0628" w14:paraId="63DC2315" w14:textId="77777777">
      <w:pPr>
        <w:pStyle w:val="FootnoteText"/>
        <w:ind w:left="0"/>
      </w:pPr>
      <w:r w:rsidRPr="004024D5">
        <w:rPr>
          <w:rStyle w:val="FootnoteReference"/>
        </w:rPr>
        <w:footnoteRef/>
      </w:r>
      <w:r w:rsidRPr="004024D5">
        <w:t xml:space="preserve"> The number of QPAMs in the first year is estimated as: 10,855 x 2% = 217.1, rounded to 217. The number of QPAMs in subsequent years is estimated as: 109 QPAMs x 2% = 2.2, rounded to 2.</w:t>
      </w:r>
    </w:p>
  </w:footnote>
  <w:footnote w:id="21">
    <w:p w:rsidR="00FB3E2B" w:rsidRPr="004024D5" w:rsidP="000E0628" w14:paraId="0F3ABDD0" w14:textId="0EB77CF6">
      <w:pPr>
        <w:pStyle w:val="FootnoteText"/>
        <w:ind w:left="0"/>
      </w:pPr>
      <w:r w:rsidRPr="004024D5">
        <w:rPr>
          <w:rStyle w:val="FootnoteReference"/>
        </w:rPr>
        <w:footnoteRef/>
      </w:r>
      <w:r w:rsidRPr="004024D5">
        <w:t>The hour burden is estimated as: 217 QPAMs x 0.5 hour</w:t>
      </w:r>
      <w:r w:rsidR="0068062D">
        <w:t xml:space="preserve"> </w:t>
      </w:r>
      <w:r w:rsidRPr="004024D5">
        <w:t>= 108.5 hours. The labor cost of $159.34 is applied for an internal legal professional. The equivalent cost is estimated as: 108.5 hours x $159.34 = $17,288, rounded to $17,000.</w:t>
      </w:r>
    </w:p>
  </w:footnote>
  <w:footnote w:id="22">
    <w:p w:rsidR="00FB3E2B" w:rsidRPr="004024D5" w:rsidP="000E0628" w14:paraId="5B909E97" w14:textId="03DFA960">
      <w:pPr>
        <w:pStyle w:val="FootnoteText"/>
        <w:ind w:left="0"/>
      </w:pPr>
      <w:r w:rsidRPr="004024D5">
        <w:rPr>
          <w:rStyle w:val="FootnoteReference"/>
        </w:rPr>
        <w:footnoteRef/>
      </w:r>
      <w:r w:rsidRPr="004024D5">
        <w:t xml:space="preserve"> The hour burden is estimated as: 2 QPAMs x 0.5 hour</w:t>
      </w:r>
      <w:r w:rsidR="0068062D">
        <w:t xml:space="preserve"> </w:t>
      </w:r>
      <w:r w:rsidRPr="004024D5">
        <w:t>= 1 hour. The labor cost of $159.34 is applied for an internal legal professional. The equivalent cost is estimated as: 1 hour x $159.34 = $159.34, rounded to $159.</w:t>
      </w:r>
    </w:p>
  </w:footnote>
  <w:footnote w:id="23">
    <w:p w:rsidR="008E123A" w:rsidRPr="004024D5" w:rsidP="000E0628" w14:paraId="2131AF45" w14:textId="6B7F2509">
      <w:pPr>
        <w:pStyle w:val="FootnoteText"/>
        <w:ind w:left="0"/>
      </w:pPr>
      <w:r w:rsidRPr="004024D5">
        <w:rPr>
          <w:rStyle w:val="FootnoteReference"/>
        </w:rPr>
        <w:footnoteRef/>
      </w:r>
      <w:r w:rsidRPr="004024D5">
        <w:t xml:space="preserve"> The hour burden is estimated as: 10,855 QPAMs x 1 hour = 10,855 hours. The labor cost of $63.45 is applied for clerical personnel. The equivalent cost is estimated as: 10,855 QPAMs x 1 hour</w:t>
      </w:r>
      <w:r w:rsidR="0068062D">
        <w:t xml:space="preserve"> </w:t>
      </w:r>
      <w:r w:rsidRPr="004024D5">
        <w:t>x $63.45 = $688,750.</w:t>
      </w:r>
    </w:p>
  </w:footnote>
  <w:footnote w:id="24">
    <w:p w:rsidR="008E123A" w:rsidRPr="004024D5" w:rsidP="000E0628" w14:paraId="0A1DA9D6" w14:textId="77777777">
      <w:pPr>
        <w:pStyle w:val="FootnoteText"/>
        <w:ind w:left="0"/>
      </w:pPr>
      <w:r w:rsidRPr="004024D5">
        <w:rPr>
          <w:rStyle w:val="FootnoteReference"/>
        </w:rPr>
        <w:footnoteRef/>
      </w:r>
      <w:r w:rsidRPr="004024D5">
        <w:t xml:space="preserve"> The number of QPAMs is estimated as 10,855 x 2% = 217 QPAMs. The hour burden is estimated as: 217 QPAMs x 1 hour = 217 hours. The labor cost of $159.34 is applied for a legal professional. The equivalent cost is estimated as: 217 QPAMs x 1 hour x $159.34 = $34,577.</w:t>
      </w:r>
    </w:p>
  </w:footnote>
  <w:footnote w:id="25">
    <w:p w:rsidR="00AD7637" w:rsidRPr="004024D5" w:rsidP="000E0628" w14:paraId="7C2A0C53" w14:textId="77777777">
      <w:pPr>
        <w:pStyle w:val="FootnoteText"/>
        <w:ind w:left="0"/>
      </w:pPr>
      <w:r w:rsidRPr="004024D5">
        <w:rPr>
          <w:rStyle w:val="FootnoteReference"/>
        </w:rPr>
        <w:footnoteRef/>
      </w:r>
      <w:r w:rsidRPr="004024D5">
        <w:t xml:space="preserve"> The Department did not include in this estimate any of the possible QPAMs that have remote relationships with a convicted entity</w:t>
      </w:r>
      <w:r>
        <w:t xml:space="preserve"> that are</w:t>
      </w:r>
      <w:r w:rsidRPr="004024D5">
        <w:t xml:space="preserve"> identified in the individual exemptions as “Related QPAMs.” The Department has never received comments, questions, requests for guidance, or separate individual exemption applications from any entities that would fall into that definition, and therefore, assumes such entities are not operating as QPAMs.</w:t>
      </w:r>
    </w:p>
  </w:footnote>
  <w:footnote w:id="26">
    <w:p w:rsidR="00FE1011" w:rsidRPr="004024D5" w:rsidP="000E0628" w14:paraId="00778C61" w14:textId="4DF239B0">
      <w:pPr>
        <w:pStyle w:val="FootnoteText"/>
        <w:ind w:left="0"/>
      </w:pPr>
      <w:r w:rsidRPr="004024D5">
        <w:rPr>
          <w:rStyle w:val="FootnoteReference"/>
        </w:rPr>
        <w:footnoteRef/>
      </w:r>
      <w:r w:rsidRPr="004024D5">
        <w:t xml:space="preserve"> In the 2020 Form 5500, the Department found 64,216 QPAM relationships amongst a total of 87,559 Plans that filed the Form 5500 Schedule C. To estimate the number of total Plans with QPAM relationships, the Department applies this ratio to the entire Plan universe. This assumption implies that small plans have the same number of relationships with QPAMs as the larger plans that file Schedule C. The number of total Plans with QPAM relationships is estimated as: (64,216/87,559) x 746,610 = 547,566 Plan client relationships. This equates to an average of 50 clients per QPAM, calculated as: </w:t>
      </w:r>
      <w:r w:rsidR="002F666B">
        <w:t>(</w:t>
      </w:r>
      <w:r w:rsidRPr="004024D5">
        <w:t>547,566 Plan client relationships</w:t>
      </w:r>
      <w:r w:rsidR="002F666B">
        <w:t xml:space="preserve">) </w:t>
      </w:r>
      <w:r w:rsidRPr="004024D5">
        <w:t>/</w:t>
      </w:r>
      <w:r w:rsidR="002F666B">
        <w:t xml:space="preserve"> (</w:t>
      </w:r>
      <w:r w:rsidRPr="004024D5">
        <w:t>10,855 unique QPAMs</w:t>
      </w:r>
      <w:r w:rsidR="002F666B">
        <w:t>)</w:t>
      </w:r>
      <w:r w:rsidRPr="004024D5">
        <w:t xml:space="preserve"> = 50.44 Plan clients per QPAM, rounded to 50.</w:t>
      </w:r>
    </w:p>
  </w:footnote>
  <w:footnote w:id="27">
    <w:p w:rsidR="003B634D" w:rsidRPr="004024D5" w:rsidP="000E0628" w14:paraId="14838F9B" w14:textId="77777777">
      <w:pPr>
        <w:pStyle w:val="FootnoteText"/>
        <w:ind w:left="0"/>
      </w:pPr>
      <w:r w:rsidRPr="004024D5">
        <w:rPr>
          <w:rStyle w:val="FootnoteReference"/>
        </w:rPr>
        <w:footnoteRef/>
      </w:r>
      <w:r w:rsidRPr="004024D5">
        <w:t xml:space="preserve"> The hour burden is estimated as: (12 QPAMs x 0.5 hours of professional legal time) + (12 QPAMs x 50 Plans x 80% of notices being mailed x 2/60 hours of clerical personnel time) = 22 hours. The labor cost of $159.34 is applied for a legal professional, and the labor cost of $63.45 is applied for clerical personnel. The equivalent cost is estimated as: (12 QPAMs x 0.5 hours of professional legal time x $159.34) + (12 QPAMs x 50 Plans x 80% of notices being mailed x 2/60 hours of clerical personnel time x $63.45) = $1,971.</w:t>
      </w:r>
    </w:p>
  </w:footnote>
  <w:footnote w:id="28">
    <w:p w:rsidR="00820416" w:rsidRPr="004024D5" w:rsidP="000E0628" w14:paraId="6559206B" w14:textId="2B523EDC">
      <w:pPr>
        <w:pStyle w:val="FootnoteText"/>
        <w:ind w:left="0"/>
      </w:pPr>
      <w:r w:rsidRPr="004024D5">
        <w:rPr>
          <w:rStyle w:val="FootnoteReference"/>
        </w:rPr>
        <w:footnoteRef/>
      </w:r>
      <w:r w:rsidRPr="004024D5">
        <w:t xml:space="preserve"> If preparing and sending each notice were to require an in-house legal professional 30 minutes and a clerical staff 5 minutes. The hour burden is estimated as: </w:t>
      </w:r>
      <w:r w:rsidR="002B0904">
        <w:t>4</w:t>
      </w:r>
      <w:r w:rsidRPr="004024D5">
        <w:t xml:space="preserve"> notices x (30 minutes + 5 minutes) = </w:t>
      </w:r>
      <w:r w:rsidR="002B0904">
        <w:t>2</w:t>
      </w:r>
      <w:r w:rsidRPr="004024D5">
        <w:t xml:space="preserve"> hour and </w:t>
      </w:r>
      <w:r w:rsidR="008A1D28">
        <w:t xml:space="preserve">20 </w:t>
      </w:r>
      <w:r w:rsidRPr="004024D5">
        <w:t xml:space="preserve">minutes. The labor cost of $159.34 is applied for an in-house legal professional, and a labor cost of $63.45 is applied for clerical staff. The equivalent cost is estimated as: </w:t>
      </w:r>
      <w:r w:rsidR="008A1D28">
        <w:t xml:space="preserve">4 </w:t>
      </w:r>
      <w:r w:rsidRPr="004024D5">
        <w:t>notices x [(30 minutes x $159.34) + (5 minutes x $63.45)] = $</w:t>
      </w:r>
      <w:r w:rsidR="00112B8B">
        <w:t>340</w:t>
      </w:r>
      <w:r w:rsidRPr="004024D5">
        <w:t>. The Department assumes such notices will be sent electronically and will not create material or postage costs.</w:t>
      </w:r>
    </w:p>
  </w:footnote>
  <w:footnote w:id="29">
    <w:p w:rsidR="00820416" w:rsidRPr="004024D5" w:rsidP="000E0628" w14:paraId="273D8808" w14:textId="77777777">
      <w:pPr>
        <w:pStyle w:val="FootnoteText"/>
        <w:ind w:left="0"/>
      </w:pPr>
      <w:r w:rsidRPr="004024D5">
        <w:rPr>
          <w:rStyle w:val="FootnoteReference"/>
        </w:rPr>
        <w:footnoteRef/>
      </w:r>
      <w:r w:rsidRPr="004024D5">
        <w:t xml:space="preserve"> In three years when control number 1210-0060 is extended, the increase in requests for individual exemptions will be captured in the historical data used for the renewal and the burden going forward will be captured there.</w:t>
      </w:r>
    </w:p>
  </w:footnote>
  <w:footnote w:id="30">
    <w:p w:rsidR="00820416" w:rsidRPr="004024D5" w:rsidP="000E0628" w14:paraId="7E98689A" w14:textId="77777777">
      <w:pPr>
        <w:pStyle w:val="FootnoteText"/>
        <w:ind w:left="0"/>
      </w:pPr>
      <w:r w:rsidRPr="004024D5">
        <w:rPr>
          <w:rStyle w:val="FootnoteReference"/>
        </w:rPr>
        <w:footnoteRef/>
      </w:r>
      <w:r w:rsidRPr="004024D5">
        <w:t xml:space="preserve"> The hour burden is estimated as: [4 QPAMs x (20 hours from an in-house legal professional + 20 hours for clerical personnel)] + (1 application x 15 hours from an external legal professional) = 175 hours. The labor cost of $159.34 is applied for an in-house legal professional, a labor cost of $63.45 is applied for clerical personnel, and a labor cost of $535.85 is applied for an outside legal professional. The equivalent cost is estimated as: (4 QPAMs x 20 hours x $159.34) + (4 QPAMs x 20 hours x $63.45) + (1 application x 15 hours x $535.85) = $25,861.</w:t>
      </w:r>
    </w:p>
  </w:footnote>
  <w:footnote w:id="31">
    <w:p w:rsidR="00820416" w:rsidRPr="004024D5" w:rsidP="000E0628" w14:paraId="37F1EA03" w14:textId="67AFC82F">
      <w:pPr>
        <w:pStyle w:val="FootnoteText"/>
        <w:ind w:left="0"/>
      </w:pPr>
      <w:r w:rsidRPr="004024D5">
        <w:rPr>
          <w:rStyle w:val="FootnoteReference"/>
        </w:rPr>
        <w:footnoteRef/>
      </w:r>
      <w:r w:rsidRPr="004024D5">
        <w:t xml:space="preserve"> The hour burden is estimated as: 4 QPAMs x 50 Plans per QPAM x (10/60) hours = 33 hours. A labor cost of $63.45 is applied for clerical personnel The equivalent cost is estimated as: 4 QPAMs x 50 Plans per QPAM x (10/60) hours x $63.45 = $2,116, rounded to $2,100.</w:t>
      </w:r>
    </w:p>
  </w:footnote>
  <w:footnote w:id="32">
    <w:p w:rsidR="00820416" w:rsidRPr="004024D5" w:rsidP="000E0628" w14:paraId="017EFA7D" w14:textId="77777777">
      <w:pPr>
        <w:pStyle w:val="FootnoteText"/>
        <w:ind w:left="0"/>
      </w:pPr>
      <w:r w:rsidRPr="004024D5">
        <w:rPr>
          <w:rStyle w:val="FootnoteReference"/>
        </w:rPr>
        <w:footnoteRef/>
      </w:r>
      <w:r w:rsidRPr="004024D5">
        <w:t xml:space="preserve"> The hour burden is estimated as: (3 applications x 3 hours) = 9 hours. A labor cost of $535.85 is applied for an outside legal professional. The equivalent cost is estimated as: (3 application x 3 hours x $535.85 outside legal professional labor) = $4,823. </w:t>
      </w:r>
    </w:p>
  </w:footnote>
  <w:footnote w:id="33">
    <w:p w:rsidR="00820416" w:rsidRPr="004024D5" w:rsidP="000E0628" w14:paraId="7F5C2DDA" w14:textId="77777777">
      <w:pPr>
        <w:pStyle w:val="FootnoteText"/>
        <w:ind w:left="0"/>
      </w:pPr>
      <w:r w:rsidRPr="004024D5">
        <w:rPr>
          <w:rStyle w:val="FootnoteReference"/>
        </w:rPr>
        <w:footnoteRef/>
      </w:r>
      <w:r w:rsidRPr="004024D5">
        <w:t xml:space="preserve"> The hour burden is estimated as: 3 applications x 4 hours = 12 hours. At an hourly rate of $190.63 is applied for financial professional. The equivalent cost is estimated as: (3 applications x 4 hours x $190.63 financial professional rate) = $2,288. </w:t>
      </w:r>
    </w:p>
  </w:footnote>
  <w:footnote w:id="34">
    <w:p w:rsidR="00ED7B6D" w:rsidRPr="004024D5" w:rsidP="000E0628" w14:paraId="681C1C05" w14:textId="77777777">
      <w:pPr>
        <w:pStyle w:val="FootnoteText"/>
        <w:ind w:left="0"/>
      </w:pPr>
      <w:r w:rsidRPr="004024D5">
        <w:rPr>
          <w:rStyle w:val="FootnoteReference"/>
        </w:rPr>
        <w:footnoteRef/>
      </w:r>
      <w:r w:rsidRPr="004024D5">
        <w:t xml:space="preserve"> The Department included service providers that were listed under service codes 28 (investment management), 51 (investment management fees paid directly by the plan), or 52 (investment management fees paid indirectly by the plan).</w:t>
      </w:r>
    </w:p>
  </w:footnote>
  <w:footnote w:id="35">
    <w:p w:rsidR="00ED7B6D" w:rsidRPr="004024D5" w:rsidP="000E0628" w14:paraId="196BC9EE" w14:textId="4904C30E">
      <w:pPr>
        <w:pStyle w:val="FootnoteText"/>
        <w:ind w:left="0"/>
      </w:pPr>
      <w:r w:rsidRPr="004024D5">
        <w:rPr>
          <w:rStyle w:val="FootnoteReference"/>
        </w:rPr>
        <w:footnoteRef/>
      </w:r>
      <w:r w:rsidRPr="004024D5">
        <w:t xml:space="preserve"> </w:t>
      </w:r>
      <w:r w:rsidRPr="004024D5">
        <w:rPr>
          <w:rFonts w:eastAsia="Calibri"/>
        </w:rPr>
        <w:t>If the ratio of 10 unique providers for 1,267 small Plans is held constant for the whole universe of small plans, then that would indicate a further (10/1,267) x 652,934 = 5,153 additional unique QPAMs used exclusively by small Plans.</w:t>
      </w:r>
    </w:p>
  </w:footnote>
  <w:footnote w:id="36">
    <w:p w:rsidR="00ED7B6D" w:rsidRPr="004024D5" w:rsidP="000E0628" w14:paraId="572E6855" w14:textId="77777777">
      <w:pPr>
        <w:pStyle w:val="FootnoteText"/>
        <w:ind w:left="0"/>
      </w:pPr>
      <w:r w:rsidRPr="004024D5">
        <w:rPr>
          <w:rStyle w:val="FootnoteReference"/>
        </w:rPr>
        <w:footnoteRef/>
      </w:r>
      <w:r w:rsidRPr="004024D5">
        <w:t xml:space="preserve"> The number of unique QPAMs is calculated as: 5,702 QPAMs found on the 2020 Form 5500 Schedule C + 5,153 QPAMs estimated as servicing exclusively small Plans = 10,855 QPAMs.</w:t>
      </w:r>
    </w:p>
  </w:footnote>
  <w:footnote w:id="37">
    <w:p w:rsidR="007D3D33" w:rsidRPr="004024D5" w:rsidP="000E0628" w14:paraId="408053EE" w14:textId="77777777">
      <w:pPr>
        <w:pStyle w:val="FootnoteText"/>
        <w:ind w:left="0"/>
      </w:pPr>
      <w:r w:rsidRPr="004024D5">
        <w:rPr>
          <w:rStyle w:val="FootnoteReference"/>
        </w:rPr>
        <w:footnoteRef/>
      </w:r>
      <w:r w:rsidRPr="004024D5">
        <w:t xml:space="preserve"> USPS. “Mailing &amp; Shipping Prices.” (2023). https://www.usps.com/business/prices.htm.</w:t>
      </w:r>
    </w:p>
  </w:footnote>
  <w:footnote w:id="38">
    <w:p w:rsidR="009803B8" w:rsidRPr="004024D5" w:rsidP="000E0628" w14:paraId="012469B2" w14:textId="77777777">
      <w:pPr>
        <w:pStyle w:val="FootnoteText"/>
        <w:ind w:left="0"/>
      </w:pPr>
      <w:r w:rsidRPr="004024D5">
        <w:rPr>
          <w:rStyle w:val="FootnoteReference"/>
        </w:rPr>
        <w:footnoteRef/>
      </w:r>
      <w:r w:rsidRPr="004024D5">
        <w:t xml:space="preserve"> The Department did not include in this estimate any of the possible QPAMs that have remote relationships with a convicted entity</w:t>
      </w:r>
      <w:r>
        <w:t xml:space="preserve"> that are</w:t>
      </w:r>
      <w:r w:rsidRPr="004024D5">
        <w:t xml:space="preserve"> identified in the individual exemptions as “Related QPAMs.” The Department has never received comments, questions, requests for guidance, or separate individual exemption applications from any entities that would fall into that definition, and therefore, assumes such entities are not operating as QPAMs.</w:t>
      </w:r>
    </w:p>
  </w:footnote>
  <w:footnote w:id="39">
    <w:p w:rsidR="009803B8" w:rsidRPr="004024D5" w:rsidP="000E0628" w14:paraId="6CF79360" w14:textId="1064F56F">
      <w:pPr>
        <w:pStyle w:val="FootnoteText"/>
        <w:ind w:left="0"/>
      </w:pPr>
      <w:r w:rsidRPr="004024D5">
        <w:rPr>
          <w:rStyle w:val="FootnoteReference"/>
        </w:rPr>
        <w:footnoteRef/>
      </w:r>
      <w:r w:rsidRPr="004024D5">
        <w:t xml:space="preserve"> In the 2020 Form 5500, the Department found 64,216 QPAM relationships amongst a total of 87,559 Plans that filed the Form 5500 Schedule C. To estimate the number of total Plans with QPAM relationships, the Department applies this ratio to the entire Plan universe. This assumption implies that small plans have the same number of relationships with QPAMs as the larger plans that file Schedule C. The number of total Plans with QPAM relationships is estimated as: (64,216/87,559) x 746,610 = 547,566 Plan client relationships. This equates to an average of 50 clients per QPAM, calculated as: </w:t>
      </w:r>
      <w:r w:rsidR="001C1C5C">
        <w:t>(</w:t>
      </w:r>
      <w:r w:rsidRPr="004024D5">
        <w:t>547,566 Plan client relationships</w:t>
      </w:r>
      <w:r w:rsidR="001C1C5C">
        <w:t>)</w:t>
      </w:r>
      <w:r w:rsidRPr="004024D5">
        <w:t xml:space="preserve"> / </w:t>
      </w:r>
      <w:r w:rsidR="001C1C5C">
        <w:t>(</w:t>
      </w:r>
      <w:r w:rsidRPr="004024D5">
        <w:t>10,855 unique QPAMs</w:t>
      </w:r>
      <w:r w:rsidR="001C1C5C">
        <w:t>)</w:t>
      </w:r>
      <w:r w:rsidRPr="004024D5">
        <w:t xml:space="preserve"> = 50.44 Plan clients per QPAM, rounded to 50.</w:t>
      </w:r>
    </w:p>
  </w:footnote>
  <w:footnote w:id="40">
    <w:p w:rsidR="00C235E0" w:rsidRPr="004024D5" w:rsidP="000E0628" w14:paraId="20D3BF8D" w14:textId="18BB73B0">
      <w:pPr>
        <w:pStyle w:val="FootnoteText"/>
        <w:ind w:left="0"/>
      </w:pPr>
      <w:r w:rsidRPr="004024D5">
        <w:rPr>
          <w:rStyle w:val="FootnoteReference"/>
        </w:rPr>
        <w:footnoteRef/>
      </w:r>
      <w:r w:rsidRPr="004024D5">
        <w:t xml:space="preserve"> The material and postage cost are estimated as: (12 QPAMs x 50 Plans x 80% of notices being mailed) x [(2 pages x $0.05 per page) + $</w:t>
      </w:r>
      <w:r w:rsidR="00793142">
        <w:t>0.68</w:t>
      </w:r>
      <w:r w:rsidRPr="004024D5">
        <w:t>] = $</w:t>
      </w:r>
      <w:r w:rsidR="00836E6B">
        <w:t>37</w:t>
      </w:r>
      <w:r w:rsidR="0033202C">
        <w:t>5</w:t>
      </w:r>
      <w:r w:rsidRPr="004024D5">
        <w:t xml:space="preserve">. </w:t>
      </w:r>
    </w:p>
  </w:footnote>
  <w:footnote w:id="41">
    <w:p w:rsidR="00EE36A1" w:rsidRPr="004024D5" w:rsidP="00EE36A1" w14:paraId="0FC64322" w14:textId="77777777">
      <w:pPr>
        <w:pStyle w:val="FootnoteText"/>
        <w:ind w:left="0"/>
      </w:pPr>
      <w:r w:rsidRPr="004024D5">
        <w:rPr>
          <w:rStyle w:val="FootnoteReference"/>
        </w:rPr>
        <w:footnoteRef/>
      </w:r>
      <w:r w:rsidRPr="004024D5">
        <w:t xml:space="preserve"> In three years when control number 1210-0060 is extended, the increase in requests for individual exemptions will be captured in the historical data used for the renewal and the burden going forward will be captured there.</w:t>
      </w:r>
    </w:p>
  </w:footnote>
  <w:footnote w:id="42">
    <w:p w:rsidR="00C528A9" w:rsidRPr="004024D5" w:rsidP="000E0628" w14:paraId="6CFE9AD2" w14:textId="36F71155">
      <w:pPr>
        <w:pStyle w:val="FootnoteText"/>
        <w:ind w:left="0"/>
      </w:pPr>
      <w:r w:rsidRPr="004024D5">
        <w:rPr>
          <w:rStyle w:val="FootnoteReference"/>
        </w:rPr>
        <w:footnoteRef/>
      </w:r>
      <w:r w:rsidRPr="004024D5">
        <w:t xml:space="preserve"> The Department further assumes that notices and the descriptions of facts and circumstances will be delivered separately, comprising 15 and 5 pages, respectively. With a printing cost of $0.05 per page and a mailing cost of $</w:t>
      </w:r>
      <w:r w:rsidR="00980246">
        <w:t xml:space="preserve">0.68 </w:t>
      </w:r>
      <w:r w:rsidRPr="004024D5">
        <w:t>per notice, the Department estimates the mailing cost as 4 QPAMs x 50 Plans per QPAM x 80% of notices mailed x {[(15 x $0.05) + $</w:t>
      </w:r>
      <w:r w:rsidR="009D4E60">
        <w:t>0.68</w:t>
      </w:r>
      <w:r w:rsidRPr="004024D5">
        <w:t>] + [(5 x $0.05) + $</w:t>
      </w:r>
      <w:r w:rsidR="009D4E60">
        <w:t>0.68</w:t>
      </w:r>
      <w:r w:rsidRPr="004024D5">
        <w:t>]} = $</w:t>
      </w:r>
      <w:r w:rsidR="000B7902">
        <w:t>378</w:t>
      </w:r>
      <w:r w:rsidRPr="004024D5">
        <w:t>.</w:t>
      </w:r>
    </w:p>
  </w:footnote>
  <w:footnote w:id="43">
    <w:p w:rsidR="00B95333" w:rsidRPr="004024D5" w:rsidP="000E0628" w14:paraId="592F2BB1" w14:textId="77777777">
      <w:pPr>
        <w:pStyle w:val="FootnoteText"/>
        <w:ind w:left="0"/>
      </w:pPr>
      <w:r w:rsidRPr="004024D5">
        <w:rPr>
          <w:rStyle w:val="FootnoteReference"/>
        </w:rPr>
        <w:footnoteRef/>
      </w:r>
      <w:r w:rsidRPr="004024D5">
        <w:t xml:space="preserve"> The Department has received information from industry representatives that the cost of a similar annual audit required by PTE 96-23 (the INHAM Exemption) may range from approximately $10,000 to $25,000, depending on asset size and how many years the INHAM has used the auditing firm. Because of the type of audit required for an in-house QPAM, the Department has assumed that the average cost of an exemption audit required by the QPAM Exemption would be $25,000.</w:t>
      </w:r>
    </w:p>
  </w:footnote>
  <w:footnote w:id="44">
    <w:p w:rsidR="00B95333" w:rsidRPr="004024D5" w:rsidP="000E0628" w14:paraId="01AC14CC" w14:textId="77777777">
      <w:pPr>
        <w:pStyle w:val="FootnoteText"/>
        <w:ind w:left="0"/>
      </w:pPr>
      <w:r w:rsidRPr="004024D5">
        <w:rPr>
          <w:rStyle w:val="FootnoteReference"/>
        </w:rPr>
        <w:footnoteRef/>
      </w:r>
      <w:r w:rsidRPr="004024D5">
        <w:t xml:space="preserve"> Assuming that the average cost of an exemption audit would be $25,000: 50 in-house QPAMs x $25,000 = $1,250,000.</w:t>
      </w:r>
    </w:p>
  </w:footnote>
  <w:footnote w:id="45">
    <w:p w:rsidR="00E50B17" w:rsidRPr="008B35A0" w:rsidP="000E0628" w14:paraId="62F26470" w14:textId="53CF3E31">
      <w:pPr>
        <w:pStyle w:val="FootnoteText"/>
        <w:ind w:left="0"/>
      </w:pPr>
      <w:r w:rsidRPr="008B35A0">
        <w:rPr>
          <w:rStyle w:val="FootnoteReference"/>
        </w:rPr>
        <w:footnoteRef/>
      </w:r>
      <w:r w:rsidRPr="008B35A0">
        <w:t xml:space="preserve"> </w:t>
      </w:r>
      <w:r w:rsidRPr="00CD0AD4" w:rsidR="00CD0AD4">
        <w:t>This accounts for the cost of</w:t>
      </w:r>
      <w:r w:rsidR="008F1EDD">
        <w:t xml:space="preserve"> (</w:t>
      </w:r>
      <w:r w:rsidRPr="00CD0AD4" w:rsidR="00CD0AD4">
        <w:t>$</w:t>
      </w:r>
      <w:r w:rsidR="004059DD">
        <w:t xml:space="preserve">1,250,000 </w:t>
      </w:r>
      <w:r w:rsidRPr="00CD0AD4" w:rsidR="00CD0AD4">
        <w:t xml:space="preserve">associated with hiring a firm to conduct the </w:t>
      </w:r>
      <w:r w:rsidR="003C3DF4">
        <w:t xml:space="preserve">independent </w:t>
      </w:r>
      <w:r w:rsidRPr="00CD0AD4" w:rsidR="00CD0AD4">
        <w:t>audit</w:t>
      </w:r>
      <w:r w:rsidR="008F1EDD">
        <w:t xml:space="preserve"> +</w:t>
      </w:r>
      <w:r w:rsidRPr="00CD0AD4" w:rsidR="00CD0AD4">
        <w:t xml:space="preserve"> $</w:t>
      </w:r>
      <w:r w:rsidR="0013257D">
        <w:t>37</w:t>
      </w:r>
      <w:r w:rsidR="0033202C">
        <w:t>5</w:t>
      </w:r>
      <w:r w:rsidR="0013257D">
        <w:t xml:space="preserve"> </w:t>
      </w:r>
      <w:r w:rsidR="000620DA">
        <w:t>for the notices to plans</w:t>
      </w:r>
      <w:r w:rsidR="00F2420E">
        <w:t xml:space="preserve"> </w:t>
      </w:r>
      <w:r w:rsidR="008F1EDD">
        <w:t>+</w:t>
      </w:r>
      <w:r w:rsidR="00F2420E">
        <w:t xml:space="preserve"> </w:t>
      </w:r>
      <w:r w:rsidRPr="00CD0AD4" w:rsidR="00CD0AD4">
        <w:t>$</w:t>
      </w:r>
      <w:r w:rsidR="00F2420E">
        <w:t xml:space="preserve">378 </w:t>
      </w:r>
      <w:r w:rsidR="00834A58">
        <w:t>to request individual exemption</w:t>
      </w:r>
      <w:r w:rsidR="008F1EDD">
        <w:t>)</w:t>
      </w:r>
      <w:r w:rsidR="00426AD2">
        <w:t xml:space="preserve"> </w:t>
      </w:r>
      <w:r w:rsidR="008F1EDD">
        <w:t>=</w:t>
      </w:r>
      <w:r w:rsidR="00426AD2">
        <w:t xml:space="preserve"> </w:t>
      </w:r>
      <w:r w:rsidR="0078610A">
        <w:t>$1,250,75</w:t>
      </w:r>
      <w:r w:rsidR="00426AD2">
        <w:t>3</w:t>
      </w:r>
      <w:r w:rsidRPr="00CD0AD4" w:rsidR="00CD0AD4">
        <w:t>.</w:t>
      </w:r>
    </w:p>
  </w:footnote>
  <w:footnote w:id="46">
    <w:p w:rsidR="002F390A" w:rsidRPr="00E4461F" w:rsidP="000E0628" w14:paraId="281C07CA" w14:textId="201D4B73">
      <w:pPr>
        <w:pStyle w:val="FootnoteText"/>
        <w:ind w:left="0"/>
      </w:pPr>
      <w:r w:rsidRPr="00E4461F">
        <w:rPr>
          <w:rStyle w:val="FootnoteReference"/>
        </w:rPr>
        <w:footnoteRef/>
      </w:r>
      <w:r w:rsidRPr="00E4461F">
        <w:t>This cost also includes the costs of filing and storage of documents processed under PTE 96-62 for the accelerated approval of prohibited transactions exemptions.</w:t>
      </w:r>
      <w:r w:rsidR="0068062D">
        <w:t xml:space="preserve"> </w:t>
      </w:r>
      <w:r w:rsidRPr="00E4461F">
        <w:t xml:space="preserve">This is based on the salary of a GS 6 step 5 in the Washington, DC area for </w:t>
      </w:r>
      <w:r>
        <w:t>2022</w:t>
      </w:r>
      <w:r w:rsidRPr="00E4461F">
        <w:t>.</w:t>
      </w:r>
      <w:r w:rsidR="0068062D">
        <w:t xml:space="preserve"> </w:t>
      </w:r>
      <w:r w:rsidRPr="00E4461F">
        <w:t xml:space="preserve">Wages and salary as a percent of total compensation of </w:t>
      </w:r>
      <w:r>
        <w:t>69.1</w:t>
      </w:r>
      <w:r w:rsidRPr="00E4461F">
        <w:t xml:space="preserve"> percent can be found in table </w:t>
      </w:r>
      <w:r>
        <w:t>1</w:t>
      </w:r>
      <w:r w:rsidRPr="00E4461F">
        <w:t xml:space="preserve"> here </w:t>
      </w:r>
      <w:hyperlink r:id="rId1" w:history="1">
        <w:r w:rsidRPr="00E4461F">
          <w:rPr>
            <w:rStyle w:val="Hyperlink"/>
          </w:rPr>
          <w:t>https://www.bls.gov/news.release/pdf/ecec.pdf</w:t>
        </w:r>
      </w:hyperlink>
      <w:r w:rsidRPr="00E4461F">
        <w:t xml:space="preserve"> and EBSA requests a flat $</w:t>
      </w:r>
      <w:r w:rsidR="006A5406">
        <w:t>82,543</w:t>
      </w:r>
      <w:r w:rsidR="00AA6EDD">
        <w:t xml:space="preserve"> </w:t>
      </w:r>
      <w:r w:rsidRPr="00E4461F">
        <w:t>annually per FTE in its budget requests based on actual spending, which converts to an hourly rate of</w:t>
      </w:r>
      <w:r w:rsidR="0068062D">
        <w:t xml:space="preserve"> </w:t>
      </w:r>
      <w:r w:rsidRPr="00E4461F">
        <w:t>$</w:t>
      </w:r>
      <w:r w:rsidR="00AA6EDD">
        <w:t xml:space="preserve">39.68 </w:t>
      </w:r>
      <w:r w:rsidRPr="00E4461F">
        <w:t>for overhead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3371" w:rsidRPr="00724460" w:rsidP="00822F95" w14:paraId="33B57277" w14:textId="190A7068">
    <w:pPr>
      <w:pStyle w:val="Header"/>
      <w:ind w:left="0"/>
      <w:rPr>
        <w:b/>
        <w:bCs/>
        <w:sz w:val="20"/>
        <w:szCs w:val="20"/>
      </w:rPr>
    </w:pPr>
    <w:r w:rsidRPr="00724460">
      <w:rPr>
        <w:b/>
        <w:bCs/>
        <w:sz w:val="20"/>
        <w:szCs w:val="20"/>
      </w:rPr>
      <w:t>The Proposed Amendment to Prohibited Transaction Class Exemption 84-14</w:t>
    </w:r>
  </w:p>
  <w:p w:rsidR="00EF3371" w:rsidRPr="00724460" w:rsidP="00376DD2" w14:paraId="52F50703" w14:textId="162AD7FE">
    <w:pPr>
      <w:pStyle w:val="Header"/>
      <w:ind w:left="0"/>
      <w:rPr>
        <w:b/>
        <w:bCs/>
        <w:sz w:val="20"/>
        <w:szCs w:val="20"/>
      </w:rPr>
    </w:pPr>
    <w:r w:rsidRPr="00724460">
      <w:rPr>
        <w:b/>
        <w:bCs/>
        <w:sz w:val="20"/>
        <w:szCs w:val="20"/>
      </w:rPr>
      <w:t>OMB Control Number</w:t>
    </w:r>
    <w:r w:rsidRPr="00724460" w:rsidR="002F56A8">
      <w:rPr>
        <w:b/>
        <w:bCs/>
        <w:sz w:val="20"/>
        <w:szCs w:val="20"/>
      </w:rPr>
      <w:t>:</w:t>
    </w:r>
    <w:r w:rsidRPr="00724460">
      <w:rPr>
        <w:b/>
        <w:bCs/>
        <w:sz w:val="20"/>
        <w:szCs w:val="20"/>
      </w:rPr>
      <w:t xml:space="preserve"> 1210-0128</w:t>
    </w:r>
  </w:p>
  <w:p w:rsidR="00EF3371" w14:paraId="578B4815" w14:textId="766F91FC">
    <w:pPr>
      <w:pStyle w:val="Header"/>
      <w:ind w:left="0"/>
      <w:rPr>
        <w:b/>
        <w:bCs/>
        <w:sz w:val="20"/>
        <w:szCs w:val="20"/>
      </w:rPr>
    </w:pPr>
    <w:r w:rsidRPr="00724460">
      <w:rPr>
        <w:b/>
        <w:bCs/>
        <w:sz w:val="20"/>
        <w:szCs w:val="20"/>
      </w:rPr>
      <w:t xml:space="preserve">OMB Expiration Date: </w:t>
    </w:r>
    <w:r w:rsidRPr="00724460" w:rsidR="002F7AFA">
      <w:rPr>
        <w:b/>
        <w:bCs/>
        <w:sz w:val="20"/>
        <w:szCs w:val="20"/>
      </w:rPr>
      <w:t>02/28/2026</w:t>
    </w:r>
  </w:p>
  <w:p w:rsidR="00EF3371" w14:paraId="783F5224" w14:textId="4EBCFDD1">
    <w:pPr>
      <w:pStyle w:val="Header"/>
      <w:ind w:left="0"/>
      <w:rPr>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3371" w:rsidP="000401EC" w14:paraId="0A20DB7F" w14:textId="77777777">
    <w:pPr>
      <w:pStyle w:val="Header"/>
    </w:pPr>
    <w:r>
      <w:t>[Type text]</w:t>
    </w:r>
  </w:p>
  <w:p w:rsidR="00EF3371" w:rsidP="000401EC"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D"/>
    <w:multiLevelType w:val="singleLevel"/>
    <w:tmpl w:val="3BAA6C34"/>
    <w:lvl w:ilvl="0">
      <w:start w:val="1"/>
      <w:numFmt w:val="decimal"/>
      <w:lvlText w:val="%1."/>
      <w:lvlJc w:val="left"/>
      <w:pPr>
        <w:tabs>
          <w:tab w:val="num" w:pos="1440"/>
        </w:tabs>
        <w:ind w:left="1440" w:hanging="360"/>
      </w:pPr>
    </w:lvl>
  </w:abstractNum>
  <w:abstractNum w:abstractNumId="1">
    <w:nsid w:val="FFFFFFFE"/>
    <w:multiLevelType w:val="singleLevel"/>
    <w:tmpl w:val="28DA8BC6"/>
    <w:lvl w:ilvl="0">
      <w:start w:val="0"/>
      <w:numFmt w:val="bullet"/>
      <w:lvlText w:val="*"/>
      <w:lvlJc w:val="left"/>
    </w:lvl>
  </w:abstractNum>
  <w:abstractNum w:abstractNumId="2">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3">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B74DB3"/>
    <w:multiLevelType w:val="hybridMultilevel"/>
    <w:tmpl w:val="26FAA1CC"/>
    <w:lvl w:ilvl="0">
      <w:start w:val="1"/>
      <w:numFmt w:val="decimal"/>
      <w:lvlText w:val="(%1)"/>
      <w:lvlJc w:val="left"/>
      <w:pPr>
        <w:ind w:left="1494" w:hanging="360"/>
      </w:pPr>
      <w:rPr>
        <w:rFonts w:eastAsiaTheme="minorHAnsi" w:cstheme="minorBidi"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5">
    <w:nsid w:val="0B0A2DBF"/>
    <w:multiLevelType w:val="hybridMultilevel"/>
    <w:tmpl w:val="D8C209E8"/>
    <w:lvl w:ilvl="0">
      <w:start w:val="1"/>
      <w:numFmt w:val="decimal"/>
      <w:pStyle w:val="Heading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5DB2F66"/>
    <w:multiLevelType w:val="hybridMultilevel"/>
    <w:tmpl w:val="E4ECCE56"/>
    <w:lvl w:ilvl="0">
      <w:start w:val="1"/>
      <w:numFmt w:val="decimal"/>
      <w:lvlText w:val="%1."/>
      <w:lvlJc w:val="left"/>
      <w:pPr>
        <w:tabs>
          <w:tab w:val="num" w:pos="1080"/>
        </w:tabs>
        <w:ind w:left="1080" w:hanging="720"/>
      </w:pPr>
      <w:rPr>
        <w:rFonts w:hint="default"/>
        <w:i w:val="0"/>
      </w:rPr>
    </w:lvl>
    <w:lvl w:ilvl="1">
      <w:start w:val="1"/>
      <w:numFmt w:val="bullet"/>
      <w:lvlText w:val=""/>
      <w:lvlJc w:val="left"/>
      <w:pPr>
        <w:tabs>
          <w:tab w:val="num" w:pos="1440"/>
        </w:tabs>
        <w:ind w:left="1440" w:hanging="360"/>
      </w:pPr>
      <w:rPr>
        <w:rFonts w:ascii="Symbol" w:hAnsi="Symbol" w:hint="default"/>
      </w:rPr>
    </w:lvl>
    <w:lvl w:ilvl="2">
      <w:start w:val="2"/>
      <w:numFmt w:val="upperLetter"/>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9">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87321ED"/>
    <w:multiLevelType w:val="hybridMultilevel"/>
    <w:tmpl w:val="723E277A"/>
    <w:lvl w:ilvl="0">
      <w:start w:val="1"/>
      <w:numFmt w:val="decimal"/>
      <w:lvlText w:val="(%1)"/>
      <w:lvlJc w:val="left"/>
      <w:pPr>
        <w:ind w:left="1440" w:hanging="360"/>
      </w:pPr>
      <w:rPr>
        <w:rFonts w:eastAsiaTheme="minorHAnsi" w:cstheme="minorBidi"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BD144D4"/>
    <w:multiLevelType w:val="multilevel"/>
    <w:tmpl w:val="754C42B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4">
    <w:nsid w:val="4A7C4C57"/>
    <w:multiLevelType w:val="hybridMultilevel"/>
    <w:tmpl w:val="D9AE787A"/>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5">
    <w:nsid w:val="4C15023F"/>
    <w:multiLevelType w:val="hybridMultilevel"/>
    <w:tmpl w:val="996403CA"/>
    <w:lvl w:ilvl="0">
      <w:start w:val="1"/>
      <w:numFmt w:val="decimal"/>
      <w:lvlText w:val="(%1)"/>
      <w:lvlJc w:val="left"/>
      <w:pPr>
        <w:ind w:left="720" w:hanging="360"/>
      </w:pPr>
      <w:rPr>
        <w:rFonts w:eastAsiaTheme="minorHAnsi" w:cstheme="minorBid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3C45066"/>
    <w:multiLevelType w:val="multilevel"/>
    <w:tmpl w:val="5342877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8">
    <w:nsid w:val="5AE84760"/>
    <w:multiLevelType w:val="hybridMultilevel"/>
    <w:tmpl w:val="814835DC"/>
    <w:lvl w:ilvl="0">
      <w:start w:val="1"/>
      <w:numFmt w:val="decimal"/>
      <w:lvlText w:val="(%1)"/>
      <w:lvlJc w:val="left"/>
      <w:pPr>
        <w:tabs>
          <w:tab w:val="num" w:pos="780"/>
        </w:tabs>
        <w:ind w:left="780" w:hanging="360"/>
      </w:pPr>
      <w:rPr>
        <w:rFonts w:eastAsiaTheme="minorHAnsi" w:cstheme="minorBidi"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9">
    <w:nsid w:val="5FC66CD3"/>
    <w:multiLevelType w:val="hybridMultilevel"/>
    <w:tmpl w:val="B1F2209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60241045"/>
    <w:multiLevelType w:val="multilevel"/>
    <w:tmpl w:val="D81411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1">
    <w:nsid w:val="60723888"/>
    <w:multiLevelType w:val="hybridMultilevel"/>
    <w:tmpl w:val="D368EBD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3">
    <w:nsid w:val="68CB0CE7"/>
    <w:multiLevelType w:val="hybridMultilevel"/>
    <w:tmpl w:val="3CC6C542"/>
    <w:lvl w:ilvl="0">
      <w:start w:val="1"/>
      <w:numFmt w:val="upperLetter"/>
      <w:pStyle w:val="Heading1"/>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3333F19"/>
    <w:multiLevelType w:val="hybridMultilevel"/>
    <w:tmpl w:val="C0D2D5EE"/>
    <w:lvl w:ilvl="0">
      <w:start w:val="1"/>
      <w:numFmt w:val="decimal"/>
      <w:lvlText w:val="(%1)"/>
      <w:lvlJc w:val="left"/>
      <w:pPr>
        <w:ind w:left="1440" w:hanging="360"/>
      </w:pPr>
      <w:rPr>
        <w:rFonts w:eastAsiaTheme="minorHAnsi" w:cstheme="minorBidi"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77BE00EE"/>
    <w:multiLevelType w:val="hybridMultilevel"/>
    <w:tmpl w:val="ED9E48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9A04175"/>
    <w:multiLevelType w:val="hybridMultilevel"/>
    <w:tmpl w:val="8F96019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345548530">
    <w:abstractNumId w:val="1"/>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81416124">
    <w:abstractNumId w:val="1"/>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878592862">
    <w:abstractNumId w:val="8"/>
  </w:num>
  <w:num w:numId="4" w16cid:durableId="1349717272">
    <w:abstractNumId w:val="19"/>
  </w:num>
  <w:num w:numId="5" w16cid:durableId="1443108360">
    <w:abstractNumId w:val="6"/>
  </w:num>
  <w:num w:numId="6" w16cid:durableId="1196117070">
    <w:abstractNumId w:val="9"/>
  </w:num>
  <w:num w:numId="7" w16cid:durableId="1261256240">
    <w:abstractNumId w:val="1"/>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788206424">
    <w:abstractNumId w:val="23"/>
  </w:num>
  <w:num w:numId="9" w16cid:durableId="1724018067">
    <w:abstractNumId w:val="3"/>
  </w:num>
  <w:num w:numId="10" w16cid:durableId="1166628198">
    <w:abstractNumId w:val="22"/>
  </w:num>
  <w:num w:numId="11" w16cid:durableId="1879585723">
    <w:abstractNumId w:val="13"/>
  </w:num>
  <w:num w:numId="12" w16cid:durableId="661617907">
    <w:abstractNumId w:val="16"/>
  </w:num>
  <w:num w:numId="13" w16cid:durableId="318116110">
    <w:abstractNumId w:val="12"/>
  </w:num>
  <w:num w:numId="14" w16cid:durableId="2127694969">
    <w:abstractNumId w:val="2"/>
    <w:lvlOverride w:ilvl="0">
      <w:startOverride w:val="13"/>
      <w:lvl w:ilvl="0">
        <w:start w:val="13"/>
        <w:numFmt w:val="decimal"/>
        <w:pStyle w:val="Quick1"/>
        <w:lvlText w:val="%1."/>
        <w:lvlJc w:val="left"/>
      </w:lvl>
    </w:lvlOverride>
  </w:num>
  <w:num w:numId="15" w16cid:durableId="558322542">
    <w:abstractNumId w:val="14"/>
  </w:num>
  <w:num w:numId="16" w16cid:durableId="612906620">
    <w:abstractNumId w:val="25"/>
  </w:num>
  <w:num w:numId="17" w16cid:durableId="1561668904">
    <w:abstractNumId w:val="5"/>
  </w:num>
  <w:num w:numId="18" w16cid:durableId="65492017">
    <w:abstractNumId w:val="7"/>
  </w:num>
  <w:num w:numId="19" w16cid:durableId="1135104566">
    <w:abstractNumId w:val="20"/>
  </w:num>
  <w:num w:numId="20" w16cid:durableId="623855253">
    <w:abstractNumId w:val="17"/>
  </w:num>
  <w:num w:numId="21" w16cid:durableId="110364036">
    <w:abstractNumId w:val="11"/>
  </w:num>
  <w:num w:numId="22" w16cid:durableId="1019310541">
    <w:abstractNumId w:val="21"/>
  </w:num>
  <w:num w:numId="23" w16cid:durableId="1605571025">
    <w:abstractNumId w:val="0"/>
  </w:num>
  <w:num w:numId="24" w16cid:durableId="1803381033">
    <w:abstractNumId w:val="10"/>
  </w:num>
  <w:num w:numId="25" w16cid:durableId="2034921587">
    <w:abstractNumId w:val="18"/>
  </w:num>
  <w:num w:numId="26" w16cid:durableId="2145464232">
    <w:abstractNumId w:val="4"/>
  </w:num>
  <w:num w:numId="27" w16cid:durableId="1215972355">
    <w:abstractNumId w:val="24"/>
  </w:num>
  <w:num w:numId="28" w16cid:durableId="1928609926">
    <w:abstractNumId w:val="26"/>
  </w:num>
  <w:num w:numId="29" w16cid:durableId="597189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101D"/>
    <w:rsid w:val="000025A5"/>
    <w:rsid w:val="00005C9A"/>
    <w:rsid w:val="00005D3A"/>
    <w:rsid w:val="00006783"/>
    <w:rsid w:val="0001182D"/>
    <w:rsid w:val="000133FD"/>
    <w:rsid w:val="00014158"/>
    <w:rsid w:val="000158C6"/>
    <w:rsid w:val="00015AC1"/>
    <w:rsid w:val="00016D3E"/>
    <w:rsid w:val="00020F69"/>
    <w:rsid w:val="00021284"/>
    <w:rsid w:val="00022303"/>
    <w:rsid w:val="000228C2"/>
    <w:rsid w:val="00022C54"/>
    <w:rsid w:val="00024103"/>
    <w:rsid w:val="00031FCF"/>
    <w:rsid w:val="00032579"/>
    <w:rsid w:val="00032D9B"/>
    <w:rsid w:val="000331E0"/>
    <w:rsid w:val="000333A9"/>
    <w:rsid w:val="00033598"/>
    <w:rsid w:val="000401EC"/>
    <w:rsid w:val="00040A98"/>
    <w:rsid w:val="0004107F"/>
    <w:rsid w:val="00041307"/>
    <w:rsid w:val="00042CBD"/>
    <w:rsid w:val="00045E88"/>
    <w:rsid w:val="00046068"/>
    <w:rsid w:val="00046AB8"/>
    <w:rsid w:val="00047F27"/>
    <w:rsid w:val="00050A84"/>
    <w:rsid w:val="00051B04"/>
    <w:rsid w:val="00052174"/>
    <w:rsid w:val="0005289F"/>
    <w:rsid w:val="000532A1"/>
    <w:rsid w:val="00053596"/>
    <w:rsid w:val="000557E9"/>
    <w:rsid w:val="00055B5E"/>
    <w:rsid w:val="00055ED2"/>
    <w:rsid w:val="00056102"/>
    <w:rsid w:val="00061F6C"/>
    <w:rsid w:val="000620DA"/>
    <w:rsid w:val="0006324E"/>
    <w:rsid w:val="000638B4"/>
    <w:rsid w:val="00064E28"/>
    <w:rsid w:val="00070CD8"/>
    <w:rsid w:val="00073454"/>
    <w:rsid w:val="0007383F"/>
    <w:rsid w:val="00074453"/>
    <w:rsid w:val="00080268"/>
    <w:rsid w:val="0008171B"/>
    <w:rsid w:val="00083817"/>
    <w:rsid w:val="0008699F"/>
    <w:rsid w:val="00094A5E"/>
    <w:rsid w:val="00095AF1"/>
    <w:rsid w:val="00095C30"/>
    <w:rsid w:val="000A2948"/>
    <w:rsid w:val="000A3619"/>
    <w:rsid w:val="000A4E52"/>
    <w:rsid w:val="000A6719"/>
    <w:rsid w:val="000A7853"/>
    <w:rsid w:val="000B0391"/>
    <w:rsid w:val="000B03D7"/>
    <w:rsid w:val="000B06A5"/>
    <w:rsid w:val="000B2126"/>
    <w:rsid w:val="000B26AD"/>
    <w:rsid w:val="000B4875"/>
    <w:rsid w:val="000B6FB6"/>
    <w:rsid w:val="000B7902"/>
    <w:rsid w:val="000B7EEA"/>
    <w:rsid w:val="000C0FAF"/>
    <w:rsid w:val="000C1750"/>
    <w:rsid w:val="000C257C"/>
    <w:rsid w:val="000C30BB"/>
    <w:rsid w:val="000C3A92"/>
    <w:rsid w:val="000C468A"/>
    <w:rsid w:val="000C5644"/>
    <w:rsid w:val="000C6644"/>
    <w:rsid w:val="000C74FB"/>
    <w:rsid w:val="000C779C"/>
    <w:rsid w:val="000D1D22"/>
    <w:rsid w:val="000D1F42"/>
    <w:rsid w:val="000D2F9D"/>
    <w:rsid w:val="000D4B35"/>
    <w:rsid w:val="000D50D0"/>
    <w:rsid w:val="000D6536"/>
    <w:rsid w:val="000D7F95"/>
    <w:rsid w:val="000E0448"/>
    <w:rsid w:val="000E0628"/>
    <w:rsid w:val="000E06C7"/>
    <w:rsid w:val="000E1C64"/>
    <w:rsid w:val="000E4750"/>
    <w:rsid w:val="000E4886"/>
    <w:rsid w:val="000E500B"/>
    <w:rsid w:val="000E6998"/>
    <w:rsid w:val="000E6B6D"/>
    <w:rsid w:val="000E6D17"/>
    <w:rsid w:val="000F0387"/>
    <w:rsid w:val="000F06CE"/>
    <w:rsid w:val="000F0C0E"/>
    <w:rsid w:val="000F5B1A"/>
    <w:rsid w:val="000F5CF5"/>
    <w:rsid w:val="000F6836"/>
    <w:rsid w:val="000F7B90"/>
    <w:rsid w:val="000F7F6A"/>
    <w:rsid w:val="001040D4"/>
    <w:rsid w:val="001041B9"/>
    <w:rsid w:val="001074B8"/>
    <w:rsid w:val="001078BB"/>
    <w:rsid w:val="00112B8B"/>
    <w:rsid w:val="00113870"/>
    <w:rsid w:val="00113B3E"/>
    <w:rsid w:val="00113C83"/>
    <w:rsid w:val="00116257"/>
    <w:rsid w:val="00116CD5"/>
    <w:rsid w:val="00116E73"/>
    <w:rsid w:val="00117855"/>
    <w:rsid w:val="00121014"/>
    <w:rsid w:val="001215D1"/>
    <w:rsid w:val="00126E70"/>
    <w:rsid w:val="0012795F"/>
    <w:rsid w:val="00130740"/>
    <w:rsid w:val="0013257D"/>
    <w:rsid w:val="00133C47"/>
    <w:rsid w:val="00134761"/>
    <w:rsid w:val="001348AF"/>
    <w:rsid w:val="001367F8"/>
    <w:rsid w:val="001401E7"/>
    <w:rsid w:val="00140A06"/>
    <w:rsid w:val="00143434"/>
    <w:rsid w:val="001439F3"/>
    <w:rsid w:val="001445A7"/>
    <w:rsid w:val="0014556E"/>
    <w:rsid w:val="0015322B"/>
    <w:rsid w:val="0015365E"/>
    <w:rsid w:val="001552B9"/>
    <w:rsid w:val="00156E88"/>
    <w:rsid w:val="00157259"/>
    <w:rsid w:val="00157617"/>
    <w:rsid w:val="00157A90"/>
    <w:rsid w:val="001621CF"/>
    <w:rsid w:val="00162E7A"/>
    <w:rsid w:val="00166299"/>
    <w:rsid w:val="00166307"/>
    <w:rsid w:val="001663A1"/>
    <w:rsid w:val="001745F5"/>
    <w:rsid w:val="00180E5A"/>
    <w:rsid w:val="00181F36"/>
    <w:rsid w:val="00182D46"/>
    <w:rsid w:val="00183847"/>
    <w:rsid w:val="00186291"/>
    <w:rsid w:val="001862E7"/>
    <w:rsid w:val="0019418E"/>
    <w:rsid w:val="00195029"/>
    <w:rsid w:val="00195563"/>
    <w:rsid w:val="00197828"/>
    <w:rsid w:val="00197F00"/>
    <w:rsid w:val="001A0B36"/>
    <w:rsid w:val="001A13DE"/>
    <w:rsid w:val="001A16D7"/>
    <w:rsid w:val="001A303E"/>
    <w:rsid w:val="001A47D9"/>
    <w:rsid w:val="001A5474"/>
    <w:rsid w:val="001A7F16"/>
    <w:rsid w:val="001B04BA"/>
    <w:rsid w:val="001B2394"/>
    <w:rsid w:val="001B2C3D"/>
    <w:rsid w:val="001C0D1A"/>
    <w:rsid w:val="001C1451"/>
    <w:rsid w:val="001C1C5C"/>
    <w:rsid w:val="001C3A3A"/>
    <w:rsid w:val="001C3ED1"/>
    <w:rsid w:val="001C4282"/>
    <w:rsid w:val="001C4900"/>
    <w:rsid w:val="001D10ED"/>
    <w:rsid w:val="001D1AEE"/>
    <w:rsid w:val="001D1DAC"/>
    <w:rsid w:val="001D2A26"/>
    <w:rsid w:val="001D2D09"/>
    <w:rsid w:val="001D3049"/>
    <w:rsid w:val="001D31E4"/>
    <w:rsid w:val="001D52B0"/>
    <w:rsid w:val="001D5C83"/>
    <w:rsid w:val="001D67BB"/>
    <w:rsid w:val="001E0B17"/>
    <w:rsid w:val="001E0E7F"/>
    <w:rsid w:val="001E2932"/>
    <w:rsid w:val="001E3596"/>
    <w:rsid w:val="001E4934"/>
    <w:rsid w:val="001E5213"/>
    <w:rsid w:val="001E6EC1"/>
    <w:rsid w:val="001E778D"/>
    <w:rsid w:val="001E7E20"/>
    <w:rsid w:val="001F0702"/>
    <w:rsid w:val="001F0883"/>
    <w:rsid w:val="001F2E8E"/>
    <w:rsid w:val="001F32BC"/>
    <w:rsid w:val="001F3AC8"/>
    <w:rsid w:val="001F3C81"/>
    <w:rsid w:val="00200980"/>
    <w:rsid w:val="00200D0C"/>
    <w:rsid w:val="00200FF5"/>
    <w:rsid w:val="002036A1"/>
    <w:rsid w:val="00206757"/>
    <w:rsid w:val="00206FC8"/>
    <w:rsid w:val="002078A7"/>
    <w:rsid w:val="00212A8A"/>
    <w:rsid w:val="00212E0C"/>
    <w:rsid w:val="002134B4"/>
    <w:rsid w:val="0021503E"/>
    <w:rsid w:val="002203C9"/>
    <w:rsid w:val="002207F2"/>
    <w:rsid w:val="00222B09"/>
    <w:rsid w:val="00223C0F"/>
    <w:rsid w:val="0023055E"/>
    <w:rsid w:val="00230F56"/>
    <w:rsid w:val="00231555"/>
    <w:rsid w:val="002320E5"/>
    <w:rsid w:val="00233248"/>
    <w:rsid w:val="00233EB3"/>
    <w:rsid w:val="002364F9"/>
    <w:rsid w:val="00237691"/>
    <w:rsid w:val="002402AF"/>
    <w:rsid w:val="00240692"/>
    <w:rsid w:val="00242CA0"/>
    <w:rsid w:val="00242E23"/>
    <w:rsid w:val="00243432"/>
    <w:rsid w:val="00243F11"/>
    <w:rsid w:val="00244CC0"/>
    <w:rsid w:val="00245399"/>
    <w:rsid w:val="0024568A"/>
    <w:rsid w:val="00247146"/>
    <w:rsid w:val="00252303"/>
    <w:rsid w:val="00252653"/>
    <w:rsid w:val="00257C97"/>
    <w:rsid w:val="0026092E"/>
    <w:rsid w:val="002618ED"/>
    <w:rsid w:val="00263A55"/>
    <w:rsid w:val="002662C8"/>
    <w:rsid w:val="00266D22"/>
    <w:rsid w:val="00270019"/>
    <w:rsid w:val="002703FE"/>
    <w:rsid w:val="002714E1"/>
    <w:rsid w:val="002720A9"/>
    <w:rsid w:val="00272628"/>
    <w:rsid w:val="00273D58"/>
    <w:rsid w:val="00273DA1"/>
    <w:rsid w:val="00274525"/>
    <w:rsid w:val="00274924"/>
    <w:rsid w:val="00274DE6"/>
    <w:rsid w:val="00275E1E"/>
    <w:rsid w:val="002766F9"/>
    <w:rsid w:val="0027731B"/>
    <w:rsid w:val="0027743E"/>
    <w:rsid w:val="00277C1F"/>
    <w:rsid w:val="0028156B"/>
    <w:rsid w:val="002819C5"/>
    <w:rsid w:val="0028228B"/>
    <w:rsid w:val="00282490"/>
    <w:rsid w:val="00282498"/>
    <w:rsid w:val="00282759"/>
    <w:rsid w:val="0028278C"/>
    <w:rsid w:val="00283716"/>
    <w:rsid w:val="00284FFC"/>
    <w:rsid w:val="002853F5"/>
    <w:rsid w:val="00285C16"/>
    <w:rsid w:val="002866AD"/>
    <w:rsid w:val="00286B62"/>
    <w:rsid w:val="00286BE3"/>
    <w:rsid w:val="0028721C"/>
    <w:rsid w:val="00290E22"/>
    <w:rsid w:val="0029135D"/>
    <w:rsid w:val="00292222"/>
    <w:rsid w:val="002926B0"/>
    <w:rsid w:val="00292951"/>
    <w:rsid w:val="00293AEE"/>
    <w:rsid w:val="00293CD1"/>
    <w:rsid w:val="00295BF5"/>
    <w:rsid w:val="002978CD"/>
    <w:rsid w:val="002A0746"/>
    <w:rsid w:val="002A249F"/>
    <w:rsid w:val="002A3962"/>
    <w:rsid w:val="002A5972"/>
    <w:rsid w:val="002A7B41"/>
    <w:rsid w:val="002B06E8"/>
    <w:rsid w:val="002B0904"/>
    <w:rsid w:val="002B354D"/>
    <w:rsid w:val="002B5D65"/>
    <w:rsid w:val="002C0900"/>
    <w:rsid w:val="002C3205"/>
    <w:rsid w:val="002C3F3D"/>
    <w:rsid w:val="002C4220"/>
    <w:rsid w:val="002C44BC"/>
    <w:rsid w:val="002C53D7"/>
    <w:rsid w:val="002C56E3"/>
    <w:rsid w:val="002C5F52"/>
    <w:rsid w:val="002C7681"/>
    <w:rsid w:val="002C77F5"/>
    <w:rsid w:val="002D0ABF"/>
    <w:rsid w:val="002D4B1B"/>
    <w:rsid w:val="002D74B5"/>
    <w:rsid w:val="002D7866"/>
    <w:rsid w:val="002D7A8D"/>
    <w:rsid w:val="002E2329"/>
    <w:rsid w:val="002E238B"/>
    <w:rsid w:val="002E31DF"/>
    <w:rsid w:val="002E371B"/>
    <w:rsid w:val="002E4200"/>
    <w:rsid w:val="002E6682"/>
    <w:rsid w:val="002E719D"/>
    <w:rsid w:val="002F033C"/>
    <w:rsid w:val="002F0B3A"/>
    <w:rsid w:val="002F0C59"/>
    <w:rsid w:val="002F0D53"/>
    <w:rsid w:val="002F1B6C"/>
    <w:rsid w:val="002F1EF4"/>
    <w:rsid w:val="002F34F1"/>
    <w:rsid w:val="002F390A"/>
    <w:rsid w:val="002F56A8"/>
    <w:rsid w:val="002F666B"/>
    <w:rsid w:val="002F7AFA"/>
    <w:rsid w:val="00304132"/>
    <w:rsid w:val="003046AB"/>
    <w:rsid w:val="00305061"/>
    <w:rsid w:val="00306864"/>
    <w:rsid w:val="00307F5A"/>
    <w:rsid w:val="003115D1"/>
    <w:rsid w:val="00312124"/>
    <w:rsid w:val="00313820"/>
    <w:rsid w:val="00313F3C"/>
    <w:rsid w:val="0031444E"/>
    <w:rsid w:val="00320D4B"/>
    <w:rsid w:val="003222E2"/>
    <w:rsid w:val="0032445C"/>
    <w:rsid w:val="00324DC5"/>
    <w:rsid w:val="00325CDB"/>
    <w:rsid w:val="00325FA3"/>
    <w:rsid w:val="0032649A"/>
    <w:rsid w:val="00326FA2"/>
    <w:rsid w:val="003303B5"/>
    <w:rsid w:val="00330556"/>
    <w:rsid w:val="003318D3"/>
    <w:rsid w:val="0033202C"/>
    <w:rsid w:val="00332F98"/>
    <w:rsid w:val="003357F5"/>
    <w:rsid w:val="003370E7"/>
    <w:rsid w:val="003412DF"/>
    <w:rsid w:val="00342A96"/>
    <w:rsid w:val="003430A6"/>
    <w:rsid w:val="003448FC"/>
    <w:rsid w:val="00344B81"/>
    <w:rsid w:val="00350CF1"/>
    <w:rsid w:val="00351D93"/>
    <w:rsid w:val="003548D8"/>
    <w:rsid w:val="00355BCD"/>
    <w:rsid w:val="00355EFC"/>
    <w:rsid w:val="003568D7"/>
    <w:rsid w:val="00360203"/>
    <w:rsid w:val="003633E8"/>
    <w:rsid w:val="00363CC2"/>
    <w:rsid w:val="00365522"/>
    <w:rsid w:val="00366044"/>
    <w:rsid w:val="003714F8"/>
    <w:rsid w:val="00371EEC"/>
    <w:rsid w:val="003739B3"/>
    <w:rsid w:val="00373E19"/>
    <w:rsid w:val="00374175"/>
    <w:rsid w:val="003742FC"/>
    <w:rsid w:val="00374AD6"/>
    <w:rsid w:val="00374B90"/>
    <w:rsid w:val="00376DD2"/>
    <w:rsid w:val="00381D25"/>
    <w:rsid w:val="00383467"/>
    <w:rsid w:val="0038745B"/>
    <w:rsid w:val="003876F3"/>
    <w:rsid w:val="00390242"/>
    <w:rsid w:val="00390426"/>
    <w:rsid w:val="00392F17"/>
    <w:rsid w:val="00393F53"/>
    <w:rsid w:val="00394AEB"/>
    <w:rsid w:val="00394CE6"/>
    <w:rsid w:val="00394E60"/>
    <w:rsid w:val="00395360"/>
    <w:rsid w:val="003A0EB5"/>
    <w:rsid w:val="003A1233"/>
    <w:rsid w:val="003A1D18"/>
    <w:rsid w:val="003A4AFD"/>
    <w:rsid w:val="003A6353"/>
    <w:rsid w:val="003B082B"/>
    <w:rsid w:val="003B2A2F"/>
    <w:rsid w:val="003B2EA5"/>
    <w:rsid w:val="003B534A"/>
    <w:rsid w:val="003B634D"/>
    <w:rsid w:val="003C13C6"/>
    <w:rsid w:val="003C14E8"/>
    <w:rsid w:val="003C2550"/>
    <w:rsid w:val="003C3BB4"/>
    <w:rsid w:val="003C3DF4"/>
    <w:rsid w:val="003C5FC1"/>
    <w:rsid w:val="003C70AF"/>
    <w:rsid w:val="003D0175"/>
    <w:rsid w:val="003D20E3"/>
    <w:rsid w:val="003D305C"/>
    <w:rsid w:val="003D4529"/>
    <w:rsid w:val="003D522F"/>
    <w:rsid w:val="003D5958"/>
    <w:rsid w:val="003D6AC7"/>
    <w:rsid w:val="003E0440"/>
    <w:rsid w:val="003E3DEE"/>
    <w:rsid w:val="003E40BA"/>
    <w:rsid w:val="003E49A6"/>
    <w:rsid w:val="003E50F8"/>
    <w:rsid w:val="003E5475"/>
    <w:rsid w:val="003E5711"/>
    <w:rsid w:val="003E5E34"/>
    <w:rsid w:val="003E6681"/>
    <w:rsid w:val="003E73D7"/>
    <w:rsid w:val="003F1683"/>
    <w:rsid w:val="003F2C08"/>
    <w:rsid w:val="003F31E6"/>
    <w:rsid w:val="003F3453"/>
    <w:rsid w:val="003F53FB"/>
    <w:rsid w:val="003F65F9"/>
    <w:rsid w:val="00400553"/>
    <w:rsid w:val="00400B4D"/>
    <w:rsid w:val="00400D08"/>
    <w:rsid w:val="00400D82"/>
    <w:rsid w:val="0040128E"/>
    <w:rsid w:val="00401A2A"/>
    <w:rsid w:val="00401EB9"/>
    <w:rsid w:val="00401F18"/>
    <w:rsid w:val="004023D8"/>
    <w:rsid w:val="004024D5"/>
    <w:rsid w:val="004038CD"/>
    <w:rsid w:val="00404ADC"/>
    <w:rsid w:val="004056B7"/>
    <w:rsid w:val="004059DD"/>
    <w:rsid w:val="00407A34"/>
    <w:rsid w:val="00410AC8"/>
    <w:rsid w:val="004122B7"/>
    <w:rsid w:val="0041233C"/>
    <w:rsid w:val="004124EF"/>
    <w:rsid w:val="00414664"/>
    <w:rsid w:val="00414D7A"/>
    <w:rsid w:val="004150D5"/>
    <w:rsid w:val="004153EE"/>
    <w:rsid w:val="00416B4B"/>
    <w:rsid w:val="00417596"/>
    <w:rsid w:val="00421FDF"/>
    <w:rsid w:val="00426AD2"/>
    <w:rsid w:val="00434988"/>
    <w:rsid w:val="00434F06"/>
    <w:rsid w:val="00435371"/>
    <w:rsid w:val="0044323E"/>
    <w:rsid w:val="00443460"/>
    <w:rsid w:val="0044773C"/>
    <w:rsid w:val="0045471D"/>
    <w:rsid w:val="0045691C"/>
    <w:rsid w:val="00457340"/>
    <w:rsid w:val="004635D5"/>
    <w:rsid w:val="00463F1A"/>
    <w:rsid w:val="004649BE"/>
    <w:rsid w:val="00466D9E"/>
    <w:rsid w:val="004672B5"/>
    <w:rsid w:val="004700A1"/>
    <w:rsid w:val="00471704"/>
    <w:rsid w:val="00472018"/>
    <w:rsid w:val="00472575"/>
    <w:rsid w:val="00475023"/>
    <w:rsid w:val="004844D1"/>
    <w:rsid w:val="004852DA"/>
    <w:rsid w:val="0048559D"/>
    <w:rsid w:val="004855B2"/>
    <w:rsid w:val="004866DA"/>
    <w:rsid w:val="00486710"/>
    <w:rsid w:val="00491392"/>
    <w:rsid w:val="00491C86"/>
    <w:rsid w:val="0049280E"/>
    <w:rsid w:val="00494A93"/>
    <w:rsid w:val="00494D75"/>
    <w:rsid w:val="004952E1"/>
    <w:rsid w:val="00497A0B"/>
    <w:rsid w:val="004A0ED5"/>
    <w:rsid w:val="004A1763"/>
    <w:rsid w:val="004A1A95"/>
    <w:rsid w:val="004A4319"/>
    <w:rsid w:val="004A4815"/>
    <w:rsid w:val="004A6425"/>
    <w:rsid w:val="004A6F26"/>
    <w:rsid w:val="004B044B"/>
    <w:rsid w:val="004B11C7"/>
    <w:rsid w:val="004B1E73"/>
    <w:rsid w:val="004B1E83"/>
    <w:rsid w:val="004B406F"/>
    <w:rsid w:val="004B542C"/>
    <w:rsid w:val="004B6F2B"/>
    <w:rsid w:val="004C1166"/>
    <w:rsid w:val="004C1EE3"/>
    <w:rsid w:val="004C34DF"/>
    <w:rsid w:val="004C3AB6"/>
    <w:rsid w:val="004C5915"/>
    <w:rsid w:val="004C715E"/>
    <w:rsid w:val="004D07BD"/>
    <w:rsid w:val="004D17C6"/>
    <w:rsid w:val="004D1C78"/>
    <w:rsid w:val="004D441E"/>
    <w:rsid w:val="004D46D1"/>
    <w:rsid w:val="004D5A05"/>
    <w:rsid w:val="004D7373"/>
    <w:rsid w:val="004D766E"/>
    <w:rsid w:val="004D7B19"/>
    <w:rsid w:val="004E1AFD"/>
    <w:rsid w:val="004E1D37"/>
    <w:rsid w:val="004E1D9E"/>
    <w:rsid w:val="004F0FD0"/>
    <w:rsid w:val="004F1EDD"/>
    <w:rsid w:val="004F4B7F"/>
    <w:rsid w:val="004F54B8"/>
    <w:rsid w:val="005027D3"/>
    <w:rsid w:val="00502A28"/>
    <w:rsid w:val="005036C6"/>
    <w:rsid w:val="00504DA1"/>
    <w:rsid w:val="00507E54"/>
    <w:rsid w:val="0051051B"/>
    <w:rsid w:val="005133AD"/>
    <w:rsid w:val="0051408B"/>
    <w:rsid w:val="005164DC"/>
    <w:rsid w:val="00517AF7"/>
    <w:rsid w:val="005216FF"/>
    <w:rsid w:val="00525929"/>
    <w:rsid w:val="00530131"/>
    <w:rsid w:val="00530EBD"/>
    <w:rsid w:val="0054789D"/>
    <w:rsid w:val="00551761"/>
    <w:rsid w:val="0055478A"/>
    <w:rsid w:val="00555910"/>
    <w:rsid w:val="00564002"/>
    <w:rsid w:val="00565C9C"/>
    <w:rsid w:val="0056609A"/>
    <w:rsid w:val="005670E9"/>
    <w:rsid w:val="00567912"/>
    <w:rsid w:val="00570098"/>
    <w:rsid w:val="005727CE"/>
    <w:rsid w:val="005751D9"/>
    <w:rsid w:val="00576135"/>
    <w:rsid w:val="0057659C"/>
    <w:rsid w:val="005805E7"/>
    <w:rsid w:val="00580F60"/>
    <w:rsid w:val="005832CA"/>
    <w:rsid w:val="00583A39"/>
    <w:rsid w:val="00583E64"/>
    <w:rsid w:val="00583F5D"/>
    <w:rsid w:val="0058424C"/>
    <w:rsid w:val="00584F8D"/>
    <w:rsid w:val="00586560"/>
    <w:rsid w:val="00587738"/>
    <w:rsid w:val="005938BA"/>
    <w:rsid w:val="00595C5E"/>
    <w:rsid w:val="00595E1E"/>
    <w:rsid w:val="005A0350"/>
    <w:rsid w:val="005A144A"/>
    <w:rsid w:val="005A1974"/>
    <w:rsid w:val="005A3DE1"/>
    <w:rsid w:val="005A526E"/>
    <w:rsid w:val="005A77E3"/>
    <w:rsid w:val="005B0628"/>
    <w:rsid w:val="005B3583"/>
    <w:rsid w:val="005B3ADB"/>
    <w:rsid w:val="005B4AD2"/>
    <w:rsid w:val="005B5990"/>
    <w:rsid w:val="005B6446"/>
    <w:rsid w:val="005B6A25"/>
    <w:rsid w:val="005C25A7"/>
    <w:rsid w:val="005C3598"/>
    <w:rsid w:val="005C3BC5"/>
    <w:rsid w:val="005C45D2"/>
    <w:rsid w:val="005C6147"/>
    <w:rsid w:val="005D281C"/>
    <w:rsid w:val="005D4112"/>
    <w:rsid w:val="005D4F61"/>
    <w:rsid w:val="005D5612"/>
    <w:rsid w:val="005D583D"/>
    <w:rsid w:val="005D5F8C"/>
    <w:rsid w:val="005D62C7"/>
    <w:rsid w:val="005D65DE"/>
    <w:rsid w:val="005D661D"/>
    <w:rsid w:val="005D6A0A"/>
    <w:rsid w:val="005E5148"/>
    <w:rsid w:val="005E717D"/>
    <w:rsid w:val="005F1E75"/>
    <w:rsid w:val="005F2778"/>
    <w:rsid w:val="005F4BC8"/>
    <w:rsid w:val="005F5FC7"/>
    <w:rsid w:val="005F6ADB"/>
    <w:rsid w:val="005F7C7A"/>
    <w:rsid w:val="00600038"/>
    <w:rsid w:val="0060114B"/>
    <w:rsid w:val="00602DF8"/>
    <w:rsid w:val="0060383E"/>
    <w:rsid w:val="00605FD5"/>
    <w:rsid w:val="00606BB2"/>
    <w:rsid w:val="00606D8E"/>
    <w:rsid w:val="00607E77"/>
    <w:rsid w:val="00611DE2"/>
    <w:rsid w:val="00615371"/>
    <w:rsid w:val="006166C0"/>
    <w:rsid w:val="006171E6"/>
    <w:rsid w:val="0061779C"/>
    <w:rsid w:val="00617F3A"/>
    <w:rsid w:val="00620F39"/>
    <w:rsid w:val="00621800"/>
    <w:rsid w:val="006227B3"/>
    <w:rsid w:val="00623F1A"/>
    <w:rsid w:val="006261C4"/>
    <w:rsid w:val="006268F7"/>
    <w:rsid w:val="00626ED8"/>
    <w:rsid w:val="00631F10"/>
    <w:rsid w:val="00632399"/>
    <w:rsid w:val="00633B6B"/>
    <w:rsid w:val="00633FE6"/>
    <w:rsid w:val="00634034"/>
    <w:rsid w:val="00635F81"/>
    <w:rsid w:val="006408CB"/>
    <w:rsid w:val="00642220"/>
    <w:rsid w:val="00642A12"/>
    <w:rsid w:val="00644A3E"/>
    <w:rsid w:val="00645C88"/>
    <w:rsid w:val="0064665F"/>
    <w:rsid w:val="006477E1"/>
    <w:rsid w:val="00647E7B"/>
    <w:rsid w:val="00650BB7"/>
    <w:rsid w:val="00650DCB"/>
    <w:rsid w:val="00651413"/>
    <w:rsid w:val="006516F7"/>
    <w:rsid w:val="0065181F"/>
    <w:rsid w:val="00652ED1"/>
    <w:rsid w:val="00653447"/>
    <w:rsid w:val="0065500C"/>
    <w:rsid w:val="00657ABC"/>
    <w:rsid w:val="00661297"/>
    <w:rsid w:val="006626FF"/>
    <w:rsid w:val="006641BA"/>
    <w:rsid w:val="006650A8"/>
    <w:rsid w:val="00667EF9"/>
    <w:rsid w:val="0067292D"/>
    <w:rsid w:val="00674F08"/>
    <w:rsid w:val="00675B08"/>
    <w:rsid w:val="0067772C"/>
    <w:rsid w:val="0068062D"/>
    <w:rsid w:val="0068161B"/>
    <w:rsid w:val="00681D7D"/>
    <w:rsid w:val="0068264E"/>
    <w:rsid w:val="00683298"/>
    <w:rsid w:val="006842C0"/>
    <w:rsid w:val="00684586"/>
    <w:rsid w:val="0068527D"/>
    <w:rsid w:val="00685435"/>
    <w:rsid w:val="0069094F"/>
    <w:rsid w:val="00690F56"/>
    <w:rsid w:val="0069411D"/>
    <w:rsid w:val="00694454"/>
    <w:rsid w:val="0069516A"/>
    <w:rsid w:val="00696408"/>
    <w:rsid w:val="00697DA3"/>
    <w:rsid w:val="006A139D"/>
    <w:rsid w:val="006A18CE"/>
    <w:rsid w:val="006A1DA0"/>
    <w:rsid w:val="006A4637"/>
    <w:rsid w:val="006A5406"/>
    <w:rsid w:val="006A5AC0"/>
    <w:rsid w:val="006A6293"/>
    <w:rsid w:val="006A756D"/>
    <w:rsid w:val="006B0060"/>
    <w:rsid w:val="006B2BB9"/>
    <w:rsid w:val="006B7B99"/>
    <w:rsid w:val="006C0759"/>
    <w:rsid w:val="006C081C"/>
    <w:rsid w:val="006C39F8"/>
    <w:rsid w:val="006C4E0B"/>
    <w:rsid w:val="006C601A"/>
    <w:rsid w:val="006C7B7B"/>
    <w:rsid w:val="006D188A"/>
    <w:rsid w:val="006D1D03"/>
    <w:rsid w:val="006D1F16"/>
    <w:rsid w:val="006D3E47"/>
    <w:rsid w:val="006D5624"/>
    <w:rsid w:val="006D7B19"/>
    <w:rsid w:val="006E1A08"/>
    <w:rsid w:val="006E1C09"/>
    <w:rsid w:val="006E2878"/>
    <w:rsid w:val="006E3869"/>
    <w:rsid w:val="006E49F2"/>
    <w:rsid w:val="006E6F6E"/>
    <w:rsid w:val="006F0C9C"/>
    <w:rsid w:val="006F2AA1"/>
    <w:rsid w:val="006F3FEA"/>
    <w:rsid w:val="006F66F9"/>
    <w:rsid w:val="006F6E13"/>
    <w:rsid w:val="006F7D50"/>
    <w:rsid w:val="007010C5"/>
    <w:rsid w:val="007011F1"/>
    <w:rsid w:val="00702549"/>
    <w:rsid w:val="00703C2C"/>
    <w:rsid w:val="00704376"/>
    <w:rsid w:val="00704515"/>
    <w:rsid w:val="00704BFF"/>
    <w:rsid w:val="00705603"/>
    <w:rsid w:val="007059D5"/>
    <w:rsid w:val="007073B3"/>
    <w:rsid w:val="00707467"/>
    <w:rsid w:val="0070795A"/>
    <w:rsid w:val="00710ED4"/>
    <w:rsid w:val="007114EE"/>
    <w:rsid w:val="00712396"/>
    <w:rsid w:val="007123D8"/>
    <w:rsid w:val="007127A1"/>
    <w:rsid w:val="00713ACE"/>
    <w:rsid w:val="007143CF"/>
    <w:rsid w:val="007144D3"/>
    <w:rsid w:val="00715B01"/>
    <w:rsid w:val="00715F82"/>
    <w:rsid w:val="00716349"/>
    <w:rsid w:val="0071749C"/>
    <w:rsid w:val="00717A41"/>
    <w:rsid w:val="00717CB5"/>
    <w:rsid w:val="007207E7"/>
    <w:rsid w:val="00721FB3"/>
    <w:rsid w:val="00724460"/>
    <w:rsid w:val="007258AC"/>
    <w:rsid w:val="00726CAE"/>
    <w:rsid w:val="00727B88"/>
    <w:rsid w:val="00731ED5"/>
    <w:rsid w:val="00732118"/>
    <w:rsid w:val="00732B0D"/>
    <w:rsid w:val="00733CD8"/>
    <w:rsid w:val="007412B6"/>
    <w:rsid w:val="00745A57"/>
    <w:rsid w:val="00751171"/>
    <w:rsid w:val="007511D6"/>
    <w:rsid w:val="0075204A"/>
    <w:rsid w:val="00753DF4"/>
    <w:rsid w:val="007540FF"/>
    <w:rsid w:val="00761EDC"/>
    <w:rsid w:val="007636EC"/>
    <w:rsid w:val="0076442A"/>
    <w:rsid w:val="00764BD9"/>
    <w:rsid w:val="007652A4"/>
    <w:rsid w:val="00766996"/>
    <w:rsid w:val="00766A6E"/>
    <w:rsid w:val="00767D37"/>
    <w:rsid w:val="007719CE"/>
    <w:rsid w:val="00774503"/>
    <w:rsid w:val="00774D16"/>
    <w:rsid w:val="007751D0"/>
    <w:rsid w:val="00777CD2"/>
    <w:rsid w:val="0078038F"/>
    <w:rsid w:val="007810DF"/>
    <w:rsid w:val="007810F7"/>
    <w:rsid w:val="00785FE9"/>
    <w:rsid w:val="0078610A"/>
    <w:rsid w:val="00786BFD"/>
    <w:rsid w:val="00786E04"/>
    <w:rsid w:val="00790B02"/>
    <w:rsid w:val="00791BB5"/>
    <w:rsid w:val="0079215B"/>
    <w:rsid w:val="00792B4B"/>
    <w:rsid w:val="00793142"/>
    <w:rsid w:val="0079473D"/>
    <w:rsid w:val="007949B7"/>
    <w:rsid w:val="00794C78"/>
    <w:rsid w:val="007950E6"/>
    <w:rsid w:val="00796026"/>
    <w:rsid w:val="007966BC"/>
    <w:rsid w:val="007A0F33"/>
    <w:rsid w:val="007A2804"/>
    <w:rsid w:val="007A3359"/>
    <w:rsid w:val="007A425E"/>
    <w:rsid w:val="007A5772"/>
    <w:rsid w:val="007A72AE"/>
    <w:rsid w:val="007A7673"/>
    <w:rsid w:val="007A7F79"/>
    <w:rsid w:val="007B06A7"/>
    <w:rsid w:val="007B0D19"/>
    <w:rsid w:val="007B0E43"/>
    <w:rsid w:val="007B1DEB"/>
    <w:rsid w:val="007B3A88"/>
    <w:rsid w:val="007B3E3C"/>
    <w:rsid w:val="007B4DD8"/>
    <w:rsid w:val="007B5207"/>
    <w:rsid w:val="007B5F34"/>
    <w:rsid w:val="007B61A6"/>
    <w:rsid w:val="007C283D"/>
    <w:rsid w:val="007C3D70"/>
    <w:rsid w:val="007C4E1B"/>
    <w:rsid w:val="007C4ED4"/>
    <w:rsid w:val="007C627C"/>
    <w:rsid w:val="007C7039"/>
    <w:rsid w:val="007D3D33"/>
    <w:rsid w:val="007D46C2"/>
    <w:rsid w:val="007D62ED"/>
    <w:rsid w:val="007D66E2"/>
    <w:rsid w:val="007D71EE"/>
    <w:rsid w:val="007E0418"/>
    <w:rsid w:val="007E1677"/>
    <w:rsid w:val="007E30BF"/>
    <w:rsid w:val="007E42A6"/>
    <w:rsid w:val="007F1925"/>
    <w:rsid w:val="007F20D2"/>
    <w:rsid w:val="007F2CB0"/>
    <w:rsid w:val="007F6950"/>
    <w:rsid w:val="008006D6"/>
    <w:rsid w:val="008043E5"/>
    <w:rsid w:val="0080491D"/>
    <w:rsid w:val="00804A1A"/>
    <w:rsid w:val="00804AB9"/>
    <w:rsid w:val="00804D7D"/>
    <w:rsid w:val="00804F81"/>
    <w:rsid w:val="0080570B"/>
    <w:rsid w:val="00806116"/>
    <w:rsid w:val="008073CA"/>
    <w:rsid w:val="0081073D"/>
    <w:rsid w:val="00812AED"/>
    <w:rsid w:val="00813A06"/>
    <w:rsid w:val="00814376"/>
    <w:rsid w:val="00817077"/>
    <w:rsid w:val="00817EE9"/>
    <w:rsid w:val="00820416"/>
    <w:rsid w:val="00822F95"/>
    <w:rsid w:val="00825343"/>
    <w:rsid w:val="0083056C"/>
    <w:rsid w:val="00830DD9"/>
    <w:rsid w:val="008323ED"/>
    <w:rsid w:val="008345F5"/>
    <w:rsid w:val="00834A58"/>
    <w:rsid w:val="008351D9"/>
    <w:rsid w:val="00835955"/>
    <w:rsid w:val="00836E6B"/>
    <w:rsid w:val="0083756C"/>
    <w:rsid w:val="0084002F"/>
    <w:rsid w:val="0084246B"/>
    <w:rsid w:val="00842BE6"/>
    <w:rsid w:val="00842C46"/>
    <w:rsid w:val="0084613D"/>
    <w:rsid w:val="00846701"/>
    <w:rsid w:val="0085214D"/>
    <w:rsid w:val="00856CCA"/>
    <w:rsid w:val="008574EE"/>
    <w:rsid w:val="00857917"/>
    <w:rsid w:val="0086064C"/>
    <w:rsid w:val="00860972"/>
    <w:rsid w:val="00860C86"/>
    <w:rsid w:val="0086178F"/>
    <w:rsid w:val="008617E2"/>
    <w:rsid w:val="008624D5"/>
    <w:rsid w:val="00864142"/>
    <w:rsid w:val="008646B6"/>
    <w:rsid w:val="00864D1F"/>
    <w:rsid w:val="0087086E"/>
    <w:rsid w:val="008708E6"/>
    <w:rsid w:val="00870A7E"/>
    <w:rsid w:val="00871CA6"/>
    <w:rsid w:val="00875152"/>
    <w:rsid w:val="00875476"/>
    <w:rsid w:val="008806D1"/>
    <w:rsid w:val="00881AA0"/>
    <w:rsid w:val="00882AB5"/>
    <w:rsid w:val="00882B1D"/>
    <w:rsid w:val="0088672C"/>
    <w:rsid w:val="00887BAB"/>
    <w:rsid w:val="00891ED6"/>
    <w:rsid w:val="008921B4"/>
    <w:rsid w:val="00896BF5"/>
    <w:rsid w:val="008971D6"/>
    <w:rsid w:val="0089766E"/>
    <w:rsid w:val="008A0FC5"/>
    <w:rsid w:val="008A1D28"/>
    <w:rsid w:val="008A1F0C"/>
    <w:rsid w:val="008A40D1"/>
    <w:rsid w:val="008A4405"/>
    <w:rsid w:val="008A626A"/>
    <w:rsid w:val="008B0A4F"/>
    <w:rsid w:val="008B2F4A"/>
    <w:rsid w:val="008B31AA"/>
    <w:rsid w:val="008B35A0"/>
    <w:rsid w:val="008B5018"/>
    <w:rsid w:val="008B541B"/>
    <w:rsid w:val="008B7B5E"/>
    <w:rsid w:val="008C2F0B"/>
    <w:rsid w:val="008C79A1"/>
    <w:rsid w:val="008D0BD1"/>
    <w:rsid w:val="008D2BCC"/>
    <w:rsid w:val="008D6AF9"/>
    <w:rsid w:val="008D6FCF"/>
    <w:rsid w:val="008D71DA"/>
    <w:rsid w:val="008E123A"/>
    <w:rsid w:val="008E72F3"/>
    <w:rsid w:val="008F1EDD"/>
    <w:rsid w:val="008F6EEF"/>
    <w:rsid w:val="008F7295"/>
    <w:rsid w:val="00900483"/>
    <w:rsid w:val="00901003"/>
    <w:rsid w:val="0090158E"/>
    <w:rsid w:val="00901EF6"/>
    <w:rsid w:val="0090351F"/>
    <w:rsid w:val="0090413E"/>
    <w:rsid w:val="009115DC"/>
    <w:rsid w:val="00912AB9"/>
    <w:rsid w:val="00912FB4"/>
    <w:rsid w:val="00913449"/>
    <w:rsid w:val="0091373A"/>
    <w:rsid w:val="00914930"/>
    <w:rsid w:val="00914FDA"/>
    <w:rsid w:val="00915DBF"/>
    <w:rsid w:val="00915E3D"/>
    <w:rsid w:val="0091782B"/>
    <w:rsid w:val="009216E3"/>
    <w:rsid w:val="00923885"/>
    <w:rsid w:val="00924CA4"/>
    <w:rsid w:val="00926745"/>
    <w:rsid w:val="009271B1"/>
    <w:rsid w:val="00927880"/>
    <w:rsid w:val="0093028F"/>
    <w:rsid w:val="00931054"/>
    <w:rsid w:val="00934700"/>
    <w:rsid w:val="00935055"/>
    <w:rsid w:val="00935B3A"/>
    <w:rsid w:val="00937EAD"/>
    <w:rsid w:val="009402AC"/>
    <w:rsid w:val="00940B2C"/>
    <w:rsid w:val="00941143"/>
    <w:rsid w:val="009420DD"/>
    <w:rsid w:val="00942D48"/>
    <w:rsid w:val="00943B74"/>
    <w:rsid w:val="00943F13"/>
    <w:rsid w:val="009441E2"/>
    <w:rsid w:val="009442DA"/>
    <w:rsid w:val="00945A10"/>
    <w:rsid w:val="009471DF"/>
    <w:rsid w:val="009475E2"/>
    <w:rsid w:val="009515F4"/>
    <w:rsid w:val="009523DD"/>
    <w:rsid w:val="00956066"/>
    <w:rsid w:val="0096019B"/>
    <w:rsid w:val="00960D03"/>
    <w:rsid w:val="00963680"/>
    <w:rsid w:val="009639A6"/>
    <w:rsid w:val="009647EC"/>
    <w:rsid w:val="00964D3F"/>
    <w:rsid w:val="009656B1"/>
    <w:rsid w:val="00965B6B"/>
    <w:rsid w:val="009676DE"/>
    <w:rsid w:val="009700D9"/>
    <w:rsid w:val="009730B7"/>
    <w:rsid w:val="0097424D"/>
    <w:rsid w:val="00976331"/>
    <w:rsid w:val="00980246"/>
    <w:rsid w:val="009803B8"/>
    <w:rsid w:val="0098108D"/>
    <w:rsid w:val="00983492"/>
    <w:rsid w:val="00984A35"/>
    <w:rsid w:val="00985C15"/>
    <w:rsid w:val="009863C9"/>
    <w:rsid w:val="00986BA2"/>
    <w:rsid w:val="009906FA"/>
    <w:rsid w:val="009925BA"/>
    <w:rsid w:val="00992B04"/>
    <w:rsid w:val="0099549B"/>
    <w:rsid w:val="00995C92"/>
    <w:rsid w:val="009966A7"/>
    <w:rsid w:val="009970AD"/>
    <w:rsid w:val="009A0370"/>
    <w:rsid w:val="009A1C36"/>
    <w:rsid w:val="009A38EF"/>
    <w:rsid w:val="009A3E56"/>
    <w:rsid w:val="009A46BB"/>
    <w:rsid w:val="009A50C3"/>
    <w:rsid w:val="009A6DCA"/>
    <w:rsid w:val="009A6E97"/>
    <w:rsid w:val="009B00FD"/>
    <w:rsid w:val="009B241E"/>
    <w:rsid w:val="009B375E"/>
    <w:rsid w:val="009B38D1"/>
    <w:rsid w:val="009B3C9F"/>
    <w:rsid w:val="009B4116"/>
    <w:rsid w:val="009B47E8"/>
    <w:rsid w:val="009B5563"/>
    <w:rsid w:val="009B788E"/>
    <w:rsid w:val="009C0B9F"/>
    <w:rsid w:val="009C1399"/>
    <w:rsid w:val="009C2A10"/>
    <w:rsid w:val="009C4625"/>
    <w:rsid w:val="009C5A11"/>
    <w:rsid w:val="009D0C41"/>
    <w:rsid w:val="009D1EA2"/>
    <w:rsid w:val="009D48D8"/>
    <w:rsid w:val="009D4E60"/>
    <w:rsid w:val="009E006C"/>
    <w:rsid w:val="009E0141"/>
    <w:rsid w:val="009E2295"/>
    <w:rsid w:val="009E234B"/>
    <w:rsid w:val="009E29EA"/>
    <w:rsid w:val="009E3152"/>
    <w:rsid w:val="009E424D"/>
    <w:rsid w:val="009E53BC"/>
    <w:rsid w:val="009E5BE7"/>
    <w:rsid w:val="009E6C00"/>
    <w:rsid w:val="009E7738"/>
    <w:rsid w:val="009F0E06"/>
    <w:rsid w:val="009F11EE"/>
    <w:rsid w:val="009F38EA"/>
    <w:rsid w:val="009F3C77"/>
    <w:rsid w:val="009F44A0"/>
    <w:rsid w:val="009F469A"/>
    <w:rsid w:val="009F4839"/>
    <w:rsid w:val="009F4E60"/>
    <w:rsid w:val="009F52F3"/>
    <w:rsid w:val="009F675A"/>
    <w:rsid w:val="009F6E39"/>
    <w:rsid w:val="00A00DC0"/>
    <w:rsid w:val="00A02CAC"/>
    <w:rsid w:val="00A05334"/>
    <w:rsid w:val="00A05987"/>
    <w:rsid w:val="00A10441"/>
    <w:rsid w:val="00A10DEF"/>
    <w:rsid w:val="00A12A32"/>
    <w:rsid w:val="00A13C0A"/>
    <w:rsid w:val="00A13CFA"/>
    <w:rsid w:val="00A15094"/>
    <w:rsid w:val="00A17288"/>
    <w:rsid w:val="00A21F98"/>
    <w:rsid w:val="00A22DC0"/>
    <w:rsid w:val="00A2300C"/>
    <w:rsid w:val="00A26549"/>
    <w:rsid w:val="00A30FDD"/>
    <w:rsid w:val="00A31139"/>
    <w:rsid w:val="00A34791"/>
    <w:rsid w:val="00A36190"/>
    <w:rsid w:val="00A41ABB"/>
    <w:rsid w:val="00A41C21"/>
    <w:rsid w:val="00A434C3"/>
    <w:rsid w:val="00A43664"/>
    <w:rsid w:val="00A43CEE"/>
    <w:rsid w:val="00A44F5A"/>
    <w:rsid w:val="00A45A73"/>
    <w:rsid w:val="00A47DA7"/>
    <w:rsid w:val="00A52C99"/>
    <w:rsid w:val="00A52DE7"/>
    <w:rsid w:val="00A52ECD"/>
    <w:rsid w:val="00A53140"/>
    <w:rsid w:val="00A534DC"/>
    <w:rsid w:val="00A535DF"/>
    <w:rsid w:val="00A55023"/>
    <w:rsid w:val="00A56199"/>
    <w:rsid w:val="00A56B86"/>
    <w:rsid w:val="00A57B59"/>
    <w:rsid w:val="00A626D4"/>
    <w:rsid w:val="00A6313B"/>
    <w:rsid w:val="00A6317A"/>
    <w:rsid w:val="00A632EF"/>
    <w:rsid w:val="00A63D7B"/>
    <w:rsid w:val="00A66CD5"/>
    <w:rsid w:val="00A66DDE"/>
    <w:rsid w:val="00A67647"/>
    <w:rsid w:val="00A677E9"/>
    <w:rsid w:val="00A70B00"/>
    <w:rsid w:val="00A729D4"/>
    <w:rsid w:val="00A731EF"/>
    <w:rsid w:val="00A740AB"/>
    <w:rsid w:val="00A75EE2"/>
    <w:rsid w:val="00A76E9F"/>
    <w:rsid w:val="00A808C1"/>
    <w:rsid w:val="00A82306"/>
    <w:rsid w:val="00A834BF"/>
    <w:rsid w:val="00A8356E"/>
    <w:rsid w:val="00A83848"/>
    <w:rsid w:val="00A87249"/>
    <w:rsid w:val="00A90769"/>
    <w:rsid w:val="00A972E2"/>
    <w:rsid w:val="00A973AA"/>
    <w:rsid w:val="00A97C9C"/>
    <w:rsid w:val="00AA05AC"/>
    <w:rsid w:val="00AA0EDA"/>
    <w:rsid w:val="00AA1710"/>
    <w:rsid w:val="00AA177A"/>
    <w:rsid w:val="00AA1E7D"/>
    <w:rsid w:val="00AA3CEB"/>
    <w:rsid w:val="00AA40D5"/>
    <w:rsid w:val="00AA4573"/>
    <w:rsid w:val="00AA46FC"/>
    <w:rsid w:val="00AA6EDD"/>
    <w:rsid w:val="00AB0AD2"/>
    <w:rsid w:val="00AB2E02"/>
    <w:rsid w:val="00AB4DC3"/>
    <w:rsid w:val="00AB63DE"/>
    <w:rsid w:val="00AB6E4A"/>
    <w:rsid w:val="00AB72BE"/>
    <w:rsid w:val="00AC153B"/>
    <w:rsid w:val="00AC6DE4"/>
    <w:rsid w:val="00AC775D"/>
    <w:rsid w:val="00AD022F"/>
    <w:rsid w:val="00AD113F"/>
    <w:rsid w:val="00AD26AB"/>
    <w:rsid w:val="00AD2C8F"/>
    <w:rsid w:val="00AD3728"/>
    <w:rsid w:val="00AD3AAA"/>
    <w:rsid w:val="00AD420A"/>
    <w:rsid w:val="00AD5A85"/>
    <w:rsid w:val="00AD75AC"/>
    <w:rsid w:val="00AD7637"/>
    <w:rsid w:val="00AD79C2"/>
    <w:rsid w:val="00AD7A56"/>
    <w:rsid w:val="00AE1BE1"/>
    <w:rsid w:val="00AE21DD"/>
    <w:rsid w:val="00AE28E7"/>
    <w:rsid w:val="00AE2AB8"/>
    <w:rsid w:val="00AE4151"/>
    <w:rsid w:val="00AE4EA5"/>
    <w:rsid w:val="00AE6E05"/>
    <w:rsid w:val="00AE6F58"/>
    <w:rsid w:val="00AF0344"/>
    <w:rsid w:val="00AF2C11"/>
    <w:rsid w:val="00AF2FC1"/>
    <w:rsid w:val="00AF3788"/>
    <w:rsid w:val="00AF44A2"/>
    <w:rsid w:val="00AF4870"/>
    <w:rsid w:val="00AF50AD"/>
    <w:rsid w:val="00AF5252"/>
    <w:rsid w:val="00AF5262"/>
    <w:rsid w:val="00AF6126"/>
    <w:rsid w:val="00AF7928"/>
    <w:rsid w:val="00B02454"/>
    <w:rsid w:val="00B0532F"/>
    <w:rsid w:val="00B07725"/>
    <w:rsid w:val="00B07BC4"/>
    <w:rsid w:val="00B07CE5"/>
    <w:rsid w:val="00B111EC"/>
    <w:rsid w:val="00B153E2"/>
    <w:rsid w:val="00B165F4"/>
    <w:rsid w:val="00B16AA1"/>
    <w:rsid w:val="00B17FCA"/>
    <w:rsid w:val="00B2062E"/>
    <w:rsid w:val="00B21222"/>
    <w:rsid w:val="00B21E30"/>
    <w:rsid w:val="00B239BB"/>
    <w:rsid w:val="00B240ED"/>
    <w:rsid w:val="00B26147"/>
    <w:rsid w:val="00B26E3E"/>
    <w:rsid w:val="00B31268"/>
    <w:rsid w:val="00B3152B"/>
    <w:rsid w:val="00B32569"/>
    <w:rsid w:val="00B35B61"/>
    <w:rsid w:val="00B35DAD"/>
    <w:rsid w:val="00B363D8"/>
    <w:rsid w:val="00B36D2C"/>
    <w:rsid w:val="00B36D31"/>
    <w:rsid w:val="00B36F3E"/>
    <w:rsid w:val="00B40B4F"/>
    <w:rsid w:val="00B463BB"/>
    <w:rsid w:val="00B47047"/>
    <w:rsid w:val="00B47443"/>
    <w:rsid w:val="00B50E9F"/>
    <w:rsid w:val="00B5377A"/>
    <w:rsid w:val="00B54159"/>
    <w:rsid w:val="00B55C3D"/>
    <w:rsid w:val="00B56050"/>
    <w:rsid w:val="00B5664B"/>
    <w:rsid w:val="00B60352"/>
    <w:rsid w:val="00B6181C"/>
    <w:rsid w:val="00B629ED"/>
    <w:rsid w:val="00B657EF"/>
    <w:rsid w:val="00B66231"/>
    <w:rsid w:val="00B708D9"/>
    <w:rsid w:val="00B70ADB"/>
    <w:rsid w:val="00B747A8"/>
    <w:rsid w:val="00B77155"/>
    <w:rsid w:val="00B77868"/>
    <w:rsid w:val="00B819FA"/>
    <w:rsid w:val="00B8305F"/>
    <w:rsid w:val="00B831AD"/>
    <w:rsid w:val="00B83FB6"/>
    <w:rsid w:val="00B925C9"/>
    <w:rsid w:val="00B93BCB"/>
    <w:rsid w:val="00B95333"/>
    <w:rsid w:val="00B97D99"/>
    <w:rsid w:val="00B97EE3"/>
    <w:rsid w:val="00BA6387"/>
    <w:rsid w:val="00BA6BD3"/>
    <w:rsid w:val="00BA6C9C"/>
    <w:rsid w:val="00BA6D49"/>
    <w:rsid w:val="00BA7691"/>
    <w:rsid w:val="00BA7BC6"/>
    <w:rsid w:val="00BB2DFD"/>
    <w:rsid w:val="00BB3466"/>
    <w:rsid w:val="00BB34AD"/>
    <w:rsid w:val="00BB3BEF"/>
    <w:rsid w:val="00BB3FF2"/>
    <w:rsid w:val="00BB51F3"/>
    <w:rsid w:val="00BC2143"/>
    <w:rsid w:val="00BD0F03"/>
    <w:rsid w:val="00BD146A"/>
    <w:rsid w:val="00BD34F2"/>
    <w:rsid w:val="00BD50B2"/>
    <w:rsid w:val="00BE23BF"/>
    <w:rsid w:val="00BE3D19"/>
    <w:rsid w:val="00BE44E2"/>
    <w:rsid w:val="00BE5F41"/>
    <w:rsid w:val="00BE6948"/>
    <w:rsid w:val="00BE7337"/>
    <w:rsid w:val="00BF6496"/>
    <w:rsid w:val="00BF6BDA"/>
    <w:rsid w:val="00BF6DDD"/>
    <w:rsid w:val="00BF7560"/>
    <w:rsid w:val="00BF79FE"/>
    <w:rsid w:val="00C02CB8"/>
    <w:rsid w:val="00C02E4A"/>
    <w:rsid w:val="00C0459E"/>
    <w:rsid w:val="00C055A5"/>
    <w:rsid w:val="00C0565F"/>
    <w:rsid w:val="00C05AEB"/>
    <w:rsid w:val="00C05B88"/>
    <w:rsid w:val="00C078E7"/>
    <w:rsid w:val="00C07F7F"/>
    <w:rsid w:val="00C11AB2"/>
    <w:rsid w:val="00C12530"/>
    <w:rsid w:val="00C12C4A"/>
    <w:rsid w:val="00C132A5"/>
    <w:rsid w:val="00C136CB"/>
    <w:rsid w:val="00C14429"/>
    <w:rsid w:val="00C17499"/>
    <w:rsid w:val="00C17717"/>
    <w:rsid w:val="00C206A3"/>
    <w:rsid w:val="00C22221"/>
    <w:rsid w:val="00C235E0"/>
    <w:rsid w:val="00C247D8"/>
    <w:rsid w:val="00C26847"/>
    <w:rsid w:val="00C317F4"/>
    <w:rsid w:val="00C332BC"/>
    <w:rsid w:val="00C33771"/>
    <w:rsid w:val="00C33D86"/>
    <w:rsid w:val="00C34009"/>
    <w:rsid w:val="00C369D6"/>
    <w:rsid w:val="00C377E1"/>
    <w:rsid w:val="00C378FE"/>
    <w:rsid w:val="00C407FF"/>
    <w:rsid w:val="00C44FDC"/>
    <w:rsid w:val="00C45BFC"/>
    <w:rsid w:val="00C46037"/>
    <w:rsid w:val="00C4763A"/>
    <w:rsid w:val="00C522F6"/>
    <w:rsid w:val="00C528A9"/>
    <w:rsid w:val="00C52E0A"/>
    <w:rsid w:val="00C533E6"/>
    <w:rsid w:val="00C537EA"/>
    <w:rsid w:val="00C568AF"/>
    <w:rsid w:val="00C57649"/>
    <w:rsid w:val="00C57CA9"/>
    <w:rsid w:val="00C60D38"/>
    <w:rsid w:val="00C61848"/>
    <w:rsid w:val="00C61B0A"/>
    <w:rsid w:val="00C63D1E"/>
    <w:rsid w:val="00C667F3"/>
    <w:rsid w:val="00C712D2"/>
    <w:rsid w:val="00C71F7A"/>
    <w:rsid w:val="00C731FD"/>
    <w:rsid w:val="00C745E1"/>
    <w:rsid w:val="00C77B5C"/>
    <w:rsid w:val="00C80D08"/>
    <w:rsid w:val="00C810D4"/>
    <w:rsid w:val="00C81AFF"/>
    <w:rsid w:val="00C824C6"/>
    <w:rsid w:val="00C8275F"/>
    <w:rsid w:val="00C87068"/>
    <w:rsid w:val="00C87D73"/>
    <w:rsid w:val="00C90249"/>
    <w:rsid w:val="00C9162F"/>
    <w:rsid w:val="00C9456D"/>
    <w:rsid w:val="00C979B0"/>
    <w:rsid w:val="00CA25F2"/>
    <w:rsid w:val="00CA2F0A"/>
    <w:rsid w:val="00CA32C4"/>
    <w:rsid w:val="00CA4EA9"/>
    <w:rsid w:val="00CB0CAA"/>
    <w:rsid w:val="00CB2D8E"/>
    <w:rsid w:val="00CB3579"/>
    <w:rsid w:val="00CB37FD"/>
    <w:rsid w:val="00CB44AB"/>
    <w:rsid w:val="00CB4A0D"/>
    <w:rsid w:val="00CB59B9"/>
    <w:rsid w:val="00CB70C0"/>
    <w:rsid w:val="00CB77FF"/>
    <w:rsid w:val="00CC0731"/>
    <w:rsid w:val="00CC503D"/>
    <w:rsid w:val="00CC6F0A"/>
    <w:rsid w:val="00CC770C"/>
    <w:rsid w:val="00CD0AD4"/>
    <w:rsid w:val="00CD10C2"/>
    <w:rsid w:val="00CD215D"/>
    <w:rsid w:val="00CD272F"/>
    <w:rsid w:val="00CD2BEE"/>
    <w:rsid w:val="00CD359B"/>
    <w:rsid w:val="00CD49C3"/>
    <w:rsid w:val="00CD4DB6"/>
    <w:rsid w:val="00CD6628"/>
    <w:rsid w:val="00CE09EF"/>
    <w:rsid w:val="00CE4676"/>
    <w:rsid w:val="00CE4A81"/>
    <w:rsid w:val="00CE575B"/>
    <w:rsid w:val="00CE63C7"/>
    <w:rsid w:val="00CF19AE"/>
    <w:rsid w:val="00CF2FAE"/>
    <w:rsid w:val="00CF34F8"/>
    <w:rsid w:val="00CF4296"/>
    <w:rsid w:val="00CF61F7"/>
    <w:rsid w:val="00D010B4"/>
    <w:rsid w:val="00D01F7E"/>
    <w:rsid w:val="00D03A92"/>
    <w:rsid w:val="00D04440"/>
    <w:rsid w:val="00D11A1E"/>
    <w:rsid w:val="00D131FE"/>
    <w:rsid w:val="00D13D07"/>
    <w:rsid w:val="00D1410A"/>
    <w:rsid w:val="00D1443B"/>
    <w:rsid w:val="00D177EA"/>
    <w:rsid w:val="00D23032"/>
    <w:rsid w:val="00D2310D"/>
    <w:rsid w:val="00D2331B"/>
    <w:rsid w:val="00D237FD"/>
    <w:rsid w:val="00D24036"/>
    <w:rsid w:val="00D24257"/>
    <w:rsid w:val="00D269B6"/>
    <w:rsid w:val="00D30622"/>
    <w:rsid w:val="00D36425"/>
    <w:rsid w:val="00D36BB6"/>
    <w:rsid w:val="00D406AD"/>
    <w:rsid w:val="00D44567"/>
    <w:rsid w:val="00D456F5"/>
    <w:rsid w:val="00D46215"/>
    <w:rsid w:val="00D47F63"/>
    <w:rsid w:val="00D512D0"/>
    <w:rsid w:val="00D51C69"/>
    <w:rsid w:val="00D531DA"/>
    <w:rsid w:val="00D53DEB"/>
    <w:rsid w:val="00D57DE8"/>
    <w:rsid w:val="00D61B49"/>
    <w:rsid w:val="00D63699"/>
    <w:rsid w:val="00D655D6"/>
    <w:rsid w:val="00D65DCF"/>
    <w:rsid w:val="00D6697F"/>
    <w:rsid w:val="00D72D85"/>
    <w:rsid w:val="00D73A95"/>
    <w:rsid w:val="00D73AAD"/>
    <w:rsid w:val="00D75842"/>
    <w:rsid w:val="00D824EE"/>
    <w:rsid w:val="00D86FF7"/>
    <w:rsid w:val="00D872A9"/>
    <w:rsid w:val="00D8778E"/>
    <w:rsid w:val="00D90004"/>
    <w:rsid w:val="00D9068D"/>
    <w:rsid w:val="00D91703"/>
    <w:rsid w:val="00D91B4A"/>
    <w:rsid w:val="00D924A4"/>
    <w:rsid w:val="00DA43CC"/>
    <w:rsid w:val="00DB435B"/>
    <w:rsid w:val="00DB553E"/>
    <w:rsid w:val="00DB5CD6"/>
    <w:rsid w:val="00DB66AF"/>
    <w:rsid w:val="00DB6A0F"/>
    <w:rsid w:val="00DB7095"/>
    <w:rsid w:val="00DB7617"/>
    <w:rsid w:val="00DB7701"/>
    <w:rsid w:val="00DB7B7C"/>
    <w:rsid w:val="00DC25E0"/>
    <w:rsid w:val="00DC2926"/>
    <w:rsid w:val="00DC427B"/>
    <w:rsid w:val="00DC4559"/>
    <w:rsid w:val="00DC7775"/>
    <w:rsid w:val="00DC7C16"/>
    <w:rsid w:val="00DD113C"/>
    <w:rsid w:val="00DD189E"/>
    <w:rsid w:val="00DD1D89"/>
    <w:rsid w:val="00DD265E"/>
    <w:rsid w:val="00DD4A21"/>
    <w:rsid w:val="00DD65B7"/>
    <w:rsid w:val="00DD6DF0"/>
    <w:rsid w:val="00DE2D41"/>
    <w:rsid w:val="00DE442C"/>
    <w:rsid w:val="00DE49BD"/>
    <w:rsid w:val="00DE58C5"/>
    <w:rsid w:val="00DE6141"/>
    <w:rsid w:val="00DE6E5E"/>
    <w:rsid w:val="00DE727A"/>
    <w:rsid w:val="00DF4603"/>
    <w:rsid w:val="00E0031C"/>
    <w:rsid w:val="00E006A3"/>
    <w:rsid w:val="00E00D28"/>
    <w:rsid w:val="00E0138A"/>
    <w:rsid w:val="00E05B4B"/>
    <w:rsid w:val="00E06430"/>
    <w:rsid w:val="00E0741D"/>
    <w:rsid w:val="00E121E0"/>
    <w:rsid w:val="00E1665E"/>
    <w:rsid w:val="00E1675E"/>
    <w:rsid w:val="00E16975"/>
    <w:rsid w:val="00E17484"/>
    <w:rsid w:val="00E208F5"/>
    <w:rsid w:val="00E20A6F"/>
    <w:rsid w:val="00E22463"/>
    <w:rsid w:val="00E23065"/>
    <w:rsid w:val="00E23288"/>
    <w:rsid w:val="00E23871"/>
    <w:rsid w:val="00E23B91"/>
    <w:rsid w:val="00E24561"/>
    <w:rsid w:val="00E2641A"/>
    <w:rsid w:val="00E265AE"/>
    <w:rsid w:val="00E2703C"/>
    <w:rsid w:val="00E2709D"/>
    <w:rsid w:val="00E30548"/>
    <w:rsid w:val="00E315C8"/>
    <w:rsid w:val="00E322E9"/>
    <w:rsid w:val="00E34992"/>
    <w:rsid w:val="00E34B72"/>
    <w:rsid w:val="00E35004"/>
    <w:rsid w:val="00E36E84"/>
    <w:rsid w:val="00E400EA"/>
    <w:rsid w:val="00E42BD7"/>
    <w:rsid w:val="00E4461F"/>
    <w:rsid w:val="00E45A6D"/>
    <w:rsid w:val="00E46EE5"/>
    <w:rsid w:val="00E47A5E"/>
    <w:rsid w:val="00E50A79"/>
    <w:rsid w:val="00E50B17"/>
    <w:rsid w:val="00E56E1E"/>
    <w:rsid w:val="00E57766"/>
    <w:rsid w:val="00E57F5E"/>
    <w:rsid w:val="00E60F88"/>
    <w:rsid w:val="00E60FB0"/>
    <w:rsid w:val="00E614A1"/>
    <w:rsid w:val="00E616E7"/>
    <w:rsid w:val="00E62D70"/>
    <w:rsid w:val="00E645E3"/>
    <w:rsid w:val="00E66487"/>
    <w:rsid w:val="00E67639"/>
    <w:rsid w:val="00E700AD"/>
    <w:rsid w:val="00E70E4C"/>
    <w:rsid w:val="00E71335"/>
    <w:rsid w:val="00E71A20"/>
    <w:rsid w:val="00E72583"/>
    <w:rsid w:val="00E74A84"/>
    <w:rsid w:val="00E74ABD"/>
    <w:rsid w:val="00E7577A"/>
    <w:rsid w:val="00E76F11"/>
    <w:rsid w:val="00E7711A"/>
    <w:rsid w:val="00E775C6"/>
    <w:rsid w:val="00E81365"/>
    <w:rsid w:val="00E8158E"/>
    <w:rsid w:val="00E81C55"/>
    <w:rsid w:val="00E83023"/>
    <w:rsid w:val="00E833E4"/>
    <w:rsid w:val="00E92EED"/>
    <w:rsid w:val="00E93A0F"/>
    <w:rsid w:val="00EA0D87"/>
    <w:rsid w:val="00EA3323"/>
    <w:rsid w:val="00EA3E66"/>
    <w:rsid w:val="00EA4D1B"/>
    <w:rsid w:val="00EB079F"/>
    <w:rsid w:val="00EB0C03"/>
    <w:rsid w:val="00EB0C5A"/>
    <w:rsid w:val="00EB272B"/>
    <w:rsid w:val="00EB324B"/>
    <w:rsid w:val="00EB336E"/>
    <w:rsid w:val="00EB4347"/>
    <w:rsid w:val="00EC0B43"/>
    <w:rsid w:val="00EC15E8"/>
    <w:rsid w:val="00EC17A7"/>
    <w:rsid w:val="00EC1B67"/>
    <w:rsid w:val="00EC1E7D"/>
    <w:rsid w:val="00EC5491"/>
    <w:rsid w:val="00EC5EB5"/>
    <w:rsid w:val="00EC699E"/>
    <w:rsid w:val="00ED227D"/>
    <w:rsid w:val="00ED2A5D"/>
    <w:rsid w:val="00ED5993"/>
    <w:rsid w:val="00ED7B6D"/>
    <w:rsid w:val="00ED7C05"/>
    <w:rsid w:val="00ED7DAD"/>
    <w:rsid w:val="00EE13AC"/>
    <w:rsid w:val="00EE1ABB"/>
    <w:rsid w:val="00EE3472"/>
    <w:rsid w:val="00EE36A1"/>
    <w:rsid w:val="00EE59CE"/>
    <w:rsid w:val="00EE66F3"/>
    <w:rsid w:val="00EE7F17"/>
    <w:rsid w:val="00EF2B7C"/>
    <w:rsid w:val="00EF3371"/>
    <w:rsid w:val="00EF72AB"/>
    <w:rsid w:val="00F0053E"/>
    <w:rsid w:val="00F02150"/>
    <w:rsid w:val="00F0247D"/>
    <w:rsid w:val="00F037D5"/>
    <w:rsid w:val="00F05238"/>
    <w:rsid w:val="00F07E48"/>
    <w:rsid w:val="00F11AA8"/>
    <w:rsid w:val="00F12449"/>
    <w:rsid w:val="00F1344C"/>
    <w:rsid w:val="00F2202C"/>
    <w:rsid w:val="00F2276F"/>
    <w:rsid w:val="00F239AB"/>
    <w:rsid w:val="00F2420E"/>
    <w:rsid w:val="00F2456C"/>
    <w:rsid w:val="00F24787"/>
    <w:rsid w:val="00F24CEC"/>
    <w:rsid w:val="00F250AF"/>
    <w:rsid w:val="00F26504"/>
    <w:rsid w:val="00F27223"/>
    <w:rsid w:val="00F27256"/>
    <w:rsid w:val="00F279C5"/>
    <w:rsid w:val="00F3025B"/>
    <w:rsid w:val="00F305FA"/>
    <w:rsid w:val="00F30F00"/>
    <w:rsid w:val="00F35739"/>
    <w:rsid w:val="00F3623C"/>
    <w:rsid w:val="00F363F0"/>
    <w:rsid w:val="00F376ED"/>
    <w:rsid w:val="00F37BE2"/>
    <w:rsid w:val="00F41116"/>
    <w:rsid w:val="00F44A88"/>
    <w:rsid w:val="00F44D20"/>
    <w:rsid w:val="00F4512C"/>
    <w:rsid w:val="00F4518C"/>
    <w:rsid w:val="00F4529D"/>
    <w:rsid w:val="00F4721A"/>
    <w:rsid w:val="00F53911"/>
    <w:rsid w:val="00F53F09"/>
    <w:rsid w:val="00F542EC"/>
    <w:rsid w:val="00F56B20"/>
    <w:rsid w:val="00F605F2"/>
    <w:rsid w:val="00F6085E"/>
    <w:rsid w:val="00F61316"/>
    <w:rsid w:val="00F6219B"/>
    <w:rsid w:val="00F64E0B"/>
    <w:rsid w:val="00F66308"/>
    <w:rsid w:val="00F66828"/>
    <w:rsid w:val="00F70A4B"/>
    <w:rsid w:val="00F71D54"/>
    <w:rsid w:val="00F72D66"/>
    <w:rsid w:val="00F7669F"/>
    <w:rsid w:val="00F8164B"/>
    <w:rsid w:val="00F82225"/>
    <w:rsid w:val="00F8303A"/>
    <w:rsid w:val="00F83C05"/>
    <w:rsid w:val="00F83D58"/>
    <w:rsid w:val="00F843CD"/>
    <w:rsid w:val="00F8521B"/>
    <w:rsid w:val="00F90F16"/>
    <w:rsid w:val="00F93344"/>
    <w:rsid w:val="00F935EE"/>
    <w:rsid w:val="00F94159"/>
    <w:rsid w:val="00FA04E6"/>
    <w:rsid w:val="00FA1677"/>
    <w:rsid w:val="00FA3D8C"/>
    <w:rsid w:val="00FA5FD9"/>
    <w:rsid w:val="00FA6232"/>
    <w:rsid w:val="00FA7995"/>
    <w:rsid w:val="00FB0252"/>
    <w:rsid w:val="00FB2344"/>
    <w:rsid w:val="00FB3E2B"/>
    <w:rsid w:val="00FB463A"/>
    <w:rsid w:val="00FB4CE6"/>
    <w:rsid w:val="00FB587F"/>
    <w:rsid w:val="00FB739F"/>
    <w:rsid w:val="00FC1219"/>
    <w:rsid w:val="00FC21A1"/>
    <w:rsid w:val="00FC32C5"/>
    <w:rsid w:val="00FC560E"/>
    <w:rsid w:val="00FC6C72"/>
    <w:rsid w:val="00FD05AB"/>
    <w:rsid w:val="00FD0A6C"/>
    <w:rsid w:val="00FD3D18"/>
    <w:rsid w:val="00FD42FE"/>
    <w:rsid w:val="00FD4ADC"/>
    <w:rsid w:val="00FD5003"/>
    <w:rsid w:val="00FD7C58"/>
    <w:rsid w:val="00FD7EBE"/>
    <w:rsid w:val="00FE066D"/>
    <w:rsid w:val="00FE1011"/>
    <w:rsid w:val="00FE1D80"/>
    <w:rsid w:val="00FE2F82"/>
    <w:rsid w:val="00FE498E"/>
    <w:rsid w:val="00FE6022"/>
    <w:rsid w:val="00FE6A73"/>
    <w:rsid w:val="00FE7808"/>
    <w:rsid w:val="00FF0372"/>
    <w:rsid w:val="00FF16EB"/>
    <w:rsid w:val="00FF24C6"/>
    <w:rsid w:val="00FF27AB"/>
    <w:rsid w:val="00FF2EB8"/>
    <w:rsid w:val="00FF3510"/>
    <w:rsid w:val="00FF3A59"/>
    <w:rsid w:val="00FF3F1C"/>
    <w:rsid w:val="00FF42E2"/>
    <w:rsid w:val="00FF4C58"/>
    <w:rsid w:val="00FF5931"/>
    <w:rsid w:val="00FF61D3"/>
    <w:rsid w:val="00FF6BB9"/>
    <w:rsid w:val="00FF6C7B"/>
    <w:rsid w:val="00FF7487"/>
    <w:rsid w:val="08BD5AA8"/>
    <w:rsid w:val="0EF1EFA8"/>
    <w:rsid w:val="1158E535"/>
    <w:rsid w:val="1572C004"/>
    <w:rsid w:val="19111F53"/>
    <w:rsid w:val="1C02B5CD"/>
    <w:rsid w:val="21EDB053"/>
    <w:rsid w:val="2213DDA9"/>
    <w:rsid w:val="2C9080E8"/>
    <w:rsid w:val="3353844A"/>
    <w:rsid w:val="3537DE72"/>
    <w:rsid w:val="3C37F710"/>
    <w:rsid w:val="42827836"/>
    <w:rsid w:val="452ACA34"/>
    <w:rsid w:val="4C573613"/>
    <w:rsid w:val="508B3E41"/>
    <w:rsid w:val="50E55DAA"/>
    <w:rsid w:val="5653E293"/>
    <w:rsid w:val="5760CAB9"/>
    <w:rsid w:val="594C62D1"/>
    <w:rsid w:val="5AE5E24D"/>
    <w:rsid w:val="64383B6D"/>
    <w:rsid w:val="6CCCBF95"/>
    <w:rsid w:val="6F725508"/>
    <w:rsid w:val="6FF06ECD"/>
    <w:rsid w:val="712F0D35"/>
    <w:rsid w:val="7A3EEEF6"/>
    <w:rsid w:val="7CDDAE4B"/>
    <w:rsid w:val="7F1B97B8"/>
    <w:rsid w:val="7FC4AD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1D9BDA44-1A42-4476-8100-A23DD5E5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401EC"/>
    <w:pPr>
      <w:autoSpaceDE w:val="0"/>
      <w:autoSpaceDN w:val="0"/>
      <w:adjustRightInd w:val="0"/>
      <w:ind w:left="720"/>
    </w:pPr>
    <w:rPr>
      <w:sz w:val="24"/>
      <w:szCs w:val="24"/>
    </w:rPr>
  </w:style>
  <w:style w:type="paragraph" w:styleId="Heading1">
    <w:name w:val="heading 1"/>
    <w:basedOn w:val="Normal"/>
    <w:next w:val="Normal"/>
    <w:link w:val="Heading1Char"/>
    <w:qFormat/>
    <w:rsid w:val="009A46BB"/>
    <w:pPr>
      <w:numPr>
        <w:numId w:val="8"/>
      </w:numPr>
      <w:ind w:hanging="720"/>
      <w:outlineLvl w:val="0"/>
    </w:pPr>
    <w:rPr>
      <w:b/>
      <w:bCs/>
    </w:rPr>
  </w:style>
  <w:style w:type="paragraph" w:styleId="Heading2">
    <w:name w:val="heading 2"/>
    <w:basedOn w:val="Normal"/>
    <w:next w:val="Normal"/>
    <w:link w:val="Heading2Char"/>
    <w:uiPriority w:val="9"/>
    <w:qFormat/>
    <w:rsid w:val="00891ED6"/>
    <w:pPr>
      <w:numPr>
        <w:numId w:val="17"/>
      </w:numPr>
      <w:ind w:hanging="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qFormat/>
    <w:rsid w:val="00690F56"/>
    <w:rPr>
      <w:vertAlign w:val="superscript"/>
    </w:rPr>
  </w:style>
  <w:style w:type="paragraph" w:customStyle="1" w:styleId="Level1">
    <w:name w:val="Level 1"/>
    <w:basedOn w:val="Normal"/>
    <w:rsid w:val="00690F56"/>
    <w:pPr>
      <w:ind w:left="360" w:hanging="360"/>
    </w:pPr>
  </w:style>
  <w:style w:type="paragraph" w:customStyle="1" w:styleId="Level2">
    <w:name w:val="Level 2"/>
    <w:basedOn w:val="Normal"/>
    <w:rsid w:val="00CD215D"/>
    <w:pPr>
      <w:ind w:left="990" w:hanging="270"/>
    </w:pPr>
  </w:style>
  <w:style w:type="character" w:customStyle="1" w:styleId="Heading2Char">
    <w:name w:val="Heading 2 Char"/>
    <w:link w:val="Heading2"/>
    <w:rsid w:val="00891ED6"/>
    <w:rPr>
      <w:b/>
      <w:bCs/>
      <w:sz w:val="24"/>
      <w:szCs w:val="24"/>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autoSpaceDE/>
      <w:autoSpaceDN/>
      <w:adjustRightInd/>
      <w:spacing w:before="100" w:beforeAutospacing="1" w:after="100" w:afterAutospacing="1"/>
      <w:ind w:firstLine="480"/>
    </w:pPr>
  </w:style>
  <w:style w:type="paragraph" w:styleId="ListParagraph">
    <w:name w:val="List Paragraph"/>
    <w:basedOn w:val="Normal"/>
    <w:uiPriority w:val="34"/>
    <w:qFormat/>
    <w:rsid w:val="00882B1D"/>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customStyle="1" w:styleId="Quick1">
    <w:name w:val="Quick 1."/>
    <w:basedOn w:val="Normal"/>
    <w:rsid w:val="00A75EE2"/>
    <w:pPr>
      <w:numPr>
        <w:numId w:val="14"/>
      </w:numPr>
      <w:ind w:hanging="720"/>
    </w:pPr>
    <w:rPr>
      <w:rFonts w:ascii="Courier" w:hAnsi="Courier"/>
    </w:rPr>
  </w:style>
  <w:style w:type="paragraph" w:styleId="BodyText">
    <w:name w:val="Body Text"/>
    <w:basedOn w:val="Normal"/>
    <w:link w:val="BodyTextChar"/>
    <w:rsid w:val="00A75EE2"/>
    <w:rPr>
      <w:szCs w:val="20"/>
    </w:rPr>
  </w:style>
  <w:style w:type="character" w:customStyle="1" w:styleId="BodyTextChar">
    <w:name w:val="Body Text Char"/>
    <w:basedOn w:val="DefaultParagraphFont"/>
    <w:link w:val="BodyText"/>
    <w:rsid w:val="00A75EE2"/>
    <w:rPr>
      <w:sz w:val="24"/>
    </w:rPr>
  </w:style>
  <w:style w:type="paragraph" w:styleId="FootnoteText">
    <w:name w:val="footnote text"/>
    <w:basedOn w:val="Normal"/>
    <w:link w:val="FootnoteTextChar"/>
    <w:uiPriority w:val="99"/>
    <w:qFormat/>
    <w:rsid w:val="000B26AD"/>
    <w:rPr>
      <w:sz w:val="20"/>
      <w:szCs w:val="20"/>
    </w:rPr>
  </w:style>
  <w:style w:type="character" w:customStyle="1" w:styleId="FootnoteTextChar">
    <w:name w:val="Footnote Text Char"/>
    <w:basedOn w:val="DefaultParagraphFont"/>
    <w:link w:val="FootnoteText"/>
    <w:uiPriority w:val="99"/>
    <w:rsid w:val="000B26AD"/>
  </w:style>
  <w:style w:type="character" w:styleId="Hyperlink">
    <w:name w:val="Hyperlink"/>
    <w:uiPriority w:val="99"/>
    <w:rsid w:val="002F390A"/>
    <w:rPr>
      <w:color w:val="0000FF"/>
      <w:u w:val="single"/>
    </w:rPr>
  </w:style>
  <w:style w:type="character" w:customStyle="1" w:styleId="Heading1Char">
    <w:name w:val="Heading 1 Char"/>
    <w:basedOn w:val="DefaultParagraphFont"/>
    <w:link w:val="Heading1"/>
    <w:rsid w:val="009A46BB"/>
    <w:rPr>
      <w:b/>
      <w:bCs/>
      <w:sz w:val="24"/>
      <w:szCs w:val="24"/>
    </w:rPr>
  </w:style>
  <w:style w:type="paragraph" w:styleId="BodyTextIndent">
    <w:name w:val="Body Text Indent"/>
    <w:basedOn w:val="Normal"/>
    <w:link w:val="BodyTextIndentChar"/>
    <w:rsid w:val="00BE3D19"/>
    <w:pPr>
      <w:spacing w:after="120"/>
      <w:ind w:left="360"/>
    </w:pPr>
  </w:style>
  <w:style w:type="character" w:customStyle="1" w:styleId="BodyTextIndentChar">
    <w:name w:val="Body Text Indent Char"/>
    <w:basedOn w:val="DefaultParagraphFont"/>
    <w:link w:val="BodyTextIndent"/>
    <w:rsid w:val="00BE3D19"/>
    <w:rPr>
      <w:sz w:val="24"/>
      <w:szCs w:val="24"/>
    </w:rPr>
  </w:style>
  <w:style w:type="character" w:customStyle="1" w:styleId="ui-provider">
    <w:name w:val="ui-provider"/>
    <w:basedOn w:val="DefaultParagraphFont"/>
    <w:rsid w:val="004C3AB6"/>
  </w:style>
  <w:style w:type="character" w:styleId="SubtleEmphasis">
    <w:name w:val="Subtle Emphasis"/>
    <w:basedOn w:val="DefaultParagraphFont"/>
    <w:uiPriority w:val="19"/>
    <w:qFormat/>
    <w:rsid w:val="00350CF1"/>
    <w:rPr>
      <w:i/>
      <w:iCs/>
      <w:color w:val="404040" w:themeColor="text1" w:themeTint="BF"/>
    </w:rPr>
  </w:style>
  <w:style w:type="character" w:styleId="Mention">
    <w:name w:val="Mention"/>
    <w:basedOn w:val="DefaultParagraphFont"/>
    <w:uiPriority w:val="99"/>
    <w:unhideWhenUsed/>
    <w:rsid w:val="00CB77FF"/>
    <w:rPr>
      <w:color w:val="2B579A"/>
      <w:shd w:val="clear" w:color="auto" w:fill="E1DFDD"/>
    </w:rPr>
  </w:style>
  <w:style w:type="character" w:styleId="UnresolvedMention">
    <w:name w:val="Unresolved Mention"/>
    <w:basedOn w:val="DefaultParagraphFont"/>
    <w:uiPriority w:val="99"/>
    <w:semiHidden/>
    <w:unhideWhenUsed/>
    <w:rsid w:val="00BD0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agencies/ebsa/laws-and-regulations/rules-and-regulations/public-comments/1210-ZA07"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0" ma:contentTypeDescription="Create a new document." ma:contentTypeScope="" ma:versionID="2e43ce9856db20ef8fd6bfb4cec9254d">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9213cf6561ffeff7647aade5ec53be8e"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871A5D-EB97-4C2E-95F7-4C00D9D0B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6BB5E-7B92-4470-B888-74207D1B12CE}">
  <ds:schemaRefs>
    <ds:schemaRef ds:uri="http://schemas.openxmlformats.org/officeDocument/2006/bibliography"/>
  </ds:schemaRefs>
</ds:datastoreItem>
</file>

<file path=customXml/itemProps3.xml><?xml version="1.0" encoding="utf-8"?>
<ds:datastoreItem xmlns:ds="http://schemas.openxmlformats.org/officeDocument/2006/customXml" ds:itemID="{1FEB1CBB-8030-4308-90EB-E0D50EAEEC00}">
  <ds:schemaRefs>
    <ds:schemaRef ds:uri="http://schemas.microsoft.com/sharepoint/v3/contenttype/forms"/>
  </ds:schemaRefs>
</ds:datastoreItem>
</file>

<file path=customXml/itemProps4.xml><?xml version="1.0" encoding="utf-8"?>
<ds:datastoreItem xmlns:ds="http://schemas.openxmlformats.org/officeDocument/2006/customXml" ds:itemID="{ABDE3F34-06D8-4493-B865-BF76D8C267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9226</Words>
  <Characters>52592</Characters>
  <Application>Microsoft Office Word</Application>
  <DocSecurity>0</DocSecurity>
  <Lines>438</Lines>
  <Paragraphs>123</Paragraphs>
  <ScaleCrop>false</ScaleCrop>
  <Company>OSHA</Company>
  <LinksUpToDate>false</LinksUpToDate>
  <CharactersWithSpaces>61695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Mariam Khan</cp:lastModifiedBy>
  <cp:revision>2</cp:revision>
  <cp:lastPrinted>2020-02-20T03:46:00Z</cp:lastPrinted>
  <dcterms:created xsi:type="dcterms:W3CDTF">2024-03-21T14:43:00Z</dcterms:created>
  <dcterms:modified xsi:type="dcterms:W3CDTF">2024-03-21T14:43:00Z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ies>
</file>