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576C" w:rsidRPr="00BF576C" w:rsidP="00BF576C" w14:paraId="73308FEE" w14:textId="1979C62D">
      <w:pPr>
        <w:autoSpaceDE w:val="0"/>
        <w:autoSpaceDN w:val="0"/>
        <w:adjustRightInd w:val="0"/>
        <w:spacing w:after="0" w:line="240" w:lineRule="auto"/>
        <w:jc w:val="center"/>
        <w:rPr>
          <w:rFonts w:ascii="Times New Roman" w:eastAsia="Times New Roman" w:hAnsi="Times New Roman" w:cs="Times New Roman"/>
          <w:b/>
          <w:bCs/>
          <w:sz w:val="24"/>
          <w:szCs w:val="24"/>
        </w:rPr>
      </w:pPr>
      <w:r w:rsidRPr="0466994E">
        <w:rPr>
          <w:rFonts w:ascii="Times New Roman" w:eastAsia="Times New Roman" w:hAnsi="Times New Roman" w:cs="Times New Roman"/>
          <w:b/>
          <w:bCs/>
          <w:sz w:val="24"/>
          <w:szCs w:val="24"/>
        </w:rPr>
        <w:t>SUPPORTING STATEMENT FOR THE</w:t>
      </w:r>
    </w:p>
    <w:p w:rsidR="00BF576C" w:rsidRPr="00BF576C" w:rsidP="00BF576C" w14:paraId="290E87A3" w14:textId="6FB475B3">
      <w:pPr>
        <w:autoSpaceDE w:val="0"/>
        <w:autoSpaceDN w:val="0"/>
        <w:adjustRightInd w:val="0"/>
        <w:spacing w:after="0" w:line="240" w:lineRule="auto"/>
        <w:jc w:val="center"/>
        <w:rPr>
          <w:rFonts w:ascii="Times New Roman" w:eastAsia="Times New Roman" w:hAnsi="Times New Roman" w:cs="Times New Roman"/>
          <w:b/>
          <w:bCs/>
          <w:sz w:val="24"/>
          <w:szCs w:val="24"/>
        </w:rPr>
      </w:pPr>
      <w:r w:rsidRPr="03B3D0F5">
        <w:rPr>
          <w:rFonts w:ascii="Times New Roman" w:eastAsia="Times New Roman" w:hAnsi="Times New Roman" w:cs="Times New Roman"/>
          <w:b/>
          <w:bCs/>
          <w:sz w:val="24"/>
          <w:szCs w:val="24"/>
        </w:rPr>
        <w:t>COLLECTION</w:t>
      </w:r>
      <w:r w:rsidRPr="03B3D0F5" w:rsidR="004B69C4">
        <w:rPr>
          <w:rFonts w:ascii="Times New Roman" w:eastAsia="Times New Roman" w:hAnsi="Times New Roman" w:cs="Times New Roman"/>
          <w:b/>
          <w:bCs/>
          <w:sz w:val="24"/>
          <w:szCs w:val="24"/>
        </w:rPr>
        <w:t xml:space="preserve"> OF INFORMATION</w:t>
      </w:r>
      <w:r w:rsidRPr="03B3D0F5">
        <w:rPr>
          <w:rFonts w:ascii="Times New Roman" w:eastAsia="Times New Roman" w:hAnsi="Times New Roman" w:cs="Times New Roman"/>
          <w:b/>
          <w:bCs/>
          <w:sz w:val="24"/>
          <w:szCs w:val="24"/>
        </w:rPr>
        <w:t xml:space="preserve"> REQUIREMENTS </w:t>
      </w:r>
      <w:r w:rsidRPr="03B3D0F5" w:rsidR="53A99377">
        <w:rPr>
          <w:rFonts w:ascii="Times New Roman" w:eastAsia="Times New Roman" w:hAnsi="Times New Roman" w:cs="Times New Roman"/>
          <w:b/>
          <w:bCs/>
          <w:sz w:val="24"/>
          <w:szCs w:val="24"/>
        </w:rPr>
        <w:t>IN</w:t>
      </w:r>
      <w:r w:rsidRPr="03B3D0F5">
        <w:rPr>
          <w:rFonts w:ascii="Times New Roman" w:eastAsia="Times New Roman" w:hAnsi="Times New Roman" w:cs="Times New Roman"/>
          <w:b/>
          <w:bCs/>
          <w:sz w:val="24"/>
          <w:szCs w:val="24"/>
        </w:rPr>
        <w:t xml:space="preserve"> THE </w:t>
      </w:r>
    </w:p>
    <w:p w:rsidR="00BF576C" w:rsidRPr="00BF576C" w:rsidP="00BF576C" w14:paraId="2D763A87" w14:textId="77777777">
      <w:pPr>
        <w:autoSpaceDE w:val="0"/>
        <w:autoSpaceDN w:val="0"/>
        <w:adjustRightInd w:val="0"/>
        <w:spacing w:after="0" w:line="240" w:lineRule="auto"/>
        <w:jc w:val="center"/>
        <w:rPr>
          <w:rFonts w:ascii="Times New Roman" w:eastAsia="Times New Roman" w:hAnsi="Times New Roman" w:cs="Times New Roman"/>
          <w:b/>
          <w:bCs/>
          <w:sz w:val="24"/>
          <w:szCs w:val="24"/>
        </w:rPr>
      </w:pPr>
      <w:r w:rsidRPr="00BF576C">
        <w:rPr>
          <w:rFonts w:ascii="Times New Roman" w:eastAsia="Times New Roman" w:hAnsi="Times New Roman" w:cs="Times New Roman"/>
          <w:b/>
          <w:bCs/>
          <w:sz w:val="24"/>
          <w:szCs w:val="24"/>
        </w:rPr>
        <w:t>HAZARDOUS WASTE OPERATIONS AND EMERGENCY</w:t>
      </w:r>
    </w:p>
    <w:p w:rsidR="00BF576C" w:rsidRPr="00BF576C" w:rsidP="03B3D0F5" w14:paraId="1E636E33" w14:textId="4F56222A">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3B3D0F5">
        <w:rPr>
          <w:rFonts w:ascii="Times New Roman" w:eastAsia="Times New Roman" w:hAnsi="Times New Roman" w:cs="Times New Roman"/>
          <w:b/>
          <w:bCs/>
          <w:sz w:val="24"/>
          <w:szCs w:val="24"/>
        </w:rPr>
        <w:t>RESPONSE (HAZWOPER) STANDARD</w:t>
      </w:r>
      <w:r w:rsidRPr="03B3D0F5" w:rsidR="49BB2930">
        <w:rPr>
          <w:rFonts w:ascii="Times New Roman" w:eastAsia="Times New Roman" w:hAnsi="Times New Roman" w:cs="Times New Roman"/>
          <w:b/>
          <w:bCs/>
          <w:sz w:val="24"/>
          <w:szCs w:val="24"/>
        </w:rPr>
        <w:t xml:space="preserve"> </w:t>
      </w:r>
      <w:r w:rsidRPr="00BF576C">
        <w:rPr>
          <w:rFonts w:ascii="Times New Roman" w:eastAsia="Times New Roman" w:hAnsi="Times New Roman" w:cs="Times New Roman"/>
          <w:b/>
          <w:bCs/>
          <w:sz w:val="24"/>
          <w:szCs w:val="24"/>
        </w:rPr>
        <w:t>(29 CFR 1910.120)</w:t>
      </w:r>
    </w:p>
    <w:p w:rsidR="00BF576C" w:rsidRPr="00BF576C" w:rsidP="00BF576C" w14:paraId="67876634" w14:textId="77777777">
      <w:pPr>
        <w:autoSpaceDE w:val="0"/>
        <w:autoSpaceDN w:val="0"/>
        <w:adjustRightInd w:val="0"/>
        <w:spacing w:after="0" w:line="240" w:lineRule="auto"/>
        <w:jc w:val="center"/>
        <w:rPr>
          <w:rFonts w:ascii="Times New Roman" w:eastAsia="Times New Roman" w:hAnsi="Times New Roman" w:cs="Times New Roman"/>
          <w:b/>
          <w:bCs/>
          <w:sz w:val="24"/>
          <w:szCs w:val="24"/>
        </w:rPr>
      </w:pPr>
      <w:r w:rsidRPr="00BF576C">
        <w:rPr>
          <w:rFonts w:ascii="Times New Roman" w:eastAsia="Times New Roman" w:hAnsi="Times New Roman" w:cs="Times New Roman"/>
          <w:b/>
          <w:bCs/>
          <w:sz w:val="24"/>
          <w:szCs w:val="24"/>
        </w:rPr>
        <w:t>OFFICE OF MANAGEMENT AND BUDGET (OMB)</w:t>
      </w:r>
    </w:p>
    <w:p w:rsidR="00BF576C" w:rsidRPr="00BF576C" w:rsidP="00BF576C" w14:paraId="5068C443" w14:textId="49FDA0E1">
      <w:pPr>
        <w:autoSpaceDE w:val="0"/>
        <w:autoSpaceDN w:val="0"/>
        <w:adjustRightInd w:val="0"/>
        <w:spacing w:after="0" w:line="240" w:lineRule="auto"/>
        <w:jc w:val="center"/>
        <w:rPr>
          <w:rFonts w:ascii="Times New Roman" w:eastAsia="Times New Roman" w:hAnsi="Times New Roman" w:cs="Times New Roman"/>
          <w:sz w:val="24"/>
          <w:szCs w:val="24"/>
        </w:rPr>
      </w:pPr>
      <w:r w:rsidRPr="0466994E">
        <w:rPr>
          <w:rFonts w:ascii="Times New Roman" w:eastAsia="Times New Roman" w:hAnsi="Times New Roman" w:cs="Times New Roman"/>
          <w:b/>
          <w:bCs/>
          <w:sz w:val="24"/>
          <w:szCs w:val="24"/>
        </w:rPr>
        <w:t xml:space="preserve">CONTROL NO. 1218-0202 </w:t>
      </w:r>
    </w:p>
    <w:p w:rsidR="00BF576C" w:rsidRPr="00BF576C" w:rsidP="00BF576C" w14:paraId="5E3E2357" w14:textId="77777777">
      <w:pPr>
        <w:autoSpaceDE w:val="0"/>
        <w:autoSpaceDN w:val="0"/>
        <w:adjustRightInd w:val="0"/>
        <w:spacing w:after="0" w:line="240" w:lineRule="auto"/>
        <w:rPr>
          <w:rFonts w:ascii="Times New Roman" w:eastAsia="Times New Roman" w:hAnsi="Times New Roman" w:cs="Times New Roman"/>
          <w:sz w:val="24"/>
          <w:szCs w:val="24"/>
        </w:rPr>
      </w:pPr>
    </w:p>
    <w:p w:rsidR="002B3221" w:rsidRPr="00723CBD" w:rsidP="03B3D0F5" w14:paraId="677C0240" w14:textId="2D84C0CA">
      <w:pPr>
        <w:autoSpaceDE w:val="0"/>
        <w:autoSpaceDN w:val="0"/>
        <w:adjustRightInd w:val="0"/>
        <w:spacing w:after="0" w:line="240" w:lineRule="auto"/>
        <w:rPr>
          <w:rFonts w:ascii="Times New Roman" w:eastAsia="Times New Roman" w:hAnsi="Times New Roman" w:cs="Times New Roman"/>
          <w:sz w:val="24"/>
          <w:szCs w:val="24"/>
          <w:u w:val="single"/>
        </w:rPr>
      </w:pPr>
      <w:r w:rsidRPr="00D91F68">
        <w:rPr>
          <w:rFonts w:ascii="Times New Roman" w:eastAsia="Times New Roman" w:hAnsi="Times New Roman" w:cs="Times New Roman"/>
          <w:sz w:val="24"/>
          <w:szCs w:val="24"/>
        </w:rPr>
        <w:t>This is a</w:t>
      </w:r>
      <w:r w:rsidRPr="03B3D0F5" w:rsidR="653B8F2A">
        <w:rPr>
          <w:rFonts w:ascii="Times New Roman" w:eastAsia="Times New Roman" w:hAnsi="Times New Roman" w:cs="Times New Roman"/>
          <w:sz w:val="24"/>
          <w:szCs w:val="24"/>
        </w:rPr>
        <w:t>n extension</w:t>
      </w:r>
      <w:r w:rsidRPr="00D91F68">
        <w:rPr>
          <w:rFonts w:ascii="Times New Roman" w:eastAsia="Times New Roman" w:hAnsi="Times New Roman" w:cs="Times New Roman"/>
          <w:sz w:val="24"/>
          <w:szCs w:val="24"/>
        </w:rPr>
        <w:t xml:space="preserve"> request </w:t>
      </w:r>
      <w:r w:rsidRPr="03B3D0F5" w:rsidR="5769791E">
        <w:rPr>
          <w:rFonts w:ascii="Times New Roman" w:eastAsia="Times New Roman" w:hAnsi="Times New Roman" w:cs="Times New Roman"/>
          <w:sz w:val="24"/>
          <w:szCs w:val="24"/>
        </w:rPr>
        <w:t xml:space="preserve">for </w:t>
      </w:r>
      <w:r w:rsidRPr="00D91F68">
        <w:rPr>
          <w:rFonts w:ascii="Times New Roman" w:eastAsia="Times New Roman" w:hAnsi="Times New Roman" w:cs="Times New Roman"/>
          <w:sz w:val="24"/>
          <w:szCs w:val="24"/>
        </w:rPr>
        <w:t>a currently approved data collection.</w:t>
      </w:r>
    </w:p>
    <w:p w:rsidR="00BF576C" w:rsidRPr="00723CBD" w:rsidP="00BF576C" w14:paraId="4BBD20B3"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BF576C" w:rsidRPr="00723CBD" w:rsidP="00BF576C" w14:paraId="319C52B6" w14:textId="77777777">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b/>
          <w:bCs/>
          <w:sz w:val="24"/>
          <w:szCs w:val="24"/>
        </w:rPr>
        <w:t>A. JUSTIFICATION</w:t>
      </w:r>
    </w:p>
    <w:p w:rsidR="00BF576C" w:rsidRPr="00723CBD" w:rsidP="00BF576C" w14:paraId="551DE83B" w14:textId="77777777">
      <w:pPr>
        <w:autoSpaceDE w:val="0"/>
        <w:autoSpaceDN w:val="0"/>
        <w:adjustRightInd w:val="0"/>
        <w:spacing w:after="0" w:line="240" w:lineRule="auto"/>
        <w:rPr>
          <w:rFonts w:ascii="Times New Roman" w:eastAsia="Times New Roman" w:hAnsi="Times New Roman" w:cs="Times New Roman"/>
          <w:sz w:val="24"/>
          <w:szCs w:val="24"/>
        </w:rPr>
      </w:pPr>
    </w:p>
    <w:p w:rsidR="002B3221" w:rsidRPr="00723CBD" w:rsidP="00FF7CDC" w14:paraId="52579619" w14:textId="5C7A403A">
      <w:pPr>
        <w:pStyle w:val="ListParagraph"/>
        <w:numPr>
          <w:ilvl w:val="0"/>
          <w:numId w:val="13"/>
        </w:numPr>
        <w:autoSpaceDE w:val="0"/>
        <w:autoSpaceDN w:val="0"/>
        <w:adjustRightInd w:val="0"/>
        <w:spacing w:after="0" w:line="240" w:lineRule="auto"/>
        <w:rPr>
          <w:rFonts w:ascii="Times New Roman" w:eastAsia="Times New Roman" w:hAnsi="Times New Roman" w:cs="Times New Roman"/>
          <w:b/>
          <w:bCs/>
          <w:sz w:val="24"/>
          <w:szCs w:val="24"/>
        </w:rPr>
      </w:pPr>
      <w:r w:rsidRPr="0466994E">
        <w:rPr>
          <w:rFonts w:ascii="Times New Roman" w:eastAsia="Times New Roman" w:hAnsi="Times New Roman" w:cs="Times New Roman"/>
          <w:b/>
          <w:bCs/>
          <w:sz w:val="24"/>
          <w:szCs w:val="24"/>
        </w:rPr>
        <w:t xml:space="preserve">Explain the circumstances that make the collection of information necessary. Identify any legal or administrative requirements that necessitate the collection. Attach a copy </w:t>
      </w:r>
      <w:r w:rsidRPr="0466994E">
        <w:rPr>
          <w:rFonts w:ascii="Times New Roman" w:eastAsia="Times New Roman" w:hAnsi="Times New Roman" w:cs="Times New Roman"/>
          <w:b/>
          <w:bCs/>
          <w:sz w:val="24"/>
          <w:szCs w:val="24"/>
        </w:rPr>
        <w:t>of the appropriate section of each statute and regulation mandating or authorizing the collection of information.</w:t>
      </w:r>
    </w:p>
    <w:p w:rsidR="00BF576C" w:rsidRPr="00723CBD" w:rsidP="00BF576C" w14:paraId="2E829BC1"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466994E" w14:paraId="639E00DF" w14:textId="312C5C6A">
      <w:pPr>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466994E">
        <w:rPr>
          <w:rFonts w:ascii="Times New Roman" w:eastAsia="Times New Roman" w:hAnsi="Times New Roman" w:cs="Times New Roman"/>
          <w:sz w:val="24"/>
          <w:szCs w:val="24"/>
        </w:rPr>
        <w:t>The main objective of the Occupational Safety and Health Act of 1970 (</w:t>
      </w:r>
      <w:r w:rsidRPr="0466994E" w:rsidR="528BFE20">
        <w:rPr>
          <w:rFonts w:ascii="Times New Roman" w:eastAsia="Times New Roman" w:hAnsi="Times New Roman" w:cs="Times New Roman"/>
          <w:sz w:val="24"/>
          <w:szCs w:val="24"/>
        </w:rPr>
        <w:t>OSH Act or</w:t>
      </w:r>
      <w:r w:rsidRPr="0466994E">
        <w:rPr>
          <w:rFonts w:ascii="Times New Roman" w:eastAsia="Times New Roman" w:hAnsi="Times New Roman" w:cs="Times New Roman"/>
          <w:sz w:val="24"/>
          <w:szCs w:val="24"/>
        </w:rPr>
        <w:t xml:space="preserve"> Act) is to “assure so far as possible every working man and woman in the Nation safe and healthful working conditions and to preserve our human resources” (29 U.S.C. 651). To achieve this objective, the</w:t>
      </w:r>
      <w:r w:rsidRPr="0466994E" w:rsidR="18147B7A">
        <w:rPr>
          <w:rFonts w:ascii="Times New Roman" w:eastAsia="Times New Roman" w:hAnsi="Times New Roman" w:cs="Times New Roman"/>
          <w:sz w:val="24"/>
          <w:szCs w:val="24"/>
        </w:rPr>
        <w:t xml:space="preserve"> OSH</w:t>
      </w:r>
      <w:r w:rsidRPr="0466994E">
        <w:rPr>
          <w:rFonts w:ascii="Times New Roman" w:eastAsia="Times New Roman" w:hAnsi="Times New Roman" w:cs="Times New Roman"/>
          <w:sz w:val="24"/>
          <w:szCs w:val="24"/>
        </w:rPr>
        <w:t xml:space="preserve"> Act </w:t>
      </w:r>
      <w:r w:rsidRPr="0466994E" w:rsidR="56D8046B">
        <w:rPr>
          <w:rFonts w:ascii="Times New Roman" w:eastAsia="Times New Roman" w:hAnsi="Times New Roman" w:cs="Times New Roman"/>
          <w:sz w:val="24"/>
          <w:szCs w:val="24"/>
        </w:rPr>
        <w:t xml:space="preserve">specifically </w:t>
      </w:r>
      <w:r w:rsidRPr="0466994E">
        <w:rPr>
          <w:rFonts w:ascii="Times New Roman" w:eastAsia="Times New Roman" w:hAnsi="Times New Roman" w:cs="Times New Roman"/>
          <w:sz w:val="24"/>
          <w:szCs w:val="24"/>
        </w:rPr>
        <w:t>authorizes “the development and promulgation of occupational safety and health standards” (29 U.S.C. 651).</w:t>
      </w:r>
      <w:r w:rsidRPr="0466994E" w:rsidR="1515EA98">
        <w:rPr>
          <w:rFonts w:ascii="Times New Roman" w:eastAsia="Times New Roman" w:hAnsi="Times New Roman" w:cs="Times New Roman"/>
          <w:sz w:val="24"/>
          <w:szCs w:val="24"/>
        </w:rPr>
        <w:t xml:space="preserve"> </w:t>
      </w:r>
      <w:r w:rsidRPr="0466994E" w:rsidR="6F793CDE">
        <w:rPr>
          <w:rFonts w:ascii="Times New Roman" w:eastAsia="Times New Roman" w:hAnsi="Times New Roman" w:cs="Times New Roman"/>
          <w:color w:val="000000" w:themeColor="text1"/>
          <w:sz w:val="24"/>
          <w:szCs w:val="24"/>
        </w:rPr>
        <w:t>Specifically, the Act states that “[t]he Secretary shall set the standard which most adequately assures, to the extent feasible . . . that no worker will suffer material impairment of health or function capacity . . .” (29 U.S.C. 655).</w:t>
      </w:r>
    </w:p>
    <w:p w:rsidR="00BF576C" w:rsidRPr="00723CBD" w:rsidP="00BF576C" w14:paraId="3F9448F9"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3B3D0F5" w14:paraId="36C049C1" w14:textId="219AC2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3B3D0F5">
        <w:rPr>
          <w:rFonts w:ascii="Times New Roman" w:eastAsia="Times New Roman" w:hAnsi="Times New Roman" w:cs="Times New Roman"/>
          <w:sz w:val="24"/>
          <w:szCs w:val="24"/>
        </w:rPr>
        <w:t xml:space="preserve">The OSH Act specifies that “[a]ny standard promulgated under this subsection shall prescribe the use of labels or other appropriate forms of warning as are necessary to </w:t>
      </w:r>
      <w:r w:rsidRPr="03B3D0F5" w:rsidR="001B1DA6">
        <w:rPr>
          <w:rFonts w:ascii="Times New Roman" w:eastAsia="Times New Roman" w:hAnsi="Times New Roman" w:cs="Times New Roman"/>
          <w:sz w:val="24"/>
          <w:szCs w:val="24"/>
        </w:rPr>
        <w:t>e</w:t>
      </w:r>
      <w:r w:rsidRPr="03B3D0F5">
        <w:rPr>
          <w:rFonts w:ascii="Times New Roman" w:eastAsia="Times New Roman" w:hAnsi="Times New Roman" w:cs="Times New Roman"/>
          <w:sz w:val="24"/>
          <w:szCs w:val="24"/>
        </w:rPr>
        <w:t xml:space="preserve">nsure that employees are apprised of all hazards to which they are exposed, </w:t>
      </w:r>
      <w:r w:rsidRPr="03B3D0F5">
        <w:rPr>
          <w:rFonts w:ascii="Times New Roman" w:eastAsia="Times New Roman" w:hAnsi="Times New Roman" w:cs="Times New Roman"/>
          <w:sz w:val="24"/>
          <w:szCs w:val="24"/>
        </w:rPr>
        <w:t>relevant symptoms and appropriate emergency treatment, and proper conditions and precautions of safe use or exposure”</w:t>
      </w:r>
      <w:r w:rsidRPr="03B3D0F5" w:rsidR="2AF1F36B">
        <w:rPr>
          <w:rFonts w:ascii="Times New Roman" w:eastAsia="Times New Roman" w:hAnsi="Times New Roman" w:cs="Times New Roman"/>
          <w:sz w:val="24"/>
          <w:szCs w:val="24"/>
        </w:rPr>
        <w:t xml:space="preserve"> (29 U.S.C. 655).</w:t>
      </w:r>
      <w:r w:rsidRPr="03B3D0F5">
        <w:rPr>
          <w:rFonts w:ascii="Times New Roman" w:eastAsia="Times New Roman" w:hAnsi="Times New Roman" w:cs="Times New Roman"/>
          <w:sz w:val="24"/>
          <w:szCs w:val="24"/>
        </w:rPr>
        <w:t xml:space="preserv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w:t>
      </w:r>
      <w:r w:rsidRPr="03B3D0F5">
        <w:rPr>
          <w:rFonts w:ascii="Times New Roman" w:eastAsia="Times New Roman" w:hAnsi="Times New Roman" w:cs="Times New Roman"/>
          <w:sz w:val="24"/>
          <w:szCs w:val="24"/>
        </w:rPr>
        <w:t>ical or technological developments acquired subsequent to the promulgation of the relevant standard” (29 U.S.C. 655).</w:t>
      </w:r>
    </w:p>
    <w:p w:rsidR="00BF576C" w:rsidRPr="00723CBD" w:rsidP="00BF576C" w14:paraId="09DA4E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3B3D0F5" w14:paraId="16F01F03" w14:textId="4B9C6B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3B3D0F5">
        <w:rPr>
          <w:rFonts w:ascii="Times New Roman" w:eastAsia="Times New Roman" w:hAnsi="Times New Roman" w:cs="Times New Roman"/>
          <w:sz w:val="24"/>
          <w:szCs w:val="24"/>
        </w:rPr>
        <w:t xml:space="preserve">With regard to recordkeeping, the Act </w:t>
      </w:r>
      <w:r w:rsidRPr="03B3D0F5" w:rsidR="035AC2D9">
        <w:rPr>
          <w:rFonts w:ascii="Times New Roman" w:eastAsia="Times New Roman" w:hAnsi="Times New Roman" w:cs="Times New Roman"/>
          <w:sz w:val="24"/>
          <w:szCs w:val="24"/>
        </w:rPr>
        <w:t>mandates</w:t>
      </w:r>
      <w:r w:rsidRPr="03B3D0F5">
        <w:rPr>
          <w:rFonts w:ascii="Times New Roman" w:eastAsia="Times New Roman" w:hAnsi="Times New Roman" w:cs="Times New Roman"/>
          <w:sz w:val="24"/>
          <w:szCs w:val="24"/>
        </w:rPr>
        <w:t xml:space="preserve"> that “[e]ach employer shall make, keep and preserve, and make available to the Secretary </w:t>
      </w:r>
      <w:r w:rsidRPr="03B3D0F5" w:rsidR="0C5B0D8B">
        <w:rPr>
          <w:rFonts w:ascii="Times New Roman" w:eastAsia="Times New Roman" w:hAnsi="Times New Roman" w:cs="Times New Roman"/>
          <w:sz w:val="24"/>
          <w:szCs w:val="24"/>
        </w:rPr>
        <w:t xml:space="preserve">[of Labor] </w:t>
      </w:r>
      <w:r w:rsidRPr="03B3D0F5">
        <w:rPr>
          <w:rFonts w:ascii="Times New Roman" w:eastAsia="Times New Roman" w:hAnsi="Times New Roman" w:cs="Times New Roman"/>
          <w:sz w:val="24"/>
          <w:szCs w:val="24"/>
        </w:rPr>
        <w:t>. . . such records</w:t>
      </w:r>
      <w:r w:rsidRPr="03B3D0F5" w:rsidR="416ABF17">
        <w:rPr>
          <w:rFonts w:ascii="Times New Roman" w:eastAsia="Times New Roman" w:hAnsi="Times New Roman" w:cs="Times New Roman"/>
          <w:sz w:val="24"/>
          <w:szCs w:val="24"/>
        </w:rPr>
        <w:t xml:space="preserve"> regarding [their] </w:t>
      </w:r>
      <w:r w:rsidRPr="03B3D0F5" w:rsidR="416ABF17">
        <w:rPr>
          <w:rFonts w:ascii="Times New Roman" w:eastAsia="Times New Roman" w:hAnsi="Times New Roman" w:cs="Times New Roman"/>
          <w:sz w:val="24"/>
          <w:szCs w:val="24"/>
        </w:rPr>
        <w:t>activities relating to this Act</w:t>
      </w:r>
      <w:r w:rsidRPr="03B3D0F5">
        <w:rPr>
          <w:rFonts w:ascii="Times New Roman" w:eastAsia="Times New Roman" w:hAnsi="Times New Roman" w:cs="Times New Roman"/>
          <w:sz w:val="24"/>
          <w:szCs w:val="24"/>
        </w:rPr>
        <w:t xml:space="preserve"> as the Secretary . . . may prescribe by regulation as necessary or appropriate for the enforcement of this Act . . .” (29 U.S.C. 657).   The Act states further that “[t]he Secretary . . . shall prescribe such rules and regulations as [</w:t>
      </w:r>
      <w:r w:rsidRPr="03B3D0F5" w:rsidR="092C704A">
        <w:rPr>
          <w:rFonts w:ascii="Times New Roman" w:eastAsia="Times New Roman" w:hAnsi="Times New Roman" w:cs="Times New Roman"/>
          <w:sz w:val="24"/>
          <w:szCs w:val="24"/>
        </w:rPr>
        <w:t>they</w:t>
      </w:r>
      <w:r w:rsidRPr="03B3D0F5">
        <w:rPr>
          <w:rFonts w:ascii="Times New Roman" w:eastAsia="Times New Roman" w:hAnsi="Times New Roman" w:cs="Times New Roman"/>
          <w:sz w:val="24"/>
          <w:szCs w:val="24"/>
        </w:rPr>
        <w:t>] may deem necessary to carry out [</w:t>
      </w:r>
      <w:r w:rsidRPr="03B3D0F5" w:rsidR="085D0768">
        <w:rPr>
          <w:rFonts w:ascii="Times New Roman" w:eastAsia="Times New Roman" w:hAnsi="Times New Roman" w:cs="Times New Roman"/>
          <w:sz w:val="24"/>
          <w:szCs w:val="24"/>
        </w:rPr>
        <w:t>their</w:t>
      </w:r>
      <w:r w:rsidRPr="03B3D0F5">
        <w:rPr>
          <w:rFonts w:ascii="Times New Roman" w:eastAsia="Times New Roman" w:hAnsi="Times New Roman" w:cs="Times New Roman"/>
          <w:sz w:val="24"/>
          <w:szCs w:val="24"/>
        </w:rPr>
        <w:t xml:space="preserve">] responsibilities under this Act, including rules and </w:t>
      </w:r>
      <w:r w:rsidRPr="03B3D0F5">
        <w:rPr>
          <w:rFonts w:ascii="Times New Roman" w:eastAsia="Times New Roman" w:hAnsi="Times New Roman" w:cs="Times New Roman"/>
          <w:sz w:val="24"/>
          <w:szCs w:val="24"/>
        </w:rPr>
        <w:t>regulations dealing with the inspection of an employer’s establishment” (29 U.S.C. 657).</w:t>
      </w:r>
    </w:p>
    <w:p w:rsidR="00BF576C" w:rsidRPr="00723CBD" w:rsidP="00BF576C" w14:paraId="14E27F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3B3D0F5" w14:paraId="50542AAE" w14:textId="47E7A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3B3D0F5">
        <w:rPr>
          <w:rFonts w:ascii="Times New Roman" w:eastAsia="Times New Roman" w:hAnsi="Times New Roman" w:cs="Times New Roman"/>
          <w:sz w:val="24"/>
          <w:szCs w:val="24"/>
        </w:rPr>
        <w:t>Moreover, Section 126(e) of the "Superfund Amendments and Reauthorization Act of 1986" (SARA) (Public Law 99-499)</w:t>
      </w:r>
      <w:r w:rsidRPr="03B3D0F5" w:rsidR="009370E5">
        <w:rPr>
          <w:rFonts w:ascii="Times New Roman" w:eastAsia="Times New Roman" w:hAnsi="Times New Roman" w:cs="Times New Roman"/>
          <w:sz w:val="24"/>
          <w:szCs w:val="24"/>
        </w:rPr>
        <w:t>,</w:t>
      </w:r>
      <w:r w:rsidRPr="03B3D0F5">
        <w:rPr>
          <w:rFonts w:ascii="Times New Roman" w:eastAsia="Times New Roman" w:hAnsi="Times New Roman" w:cs="Times New Roman"/>
          <w:sz w:val="24"/>
          <w:szCs w:val="24"/>
        </w:rPr>
        <w:t xml:space="preserve"> which became law on October 17, 1986, required the Secretary of Labor, pursuant to Section 6 of the Act, to promulgate standards for the safety and health protection of employees engaged in hazardous waste operations and emergency response.</w:t>
      </w:r>
      <w:r w:rsidRPr="03B3D0F5" w:rsidR="3622F857">
        <w:rPr>
          <w:rFonts w:ascii="Times New Roman" w:eastAsia="Times New Roman" w:hAnsi="Times New Roman" w:cs="Times New Roman"/>
          <w:sz w:val="24"/>
          <w:szCs w:val="24"/>
        </w:rPr>
        <w:t xml:space="preserve"> </w:t>
      </w:r>
      <w:r w:rsidRPr="03B3D0F5">
        <w:rPr>
          <w:rFonts w:ascii="Times New Roman" w:eastAsia="Times New Roman" w:hAnsi="Times New Roman" w:cs="Times New Roman"/>
          <w:sz w:val="24"/>
          <w:szCs w:val="24"/>
        </w:rPr>
        <w:t xml:space="preserve">Section 126(a) also specified that those standards were to become effective a year after publication. Section 126(b) lists 11 worker protection provisions that </w:t>
      </w:r>
      <w:r w:rsidRPr="03B3D0F5">
        <w:rPr>
          <w:rFonts w:ascii="Times New Roman" w:eastAsia="Times New Roman" w:hAnsi="Times New Roman" w:cs="Times New Roman"/>
          <w:sz w:val="24"/>
          <w:szCs w:val="24"/>
        </w:rPr>
        <w:t>the Secretary of Labor had to include in OSHA's final standard. Those provisions require OSHA to address the preparation of various written programs, plans and records; the training of workers;</w:t>
      </w:r>
      <w:r w:rsidRPr="03B3D0F5" w:rsidR="002C2695">
        <w:rPr>
          <w:rFonts w:ascii="Times New Roman" w:eastAsia="Times New Roman" w:hAnsi="Times New Roman" w:cs="Times New Roman"/>
          <w:sz w:val="24"/>
          <w:szCs w:val="24"/>
        </w:rPr>
        <w:t xml:space="preserve"> </w:t>
      </w:r>
      <w:r w:rsidRPr="03B3D0F5" w:rsidR="001B488F">
        <w:rPr>
          <w:rFonts w:ascii="Times New Roman" w:eastAsia="Times New Roman" w:hAnsi="Times New Roman" w:cs="Times New Roman"/>
          <w:sz w:val="24"/>
          <w:szCs w:val="24"/>
        </w:rPr>
        <w:t>the</w:t>
      </w:r>
      <w:r w:rsidRPr="03B3D0F5" w:rsidR="00076343">
        <w:rPr>
          <w:rFonts w:ascii="Times New Roman" w:eastAsia="Times New Roman" w:hAnsi="Times New Roman" w:cs="Times New Roman"/>
          <w:sz w:val="24"/>
          <w:szCs w:val="24"/>
        </w:rPr>
        <w:t xml:space="preserve"> </w:t>
      </w:r>
      <w:r w:rsidRPr="03B3D0F5" w:rsidR="009370E5">
        <w:rPr>
          <w:rFonts w:ascii="Times New Roman" w:eastAsia="Times New Roman" w:hAnsi="Times New Roman" w:cs="Times New Roman"/>
          <w:sz w:val="24"/>
          <w:szCs w:val="24"/>
        </w:rPr>
        <w:t xml:space="preserve">monitoring </w:t>
      </w:r>
      <w:r w:rsidRPr="03B3D0F5" w:rsidR="00076343">
        <w:rPr>
          <w:rFonts w:ascii="Times New Roman" w:eastAsia="Times New Roman" w:hAnsi="Times New Roman" w:cs="Times New Roman"/>
          <w:sz w:val="24"/>
          <w:szCs w:val="24"/>
        </w:rPr>
        <w:t xml:space="preserve">of </w:t>
      </w:r>
      <w:r w:rsidRPr="03B3D0F5" w:rsidR="009370E5">
        <w:rPr>
          <w:rFonts w:ascii="Times New Roman" w:eastAsia="Times New Roman" w:hAnsi="Times New Roman" w:cs="Times New Roman"/>
          <w:sz w:val="24"/>
          <w:szCs w:val="24"/>
        </w:rPr>
        <w:t xml:space="preserve">airborne hazards; </w:t>
      </w:r>
      <w:r w:rsidRPr="03B3D0F5" w:rsidR="00076343">
        <w:rPr>
          <w:rFonts w:ascii="Times New Roman" w:eastAsia="Times New Roman" w:hAnsi="Times New Roman" w:cs="Times New Roman"/>
          <w:sz w:val="24"/>
          <w:szCs w:val="24"/>
        </w:rPr>
        <w:t xml:space="preserve">the </w:t>
      </w:r>
      <w:r w:rsidRPr="03B3D0F5" w:rsidR="009370E5">
        <w:rPr>
          <w:rFonts w:ascii="Times New Roman" w:eastAsia="Times New Roman" w:hAnsi="Times New Roman" w:cs="Times New Roman"/>
          <w:sz w:val="24"/>
          <w:szCs w:val="24"/>
        </w:rPr>
        <w:t>conduct</w:t>
      </w:r>
      <w:r w:rsidRPr="03B3D0F5" w:rsidR="00076343">
        <w:rPr>
          <w:rFonts w:ascii="Times New Roman" w:eastAsia="Times New Roman" w:hAnsi="Times New Roman" w:cs="Times New Roman"/>
          <w:sz w:val="24"/>
          <w:szCs w:val="24"/>
        </w:rPr>
        <w:t xml:space="preserve"> of </w:t>
      </w:r>
      <w:r w:rsidRPr="03B3D0F5" w:rsidR="009370E5">
        <w:rPr>
          <w:rFonts w:ascii="Times New Roman" w:eastAsia="Times New Roman" w:hAnsi="Times New Roman" w:cs="Times New Roman"/>
          <w:sz w:val="24"/>
          <w:szCs w:val="24"/>
        </w:rPr>
        <w:t xml:space="preserve">medical surveillance; and </w:t>
      </w:r>
      <w:r w:rsidRPr="03B3D0F5" w:rsidR="00076343">
        <w:rPr>
          <w:rFonts w:ascii="Times New Roman" w:eastAsia="Times New Roman" w:hAnsi="Times New Roman" w:cs="Times New Roman"/>
          <w:sz w:val="24"/>
          <w:szCs w:val="24"/>
        </w:rPr>
        <w:t xml:space="preserve">the </w:t>
      </w:r>
      <w:r w:rsidRPr="03B3D0F5" w:rsidR="003A1C8D">
        <w:rPr>
          <w:rFonts w:ascii="Times New Roman" w:eastAsia="Times New Roman" w:hAnsi="Times New Roman" w:cs="Times New Roman"/>
          <w:sz w:val="24"/>
          <w:szCs w:val="24"/>
        </w:rPr>
        <w:t xml:space="preserve">distribution of </w:t>
      </w:r>
      <w:r w:rsidRPr="03B3D0F5">
        <w:rPr>
          <w:rFonts w:ascii="Times New Roman" w:eastAsia="Times New Roman" w:hAnsi="Times New Roman" w:cs="Times New Roman"/>
          <w:sz w:val="24"/>
          <w:szCs w:val="24"/>
        </w:rPr>
        <w:t>information to workers. The provisions also require the collection of information from employers engaged in hazardous waste operations and their emergency response to such operations. The standard covers the provisions ma</w:t>
      </w:r>
      <w:r w:rsidRPr="03B3D0F5">
        <w:rPr>
          <w:rFonts w:ascii="Times New Roman" w:eastAsia="Times New Roman" w:hAnsi="Times New Roman" w:cs="Times New Roman"/>
          <w:sz w:val="24"/>
          <w:szCs w:val="24"/>
        </w:rPr>
        <w:t>ndated in SARA.</w:t>
      </w:r>
    </w:p>
    <w:p w:rsidR="00BF576C" w:rsidRPr="00723CBD" w:rsidP="00BF576C" w14:paraId="47F62A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3B3D0F5" w14:paraId="308D005C" w14:textId="3777FC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3B3D0F5">
        <w:rPr>
          <w:rFonts w:ascii="Times New Roman" w:eastAsia="Times New Roman" w:hAnsi="Times New Roman" w:cs="Times New Roman"/>
          <w:sz w:val="24"/>
          <w:szCs w:val="24"/>
        </w:rPr>
        <w:t>Under the authority granted by the SARA and the OSH Act</w:t>
      </w:r>
      <w:r w:rsidRPr="03B3D0F5" w:rsidR="585B687C">
        <w:rPr>
          <w:rFonts w:ascii="Times New Roman" w:eastAsia="Times New Roman" w:hAnsi="Times New Roman" w:cs="Times New Roman"/>
          <w:sz w:val="24"/>
          <w:szCs w:val="24"/>
        </w:rPr>
        <w:t>s</w:t>
      </w:r>
      <w:r w:rsidRPr="03B3D0F5">
        <w:rPr>
          <w:rFonts w:ascii="Times New Roman" w:eastAsia="Times New Roman" w:hAnsi="Times New Roman" w:cs="Times New Roman"/>
          <w:sz w:val="24"/>
          <w:szCs w:val="24"/>
        </w:rPr>
        <w:t xml:space="preserve">, the Occupational Safety and Health Administration (OSHA or </w:t>
      </w:r>
      <w:r w:rsidRPr="03B3D0F5" w:rsidR="4178F831">
        <w:rPr>
          <w:rFonts w:ascii="Times New Roman" w:eastAsia="Times New Roman" w:hAnsi="Times New Roman" w:cs="Times New Roman"/>
          <w:sz w:val="24"/>
          <w:szCs w:val="24"/>
        </w:rPr>
        <w:t>a</w:t>
      </w:r>
      <w:r w:rsidRPr="03B3D0F5">
        <w:rPr>
          <w:rFonts w:ascii="Times New Roman" w:eastAsia="Times New Roman" w:hAnsi="Times New Roman" w:cs="Times New Roman"/>
          <w:sz w:val="24"/>
          <w:szCs w:val="24"/>
        </w:rPr>
        <w:t xml:space="preserve">gency) </w:t>
      </w:r>
      <w:bookmarkStart w:id="0" w:name="_Int_RQ3Rj1uH"/>
      <w:r w:rsidRPr="03B3D0F5">
        <w:rPr>
          <w:rFonts w:ascii="Times New Roman" w:eastAsia="Times New Roman" w:hAnsi="Times New Roman" w:cs="Times New Roman"/>
          <w:sz w:val="24"/>
          <w:szCs w:val="24"/>
        </w:rPr>
        <w:t>published</w:t>
      </w:r>
      <w:bookmarkEnd w:id="0"/>
      <w:r w:rsidRPr="03B3D0F5">
        <w:rPr>
          <w:rFonts w:ascii="Times New Roman" w:eastAsia="Times New Roman" w:hAnsi="Times New Roman" w:cs="Times New Roman"/>
          <w:sz w:val="24"/>
          <w:szCs w:val="24"/>
        </w:rPr>
        <w:t xml:space="preserve"> a standard for general industry regulating the operation of hazardous waste operations (HAZWOPER or</w:t>
      </w:r>
      <w:r w:rsidRPr="03B3D0F5" w:rsidR="6AB0E65D">
        <w:rPr>
          <w:rFonts w:ascii="Times New Roman" w:eastAsia="Times New Roman" w:hAnsi="Times New Roman" w:cs="Times New Roman"/>
          <w:sz w:val="24"/>
          <w:szCs w:val="24"/>
        </w:rPr>
        <w:t xml:space="preserve"> </w:t>
      </w:r>
      <w:r w:rsidRPr="03B3D0F5" w:rsidR="407ECD07">
        <w:rPr>
          <w:rFonts w:ascii="Times New Roman" w:eastAsia="Times New Roman" w:hAnsi="Times New Roman" w:cs="Times New Roman"/>
          <w:sz w:val="24"/>
          <w:szCs w:val="24"/>
        </w:rPr>
        <w:t>s</w:t>
      </w:r>
      <w:r w:rsidRPr="03B3D0F5">
        <w:rPr>
          <w:rFonts w:ascii="Times New Roman" w:eastAsia="Times New Roman" w:hAnsi="Times New Roman" w:cs="Times New Roman"/>
          <w:sz w:val="24"/>
          <w:szCs w:val="24"/>
        </w:rPr>
        <w:t>tandard)</w:t>
      </w:r>
      <w:r w:rsidRPr="03B3D0F5" w:rsidR="40724239">
        <w:rPr>
          <w:rFonts w:ascii="Times New Roman" w:eastAsia="Times New Roman" w:hAnsi="Times New Roman" w:cs="Times New Roman"/>
          <w:sz w:val="24"/>
          <w:szCs w:val="24"/>
        </w:rPr>
        <w:t xml:space="preserve"> (29 CFR 1910.120)</w:t>
      </w:r>
      <w:r w:rsidRPr="03B3D0F5">
        <w:rPr>
          <w:rFonts w:ascii="Times New Roman" w:eastAsia="Times New Roman" w:hAnsi="Times New Roman" w:cs="Times New Roman"/>
          <w:sz w:val="24"/>
          <w:szCs w:val="24"/>
        </w:rPr>
        <w:t>.</w:t>
      </w:r>
    </w:p>
    <w:p w:rsidR="00BF576C" w:rsidRPr="00723CBD" w:rsidP="03B3D0F5" w14:paraId="26A3C6EE" w14:textId="301ED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3B3D0F5" w14:paraId="49B7400F" w14:textId="6276B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3B3D0F5">
        <w:rPr>
          <w:rFonts w:ascii="Times New Roman" w:eastAsia="Times New Roman" w:hAnsi="Times New Roman" w:cs="Times New Roman"/>
          <w:sz w:val="24"/>
          <w:szCs w:val="24"/>
        </w:rPr>
        <w:t>Items 2 and 12, below, describe the specific collection requirements of the standard.</w:t>
      </w:r>
      <w:r>
        <w:rPr>
          <w:rStyle w:val="FootnoteReference"/>
          <w:rFonts w:ascii="Times New Roman" w:eastAsia="Times New Roman" w:hAnsi="Times New Roman" w:cs="Times New Roman"/>
          <w:sz w:val="24"/>
          <w:szCs w:val="24"/>
          <w:vertAlign w:val="superscript"/>
        </w:rPr>
        <w:footnoteReference w:id="3"/>
      </w:r>
    </w:p>
    <w:p w:rsidR="00986563" w:rsidRPr="00723CBD" w:rsidP="00BF576C" w14:paraId="162160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D91F68" w14:paraId="197C5145" w14:textId="7EC8C405">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638B37EC">
        <w:rPr>
          <w:rFonts w:ascii="Times New Roman" w:eastAsia="Times New Roman" w:hAnsi="Times New Roman" w:cs="Times New Roman"/>
          <w:b/>
          <w:bCs/>
          <w:sz w:val="24"/>
          <w:szCs w:val="24"/>
        </w:rPr>
        <w:t>Indicate how, by whom, and for what purpose the information is to be used.  Except for a new collection, indicate the actual use the agency has made of the information received from the current collection.</w:t>
      </w:r>
    </w:p>
    <w:p w:rsidR="00BF576C" w:rsidRPr="00723CBD" w:rsidP="00BF576C" w14:paraId="514695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3B3D0F5" w14:paraId="1BE58D50" w14:textId="3EEB89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4728B130">
        <w:rPr>
          <w:rFonts w:ascii="Times New Roman" w:eastAsia="Times New Roman" w:hAnsi="Times New Roman" w:cs="Times New Roman"/>
          <w:sz w:val="24"/>
          <w:szCs w:val="24"/>
        </w:rPr>
        <w:t xml:space="preserve">The </w:t>
      </w:r>
      <w:r w:rsidRPr="4728B130" w:rsidR="25F8A3ED">
        <w:rPr>
          <w:rFonts w:ascii="Times New Roman" w:eastAsia="Times New Roman" w:hAnsi="Times New Roman" w:cs="Times New Roman"/>
          <w:sz w:val="24"/>
          <w:szCs w:val="24"/>
        </w:rPr>
        <w:t>s</w:t>
      </w:r>
      <w:r w:rsidRPr="4728B130">
        <w:rPr>
          <w:rFonts w:ascii="Times New Roman" w:eastAsia="Times New Roman" w:hAnsi="Times New Roman" w:cs="Times New Roman"/>
          <w:sz w:val="24"/>
          <w:szCs w:val="24"/>
        </w:rPr>
        <w:t xml:space="preserve">tandard specifies </w:t>
      </w:r>
      <w:r w:rsidRPr="4728B130" w:rsidR="44E2B17D">
        <w:rPr>
          <w:rFonts w:ascii="Times New Roman" w:eastAsia="Times New Roman" w:hAnsi="Times New Roman" w:cs="Times New Roman"/>
          <w:sz w:val="24"/>
          <w:szCs w:val="24"/>
        </w:rPr>
        <w:t>several</w:t>
      </w:r>
      <w:r w:rsidRPr="4728B130" w:rsidR="00587E2A">
        <w:rPr>
          <w:rFonts w:ascii="Times New Roman" w:eastAsia="Times New Roman" w:hAnsi="Times New Roman" w:cs="Times New Roman"/>
          <w:sz w:val="24"/>
          <w:szCs w:val="24"/>
        </w:rPr>
        <w:t xml:space="preserve"> </w:t>
      </w:r>
      <w:r w:rsidRPr="4728B130">
        <w:rPr>
          <w:rFonts w:ascii="Times New Roman" w:eastAsia="Times New Roman" w:hAnsi="Times New Roman" w:cs="Times New Roman"/>
          <w:sz w:val="24"/>
          <w:szCs w:val="24"/>
        </w:rPr>
        <w:t>collection</w:t>
      </w:r>
      <w:r w:rsidRPr="4728B130" w:rsidR="001B1DA6">
        <w:rPr>
          <w:rFonts w:ascii="Times New Roman" w:eastAsia="Times New Roman" w:hAnsi="Times New Roman" w:cs="Times New Roman"/>
          <w:sz w:val="24"/>
          <w:szCs w:val="24"/>
        </w:rPr>
        <w:t>s</w:t>
      </w:r>
      <w:r w:rsidRPr="4728B130">
        <w:rPr>
          <w:rFonts w:ascii="Times New Roman" w:eastAsia="Times New Roman" w:hAnsi="Times New Roman" w:cs="Times New Roman"/>
          <w:sz w:val="24"/>
          <w:szCs w:val="24"/>
        </w:rPr>
        <w:t xml:space="preserve"> of information (paperwork) requirements. Each provision is described in detail in </w:t>
      </w:r>
      <w:r w:rsidRPr="4728B130" w:rsidR="5E7624D1">
        <w:rPr>
          <w:rFonts w:ascii="Times New Roman" w:eastAsia="Times New Roman" w:hAnsi="Times New Roman" w:cs="Times New Roman"/>
          <w:sz w:val="24"/>
          <w:szCs w:val="24"/>
        </w:rPr>
        <w:t xml:space="preserve">Item </w:t>
      </w:r>
      <w:r w:rsidRPr="4728B130">
        <w:rPr>
          <w:rFonts w:ascii="Times New Roman" w:eastAsia="Times New Roman" w:hAnsi="Times New Roman" w:cs="Times New Roman"/>
          <w:sz w:val="24"/>
          <w:szCs w:val="24"/>
        </w:rPr>
        <w:t xml:space="preserve">12 below. Employers can use the information collected under the HAZWOPER rule to develop the various programs </w:t>
      </w:r>
      <w:r w:rsidRPr="4728B130" w:rsidR="36752B64">
        <w:rPr>
          <w:rFonts w:ascii="Times New Roman" w:eastAsia="Times New Roman" w:hAnsi="Times New Roman" w:cs="Times New Roman"/>
          <w:sz w:val="24"/>
          <w:szCs w:val="24"/>
        </w:rPr>
        <w:t xml:space="preserve">that </w:t>
      </w:r>
      <w:r w:rsidRPr="4728B130">
        <w:rPr>
          <w:rFonts w:ascii="Times New Roman" w:eastAsia="Times New Roman" w:hAnsi="Times New Roman" w:cs="Times New Roman"/>
          <w:sz w:val="24"/>
          <w:szCs w:val="24"/>
        </w:rPr>
        <w:t xml:space="preserve">the </w:t>
      </w:r>
      <w:r w:rsidRPr="4728B130" w:rsidR="350CB17F">
        <w:rPr>
          <w:rFonts w:ascii="Times New Roman" w:eastAsia="Times New Roman" w:hAnsi="Times New Roman" w:cs="Times New Roman"/>
          <w:sz w:val="24"/>
          <w:szCs w:val="24"/>
        </w:rPr>
        <w:t>s</w:t>
      </w:r>
      <w:r w:rsidRPr="4728B130">
        <w:rPr>
          <w:rFonts w:ascii="Times New Roman" w:eastAsia="Times New Roman" w:hAnsi="Times New Roman" w:cs="Times New Roman"/>
          <w:sz w:val="24"/>
          <w:szCs w:val="24"/>
        </w:rPr>
        <w:t>tandard requires and to ensure that their workers are trained properly about the safety and health hazards associated with hazardous waste operations and emergency response</w:t>
      </w:r>
      <w:r w:rsidRPr="4728B130" w:rsidR="776BC7C9">
        <w:rPr>
          <w:rFonts w:ascii="Times New Roman" w:eastAsia="Times New Roman" w:hAnsi="Times New Roman" w:cs="Times New Roman"/>
          <w:sz w:val="24"/>
          <w:szCs w:val="24"/>
        </w:rPr>
        <w:t>s</w:t>
      </w:r>
      <w:r w:rsidRPr="4728B130">
        <w:rPr>
          <w:rFonts w:ascii="Times New Roman" w:eastAsia="Times New Roman" w:hAnsi="Times New Roman" w:cs="Times New Roman"/>
          <w:sz w:val="24"/>
          <w:szCs w:val="24"/>
        </w:rPr>
        <w:t xml:space="preserve"> to hazardous waste releases. The </w:t>
      </w:r>
      <w:r w:rsidRPr="4728B130">
        <w:rPr>
          <w:rFonts w:ascii="Times New Roman" w:eastAsia="Times New Roman" w:hAnsi="Times New Roman" w:cs="Times New Roman"/>
          <w:sz w:val="24"/>
          <w:szCs w:val="24"/>
        </w:rPr>
        <w:t xml:space="preserve">employer's failure to collect and distribute the information required in this </w:t>
      </w:r>
      <w:r w:rsidRPr="4728B130" w:rsidR="6505676D">
        <w:rPr>
          <w:rFonts w:ascii="Times New Roman" w:eastAsia="Times New Roman" w:hAnsi="Times New Roman" w:cs="Times New Roman"/>
          <w:sz w:val="24"/>
          <w:szCs w:val="24"/>
        </w:rPr>
        <w:t>s</w:t>
      </w:r>
      <w:r w:rsidRPr="4728B130">
        <w:rPr>
          <w:rFonts w:ascii="Times New Roman" w:eastAsia="Times New Roman" w:hAnsi="Times New Roman" w:cs="Times New Roman"/>
          <w:sz w:val="24"/>
          <w:szCs w:val="24"/>
        </w:rPr>
        <w:t xml:space="preserve">tandard will </w:t>
      </w:r>
      <w:r w:rsidRPr="4728B130" w:rsidR="00833331">
        <w:rPr>
          <w:rFonts w:ascii="Times New Roman" w:eastAsia="Times New Roman" w:hAnsi="Times New Roman" w:cs="Times New Roman"/>
          <w:sz w:val="24"/>
          <w:szCs w:val="24"/>
        </w:rPr>
        <w:t>significantly</w:t>
      </w:r>
      <w:r w:rsidRPr="4728B130" w:rsidR="00F617E8">
        <w:rPr>
          <w:rFonts w:ascii="Times New Roman" w:eastAsia="Times New Roman" w:hAnsi="Times New Roman" w:cs="Times New Roman"/>
          <w:sz w:val="24"/>
          <w:szCs w:val="24"/>
        </w:rPr>
        <w:t xml:space="preserve"> affect </w:t>
      </w:r>
      <w:r w:rsidRPr="4728B130">
        <w:rPr>
          <w:rFonts w:ascii="Times New Roman" w:eastAsia="Times New Roman" w:hAnsi="Times New Roman" w:cs="Times New Roman"/>
          <w:sz w:val="24"/>
          <w:szCs w:val="24"/>
        </w:rPr>
        <w:t>OSHA's effort to control and reduce injuries and fatalities. Such failure would also be contrary to the direction Congress provided in SARA.</w:t>
      </w:r>
    </w:p>
    <w:p w:rsidR="001A7689" w:rsidRPr="00723CBD" w:rsidP="00BF576C" w14:paraId="506AE6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BF576C" w:rsidRPr="00723CBD" w:rsidP="00D91F68" w14:paraId="300CCAA0" w14:textId="6CFDBCBC">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3B3D0F5">
        <w:rPr>
          <w:rFonts w:ascii="Times New Roman" w:eastAsia="Times New Roman" w:hAnsi="Times New Roman" w:cs="Times New Roman"/>
          <w:b/>
          <w:bCs/>
          <w:sz w:val="24"/>
          <w:szCs w:val="24"/>
        </w:rPr>
        <w:t xml:space="preserve">Describe whether, and to what extent, the collection of information involves the use of </w:t>
      </w:r>
      <w:r w:rsidRPr="03B3D0F5">
        <w:rPr>
          <w:rFonts w:ascii="Times New Roman" w:eastAsia="Times New Roman" w:hAnsi="Times New Roman" w:cs="Times New Roman"/>
          <w:b/>
          <w:bCs/>
          <w:sz w:val="24"/>
          <w:szCs w:val="24"/>
        </w:rPr>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BF576C" w:rsidRPr="00723CBD" w:rsidP="00BF576C" w14:paraId="75C62F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3B3D0F5" w14:paraId="25A75A91" w14:textId="1F082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3B3D0F5">
        <w:rPr>
          <w:rFonts w:ascii="Times New Roman" w:eastAsia="Times New Roman" w:hAnsi="Times New Roman" w:cs="Times New Roman"/>
          <w:sz w:val="24"/>
          <w:szCs w:val="24"/>
        </w:rPr>
        <w:t>Employers may use automated, electronic, mechanical, or other technological information collection techniques</w:t>
      </w:r>
      <w:r w:rsidR="00467389">
        <w:rPr>
          <w:rFonts w:ascii="Times New Roman" w:eastAsia="Times New Roman" w:hAnsi="Times New Roman" w:cs="Times New Roman"/>
          <w:sz w:val="24"/>
          <w:szCs w:val="24"/>
        </w:rPr>
        <w:t>;</w:t>
      </w:r>
      <w:r w:rsidRPr="03B3D0F5">
        <w:rPr>
          <w:rFonts w:ascii="Times New Roman" w:eastAsia="Times New Roman" w:hAnsi="Times New Roman" w:cs="Times New Roman"/>
          <w:sz w:val="24"/>
          <w:szCs w:val="24"/>
        </w:rPr>
        <w:t xml:space="preserve"> or other forms of information technology (e.g., electronic submission of responses) when establishing and maintaining the required records. The </w:t>
      </w:r>
      <w:r w:rsidRPr="03B3D0F5" w:rsidR="6A3A7BCD">
        <w:rPr>
          <w:rFonts w:ascii="Times New Roman" w:eastAsia="Times New Roman" w:hAnsi="Times New Roman" w:cs="Times New Roman"/>
          <w:sz w:val="24"/>
          <w:szCs w:val="24"/>
        </w:rPr>
        <w:t>a</w:t>
      </w:r>
      <w:r w:rsidRPr="03B3D0F5">
        <w:rPr>
          <w:rFonts w:ascii="Times New Roman" w:eastAsia="Times New Roman" w:hAnsi="Times New Roman" w:cs="Times New Roman"/>
          <w:sz w:val="24"/>
          <w:szCs w:val="24"/>
        </w:rPr>
        <w:t xml:space="preserve">gency wrote the </w:t>
      </w:r>
      <w:r w:rsidRPr="03B3D0F5" w:rsidR="6652D392">
        <w:rPr>
          <w:rFonts w:ascii="Times New Roman" w:eastAsia="Times New Roman" w:hAnsi="Times New Roman" w:cs="Times New Roman"/>
          <w:sz w:val="24"/>
          <w:szCs w:val="24"/>
        </w:rPr>
        <w:t>collections of information</w:t>
      </w:r>
      <w:r w:rsidRPr="03B3D0F5">
        <w:rPr>
          <w:rFonts w:ascii="Times New Roman" w:eastAsia="Times New Roman" w:hAnsi="Times New Roman" w:cs="Times New Roman"/>
          <w:sz w:val="24"/>
          <w:szCs w:val="24"/>
        </w:rPr>
        <w:t xml:space="preserve"> requirements of the </w:t>
      </w:r>
      <w:r w:rsidRPr="03B3D0F5" w:rsidR="3781359E">
        <w:rPr>
          <w:rFonts w:ascii="Times New Roman" w:eastAsia="Times New Roman" w:hAnsi="Times New Roman" w:cs="Times New Roman"/>
          <w:sz w:val="24"/>
          <w:szCs w:val="24"/>
        </w:rPr>
        <w:t>s</w:t>
      </w:r>
      <w:r w:rsidRPr="03B3D0F5">
        <w:rPr>
          <w:rFonts w:ascii="Times New Roman" w:eastAsia="Times New Roman" w:hAnsi="Times New Roman" w:cs="Times New Roman"/>
          <w:sz w:val="24"/>
          <w:szCs w:val="24"/>
        </w:rPr>
        <w:t xml:space="preserve">tandard in performance-oriented language (i.e., in terms of </w:t>
      </w:r>
      <w:r w:rsidRPr="03B3D0F5">
        <w:rPr>
          <w:rFonts w:ascii="Times New Roman" w:eastAsia="Times New Roman" w:hAnsi="Times New Roman" w:cs="Times New Roman"/>
          <w:sz w:val="24"/>
          <w:szCs w:val="24"/>
          <w:u w:val="single"/>
        </w:rPr>
        <w:t>what</w:t>
      </w:r>
      <w:r w:rsidRPr="03B3D0F5">
        <w:rPr>
          <w:rFonts w:ascii="Times New Roman" w:eastAsia="Times New Roman" w:hAnsi="Times New Roman" w:cs="Times New Roman"/>
          <w:sz w:val="24"/>
          <w:szCs w:val="24"/>
        </w:rPr>
        <w:t xml:space="preserve"> data to collect, not </w:t>
      </w:r>
      <w:r w:rsidRPr="03B3D0F5">
        <w:rPr>
          <w:rFonts w:ascii="Times New Roman" w:eastAsia="Times New Roman" w:hAnsi="Times New Roman" w:cs="Times New Roman"/>
          <w:sz w:val="24"/>
          <w:szCs w:val="24"/>
          <w:u w:val="single"/>
        </w:rPr>
        <w:t>how</w:t>
      </w:r>
      <w:r w:rsidRPr="03B3D0F5">
        <w:rPr>
          <w:rFonts w:ascii="Times New Roman" w:eastAsia="Times New Roman" w:hAnsi="Times New Roman" w:cs="Times New Roman"/>
          <w:sz w:val="24"/>
          <w:szCs w:val="24"/>
        </w:rPr>
        <w:t xml:space="preserve"> to record the data).</w:t>
      </w:r>
    </w:p>
    <w:p w:rsidR="00BF576C" w:rsidRPr="00723CBD" w:rsidP="03B3D0F5" w14:paraId="51B87C4F" w14:textId="31F97B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3B3D0F5" w14:paraId="4F0B822C" w14:textId="28D43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Electronic copies</w:t>
      </w:r>
      <w:r w:rsidRPr="5C516CCC" w:rsidR="092D7F12">
        <w:rPr>
          <w:rFonts w:ascii="Times New Roman" w:eastAsia="Times New Roman" w:hAnsi="Times New Roman" w:cs="Times New Roman"/>
          <w:sz w:val="24"/>
          <w:szCs w:val="24"/>
        </w:rPr>
        <w:t xml:space="preserve"> permits the storage of collected information at locations other than the place of inspection if the employer can deliver the data quickly to the place of inspection (i.e., e-mail, fax, or other electronic data transfer method).</w:t>
      </w:r>
    </w:p>
    <w:p w:rsidR="00BF576C" w:rsidRPr="00723CBD" w:rsidP="00BF576C" w14:paraId="078DA2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D91F68" w14:paraId="5FAC9ED7" w14:textId="421424E2">
      <w:pPr>
        <w:pStyle w:val="ListParagraph"/>
        <w:widowControl w:val="0"/>
        <w:numPr>
          <w:ilvl w:val="0"/>
          <w:numId w:val="13"/>
        </w:numPr>
        <w:autoSpaceDE w:val="0"/>
        <w:autoSpaceDN w:val="0"/>
        <w:adjustRightInd w:val="0"/>
        <w:spacing w:after="0" w:line="240" w:lineRule="auto"/>
        <w:rPr>
          <w:rFonts w:ascii="Times New Roman" w:eastAsia="Times New Roman" w:hAnsi="Times New Roman" w:cs="Times New Roman"/>
          <w:b/>
          <w:sz w:val="24"/>
          <w:szCs w:val="24"/>
        </w:rPr>
      </w:pPr>
      <w:r w:rsidRPr="074B250D">
        <w:rPr>
          <w:rFonts w:ascii="Times New Roman" w:eastAsia="Times New Roman" w:hAnsi="Times New Roman" w:cs="Times New Roman"/>
          <w:b/>
          <w:sz w:val="24"/>
          <w:szCs w:val="24"/>
        </w:rPr>
        <w:t>Describe efforts to identify duplication.  Show specifically why any similar information already available cannot be used or modified for use for the purposes described in Item A.2 above.</w:t>
      </w:r>
    </w:p>
    <w:p w:rsidR="00BF576C" w:rsidRPr="00723CBD" w:rsidP="00BF576C" w14:paraId="7C5699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3B3D0F5" w14:paraId="2151D664" w14:textId="0D59B8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3B3D0F5">
        <w:rPr>
          <w:rFonts w:ascii="Times New Roman" w:eastAsia="Times New Roman" w:hAnsi="Times New Roman" w:cs="Times New Roman"/>
          <w:sz w:val="24"/>
          <w:szCs w:val="24"/>
        </w:rPr>
        <w:t>W</w:t>
      </w:r>
      <w:r w:rsidRPr="03B3D0F5" w:rsidR="00986563">
        <w:rPr>
          <w:rFonts w:ascii="Times New Roman" w:eastAsia="Times New Roman" w:hAnsi="Times New Roman" w:cs="Times New Roman"/>
          <w:sz w:val="24"/>
          <w:szCs w:val="24"/>
        </w:rPr>
        <w:t xml:space="preserve">hen OSHA developed the HAZWOPER </w:t>
      </w:r>
      <w:r w:rsidRPr="03B3D0F5" w:rsidR="00EB6A50">
        <w:rPr>
          <w:rFonts w:ascii="Times New Roman" w:eastAsia="Times New Roman" w:hAnsi="Times New Roman" w:cs="Times New Roman"/>
          <w:sz w:val="24"/>
          <w:szCs w:val="24"/>
        </w:rPr>
        <w:t xml:space="preserve">Rule, </w:t>
      </w:r>
      <w:r w:rsidRPr="03B3D0F5" w:rsidR="00833331">
        <w:rPr>
          <w:rFonts w:ascii="Times New Roman" w:eastAsia="Times New Roman" w:hAnsi="Times New Roman" w:cs="Times New Roman"/>
          <w:sz w:val="24"/>
          <w:szCs w:val="24"/>
        </w:rPr>
        <w:t xml:space="preserve">in order to </w:t>
      </w:r>
      <w:r w:rsidRPr="03B3D0F5">
        <w:rPr>
          <w:rFonts w:ascii="Times New Roman" w:eastAsia="Times New Roman" w:hAnsi="Times New Roman" w:cs="Times New Roman"/>
          <w:sz w:val="24"/>
          <w:szCs w:val="24"/>
        </w:rPr>
        <w:t>prevent duplication of effor</w:t>
      </w:r>
      <w:r w:rsidRPr="03B3D0F5" w:rsidR="00EB6A50">
        <w:rPr>
          <w:rFonts w:ascii="Times New Roman" w:eastAsia="Times New Roman" w:hAnsi="Times New Roman" w:cs="Times New Roman"/>
          <w:sz w:val="24"/>
          <w:szCs w:val="24"/>
        </w:rPr>
        <w:t xml:space="preserve">t, </w:t>
      </w:r>
      <w:r w:rsidRPr="03B3D0F5">
        <w:rPr>
          <w:rFonts w:ascii="Times New Roman" w:eastAsia="Times New Roman" w:hAnsi="Times New Roman" w:cs="Times New Roman"/>
          <w:sz w:val="24"/>
          <w:szCs w:val="24"/>
        </w:rPr>
        <w:t xml:space="preserve">OSHA coordinated appropriate individuals from Federal OSHA, state OSHA programs, </w:t>
      </w:r>
      <w:r w:rsidRPr="074B250D" w:rsidR="13AD88E6">
        <w:rPr>
          <w:rFonts w:ascii="Times New Roman" w:eastAsia="Times New Roman" w:hAnsi="Times New Roman" w:cs="Times New Roman"/>
          <w:sz w:val="24"/>
          <w:szCs w:val="24"/>
        </w:rPr>
        <w:t xml:space="preserve">the </w:t>
      </w:r>
      <w:r w:rsidRPr="03B3D0F5">
        <w:rPr>
          <w:rFonts w:ascii="Times New Roman" w:eastAsia="Times New Roman" w:hAnsi="Times New Roman" w:cs="Times New Roman"/>
          <w:sz w:val="24"/>
          <w:szCs w:val="24"/>
        </w:rPr>
        <w:t>U.S. Department of Transportation (DOT</w:t>
      </w:r>
      <w:r w:rsidRPr="074B250D">
        <w:rPr>
          <w:rFonts w:ascii="Times New Roman" w:eastAsia="Times New Roman" w:hAnsi="Times New Roman" w:cs="Times New Roman"/>
          <w:sz w:val="24"/>
          <w:szCs w:val="24"/>
        </w:rPr>
        <w:t>)</w:t>
      </w:r>
      <w:r w:rsidRPr="074B250D" w:rsidR="7F48F624">
        <w:rPr>
          <w:rFonts w:ascii="Times New Roman" w:eastAsia="Times New Roman" w:hAnsi="Times New Roman" w:cs="Times New Roman"/>
          <w:sz w:val="24"/>
          <w:szCs w:val="24"/>
        </w:rPr>
        <w:t>,</w:t>
      </w:r>
      <w:r w:rsidRPr="03B3D0F5">
        <w:rPr>
          <w:rFonts w:ascii="Times New Roman" w:eastAsia="Times New Roman" w:hAnsi="Times New Roman" w:cs="Times New Roman"/>
          <w:sz w:val="24"/>
          <w:szCs w:val="24"/>
        </w:rPr>
        <w:t xml:space="preserve"> and the U.S. Environmental Protection Agency (EPA). OSHA reviewed standards addressing similar hazardous waste operations and emergency response in industries regulated by other parts of </w:t>
      </w:r>
      <w:r w:rsidRPr="074B250D" w:rsidR="0A21F43B">
        <w:rPr>
          <w:rFonts w:ascii="Times New Roman" w:eastAsia="Times New Roman" w:hAnsi="Times New Roman" w:cs="Times New Roman"/>
          <w:sz w:val="24"/>
          <w:szCs w:val="24"/>
        </w:rPr>
        <w:t>T</w:t>
      </w:r>
      <w:r w:rsidRPr="03B3D0F5">
        <w:rPr>
          <w:rFonts w:ascii="Times New Roman" w:eastAsia="Times New Roman" w:hAnsi="Times New Roman" w:cs="Times New Roman"/>
          <w:sz w:val="24"/>
          <w:szCs w:val="24"/>
        </w:rPr>
        <w:t xml:space="preserve">itle 29 (i.e., 29 CFR part 1926, Safety and Health Regulations for the Construction Industry) and parts of </w:t>
      </w:r>
      <w:r w:rsidRPr="074B250D" w:rsidR="24C05781">
        <w:rPr>
          <w:rFonts w:ascii="Times New Roman" w:eastAsia="Times New Roman" w:hAnsi="Times New Roman" w:cs="Times New Roman"/>
          <w:sz w:val="24"/>
          <w:szCs w:val="24"/>
        </w:rPr>
        <w:t>T</w:t>
      </w:r>
      <w:r w:rsidRPr="03B3D0F5">
        <w:rPr>
          <w:rFonts w:ascii="Times New Roman" w:eastAsia="Times New Roman" w:hAnsi="Times New Roman" w:cs="Times New Roman"/>
          <w:sz w:val="24"/>
          <w:szCs w:val="24"/>
        </w:rPr>
        <w:t xml:space="preserve">itle 40 (EPA) and </w:t>
      </w:r>
      <w:r w:rsidRPr="074B250D" w:rsidR="0A64F57F">
        <w:rPr>
          <w:rFonts w:ascii="Times New Roman" w:eastAsia="Times New Roman" w:hAnsi="Times New Roman" w:cs="Times New Roman"/>
          <w:sz w:val="24"/>
          <w:szCs w:val="24"/>
        </w:rPr>
        <w:t>T</w:t>
      </w:r>
      <w:r w:rsidRPr="03B3D0F5">
        <w:rPr>
          <w:rFonts w:ascii="Times New Roman" w:eastAsia="Times New Roman" w:hAnsi="Times New Roman" w:cs="Times New Roman"/>
          <w:sz w:val="24"/>
          <w:szCs w:val="24"/>
        </w:rPr>
        <w:t>itle 49 (DOT) of the Code of Federal Regulations (CFR) to ensure no duplication of effort. The employer may use efforts to comply with other Federal regulations to comply with this regulation. OSHA also reviewed the various state plan program regulations for hazardous waste operations and emergency response to ensure no duplication of effort by employers is necessary or required. EPA regulations addressing similar operations for worker populations not covered by OSHA (i.e., 40 CFR 311) ar</w:t>
      </w:r>
      <w:r w:rsidRPr="03B3D0F5">
        <w:rPr>
          <w:rFonts w:ascii="Times New Roman" w:eastAsia="Times New Roman" w:hAnsi="Times New Roman" w:cs="Times New Roman"/>
          <w:sz w:val="24"/>
          <w:szCs w:val="24"/>
        </w:rPr>
        <w:t xml:space="preserve">e identical to OSHA's requirement but not duplicative due to the worker populations regulated by </w:t>
      </w:r>
      <w:r w:rsidRPr="074B250D" w:rsidR="61436540">
        <w:rPr>
          <w:rFonts w:ascii="Times New Roman" w:eastAsia="Times New Roman" w:hAnsi="Times New Roman" w:cs="Times New Roman"/>
          <w:sz w:val="24"/>
          <w:szCs w:val="24"/>
        </w:rPr>
        <w:t>the</w:t>
      </w:r>
      <w:r w:rsidRPr="074B250D">
        <w:rPr>
          <w:rFonts w:ascii="Times New Roman" w:eastAsia="Times New Roman" w:hAnsi="Times New Roman" w:cs="Times New Roman"/>
          <w:sz w:val="24"/>
          <w:szCs w:val="24"/>
        </w:rPr>
        <w:t xml:space="preserve"> </w:t>
      </w:r>
      <w:r w:rsidRPr="03B3D0F5">
        <w:rPr>
          <w:rFonts w:ascii="Times New Roman" w:eastAsia="Times New Roman" w:hAnsi="Times New Roman" w:cs="Times New Roman"/>
          <w:sz w:val="24"/>
          <w:szCs w:val="24"/>
        </w:rPr>
        <w:t xml:space="preserve">EPA. The EPA regulates state and local government </w:t>
      </w:r>
      <w:r w:rsidRPr="03B3D0F5">
        <w:rPr>
          <w:rFonts w:ascii="Times New Roman" w:eastAsia="Times New Roman" w:hAnsi="Times New Roman" w:cs="Times New Roman"/>
          <w:sz w:val="24"/>
          <w:szCs w:val="24"/>
        </w:rPr>
        <w:t xml:space="preserve">workers engaged in hazardous waste operations and emergency response in </w:t>
      </w:r>
      <w:r w:rsidRPr="03B3D0F5" w:rsidR="000B5BBD">
        <w:rPr>
          <w:rFonts w:ascii="Times New Roman" w:eastAsia="Times New Roman" w:hAnsi="Times New Roman" w:cs="Times New Roman"/>
          <w:sz w:val="24"/>
          <w:szCs w:val="24"/>
        </w:rPr>
        <w:t xml:space="preserve">those </w:t>
      </w:r>
      <w:r w:rsidRPr="03B3D0F5" w:rsidR="00895BC3">
        <w:rPr>
          <w:rFonts w:ascii="Times New Roman" w:eastAsia="Times New Roman" w:hAnsi="Times New Roman" w:cs="Times New Roman"/>
          <w:sz w:val="24"/>
          <w:szCs w:val="24"/>
        </w:rPr>
        <w:t xml:space="preserve">states </w:t>
      </w:r>
      <w:r w:rsidRPr="03B3D0F5" w:rsidR="00072906">
        <w:rPr>
          <w:rFonts w:ascii="Times New Roman" w:eastAsia="Times New Roman" w:hAnsi="Times New Roman" w:cs="Times New Roman"/>
          <w:sz w:val="24"/>
          <w:szCs w:val="24"/>
        </w:rPr>
        <w:t>that have</w:t>
      </w:r>
      <w:r w:rsidRPr="03B3D0F5" w:rsidR="00F02CE0">
        <w:rPr>
          <w:rFonts w:ascii="Times New Roman" w:eastAsia="Times New Roman" w:hAnsi="Times New Roman" w:cs="Times New Roman"/>
          <w:sz w:val="24"/>
          <w:szCs w:val="24"/>
        </w:rPr>
        <w:t xml:space="preserve"> </w:t>
      </w:r>
      <w:r w:rsidRPr="03B3D0F5">
        <w:rPr>
          <w:rFonts w:ascii="Times New Roman" w:eastAsia="Times New Roman" w:hAnsi="Times New Roman" w:cs="Times New Roman"/>
          <w:sz w:val="24"/>
          <w:szCs w:val="24"/>
        </w:rPr>
        <w:t xml:space="preserve">Federal OSHA jurisdiction (i.e., non-state-plan states). OSHA will recognize any applicable information the employer develops or collects under other Federal regulations as </w:t>
      </w:r>
      <w:r w:rsidRPr="03B3D0F5" w:rsidR="00C51F7D">
        <w:rPr>
          <w:rFonts w:ascii="Times New Roman" w:eastAsia="Times New Roman" w:hAnsi="Times New Roman" w:cs="Times New Roman"/>
          <w:sz w:val="24"/>
          <w:szCs w:val="24"/>
        </w:rPr>
        <w:t>acceptable in meeting th</w:t>
      </w:r>
      <w:r w:rsidRPr="03B3D0F5" w:rsidR="00764602">
        <w:rPr>
          <w:rFonts w:ascii="Times New Roman" w:eastAsia="Times New Roman" w:hAnsi="Times New Roman" w:cs="Times New Roman"/>
          <w:sz w:val="24"/>
          <w:szCs w:val="24"/>
        </w:rPr>
        <w:t>e</w:t>
      </w:r>
      <w:r w:rsidRPr="03B3D0F5" w:rsidR="00C51F7D">
        <w:rPr>
          <w:rFonts w:ascii="Times New Roman" w:eastAsia="Times New Roman" w:hAnsi="Times New Roman" w:cs="Times New Roman"/>
          <w:sz w:val="24"/>
          <w:szCs w:val="24"/>
        </w:rPr>
        <w:t xml:space="preserve"> requirements</w:t>
      </w:r>
      <w:r w:rsidRPr="03B3D0F5" w:rsidR="00764602">
        <w:rPr>
          <w:rFonts w:ascii="Times New Roman" w:eastAsia="Times New Roman" w:hAnsi="Times New Roman" w:cs="Times New Roman"/>
          <w:sz w:val="24"/>
          <w:szCs w:val="24"/>
        </w:rPr>
        <w:t xml:space="preserve"> of this standard</w:t>
      </w:r>
      <w:r w:rsidRPr="03B3D0F5">
        <w:rPr>
          <w:rFonts w:ascii="Times New Roman" w:eastAsia="Times New Roman" w:hAnsi="Times New Roman" w:cs="Times New Roman"/>
          <w:sz w:val="24"/>
          <w:szCs w:val="24"/>
        </w:rPr>
        <w:t>.</w:t>
      </w:r>
    </w:p>
    <w:p w:rsidR="00BF576C" w:rsidRPr="00723CBD" w:rsidP="00BF576C" w14:paraId="5B9A86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BF576C" w:rsidRPr="00723CBD" w:rsidP="00D91F68" w14:paraId="522D9E92" w14:textId="461385F6">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3B3D0F5">
        <w:rPr>
          <w:rFonts w:ascii="Times New Roman" w:eastAsia="Times New Roman" w:hAnsi="Times New Roman" w:cs="Times New Roman"/>
          <w:b/>
          <w:bCs/>
          <w:sz w:val="24"/>
          <w:szCs w:val="24"/>
        </w:rPr>
        <w:t>If the collection of information impacts small businesses or other small entities, describe any methods used to minimize burden.</w:t>
      </w:r>
    </w:p>
    <w:p w:rsidR="00BF576C" w:rsidRPr="00723CBD" w:rsidP="00BF576C" w14:paraId="3B292D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3B3D0F5" w14:paraId="35BC53F1" w14:textId="184115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3B3D0F5">
        <w:rPr>
          <w:rFonts w:ascii="Times New Roman" w:eastAsia="Times New Roman" w:hAnsi="Times New Roman" w:cs="Times New Roman"/>
          <w:sz w:val="24"/>
          <w:szCs w:val="24"/>
        </w:rPr>
        <w:t xml:space="preserve">The information collection requirements specified by the </w:t>
      </w:r>
      <w:r w:rsidRPr="03B3D0F5" w:rsidR="3AF0B673">
        <w:rPr>
          <w:rFonts w:ascii="Times New Roman" w:eastAsia="Times New Roman" w:hAnsi="Times New Roman" w:cs="Times New Roman"/>
          <w:sz w:val="24"/>
          <w:szCs w:val="24"/>
        </w:rPr>
        <w:t>s</w:t>
      </w:r>
      <w:r w:rsidRPr="03B3D0F5">
        <w:rPr>
          <w:rFonts w:ascii="Times New Roman" w:eastAsia="Times New Roman" w:hAnsi="Times New Roman" w:cs="Times New Roman"/>
          <w:sz w:val="24"/>
          <w:szCs w:val="24"/>
        </w:rPr>
        <w:t xml:space="preserve">tandard do not </w:t>
      </w:r>
      <w:r w:rsidRPr="03B3D0F5" w:rsidR="002B0EB9">
        <w:rPr>
          <w:rFonts w:ascii="Times New Roman" w:eastAsia="Times New Roman" w:hAnsi="Times New Roman" w:cs="Times New Roman"/>
          <w:sz w:val="24"/>
          <w:szCs w:val="24"/>
        </w:rPr>
        <w:t xml:space="preserve">have a </w:t>
      </w:r>
      <w:r w:rsidRPr="03B3D0F5" w:rsidR="00C51F7D">
        <w:rPr>
          <w:rFonts w:ascii="Times New Roman" w:eastAsia="Times New Roman" w:hAnsi="Times New Roman" w:cs="Times New Roman"/>
          <w:sz w:val="24"/>
          <w:szCs w:val="24"/>
        </w:rPr>
        <w:t>significant impact</w:t>
      </w:r>
      <w:r w:rsidRPr="03B3D0F5">
        <w:rPr>
          <w:rFonts w:ascii="Times New Roman" w:eastAsia="Times New Roman" w:hAnsi="Times New Roman" w:cs="Times New Roman"/>
          <w:sz w:val="24"/>
          <w:szCs w:val="24"/>
        </w:rPr>
        <w:t xml:space="preserve"> </w:t>
      </w:r>
      <w:r w:rsidRPr="03B3D0F5" w:rsidR="002B0EB9">
        <w:rPr>
          <w:rFonts w:ascii="Times New Roman" w:eastAsia="Times New Roman" w:hAnsi="Times New Roman" w:cs="Times New Roman"/>
          <w:sz w:val="24"/>
          <w:szCs w:val="24"/>
        </w:rPr>
        <w:t xml:space="preserve">on </w:t>
      </w:r>
      <w:r w:rsidRPr="03B3D0F5">
        <w:rPr>
          <w:rFonts w:ascii="Times New Roman" w:eastAsia="Times New Roman" w:hAnsi="Times New Roman" w:cs="Times New Roman"/>
          <w:sz w:val="24"/>
          <w:szCs w:val="24"/>
        </w:rPr>
        <w:t>a substantial number of small entities.</w:t>
      </w:r>
    </w:p>
    <w:p w:rsidR="00BF576C" w:rsidRPr="00723CBD" w:rsidP="00BF576C" w14:paraId="14ED24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D91F68" w14:paraId="6899A9A7" w14:textId="13D0D2C3">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3B3D0F5">
        <w:rPr>
          <w:rFonts w:ascii="Times New Roman" w:eastAsia="Times New Roman" w:hAnsi="Times New Roman" w:cs="Times New Roman"/>
          <w:b/>
          <w:bCs/>
          <w:sz w:val="24"/>
          <w:szCs w:val="24"/>
        </w:rPr>
        <w:t>Describe the consequence to Federal program or policy activities if the collection is not conducted or is conducted less frequently, as well as any technical or legal obstacles to reducing burden.</w:t>
      </w:r>
    </w:p>
    <w:p w:rsidR="00944B79" w:rsidRPr="00723CBD" w:rsidP="00BF576C" w14:paraId="6A0E54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3B3D0F5" w14:paraId="42D203C6" w14:textId="65293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3B3D0F5">
        <w:rPr>
          <w:rFonts w:ascii="Times New Roman" w:eastAsia="Times New Roman" w:hAnsi="Times New Roman" w:cs="Times New Roman"/>
          <w:sz w:val="24"/>
          <w:szCs w:val="24"/>
        </w:rPr>
        <w:t xml:space="preserve">The </w:t>
      </w:r>
      <w:r w:rsidRPr="03B3D0F5" w:rsidR="67E73E80">
        <w:rPr>
          <w:rFonts w:ascii="Times New Roman" w:eastAsia="Times New Roman" w:hAnsi="Times New Roman" w:cs="Times New Roman"/>
          <w:sz w:val="24"/>
          <w:szCs w:val="24"/>
        </w:rPr>
        <w:t>a</w:t>
      </w:r>
      <w:r w:rsidRPr="03B3D0F5">
        <w:rPr>
          <w:rFonts w:ascii="Times New Roman" w:eastAsia="Times New Roman" w:hAnsi="Times New Roman" w:cs="Times New Roman"/>
          <w:sz w:val="24"/>
          <w:szCs w:val="24"/>
        </w:rPr>
        <w:t xml:space="preserve">gency believes that the information collection frequencies required by the </w:t>
      </w:r>
      <w:r w:rsidRPr="03B3D0F5" w:rsidR="4E55B66F">
        <w:rPr>
          <w:rFonts w:ascii="Times New Roman" w:eastAsia="Times New Roman" w:hAnsi="Times New Roman" w:cs="Times New Roman"/>
          <w:sz w:val="24"/>
          <w:szCs w:val="24"/>
        </w:rPr>
        <w:t>s</w:t>
      </w:r>
      <w:r w:rsidRPr="03B3D0F5">
        <w:rPr>
          <w:rFonts w:ascii="Times New Roman" w:eastAsia="Times New Roman" w:hAnsi="Times New Roman" w:cs="Times New Roman"/>
          <w:sz w:val="24"/>
          <w:szCs w:val="24"/>
        </w:rPr>
        <w:t xml:space="preserve">tandard are the minimum frequencies necessary to effectively regulate hazardous waste operations, and thereby, fulfill its mandate “to assure so far as possible every </w:t>
      </w:r>
      <w:r w:rsidRPr="03B3D0F5">
        <w:rPr>
          <w:rFonts w:ascii="Times New Roman" w:eastAsia="Times New Roman" w:hAnsi="Times New Roman" w:cs="Times New Roman"/>
          <w:sz w:val="24"/>
          <w:szCs w:val="24"/>
        </w:rPr>
        <w:t>working man and woman in the nation safe and healthful working conditions and to preserve our human resources”</w:t>
      </w:r>
      <w:r w:rsidRPr="03B3D0F5" w:rsidR="07953923">
        <w:rPr>
          <w:rFonts w:ascii="Times New Roman" w:eastAsia="Times New Roman" w:hAnsi="Times New Roman" w:cs="Times New Roman"/>
          <w:sz w:val="24"/>
          <w:szCs w:val="24"/>
        </w:rPr>
        <w:t xml:space="preserve"> (29 U.S.C. 651).</w:t>
      </w:r>
      <w:r w:rsidRPr="03B3D0F5">
        <w:rPr>
          <w:rFonts w:ascii="Times New Roman" w:eastAsia="Times New Roman" w:hAnsi="Times New Roman" w:cs="Times New Roman"/>
          <w:sz w:val="24"/>
          <w:szCs w:val="24"/>
        </w:rPr>
        <w:t xml:space="preserve"> The frequencies of the collections in the OSHA rule are sometimes less than those mandated by SARA. There is a provision in SARA that permitted OSHA to reduce the frequency of collection based upon </w:t>
      </w:r>
      <w:r w:rsidRPr="03B3D0F5" w:rsidR="74E5A818">
        <w:rPr>
          <w:rFonts w:ascii="Times New Roman" w:eastAsia="Times New Roman" w:hAnsi="Times New Roman" w:cs="Times New Roman"/>
          <w:sz w:val="24"/>
          <w:szCs w:val="24"/>
        </w:rPr>
        <w:t xml:space="preserve">information </w:t>
      </w:r>
      <w:r w:rsidRPr="1210E917" w:rsidR="74E5A818">
        <w:rPr>
          <w:rFonts w:ascii="Times New Roman" w:eastAsia="Times New Roman" w:hAnsi="Times New Roman" w:cs="Times New Roman"/>
          <w:sz w:val="24"/>
          <w:szCs w:val="24"/>
        </w:rPr>
        <w:t>deri</w:t>
      </w:r>
      <w:r w:rsidRPr="1210E917" w:rsidR="3BC24A8D">
        <w:rPr>
          <w:rFonts w:ascii="Times New Roman" w:eastAsia="Times New Roman" w:hAnsi="Times New Roman" w:cs="Times New Roman"/>
          <w:sz w:val="24"/>
          <w:szCs w:val="24"/>
        </w:rPr>
        <w:t>v</w:t>
      </w:r>
      <w:r w:rsidRPr="1210E917" w:rsidR="74E5A818">
        <w:rPr>
          <w:rFonts w:ascii="Times New Roman" w:eastAsia="Times New Roman" w:hAnsi="Times New Roman" w:cs="Times New Roman"/>
          <w:sz w:val="24"/>
          <w:szCs w:val="24"/>
        </w:rPr>
        <w:t>ed</w:t>
      </w:r>
      <w:r w:rsidRPr="03B3D0F5" w:rsidR="74E5A818">
        <w:rPr>
          <w:rFonts w:ascii="Times New Roman" w:eastAsia="Times New Roman" w:hAnsi="Times New Roman" w:cs="Times New Roman"/>
          <w:sz w:val="24"/>
          <w:szCs w:val="24"/>
        </w:rPr>
        <w:t xml:space="preserve"> from </w:t>
      </w:r>
      <w:r w:rsidRPr="03B3D0F5">
        <w:rPr>
          <w:rFonts w:ascii="Times New Roman" w:eastAsia="Times New Roman" w:hAnsi="Times New Roman" w:cs="Times New Roman"/>
          <w:sz w:val="24"/>
          <w:szCs w:val="24"/>
        </w:rPr>
        <w:t>public comment</w:t>
      </w:r>
      <w:r w:rsidRPr="03B3D0F5" w:rsidR="6B2B8BD2">
        <w:rPr>
          <w:rFonts w:ascii="Times New Roman" w:eastAsia="Times New Roman" w:hAnsi="Times New Roman" w:cs="Times New Roman"/>
          <w:sz w:val="24"/>
          <w:szCs w:val="24"/>
        </w:rPr>
        <w:t>s</w:t>
      </w:r>
      <w:r w:rsidRPr="03B3D0F5">
        <w:rPr>
          <w:rFonts w:ascii="Times New Roman" w:eastAsia="Times New Roman" w:hAnsi="Times New Roman" w:cs="Times New Roman"/>
          <w:sz w:val="24"/>
          <w:szCs w:val="24"/>
        </w:rPr>
        <w:t xml:space="preserve"> presented during </w:t>
      </w:r>
      <w:r w:rsidRPr="03B3D0F5" w:rsidR="3046C713">
        <w:rPr>
          <w:rFonts w:ascii="Times New Roman" w:eastAsia="Times New Roman" w:hAnsi="Times New Roman" w:cs="Times New Roman"/>
          <w:sz w:val="24"/>
          <w:szCs w:val="24"/>
        </w:rPr>
        <w:t xml:space="preserve">the </w:t>
      </w:r>
      <w:r w:rsidRPr="03B3D0F5">
        <w:rPr>
          <w:rFonts w:ascii="Times New Roman" w:eastAsia="Times New Roman" w:hAnsi="Times New Roman" w:cs="Times New Roman"/>
          <w:sz w:val="24"/>
          <w:szCs w:val="24"/>
        </w:rPr>
        <w:t>rulemaking</w:t>
      </w:r>
      <w:r w:rsidRPr="03B3D0F5" w:rsidR="7901C972">
        <w:rPr>
          <w:rFonts w:ascii="Times New Roman" w:eastAsia="Times New Roman" w:hAnsi="Times New Roman" w:cs="Times New Roman"/>
          <w:sz w:val="24"/>
          <w:szCs w:val="24"/>
        </w:rPr>
        <w:t xml:space="preserve"> process</w:t>
      </w:r>
      <w:r w:rsidRPr="03B3D0F5">
        <w:rPr>
          <w:rFonts w:ascii="Times New Roman" w:eastAsia="Times New Roman" w:hAnsi="Times New Roman" w:cs="Times New Roman"/>
          <w:sz w:val="24"/>
          <w:szCs w:val="24"/>
        </w:rPr>
        <w:t>. The</w:t>
      </w:r>
      <w:r w:rsidRPr="03B3D0F5" w:rsidR="39235018">
        <w:rPr>
          <w:rFonts w:ascii="Times New Roman" w:eastAsia="Times New Roman" w:hAnsi="Times New Roman" w:cs="Times New Roman"/>
          <w:sz w:val="24"/>
          <w:szCs w:val="24"/>
        </w:rPr>
        <w:t xml:space="preserve"> associated</w:t>
      </w:r>
      <w:r w:rsidRPr="03B3D0F5">
        <w:rPr>
          <w:rFonts w:ascii="Times New Roman" w:eastAsia="Times New Roman" w:hAnsi="Times New Roman" w:cs="Times New Roman"/>
          <w:sz w:val="24"/>
          <w:szCs w:val="24"/>
        </w:rPr>
        <w:t xml:space="preserve"> record supported certain reductions. </w:t>
      </w:r>
      <w:r w:rsidRPr="03B3D0F5" w:rsidR="04690A7E">
        <w:rPr>
          <w:rFonts w:ascii="Times New Roman" w:eastAsia="Times New Roman" w:hAnsi="Times New Roman" w:cs="Times New Roman"/>
          <w:color w:val="000000" w:themeColor="text1"/>
          <w:sz w:val="24"/>
          <w:szCs w:val="24"/>
        </w:rPr>
        <w:t>Accordingly, if employers do not perform the required information collections, or delay in providing this information, workers may be at risk of serious injuries or death, and employers would be in violation of SARA reporting mandates.</w:t>
      </w:r>
    </w:p>
    <w:p w:rsidR="00BF576C" w:rsidRPr="00723CBD" w:rsidP="00BF576C" w14:paraId="0DE7A7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D91F68" w14:paraId="0B1F701A" w14:textId="6D7F856E">
      <w:pPr>
        <w:pStyle w:val="ListParagraph"/>
        <w:widowControl w:val="0"/>
        <w:numPr>
          <w:ilvl w:val="0"/>
          <w:numId w:val="13"/>
        </w:numPr>
        <w:tabs>
          <w:tab w:val="left" w:pos="360"/>
        </w:tabs>
        <w:autoSpaceDE w:val="0"/>
        <w:autoSpaceDN w:val="0"/>
        <w:adjustRightInd w:val="0"/>
        <w:spacing w:after="0" w:line="240" w:lineRule="auto"/>
        <w:rPr>
          <w:rFonts w:ascii="Times New Roman" w:eastAsia="Times New Roman" w:hAnsi="Times New Roman" w:cs="Times New Roman"/>
          <w:b/>
          <w:bCs/>
          <w:sz w:val="24"/>
          <w:szCs w:val="24"/>
        </w:rPr>
      </w:pPr>
      <w:r w:rsidRPr="03B3D0F5">
        <w:rPr>
          <w:rFonts w:ascii="Times New Roman" w:eastAsia="Times New Roman" w:hAnsi="Times New Roman" w:cs="Times New Roman"/>
          <w:b/>
          <w:bCs/>
          <w:sz w:val="24"/>
          <w:szCs w:val="24"/>
        </w:rPr>
        <w:t>Explain any special circumstances that would cause an information collection to be conducted in a manner:</w:t>
      </w:r>
    </w:p>
    <w:p w:rsidR="00BF576C" w:rsidRPr="00723CBD" w:rsidP="00BF576C" w14:paraId="501C4C5E"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BF576C" w:rsidRPr="00723CBD" w:rsidP="00BF576C" w14:paraId="68AA9174" w14:textId="77777777">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723CBD">
        <w:rPr>
          <w:rFonts w:ascii="Times New Roman" w:eastAsia="Times New Roman" w:hAnsi="Times New Roman" w:cs="Times New Roman"/>
          <w:b/>
          <w:bCs/>
          <w:sz w:val="24"/>
          <w:szCs w:val="24"/>
        </w:rPr>
        <w:t>requiring respondents to report information to the agency more often than quarterly;</w:t>
      </w:r>
    </w:p>
    <w:p w:rsidR="00BF576C" w:rsidRPr="00723CBD" w:rsidP="00BF576C" w14:paraId="729B1123"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BF576C" w:rsidRPr="00723CBD" w:rsidP="00BF576C" w14:paraId="41ED7189" w14:textId="77777777">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723CBD">
        <w:rPr>
          <w:rFonts w:ascii="Times New Roman" w:eastAsia="Times New Roman" w:hAnsi="Times New Roman" w:cs="Times New Roman"/>
          <w:b/>
          <w:bCs/>
          <w:sz w:val="24"/>
          <w:szCs w:val="24"/>
        </w:rPr>
        <w:t>requiring respondents to prepare a written response to a collection of information in fewer than 30 days after receipt of it;</w:t>
      </w:r>
    </w:p>
    <w:p w:rsidR="00BF576C" w:rsidRPr="00723CBD" w:rsidP="00BF576C" w14:paraId="4D297E7E"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BF576C" w:rsidRPr="00723CBD" w:rsidP="00BF576C" w14:paraId="4BE68CED" w14:textId="77777777">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723CBD">
        <w:rPr>
          <w:rFonts w:ascii="Times New Roman" w:eastAsia="Times New Roman" w:hAnsi="Times New Roman" w:cs="Times New Roman"/>
          <w:b/>
          <w:bCs/>
          <w:sz w:val="24"/>
          <w:szCs w:val="24"/>
        </w:rPr>
        <w:t xml:space="preserve">requiring respondents to submit more than an original and two copies of any </w:t>
      </w:r>
      <w:r w:rsidRPr="00723CBD">
        <w:rPr>
          <w:rFonts w:ascii="Times New Roman" w:eastAsia="Times New Roman" w:hAnsi="Times New Roman" w:cs="Times New Roman"/>
          <w:b/>
          <w:bCs/>
          <w:sz w:val="24"/>
          <w:szCs w:val="24"/>
        </w:rPr>
        <w:t>document;</w:t>
      </w:r>
    </w:p>
    <w:p w:rsidR="00BF576C" w:rsidRPr="00723CBD" w:rsidP="00BF576C" w14:paraId="66B9422D"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BF576C" w:rsidRPr="00723CBD" w:rsidP="00BF576C" w14:paraId="6C2CAFA2" w14:textId="77777777">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723CBD">
        <w:rPr>
          <w:rFonts w:ascii="Times New Roman" w:eastAsia="Times New Roman" w:hAnsi="Times New Roman" w:cs="Times New Roman"/>
          <w:b/>
          <w:bCs/>
          <w:sz w:val="24"/>
          <w:szCs w:val="24"/>
        </w:rPr>
        <w:t xml:space="preserve">requiring respondents to retain records, other than health, medical, government contract, grant-in-aid, or tax records for more than three years; </w:t>
      </w:r>
    </w:p>
    <w:p w:rsidR="00BF576C" w:rsidRPr="00723CBD" w:rsidP="00BF576C" w14:paraId="095ABA4A" w14:textId="77777777">
      <w:pPr>
        <w:widowControl w:val="0"/>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p>
    <w:p w:rsidR="00BF576C" w:rsidRPr="00723CBD" w:rsidP="00BF576C" w14:paraId="78A953AA" w14:textId="77777777">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723CBD">
        <w:rPr>
          <w:rFonts w:ascii="Times New Roman" w:eastAsia="Times New Roman" w:hAnsi="Times New Roman" w:cs="Times New Roman"/>
          <w:b/>
          <w:bCs/>
          <w:sz w:val="24"/>
          <w:szCs w:val="24"/>
        </w:rPr>
        <w:t>in connection with a statistical survey, that is not designed to produce valid and reliable results that can be generalized to the universe of study;</w:t>
      </w:r>
    </w:p>
    <w:p w:rsidR="00BF576C" w:rsidRPr="00723CBD" w:rsidP="00BF576C" w14:paraId="12FB9619"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BF576C" w:rsidRPr="00723CBD" w:rsidP="00BF576C" w14:paraId="58BA01F1" w14:textId="77777777">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723CBD">
        <w:rPr>
          <w:rFonts w:ascii="Times New Roman" w:eastAsia="Times New Roman" w:hAnsi="Times New Roman" w:cs="Times New Roman"/>
          <w:b/>
          <w:bCs/>
          <w:sz w:val="24"/>
          <w:szCs w:val="24"/>
        </w:rPr>
        <w:t xml:space="preserve">requiring the use of a statistical data classification that has not been reviewed and approved by OMB; </w:t>
      </w:r>
    </w:p>
    <w:p w:rsidR="00BF576C" w:rsidRPr="00723CBD" w:rsidP="00BF576C" w14:paraId="72E9519D" w14:textId="77777777">
      <w:pPr>
        <w:widowControl w:val="0"/>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p>
    <w:p w:rsidR="00BF576C" w:rsidRPr="00723CBD" w:rsidP="00BF576C" w14:paraId="7BECF6C8" w14:textId="77777777">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723CBD">
        <w:rPr>
          <w:rFonts w:ascii="Times New Roman" w:eastAsia="Times New Roman" w:hAnsi="Times New Roman" w:cs="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F576C" w:rsidRPr="00723CBD" w:rsidP="00BF576C" w14:paraId="4CC45582"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b/>
          <w:bCs/>
          <w:sz w:val="24"/>
          <w:szCs w:val="24"/>
        </w:rPr>
      </w:pPr>
    </w:p>
    <w:p w:rsidR="00BF576C" w:rsidRPr="00723CBD" w:rsidP="00BF576C" w14:paraId="23114A00" w14:textId="77777777">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723CBD">
        <w:rPr>
          <w:rFonts w:ascii="Times New Roman" w:eastAsia="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BF576C" w:rsidRPr="00723CBD" w:rsidP="00BF576C" w14:paraId="69509972"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3B3D0F5" w14:paraId="541B9423" w14:textId="502EB197">
      <w:pPr>
        <w:tabs>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r w:rsidRPr="03B3D0F5">
        <w:rPr>
          <w:rFonts w:ascii="Times New Roman" w:eastAsia="Times New Roman" w:hAnsi="Times New Roman" w:cs="Times New Roman"/>
          <w:sz w:val="24"/>
          <w:szCs w:val="24"/>
        </w:rPr>
        <w:t>No special circumstances exist that require employers to collect information using the procedures specified by this item. The requirements are within the guidelines set forth in 5 CFR 1320.5.</w:t>
      </w:r>
    </w:p>
    <w:p w:rsidR="00BF576C" w:rsidRPr="00723CBD" w:rsidP="00BF576C" w14:paraId="410EE7DE"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D91F68" w14:paraId="73E211BA" w14:textId="2A5FC599">
      <w:pPr>
        <w:pStyle w:val="ListParagraph"/>
        <w:widowControl w:val="0"/>
        <w:numPr>
          <w:ilvl w:val="0"/>
          <w:numId w:val="13"/>
        </w:numPr>
        <w:tabs>
          <w:tab w:val="left" w:pos="360"/>
        </w:tabs>
        <w:autoSpaceDE w:val="0"/>
        <w:autoSpaceDN w:val="0"/>
        <w:adjustRightInd w:val="0"/>
        <w:spacing w:after="0" w:line="240" w:lineRule="auto"/>
        <w:rPr>
          <w:rFonts w:ascii="Times New Roman" w:eastAsia="Times New Roman" w:hAnsi="Times New Roman" w:cs="Times New Roman"/>
          <w:b/>
          <w:bCs/>
          <w:sz w:val="24"/>
          <w:szCs w:val="24"/>
        </w:rPr>
      </w:pPr>
      <w:r w:rsidRPr="03B3D0F5">
        <w:rPr>
          <w:rFonts w:ascii="Times New Roman" w:eastAsia="Times New Roman" w:hAnsi="Times New Roman" w:cs="Times New Roman"/>
          <w:b/>
          <w:bCs/>
          <w:sz w:val="24"/>
          <w:szCs w:val="24"/>
        </w:rPr>
        <w:t xml:space="preserve">If applicable, provide a copy and identify the data and page number of publication in the </w:t>
      </w:r>
      <w:r w:rsidRPr="03B3D0F5">
        <w:rPr>
          <w:rFonts w:ascii="Times New Roman" w:eastAsia="Times New Roman" w:hAnsi="Times New Roman" w:cs="Times New Roman"/>
          <w:b/>
          <w:bCs/>
          <w:i/>
          <w:iCs/>
          <w:sz w:val="24"/>
          <w:szCs w:val="24"/>
        </w:rPr>
        <w:t>Federal</w:t>
      </w:r>
      <w:r w:rsidRPr="03B3D0F5">
        <w:rPr>
          <w:rFonts w:ascii="Times New Roman" w:eastAsia="Times New Roman" w:hAnsi="Times New Roman" w:cs="Times New Roman"/>
          <w:b/>
          <w:bCs/>
          <w:sz w:val="24"/>
          <w:szCs w:val="24"/>
        </w:rPr>
        <w:t xml:space="preserve"> </w:t>
      </w:r>
      <w:r w:rsidRPr="03B3D0F5">
        <w:rPr>
          <w:rFonts w:ascii="Times New Roman" w:eastAsia="Times New Roman" w:hAnsi="Times New Roman" w:cs="Times New Roman"/>
          <w:b/>
          <w:bCs/>
          <w:i/>
          <w:iCs/>
          <w:sz w:val="24"/>
          <w:szCs w:val="24"/>
        </w:rPr>
        <w:t>Register</w:t>
      </w:r>
      <w:r w:rsidRPr="03B3D0F5">
        <w:rPr>
          <w:rFonts w:ascii="Times New Roman" w:eastAsia="Times New Roman" w:hAnsi="Times New Roman" w:cs="Times New Roman"/>
          <w:b/>
          <w:bCs/>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F576C" w:rsidRPr="00723CBD" w:rsidP="00BF576C" w14:paraId="42CF03DB"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BF576C" w:rsidRPr="00723CBD" w:rsidP="00BF576C" w14:paraId="1AD3C8FE"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723CBD">
        <w:rPr>
          <w:rFonts w:ascii="Times New Roman" w:eastAsia="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F576C" w:rsidRPr="00723CBD" w:rsidP="00BF576C" w14:paraId="49D28958"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D44208" w:rsidP="00BF0E86" w14:paraId="631F9976" w14:textId="42A32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sz w:val="24"/>
          <w:szCs w:val="24"/>
        </w:rPr>
      </w:pPr>
      <w:r w:rsidRPr="03B3D0F5">
        <w:rPr>
          <w:rFonts w:ascii="Times New Roman" w:eastAsia="Times New Roman" w:hAnsi="Times New Roman" w:cs="Times New Roman"/>
          <w:b/>
          <w:bCs/>
          <w:sz w:val="24"/>
          <w:szCs w:val="24"/>
        </w:rPr>
        <w:t xml:space="preserve">Consultation with representatives of those from whom </w:t>
      </w:r>
      <w:r w:rsidRPr="03B3D0F5">
        <w:rPr>
          <w:rFonts w:ascii="Times New Roman" w:eastAsia="Times New Roman" w:hAnsi="Times New Roman" w:cs="Times New Roman"/>
          <w:b/>
          <w:bCs/>
          <w:sz w:val="24"/>
          <w:szCs w:val="24"/>
        </w:rPr>
        <w:t xml:space="preserve">information is to be obtained or those who must compile records should occur at least once every 3 years -- even if the </w:t>
      </w:r>
      <w:r w:rsidRPr="03B3D0F5">
        <w:rPr>
          <w:rFonts w:ascii="Times New Roman" w:eastAsia="Times New Roman" w:hAnsi="Times New Roman" w:cs="Times New Roman"/>
          <w:b/>
          <w:bCs/>
          <w:sz w:val="24"/>
          <w:szCs w:val="24"/>
        </w:rPr>
        <w:t>collection of information activity is the same as in prior periods.  There may be circumstances that may preclude consultation in a specific situation.  These circumstances should be explained.</w:t>
      </w:r>
    </w:p>
    <w:p w:rsidR="00F92C4D" w:rsidP="00B251AD" w14:paraId="1506FE6D" w14:textId="77777777">
      <w:pPr>
        <w:rPr>
          <w:rStyle w:val="eop"/>
          <w:rFonts w:ascii="Times New Roman" w:hAnsi="Times New Roman" w:cs="Times New Roman"/>
          <w:color w:val="000000"/>
          <w:sz w:val="24"/>
          <w:szCs w:val="24"/>
          <w:shd w:val="clear" w:color="auto" w:fill="FFFFFF"/>
        </w:rPr>
      </w:pPr>
    </w:p>
    <w:p w:rsidR="00B251AD" w:rsidRPr="000E154F" w:rsidP="00B251AD" w14:paraId="154D7AAF" w14:textId="7ADC63D8">
      <w:pPr>
        <w:rPr>
          <w:rFonts w:ascii="Times New Roman" w:eastAsia="Batang" w:hAnsi="Times New Roman" w:cs="Times New Roman"/>
          <w:sz w:val="24"/>
          <w:szCs w:val="24"/>
        </w:rPr>
      </w:pPr>
      <w:r w:rsidRPr="000E154F">
        <w:rPr>
          <w:rFonts w:ascii="Times New Roman" w:eastAsia="Batang" w:hAnsi="Times New Roman" w:cs="Times New Roman"/>
          <w:sz w:val="24"/>
          <w:szCs w:val="24"/>
        </w:rPr>
        <w:t xml:space="preserve">Pursuant to the Paperwork Reduction Act of 1995 (44 U.S.C. 3506(c)(2)(A)), OSHA published a notice in the </w:t>
      </w:r>
      <w:r w:rsidRPr="000E154F">
        <w:rPr>
          <w:rFonts w:ascii="Times New Roman" w:eastAsia="Batang" w:hAnsi="Times New Roman" w:cs="Times New Roman"/>
          <w:i/>
          <w:sz w:val="24"/>
          <w:szCs w:val="24"/>
        </w:rPr>
        <w:t>Federal</w:t>
      </w:r>
      <w:r w:rsidRPr="000E154F">
        <w:rPr>
          <w:rFonts w:ascii="Times New Roman" w:eastAsia="Batang" w:hAnsi="Times New Roman" w:cs="Times New Roman"/>
          <w:sz w:val="24"/>
          <w:szCs w:val="24"/>
        </w:rPr>
        <w:t xml:space="preserve"> </w:t>
      </w:r>
      <w:r w:rsidRPr="000E154F">
        <w:rPr>
          <w:rFonts w:ascii="Times New Roman" w:eastAsia="Batang" w:hAnsi="Times New Roman" w:cs="Times New Roman"/>
          <w:i/>
          <w:sz w:val="24"/>
          <w:szCs w:val="24"/>
        </w:rPr>
        <w:t>Register</w:t>
      </w:r>
      <w:r w:rsidRPr="000E154F">
        <w:rPr>
          <w:rFonts w:ascii="Times New Roman" w:eastAsia="Batang" w:hAnsi="Times New Roman" w:cs="Times New Roman"/>
          <w:sz w:val="24"/>
          <w:szCs w:val="24"/>
        </w:rPr>
        <w:t xml:space="preserve"> on </w:t>
      </w:r>
      <w:r w:rsidR="00A65F78">
        <w:rPr>
          <w:rFonts w:ascii="Times New Roman" w:eastAsia="Batang" w:hAnsi="Times New Roman" w:cs="Times New Roman"/>
          <w:sz w:val="24"/>
          <w:szCs w:val="24"/>
        </w:rPr>
        <w:t>September 7</w:t>
      </w:r>
      <w:r w:rsidRPr="000E154F">
        <w:rPr>
          <w:rFonts w:ascii="Times New Roman" w:eastAsia="Batang" w:hAnsi="Times New Roman" w:cs="Times New Roman"/>
          <w:sz w:val="24"/>
          <w:szCs w:val="24"/>
        </w:rPr>
        <w:t>, 2023</w:t>
      </w:r>
      <w:r w:rsidRPr="000E154F">
        <w:rPr>
          <w:rFonts w:ascii="Times New Roman" w:hAnsi="Times New Roman" w:cs="Times New Roman"/>
          <w:sz w:val="24"/>
          <w:szCs w:val="24"/>
        </w:rPr>
        <w:t xml:space="preserve"> (88 </w:t>
      </w:r>
      <w:r w:rsidR="00A65F78">
        <w:rPr>
          <w:rFonts w:ascii="Times New Roman" w:hAnsi="Times New Roman" w:cs="Times New Roman"/>
          <w:sz w:val="24"/>
          <w:szCs w:val="24"/>
        </w:rPr>
        <w:t>FR 61619</w:t>
      </w:r>
      <w:r w:rsidRPr="000E154F">
        <w:rPr>
          <w:rFonts w:ascii="Times New Roman" w:hAnsi="Times New Roman" w:cs="Times New Roman"/>
          <w:sz w:val="24"/>
          <w:szCs w:val="24"/>
        </w:rPr>
        <w:t xml:space="preserve">) </w:t>
      </w:r>
      <w:r w:rsidRPr="000E154F">
        <w:rPr>
          <w:rFonts w:ascii="Times New Roman" w:eastAsia="Batang" w:hAnsi="Times New Roman" w:cs="Times New Roman"/>
          <w:sz w:val="24"/>
          <w:szCs w:val="24"/>
        </w:rPr>
        <w:t xml:space="preserve">soliciting comments from the public and other interested parties on the information collection requirements contained in the Hazardous Waste Operation Operations Standard (29 CFR 1910.120) under Docket Number </w:t>
      </w:r>
      <w:r w:rsidRPr="000E154F">
        <w:rPr>
          <w:rStyle w:val="normaltextrun"/>
          <w:rFonts w:ascii="Times New Roman" w:hAnsi="Times New Roman" w:cs="Times New Roman"/>
          <w:color w:val="000000"/>
          <w:sz w:val="24"/>
          <w:szCs w:val="24"/>
          <w:shd w:val="clear" w:color="auto" w:fill="FFFFFF"/>
        </w:rPr>
        <w:t>OSHA-2011-0862.</w:t>
      </w:r>
      <w:r w:rsidRPr="000E154F">
        <w:rPr>
          <w:rFonts w:ascii="Times New Roman" w:eastAsia="Batang" w:hAnsi="Times New Roman" w:cs="Times New Roman"/>
          <w:sz w:val="24"/>
          <w:szCs w:val="24"/>
        </w:rPr>
        <w:t xml:space="preserve"> The notice was part of a preclearance consultation program that provides interested parties with an opportunity to comment on OSHA’s request for an extension by the Office of Management and Budget (OMB) of a previous approval of the in</w:t>
      </w:r>
      <w:r w:rsidRPr="000E154F">
        <w:rPr>
          <w:rFonts w:ascii="Times New Roman" w:eastAsia="Batang" w:hAnsi="Times New Roman" w:cs="Times New Roman"/>
          <w:sz w:val="24"/>
          <w:szCs w:val="24"/>
        </w:rPr>
        <w:t xml:space="preserve">formation collection requirements found in the above standard. </w:t>
      </w:r>
    </w:p>
    <w:p w:rsidR="00FA013D" w:rsidRPr="00BF2118" w:rsidP="00FA013D" w14:paraId="238E08D5" w14:textId="51562BF9">
      <w:pPr>
        <w:rPr>
          <w:rFonts w:ascii="Times New Roman" w:eastAsia="Batang" w:hAnsi="Times New Roman" w:cs="Times New Roman"/>
          <w:sz w:val="24"/>
          <w:szCs w:val="24"/>
        </w:rPr>
      </w:pPr>
      <w:r w:rsidRPr="00BF2118">
        <w:rPr>
          <w:rFonts w:ascii="Times New Roman" w:eastAsia="Batang" w:hAnsi="Times New Roman" w:cs="Times New Roman"/>
          <w:sz w:val="24"/>
          <w:szCs w:val="24"/>
        </w:rPr>
        <w:t>The agency received one comment on November 3, 2023</w:t>
      </w:r>
      <w:r w:rsidRPr="00BF2118" w:rsidR="008655F7">
        <w:rPr>
          <w:rFonts w:ascii="Times New Roman" w:eastAsia="Batang" w:hAnsi="Times New Roman" w:cs="Times New Roman"/>
          <w:sz w:val="24"/>
          <w:szCs w:val="24"/>
        </w:rPr>
        <w:t>,</w:t>
      </w:r>
      <w:r w:rsidRPr="00BF2118">
        <w:rPr>
          <w:rFonts w:ascii="Times New Roman" w:eastAsia="Batang" w:hAnsi="Times New Roman" w:cs="Times New Roman"/>
          <w:sz w:val="24"/>
          <w:szCs w:val="24"/>
        </w:rPr>
        <w:t xml:space="preserve"> in response to this notice from   Joseph Heal, a private citizen under docket number OSHA-2011-0862-0013. The commenter stated that: </w:t>
      </w:r>
    </w:p>
    <w:p w:rsidR="00FA013D" w:rsidRPr="00BF2118" w:rsidP="00FA013D" w14:paraId="1AF591F2" w14:textId="77777777">
      <w:pPr>
        <w:rPr>
          <w:rFonts w:ascii="Times New Roman" w:eastAsia="Batang" w:hAnsi="Times New Roman" w:cs="Times New Roman"/>
          <w:sz w:val="24"/>
          <w:szCs w:val="24"/>
        </w:rPr>
      </w:pPr>
      <w:r w:rsidRPr="007C5AE3">
        <w:rPr>
          <w:rFonts w:ascii="Times New Roman" w:hAnsi="Times New Roman" w:cs="Times New Roman"/>
          <w:sz w:val="24"/>
          <w:szCs w:val="24"/>
          <w:shd w:val="clear" w:color="auto" w:fill="FFFFFF"/>
        </w:rPr>
        <w:t xml:space="preserve">“This might be a good estimate of reduced burden hours because there has been a reduction in emergency response organizations, however there could be a </w:t>
      </w:r>
      <w:r w:rsidRPr="007C5AE3">
        <w:rPr>
          <w:rFonts w:ascii="Times New Roman" w:hAnsi="Times New Roman" w:cs="Times New Roman"/>
          <w:sz w:val="24"/>
          <w:szCs w:val="24"/>
          <w:shd w:val="clear" w:color="auto" w:fill="FFFFFF"/>
        </w:rPr>
        <w:t>concern of minimizing work hours allocated among employees inside the reporting organization when such a large number of hours is cut from the budget. This could lead to increased stress among employees and decrease performance in the workforce.  Hazardous Waste Operations (Joseph Heal private citizen).”</w:t>
      </w:r>
    </w:p>
    <w:p w:rsidR="00FA013D" w:rsidRPr="00BF2118" w:rsidP="00FA013D" w14:paraId="59ECBE17" w14:textId="77777777">
      <w:pPr>
        <w:autoSpaceDE w:val="0"/>
        <w:autoSpaceDN w:val="0"/>
        <w:adjustRightInd w:val="0"/>
        <w:spacing w:after="0" w:line="240" w:lineRule="auto"/>
        <w:rPr>
          <w:rFonts w:ascii="Times New Roman" w:eastAsia="Times New Roman" w:hAnsi="Times New Roman" w:cs="Times New Roman"/>
          <w:sz w:val="24"/>
          <w:szCs w:val="24"/>
        </w:rPr>
      </w:pPr>
      <w:r w:rsidRPr="00BF2118">
        <w:rPr>
          <w:rFonts w:ascii="Times New Roman" w:eastAsia="Times New Roman" w:hAnsi="Times New Roman" w:cs="Times New Roman"/>
          <w:sz w:val="24"/>
          <w:szCs w:val="24"/>
        </w:rPr>
        <w:t>In paragraph 1910.120(l)(1)(i), the employer is required to develop and implement an emergency action plan to handle anticipated emergencies prior to the commencement of hazardous waste operations. The plan must be in writing and available for inspection and copying by workers, their representatives, OSHA personnel, and other government agencies with relevant responsibilities. As discussed under TYPE 1 of item 12, OSHA assumes that all employers are already in compliance with this provision. However, OSHA i</w:t>
      </w:r>
      <w:r w:rsidRPr="00BF2118">
        <w:rPr>
          <w:rFonts w:ascii="Times New Roman" w:eastAsia="Times New Roman" w:hAnsi="Times New Roman" w:cs="Times New Roman"/>
          <w:sz w:val="24"/>
          <w:szCs w:val="24"/>
        </w:rPr>
        <w:t>s accounting for a 10% turnover rate for new employers (for a total of 55 sites, rounded) and estimating those sites will take 8 hours to prepare and maintain emergency action plans.</w:t>
      </w:r>
    </w:p>
    <w:p w:rsidR="00FA013D" w:rsidRPr="00BF2118" w:rsidP="00FA013D" w14:paraId="6A4555A4" w14:textId="77777777">
      <w:pPr>
        <w:autoSpaceDE w:val="0"/>
        <w:autoSpaceDN w:val="0"/>
        <w:adjustRightInd w:val="0"/>
        <w:spacing w:after="0" w:line="240" w:lineRule="auto"/>
        <w:rPr>
          <w:rFonts w:ascii="Times New Roman" w:eastAsia="Times New Roman" w:hAnsi="Times New Roman" w:cs="Times New Roman"/>
          <w:sz w:val="24"/>
          <w:szCs w:val="24"/>
        </w:rPr>
      </w:pPr>
    </w:p>
    <w:p w:rsidR="00FA013D" w:rsidRPr="00BF2118" w:rsidP="00FA013D" w14:paraId="00F353E4" w14:textId="6F835AC7">
      <w:pPr>
        <w:autoSpaceDE w:val="0"/>
        <w:autoSpaceDN w:val="0"/>
        <w:adjustRightInd w:val="0"/>
        <w:spacing w:after="0" w:line="240" w:lineRule="auto"/>
        <w:rPr>
          <w:rFonts w:ascii="Times New Roman" w:eastAsia="Times New Roman" w:hAnsi="Times New Roman" w:cs="Times New Roman"/>
          <w:sz w:val="24"/>
          <w:szCs w:val="24"/>
        </w:rPr>
      </w:pPr>
      <w:r w:rsidRPr="00BF2118">
        <w:rPr>
          <w:rFonts w:ascii="Times New Roman" w:eastAsia="Times New Roman" w:hAnsi="Times New Roman" w:cs="Times New Roman"/>
          <w:sz w:val="24"/>
          <w:szCs w:val="24"/>
        </w:rPr>
        <w:t>In paragraph 1910.120(q)(1), the employer is required to develop and implement</w:t>
      </w:r>
      <w:r w:rsidRPr="00BF2118" w:rsidR="00143A99">
        <w:rPr>
          <w:rFonts w:ascii="Times New Roman" w:eastAsia="Times New Roman" w:hAnsi="Times New Roman" w:cs="Times New Roman"/>
          <w:sz w:val="24"/>
          <w:szCs w:val="24"/>
        </w:rPr>
        <w:t xml:space="preserve"> an emergency </w:t>
      </w:r>
      <w:r w:rsidRPr="00BF2118" w:rsidR="00B3211E">
        <w:rPr>
          <w:rFonts w:ascii="Times New Roman" w:eastAsia="Times New Roman" w:hAnsi="Times New Roman" w:cs="Times New Roman"/>
          <w:sz w:val="24"/>
          <w:szCs w:val="24"/>
        </w:rPr>
        <w:t>response</w:t>
      </w:r>
      <w:r w:rsidRPr="00BF2118" w:rsidR="00143A99">
        <w:rPr>
          <w:rFonts w:ascii="Times New Roman" w:eastAsia="Times New Roman" w:hAnsi="Times New Roman" w:cs="Times New Roman"/>
          <w:sz w:val="24"/>
          <w:szCs w:val="24"/>
        </w:rPr>
        <w:t xml:space="preserve"> plan</w:t>
      </w:r>
      <w:r w:rsidRPr="00BF2118">
        <w:rPr>
          <w:rFonts w:ascii="Times New Roman" w:eastAsia="Times New Roman" w:hAnsi="Times New Roman" w:cs="Times New Roman"/>
          <w:sz w:val="24"/>
          <w:szCs w:val="24"/>
        </w:rPr>
        <w:t xml:space="preserve"> to handle anticipated emergencies prior to the commencement of emergency response operations. The plan must be in writing and available for inspection and copying by </w:t>
      </w:r>
      <w:r w:rsidRPr="00BF2118">
        <w:rPr>
          <w:rFonts w:ascii="Times New Roman" w:eastAsia="Times New Roman" w:hAnsi="Times New Roman" w:cs="Times New Roman"/>
          <w:sz w:val="24"/>
          <w:szCs w:val="24"/>
        </w:rPr>
        <w:t>workers, their representatives, and OSHA personnel. Employers who evacuate their workers from a dangerous area when an emergency occurs and who do not permit any of their workers to assist in handling the emergency are exempt from the requirements of this paragraph if they provide an emergency action plan complying w</w:t>
      </w:r>
      <w:r w:rsidRPr="00BF2118">
        <w:rPr>
          <w:rFonts w:ascii="Times New Roman" w:eastAsia="Times New Roman" w:hAnsi="Times New Roman" w:cs="Times New Roman"/>
          <w:sz w:val="24"/>
          <w:szCs w:val="24"/>
        </w:rPr>
        <w:t>ith 29 CFR 1910.38(a).</w:t>
      </w:r>
    </w:p>
    <w:p w:rsidR="00FA013D" w:rsidRPr="00BF2118" w:rsidP="00FA013D" w14:paraId="11E6071B" w14:textId="77777777">
      <w:pPr>
        <w:spacing w:after="0" w:line="240" w:lineRule="auto"/>
        <w:rPr>
          <w:rFonts w:ascii="Times New Roman" w:eastAsia="Times New Roman" w:hAnsi="Times New Roman" w:cs="Times New Roman"/>
          <w:sz w:val="24"/>
          <w:szCs w:val="24"/>
        </w:rPr>
      </w:pPr>
    </w:p>
    <w:p w:rsidR="00FA013D" w:rsidRPr="00BF2118" w:rsidP="00FA013D" w14:paraId="40AB4FE8" w14:textId="77777777">
      <w:pPr>
        <w:spacing w:after="0" w:line="240" w:lineRule="auto"/>
        <w:rPr>
          <w:rFonts w:ascii="Times New Roman" w:eastAsia="Times New Roman" w:hAnsi="Times New Roman" w:cs="Times New Roman"/>
          <w:sz w:val="24"/>
          <w:szCs w:val="24"/>
        </w:rPr>
      </w:pPr>
      <w:r w:rsidRPr="00BF2118">
        <w:rPr>
          <w:rFonts w:ascii="Times New Roman" w:eastAsia="Times New Roman" w:hAnsi="Times New Roman" w:cs="Times New Roman"/>
          <w:sz w:val="24"/>
          <w:szCs w:val="24"/>
        </w:rPr>
        <w:t>The agency estimates that of the 27,186 emergency response organizations, 50% are not covered by OSHA because they solely employ state and local employees (13,593 organizations). Of the remaining organizations, 10% are assumed to be required to develop a new emergency response plan (1,359 organizations) and will take 8 hours each to do so.</w:t>
      </w:r>
    </w:p>
    <w:p w:rsidR="00FA013D" w:rsidRPr="00BF2118" w:rsidP="00FA013D" w14:paraId="072545FF" w14:textId="77777777">
      <w:pPr>
        <w:autoSpaceDE w:val="0"/>
        <w:autoSpaceDN w:val="0"/>
        <w:adjustRightInd w:val="0"/>
        <w:spacing w:after="0" w:line="240" w:lineRule="auto"/>
        <w:rPr>
          <w:rFonts w:ascii="Times New Roman" w:eastAsia="Times New Roman" w:hAnsi="Times New Roman" w:cs="Times New Roman"/>
          <w:sz w:val="24"/>
          <w:szCs w:val="24"/>
        </w:rPr>
      </w:pPr>
    </w:p>
    <w:p w:rsidR="00723F40" w:rsidRPr="00C45FB6" w:rsidP="000E154F" w14:paraId="610A54D4" w14:textId="4D04BEC8">
      <w:pPr>
        <w:rPr>
          <w:rFonts w:ascii="Times New Roman" w:hAnsi="Times New Roman" w:cs="Times New Roman"/>
          <w:sz w:val="24"/>
          <w:szCs w:val="24"/>
        </w:rPr>
      </w:pPr>
      <w:r w:rsidRPr="00BF2118">
        <w:rPr>
          <w:rFonts w:ascii="Times New Roman" w:eastAsia="Times New Roman" w:hAnsi="Times New Roman" w:cs="Times New Roman"/>
          <w:sz w:val="24"/>
          <w:szCs w:val="24"/>
        </w:rPr>
        <w:t>Under both requirements, the agency estimates that the time it takes to prepare an emergency response plan is eight hours. These estimates are required for the new employers because OSHA assumes that existing employers are already in compliance with the Standard. The decrease in the burden hours is from the decrease in the number of new employers needing compliance. OSHA thanks you and appreciates yours concerns for workplace safety and health of employees.</w:t>
      </w:r>
      <w:r w:rsidRPr="00C45FB6" w:rsidR="004C28D0">
        <w:rPr>
          <w:rFonts w:ascii="Times New Roman" w:eastAsia="Times New Roman" w:hAnsi="Times New Roman" w:cs="Times New Roman"/>
          <w:sz w:val="24"/>
          <w:szCs w:val="24"/>
        </w:rPr>
        <w:t xml:space="preserve"> </w:t>
      </w:r>
    </w:p>
    <w:p w:rsidR="00BF576C" w:rsidRPr="00723CBD" w:rsidP="00D91F68" w14:paraId="20A4D547" w14:textId="5FF8DE68">
      <w:pPr>
        <w:pStyle w:val="ListParagraph"/>
        <w:numPr>
          <w:ilvl w:val="0"/>
          <w:numId w:val="13"/>
        </w:numPr>
        <w:tabs>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r w:rsidRPr="03B3D0F5">
        <w:rPr>
          <w:rFonts w:ascii="Times New Roman" w:eastAsia="Times New Roman" w:hAnsi="Times New Roman" w:cs="Times New Roman"/>
          <w:b/>
          <w:bCs/>
          <w:sz w:val="24"/>
          <w:szCs w:val="24"/>
        </w:rPr>
        <w:t xml:space="preserve">Explain any decision to provide any payments or gift to respondents, other than </w:t>
      </w:r>
      <w:r w:rsidRPr="03B3D0F5" w:rsidR="00A04B3E">
        <w:rPr>
          <w:rFonts w:ascii="Times New Roman" w:eastAsia="Times New Roman" w:hAnsi="Times New Roman" w:cs="Times New Roman"/>
          <w:b/>
          <w:bCs/>
          <w:sz w:val="24"/>
          <w:szCs w:val="24"/>
        </w:rPr>
        <w:t>renumeration</w:t>
      </w:r>
      <w:r w:rsidRPr="03B3D0F5">
        <w:rPr>
          <w:rFonts w:ascii="Times New Roman" w:eastAsia="Times New Roman" w:hAnsi="Times New Roman" w:cs="Times New Roman"/>
          <w:b/>
          <w:bCs/>
          <w:sz w:val="24"/>
          <w:szCs w:val="24"/>
        </w:rPr>
        <w:t xml:space="preserve"> of contractors or grantees.</w:t>
      </w:r>
    </w:p>
    <w:p w:rsidR="00BF576C" w:rsidRPr="00723CBD" w:rsidP="00BF576C" w14:paraId="6E96D1AB"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3B3D0F5" w14:paraId="2AF674E6" w14:textId="69792A00">
      <w:pPr>
        <w:tabs>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r w:rsidRPr="03B3D0F5">
        <w:rPr>
          <w:rFonts w:ascii="Times New Roman" w:eastAsia="Times New Roman" w:hAnsi="Times New Roman" w:cs="Times New Roman"/>
          <w:sz w:val="24"/>
          <w:szCs w:val="24"/>
        </w:rPr>
        <w:t xml:space="preserve">The </w:t>
      </w:r>
      <w:r w:rsidRPr="03B3D0F5" w:rsidR="7143806B">
        <w:rPr>
          <w:rFonts w:ascii="Times New Roman" w:eastAsia="Times New Roman" w:hAnsi="Times New Roman" w:cs="Times New Roman"/>
          <w:sz w:val="24"/>
          <w:szCs w:val="24"/>
        </w:rPr>
        <w:t>a</w:t>
      </w:r>
      <w:r w:rsidRPr="03B3D0F5">
        <w:rPr>
          <w:rFonts w:ascii="Times New Roman" w:eastAsia="Times New Roman" w:hAnsi="Times New Roman" w:cs="Times New Roman"/>
          <w:sz w:val="24"/>
          <w:szCs w:val="24"/>
        </w:rPr>
        <w:t xml:space="preserve">gency will </w:t>
      </w:r>
      <w:r w:rsidRPr="03B3D0F5">
        <w:rPr>
          <w:rFonts w:ascii="Times New Roman" w:eastAsia="Times New Roman" w:hAnsi="Times New Roman" w:cs="Times New Roman"/>
          <w:sz w:val="24"/>
          <w:szCs w:val="24"/>
          <w:u w:val="single"/>
        </w:rPr>
        <w:t>not</w:t>
      </w:r>
      <w:r w:rsidRPr="03B3D0F5">
        <w:rPr>
          <w:rFonts w:ascii="Times New Roman" w:eastAsia="Times New Roman" w:hAnsi="Times New Roman" w:cs="Times New Roman"/>
          <w:sz w:val="24"/>
          <w:szCs w:val="24"/>
        </w:rPr>
        <w:t xml:space="preserve"> provide payments or gifts to the respondents.</w:t>
      </w:r>
    </w:p>
    <w:p w:rsidR="00BF576C" w:rsidRPr="00723CBD" w:rsidP="00BF576C" w14:paraId="4BEF650F"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D91F68" w14:paraId="3A04D18F" w14:textId="684D2341">
      <w:pPr>
        <w:pStyle w:val="ListParagraph"/>
        <w:numPr>
          <w:ilvl w:val="0"/>
          <w:numId w:val="13"/>
        </w:numPr>
        <w:tabs>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r w:rsidRPr="03B3D0F5">
        <w:rPr>
          <w:rFonts w:ascii="Times New Roman" w:eastAsia="Times New Roman" w:hAnsi="Times New Roman" w:cs="Times New Roman"/>
          <w:b/>
          <w:bCs/>
          <w:sz w:val="24"/>
          <w:szCs w:val="24"/>
        </w:rPr>
        <w:t>Describe any assurance of confidentiality provided to respondents and the basis for the assurance in statute, regulation, or agency policy.</w:t>
      </w:r>
    </w:p>
    <w:p w:rsidR="00BF576C" w:rsidRPr="00723CBD" w:rsidP="00BF576C" w14:paraId="65E81E02"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3B3D0F5" w14:paraId="14D4225F" w14:textId="724E6BF9">
      <w:pPr>
        <w:tabs>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r w:rsidRPr="03B3D0F5">
        <w:rPr>
          <w:rFonts w:ascii="Times New Roman" w:eastAsia="Times New Roman" w:hAnsi="Times New Roman" w:cs="Times New Roman"/>
          <w:sz w:val="24"/>
          <w:szCs w:val="24"/>
        </w:rPr>
        <w:t xml:space="preserve">The paperwork requirements specified by the </w:t>
      </w:r>
      <w:r w:rsidRPr="03B3D0F5" w:rsidR="77D58AC3">
        <w:rPr>
          <w:rFonts w:ascii="Times New Roman" w:eastAsia="Times New Roman" w:hAnsi="Times New Roman" w:cs="Times New Roman"/>
          <w:sz w:val="24"/>
          <w:szCs w:val="24"/>
        </w:rPr>
        <w:t>s</w:t>
      </w:r>
      <w:r w:rsidRPr="03B3D0F5">
        <w:rPr>
          <w:rFonts w:ascii="Times New Roman" w:eastAsia="Times New Roman" w:hAnsi="Times New Roman" w:cs="Times New Roman"/>
          <w:sz w:val="24"/>
          <w:szCs w:val="24"/>
        </w:rPr>
        <w:t xml:space="preserve">tandard do not involve </w:t>
      </w:r>
      <w:r w:rsidRPr="03B3D0F5" w:rsidR="1215CD04">
        <w:rPr>
          <w:rFonts w:ascii="Times New Roman" w:eastAsia="Times New Roman" w:hAnsi="Times New Roman" w:cs="Times New Roman"/>
          <w:sz w:val="24"/>
          <w:szCs w:val="24"/>
        </w:rPr>
        <w:t xml:space="preserve">the collection of </w:t>
      </w:r>
      <w:r w:rsidRPr="03B3D0F5">
        <w:rPr>
          <w:rFonts w:ascii="Times New Roman" w:eastAsia="Times New Roman" w:hAnsi="Times New Roman" w:cs="Times New Roman"/>
          <w:sz w:val="24"/>
          <w:szCs w:val="24"/>
        </w:rPr>
        <w:t>confidential information.</w:t>
      </w:r>
    </w:p>
    <w:p w:rsidR="00BF576C" w:rsidRPr="00723CBD" w:rsidP="00BF576C" w14:paraId="293762B7"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D91F68" w14:paraId="4CD2D5E7" w14:textId="459116DC">
      <w:pPr>
        <w:pStyle w:val="ListParagraph"/>
        <w:numPr>
          <w:ilvl w:val="0"/>
          <w:numId w:val="13"/>
        </w:numPr>
        <w:tabs>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r w:rsidRPr="03B3D0F5">
        <w:rPr>
          <w:rFonts w:ascii="Times New Roman" w:eastAsia="Times New Roman" w:hAnsi="Times New Roman" w:cs="Times New Roman"/>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F576C" w:rsidRPr="00723CBD" w:rsidP="00BF576C" w14:paraId="4F64ED70"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3B3D0F5" w14:paraId="6DF5B874" w14:textId="6C0ED3C1">
      <w:pPr>
        <w:tabs>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r w:rsidRPr="03B3D0F5">
        <w:rPr>
          <w:rFonts w:ascii="Times New Roman" w:eastAsia="Times New Roman" w:hAnsi="Times New Roman" w:cs="Times New Roman"/>
          <w:sz w:val="24"/>
          <w:szCs w:val="24"/>
        </w:rPr>
        <w:t>None of the</w:t>
      </w:r>
      <w:r w:rsidRPr="03B3D0F5" w:rsidR="1ADAC4FC">
        <w:rPr>
          <w:rFonts w:ascii="Times New Roman" w:eastAsia="Times New Roman" w:hAnsi="Times New Roman" w:cs="Times New Roman"/>
          <w:sz w:val="24"/>
          <w:szCs w:val="24"/>
        </w:rPr>
        <w:t xml:space="preserve"> collection of information requirements</w:t>
      </w:r>
      <w:r w:rsidRPr="03B3D0F5">
        <w:rPr>
          <w:rFonts w:ascii="Times New Roman" w:eastAsia="Times New Roman" w:hAnsi="Times New Roman" w:cs="Times New Roman"/>
          <w:sz w:val="24"/>
          <w:szCs w:val="24"/>
        </w:rPr>
        <w:t xml:space="preserve"> in the </w:t>
      </w:r>
      <w:r w:rsidRPr="03B3D0F5" w:rsidR="7725E4AD">
        <w:rPr>
          <w:rFonts w:ascii="Times New Roman" w:eastAsia="Times New Roman" w:hAnsi="Times New Roman" w:cs="Times New Roman"/>
          <w:sz w:val="24"/>
          <w:szCs w:val="24"/>
        </w:rPr>
        <w:t>s</w:t>
      </w:r>
      <w:r w:rsidRPr="03B3D0F5">
        <w:rPr>
          <w:rFonts w:ascii="Times New Roman" w:eastAsia="Times New Roman" w:hAnsi="Times New Roman" w:cs="Times New Roman"/>
          <w:sz w:val="24"/>
          <w:szCs w:val="24"/>
        </w:rPr>
        <w:t>tandard require</w:t>
      </w:r>
      <w:r w:rsidRPr="03B3D0F5" w:rsidR="226F457E">
        <w:rPr>
          <w:rFonts w:ascii="Times New Roman" w:eastAsia="Times New Roman" w:hAnsi="Times New Roman" w:cs="Times New Roman"/>
          <w:sz w:val="24"/>
          <w:szCs w:val="24"/>
        </w:rPr>
        <w:t xml:space="preserve"> the collection of</w:t>
      </w:r>
      <w:r w:rsidRPr="03B3D0F5">
        <w:rPr>
          <w:rFonts w:ascii="Times New Roman" w:eastAsia="Times New Roman" w:hAnsi="Times New Roman" w:cs="Times New Roman"/>
          <w:sz w:val="24"/>
          <w:szCs w:val="24"/>
        </w:rPr>
        <w:t xml:space="preserve"> sensitive information.</w:t>
      </w:r>
    </w:p>
    <w:p w:rsidR="00BF576C" w:rsidRPr="00723CBD" w:rsidP="00BF576C" w14:paraId="06B22105"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sz w:val="24"/>
          <w:szCs w:val="24"/>
        </w:rPr>
        <w:t xml:space="preserve"> </w:t>
      </w:r>
    </w:p>
    <w:p w:rsidR="00BF576C" w:rsidRPr="00723CBD" w:rsidP="00D91F68" w14:paraId="7AA97F6D" w14:textId="38E900EC">
      <w:pPr>
        <w:pStyle w:val="ListParagraph"/>
        <w:widowControl w:val="0"/>
        <w:numPr>
          <w:ilvl w:val="0"/>
          <w:numId w:val="13"/>
        </w:numPr>
        <w:tabs>
          <w:tab w:val="left" w:pos="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638B37EC">
        <w:rPr>
          <w:rFonts w:ascii="Times New Roman" w:eastAsia="Times New Roman" w:hAnsi="Times New Roman" w:cs="Times New Roman"/>
          <w:b/>
          <w:bCs/>
          <w:sz w:val="24"/>
          <w:szCs w:val="24"/>
        </w:rPr>
        <w:t>Provide estimates of the hour burden of the collection of information.  The statement should:</w:t>
      </w:r>
    </w:p>
    <w:p w:rsidR="00BF576C" w:rsidRPr="00723CBD" w:rsidP="00BF576C" w14:paraId="538A64CB"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BF576C" w:rsidRPr="00723CBD" w:rsidP="00BF576C" w14:paraId="7F49A4AC" w14:textId="77777777">
      <w:pPr>
        <w:widowControl w:val="0"/>
        <w:numPr>
          <w:ilvl w:val="0"/>
          <w:numId w:val="10"/>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723CBD">
        <w:rPr>
          <w:rFonts w:ascii="Times New Roman" w:eastAsia="Times New Roman" w:hAnsi="Times New Roman" w:cs="Times New Roman"/>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w:t>
      </w:r>
      <w:r w:rsidRPr="00723CBD">
        <w:rPr>
          <w:rFonts w:ascii="Times New Roman" w:eastAsia="Times New Roman" w:hAnsi="Times New Roman" w:cs="Times New Roman"/>
          <w:b/>
          <w:bCs/>
          <w:sz w:val="24"/>
          <w:szCs w:val="24"/>
        </w:rPr>
        <w:t>xplain the reasons for the variance.  Generally, estimates should not include burden hours for customary and usual business practices.</w:t>
      </w:r>
    </w:p>
    <w:p w:rsidR="00BF576C" w:rsidRPr="00723CBD" w:rsidP="00BF576C" w14:paraId="473F4E06"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BF576C" w:rsidRPr="00723CBD" w:rsidP="00BF576C" w14:paraId="62A1199D" w14:textId="77777777">
      <w:pPr>
        <w:widowControl w:val="0"/>
        <w:numPr>
          <w:ilvl w:val="0"/>
          <w:numId w:val="10"/>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723CBD">
        <w:rPr>
          <w:rFonts w:ascii="Times New Roman" w:eastAsia="Times New Roman" w:hAnsi="Times New Roman" w:cs="Times New Roman"/>
          <w:b/>
          <w:bCs/>
          <w:sz w:val="24"/>
          <w:szCs w:val="24"/>
        </w:rPr>
        <w:t>If this request for approval covers more than one form, provide separate hour burden estimates for each form.</w:t>
      </w:r>
    </w:p>
    <w:p w:rsidR="00BF576C" w:rsidRPr="00723CBD" w:rsidP="00BF576C" w14:paraId="59608948"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BF576C" w:rsidRPr="00723CBD" w:rsidP="00BF576C" w14:paraId="677F628D" w14:textId="77777777">
      <w:pPr>
        <w:widowControl w:val="0"/>
        <w:numPr>
          <w:ilvl w:val="0"/>
          <w:numId w:val="10"/>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723CBD">
        <w:rPr>
          <w:rFonts w:ascii="Times New Roman" w:eastAsia="Times New Roman" w:hAnsi="Times New Roman" w:cs="Times New Roman"/>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F576C" w:rsidRPr="00723CBD" w:rsidP="00BF576C" w14:paraId="1CF49B6F"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3B3D0F5" w14:paraId="6EFBAD7D" w14:textId="521EC3F2">
      <w:pPr>
        <w:tabs>
          <w:tab w:val="left" w:pos="720"/>
          <w:tab w:val="left" w:pos="2160"/>
        </w:tabs>
        <w:autoSpaceDE w:val="0"/>
        <w:autoSpaceDN w:val="0"/>
        <w:adjustRightInd w:val="0"/>
        <w:spacing w:after="0" w:line="240" w:lineRule="auto"/>
        <w:rPr>
          <w:rFonts w:ascii="Times New Roman" w:eastAsia="Times New Roman" w:hAnsi="Times New Roman" w:cs="Times New Roman"/>
          <w:b/>
          <w:bCs/>
          <w:sz w:val="24"/>
          <w:szCs w:val="24"/>
        </w:rPr>
      </w:pPr>
      <w:r w:rsidRPr="03B3D0F5">
        <w:rPr>
          <w:rFonts w:ascii="Times New Roman" w:eastAsia="Times New Roman" w:hAnsi="Times New Roman" w:cs="Times New Roman"/>
          <w:b/>
          <w:bCs/>
          <w:sz w:val="24"/>
          <w:szCs w:val="24"/>
        </w:rPr>
        <w:t>Respondent Burden Hour and Cost Determinations</w:t>
      </w:r>
    </w:p>
    <w:p w:rsidR="00BF576C" w:rsidRPr="00723CBD" w:rsidP="03B3D0F5" w14:paraId="6454CB42" w14:textId="329B29CE">
      <w:pPr>
        <w:tabs>
          <w:tab w:val="left" w:pos="720"/>
          <w:tab w:val="left" w:pos="2160"/>
        </w:tabs>
        <w:autoSpaceDE w:val="0"/>
        <w:autoSpaceDN w:val="0"/>
        <w:adjustRightInd w:val="0"/>
        <w:spacing w:after="0" w:line="240" w:lineRule="auto"/>
        <w:rPr>
          <w:rFonts w:ascii="Times New Roman" w:eastAsia="Times New Roman" w:hAnsi="Times New Roman" w:cs="Times New Roman"/>
          <w:b/>
          <w:bCs/>
          <w:sz w:val="24"/>
          <w:szCs w:val="24"/>
        </w:rPr>
      </w:pPr>
    </w:p>
    <w:p w:rsidR="00DE17A5" w:rsidRPr="00723CBD" w:rsidP="00BF576C" w14:paraId="6AB35728" w14:textId="6A2CFDBD">
      <w:pPr>
        <w:autoSpaceDE w:val="0"/>
        <w:autoSpaceDN w:val="0"/>
        <w:adjustRightInd w:val="0"/>
        <w:spacing w:after="0" w:line="240" w:lineRule="auto"/>
        <w:rPr>
          <w:rFonts w:ascii="Times New Roman" w:eastAsia="Times New Roman" w:hAnsi="Times New Roman" w:cs="Times New Roman"/>
          <w:sz w:val="24"/>
          <w:szCs w:val="24"/>
        </w:rPr>
      </w:pPr>
      <w:r w:rsidRPr="5C516CCC">
        <w:rPr>
          <w:rFonts w:ascii="Times New Roman" w:eastAsia="Times New Roman" w:hAnsi="Times New Roman" w:cs="Times New Roman"/>
          <w:sz w:val="24"/>
          <w:szCs w:val="24"/>
        </w:rPr>
        <w:t xml:space="preserve">The following sections summarize the burden hour and cost determinations for the information collection requirements specified in the standard. The </w:t>
      </w:r>
      <w:r w:rsidRPr="5C516CCC" w:rsidR="7457CB44">
        <w:rPr>
          <w:rFonts w:ascii="Times New Roman" w:eastAsia="Times New Roman" w:hAnsi="Times New Roman" w:cs="Times New Roman"/>
          <w:sz w:val="24"/>
          <w:szCs w:val="24"/>
        </w:rPr>
        <w:t xml:space="preserve">data </w:t>
      </w:r>
      <w:r w:rsidRPr="5C516CCC">
        <w:rPr>
          <w:rFonts w:ascii="Times New Roman" w:eastAsia="Times New Roman" w:hAnsi="Times New Roman" w:cs="Times New Roman"/>
          <w:sz w:val="24"/>
          <w:szCs w:val="24"/>
        </w:rPr>
        <w:t>used for these determinations</w:t>
      </w:r>
      <w:r w:rsidRPr="5C516CCC" w:rsidR="38D506D3">
        <w:rPr>
          <w:rFonts w:ascii="Times New Roman" w:eastAsia="Times New Roman" w:hAnsi="Times New Roman" w:cs="Times New Roman"/>
          <w:sz w:val="24"/>
          <w:szCs w:val="24"/>
        </w:rPr>
        <w:t xml:space="preserve"> </w:t>
      </w:r>
      <w:r w:rsidRPr="5C516CCC" w:rsidR="092D7F12">
        <w:rPr>
          <w:rFonts w:ascii="Times New Roman" w:eastAsia="Times New Roman" w:hAnsi="Times New Roman" w:cs="Times New Roman"/>
          <w:sz w:val="24"/>
          <w:szCs w:val="24"/>
        </w:rPr>
        <w:t xml:space="preserve">are based upon information </w:t>
      </w:r>
      <w:r w:rsidRPr="5C516CCC" w:rsidR="3F8F2299">
        <w:rPr>
          <w:rFonts w:ascii="Times New Roman" w:eastAsia="Times New Roman" w:hAnsi="Times New Roman" w:cs="Times New Roman"/>
          <w:sz w:val="24"/>
          <w:szCs w:val="24"/>
        </w:rPr>
        <w:t xml:space="preserve">sourced </w:t>
      </w:r>
      <w:r w:rsidRPr="5C516CCC" w:rsidR="73F341AC">
        <w:rPr>
          <w:rFonts w:ascii="Times New Roman" w:eastAsia="Times New Roman" w:hAnsi="Times New Roman" w:cs="Times New Roman"/>
          <w:sz w:val="24"/>
          <w:szCs w:val="24"/>
        </w:rPr>
        <w:t>through</w:t>
      </w:r>
      <w:r w:rsidRPr="5C516CCC" w:rsidR="092D7F12">
        <w:rPr>
          <w:rFonts w:ascii="Times New Roman" w:eastAsia="Times New Roman" w:hAnsi="Times New Roman" w:cs="Times New Roman"/>
          <w:sz w:val="24"/>
          <w:szCs w:val="24"/>
        </w:rPr>
        <w:t xml:space="preserve"> the Environmental Protection Agency (EPA), the Bureau of Labor Statistics (BLS), the National Fire Protection Association (NFPA), and the Regulatory Flexibility Analysis </w:t>
      </w:r>
      <w:r w:rsidRPr="5C516CCC" w:rsidR="40894706">
        <w:rPr>
          <w:rFonts w:ascii="Times New Roman" w:eastAsia="Times New Roman" w:hAnsi="Times New Roman" w:cs="Times New Roman"/>
          <w:sz w:val="24"/>
          <w:szCs w:val="24"/>
        </w:rPr>
        <w:t>(RFA</w:t>
      </w:r>
      <w:r w:rsidRPr="5C516CCC" w:rsidR="2320ADA4">
        <w:rPr>
          <w:rFonts w:ascii="Times New Roman" w:eastAsia="Times New Roman" w:hAnsi="Times New Roman" w:cs="Times New Roman"/>
          <w:sz w:val="24"/>
          <w:szCs w:val="24"/>
        </w:rPr>
        <w:t>)</w:t>
      </w:r>
      <w:r w:rsidRPr="5C516CCC" w:rsidR="092D7F12">
        <w:rPr>
          <w:rFonts w:ascii="Times New Roman" w:eastAsia="Times New Roman" w:hAnsi="Times New Roman" w:cs="Times New Roman"/>
          <w:sz w:val="24"/>
          <w:szCs w:val="24"/>
        </w:rPr>
        <w:t xml:space="preserve"> prepared for</w:t>
      </w:r>
      <w:r w:rsidRPr="5C516CCC" w:rsidR="63C404C3">
        <w:rPr>
          <w:rFonts w:ascii="Times New Roman" w:eastAsia="Times New Roman" w:hAnsi="Times New Roman" w:cs="Times New Roman"/>
          <w:sz w:val="24"/>
          <w:szCs w:val="24"/>
        </w:rPr>
        <w:t xml:space="preserve"> development of</w:t>
      </w:r>
      <w:r w:rsidRPr="5C516CCC" w:rsidR="092D7F12">
        <w:rPr>
          <w:rFonts w:ascii="Times New Roman" w:eastAsia="Times New Roman" w:hAnsi="Times New Roman" w:cs="Times New Roman"/>
          <w:sz w:val="24"/>
          <w:szCs w:val="24"/>
        </w:rPr>
        <w:t xml:space="preserve"> the </w:t>
      </w:r>
      <w:r w:rsidRPr="5C516CCC" w:rsidR="48EB14B4">
        <w:rPr>
          <w:rFonts w:ascii="Times New Roman" w:eastAsia="Times New Roman" w:hAnsi="Times New Roman" w:cs="Times New Roman"/>
          <w:sz w:val="24"/>
          <w:szCs w:val="24"/>
        </w:rPr>
        <w:t>s</w:t>
      </w:r>
      <w:r w:rsidRPr="5C516CCC" w:rsidR="092D7F12">
        <w:rPr>
          <w:rFonts w:ascii="Times New Roman" w:eastAsia="Times New Roman" w:hAnsi="Times New Roman" w:cs="Times New Roman"/>
          <w:sz w:val="24"/>
          <w:szCs w:val="24"/>
        </w:rPr>
        <w:t>tandard</w:t>
      </w:r>
      <w:r w:rsidRPr="5C516CCC" w:rsidR="0AD04218">
        <w:rPr>
          <w:rFonts w:ascii="Times New Roman" w:eastAsia="Times New Roman" w:hAnsi="Times New Roman" w:cs="Times New Roman"/>
          <w:sz w:val="24"/>
          <w:szCs w:val="24"/>
        </w:rPr>
        <w:t xml:space="preserve"> (dated December 14, 1988)</w:t>
      </w:r>
      <w:r w:rsidRPr="5C516CCC" w:rsidR="092D7F12">
        <w:rPr>
          <w:rFonts w:ascii="Times New Roman" w:eastAsia="Times New Roman" w:hAnsi="Times New Roman" w:cs="Times New Roman"/>
          <w:sz w:val="24"/>
          <w:szCs w:val="24"/>
        </w:rPr>
        <w:t>.</w:t>
      </w:r>
    </w:p>
    <w:p w:rsidR="1210E917" w:rsidP="1210E917" w14:paraId="21BC5133" w14:textId="195F86DD">
      <w:pPr>
        <w:spacing w:after="0" w:line="240" w:lineRule="auto"/>
        <w:rPr>
          <w:rFonts w:ascii="Times New Roman" w:eastAsia="Times New Roman" w:hAnsi="Times New Roman" w:cs="Times New Roman"/>
          <w:b/>
          <w:bCs/>
          <w:sz w:val="24"/>
          <w:szCs w:val="24"/>
        </w:rPr>
      </w:pPr>
    </w:p>
    <w:p w:rsidR="5BF72C26" w:rsidP="03B3D0F5" w14:paraId="1C3AC3CF" w14:textId="2EFAE30E">
      <w:pPr>
        <w:spacing w:after="0" w:line="240" w:lineRule="auto"/>
        <w:rPr>
          <w:rFonts w:ascii="Times New Roman" w:eastAsia="Times New Roman" w:hAnsi="Times New Roman" w:cs="Times New Roman"/>
          <w:b/>
          <w:bCs/>
          <w:sz w:val="24"/>
          <w:szCs w:val="24"/>
        </w:rPr>
      </w:pPr>
      <w:r w:rsidRPr="03B3D0F5">
        <w:rPr>
          <w:rFonts w:ascii="Times New Roman" w:eastAsia="Times New Roman" w:hAnsi="Times New Roman" w:cs="Times New Roman"/>
          <w:b/>
          <w:bCs/>
          <w:sz w:val="24"/>
          <w:szCs w:val="24"/>
        </w:rPr>
        <w:t xml:space="preserve">Wage </w:t>
      </w:r>
      <w:r w:rsidRPr="03B3D0F5">
        <w:rPr>
          <w:rFonts w:ascii="Times New Roman" w:eastAsia="Times New Roman" w:hAnsi="Times New Roman" w:cs="Times New Roman"/>
          <w:b/>
          <w:bCs/>
          <w:sz w:val="24"/>
          <w:szCs w:val="24"/>
        </w:rPr>
        <w:t>Rates</w:t>
      </w:r>
    </w:p>
    <w:p w:rsidR="03B3D0F5" w:rsidP="03B3D0F5" w14:paraId="214923D7" w14:textId="379B8042">
      <w:pPr>
        <w:spacing w:after="0" w:line="240" w:lineRule="auto"/>
        <w:rPr>
          <w:rFonts w:ascii="Times New Roman" w:eastAsia="Times New Roman" w:hAnsi="Times New Roman" w:cs="Times New Roman"/>
          <w:sz w:val="24"/>
          <w:szCs w:val="24"/>
        </w:rPr>
      </w:pPr>
    </w:p>
    <w:p w:rsidR="00DE17A5" w:rsidRPr="00D91F68" w:rsidP="320A4B18" w14:paraId="403CEAE3" w14:textId="7A294812">
      <w:pPr>
        <w:autoSpaceDE w:val="0"/>
        <w:autoSpaceDN w:val="0"/>
        <w:adjustRightInd w:val="0"/>
        <w:spacing w:after="0" w:line="240" w:lineRule="auto"/>
        <w:rPr>
          <w:rFonts w:ascii="Times New Roman" w:eastAsia="Times New Roman" w:hAnsi="Times New Roman" w:cs="Times New Roman"/>
          <w:sz w:val="24"/>
          <w:szCs w:val="24"/>
        </w:rPr>
      </w:pPr>
      <w:r w:rsidRPr="00D91F68">
        <w:rPr>
          <w:rFonts w:ascii="Times New Roman" w:eastAsia="Times New Roman" w:hAnsi="Times New Roman" w:cs="Times New Roman"/>
          <w:color w:val="000000"/>
          <w:sz w:val="24"/>
          <w:szCs w:val="24"/>
          <w:shd w:val="clear" w:color="auto" w:fill="FFFFFF"/>
        </w:rPr>
        <w:t>The agency determined the wage rate from mean hourly wage earnings to represent the cost of employee time.  For the relevant standard occupational classification category, OSHA used the wage rates reported in the Bureau of Labor Statistics</w:t>
      </w:r>
      <w:r w:rsidRPr="56D4728E" w:rsidR="2710A145">
        <w:rPr>
          <w:rFonts w:ascii="Times New Roman" w:eastAsia="Times New Roman" w:hAnsi="Times New Roman" w:cs="Times New Roman"/>
          <w:color w:val="000000" w:themeColor="text1"/>
          <w:sz w:val="24"/>
          <w:szCs w:val="24"/>
        </w:rPr>
        <w:t xml:space="preserve"> (BLS)</w:t>
      </w:r>
      <w:r w:rsidRPr="00D91F68">
        <w:rPr>
          <w:rFonts w:ascii="Times New Roman" w:eastAsia="Times New Roman" w:hAnsi="Times New Roman" w:cs="Times New Roman"/>
          <w:color w:val="000000"/>
          <w:sz w:val="24"/>
          <w:szCs w:val="24"/>
          <w:shd w:val="clear" w:color="auto" w:fill="FFFFFF"/>
        </w:rPr>
        <w:t xml:space="preserve">, U.S. Department of Labor, </w:t>
      </w:r>
      <w:r w:rsidRPr="00D91F68">
        <w:rPr>
          <w:rFonts w:ascii="Times New Roman" w:eastAsia="Times New Roman" w:hAnsi="Times New Roman" w:cs="Times New Roman"/>
          <w:i/>
          <w:iCs/>
          <w:color w:val="000000"/>
          <w:sz w:val="24"/>
          <w:szCs w:val="24"/>
          <w:shd w:val="clear" w:color="auto" w:fill="FFFFFF"/>
        </w:rPr>
        <w:t>Occupational Employment</w:t>
      </w:r>
      <w:r w:rsidRPr="56D4728E" w:rsidR="015A2EA0">
        <w:rPr>
          <w:rFonts w:ascii="Times New Roman" w:eastAsia="Times New Roman" w:hAnsi="Times New Roman" w:cs="Times New Roman"/>
          <w:i/>
          <w:iCs/>
          <w:color w:val="000000" w:themeColor="text1"/>
          <w:sz w:val="24"/>
          <w:szCs w:val="24"/>
        </w:rPr>
        <w:t xml:space="preserve"> and</w:t>
      </w:r>
      <w:r w:rsidRPr="00D91F68">
        <w:rPr>
          <w:rFonts w:ascii="Times New Roman" w:eastAsia="Times New Roman" w:hAnsi="Times New Roman" w:cs="Times New Roman"/>
          <w:i/>
          <w:iCs/>
          <w:color w:val="000000"/>
          <w:sz w:val="24"/>
          <w:szCs w:val="24"/>
          <w:shd w:val="clear" w:color="auto" w:fill="FFFFFF"/>
        </w:rPr>
        <w:t xml:space="preserve"> Wage Statistics</w:t>
      </w:r>
      <w:r w:rsidRPr="00D91F68">
        <w:rPr>
          <w:rFonts w:ascii="Times New Roman" w:eastAsia="Times New Roman" w:hAnsi="Times New Roman" w:cs="Times New Roman"/>
          <w:color w:val="000000"/>
          <w:sz w:val="24"/>
          <w:szCs w:val="24"/>
          <w:shd w:val="clear" w:color="auto" w:fill="FFFFFF"/>
        </w:rPr>
        <w:t xml:space="preserve"> (OEWS),</w:t>
      </w:r>
      <w:r w:rsidRPr="00D91F68" w:rsidR="00ED106E">
        <w:rPr>
          <w:rFonts w:ascii="Times New Roman" w:eastAsia="Times New Roman" w:hAnsi="Times New Roman" w:cs="Times New Roman"/>
          <w:color w:val="000000"/>
          <w:sz w:val="24"/>
          <w:szCs w:val="24"/>
          <w:shd w:val="clear" w:color="auto" w:fill="FFFFFF"/>
        </w:rPr>
        <w:t xml:space="preserve"> </w:t>
      </w:r>
      <w:r w:rsidRPr="00D91F68">
        <w:rPr>
          <w:rFonts w:ascii="Times New Roman" w:eastAsia="Times New Roman" w:hAnsi="Times New Roman" w:cs="Times New Roman"/>
          <w:color w:val="000000"/>
          <w:sz w:val="24"/>
          <w:szCs w:val="24"/>
          <w:shd w:val="clear" w:color="auto" w:fill="FFFFFF"/>
        </w:rPr>
        <w:t>September 2022</w:t>
      </w:r>
      <w:r w:rsidRPr="56D4728E" w:rsidR="48371C6B">
        <w:rPr>
          <w:rFonts w:ascii="Times New Roman" w:eastAsia="Times New Roman" w:hAnsi="Times New Roman" w:cs="Times New Roman"/>
          <w:color w:val="000000" w:themeColor="text1"/>
          <w:sz w:val="24"/>
          <w:szCs w:val="24"/>
        </w:rPr>
        <w:t>, last</w:t>
      </w:r>
      <w:r w:rsidRPr="00D91F68">
        <w:rPr>
          <w:rFonts w:ascii="Times New Roman" w:eastAsia="Times New Roman" w:hAnsi="Times New Roman" w:cs="Times New Roman"/>
          <w:color w:val="000000"/>
          <w:sz w:val="24"/>
          <w:szCs w:val="24"/>
          <w:shd w:val="clear" w:color="auto" w:fill="FFFFFF"/>
        </w:rPr>
        <w:t xml:space="preserve"> </w:t>
      </w:r>
      <w:r w:rsidRPr="00D91F68">
        <w:rPr>
          <w:rFonts w:ascii="Times New Roman" w:eastAsia="Times New Roman" w:hAnsi="Times New Roman" w:cs="Times New Roman"/>
          <w:color w:val="000000"/>
          <w:sz w:val="24"/>
          <w:szCs w:val="24"/>
          <w:shd w:val="clear" w:color="auto" w:fill="FFFFFF"/>
        </w:rPr>
        <w:t>accessed:  October 18, 2022 (OEWS data is</w:t>
      </w:r>
      <w:r w:rsidRPr="56D4728E" w:rsidR="4E0BFBD5">
        <w:rPr>
          <w:rFonts w:ascii="Times New Roman" w:eastAsia="Times New Roman" w:hAnsi="Times New Roman" w:cs="Times New Roman"/>
          <w:color w:val="000000" w:themeColor="text1"/>
          <w:sz w:val="24"/>
          <w:szCs w:val="24"/>
        </w:rPr>
        <w:t xml:space="preserve"> available at </w:t>
      </w:r>
      <w:hyperlink r:id="rId9" w:history="1">
        <w:r w:rsidRPr="00D949C8">
          <w:rPr>
            <w:rStyle w:val="Hyperlink"/>
            <w:rFonts w:ascii="Times New Roman" w:eastAsia="Times New Roman" w:hAnsi="Times New Roman" w:cs="Times New Roman"/>
            <w:sz w:val="24"/>
            <w:szCs w:val="24"/>
          </w:rPr>
          <w:t>https://www.bls.gov/oes/tables.htm</w:t>
        </w:r>
      </w:hyperlink>
      <w:r>
        <w:rPr>
          <w:rFonts w:ascii="Times New Roman" w:eastAsia="Times New Roman" w:hAnsi="Times New Roman" w:cs="Times New Roman"/>
          <w:color w:val="000000" w:themeColor="text1"/>
          <w:sz w:val="24"/>
          <w:szCs w:val="24"/>
        </w:rPr>
        <w:t>.</w:t>
      </w:r>
      <w:r w:rsidRPr="00D91F68">
        <w:rPr>
          <w:rFonts w:ascii="Times New Roman" w:eastAsia="Times New Roman" w:hAnsi="Times New Roman" w:cs="Times New Roman"/>
          <w:color w:val="000000"/>
          <w:sz w:val="24"/>
          <w:szCs w:val="24"/>
          <w:shd w:val="clear" w:color="auto" w:fill="FFFFFF"/>
        </w:rPr>
        <w:t xml:space="preserve"> To access a wage rate, select the year, “Occupation </w:t>
      </w:r>
      <w:r w:rsidRPr="56D4728E" w:rsidR="7061CA94">
        <w:rPr>
          <w:rFonts w:ascii="Times New Roman" w:eastAsia="Times New Roman" w:hAnsi="Times New Roman" w:cs="Times New Roman"/>
          <w:color w:val="000000" w:themeColor="text1"/>
          <w:sz w:val="24"/>
          <w:szCs w:val="24"/>
        </w:rPr>
        <w:t>P</w:t>
      </w:r>
      <w:r w:rsidRPr="00D91F68">
        <w:rPr>
          <w:rFonts w:ascii="Times New Roman" w:eastAsia="Times New Roman" w:hAnsi="Times New Roman" w:cs="Times New Roman"/>
          <w:color w:val="000000"/>
          <w:sz w:val="24"/>
          <w:szCs w:val="24"/>
          <w:shd w:val="clear" w:color="auto" w:fill="FFFFFF"/>
        </w:rPr>
        <w:t>rofiles,” and the Standard Occupational Classification (SOC) code.) </w:t>
      </w:r>
    </w:p>
    <w:p w:rsidR="00DE17A5" w:rsidRPr="00723CBD" w:rsidP="320A4B18" w14:paraId="7C0BD669" w14:textId="77777777">
      <w:pPr>
        <w:autoSpaceDE w:val="0"/>
        <w:autoSpaceDN w:val="0"/>
        <w:adjustRightInd w:val="0"/>
        <w:spacing w:after="0" w:line="240" w:lineRule="auto"/>
        <w:rPr>
          <w:rFonts w:ascii="Times New Roman" w:eastAsia="Times New Roman" w:hAnsi="Times New Roman" w:cs="Times New Roman"/>
          <w:sz w:val="24"/>
          <w:szCs w:val="24"/>
        </w:rPr>
      </w:pPr>
    </w:p>
    <w:p w:rsidR="00EB1C6F" w:rsidRPr="0088703C" w:rsidP="00EB1C6F" w14:paraId="13DA5892" w14:textId="67067B40">
      <w:pPr>
        <w:pStyle w:val="paragraph"/>
        <w:spacing w:before="0" w:beforeAutospacing="0" w:after="0" w:afterAutospacing="0"/>
        <w:textAlignment w:val="baseline"/>
      </w:pPr>
      <w:r w:rsidRPr="63203064">
        <w:t xml:space="preserve">To derive the loaded hourly wage rate presented in the table below, the agency used data from the OEWS, as described in the paragraph above. Then, the agency applied to the </w:t>
      </w:r>
      <w:r w:rsidR="00B74CCE">
        <w:t xml:space="preserve">mean hourly </w:t>
      </w:r>
      <w:r w:rsidRPr="63203064">
        <w:t xml:space="preserve">wage rate </w:t>
      </w:r>
      <w:r w:rsidR="00A34F01">
        <w:t>th</w:t>
      </w:r>
      <w:r w:rsidR="00305633">
        <w:t>e</w:t>
      </w:r>
      <w:r w:rsidRPr="63203064">
        <w:t xml:space="preserve"> fringe benefit markup from the following BLS release: </w:t>
      </w:r>
      <w:r w:rsidRPr="63203064">
        <w:rPr>
          <w:i/>
          <w:iCs/>
        </w:rPr>
        <w:t>Employer Costs for Employee Compensation News Release</w:t>
      </w:r>
      <w:r w:rsidRPr="63203064">
        <w:t xml:space="preserve"> text; released 10:00 AM (EDT), September 20, 2022 </w:t>
      </w:r>
      <w:r w:rsidRPr="1210E917">
        <w:t>(</w:t>
      </w:r>
      <w:hyperlink r:id="rId10" w:history="1">
        <w:r w:rsidRPr="00D949C8">
          <w:rPr>
            <w:rStyle w:val="Hyperlink"/>
            <w:rFonts w:ascii="Times New Roman" w:hAnsi="Times New Roman" w:cs="Times New Roman"/>
            <w:sz w:val="24"/>
            <w:szCs w:val="24"/>
          </w:rPr>
          <w:t>https://www.bls.gov/news.release/archives/ecec_09202022.htm</w:t>
        </w:r>
      </w:hyperlink>
      <w:r>
        <w:t xml:space="preserve">.) </w:t>
      </w:r>
      <w:r w:rsidRPr="1210E917">
        <w:t xml:space="preserve">last accessed on November 8, 2022. </w:t>
      </w:r>
      <w:r w:rsidRPr="63203064">
        <w:t xml:space="preserve">BLS reported that for civilian workers, fringe benefits accounted for 29.5% of total compensation and wages accounted for the remaining 70.5%. </w:t>
      </w:r>
      <w:r>
        <w:t>T</w:t>
      </w:r>
      <w:r w:rsidRPr="63203064">
        <w:t>he loaded hourly wage for each occupation</w:t>
      </w:r>
      <w:r>
        <w:t xml:space="preserve"> is derived</w:t>
      </w:r>
      <w:r w:rsidRPr="63203064">
        <w:t xml:space="preserve"> </w:t>
      </w:r>
      <w:r>
        <w:t>by taking the mean hourly wage rate</w:t>
      </w:r>
      <w:r w:rsidRPr="63203064">
        <w:t xml:space="preserve"> </w:t>
      </w:r>
      <w:r>
        <w:t>and dividing</w:t>
      </w:r>
      <w:r w:rsidRPr="63203064">
        <w:t xml:space="preserve"> </w:t>
      </w:r>
      <w:r>
        <w:t>it by one</w:t>
      </w:r>
      <w:r w:rsidRPr="63203064">
        <w:t xml:space="preserve"> minus the fringe benefit.</w:t>
      </w:r>
      <w:r>
        <w:t xml:space="preserve"> </w:t>
      </w:r>
    </w:p>
    <w:p w:rsidR="32AFE02F" w:rsidP="63203064" w14:paraId="3460EF46" w14:textId="1AFAE87A">
      <w:pPr>
        <w:rPr>
          <w:rFonts w:ascii="Times New Roman" w:eastAsia="Times New Roman" w:hAnsi="Times New Roman" w:cs="Times New Roman"/>
          <w:sz w:val="24"/>
          <w:szCs w:val="24"/>
        </w:rPr>
      </w:pPr>
    </w:p>
    <w:p w:rsidR="00DE17A5" w:rsidRPr="00723CBD" w:rsidP="00DE17A5" w14:paraId="03A4A6B4" w14:textId="7D226C84">
      <w:pPr>
        <w:spacing w:after="0" w:line="240" w:lineRule="auto"/>
        <w:textAlignment w:val="baseline"/>
        <w:rPr>
          <w:rFonts w:ascii="Times New Roman" w:eastAsia="Times New Roman" w:hAnsi="Times New Roman" w:cs="Times New Roman"/>
          <w:sz w:val="24"/>
          <w:szCs w:val="24"/>
        </w:rPr>
      </w:pPr>
      <w:r w:rsidRPr="63203064">
        <w:rPr>
          <w:rFonts w:ascii="Times New Roman" w:eastAsia="Times New Roman" w:hAnsi="Times New Roman" w:cs="Times New Roman"/>
          <w:sz w:val="24"/>
          <w:szCs w:val="24"/>
        </w:rPr>
        <w:t>Table A, below, is a summary of how the wage rate estimates were derived for the information collection requirements specified in the standard.</w:t>
      </w:r>
      <w:r w:rsidRPr="00723CBD">
        <w:rPr>
          <w:rFonts w:ascii="Times New Roman" w:eastAsia="Times New Roman" w:hAnsi="Times New Roman" w:cs="Times New Roman"/>
          <w:sz w:val="24"/>
          <w:szCs w:val="24"/>
        </w:rPr>
        <w:t> </w:t>
      </w:r>
    </w:p>
    <w:p w:rsidR="00DE17A5" w:rsidP="0466994E" w14:paraId="1C24FA1B" w14:textId="7C7E8B49">
      <w:pPr>
        <w:spacing w:after="0" w:line="240" w:lineRule="auto"/>
        <w:rPr>
          <w:rFonts w:ascii="Times New Roman" w:eastAsia="Times New Roman" w:hAnsi="Times New Roman" w:cs="Times New Roman"/>
          <w:sz w:val="24"/>
          <w:szCs w:val="24"/>
        </w:rPr>
      </w:pPr>
      <w:r w:rsidRPr="0466994E">
        <w:rPr>
          <w:rFonts w:ascii="Times New Roman" w:eastAsia="Times New Roman" w:hAnsi="Times New Roman" w:cs="Times New Roman"/>
          <w:color w:val="000000" w:themeColor="text1"/>
          <w:sz w:val="24"/>
          <w:szCs w:val="24"/>
        </w:rPr>
        <w:t xml:space="preserve">  </w:t>
      </w:r>
    </w:p>
    <w:tbl>
      <w:tblPr>
        <w:tblStyle w:val="TableGrid"/>
        <w:tblW w:w="0" w:type="auto"/>
        <w:tblLayout w:type="fixed"/>
        <w:tblLook w:val="06A0"/>
      </w:tblPr>
      <w:tblGrid>
        <w:gridCol w:w="1955"/>
        <w:gridCol w:w="1696"/>
        <w:gridCol w:w="2266"/>
        <w:gridCol w:w="1437"/>
        <w:gridCol w:w="2007"/>
      </w:tblGrid>
      <w:tr w14:paraId="4EB58F5E" w14:textId="77777777" w:rsidTr="00D91F68">
        <w:tblPrEx>
          <w:tblW w:w="0" w:type="auto"/>
          <w:tblLayout w:type="fixed"/>
          <w:tblLook w:val="06A0"/>
        </w:tblPrEx>
        <w:trPr>
          <w:trHeight w:val="525"/>
        </w:trPr>
        <w:tc>
          <w:tcPr>
            <w:tcW w:w="9361" w:type="dxa"/>
            <w:gridSpan w:val="5"/>
            <w:tcBorders>
              <w:top w:val="single" w:sz="8" w:space="0" w:color="auto"/>
              <w:left w:val="single" w:sz="8" w:space="0" w:color="auto"/>
              <w:bottom w:val="single" w:sz="8" w:space="0" w:color="auto"/>
              <w:right w:val="single" w:sz="8" w:space="0" w:color="000000" w:themeColor="text1"/>
            </w:tcBorders>
            <w:shd w:val="clear" w:color="auto" w:fill="548DD4" w:themeFill="text2" w:themeFillTint="99"/>
            <w:tcMar>
              <w:top w:w="15" w:type="dxa"/>
              <w:left w:w="15" w:type="dxa"/>
              <w:right w:w="15" w:type="dxa"/>
            </w:tcMar>
            <w:vAlign w:val="center"/>
          </w:tcPr>
          <w:p w:rsidR="0466994E" w:rsidP="00D91F68" w14:paraId="3F1B9682" w14:textId="4BCCB83F">
            <w:pPr>
              <w:jc w:val="center"/>
              <w:rPr>
                <w:sz w:val="24"/>
                <w:szCs w:val="24"/>
              </w:rPr>
            </w:pPr>
            <w:r w:rsidRPr="0466994E">
              <w:rPr>
                <w:b/>
                <w:bCs/>
                <w:sz w:val="24"/>
                <w:szCs w:val="24"/>
              </w:rPr>
              <w:t xml:space="preserve">Table </w:t>
            </w:r>
            <w:r w:rsidRPr="0466994E" w:rsidR="2113FD7A">
              <w:rPr>
                <w:b/>
                <w:bCs/>
                <w:sz w:val="24"/>
                <w:szCs w:val="24"/>
              </w:rPr>
              <w:t>A</w:t>
            </w:r>
            <w:r w:rsidRPr="0466994E">
              <w:rPr>
                <w:b/>
                <w:bCs/>
                <w:sz w:val="24"/>
                <w:szCs w:val="24"/>
              </w:rPr>
              <w:t>: Wage Hour Estimates</w:t>
            </w:r>
            <w:r w:rsidRPr="0466994E">
              <w:rPr>
                <w:sz w:val="24"/>
                <w:szCs w:val="24"/>
              </w:rPr>
              <w:t xml:space="preserve"> </w:t>
            </w:r>
          </w:p>
        </w:tc>
      </w:tr>
      <w:tr w14:paraId="2A95D531" w14:textId="77777777" w:rsidTr="00D91F68">
        <w:tblPrEx>
          <w:tblW w:w="0" w:type="auto"/>
          <w:tblLayout w:type="fixed"/>
          <w:tblLook w:val="06A0"/>
        </w:tblPrEx>
        <w:trPr>
          <w:trHeight w:val="1140"/>
        </w:trPr>
        <w:tc>
          <w:tcPr>
            <w:tcW w:w="1955" w:type="dxa"/>
            <w:tcBorders>
              <w:top w:val="single" w:sz="8" w:space="0" w:color="auto"/>
              <w:left w:val="single" w:sz="8" w:space="0" w:color="auto"/>
              <w:bottom w:val="single" w:sz="4" w:space="0" w:color="auto"/>
              <w:right w:val="single" w:sz="8" w:space="0" w:color="000000" w:themeColor="text1"/>
            </w:tcBorders>
            <w:shd w:val="clear" w:color="auto" w:fill="8DB3E2" w:themeFill="text2" w:themeFillTint="66"/>
            <w:tcMar>
              <w:top w:w="15" w:type="dxa"/>
              <w:left w:w="15" w:type="dxa"/>
              <w:right w:w="15" w:type="dxa"/>
            </w:tcMar>
            <w:vAlign w:val="center"/>
          </w:tcPr>
          <w:p w:rsidR="0466994E" w:rsidP="00D91F68" w14:paraId="21BA4953" w14:textId="0010EA80">
            <w:pPr>
              <w:jc w:val="center"/>
              <w:rPr>
                <w:sz w:val="24"/>
                <w:szCs w:val="24"/>
              </w:rPr>
            </w:pPr>
            <w:r w:rsidRPr="0466994E">
              <w:rPr>
                <w:b/>
                <w:bCs/>
                <w:sz w:val="24"/>
                <w:szCs w:val="24"/>
              </w:rPr>
              <w:t>Occupational Title</w:t>
            </w:r>
          </w:p>
        </w:tc>
        <w:tc>
          <w:tcPr>
            <w:tcW w:w="1696" w:type="dxa"/>
            <w:tcBorders>
              <w:top w:val="nil"/>
              <w:left w:val="single" w:sz="8" w:space="0" w:color="auto"/>
              <w:bottom w:val="single" w:sz="4" w:space="0" w:color="auto"/>
              <w:right w:val="single" w:sz="4" w:space="0" w:color="auto"/>
            </w:tcBorders>
            <w:shd w:val="clear" w:color="auto" w:fill="8DB3E2" w:themeFill="text2" w:themeFillTint="66"/>
            <w:tcMar>
              <w:top w:w="15" w:type="dxa"/>
              <w:left w:w="15" w:type="dxa"/>
              <w:right w:w="15" w:type="dxa"/>
            </w:tcMar>
            <w:vAlign w:val="center"/>
          </w:tcPr>
          <w:p w:rsidR="0466994E" w:rsidP="00D91F68" w14:paraId="589F49A9" w14:textId="7C2E272A">
            <w:pPr>
              <w:jc w:val="center"/>
              <w:rPr>
                <w:sz w:val="24"/>
                <w:szCs w:val="24"/>
              </w:rPr>
            </w:pPr>
            <w:r w:rsidRPr="0466994E">
              <w:rPr>
                <w:b/>
                <w:bCs/>
                <w:sz w:val="24"/>
                <w:szCs w:val="24"/>
              </w:rPr>
              <w:t>Standard Occupation Code</w:t>
            </w:r>
            <w:r w:rsidRPr="0466994E">
              <w:rPr>
                <w:sz w:val="24"/>
                <w:szCs w:val="24"/>
              </w:rPr>
              <w:t xml:space="preserve"> </w:t>
            </w:r>
          </w:p>
        </w:tc>
        <w:tc>
          <w:tcPr>
            <w:tcW w:w="2266" w:type="dxa"/>
            <w:tcBorders>
              <w:top w:val="nil"/>
              <w:left w:val="single" w:sz="4" w:space="0" w:color="auto"/>
              <w:bottom w:val="single" w:sz="4" w:space="0" w:color="auto"/>
              <w:right w:val="single" w:sz="4" w:space="0" w:color="auto"/>
            </w:tcBorders>
            <w:shd w:val="clear" w:color="auto" w:fill="8DB3E2" w:themeFill="text2" w:themeFillTint="66"/>
            <w:tcMar>
              <w:top w:w="15" w:type="dxa"/>
              <w:left w:w="15" w:type="dxa"/>
              <w:right w:w="15" w:type="dxa"/>
            </w:tcMar>
            <w:vAlign w:val="center"/>
          </w:tcPr>
          <w:p w:rsidR="0466994E" w:rsidP="00D91F68" w14:paraId="02A0C4A9" w14:textId="63092145">
            <w:pPr>
              <w:jc w:val="center"/>
              <w:rPr>
                <w:b/>
                <w:bCs/>
                <w:sz w:val="24"/>
                <w:szCs w:val="24"/>
              </w:rPr>
            </w:pPr>
            <w:r w:rsidRPr="0466994E">
              <w:rPr>
                <w:b/>
                <w:bCs/>
                <w:sz w:val="24"/>
                <w:szCs w:val="24"/>
              </w:rPr>
              <w:t>Mean Hour</w:t>
            </w:r>
            <w:r w:rsidR="00FA0159">
              <w:rPr>
                <w:b/>
                <w:bCs/>
                <w:sz w:val="24"/>
                <w:szCs w:val="24"/>
              </w:rPr>
              <w:t>ly</w:t>
            </w:r>
            <w:r w:rsidRPr="0466994E">
              <w:rPr>
                <w:b/>
                <w:bCs/>
                <w:sz w:val="24"/>
                <w:szCs w:val="24"/>
              </w:rPr>
              <w:t xml:space="preserve"> </w:t>
            </w:r>
            <w:r>
              <w:br/>
            </w:r>
            <w:r w:rsidRPr="0466994E">
              <w:rPr>
                <w:b/>
                <w:bCs/>
                <w:sz w:val="24"/>
                <w:szCs w:val="24"/>
              </w:rPr>
              <w:t>Wage Rate</w:t>
            </w:r>
            <w:r>
              <w:br/>
            </w:r>
            <w:r w:rsidRPr="00D91F68" w:rsidR="09833C14">
              <w:rPr>
                <w:i/>
                <w:iCs/>
                <w:sz w:val="24"/>
                <w:szCs w:val="24"/>
              </w:rPr>
              <w:t>(a)</w:t>
            </w:r>
          </w:p>
        </w:tc>
        <w:tc>
          <w:tcPr>
            <w:tcW w:w="1437" w:type="dxa"/>
            <w:tcBorders>
              <w:top w:val="nil"/>
              <w:left w:val="single" w:sz="4" w:space="0" w:color="auto"/>
              <w:bottom w:val="single" w:sz="4" w:space="0" w:color="auto"/>
              <w:right w:val="single" w:sz="4" w:space="0" w:color="auto"/>
            </w:tcBorders>
            <w:shd w:val="clear" w:color="auto" w:fill="8DB3E2" w:themeFill="text2" w:themeFillTint="66"/>
            <w:tcMar>
              <w:top w:w="15" w:type="dxa"/>
              <w:left w:w="15" w:type="dxa"/>
              <w:right w:w="15" w:type="dxa"/>
            </w:tcMar>
            <w:vAlign w:val="center"/>
          </w:tcPr>
          <w:p w:rsidR="0466994E" w:rsidP="00D91F68" w14:paraId="089EC17C" w14:textId="0D7295E8">
            <w:pPr>
              <w:jc w:val="center"/>
              <w:rPr>
                <w:b/>
                <w:bCs/>
                <w:sz w:val="24"/>
                <w:szCs w:val="24"/>
              </w:rPr>
            </w:pPr>
            <w:r w:rsidRPr="3C7E2FAD">
              <w:rPr>
                <w:b/>
                <w:bCs/>
                <w:sz w:val="24"/>
                <w:szCs w:val="24"/>
              </w:rPr>
              <w:t>Fringe Benefits</w:t>
            </w:r>
            <w:r>
              <w:br/>
            </w:r>
            <w:r w:rsidRPr="00D91F68" w:rsidR="41C18AE1">
              <w:rPr>
                <w:i/>
                <w:iCs/>
                <w:sz w:val="24"/>
                <w:szCs w:val="24"/>
              </w:rPr>
              <w:t>(b)</w:t>
            </w:r>
          </w:p>
        </w:tc>
        <w:tc>
          <w:tcPr>
            <w:tcW w:w="2007" w:type="dxa"/>
            <w:tcBorders>
              <w:top w:val="nil"/>
              <w:left w:val="single" w:sz="4" w:space="0" w:color="auto"/>
              <w:bottom w:val="single" w:sz="4" w:space="0" w:color="auto"/>
              <w:right w:val="single" w:sz="8" w:space="0" w:color="000000" w:themeColor="text1"/>
            </w:tcBorders>
            <w:shd w:val="clear" w:color="auto" w:fill="8DB3E2" w:themeFill="text2" w:themeFillTint="66"/>
            <w:tcMar>
              <w:top w:w="15" w:type="dxa"/>
              <w:left w:w="15" w:type="dxa"/>
              <w:right w:w="15" w:type="dxa"/>
            </w:tcMar>
            <w:vAlign w:val="center"/>
          </w:tcPr>
          <w:p w:rsidR="0466994E" w:rsidP="0466994E" w14:paraId="1F1E0CE2" w14:textId="137DD4B5">
            <w:pPr>
              <w:jc w:val="center"/>
              <w:rPr>
                <w:i/>
                <w:iCs/>
                <w:sz w:val="24"/>
                <w:szCs w:val="24"/>
              </w:rPr>
            </w:pPr>
            <w:r w:rsidRPr="0466994E">
              <w:rPr>
                <w:b/>
                <w:bCs/>
                <w:sz w:val="24"/>
                <w:szCs w:val="24"/>
              </w:rPr>
              <w:t>Loaded Hourly</w:t>
            </w:r>
            <w:r>
              <w:br/>
            </w:r>
            <w:r w:rsidRPr="0466994E">
              <w:rPr>
                <w:b/>
                <w:bCs/>
                <w:sz w:val="24"/>
                <w:szCs w:val="24"/>
              </w:rPr>
              <w:t>Wage Rate</w:t>
            </w:r>
            <w:r>
              <w:br/>
            </w:r>
            <w:r w:rsidRPr="0466994E" w:rsidR="6E26B165">
              <w:rPr>
                <w:i/>
                <w:iCs/>
                <w:sz w:val="24"/>
                <w:szCs w:val="24"/>
              </w:rPr>
              <w:t>(c) = (a) /(1-(b))</w:t>
            </w:r>
          </w:p>
        </w:tc>
      </w:tr>
      <w:tr w14:paraId="50CF897E" w14:textId="77777777" w:rsidTr="00D91F68">
        <w:tblPrEx>
          <w:tblW w:w="0" w:type="auto"/>
          <w:tblLayout w:type="fixed"/>
          <w:tblLook w:val="06A0"/>
        </w:tblPrEx>
        <w:trPr>
          <w:trHeight w:val="810"/>
        </w:trPr>
        <w:tc>
          <w:tcPr>
            <w:tcW w:w="1955" w:type="dxa"/>
            <w:tcBorders>
              <w:top w:val="single" w:sz="4" w:space="0" w:color="auto"/>
              <w:left w:val="single" w:sz="4" w:space="0" w:color="auto"/>
              <w:bottom w:val="single" w:sz="4" w:space="0" w:color="auto"/>
              <w:right w:val="single" w:sz="4" w:space="0" w:color="auto"/>
            </w:tcBorders>
            <w:shd w:val="clear" w:color="auto" w:fill="C6D9F0" w:themeFill="text2" w:themeFillTint="33"/>
            <w:tcMar>
              <w:top w:w="15" w:type="dxa"/>
              <w:left w:w="15" w:type="dxa"/>
              <w:right w:w="15" w:type="dxa"/>
            </w:tcMar>
            <w:vAlign w:val="center"/>
          </w:tcPr>
          <w:p w:rsidR="0466994E" w:rsidP="00D91F68" w14:paraId="2FB9F192" w14:textId="49EEF4D6">
            <w:pPr>
              <w:jc w:val="center"/>
              <w:rPr>
                <w:sz w:val="22"/>
                <w:szCs w:val="22"/>
              </w:rPr>
            </w:pPr>
            <w:r w:rsidRPr="0466994E">
              <w:rPr>
                <w:sz w:val="22"/>
                <w:szCs w:val="22"/>
              </w:rPr>
              <w:t>Occupational Safety and Health Specialist</w:t>
            </w:r>
          </w:p>
        </w:tc>
        <w:tc>
          <w:tcPr>
            <w:tcW w:w="16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466994E" w:rsidP="00D91F68" w14:paraId="680DAF33" w14:textId="44061EEA">
            <w:pPr>
              <w:jc w:val="center"/>
              <w:rPr>
                <w:sz w:val="24"/>
                <w:szCs w:val="24"/>
              </w:rPr>
            </w:pPr>
            <w:r w:rsidRPr="0466994E">
              <w:rPr>
                <w:sz w:val="24"/>
                <w:szCs w:val="24"/>
              </w:rPr>
              <w:t>19-5011</w:t>
            </w:r>
          </w:p>
        </w:tc>
        <w:tc>
          <w:tcPr>
            <w:tcW w:w="22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466994E" w:rsidP="00D91F68" w14:paraId="1BF49071" w14:textId="11380F06">
            <w:pPr>
              <w:jc w:val="center"/>
              <w:rPr>
                <w:sz w:val="24"/>
                <w:szCs w:val="24"/>
              </w:rPr>
            </w:pPr>
            <w:r w:rsidRPr="0466994E">
              <w:rPr>
                <w:sz w:val="24"/>
                <w:szCs w:val="24"/>
              </w:rPr>
              <w:t>$37.86</w:t>
            </w:r>
          </w:p>
        </w:tc>
        <w:tc>
          <w:tcPr>
            <w:tcW w:w="14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466994E" w:rsidP="00D91F68" w14:paraId="720AE7B3" w14:textId="00F4F8C4">
            <w:pPr>
              <w:jc w:val="center"/>
              <w:rPr>
                <w:sz w:val="24"/>
                <w:szCs w:val="24"/>
              </w:rPr>
            </w:pPr>
            <w:r>
              <w:rPr>
                <w:sz w:val="24"/>
                <w:szCs w:val="24"/>
              </w:rPr>
              <w:t>0</w:t>
            </w:r>
            <w:r w:rsidRPr="0466994E">
              <w:rPr>
                <w:sz w:val="24"/>
                <w:szCs w:val="24"/>
              </w:rPr>
              <w:t>.295</w:t>
            </w:r>
          </w:p>
        </w:tc>
        <w:tc>
          <w:tcPr>
            <w:tcW w:w="20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466994E" w:rsidP="00D91F68" w14:paraId="410B274C" w14:textId="42671333">
            <w:pPr>
              <w:jc w:val="center"/>
              <w:rPr>
                <w:sz w:val="24"/>
                <w:szCs w:val="24"/>
              </w:rPr>
            </w:pPr>
            <w:r w:rsidRPr="0466994E">
              <w:rPr>
                <w:sz w:val="24"/>
                <w:szCs w:val="24"/>
              </w:rPr>
              <w:t>$53.70</w:t>
            </w:r>
          </w:p>
        </w:tc>
      </w:tr>
    </w:tbl>
    <w:p w:rsidR="0466994E" w:rsidP="0466994E" w14:paraId="37E54A7C" w14:textId="3C052B19">
      <w:pPr>
        <w:spacing w:after="0" w:line="240" w:lineRule="auto"/>
        <w:rPr>
          <w:rFonts w:ascii="Times New Roman" w:eastAsia="Times New Roman" w:hAnsi="Times New Roman" w:cs="Times New Roman"/>
          <w:color w:val="000000" w:themeColor="text1"/>
          <w:sz w:val="24"/>
          <w:szCs w:val="24"/>
        </w:rPr>
      </w:pPr>
    </w:p>
    <w:p w:rsidR="00BF576C" w:rsidRPr="00723CBD" w:rsidP="638B37EC" w14:paraId="3417D8E9" w14:textId="77777777">
      <w:pPr>
        <w:autoSpaceDE w:val="0"/>
        <w:autoSpaceDN w:val="0"/>
        <w:adjustRightInd w:val="0"/>
        <w:spacing w:after="0" w:line="240" w:lineRule="auto"/>
        <w:rPr>
          <w:rFonts w:ascii="Times New Roman" w:eastAsia="Times New Roman" w:hAnsi="Times New Roman" w:cs="Times New Roman"/>
          <w:sz w:val="24"/>
          <w:szCs w:val="24"/>
        </w:rPr>
      </w:pPr>
      <w:r w:rsidRPr="638B37EC">
        <w:rPr>
          <w:rFonts w:ascii="Times New Roman" w:eastAsia="Times New Roman" w:hAnsi="Times New Roman" w:cs="Times New Roman"/>
          <w:sz w:val="24"/>
          <w:szCs w:val="24"/>
        </w:rPr>
        <w:t>The HAZWOPER rule applies to employers engaged in three types of operations:</w:t>
      </w:r>
    </w:p>
    <w:p w:rsidR="00BF576C" w:rsidRPr="00D91F68" w:rsidP="03B3D0F5" w14:paraId="11E93A2A" w14:textId="77777777">
      <w:pPr>
        <w:autoSpaceDE w:val="0"/>
        <w:autoSpaceDN w:val="0"/>
        <w:adjustRightInd w:val="0"/>
        <w:spacing w:after="0" w:line="240" w:lineRule="auto"/>
        <w:rPr>
          <w:rFonts w:ascii="Times New Roman" w:eastAsia="Times New Roman" w:hAnsi="Times New Roman" w:cs="Times New Roman"/>
          <w:sz w:val="24"/>
          <w:szCs w:val="24"/>
          <w:highlight w:val="yellow"/>
        </w:rPr>
      </w:pPr>
    </w:p>
    <w:p w:rsidR="00BF576C" w:rsidRPr="00723CBD" w:rsidP="00BF576C" w14:paraId="3B6916BA" w14:textId="77777777">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b/>
          <w:sz w:val="24"/>
          <w:szCs w:val="24"/>
        </w:rPr>
        <w:t>Type 1</w:t>
      </w:r>
      <w:r w:rsidRPr="00723CBD">
        <w:rPr>
          <w:rFonts w:ascii="Times New Roman" w:eastAsia="Times New Roman" w:hAnsi="Times New Roman" w:cs="Times New Roman"/>
          <w:sz w:val="24"/>
          <w:szCs w:val="24"/>
        </w:rPr>
        <w:t>: clean-up sites covered by paragraphs (b) through (o);</w:t>
      </w:r>
    </w:p>
    <w:p w:rsidR="00BF576C" w:rsidRPr="00723CBD" w:rsidP="00BF576C" w14:paraId="4999C39F"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2AF293BD" w14:textId="77777777">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b/>
          <w:sz w:val="24"/>
          <w:szCs w:val="24"/>
        </w:rPr>
        <w:t>Type 2</w:t>
      </w:r>
      <w:r w:rsidRPr="00723CBD">
        <w:rPr>
          <w:rFonts w:ascii="Times New Roman" w:eastAsia="Times New Roman" w:hAnsi="Times New Roman" w:cs="Times New Roman"/>
          <w:sz w:val="24"/>
          <w:szCs w:val="24"/>
        </w:rPr>
        <w:t xml:space="preserve">: treatment, storage, and disposal (TSD) sites (Resource Conservation and </w:t>
      </w:r>
      <w:r w:rsidRPr="00723CBD">
        <w:rPr>
          <w:rFonts w:ascii="Times New Roman" w:eastAsia="Times New Roman" w:hAnsi="Times New Roman" w:cs="Times New Roman"/>
          <w:sz w:val="24"/>
          <w:szCs w:val="24"/>
        </w:rPr>
        <w:t>Recovery Act) (RCRA) sites covered by paragraph (p); and</w:t>
      </w:r>
    </w:p>
    <w:p w:rsidR="00BF576C" w:rsidRPr="00723CBD" w:rsidP="00BF576C" w14:paraId="371A7F7F"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0E99E9B5" w14:textId="77777777">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b/>
          <w:sz w:val="24"/>
          <w:szCs w:val="24"/>
        </w:rPr>
        <w:t>Type 3</w:t>
      </w:r>
      <w:r w:rsidRPr="00723CBD">
        <w:rPr>
          <w:rFonts w:ascii="Times New Roman" w:eastAsia="Times New Roman" w:hAnsi="Times New Roman" w:cs="Times New Roman"/>
          <w:sz w:val="24"/>
          <w:szCs w:val="24"/>
        </w:rPr>
        <w:t>: emergency responders (police and fire departments) covered by paragraph (q).</w:t>
      </w:r>
    </w:p>
    <w:p w:rsidR="00BF576C" w:rsidRPr="00723CBD" w:rsidP="00BF576C" w14:paraId="41A76B91"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4ED676F6" w14:textId="65BD954B">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b/>
          <w:sz w:val="24"/>
          <w:szCs w:val="24"/>
        </w:rPr>
        <w:t>TYPE 1</w:t>
      </w:r>
      <w:r w:rsidRPr="00723CBD">
        <w:rPr>
          <w:rFonts w:ascii="Times New Roman" w:eastAsia="Times New Roman" w:hAnsi="Times New Roman" w:cs="Times New Roman"/>
          <w:sz w:val="24"/>
          <w:szCs w:val="24"/>
        </w:rPr>
        <w:t>: In preparing the burden hour estimates for the collection of information requirements in the HAZWOPER rule, OSHA still assumes that employers now engaged in operations at 90 percent of the cleanup sites are performing this type of work during the period covered when the last burden hour estimates were made in 201</w:t>
      </w:r>
      <w:r w:rsidRPr="00723CBD" w:rsidR="0083682D">
        <w:rPr>
          <w:rFonts w:ascii="Times New Roman" w:eastAsia="Times New Roman" w:hAnsi="Times New Roman" w:cs="Times New Roman"/>
          <w:sz w:val="24"/>
          <w:szCs w:val="24"/>
        </w:rPr>
        <w:t>9</w:t>
      </w:r>
      <w:r w:rsidRPr="00723CBD" w:rsidR="00DE074A">
        <w:rPr>
          <w:rFonts w:ascii="Times New Roman" w:eastAsia="Times New Roman" w:hAnsi="Times New Roman" w:cs="Times New Roman"/>
          <w:sz w:val="24"/>
          <w:szCs w:val="24"/>
        </w:rPr>
        <w:t>.</w:t>
      </w:r>
      <w:r w:rsidRPr="00723CBD">
        <w:rPr>
          <w:rFonts w:ascii="Times New Roman" w:eastAsia="Times New Roman" w:hAnsi="Times New Roman" w:cs="Times New Roman"/>
          <w:sz w:val="24"/>
          <w:szCs w:val="24"/>
        </w:rPr>
        <w:t xml:space="preserve">  Therefore, they have already completed a number of </w:t>
      </w:r>
      <w:r w:rsidRPr="00723CBD" w:rsidR="0077305D">
        <w:rPr>
          <w:rFonts w:ascii="Times New Roman" w:eastAsia="Times New Roman" w:hAnsi="Times New Roman" w:cs="Times New Roman"/>
          <w:sz w:val="24"/>
          <w:szCs w:val="24"/>
        </w:rPr>
        <w:t>collections</w:t>
      </w:r>
      <w:r w:rsidRPr="00723CBD">
        <w:rPr>
          <w:rFonts w:ascii="Times New Roman" w:eastAsia="Times New Roman" w:hAnsi="Times New Roman" w:cs="Times New Roman"/>
          <w:sz w:val="24"/>
          <w:szCs w:val="24"/>
        </w:rPr>
        <w:t xml:space="preserve"> of information activities that were “one time” activities such as developing a written safety and health program</w:t>
      </w:r>
      <w:r w:rsidRPr="00723CBD" w:rsidR="00177FA7">
        <w:rPr>
          <w:rFonts w:ascii="Times New Roman" w:eastAsia="Times New Roman" w:hAnsi="Times New Roman" w:cs="Times New Roman"/>
          <w:sz w:val="24"/>
          <w:szCs w:val="24"/>
        </w:rPr>
        <w:t>; however</w:t>
      </w:r>
      <w:r w:rsidRPr="00723CBD">
        <w:rPr>
          <w:rFonts w:ascii="Times New Roman" w:eastAsia="Times New Roman" w:hAnsi="Times New Roman" w:cs="Times New Roman"/>
          <w:sz w:val="24"/>
          <w:szCs w:val="24"/>
        </w:rPr>
        <w:t>, they m</w:t>
      </w:r>
      <w:r w:rsidRPr="00723CBD">
        <w:rPr>
          <w:rFonts w:ascii="Times New Roman" w:eastAsia="Times New Roman" w:hAnsi="Times New Roman" w:cs="Times New Roman"/>
          <w:sz w:val="24"/>
          <w:szCs w:val="24"/>
        </w:rPr>
        <w:t>ay have to modify or update their program. OSHA assumes that employers at 10 percent of the clean-up sites will have to modify or update their programs</w:t>
      </w:r>
      <w:r w:rsidRPr="00723CBD" w:rsidR="00A67361">
        <w:rPr>
          <w:rFonts w:ascii="Times New Roman" w:eastAsia="Times New Roman" w:hAnsi="Times New Roman" w:cs="Times New Roman"/>
          <w:sz w:val="24"/>
          <w:szCs w:val="24"/>
        </w:rPr>
        <w:t>,</w:t>
      </w:r>
      <w:r w:rsidRPr="00723CBD">
        <w:rPr>
          <w:rFonts w:ascii="Times New Roman" w:eastAsia="Times New Roman" w:hAnsi="Times New Roman" w:cs="Times New Roman"/>
          <w:sz w:val="24"/>
          <w:szCs w:val="24"/>
        </w:rPr>
        <w:t xml:space="preserve"> and employers at another 10 percent will prepare a program for the first time.</w:t>
      </w:r>
    </w:p>
    <w:p w:rsidR="00BF576C" w:rsidRPr="00723CBD" w:rsidP="00BF576C" w14:paraId="149E9AAE"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23A0BA7D" w14:textId="0DEC8970">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b/>
          <w:sz w:val="24"/>
          <w:szCs w:val="24"/>
        </w:rPr>
        <w:t>TYPE 2</w:t>
      </w:r>
      <w:r w:rsidRPr="00723CBD">
        <w:rPr>
          <w:rFonts w:ascii="Times New Roman" w:eastAsia="Times New Roman" w:hAnsi="Times New Roman" w:cs="Times New Roman"/>
          <w:sz w:val="24"/>
          <w:szCs w:val="24"/>
        </w:rPr>
        <w:t xml:space="preserve">: OSHA estimates that employers on 65 percent of the sites classified as TSD sites (RCRA) have already performed the information collection activities required in paragraph (p). This rate is less than the rate (90 percent) estimated for clean-up sites because OSHA believes that there may be some non-permitted TSD </w:t>
      </w:r>
      <w:r w:rsidRPr="00723CBD" w:rsidR="00DA3E35">
        <w:rPr>
          <w:rFonts w:ascii="Times New Roman" w:eastAsia="Times New Roman" w:hAnsi="Times New Roman" w:cs="Times New Roman"/>
          <w:sz w:val="24"/>
          <w:szCs w:val="24"/>
        </w:rPr>
        <w:t>sites,</w:t>
      </w:r>
      <w:r w:rsidRPr="00723CBD">
        <w:rPr>
          <w:rFonts w:ascii="Times New Roman" w:eastAsia="Times New Roman" w:hAnsi="Times New Roman" w:cs="Times New Roman"/>
          <w:sz w:val="24"/>
          <w:szCs w:val="24"/>
        </w:rPr>
        <w:t xml:space="preserve"> i.e., sites for which EPA has yet to issue a permit for work to begin. Employers at those sites most likely </w:t>
      </w:r>
      <w:r w:rsidRPr="00723CBD" w:rsidR="00177FA7">
        <w:rPr>
          <w:rFonts w:ascii="Times New Roman" w:eastAsia="Times New Roman" w:hAnsi="Times New Roman" w:cs="Times New Roman"/>
          <w:sz w:val="24"/>
          <w:szCs w:val="24"/>
        </w:rPr>
        <w:t>still need to complete all</w:t>
      </w:r>
      <w:r w:rsidRPr="00723CBD">
        <w:rPr>
          <w:rFonts w:ascii="Times New Roman" w:eastAsia="Times New Roman" w:hAnsi="Times New Roman" w:cs="Times New Roman"/>
          <w:sz w:val="24"/>
          <w:szCs w:val="24"/>
        </w:rPr>
        <w:t xml:space="preserve"> of the information collection activities required by pa</w:t>
      </w:r>
      <w:r w:rsidRPr="00723CBD">
        <w:rPr>
          <w:rFonts w:ascii="Times New Roman" w:eastAsia="Times New Roman" w:hAnsi="Times New Roman" w:cs="Times New Roman"/>
          <w:sz w:val="24"/>
          <w:szCs w:val="24"/>
        </w:rPr>
        <w:t>ragraph (p) of the HAZWOPER rule.</w:t>
      </w:r>
    </w:p>
    <w:p w:rsidR="00BF576C" w:rsidRPr="00723CBD" w:rsidP="00BF576C" w14:paraId="681F0681"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09496C71" w14:textId="2CA9F672">
      <w:pPr>
        <w:autoSpaceDE w:val="0"/>
        <w:autoSpaceDN w:val="0"/>
        <w:adjustRightInd w:val="0"/>
        <w:spacing w:after="0" w:line="240" w:lineRule="auto"/>
        <w:rPr>
          <w:rFonts w:ascii="Times New Roman" w:eastAsia="Times New Roman" w:hAnsi="Times New Roman" w:cs="Times New Roman"/>
          <w:sz w:val="24"/>
          <w:szCs w:val="24"/>
        </w:rPr>
      </w:pPr>
      <w:r w:rsidRPr="0466994E">
        <w:rPr>
          <w:rFonts w:ascii="Times New Roman" w:eastAsia="Times New Roman" w:hAnsi="Times New Roman" w:cs="Times New Roman"/>
          <w:b/>
          <w:bCs/>
          <w:sz w:val="24"/>
          <w:szCs w:val="24"/>
        </w:rPr>
        <w:t>TYPE 3</w:t>
      </w:r>
      <w:r w:rsidRPr="0466994E">
        <w:rPr>
          <w:rFonts w:ascii="Times New Roman" w:eastAsia="Times New Roman" w:hAnsi="Times New Roman" w:cs="Times New Roman"/>
          <w:sz w:val="24"/>
          <w:szCs w:val="24"/>
        </w:rPr>
        <w:t xml:space="preserve">: OSHA estimates that 90 percent of the employers covered by the requirements applicable to emergency response operations in paragraph (q) have completed their obligations </w:t>
      </w:r>
      <w:r w:rsidRPr="0466994E" w:rsidR="00A67361">
        <w:rPr>
          <w:rFonts w:ascii="Times New Roman" w:eastAsia="Times New Roman" w:hAnsi="Times New Roman" w:cs="Times New Roman"/>
          <w:sz w:val="24"/>
          <w:szCs w:val="24"/>
        </w:rPr>
        <w:t>for</w:t>
      </w:r>
      <w:r w:rsidRPr="0466994E">
        <w:rPr>
          <w:rFonts w:ascii="Times New Roman" w:eastAsia="Times New Roman" w:hAnsi="Times New Roman" w:cs="Times New Roman"/>
          <w:sz w:val="24"/>
          <w:szCs w:val="24"/>
        </w:rPr>
        <w:t xml:space="preserve"> information collection activities. The majority of requirements under paragraph (q) address training and education standards that the emergency response community (police and fire) implements as a usual and customary activity and, therefore, would have performed these activities prior to promulgation</w:t>
      </w:r>
      <w:r w:rsidRPr="0466994E" w:rsidR="00A67361">
        <w:rPr>
          <w:rFonts w:ascii="Times New Roman" w:eastAsia="Times New Roman" w:hAnsi="Times New Roman" w:cs="Times New Roman"/>
          <w:sz w:val="24"/>
          <w:szCs w:val="24"/>
        </w:rPr>
        <w:t xml:space="preserve"> the </w:t>
      </w:r>
      <w:r w:rsidRPr="0466994E">
        <w:rPr>
          <w:rFonts w:ascii="Times New Roman" w:eastAsia="Times New Roman" w:hAnsi="Times New Roman" w:cs="Times New Roman"/>
          <w:sz w:val="24"/>
          <w:szCs w:val="24"/>
        </w:rPr>
        <w:t>of 29 CFR 1910.120.</w:t>
      </w:r>
    </w:p>
    <w:p w:rsidR="00BF576C" w:rsidRPr="00723CBD" w:rsidP="00BF576C" w14:paraId="60D1DBE7"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6DEE173D" w14:textId="77777777">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sz w:val="24"/>
          <w:szCs w:val="24"/>
          <w:u w:val="single"/>
        </w:rPr>
        <w:t>Estimating the Number of Sites</w:t>
      </w:r>
    </w:p>
    <w:p w:rsidR="00BF576C" w:rsidRPr="00723CBD" w:rsidP="00BF576C" w14:paraId="61FE75B2"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79F61549" w14:textId="1AD3D6E8">
      <w:pPr>
        <w:autoSpaceDE w:val="0"/>
        <w:autoSpaceDN w:val="0"/>
        <w:adjustRightInd w:val="0"/>
        <w:spacing w:after="0" w:line="240" w:lineRule="auto"/>
        <w:rPr>
          <w:rFonts w:ascii="Times New Roman" w:eastAsia="Times New Roman" w:hAnsi="Times New Roman" w:cs="Times New Roman"/>
          <w:sz w:val="24"/>
          <w:szCs w:val="24"/>
        </w:rPr>
      </w:pPr>
      <w:r w:rsidRPr="0466994E">
        <w:rPr>
          <w:rFonts w:ascii="Times New Roman" w:eastAsia="Times New Roman" w:hAnsi="Times New Roman" w:cs="Times New Roman"/>
          <w:sz w:val="24"/>
          <w:szCs w:val="24"/>
        </w:rPr>
        <w:t>The numbers of actual sites covered by this rule have been taken from EPA’s figures in Exhibit 1-1 in “</w:t>
      </w:r>
      <w:r w:rsidRPr="0466994E">
        <w:rPr>
          <w:rFonts w:ascii="Times New Roman" w:eastAsia="Times New Roman" w:hAnsi="Times New Roman" w:cs="Times New Roman"/>
          <w:sz w:val="24"/>
          <w:szCs w:val="24"/>
          <w:u w:val="single"/>
        </w:rPr>
        <w:t>Cleaning Up the Nation’s Waste Sites: Markets and Technology Trends</w:t>
      </w:r>
      <w:r w:rsidRPr="0466994E">
        <w:rPr>
          <w:rFonts w:ascii="Times New Roman" w:eastAsia="Times New Roman" w:hAnsi="Times New Roman" w:cs="Times New Roman"/>
          <w:sz w:val="24"/>
          <w:szCs w:val="24"/>
        </w:rPr>
        <w:t>,” 2004 Edition, supplemented where possible with more recent figures, as indicated below. Accordingly, OSHA estimates that there are 131,821 sites remaining to be remediated. EPA has estimated that the current inventory of uncontrolled waste sites could be remediated within 70 years and that the current inventory of RCRA remediation sites could be remediated within 30 years. Without a detailed analysis of how many sites will be active durin</w:t>
      </w:r>
      <w:r w:rsidRPr="0466994E">
        <w:rPr>
          <w:rFonts w:ascii="Times New Roman" w:eastAsia="Times New Roman" w:hAnsi="Times New Roman" w:cs="Times New Roman"/>
          <w:sz w:val="24"/>
          <w:szCs w:val="24"/>
        </w:rPr>
        <w:t xml:space="preserve">g each of the next 70 years, OSHA has decided to take the total number of sites to be remediated in each category and to divide that figure by either 70 or 30 to determine the average number of active </w:t>
      </w:r>
      <w:r w:rsidRPr="0466994E" w:rsidR="007F3F4E">
        <w:rPr>
          <w:rFonts w:ascii="Times New Roman" w:eastAsia="Times New Roman" w:hAnsi="Times New Roman" w:cs="Times New Roman"/>
          <w:sz w:val="24"/>
          <w:szCs w:val="24"/>
        </w:rPr>
        <w:t>sites/year/categories</w:t>
      </w:r>
      <w:r w:rsidRPr="0466994E">
        <w:rPr>
          <w:rFonts w:ascii="Times New Roman" w:eastAsia="Times New Roman" w:hAnsi="Times New Roman" w:cs="Times New Roman"/>
          <w:sz w:val="24"/>
          <w:szCs w:val="24"/>
        </w:rPr>
        <w:t xml:space="preserve"> over the estimated remediation time. OSHA will use that average figure in ascertaining its estimated annual information collection burden for each category of sites.</w:t>
      </w:r>
    </w:p>
    <w:p w:rsidR="00BF576C" w:rsidRPr="00723CBD" w:rsidP="00BF576C" w14:paraId="709B99BD" w14:textId="77777777">
      <w:pPr>
        <w:autoSpaceDE w:val="0"/>
        <w:autoSpaceDN w:val="0"/>
        <w:adjustRightInd w:val="0"/>
        <w:spacing w:after="0" w:line="240" w:lineRule="auto"/>
        <w:rPr>
          <w:rFonts w:ascii="Times New Roman" w:eastAsia="Times New Roman" w:hAnsi="Times New Roman" w:cs="Times New Roman"/>
          <w:sz w:val="24"/>
          <w:szCs w:val="24"/>
        </w:rPr>
      </w:pPr>
    </w:p>
    <w:p w:rsidR="00DE074A" w:rsidRPr="00723CBD" w:rsidP="00DA7256" w14:paraId="1C65CA32" w14:textId="5DD75A2E">
      <w:pPr>
        <w:spacing w:after="0" w:line="240" w:lineRule="auto"/>
        <w:rPr>
          <w:rFonts w:ascii="Times New Roman" w:eastAsia="Times New Roman" w:hAnsi="Times New Roman" w:cs="Times New Roman"/>
          <w:sz w:val="24"/>
          <w:szCs w:val="24"/>
        </w:rPr>
      </w:pPr>
      <w:r w:rsidRPr="0466994E">
        <w:rPr>
          <w:rFonts w:ascii="Times New Roman" w:eastAsia="Times New Roman" w:hAnsi="Times New Roman" w:cs="Times New Roman"/>
          <w:b/>
          <w:bCs/>
          <w:sz w:val="24"/>
          <w:szCs w:val="24"/>
          <w:u w:val="single"/>
        </w:rPr>
        <w:t>TYPE 1</w:t>
      </w:r>
      <w:r w:rsidRPr="00723CBD">
        <w:rPr>
          <w:rFonts w:ascii="Times New Roman" w:eastAsia="Times New Roman" w:hAnsi="Times New Roman" w:cs="Times New Roman"/>
          <w:sz w:val="24"/>
          <w:szCs w:val="24"/>
        </w:rPr>
        <w:t xml:space="preserve">: Based on EPA, there </w:t>
      </w:r>
      <w:r w:rsidRPr="00723CBD" w:rsidR="00A67361">
        <w:rPr>
          <w:rFonts w:ascii="Times New Roman" w:eastAsia="Times New Roman" w:hAnsi="Times New Roman" w:cs="Times New Roman"/>
          <w:sz w:val="24"/>
          <w:szCs w:val="24"/>
        </w:rPr>
        <w:t xml:space="preserve">is </w:t>
      </w:r>
      <w:r w:rsidRPr="00723CBD" w:rsidR="00A15C9D">
        <w:rPr>
          <w:rFonts w:ascii="Times New Roman" w:hAnsi="Times New Roman" w:cs="Times New Roman"/>
          <w:color w:val="1B1B1B"/>
          <w:sz w:val="24"/>
          <w:szCs w:val="24"/>
          <w:shd w:val="clear" w:color="auto" w:fill="FFFFFF"/>
        </w:rPr>
        <w:t>1,334 </w:t>
      </w:r>
      <w:r w:rsidRPr="00723CBD">
        <w:rPr>
          <w:rFonts w:ascii="Times New Roman" w:eastAsia="Times New Roman" w:hAnsi="Times New Roman" w:cs="Times New Roman"/>
          <w:sz w:val="24"/>
          <w:szCs w:val="24"/>
        </w:rPr>
        <w:t>current National Priorities List (NPL) sites undergoing remediation.</w:t>
      </w:r>
      <w:r>
        <w:rPr>
          <w:rFonts w:ascii="Times New Roman" w:eastAsia="Times New Roman" w:hAnsi="Times New Roman" w:cs="Times New Roman"/>
          <w:sz w:val="24"/>
          <w:szCs w:val="24"/>
          <w:vertAlign w:val="superscript"/>
        </w:rPr>
        <w:footnoteReference w:id="4"/>
      </w:r>
      <w:r w:rsidRPr="00723CBD">
        <w:rPr>
          <w:rFonts w:ascii="Times New Roman" w:eastAsia="Times New Roman" w:hAnsi="Times New Roman" w:cs="Times New Roman"/>
          <w:sz w:val="24"/>
          <w:szCs w:val="24"/>
          <w:vertAlign w:val="superscript"/>
        </w:rPr>
        <w:t xml:space="preserve"> </w:t>
      </w:r>
      <w:r w:rsidRPr="00723CBD">
        <w:rPr>
          <w:rFonts w:ascii="Times New Roman" w:eastAsia="Times New Roman" w:hAnsi="Times New Roman" w:cs="Times New Roman"/>
          <w:sz w:val="24"/>
          <w:szCs w:val="24"/>
        </w:rPr>
        <w:t>OSHA recognizes that there are far more Superfund clean-up sites that have been identified and that will eventually be placed on the NPL; however, OSHA is only using the NPL figure for this estimate since this figure represents more accurately the actual number of sites that are or will become active during the approval period for this notice. In addition, it is estimated that there are 6,400 Department of Defense sites, 5,000 Department of Energy sites, more than 3,000 other civilian Federal agency sites,</w:t>
      </w:r>
      <w:r w:rsidRPr="00723CBD">
        <w:rPr>
          <w:rFonts w:ascii="Times New Roman" w:eastAsia="Times New Roman" w:hAnsi="Times New Roman" w:cs="Times New Roman"/>
          <w:sz w:val="24"/>
          <w:szCs w:val="24"/>
        </w:rPr>
        <w:t xml:space="preserve"> and 23,000 state-identified sites that OSHA would consider covered by paragraphs (b) through (o) of the rule. As stated above, EPA estimates that it will take approximately 70 years to remediate these sites. Therefore, the total number of uncontrolled hazardous waste sites upon which OSHA could </w:t>
      </w:r>
      <w:r w:rsidRPr="00723CBD" w:rsidR="00ED106E">
        <w:rPr>
          <w:rFonts w:ascii="Times New Roman" w:eastAsia="Times New Roman" w:hAnsi="Times New Roman" w:cs="Times New Roman"/>
          <w:sz w:val="24"/>
          <w:szCs w:val="24"/>
        </w:rPr>
        <w:t>impose</w:t>
      </w:r>
      <w:r w:rsidRPr="00723CBD">
        <w:rPr>
          <w:rFonts w:ascii="Times New Roman" w:eastAsia="Times New Roman" w:hAnsi="Times New Roman" w:cs="Times New Roman"/>
          <w:sz w:val="24"/>
          <w:szCs w:val="24"/>
        </w:rPr>
        <w:t xml:space="preserve"> a collection burden is now</w:t>
      </w:r>
      <w:r w:rsidRPr="00723CBD" w:rsidR="00F9042A">
        <w:rPr>
          <w:rFonts w:ascii="Times New Roman" w:eastAsia="Times New Roman" w:hAnsi="Times New Roman" w:cs="Times New Roman"/>
          <w:sz w:val="24"/>
          <w:szCs w:val="24"/>
        </w:rPr>
        <w:t xml:space="preserve"> </w:t>
      </w:r>
      <w:r w:rsidRPr="00723CBD" w:rsidR="00CC682A">
        <w:rPr>
          <w:rFonts w:ascii="Times New Roman" w:eastAsia="Times New Roman" w:hAnsi="Times New Roman" w:cs="Times New Roman"/>
          <w:sz w:val="24"/>
          <w:szCs w:val="24"/>
        </w:rPr>
        <w:t>38,734</w:t>
      </w:r>
      <w:r w:rsidRPr="00723CBD">
        <w:rPr>
          <w:rFonts w:ascii="Times New Roman" w:eastAsia="Times New Roman" w:hAnsi="Times New Roman" w:cs="Times New Roman"/>
          <w:sz w:val="24"/>
          <w:szCs w:val="24"/>
        </w:rPr>
        <w:t xml:space="preserve">. Since EPA estimates that it will take 70 years to remediate this total inventory of sites, OSHA is dividing </w:t>
      </w:r>
      <w:r w:rsidRPr="00723CBD" w:rsidR="004C3134">
        <w:rPr>
          <w:rFonts w:ascii="Times New Roman" w:eastAsia="Times New Roman" w:hAnsi="Times New Roman" w:cs="Times New Roman"/>
          <w:sz w:val="24"/>
          <w:szCs w:val="24"/>
        </w:rPr>
        <w:t>38,734</w:t>
      </w:r>
      <w:r w:rsidRPr="00723CBD" w:rsidR="0008332F">
        <w:rPr>
          <w:rFonts w:ascii="Times New Roman" w:eastAsia="Times New Roman" w:hAnsi="Times New Roman" w:cs="Times New Roman"/>
          <w:sz w:val="24"/>
          <w:szCs w:val="24"/>
        </w:rPr>
        <w:t xml:space="preserve"> </w:t>
      </w:r>
      <w:r w:rsidRPr="00723CBD">
        <w:rPr>
          <w:rFonts w:ascii="Times New Roman" w:eastAsia="Times New Roman" w:hAnsi="Times New Roman" w:cs="Times New Roman"/>
          <w:sz w:val="24"/>
          <w:szCs w:val="24"/>
        </w:rPr>
        <w:t>by the 70-year figure to estimate an average annual number of potential worksites at</w:t>
      </w:r>
      <w:r w:rsidRPr="00723CBD" w:rsidR="00301777">
        <w:rPr>
          <w:rFonts w:ascii="Times New Roman" w:eastAsia="Times New Roman" w:hAnsi="Times New Roman" w:cs="Times New Roman"/>
          <w:sz w:val="24"/>
          <w:szCs w:val="24"/>
        </w:rPr>
        <w:t xml:space="preserve"> 553</w:t>
      </w:r>
      <w:r w:rsidRPr="00723CBD">
        <w:rPr>
          <w:rFonts w:ascii="Times New Roman" w:eastAsia="Times New Roman" w:hAnsi="Times New Roman" w:cs="Times New Roman"/>
          <w:sz w:val="24"/>
          <w:szCs w:val="24"/>
        </w:rPr>
        <w:t xml:space="preserve"> per year over the next 70 </w:t>
      </w:r>
      <w:r w:rsidRPr="00723CBD" w:rsidR="00DB2AD0">
        <w:rPr>
          <w:rFonts w:ascii="Times New Roman" w:eastAsia="Times New Roman" w:hAnsi="Times New Roman" w:cs="Times New Roman"/>
          <w:sz w:val="24"/>
          <w:szCs w:val="24"/>
        </w:rPr>
        <w:t>years.</w:t>
      </w:r>
    </w:p>
    <w:p w:rsidR="007A7736" w:rsidRPr="00723CBD" w:rsidP="00DA7256" w14:paraId="080A8E40" w14:textId="77777777">
      <w:pPr>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sz w:val="24"/>
          <w:szCs w:val="24"/>
        </w:rPr>
        <w:t xml:space="preserve"> </w:t>
      </w:r>
    </w:p>
    <w:p w:rsidR="00BF576C" w:rsidRPr="00723CBD" w:rsidP="0466994E" w14:paraId="17FFD590" w14:textId="4BEE53B5">
      <w:pPr>
        <w:spacing w:after="0" w:line="240" w:lineRule="auto"/>
        <w:rPr>
          <w:rFonts w:ascii="Times New Roman" w:eastAsia="Times New Roman" w:hAnsi="Times New Roman" w:cs="Times New Roman"/>
          <w:b/>
          <w:bCs/>
          <w:sz w:val="24"/>
          <w:szCs w:val="24"/>
          <w:u w:val="single"/>
        </w:rPr>
      </w:pPr>
      <w:r w:rsidRPr="0466994E">
        <w:rPr>
          <w:rFonts w:ascii="Times New Roman" w:eastAsia="Times New Roman" w:hAnsi="Times New Roman" w:cs="Times New Roman"/>
          <w:b/>
          <w:bCs/>
          <w:sz w:val="24"/>
          <w:szCs w:val="24"/>
          <w:u w:val="single"/>
        </w:rPr>
        <w:t>TYPE 2</w:t>
      </w:r>
      <w:r w:rsidRPr="00723CBD">
        <w:rPr>
          <w:rFonts w:ascii="Times New Roman" w:eastAsia="Times New Roman" w:hAnsi="Times New Roman" w:cs="Times New Roman"/>
          <w:sz w:val="24"/>
          <w:szCs w:val="24"/>
        </w:rPr>
        <w:t>: Similarly, EPA estimates that there are 3,779 potential RCRA corrective action sites</w:t>
      </w:r>
      <w:r>
        <w:rPr>
          <w:rFonts w:ascii="Times New Roman" w:eastAsia="Times New Roman" w:hAnsi="Times New Roman" w:cs="Times New Roman"/>
          <w:sz w:val="24"/>
          <w:szCs w:val="24"/>
          <w:vertAlign w:val="superscript"/>
        </w:rPr>
        <w:footnoteReference w:id="5"/>
      </w:r>
      <w:r w:rsidRPr="00723CBD">
        <w:rPr>
          <w:rFonts w:ascii="Times New Roman" w:eastAsia="Times New Roman" w:hAnsi="Times New Roman" w:cs="Times New Roman"/>
          <w:sz w:val="24"/>
          <w:szCs w:val="24"/>
        </w:rPr>
        <w:t xml:space="preserve"> and 87,983 RCRA Underground Storage Tank remediation sites</w:t>
      </w:r>
      <w:r>
        <w:rPr>
          <w:rFonts w:ascii="Times New Roman" w:eastAsia="Times New Roman" w:hAnsi="Times New Roman" w:cs="Times New Roman"/>
          <w:sz w:val="24"/>
          <w:szCs w:val="24"/>
          <w:vertAlign w:val="superscript"/>
        </w:rPr>
        <w:footnoteReference w:id="6"/>
      </w:r>
      <w:r w:rsidRPr="00723CBD">
        <w:rPr>
          <w:rFonts w:ascii="Times New Roman" w:eastAsia="Times New Roman" w:hAnsi="Times New Roman" w:cs="Times New Roman"/>
          <w:sz w:val="24"/>
          <w:szCs w:val="24"/>
        </w:rPr>
        <w:t xml:space="preserve"> that OSHA would consider covered by paragraph (p) of this rule. The total potential RCRA remediation sites covered by OSHA would be </w:t>
      </w:r>
      <w:r w:rsidRPr="00723CBD" w:rsidR="007C22DA">
        <w:rPr>
          <w:rFonts w:ascii="Times New Roman" w:eastAsia="Times New Roman" w:hAnsi="Times New Roman" w:cs="Times New Roman"/>
          <w:sz w:val="24"/>
          <w:szCs w:val="24"/>
        </w:rPr>
        <w:t>91,762</w:t>
      </w:r>
      <w:r w:rsidRPr="00723CBD" w:rsidR="007A7736">
        <w:rPr>
          <w:rFonts w:ascii="Times New Roman" w:eastAsia="Times New Roman" w:hAnsi="Times New Roman" w:cs="Times New Roman"/>
          <w:sz w:val="24"/>
          <w:szCs w:val="24"/>
        </w:rPr>
        <w:t xml:space="preserve">. </w:t>
      </w:r>
      <w:r w:rsidRPr="00723CBD">
        <w:rPr>
          <w:rFonts w:ascii="Times New Roman" w:eastAsia="Times New Roman" w:hAnsi="Times New Roman" w:cs="Times New Roman"/>
          <w:sz w:val="24"/>
          <w:szCs w:val="24"/>
        </w:rPr>
        <w:t xml:space="preserve">EPA estimates that it will take about 30 years to remediate these sites. </w:t>
      </w:r>
      <w:r w:rsidRPr="00723CBD">
        <w:rPr>
          <w:rFonts w:ascii="Times New Roman" w:eastAsia="Times New Roman" w:hAnsi="Times New Roman" w:cs="Times New Roman"/>
          <w:sz w:val="24"/>
          <w:szCs w:val="24"/>
        </w:rPr>
        <w:t xml:space="preserve">Using the same method described above, OSHA has determined that there will be approximately </w:t>
      </w:r>
      <w:r w:rsidRPr="00723CBD" w:rsidR="007C22DA">
        <w:rPr>
          <w:rFonts w:ascii="Times New Roman" w:eastAsia="Times New Roman" w:hAnsi="Times New Roman" w:cs="Times New Roman"/>
          <w:sz w:val="24"/>
          <w:szCs w:val="24"/>
        </w:rPr>
        <w:t>3,059</w:t>
      </w:r>
      <w:r w:rsidRPr="00723CBD">
        <w:rPr>
          <w:rFonts w:ascii="Times New Roman" w:eastAsia="Times New Roman" w:hAnsi="Times New Roman" w:cs="Times New Roman"/>
          <w:sz w:val="24"/>
          <w:szCs w:val="24"/>
        </w:rPr>
        <w:t xml:space="preserve"> RCRA sites under remediation each year (</w:t>
      </w:r>
      <w:r w:rsidRPr="00723CBD" w:rsidR="007C22DA">
        <w:rPr>
          <w:rFonts w:ascii="Times New Roman" w:eastAsia="Times New Roman" w:hAnsi="Times New Roman" w:cs="Times New Roman"/>
          <w:sz w:val="24"/>
          <w:szCs w:val="24"/>
        </w:rPr>
        <w:t>91,762</w:t>
      </w:r>
      <w:r w:rsidRPr="00723CBD">
        <w:rPr>
          <w:rFonts w:ascii="Times New Roman" w:eastAsia="Times New Roman" w:hAnsi="Times New Roman" w:cs="Times New Roman"/>
          <w:sz w:val="24"/>
          <w:szCs w:val="24"/>
        </w:rPr>
        <w:t>/30).</w:t>
      </w:r>
    </w:p>
    <w:p w:rsidR="007A7736" w:rsidRPr="00723CBD" w:rsidP="00BF576C" w14:paraId="4CB0C483" w14:textId="77777777">
      <w:pPr>
        <w:autoSpaceDE w:val="0"/>
        <w:autoSpaceDN w:val="0"/>
        <w:adjustRightInd w:val="0"/>
        <w:spacing w:after="0" w:line="240" w:lineRule="auto"/>
        <w:rPr>
          <w:rFonts w:ascii="Times New Roman" w:eastAsia="Times New Roman" w:hAnsi="Times New Roman" w:cs="Times New Roman"/>
          <w:b/>
          <w:sz w:val="24"/>
          <w:szCs w:val="24"/>
          <w:u w:val="single"/>
        </w:rPr>
      </w:pPr>
    </w:p>
    <w:p w:rsidR="00BF576C" w:rsidRPr="00723CBD" w:rsidP="00BF576C" w14:paraId="346FAF35" w14:textId="67C2CACA">
      <w:pPr>
        <w:autoSpaceDE w:val="0"/>
        <w:autoSpaceDN w:val="0"/>
        <w:adjustRightInd w:val="0"/>
        <w:spacing w:after="0" w:line="240" w:lineRule="auto"/>
        <w:rPr>
          <w:rFonts w:ascii="Times New Roman" w:eastAsia="Times New Roman" w:hAnsi="Times New Roman" w:cs="Times New Roman"/>
          <w:sz w:val="24"/>
          <w:szCs w:val="24"/>
        </w:rPr>
      </w:pPr>
      <w:r w:rsidRPr="0466994E">
        <w:rPr>
          <w:rFonts w:ascii="Times New Roman" w:eastAsia="Times New Roman" w:hAnsi="Times New Roman" w:cs="Times New Roman"/>
          <w:b/>
          <w:bCs/>
          <w:sz w:val="24"/>
          <w:szCs w:val="24"/>
          <w:u w:val="single"/>
        </w:rPr>
        <w:t>TYPE 3</w:t>
      </w:r>
      <w:r w:rsidRPr="00723CBD">
        <w:rPr>
          <w:rFonts w:ascii="Times New Roman" w:eastAsia="Times New Roman" w:hAnsi="Times New Roman" w:cs="Times New Roman"/>
          <w:sz w:val="24"/>
          <w:szCs w:val="24"/>
        </w:rPr>
        <w:t xml:space="preserve">: With respect to the requirements for emergency response, OSHA uses the figures </w:t>
      </w:r>
      <w:r w:rsidRPr="00723CBD" w:rsidR="00722F23">
        <w:rPr>
          <w:rFonts w:ascii="Times New Roman" w:eastAsia="Times New Roman" w:hAnsi="Times New Roman" w:cs="Times New Roman"/>
          <w:sz w:val="24"/>
          <w:szCs w:val="24"/>
        </w:rPr>
        <w:t>of 27,186</w:t>
      </w:r>
      <w:r w:rsidRPr="00723CBD" w:rsidR="00521A8F">
        <w:rPr>
          <w:rFonts w:ascii="Times New Roman" w:eastAsia="Times New Roman" w:hAnsi="Times New Roman" w:cs="Times New Roman"/>
          <w:sz w:val="24"/>
          <w:szCs w:val="24"/>
        </w:rPr>
        <w:t xml:space="preserve"> </w:t>
      </w:r>
      <w:r w:rsidRPr="00723CBD">
        <w:rPr>
          <w:rFonts w:ascii="Times New Roman" w:eastAsia="Times New Roman" w:hAnsi="Times New Roman" w:cs="Times New Roman"/>
          <w:sz w:val="24"/>
          <w:szCs w:val="24"/>
        </w:rPr>
        <w:t xml:space="preserve">emergency response units and </w:t>
      </w:r>
      <w:r w:rsidRPr="00723CBD" w:rsidR="000747BD">
        <w:rPr>
          <w:rFonts w:ascii="Times New Roman" w:hAnsi="Times New Roman" w:cs="Times New Roman"/>
          <w:sz w:val="24"/>
          <w:szCs w:val="24"/>
        </w:rPr>
        <w:t xml:space="preserve">1,728,640 </w:t>
      </w:r>
      <w:r w:rsidRPr="00723CBD">
        <w:rPr>
          <w:rFonts w:ascii="Times New Roman" w:eastAsia="Times New Roman" w:hAnsi="Times New Roman" w:cs="Times New Roman"/>
          <w:sz w:val="24"/>
          <w:szCs w:val="24"/>
        </w:rPr>
        <w:t>emergency response workers for this submission.</w:t>
      </w:r>
      <w:r>
        <w:rPr>
          <w:rFonts w:ascii="Times New Roman" w:eastAsia="Times New Roman" w:hAnsi="Times New Roman" w:cs="Times New Roman"/>
          <w:sz w:val="24"/>
          <w:szCs w:val="24"/>
          <w:vertAlign w:val="superscript"/>
        </w:rPr>
        <w:footnoteReference w:id="7"/>
      </w:r>
      <w:r w:rsidRPr="00723CBD">
        <w:rPr>
          <w:rFonts w:ascii="Times New Roman" w:eastAsia="Times New Roman" w:hAnsi="Times New Roman" w:cs="Times New Roman"/>
          <w:sz w:val="24"/>
          <w:szCs w:val="24"/>
        </w:rPr>
        <w:t xml:space="preserve"> It should be noted that at least half of these workers are employed by state and local governments of states that do not have a state plan in effect, or they are paid volunteers. These workers are not covered by the OSHA rules, and the burden associated with their numbers is being eliminated in this paperwork submission.</w:t>
      </w:r>
    </w:p>
    <w:p w:rsidR="00BF576C" w:rsidRPr="00723CBD" w:rsidP="00BF576C" w14:paraId="3BA14105"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34484292" w14:textId="77777777">
      <w:pPr>
        <w:autoSpaceDE w:val="0"/>
        <w:autoSpaceDN w:val="0"/>
        <w:adjustRightInd w:val="0"/>
        <w:spacing w:after="0" w:line="240" w:lineRule="auto"/>
        <w:rPr>
          <w:rFonts w:ascii="Times New Roman" w:eastAsia="Times New Roman" w:hAnsi="Times New Roman" w:cs="Times New Roman"/>
          <w:b/>
          <w:sz w:val="24"/>
          <w:szCs w:val="24"/>
          <w:u w:val="single"/>
        </w:rPr>
      </w:pPr>
      <w:r w:rsidRPr="00723CBD">
        <w:rPr>
          <w:rFonts w:ascii="Times New Roman" w:eastAsia="Times New Roman" w:hAnsi="Times New Roman" w:cs="Times New Roman"/>
          <w:b/>
          <w:sz w:val="24"/>
          <w:szCs w:val="24"/>
        </w:rPr>
        <w:t xml:space="preserve">(A) </w:t>
      </w:r>
      <w:r w:rsidRPr="00723CBD">
        <w:rPr>
          <w:rFonts w:ascii="Times New Roman" w:eastAsia="Times New Roman" w:hAnsi="Times New Roman" w:cs="Times New Roman"/>
          <w:b/>
          <w:sz w:val="24"/>
          <w:szCs w:val="24"/>
          <w:u w:val="single"/>
        </w:rPr>
        <w:t>TYPE 1 -- Clean Up Sites</w:t>
      </w:r>
    </w:p>
    <w:p w:rsidR="00BF576C" w:rsidRPr="00723CBD" w:rsidP="00BF576C" w14:paraId="532EA824"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3FF54365" w14:textId="77777777">
      <w:pPr>
        <w:autoSpaceDE w:val="0"/>
        <w:autoSpaceDN w:val="0"/>
        <w:adjustRightInd w:val="0"/>
        <w:spacing w:after="0" w:line="240" w:lineRule="auto"/>
        <w:rPr>
          <w:rFonts w:ascii="Times New Roman" w:eastAsia="Times New Roman" w:hAnsi="Times New Roman" w:cs="Times New Roman"/>
          <w:b/>
          <w:sz w:val="24"/>
          <w:szCs w:val="24"/>
        </w:rPr>
      </w:pPr>
      <w:r w:rsidRPr="00723CBD">
        <w:rPr>
          <w:rFonts w:ascii="Times New Roman" w:eastAsia="Times New Roman" w:hAnsi="Times New Roman" w:cs="Times New Roman"/>
          <w:b/>
          <w:bCs/>
          <w:sz w:val="24"/>
          <w:szCs w:val="24"/>
        </w:rPr>
        <w:t>1. Written Safety and Health Program</w:t>
      </w:r>
    </w:p>
    <w:p w:rsidR="00BF576C" w:rsidRPr="00723CBD" w:rsidP="00BF576C" w14:paraId="3F275D1F"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642C4986" w14:textId="77777777">
      <w:pPr>
        <w:autoSpaceDE w:val="0"/>
        <w:autoSpaceDN w:val="0"/>
        <w:adjustRightInd w:val="0"/>
        <w:spacing w:after="0" w:line="240" w:lineRule="auto"/>
        <w:rPr>
          <w:rFonts w:ascii="Times New Roman" w:eastAsia="Times New Roman" w:hAnsi="Times New Roman" w:cs="Times New Roman"/>
          <w:sz w:val="24"/>
          <w:szCs w:val="24"/>
        </w:rPr>
      </w:pPr>
      <w:r w:rsidRPr="3C7E2FAD">
        <w:rPr>
          <w:rFonts w:ascii="Times New Roman" w:eastAsia="Times New Roman" w:hAnsi="Times New Roman" w:cs="Times New Roman"/>
          <w:sz w:val="24"/>
          <w:szCs w:val="24"/>
        </w:rPr>
        <w:t xml:space="preserve">Paragraph </w:t>
      </w:r>
      <w:r w:rsidRPr="00D91F68">
        <w:rPr>
          <w:rFonts w:ascii="Times New Roman" w:eastAsia="Times New Roman" w:hAnsi="Times New Roman" w:cs="Times New Roman"/>
          <w:sz w:val="24"/>
          <w:szCs w:val="24"/>
        </w:rPr>
        <w:t>1910.120(b)(1)(i)</w:t>
      </w:r>
      <w:r w:rsidRPr="3C7E2FAD">
        <w:rPr>
          <w:rFonts w:ascii="Times New Roman" w:eastAsia="Times New Roman" w:hAnsi="Times New Roman" w:cs="Times New Roman"/>
          <w:sz w:val="24"/>
          <w:szCs w:val="24"/>
        </w:rPr>
        <w:t xml:space="preserve"> requires employers to develop and implement a written safety and health program for their workers involved in hazardous waste operations. The program shall be designed to identify, evaluate, and control safety and health hazards, and provide for emergency response to hazardous waste operations. The following elements of the program are specified in </w:t>
      </w:r>
      <w:r w:rsidRPr="00D91F68">
        <w:rPr>
          <w:rFonts w:ascii="Times New Roman" w:eastAsia="Times New Roman" w:hAnsi="Times New Roman" w:cs="Times New Roman"/>
          <w:sz w:val="24"/>
          <w:szCs w:val="24"/>
        </w:rPr>
        <w:t>1910.120(b)(1)(ii)</w:t>
      </w:r>
      <w:r w:rsidRPr="3C7E2FAD">
        <w:rPr>
          <w:rFonts w:ascii="Times New Roman" w:eastAsia="Times New Roman" w:hAnsi="Times New Roman" w:cs="Times New Roman"/>
          <w:sz w:val="24"/>
          <w:szCs w:val="24"/>
        </w:rPr>
        <w:t>: (A) an organizational structure (1910.120(b)(2)(i) and (ii)); (B) a comprehensive work plan (1910.120(b)(3)(iv), (v), and (vi)); (C) a site-</w:t>
      </w:r>
      <w:r w:rsidRPr="3C7E2FAD">
        <w:rPr>
          <w:rFonts w:ascii="Times New Roman" w:eastAsia="Times New Roman" w:hAnsi="Times New Roman" w:cs="Times New Roman"/>
          <w:sz w:val="24"/>
          <w:szCs w:val="24"/>
        </w:rPr>
        <w:t xml:space="preserve">specific safety and health plan that need not repeat the employer's standard operating procedures required in paragraph (b)(1)(ii)(F) of this section (1910.120(b)(4)(i) and (ii), (c)(1), (d)(2) and (d)(3), (g)(5), and (p)(1)); (D) the safety and health training program (1910.120(e)(1)); (E) the medical surveillance program (1910.120(f)(1), (f)(3), and (f)(4)); (F) the employer's standard operating procedures for </w:t>
      </w:r>
      <w:r w:rsidRPr="3C7E2FAD">
        <w:rPr>
          <w:rFonts w:ascii="Times New Roman" w:eastAsia="Times New Roman" w:hAnsi="Times New Roman" w:cs="Times New Roman"/>
          <w:sz w:val="24"/>
          <w:szCs w:val="24"/>
        </w:rPr>
        <w:t>safety and health; and (G) any necessary interface between general program and site specific act</w:t>
      </w:r>
      <w:r w:rsidRPr="3C7E2FAD">
        <w:rPr>
          <w:rFonts w:ascii="Times New Roman" w:eastAsia="Times New Roman" w:hAnsi="Times New Roman" w:cs="Times New Roman"/>
          <w:sz w:val="24"/>
          <w:szCs w:val="24"/>
        </w:rPr>
        <w:t>ivities.</w:t>
      </w:r>
    </w:p>
    <w:p w:rsidR="00BF576C" w:rsidRPr="00723CBD" w:rsidP="00BF576C" w14:paraId="120D7CAA"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2A743736" w14:textId="0DA000E5">
      <w:pPr>
        <w:autoSpaceDE w:val="0"/>
        <w:autoSpaceDN w:val="0"/>
        <w:adjustRightInd w:val="0"/>
        <w:spacing w:after="0" w:line="240" w:lineRule="auto"/>
        <w:rPr>
          <w:rFonts w:ascii="Times New Roman" w:eastAsia="Times New Roman" w:hAnsi="Times New Roman" w:cs="Times New Roman"/>
          <w:sz w:val="24"/>
          <w:szCs w:val="24"/>
        </w:rPr>
      </w:pPr>
      <w:r w:rsidRPr="0466994E">
        <w:rPr>
          <w:rFonts w:ascii="Times New Roman" w:eastAsia="Times New Roman" w:hAnsi="Times New Roman" w:cs="Times New Roman"/>
          <w:sz w:val="24"/>
          <w:szCs w:val="24"/>
        </w:rPr>
        <w:t>(A)</w:t>
      </w:r>
      <w:r>
        <w:tab/>
      </w:r>
      <w:r w:rsidRPr="0466994E">
        <w:rPr>
          <w:rFonts w:ascii="Times New Roman" w:eastAsia="Times New Roman" w:hAnsi="Times New Roman" w:cs="Times New Roman"/>
          <w:sz w:val="24"/>
          <w:szCs w:val="24"/>
        </w:rPr>
        <w:t>Estimated time to develop an organizational structure:</w:t>
      </w:r>
      <w:r>
        <w:tab/>
      </w:r>
      <w:r w:rsidRPr="0466994E">
        <w:rPr>
          <w:rFonts w:ascii="Times New Roman" w:eastAsia="Times New Roman" w:hAnsi="Times New Roman" w:cs="Times New Roman"/>
          <w:sz w:val="24"/>
          <w:szCs w:val="24"/>
        </w:rPr>
        <w:t xml:space="preserve">               </w:t>
      </w:r>
      <w:r w:rsidRPr="0466994E" w:rsidR="673D39A3">
        <w:rPr>
          <w:rFonts w:ascii="Times New Roman" w:eastAsia="Times New Roman" w:hAnsi="Times New Roman" w:cs="Times New Roman"/>
          <w:sz w:val="24"/>
          <w:szCs w:val="24"/>
        </w:rPr>
        <w:t xml:space="preserve">  </w:t>
      </w:r>
      <w:r w:rsidRPr="0466994E">
        <w:rPr>
          <w:rFonts w:ascii="Times New Roman" w:eastAsia="Times New Roman" w:hAnsi="Times New Roman" w:cs="Times New Roman"/>
          <w:sz w:val="24"/>
          <w:szCs w:val="24"/>
        </w:rPr>
        <w:t xml:space="preserve">   </w:t>
      </w:r>
      <w:r w:rsidR="004C7A00">
        <w:rPr>
          <w:rFonts w:ascii="Times New Roman" w:eastAsia="Times New Roman" w:hAnsi="Times New Roman" w:cs="Times New Roman"/>
          <w:sz w:val="24"/>
          <w:szCs w:val="24"/>
        </w:rPr>
        <w:t>0</w:t>
      </w:r>
      <w:r w:rsidRPr="0466994E">
        <w:rPr>
          <w:rFonts w:ascii="Times New Roman" w:eastAsia="Times New Roman" w:hAnsi="Times New Roman" w:cs="Times New Roman"/>
          <w:sz w:val="24"/>
          <w:szCs w:val="24"/>
        </w:rPr>
        <w:t>.5 hour per site</w:t>
      </w:r>
    </w:p>
    <w:p w:rsidR="00BF576C" w:rsidRPr="00723CBD" w:rsidP="00BF576C" w14:paraId="4776E7F6" w14:textId="4B878730">
      <w:pPr>
        <w:autoSpaceDE w:val="0"/>
        <w:autoSpaceDN w:val="0"/>
        <w:adjustRightInd w:val="0"/>
        <w:spacing w:after="0" w:line="240" w:lineRule="auto"/>
        <w:rPr>
          <w:rFonts w:ascii="Times New Roman" w:eastAsia="Times New Roman" w:hAnsi="Times New Roman" w:cs="Times New Roman"/>
          <w:sz w:val="24"/>
          <w:szCs w:val="24"/>
        </w:rPr>
      </w:pPr>
      <w:r w:rsidRPr="0466994E">
        <w:rPr>
          <w:rFonts w:ascii="Times New Roman" w:eastAsia="Times New Roman" w:hAnsi="Times New Roman" w:cs="Times New Roman"/>
          <w:sz w:val="24"/>
          <w:szCs w:val="24"/>
        </w:rPr>
        <w:t>(B)</w:t>
      </w:r>
      <w:r>
        <w:tab/>
      </w:r>
      <w:r w:rsidRPr="0466994E">
        <w:rPr>
          <w:rFonts w:ascii="Times New Roman" w:eastAsia="Times New Roman" w:hAnsi="Times New Roman" w:cs="Times New Roman"/>
          <w:sz w:val="24"/>
          <w:szCs w:val="24"/>
        </w:rPr>
        <w:t>Estimated time to develop a comprehensive work plan:</w:t>
      </w:r>
      <w:r>
        <w:tab/>
      </w:r>
      <w:r>
        <w:tab/>
      </w:r>
      <w:r w:rsidRPr="0466994E">
        <w:rPr>
          <w:rFonts w:ascii="Times New Roman" w:eastAsia="Times New Roman" w:hAnsi="Times New Roman" w:cs="Times New Roman"/>
          <w:sz w:val="24"/>
          <w:szCs w:val="24"/>
        </w:rPr>
        <w:t xml:space="preserve">   </w:t>
      </w:r>
      <w:r w:rsidRPr="0466994E" w:rsidR="0374D9EC">
        <w:rPr>
          <w:rFonts w:ascii="Times New Roman" w:eastAsia="Times New Roman" w:hAnsi="Times New Roman" w:cs="Times New Roman"/>
          <w:sz w:val="24"/>
          <w:szCs w:val="24"/>
        </w:rPr>
        <w:t xml:space="preserve"> </w:t>
      </w:r>
      <w:r w:rsidRPr="0466994E">
        <w:rPr>
          <w:rFonts w:ascii="Times New Roman" w:eastAsia="Times New Roman" w:hAnsi="Times New Roman" w:cs="Times New Roman"/>
          <w:sz w:val="24"/>
          <w:szCs w:val="24"/>
        </w:rPr>
        <w:t xml:space="preserve">    </w:t>
      </w:r>
      <w:r w:rsidR="00B24827">
        <w:rPr>
          <w:rFonts w:ascii="Times New Roman" w:eastAsia="Times New Roman" w:hAnsi="Times New Roman" w:cs="Times New Roman"/>
          <w:sz w:val="24"/>
          <w:szCs w:val="24"/>
        </w:rPr>
        <w:t>0</w:t>
      </w:r>
      <w:r w:rsidRPr="0466994E">
        <w:rPr>
          <w:rFonts w:ascii="Times New Roman" w:eastAsia="Times New Roman" w:hAnsi="Times New Roman" w:cs="Times New Roman"/>
          <w:sz w:val="24"/>
          <w:szCs w:val="24"/>
        </w:rPr>
        <w:t>.5 hour per site</w:t>
      </w:r>
    </w:p>
    <w:p w:rsidR="00BF576C" w:rsidRPr="00723CBD" w:rsidP="00BF576C" w14:paraId="37AD9DF0" w14:textId="36EA9740">
      <w:pPr>
        <w:autoSpaceDE w:val="0"/>
        <w:autoSpaceDN w:val="0"/>
        <w:adjustRightInd w:val="0"/>
        <w:spacing w:after="0" w:line="240" w:lineRule="auto"/>
        <w:rPr>
          <w:rFonts w:ascii="Times New Roman" w:eastAsia="Times New Roman" w:hAnsi="Times New Roman" w:cs="Times New Roman"/>
          <w:sz w:val="24"/>
          <w:szCs w:val="24"/>
        </w:rPr>
      </w:pPr>
      <w:r w:rsidRPr="0466994E">
        <w:rPr>
          <w:rFonts w:ascii="Times New Roman" w:eastAsia="Times New Roman" w:hAnsi="Times New Roman" w:cs="Times New Roman"/>
          <w:sz w:val="24"/>
          <w:szCs w:val="24"/>
        </w:rPr>
        <w:t>(C)</w:t>
      </w:r>
      <w:r>
        <w:tab/>
      </w:r>
      <w:r w:rsidRPr="0466994E">
        <w:rPr>
          <w:rFonts w:ascii="Times New Roman" w:eastAsia="Times New Roman" w:hAnsi="Times New Roman" w:cs="Times New Roman"/>
          <w:sz w:val="24"/>
          <w:szCs w:val="24"/>
        </w:rPr>
        <w:t xml:space="preserve">Estimated time to develop a site-specific safety and </w:t>
      </w:r>
      <w:r w:rsidRPr="0466994E">
        <w:rPr>
          <w:rFonts w:ascii="Times New Roman" w:eastAsia="Times New Roman" w:hAnsi="Times New Roman" w:cs="Times New Roman"/>
          <w:sz w:val="24"/>
          <w:szCs w:val="24"/>
        </w:rPr>
        <w:t>health plan:</w:t>
      </w:r>
      <w:r>
        <w:tab/>
      </w:r>
      <w:r w:rsidRPr="0466994E">
        <w:rPr>
          <w:rFonts w:ascii="Times New Roman" w:eastAsia="Times New Roman" w:hAnsi="Times New Roman" w:cs="Times New Roman"/>
          <w:sz w:val="24"/>
          <w:szCs w:val="24"/>
        </w:rPr>
        <w:t xml:space="preserve">        </w:t>
      </w:r>
      <w:r w:rsidRPr="0466994E" w:rsidR="00816E8A">
        <w:rPr>
          <w:rFonts w:ascii="Times New Roman" w:eastAsia="Times New Roman" w:hAnsi="Times New Roman" w:cs="Times New Roman"/>
          <w:sz w:val="24"/>
          <w:szCs w:val="24"/>
        </w:rPr>
        <w:t xml:space="preserve"> </w:t>
      </w:r>
      <w:r w:rsidRPr="0466994E">
        <w:rPr>
          <w:rFonts w:ascii="Times New Roman" w:eastAsia="Times New Roman" w:hAnsi="Times New Roman" w:cs="Times New Roman"/>
          <w:sz w:val="24"/>
          <w:szCs w:val="24"/>
        </w:rPr>
        <w:t>2 hours per site</w:t>
      </w:r>
    </w:p>
    <w:p w:rsidR="00BF576C" w:rsidRPr="00723CBD" w:rsidP="00BF576C" w14:paraId="1A90C44D" w14:textId="60B9535B">
      <w:pPr>
        <w:autoSpaceDE w:val="0"/>
        <w:autoSpaceDN w:val="0"/>
        <w:adjustRightInd w:val="0"/>
        <w:spacing w:after="0" w:line="240" w:lineRule="auto"/>
        <w:rPr>
          <w:rFonts w:ascii="Times New Roman" w:eastAsia="Times New Roman" w:hAnsi="Times New Roman" w:cs="Times New Roman"/>
          <w:sz w:val="24"/>
          <w:szCs w:val="24"/>
        </w:rPr>
      </w:pPr>
      <w:r w:rsidRPr="0466994E">
        <w:rPr>
          <w:rFonts w:ascii="Times New Roman" w:eastAsia="Times New Roman" w:hAnsi="Times New Roman" w:cs="Times New Roman"/>
          <w:sz w:val="24"/>
          <w:szCs w:val="24"/>
        </w:rPr>
        <w:t>(D)</w:t>
      </w:r>
      <w:r>
        <w:tab/>
      </w:r>
      <w:r w:rsidRPr="0466994E">
        <w:rPr>
          <w:rFonts w:ascii="Times New Roman" w:eastAsia="Times New Roman" w:hAnsi="Times New Roman" w:cs="Times New Roman"/>
          <w:sz w:val="24"/>
          <w:szCs w:val="24"/>
        </w:rPr>
        <w:t>Estimated time to develop a safety and health training program:</w:t>
      </w:r>
      <w:r>
        <w:tab/>
      </w:r>
      <w:r w:rsidRPr="0466994E">
        <w:rPr>
          <w:rFonts w:ascii="Times New Roman" w:eastAsia="Times New Roman" w:hAnsi="Times New Roman" w:cs="Times New Roman"/>
          <w:sz w:val="24"/>
          <w:szCs w:val="24"/>
        </w:rPr>
        <w:t xml:space="preserve">         8 hours per site (E)</w:t>
      </w:r>
      <w:r>
        <w:tab/>
      </w:r>
      <w:r w:rsidRPr="0466994E">
        <w:rPr>
          <w:rFonts w:ascii="Times New Roman" w:eastAsia="Times New Roman" w:hAnsi="Times New Roman" w:cs="Times New Roman"/>
          <w:sz w:val="24"/>
          <w:szCs w:val="24"/>
        </w:rPr>
        <w:t>Estimated time to develop a medical surveillance program:</w:t>
      </w:r>
      <w:r>
        <w:tab/>
      </w:r>
      <w:r>
        <w:tab/>
      </w:r>
      <w:r w:rsidRPr="0466994E">
        <w:rPr>
          <w:rFonts w:ascii="Times New Roman" w:eastAsia="Times New Roman" w:hAnsi="Times New Roman" w:cs="Times New Roman"/>
          <w:sz w:val="24"/>
          <w:szCs w:val="24"/>
        </w:rPr>
        <w:t xml:space="preserve">         4 hours per site </w:t>
      </w:r>
    </w:p>
    <w:p w:rsidR="00BF576C" w:rsidRPr="00723CBD" w:rsidP="00BF576C" w14:paraId="3EC775B8" w14:textId="40BFB37C">
      <w:pPr>
        <w:autoSpaceDE w:val="0"/>
        <w:autoSpaceDN w:val="0"/>
        <w:adjustRightInd w:val="0"/>
        <w:spacing w:after="0" w:line="240" w:lineRule="auto"/>
        <w:rPr>
          <w:rFonts w:ascii="Times New Roman" w:eastAsia="Times New Roman" w:hAnsi="Times New Roman" w:cs="Times New Roman"/>
          <w:sz w:val="24"/>
          <w:szCs w:val="24"/>
        </w:rPr>
      </w:pPr>
      <w:r w:rsidRPr="0466994E">
        <w:rPr>
          <w:rFonts w:ascii="Times New Roman" w:eastAsia="Times New Roman" w:hAnsi="Times New Roman" w:cs="Times New Roman"/>
          <w:sz w:val="24"/>
          <w:szCs w:val="24"/>
        </w:rPr>
        <w:t>(F)</w:t>
      </w:r>
      <w:r>
        <w:tab/>
      </w:r>
      <w:r w:rsidRPr="0466994E">
        <w:rPr>
          <w:rFonts w:ascii="Times New Roman" w:eastAsia="Times New Roman" w:hAnsi="Times New Roman" w:cs="Times New Roman"/>
          <w:sz w:val="24"/>
          <w:szCs w:val="24"/>
        </w:rPr>
        <w:t>Estimated time to develop SOP for safety and health:</w:t>
      </w:r>
      <w:r>
        <w:tab/>
      </w:r>
      <w:r>
        <w:tab/>
      </w:r>
      <w:r w:rsidRPr="0466994E">
        <w:rPr>
          <w:rFonts w:ascii="Times New Roman" w:eastAsia="Times New Roman" w:hAnsi="Times New Roman" w:cs="Times New Roman"/>
          <w:sz w:val="24"/>
          <w:szCs w:val="24"/>
        </w:rPr>
        <w:t xml:space="preserve">         4 hours per site</w:t>
      </w:r>
    </w:p>
    <w:p w:rsidR="00BF576C" w:rsidRPr="00723CBD" w:rsidP="00BF576C" w14:paraId="04FBF315" w14:textId="77777777">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sz w:val="24"/>
          <w:szCs w:val="24"/>
        </w:rPr>
        <w:t>(G)</w:t>
      </w:r>
      <w:r w:rsidRPr="00723CBD">
        <w:rPr>
          <w:rFonts w:ascii="Times New Roman" w:eastAsia="Times New Roman" w:hAnsi="Times New Roman" w:cs="Times New Roman"/>
          <w:sz w:val="24"/>
          <w:szCs w:val="24"/>
        </w:rPr>
        <w:tab/>
        <w:t xml:space="preserve">Estimated time for any necessary interface between general </w:t>
      </w:r>
    </w:p>
    <w:p w:rsidR="00BF576C" w:rsidRPr="00723CBD" w:rsidP="00BF576C" w14:paraId="50A91AEF" w14:textId="15556554">
      <w:pPr>
        <w:autoSpaceDE w:val="0"/>
        <w:autoSpaceDN w:val="0"/>
        <w:adjustRightInd w:val="0"/>
        <w:spacing w:after="0" w:line="240" w:lineRule="auto"/>
        <w:ind w:firstLine="720"/>
        <w:rPr>
          <w:rFonts w:ascii="Times New Roman" w:eastAsia="Times New Roman" w:hAnsi="Times New Roman" w:cs="Times New Roman"/>
          <w:sz w:val="24"/>
          <w:szCs w:val="24"/>
        </w:rPr>
      </w:pPr>
      <w:r w:rsidRPr="0466994E">
        <w:rPr>
          <w:rFonts w:ascii="Times New Roman" w:eastAsia="Times New Roman" w:hAnsi="Times New Roman" w:cs="Times New Roman"/>
          <w:sz w:val="24"/>
          <w:szCs w:val="24"/>
        </w:rPr>
        <w:t xml:space="preserve">program and </w:t>
      </w:r>
      <w:r w:rsidRPr="0466994E" w:rsidR="009C381B">
        <w:rPr>
          <w:rFonts w:ascii="Times New Roman" w:eastAsia="Times New Roman" w:hAnsi="Times New Roman" w:cs="Times New Roman"/>
          <w:sz w:val="24"/>
          <w:szCs w:val="24"/>
        </w:rPr>
        <w:t>site-specific</w:t>
      </w:r>
      <w:r w:rsidRPr="0466994E">
        <w:rPr>
          <w:rFonts w:ascii="Times New Roman" w:eastAsia="Times New Roman" w:hAnsi="Times New Roman" w:cs="Times New Roman"/>
          <w:sz w:val="24"/>
          <w:szCs w:val="24"/>
        </w:rPr>
        <w:t xml:space="preserve"> activities:</w:t>
      </w:r>
      <w:r>
        <w:tab/>
      </w:r>
      <w:r>
        <w:tab/>
      </w:r>
      <w:r>
        <w:tab/>
      </w:r>
      <w:r>
        <w:tab/>
      </w:r>
      <w:r>
        <w:tab/>
      </w:r>
      <w:r w:rsidRPr="0466994E">
        <w:rPr>
          <w:rFonts w:ascii="Times New Roman" w:eastAsia="Times New Roman" w:hAnsi="Times New Roman" w:cs="Times New Roman"/>
          <w:sz w:val="24"/>
          <w:szCs w:val="24"/>
        </w:rPr>
        <w:t xml:space="preserve">         </w:t>
      </w:r>
      <w:r w:rsidRPr="00D91F68">
        <w:rPr>
          <w:rFonts w:ascii="Times New Roman" w:eastAsia="Times New Roman" w:hAnsi="Times New Roman" w:cs="Times New Roman"/>
          <w:sz w:val="24"/>
          <w:szCs w:val="24"/>
        </w:rPr>
        <w:t>4 hours per site</w:t>
      </w:r>
    </w:p>
    <w:p w:rsidR="00BF576C" w:rsidRPr="00D91F68" w:rsidP="0466994E" w14:paraId="027B2668" w14:textId="2A200803">
      <w:pPr>
        <w:autoSpaceDE w:val="0"/>
        <w:autoSpaceDN w:val="0"/>
        <w:adjustRightInd w:val="0"/>
        <w:spacing w:after="0" w:line="240" w:lineRule="auto"/>
        <w:rPr>
          <w:rFonts w:ascii="Times New Roman" w:eastAsia="Times New Roman" w:hAnsi="Times New Roman" w:cs="Times New Roman"/>
          <w:b/>
          <w:bCs/>
          <w:sz w:val="24"/>
          <w:szCs w:val="24"/>
        </w:rPr>
      </w:pPr>
      <w:r w:rsidRPr="3C7E2FAD">
        <w:rPr>
          <w:rFonts w:ascii="Times New Roman" w:eastAsia="Times New Roman" w:hAnsi="Times New Roman" w:cs="Times New Roman"/>
          <w:sz w:val="24"/>
          <w:szCs w:val="24"/>
        </w:rPr>
        <w:t xml:space="preserve">         </w:t>
      </w:r>
      <w:r>
        <w:tab/>
      </w:r>
      <w:r>
        <w:tab/>
      </w:r>
      <w:r>
        <w:tab/>
      </w:r>
      <w:r>
        <w:tab/>
      </w:r>
      <w:r>
        <w:tab/>
      </w:r>
      <w:r>
        <w:tab/>
      </w:r>
      <w:r>
        <w:tab/>
      </w:r>
      <w:r w:rsidRPr="00D91F68">
        <w:rPr>
          <w:rFonts w:ascii="Times New Roman" w:eastAsia="Times New Roman" w:hAnsi="Times New Roman" w:cs="Times New Roman"/>
          <w:b/>
          <w:bCs/>
          <w:sz w:val="24"/>
          <w:szCs w:val="24"/>
        </w:rPr>
        <w:t>(TOTAL)</w:t>
      </w:r>
      <w:r>
        <w:tab/>
      </w:r>
      <w:r>
        <w:tab/>
      </w:r>
      <w:r w:rsidRPr="00D91F68">
        <w:rPr>
          <w:rFonts w:ascii="Times New Roman" w:eastAsia="Times New Roman" w:hAnsi="Times New Roman" w:cs="Times New Roman"/>
          <w:b/>
          <w:bCs/>
          <w:sz w:val="24"/>
          <w:szCs w:val="24"/>
        </w:rPr>
        <w:t xml:space="preserve">        </w:t>
      </w:r>
      <w:r w:rsidRPr="3C7E2FAD" w:rsidR="33B0E943">
        <w:rPr>
          <w:rFonts w:ascii="Times New Roman" w:eastAsia="Times New Roman" w:hAnsi="Times New Roman" w:cs="Times New Roman"/>
          <w:b/>
          <w:bCs/>
          <w:sz w:val="24"/>
          <w:szCs w:val="24"/>
        </w:rPr>
        <w:t xml:space="preserve"> </w:t>
      </w:r>
      <w:r w:rsidRPr="00D91F68">
        <w:rPr>
          <w:rFonts w:ascii="Times New Roman" w:eastAsia="Times New Roman" w:hAnsi="Times New Roman" w:cs="Times New Roman"/>
          <w:b/>
          <w:bCs/>
          <w:sz w:val="24"/>
          <w:szCs w:val="24"/>
        </w:rPr>
        <w:t>23 hours</w:t>
      </w:r>
    </w:p>
    <w:p w:rsidR="00BF576C" w:rsidRPr="00723CBD" w:rsidP="00BF576C" w14:paraId="497D269E" w14:textId="77777777">
      <w:pPr>
        <w:autoSpaceDE w:val="0"/>
        <w:autoSpaceDN w:val="0"/>
        <w:adjustRightInd w:val="0"/>
        <w:spacing w:after="0" w:line="240" w:lineRule="auto"/>
        <w:ind w:left="2160" w:hanging="1440"/>
        <w:rPr>
          <w:rFonts w:ascii="Times New Roman" w:eastAsia="Times New Roman" w:hAnsi="Times New Roman" w:cs="Times New Roman"/>
          <w:sz w:val="24"/>
          <w:szCs w:val="24"/>
        </w:rPr>
      </w:pPr>
    </w:p>
    <w:p w:rsidR="00BF576C" w:rsidRPr="00723CBD" w:rsidP="1210E917" w14:paraId="55D86C48" w14:textId="60D4D3E3">
      <w:pPr>
        <w:autoSpaceDE w:val="0"/>
        <w:autoSpaceDN w:val="0"/>
        <w:adjustRightInd w:val="0"/>
        <w:spacing w:after="0" w:line="240" w:lineRule="auto"/>
        <w:ind w:firstLine="720"/>
        <w:rPr>
          <w:rFonts w:ascii="Times New Roman" w:eastAsia="Times New Roman" w:hAnsi="Times New Roman" w:cs="Times New Roman"/>
          <w:sz w:val="24"/>
          <w:szCs w:val="24"/>
        </w:rPr>
      </w:pPr>
      <w:r w:rsidRPr="3C7E2FAD">
        <w:rPr>
          <w:rFonts w:ascii="Times New Roman" w:eastAsia="Times New Roman" w:hAnsi="Times New Roman" w:cs="Times New Roman"/>
          <w:sz w:val="24"/>
          <w:szCs w:val="24"/>
        </w:rPr>
        <w:t>Burden hours:</w:t>
      </w:r>
      <w:r>
        <w:tab/>
      </w:r>
      <w:r w:rsidRPr="3C7E2FAD" w:rsidR="00E4655F">
        <w:rPr>
          <w:rFonts w:ascii="Times New Roman" w:eastAsia="Times New Roman" w:hAnsi="Times New Roman" w:cs="Times New Roman"/>
          <w:sz w:val="24"/>
          <w:szCs w:val="24"/>
        </w:rPr>
        <w:t>553</w:t>
      </w:r>
      <w:r w:rsidRPr="3C7E2FAD">
        <w:rPr>
          <w:rFonts w:ascii="Times New Roman" w:eastAsia="Times New Roman" w:hAnsi="Times New Roman" w:cs="Times New Roman"/>
          <w:sz w:val="24"/>
          <w:szCs w:val="24"/>
        </w:rPr>
        <w:t xml:space="preserve"> sites × 10% of employers preparing program for first time </w:t>
      </w:r>
      <w:r>
        <w:br/>
      </w:r>
      <w:r>
        <w:tab/>
      </w:r>
      <w:r>
        <w:tab/>
      </w:r>
      <w:r>
        <w:tab/>
      </w:r>
      <w:r>
        <w:tab/>
      </w:r>
      <w:r w:rsidRPr="3C7E2FAD">
        <w:rPr>
          <w:rFonts w:ascii="Times New Roman" w:eastAsia="Times New Roman" w:hAnsi="Times New Roman" w:cs="Times New Roman"/>
          <w:sz w:val="24"/>
          <w:szCs w:val="24"/>
        </w:rPr>
        <w:t>× 23 hours</w:t>
      </w:r>
      <w:r w:rsidRPr="3C7E2FAD" w:rsidR="1B9BF5BB">
        <w:rPr>
          <w:rFonts w:ascii="Times New Roman" w:eastAsia="Times New Roman" w:hAnsi="Times New Roman" w:cs="Times New Roman"/>
          <w:sz w:val="24"/>
          <w:szCs w:val="24"/>
        </w:rPr>
        <w:t xml:space="preserve"> = 1,272 hours</w:t>
      </w:r>
      <w:r w:rsidRPr="3C7E2FAD" w:rsidR="64478505">
        <w:rPr>
          <w:rFonts w:ascii="Times New Roman" w:eastAsia="Times New Roman" w:hAnsi="Times New Roman" w:cs="Times New Roman"/>
          <w:sz w:val="24"/>
          <w:szCs w:val="24"/>
        </w:rPr>
        <w:t xml:space="preserve"> (rounded)</w:t>
      </w:r>
    </w:p>
    <w:p w:rsidR="00BF576C" w:rsidRPr="00723CBD" w:rsidP="00BF576C" w14:paraId="6ABEF1C0" w14:textId="6117FD23">
      <w:pPr>
        <w:autoSpaceDE w:val="0"/>
        <w:autoSpaceDN w:val="0"/>
        <w:adjustRightInd w:val="0"/>
        <w:spacing w:after="0" w:line="240" w:lineRule="auto"/>
        <w:rPr>
          <w:rFonts w:ascii="Times New Roman" w:eastAsia="Times New Roman" w:hAnsi="Times New Roman" w:cs="Times New Roman"/>
          <w:sz w:val="24"/>
          <w:szCs w:val="24"/>
        </w:rPr>
      </w:pPr>
      <w:r w:rsidRPr="3C7E2FAD">
        <w:rPr>
          <w:rFonts w:ascii="Times New Roman" w:eastAsia="Times New Roman" w:hAnsi="Times New Roman" w:cs="Times New Roman"/>
          <w:sz w:val="24"/>
          <w:szCs w:val="24"/>
        </w:rPr>
        <w:t xml:space="preserve"> </w:t>
      </w:r>
      <w:r>
        <w:tab/>
      </w:r>
      <w:r>
        <w:tab/>
      </w:r>
      <w:r w:rsidRPr="3C7E2FAD">
        <w:rPr>
          <w:rFonts w:ascii="Times New Roman" w:eastAsia="Times New Roman" w:hAnsi="Times New Roman" w:cs="Times New Roman"/>
          <w:sz w:val="24"/>
          <w:szCs w:val="24"/>
        </w:rPr>
        <w:t>Cost:</w:t>
      </w:r>
      <w:r>
        <w:tab/>
      </w:r>
      <w:r w:rsidRPr="3C7E2FAD" w:rsidR="00042589">
        <w:rPr>
          <w:rFonts w:ascii="Times New Roman" w:eastAsia="Times New Roman" w:hAnsi="Times New Roman" w:cs="Times New Roman"/>
          <w:sz w:val="24"/>
          <w:szCs w:val="24"/>
        </w:rPr>
        <w:t>1,272</w:t>
      </w:r>
      <w:r w:rsidRPr="3C7E2FAD">
        <w:rPr>
          <w:rFonts w:ascii="Times New Roman" w:eastAsia="Times New Roman" w:hAnsi="Times New Roman" w:cs="Times New Roman"/>
          <w:sz w:val="24"/>
          <w:szCs w:val="24"/>
        </w:rPr>
        <w:t xml:space="preserve"> hours x </w:t>
      </w:r>
      <w:r w:rsidRPr="3C7E2FAD" w:rsidR="073762FA">
        <w:rPr>
          <w:rFonts w:ascii="Times New Roman" w:eastAsia="Times New Roman" w:hAnsi="Times New Roman" w:cs="Times New Roman"/>
          <w:sz w:val="24"/>
          <w:szCs w:val="24"/>
        </w:rPr>
        <w:t>$</w:t>
      </w:r>
      <w:r w:rsidRPr="3C7E2FAD" w:rsidR="006F5F36">
        <w:rPr>
          <w:rFonts w:ascii="Times New Roman" w:eastAsia="Times New Roman" w:hAnsi="Times New Roman" w:cs="Times New Roman"/>
          <w:sz w:val="24"/>
          <w:szCs w:val="24"/>
        </w:rPr>
        <w:t>53.70</w:t>
      </w:r>
      <w:r w:rsidRPr="3C7E2FAD">
        <w:rPr>
          <w:rFonts w:ascii="Times New Roman" w:eastAsia="Times New Roman" w:hAnsi="Times New Roman" w:cs="Times New Roman"/>
          <w:sz w:val="24"/>
          <w:szCs w:val="24"/>
        </w:rPr>
        <w:t>= $</w:t>
      </w:r>
      <w:r w:rsidRPr="3C7E2FAD" w:rsidR="00EA595E">
        <w:rPr>
          <w:rFonts w:ascii="Times New Roman" w:eastAsia="Times New Roman" w:hAnsi="Times New Roman" w:cs="Times New Roman"/>
          <w:sz w:val="24"/>
          <w:szCs w:val="24"/>
        </w:rPr>
        <w:t>68,306</w:t>
      </w:r>
      <w:r w:rsidRPr="3C7E2FAD" w:rsidR="43B30D22">
        <w:rPr>
          <w:rFonts w:ascii="Times New Roman" w:eastAsia="Times New Roman" w:hAnsi="Times New Roman" w:cs="Times New Roman"/>
          <w:sz w:val="24"/>
          <w:szCs w:val="24"/>
        </w:rPr>
        <w:t>.40</w:t>
      </w:r>
    </w:p>
    <w:p w:rsidR="00BF576C" w:rsidRPr="00723CBD" w:rsidP="00BF576C" w14:paraId="3A4D4CA9" w14:textId="77777777">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sz w:val="24"/>
          <w:szCs w:val="24"/>
        </w:rPr>
        <w:t xml:space="preserve"> </w:t>
      </w:r>
    </w:p>
    <w:p w:rsidR="00BF576C" w:rsidRPr="00723CBD" w:rsidP="00BF576C" w14:paraId="4282B72D" w14:textId="0E76876E">
      <w:pPr>
        <w:autoSpaceDE w:val="0"/>
        <w:autoSpaceDN w:val="0"/>
        <w:adjustRightInd w:val="0"/>
        <w:spacing w:after="0" w:line="240" w:lineRule="auto"/>
        <w:rPr>
          <w:rFonts w:ascii="Times New Roman" w:eastAsia="Times New Roman" w:hAnsi="Times New Roman" w:cs="Times New Roman"/>
          <w:sz w:val="24"/>
          <w:szCs w:val="24"/>
        </w:rPr>
      </w:pPr>
      <w:r w:rsidRPr="3C7E2FAD">
        <w:rPr>
          <w:rFonts w:ascii="Times New Roman" w:eastAsia="Times New Roman" w:hAnsi="Times New Roman" w:cs="Times New Roman"/>
          <w:sz w:val="24"/>
          <w:szCs w:val="24"/>
        </w:rPr>
        <w:t>OSHA estimates that 10% of the</w:t>
      </w:r>
      <w:r w:rsidRPr="3C7E2FAD" w:rsidR="009C381B">
        <w:rPr>
          <w:rFonts w:ascii="Times New Roman" w:eastAsia="Times New Roman" w:hAnsi="Times New Roman" w:cs="Times New Roman"/>
          <w:sz w:val="24"/>
          <w:szCs w:val="24"/>
        </w:rPr>
        <w:t xml:space="preserve"> </w:t>
      </w:r>
      <w:r w:rsidRPr="3C7E2FAD" w:rsidR="00CB40BD">
        <w:rPr>
          <w:rFonts w:ascii="Times New Roman" w:eastAsia="Times New Roman" w:hAnsi="Times New Roman" w:cs="Times New Roman"/>
          <w:sz w:val="24"/>
          <w:szCs w:val="24"/>
        </w:rPr>
        <w:t>553</w:t>
      </w:r>
      <w:r w:rsidRPr="3C7E2FAD" w:rsidR="008B0438">
        <w:rPr>
          <w:rFonts w:ascii="Times New Roman" w:eastAsia="Times New Roman" w:hAnsi="Times New Roman" w:cs="Times New Roman"/>
          <w:sz w:val="24"/>
          <w:szCs w:val="24"/>
        </w:rPr>
        <w:t xml:space="preserve"> </w:t>
      </w:r>
      <w:r w:rsidRPr="3C7E2FAD">
        <w:rPr>
          <w:rFonts w:ascii="Times New Roman" w:eastAsia="Times New Roman" w:hAnsi="Times New Roman" w:cs="Times New Roman"/>
          <w:sz w:val="24"/>
          <w:szCs w:val="24"/>
        </w:rPr>
        <w:t>sites will spend 5.5 hours</w:t>
      </w:r>
      <w:r w:rsidRPr="3C7E2FAD" w:rsidR="4F485B38">
        <w:rPr>
          <w:rFonts w:ascii="Times New Roman" w:eastAsia="Times New Roman" w:hAnsi="Times New Roman" w:cs="Times New Roman"/>
          <w:sz w:val="24"/>
          <w:szCs w:val="24"/>
        </w:rPr>
        <w:t xml:space="preserve"> (330/60 hours)</w:t>
      </w:r>
      <w:r w:rsidRPr="3C7E2FAD">
        <w:rPr>
          <w:rFonts w:ascii="Times New Roman" w:eastAsia="Times New Roman" w:hAnsi="Times New Roman" w:cs="Times New Roman"/>
          <w:sz w:val="24"/>
          <w:szCs w:val="24"/>
        </w:rPr>
        <w:t xml:space="preserve"> to update the following components of their safety and health plans.</w:t>
      </w:r>
    </w:p>
    <w:p w:rsidR="00BF576C" w:rsidRPr="00723CBD" w:rsidP="00BF576C" w14:paraId="2BBA13A3"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1C902956" w14:textId="761A4D7A">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sz w:val="24"/>
          <w:szCs w:val="24"/>
        </w:rPr>
        <w:t>(B)</w:t>
      </w:r>
      <w:r>
        <w:tab/>
      </w:r>
      <w:r w:rsidRPr="00723CBD">
        <w:rPr>
          <w:rFonts w:ascii="Times New Roman" w:eastAsia="Times New Roman" w:hAnsi="Times New Roman" w:cs="Times New Roman"/>
          <w:sz w:val="24"/>
          <w:szCs w:val="24"/>
        </w:rPr>
        <w:t>Estimated time to develop a comprehensive work plan:</w:t>
      </w:r>
      <w:r>
        <w:tab/>
      </w:r>
      <w:r>
        <w:tab/>
      </w:r>
      <w:r w:rsidRPr="00723CBD">
        <w:rPr>
          <w:rFonts w:ascii="Times New Roman" w:eastAsia="Times New Roman" w:hAnsi="Times New Roman" w:cs="Times New Roman"/>
          <w:sz w:val="24"/>
          <w:szCs w:val="24"/>
        </w:rPr>
        <w:t xml:space="preserve">     </w:t>
      </w:r>
      <w:r w:rsidRPr="3D469EAE" w:rsidR="61643657">
        <w:rPr>
          <w:rFonts w:ascii="Times New Roman" w:eastAsia="Times New Roman" w:hAnsi="Times New Roman" w:cs="Times New Roman"/>
          <w:sz w:val="24"/>
          <w:szCs w:val="24"/>
        </w:rPr>
        <w:t>0</w:t>
      </w:r>
      <w:r w:rsidRPr="00723CBD">
        <w:rPr>
          <w:rFonts w:ascii="Times New Roman" w:eastAsia="Times New Roman" w:hAnsi="Times New Roman" w:cs="Times New Roman"/>
          <w:sz w:val="24"/>
          <w:szCs w:val="24"/>
        </w:rPr>
        <w:t>.5 hour per site</w:t>
      </w:r>
    </w:p>
    <w:p w:rsidR="00BF576C" w:rsidRPr="00723CBD" w:rsidP="00BF576C" w14:paraId="618E88E7" w14:textId="5CE37D70">
      <w:pPr>
        <w:autoSpaceDE w:val="0"/>
        <w:autoSpaceDN w:val="0"/>
        <w:adjustRightInd w:val="0"/>
        <w:spacing w:after="0" w:line="240" w:lineRule="auto"/>
        <w:rPr>
          <w:rFonts w:ascii="Times New Roman" w:eastAsia="Times New Roman" w:hAnsi="Times New Roman" w:cs="Times New Roman"/>
          <w:sz w:val="24"/>
          <w:szCs w:val="24"/>
        </w:rPr>
      </w:pPr>
      <w:r w:rsidRPr="3C7E2FAD">
        <w:rPr>
          <w:rFonts w:ascii="Times New Roman" w:eastAsia="Times New Roman" w:hAnsi="Times New Roman" w:cs="Times New Roman"/>
          <w:sz w:val="24"/>
          <w:szCs w:val="24"/>
        </w:rPr>
        <w:t>(C)</w:t>
      </w:r>
      <w:r>
        <w:tab/>
      </w:r>
      <w:r w:rsidRPr="3C7E2FAD">
        <w:rPr>
          <w:rFonts w:ascii="Times New Roman" w:eastAsia="Times New Roman" w:hAnsi="Times New Roman" w:cs="Times New Roman"/>
          <w:sz w:val="24"/>
          <w:szCs w:val="24"/>
        </w:rPr>
        <w:t>Estimated time to develop a site-specific safety and health plan:</w:t>
      </w:r>
      <w:r>
        <w:tab/>
      </w:r>
      <w:r w:rsidRPr="3C7E2FAD">
        <w:rPr>
          <w:rFonts w:ascii="Times New Roman" w:eastAsia="Times New Roman" w:hAnsi="Times New Roman" w:cs="Times New Roman"/>
          <w:sz w:val="24"/>
          <w:szCs w:val="24"/>
        </w:rPr>
        <w:t xml:space="preserve">   </w:t>
      </w:r>
      <w:r w:rsidRPr="3C7E2FAD" w:rsidR="5BCB85D0">
        <w:rPr>
          <w:rFonts w:ascii="Times New Roman" w:eastAsia="Times New Roman" w:hAnsi="Times New Roman" w:cs="Times New Roman"/>
          <w:sz w:val="24"/>
          <w:szCs w:val="24"/>
        </w:rPr>
        <w:t xml:space="preserve"> </w:t>
      </w:r>
      <w:r w:rsidRPr="3C7E2FAD">
        <w:rPr>
          <w:rFonts w:ascii="Times New Roman" w:eastAsia="Times New Roman" w:hAnsi="Times New Roman" w:cs="Times New Roman"/>
          <w:sz w:val="24"/>
          <w:szCs w:val="24"/>
        </w:rPr>
        <w:t xml:space="preserve"> 1 hour per site</w:t>
      </w:r>
    </w:p>
    <w:p w:rsidR="00BF576C" w:rsidRPr="00723CBD" w:rsidP="00BF576C" w14:paraId="3426FCC1" w14:textId="4035A0BB">
      <w:pPr>
        <w:autoSpaceDE w:val="0"/>
        <w:autoSpaceDN w:val="0"/>
        <w:adjustRightInd w:val="0"/>
        <w:spacing w:after="0" w:line="240" w:lineRule="auto"/>
        <w:rPr>
          <w:rFonts w:ascii="Times New Roman" w:eastAsia="Times New Roman" w:hAnsi="Times New Roman" w:cs="Times New Roman"/>
          <w:sz w:val="24"/>
          <w:szCs w:val="24"/>
          <w:u w:val="single"/>
        </w:rPr>
      </w:pPr>
      <w:r w:rsidRPr="3C7E2FAD">
        <w:rPr>
          <w:rFonts w:ascii="Times New Roman" w:eastAsia="Times New Roman" w:hAnsi="Times New Roman" w:cs="Times New Roman"/>
          <w:sz w:val="24"/>
          <w:szCs w:val="24"/>
        </w:rPr>
        <w:t>(G)</w:t>
      </w:r>
      <w:r>
        <w:tab/>
      </w:r>
      <w:r w:rsidRPr="3C7E2FAD">
        <w:rPr>
          <w:rFonts w:ascii="Times New Roman" w:eastAsia="Times New Roman" w:hAnsi="Times New Roman" w:cs="Times New Roman"/>
          <w:sz w:val="24"/>
          <w:szCs w:val="24"/>
        </w:rPr>
        <w:t xml:space="preserve">Estimated time for any necessary interface between  </w:t>
      </w:r>
      <w:r>
        <w:tab/>
      </w:r>
      <w:r>
        <w:tab/>
      </w:r>
      <w:r w:rsidR="5F67D60E">
        <w:t xml:space="preserve"> </w:t>
      </w:r>
      <w:r w:rsidRPr="3C7E2FAD">
        <w:rPr>
          <w:rFonts w:ascii="Times New Roman" w:eastAsia="Times New Roman" w:hAnsi="Times New Roman" w:cs="Times New Roman"/>
          <w:sz w:val="24"/>
          <w:szCs w:val="24"/>
        </w:rPr>
        <w:t xml:space="preserve">    </w:t>
      </w:r>
      <w:r w:rsidRPr="00D91F68">
        <w:rPr>
          <w:rFonts w:ascii="Times New Roman" w:eastAsia="Times New Roman" w:hAnsi="Times New Roman" w:cs="Times New Roman"/>
          <w:sz w:val="24"/>
          <w:szCs w:val="24"/>
        </w:rPr>
        <w:t>4 hours per site</w:t>
      </w:r>
    </w:p>
    <w:p w:rsidR="00BF576C" w:rsidRPr="00723CBD" w:rsidP="3C7E2FAD" w14:paraId="56BB5519" w14:textId="65F8CAB6">
      <w:pPr>
        <w:autoSpaceDE w:val="0"/>
        <w:autoSpaceDN w:val="0"/>
        <w:adjustRightInd w:val="0"/>
        <w:spacing w:after="0" w:line="240" w:lineRule="auto"/>
        <w:ind w:left="4320" w:hanging="3600"/>
        <w:rPr>
          <w:rFonts w:ascii="Times New Roman" w:eastAsia="Times New Roman" w:hAnsi="Times New Roman" w:cs="Times New Roman"/>
          <w:sz w:val="24"/>
          <w:szCs w:val="24"/>
        </w:rPr>
      </w:pPr>
      <w:r w:rsidRPr="3C7E2FAD">
        <w:rPr>
          <w:rFonts w:ascii="Times New Roman" w:eastAsia="Times New Roman" w:hAnsi="Times New Roman" w:cs="Times New Roman"/>
          <w:b/>
          <w:bCs/>
          <w:sz w:val="24"/>
          <w:szCs w:val="24"/>
        </w:rPr>
        <w:t xml:space="preserve"> </w:t>
      </w:r>
      <w:r>
        <w:tab/>
      </w:r>
      <w:r>
        <w:tab/>
      </w:r>
      <w:r>
        <w:tab/>
      </w:r>
      <w:r w:rsidRPr="3C7E2FAD">
        <w:rPr>
          <w:rFonts w:ascii="Times New Roman" w:eastAsia="Times New Roman" w:hAnsi="Times New Roman" w:cs="Times New Roman"/>
          <w:b/>
          <w:bCs/>
          <w:sz w:val="24"/>
          <w:szCs w:val="24"/>
        </w:rPr>
        <w:t>(TOTAL)</w:t>
      </w:r>
      <w:r>
        <w:tab/>
      </w:r>
      <w:r>
        <w:tab/>
      </w:r>
      <w:r w:rsidR="60A1F54E">
        <w:t xml:space="preserve">     </w:t>
      </w:r>
      <w:r w:rsidRPr="3C7E2FAD">
        <w:rPr>
          <w:rFonts w:ascii="Times New Roman" w:eastAsia="Times New Roman" w:hAnsi="Times New Roman" w:cs="Times New Roman"/>
          <w:b/>
          <w:bCs/>
          <w:sz w:val="24"/>
          <w:szCs w:val="24"/>
        </w:rPr>
        <w:t>5.5 hours per site</w:t>
      </w:r>
      <w:r w:rsidRPr="3C7E2FAD">
        <w:rPr>
          <w:rFonts w:ascii="Times New Roman" w:eastAsia="Times New Roman" w:hAnsi="Times New Roman" w:cs="Times New Roman"/>
          <w:sz w:val="24"/>
          <w:szCs w:val="24"/>
        </w:rPr>
        <w:t xml:space="preserve"> </w:t>
      </w:r>
    </w:p>
    <w:p w:rsidR="00BF576C" w:rsidRPr="00723CBD" w:rsidP="00BF576C" w14:paraId="6BBC89E1"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3C7E2FAD" w14:paraId="3B0268DC" w14:textId="3EF2694C">
      <w:pPr>
        <w:autoSpaceDE w:val="0"/>
        <w:autoSpaceDN w:val="0"/>
        <w:adjustRightInd w:val="0"/>
        <w:spacing w:after="0" w:line="240" w:lineRule="auto"/>
        <w:ind w:firstLine="720"/>
        <w:rPr>
          <w:rFonts w:ascii="Times New Roman" w:eastAsia="Times New Roman" w:hAnsi="Times New Roman" w:cs="Times New Roman"/>
          <w:sz w:val="24"/>
          <w:szCs w:val="24"/>
        </w:rPr>
      </w:pPr>
      <w:r w:rsidRPr="3C7E2FAD">
        <w:rPr>
          <w:rFonts w:ascii="Times New Roman" w:eastAsia="Times New Roman" w:hAnsi="Times New Roman" w:cs="Times New Roman"/>
          <w:sz w:val="24"/>
          <w:szCs w:val="24"/>
        </w:rPr>
        <w:t>Burden hours:</w:t>
      </w:r>
      <w:r>
        <w:tab/>
      </w:r>
      <w:r w:rsidRPr="3C7E2FAD" w:rsidR="00EA595E">
        <w:rPr>
          <w:rFonts w:ascii="Times New Roman" w:eastAsia="Times New Roman" w:hAnsi="Times New Roman" w:cs="Times New Roman"/>
          <w:sz w:val="24"/>
          <w:szCs w:val="24"/>
        </w:rPr>
        <w:t>553</w:t>
      </w:r>
      <w:r w:rsidRPr="3C7E2FAD">
        <w:rPr>
          <w:rFonts w:ascii="Times New Roman" w:eastAsia="Times New Roman" w:hAnsi="Times New Roman" w:cs="Times New Roman"/>
          <w:sz w:val="24"/>
          <w:szCs w:val="24"/>
        </w:rPr>
        <w:t xml:space="preserve"> sites × 10% modifying/updating × </w:t>
      </w:r>
      <w:r w:rsidRPr="3C7E2FAD" w:rsidR="2251D32B">
        <w:rPr>
          <w:rFonts w:ascii="Times New Roman" w:eastAsia="Times New Roman" w:hAnsi="Times New Roman" w:cs="Times New Roman"/>
          <w:sz w:val="24"/>
          <w:szCs w:val="24"/>
        </w:rPr>
        <w:t>330/60</w:t>
      </w:r>
      <w:r w:rsidRPr="3C7E2FAD" w:rsidR="00DF0975">
        <w:rPr>
          <w:rFonts w:ascii="Times New Roman" w:eastAsia="Times New Roman" w:hAnsi="Times New Roman" w:cs="Times New Roman"/>
          <w:sz w:val="24"/>
          <w:szCs w:val="24"/>
        </w:rPr>
        <w:t xml:space="preserve"> </w:t>
      </w:r>
      <w:r w:rsidRPr="3C7E2FAD">
        <w:rPr>
          <w:rFonts w:ascii="Times New Roman" w:eastAsia="Times New Roman" w:hAnsi="Times New Roman" w:cs="Times New Roman"/>
          <w:sz w:val="24"/>
          <w:szCs w:val="24"/>
        </w:rPr>
        <w:t xml:space="preserve">hours </w:t>
      </w:r>
      <w:r>
        <w:br/>
      </w:r>
      <w:r>
        <w:tab/>
      </w:r>
      <w:r>
        <w:tab/>
      </w:r>
      <w:r>
        <w:tab/>
      </w:r>
      <w:r>
        <w:tab/>
      </w:r>
      <w:r w:rsidRPr="3C7E2FAD">
        <w:rPr>
          <w:rFonts w:ascii="Times New Roman" w:eastAsia="Times New Roman" w:hAnsi="Times New Roman" w:cs="Times New Roman"/>
          <w:sz w:val="24"/>
          <w:szCs w:val="24"/>
        </w:rPr>
        <w:t xml:space="preserve">= </w:t>
      </w:r>
      <w:r w:rsidRPr="3C7E2FAD" w:rsidR="007C0C88">
        <w:rPr>
          <w:rFonts w:ascii="Times New Roman" w:eastAsia="Times New Roman" w:hAnsi="Times New Roman" w:cs="Times New Roman"/>
          <w:sz w:val="24"/>
          <w:szCs w:val="24"/>
        </w:rPr>
        <w:t>304</w:t>
      </w:r>
      <w:r w:rsidRPr="3C7E2FAD" w:rsidR="000B7201">
        <w:rPr>
          <w:rFonts w:ascii="Times New Roman" w:eastAsia="Times New Roman" w:hAnsi="Times New Roman" w:cs="Times New Roman"/>
          <w:sz w:val="24"/>
          <w:szCs w:val="24"/>
        </w:rPr>
        <w:t xml:space="preserve"> </w:t>
      </w:r>
      <w:r w:rsidRPr="3C7E2FAD">
        <w:rPr>
          <w:rFonts w:ascii="Times New Roman" w:eastAsia="Times New Roman" w:hAnsi="Times New Roman" w:cs="Times New Roman"/>
          <w:sz w:val="24"/>
          <w:szCs w:val="24"/>
        </w:rPr>
        <w:t>hours</w:t>
      </w:r>
      <w:r w:rsidRPr="3C7E2FAD" w:rsidR="46D45F5D">
        <w:rPr>
          <w:rFonts w:ascii="Times New Roman" w:eastAsia="Times New Roman" w:hAnsi="Times New Roman" w:cs="Times New Roman"/>
          <w:sz w:val="24"/>
          <w:szCs w:val="24"/>
        </w:rPr>
        <w:t xml:space="preserve"> (rounded)</w:t>
      </w:r>
    </w:p>
    <w:p w:rsidR="00BF576C" w:rsidRPr="00723CBD" w:rsidP="00BF576C" w14:paraId="667D9DF4" w14:textId="45569F9B">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sz w:val="24"/>
          <w:szCs w:val="24"/>
        </w:rPr>
        <w:tab/>
        <w:t xml:space="preserve">       </w:t>
      </w:r>
      <w:r w:rsidRPr="00723CBD">
        <w:rPr>
          <w:rFonts w:ascii="Times New Roman" w:eastAsia="Times New Roman" w:hAnsi="Times New Roman" w:cs="Times New Roman"/>
          <w:sz w:val="24"/>
          <w:szCs w:val="24"/>
        </w:rPr>
        <w:tab/>
        <w:t xml:space="preserve">  Cost:</w:t>
      </w:r>
      <w:r w:rsidRPr="00723CBD">
        <w:rPr>
          <w:rFonts w:ascii="Times New Roman" w:eastAsia="Times New Roman" w:hAnsi="Times New Roman" w:cs="Times New Roman"/>
          <w:sz w:val="24"/>
          <w:szCs w:val="24"/>
        </w:rPr>
        <w:tab/>
        <w:t>304</w:t>
      </w:r>
      <w:r w:rsidRPr="00723CBD" w:rsidR="001168FD">
        <w:rPr>
          <w:rFonts w:ascii="Times New Roman" w:eastAsia="Times New Roman" w:hAnsi="Times New Roman" w:cs="Times New Roman"/>
          <w:sz w:val="24"/>
          <w:szCs w:val="24"/>
        </w:rPr>
        <w:t xml:space="preserve"> </w:t>
      </w:r>
      <w:r w:rsidRPr="00723CBD">
        <w:rPr>
          <w:rFonts w:ascii="Times New Roman" w:eastAsia="Times New Roman" w:hAnsi="Times New Roman" w:cs="Times New Roman"/>
          <w:sz w:val="24"/>
          <w:szCs w:val="24"/>
        </w:rPr>
        <w:t>hours x $</w:t>
      </w:r>
      <w:r w:rsidRPr="00723CBD" w:rsidR="006F5F36">
        <w:rPr>
          <w:rFonts w:ascii="Times New Roman" w:eastAsia="Times New Roman" w:hAnsi="Times New Roman" w:cs="Times New Roman"/>
          <w:sz w:val="24"/>
          <w:szCs w:val="24"/>
        </w:rPr>
        <w:t>53.70</w:t>
      </w:r>
      <w:r w:rsidRPr="00723CBD">
        <w:rPr>
          <w:rFonts w:ascii="Times New Roman" w:eastAsia="Times New Roman" w:hAnsi="Times New Roman" w:cs="Times New Roman"/>
          <w:sz w:val="24"/>
          <w:szCs w:val="24"/>
        </w:rPr>
        <w:t xml:space="preserve">= </w:t>
      </w:r>
      <w:r w:rsidRPr="00723CBD" w:rsidR="00866D02">
        <w:rPr>
          <w:rFonts w:ascii="Times New Roman" w:eastAsia="Times New Roman" w:hAnsi="Times New Roman" w:cs="Times New Roman"/>
          <w:sz w:val="24"/>
          <w:szCs w:val="24"/>
        </w:rPr>
        <w:t>$</w:t>
      </w:r>
      <w:r w:rsidRPr="00723CBD" w:rsidR="001D077E">
        <w:rPr>
          <w:rFonts w:ascii="Times New Roman" w:eastAsia="Times New Roman" w:hAnsi="Times New Roman" w:cs="Times New Roman"/>
          <w:sz w:val="24"/>
          <w:szCs w:val="24"/>
        </w:rPr>
        <w:t>16,</w:t>
      </w:r>
      <w:r w:rsidRPr="00723CBD" w:rsidR="00504733">
        <w:rPr>
          <w:rFonts w:ascii="Times New Roman" w:eastAsia="Times New Roman" w:hAnsi="Times New Roman" w:cs="Times New Roman"/>
          <w:sz w:val="24"/>
          <w:szCs w:val="24"/>
        </w:rPr>
        <w:t>32</w:t>
      </w:r>
      <w:r w:rsidRPr="00723CBD" w:rsidR="783832B6">
        <w:rPr>
          <w:rFonts w:ascii="Times New Roman" w:eastAsia="Times New Roman" w:hAnsi="Times New Roman" w:cs="Times New Roman"/>
          <w:sz w:val="24"/>
          <w:szCs w:val="24"/>
        </w:rPr>
        <w:t>4.80</w:t>
      </w:r>
    </w:p>
    <w:p w:rsidR="00BF576C" w:rsidRPr="00723CBD" w:rsidP="00BF576C" w14:paraId="2FDB67DC" w14:textId="1332FFBB">
      <w:pPr>
        <w:autoSpaceDE w:val="0"/>
        <w:autoSpaceDN w:val="0"/>
        <w:adjustRightInd w:val="0"/>
        <w:spacing w:after="0" w:line="240" w:lineRule="auto"/>
        <w:rPr>
          <w:rFonts w:ascii="Times New Roman" w:eastAsia="Times New Roman" w:hAnsi="Times New Roman" w:cs="Times New Roman"/>
          <w:sz w:val="24"/>
          <w:szCs w:val="24"/>
        </w:rPr>
      </w:pPr>
    </w:p>
    <w:p w:rsidR="5CC2A572" w:rsidP="00D91F68" w14:paraId="79CDB8C7" w14:textId="371A5AE4">
      <w:pPr>
        <w:spacing w:after="0" w:line="240" w:lineRule="auto"/>
        <w:ind w:left="720"/>
        <w:rPr>
          <w:rFonts w:ascii="Times New Roman" w:eastAsia="Times New Roman" w:hAnsi="Times New Roman" w:cs="Times New Roman"/>
          <w:b/>
          <w:bCs/>
          <w:sz w:val="24"/>
          <w:szCs w:val="24"/>
        </w:rPr>
      </w:pPr>
      <w:r w:rsidRPr="00D91F68">
        <w:rPr>
          <w:rFonts w:ascii="Times New Roman" w:eastAsia="Times New Roman" w:hAnsi="Times New Roman" w:cs="Times New Roman"/>
          <w:b/>
          <w:bCs/>
          <w:sz w:val="24"/>
          <w:szCs w:val="24"/>
        </w:rPr>
        <w:t xml:space="preserve">Subtotal </w:t>
      </w:r>
      <w:r w:rsidRPr="3C7E2FAD" w:rsidR="7F288A79">
        <w:rPr>
          <w:rFonts w:ascii="Times New Roman" w:eastAsia="Times New Roman" w:hAnsi="Times New Roman" w:cs="Times New Roman"/>
          <w:b/>
          <w:bCs/>
          <w:sz w:val="24"/>
          <w:szCs w:val="24"/>
        </w:rPr>
        <w:t>B</w:t>
      </w:r>
      <w:r w:rsidRPr="00D91F68">
        <w:rPr>
          <w:rFonts w:ascii="Times New Roman" w:eastAsia="Times New Roman" w:hAnsi="Times New Roman" w:cs="Times New Roman"/>
          <w:b/>
          <w:bCs/>
          <w:sz w:val="24"/>
          <w:szCs w:val="24"/>
        </w:rPr>
        <w:t>urden hours: 1,272 + 304 = 1,576 hours</w:t>
      </w:r>
    </w:p>
    <w:p w:rsidR="00BF576C" w:rsidRPr="00723CBD" w:rsidP="00BF576C" w14:paraId="0F2C1FD8" w14:textId="1D662306">
      <w:pPr>
        <w:autoSpaceDE w:val="0"/>
        <w:autoSpaceDN w:val="0"/>
        <w:adjustRightInd w:val="0"/>
        <w:spacing w:after="0" w:line="240" w:lineRule="auto"/>
        <w:rPr>
          <w:rFonts w:ascii="Times New Roman" w:eastAsia="Times New Roman" w:hAnsi="Times New Roman" w:cs="Times New Roman"/>
          <w:sz w:val="24"/>
          <w:szCs w:val="24"/>
        </w:rPr>
      </w:pPr>
      <w:r w:rsidRPr="1210E917">
        <w:rPr>
          <w:rFonts w:ascii="Times New Roman" w:eastAsia="Times New Roman" w:hAnsi="Times New Roman" w:cs="Times New Roman"/>
          <w:b/>
          <w:bCs/>
          <w:sz w:val="24"/>
          <w:szCs w:val="24"/>
        </w:rPr>
        <w:t xml:space="preserve">  </w:t>
      </w:r>
      <w:r>
        <w:tab/>
      </w:r>
      <w:r>
        <w:tab/>
      </w:r>
      <w:r w:rsidRPr="3C7E2FAD">
        <w:rPr>
          <w:rFonts w:ascii="Times New Roman" w:eastAsia="Times New Roman" w:hAnsi="Times New Roman" w:cs="Times New Roman"/>
          <w:b/>
          <w:bCs/>
          <w:sz w:val="24"/>
          <w:szCs w:val="24"/>
        </w:rPr>
        <w:t xml:space="preserve">   </w:t>
      </w:r>
      <w:r w:rsidRPr="00D91F68" w:rsidR="5CC2A572">
        <w:rPr>
          <w:rFonts w:ascii="Times New Roman" w:eastAsia="Times New Roman" w:hAnsi="Times New Roman" w:cs="Times New Roman"/>
          <w:b/>
          <w:bCs/>
          <w:sz w:val="24"/>
          <w:szCs w:val="24"/>
        </w:rPr>
        <w:t xml:space="preserve"> Subtotal Cost:  $68,306.40 + $16,324.80 = $84,631.20</w:t>
      </w:r>
    </w:p>
    <w:p w:rsidR="1210E917" w:rsidP="1210E917" w14:paraId="2BC43928" w14:textId="61320F90">
      <w:pPr>
        <w:spacing w:after="0" w:line="240" w:lineRule="auto"/>
        <w:rPr>
          <w:rFonts w:ascii="Times New Roman" w:eastAsia="Times New Roman" w:hAnsi="Times New Roman" w:cs="Times New Roman"/>
          <w:b/>
          <w:bCs/>
          <w:sz w:val="24"/>
          <w:szCs w:val="24"/>
        </w:rPr>
      </w:pPr>
    </w:p>
    <w:p w:rsidR="00BF576C" w:rsidRPr="00723CBD" w:rsidP="00BF576C" w14:paraId="2ACE486F" w14:textId="77777777">
      <w:pPr>
        <w:autoSpaceDE w:val="0"/>
        <w:autoSpaceDN w:val="0"/>
        <w:adjustRightInd w:val="0"/>
        <w:spacing w:after="0" w:line="240" w:lineRule="auto"/>
        <w:rPr>
          <w:rFonts w:ascii="Times New Roman" w:eastAsia="Times New Roman" w:hAnsi="Times New Roman" w:cs="Times New Roman"/>
          <w:b/>
          <w:sz w:val="24"/>
          <w:szCs w:val="24"/>
        </w:rPr>
      </w:pPr>
      <w:r w:rsidRPr="00723CBD">
        <w:rPr>
          <w:rFonts w:ascii="Times New Roman" w:eastAsia="Times New Roman" w:hAnsi="Times New Roman" w:cs="Times New Roman"/>
          <w:b/>
          <w:bCs/>
          <w:sz w:val="24"/>
          <w:szCs w:val="24"/>
        </w:rPr>
        <w:t>2. Informing contractors and subcontractors of emergency response procedures</w:t>
      </w:r>
    </w:p>
    <w:p w:rsidR="00BF576C" w:rsidRPr="00723CBD" w:rsidP="00BF576C" w14:paraId="46BD8F2F"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712AD523" w14:textId="77777777">
      <w:pPr>
        <w:autoSpaceDE w:val="0"/>
        <w:autoSpaceDN w:val="0"/>
        <w:adjustRightInd w:val="0"/>
        <w:spacing w:after="0" w:line="240" w:lineRule="auto"/>
        <w:rPr>
          <w:rFonts w:ascii="Times New Roman" w:eastAsia="Times New Roman" w:hAnsi="Times New Roman" w:cs="Times New Roman"/>
          <w:sz w:val="24"/>
          <w:szCs w:val="24"/>
        </w:rPr>
      </w:pPr>
      <w:r w:rsidRPr="00D91F68">
        <w:rPr>
          <w:rFonts w:ascii="Times New Roman" w:eastAsia="Times New Roman" w:hAnsi="Times New Roman" w:cs="Times New Roman"/>
          <w:sz w:val="24"/>
          <w:szCs w:val="24"/>
        </w:rPr>
        <w:t xml:space="preserve">Paragraph </w:t>
      </w:r>
      <w:r w:rsidRPr="00D91F68">
        <w:rPr>
          <w:rFonts w:ascii="Times New Roman" w:eastAsia="Times New Roman" w:hAnsi="Times New Roman" w:cs="Times New Roman"/>
          <w:sz w:val="24"/>
          <w:szCs w:val="24"/>
        </w:rPr>
        <w:t>1910.120(b)(1)(iv)</w:t>
      </w:r>
      <w:r w:rsidRPr="3C7E2FAD">
        <w:rPr>
          <w:rFonts w:ascii="Times New Roman" w:eastAsia="Times New Roman" w:hAnsi="Times New Roman" w:cs="Times New Roman"/>
          <w:sz w:val="24"/>
          <w:szCs w:val="24"/>
        </w:rPr>
        <w:t xml:space="preserve"> requires employers who retain contractor or subcontractor services for work in hazardous waste operations to inform those contractors, subcontractors, or their </w:t>
      </w:r>
      <w:r w:rsidRPr="3C7E2FAD">
        <w:rPr>
          <w:rFonts w:ascii="Times New Roman" w:eastAsia="Times New Roman" w:hAnsi="Times New Roman" w:cs="Times New Roman"/>
          <w:sz w:val="24"/>
          <w:szCs w:val="24"/>
        </w:rPr>
        <w:t>representatives of the site emergency response procedures and any potential fire, explosion, health, safety or other hazards of the hazardous waste operation identified by the employer, including those identified in the employer's information program.</w:t>
      </w:r>
    </w:p>
    <w:p w:rsidR="00BF576C" w:rsidRPr="00723CBD" w:rsidP="00BF576C" w14:paraId="133FA278"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0B4887B9" w14:textId="77777777">
      <w:pPr>
        <w:autoSpaceDE w:val="0"/>
        <w:autoSpaceDN w:val="0"/>
        <w:adjustRightInd w:val="0"/>
        <w:spacing w:after="0" w:line="240" w:lineRule="auto"/>
        <w:rPr>
          <w:rFonts w:ascii="Times New Roman" w:eastAsia="Times New Roman" w:hAnsi="Times New Roman" w:cs="Times New Roman"/>
          <w:sz w:val="24"/>
          <w:szCs w:val="24"/>
        </w:rPr>
      </w:pPr>
      <w:r w:rsidRPr="00D91F68">
        <w:rPr>
          <w:rFonts w:ascii="Times New Roman" w:eastAsia="Times New Roman" w:hAnsi="Times New Roman" w:cs="Times New Roman"/>
          <w:sz w:val="24"/>
          <w:szCs w:val="24"/>
        </w:rPr>
        <w:t>Paragraph 1910.120(b)(1)(v)</w:t>
      </w:r>
      <w:r w:rsidRPr="3C7E2FAD">
        <w:rPr>
          <w:rFonts w:ascii="Times New Roman" w:eastAsia="Times New Roman" w:hAnsi="Times New Roman" w:cs="Times New Roman"/>
          <w:sz w:val="24"/>
          <w:szCs w:val="24"/>
        </w:rPr>
        <w:t xml:space="preserve"> requires the employer to make available the written safety and health program (required by #1 above) to any contractor or subcontractor or their representative who will be involved with the hazardous waste operation; to employees; to employee designated representatives; to OSHA personnel; and to personnel of other Federal, state, or local agencies with regulatory authority over the site.</w:t>
      </w:r>
    </w:p>
    <w:p w:rsidR="00BF576C" w:rsidRPr="00723CBD" w:rsidP="00BF576C" w14:paraId="788B8B89"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1C7503FA" w14:textId="7EAE48CD">
      <w:pPr>
        <w:tabs>
          <w:tab w:val="left" w:pos="2160"/>
        </w:tabs>
        <w:autoSpaceDE w:val="0"/>
        <w:autoSpaceDN w:val="0"/>
        <w:adjustRightInd w:val="0"/>
        <w:spacing w:after="0" w:line="240" w:lineRule="auto"/>
        <w:ind w:firstLine="720"/>
        <w:rPr>
          <w:rFonts w:ascii="Times New Roman" w:eastAsia="Times New Roman" w:hAnsi="Times New Roman" w:cs="Times New Roman"/>
          <w:sz w:val="24"/>
          <w:szCs w:val="24"/>
        </w:rPr>
      </w:pPr>
      <w:r w:rsidRPr="3C7E2FAD">
        <w:rPr>
          <w:rFonts w:ascii="Times New Roman" w:eastAsia="Times New Roman" w:hAnsi="Times New Roman" w:cs="Times New Roman"/>
          <w:sz w:val="24"/>
          <w:szCs w:val="24"/>
        </w:rPr>
        <w:t>Burden hours:</w:t>
      </w:r>
      <w:r>
        <w:tab/>
      </w:r>
      <w:r w:rsidRPr="3C7E2FAD">
        <w:rPr>
          <w:rFonts w:ascii="Times New Roman" w:eastAsia="Times New Roman" w:hAnsi="Times New Roman" w:cs="Times New Roman"/>
          <w:sz w:val="24"/>
          <w:szCs w:val="24"/>
        </w:rPr>
        <w:t>5</w:t>
      </w:r>
      <w:r w:rsidRPr="3C7E2FAD" w:rsidR="007C22DA">
        <w:rPr>
          <w:rFonts w:ascii="Times New Roman" w:eastAsia="Times New Roman" w:hAnsi="Times New Roman" w:cs="Times New Roman"/>
          <w:sz w:val="24"/>
          <w:szCs w:val="24"/>
        </w:rPr>
        <w:t>5</w:t>
      </w:r>
      <w:r w:rsidRPr="3C7E2FAD" w:rsidR="78A10211">
        <w:rPr>
          <w:rFonts w:ascii="Times New Roman" w:eastAsia="Times New Roman" w:hAnsi="Times New Roman" w:cs="Times New Roman"/>
          <w:sz w:val="24"/>
          <w:szCs w:val="24"/>
        </w:rPr>
        <w:t>3</w:t>
      </w:r>
      <w:r w:rsidRPr="3C7E2FAD">
        <w:rPr>
          <w:rFonts w:ascii="Times New Roman" w:eastAsia="Times New Roman" w:hAnsi="Times New Roman" w:cs="Times New Roman"/>
          <w:sz w:val="24"/>
          <w:szCs w:val="24"/>
        </w:rPr>
        <w:t xml:space="preserve"> sites × 1 hour to inform of the site emergency response procedures</w:t>
      </w:r>
    </w:p>
    <w:p w:rsidR="00BF576C" w:rsidRPr="00723CBD" w:rsidP="00BF576C" w14:paraId="69A62F9F" w14:textId="671FE18D">
      <w:pPr>
        <w:tabs>
          <w:tab w:val="left" w:pos="2160"/>
        </w:tabs>
        <w:autoSpaceDE w:val="0"/>
        <w:autoSpaceDN w:val="0"/>
        <w:adjustRightInd w:val="0"/>
        <w:spacing w:after="0" w:line="240" w:lineRule="auto"/>
        <w:ind w:firstLine="720"/>
        <w:rPr>
          <w:rFonts w:ascii="Times New Roman" w:eastAsia="Times New Roman" w:hAnsi="Times New Roman" w:cs="Times New Roman"/>
          <w:sz w:val="24"/>
          <w:szCs w:val="24"/>
        </w:rPr>
      </w:pPr>
      <w:r w:rsidRPr="00723CBD">
        <w:rPr>
          <w:rFonts w:ascii="Times New Roman" w:eastAsia="Times New Roman" w:hAnsi="Times New Roman" w:cs="Times New Roman"/>
          <w:sz w:val="24"/>
          <w:szCs w:val="24"/>
        </w:rPr>
        <w:tab/>
      </w:r>
      <w:r w:rsidRPr="00723CBD" w:rsidR="2D3F75C6">
        <w:rPr>
          <w:rFonts w:ascii="Times New Roman" w:eastAsia="Times New Roman" w:hAnsi="Times New Roman" w:cs="Times New Roman"/>
          <w:sz w:val="24"/>
          <w:szCs w:val="24"/>
        </w:rPr>
        <w:t xml:space="preserve">    </w:t>
      </w:r>
      <w:r w:rsidRPr="00723CBD">
        <w:rPr>
          <w:rFonts w:ascii="Times New Roman" w:eastAsia="Times New Roman" w:hAnsi="Times New Roman" w:cs="Times New Roman"/>
          <w:sz w:val="24"/>
          <w:szCs w:val="24"/>
        </w:rPr>
        <w:t xml:space="preserve">and to make the written safety and health program available </w:t>
      </w:r>
      <w:r>
        <w:br/>
      </w:r>
      <w:r>
        <w:tab/>
      </w:r>
      <w:r>
        <w:tab/>
      </w:r>
      <w:r>
        <w:tab/>
      </w:r>
      <w:r w:rsidRPr="00723CBD" w:rsidR="2502E613">
        <w:rPr>
          <w:rFonts w:ascii="Times New Roman" w:eastAsia="Times New Roman" w:hAnsi="Times New Roman" w:cs="Times New Roman"/>
          <w:sz w:val="24"/>
          <w:szCs w:val="24"/>
        </w:rPr>
        <w:t xml:space="preserve"> </w:t>
      </w:r>
      <w:r w:rsidRPr="00723CBD" w:rsidR="2C11B3F8">
        <w:rPr>
          <w:rFonts w:ascii="Times New Roman" w:eastAsia="Times New Roman" w:hAnsi="Times New Roman" w:cs="Times New Roman"/>
          <w:sz w:val="24"/>
          <w:szCs w:val="24"/>
        </w:rPr>
        <w:t xml:space="preserve">       </w:t>
      </w:r>
      <w:r w:rsidRPr="00723CBD" w:rsidR="2502E613">
        <w:rPr>
          <w:rFonts w:ascii="Times New Roman" w:eastAsia="Times New Roman" w:hAnsi="Times New Roman" w:cs="Times New Roman"/>
          <w:sz w:val="24"/>
          <w:szCs w:val="24"/>
        </w:rPr>
        <w:t xml:space="preserve"> </w:t>
      </w:r>
      <w:r w:rsidRPr="00723CBD">
        <w:rPr>
          <w:rFonts w:ascii="Times New Roman" w:eastAsia="Times New Roman" w:hAnsi="Times New Roman" w:cs="Times New Roman"/>
          <w:sz w:val="24"/>
          <w:szCs w:val="24"/>
        </w:rPr>
        <w:t xml:space="preserve">= </w:t>
      </w:r>
      <w:r w:rsidRPr="00723CBD" w:rsidR="007C22DA">
        <w:rPr>
          <w:rFonts w:ascii="Times New Roman" w:eastAsia="Times New Roman" w:hAnsi="Times New Roman" w:cs="Times New Roman"/>
          <w:sz w:val="24"/>
          <w:szCs w:val="24"/>
        </w:rPr>
        <w:t>55</w:t>
      </w:r>
      <w:r w:rsidRPr="00723CBD" w:rsidR="3491246C">
        <w:rPr>
          <w:rFonts w:ascii="Times New Roman" w:eastAsia="Times New Roman" w:hAnsi="Times New Roman" w:cs="Times New Roman"/>
          <w:sz w:val="24"/>
          <w:szCs w:val="24"/>
        </w:rPr>
        <w:t>3</w:t>
      </w:r>
      <w:r w:rsidRPr="00723CBD">
        <w:rPr>
          <w:rFonts w:ascii="Times New Roman" w:eastAsia="Times New Roman" w:hAnsi="Times New Roman" w:cs="Times New Roman"/>
          <w:sz w:val="24"/>
          <w:szCs w:val="24"/>
        </w:rPr>
        <w:t xml:space="preserve"> hours</w:t>
      </w:r>
      <w:r w:rsidRPr="00723CBD" w:rsidR="43CE0309">
        <w:rPr>
          <w:rFonts w:ascii="Times New Roman" w:eastAsia="Times New Roman" w:hAnsi="Times New Roman" w:cs="Times New Roman"/>
          <w:sz w:val="24"/>
          <w:szCs w:val="24"/>
        </w:rPr>
        <w:t xml:space="preserve"> </w:t>
      </w:r>
      <w:r w:rsidRPr="3C7E2FAD" w:rsidR="43CE0309">
        <w:rPr>
          <w:rFonts w:ascii="Times New Roman" w:eastAsia="Times New Roman" w:hAnsi="Times New Roman" w:cs="Times New Roman"/>
          <w:sz w:val="24"/>
          <w:szCs w:val="24"/>
        </w:rPr>
        <w:t>(rounded)</w:t>
      </w:r>
    </w:p>
    <w:p w:rsidR="00BF576C" w:rsidRPr="00723CBD" w:rsidP="00BF576C" w14:paraId="277DC83F" w14:textId="75A6460B">
      <w:pPr>
        <w:autoSpaceDE w:val="0"/>
        <w:autoSpaceDN w:val="0"/>
        <w:adjustRightInd w:val="0"/>
        <w:spacing w:after="0" w:line="240" w:lineRule="auto"/>
        <w:rPr>
          <w:rFonts w:ascii="Times New Roman" w:eastAsia="Times New Roman" w:hAnsi="Times New Roman" w:cs="Times New Roman"/>
          <w:sz w:val="24"/>
          <w:szCs w:val="24"/>
        </w:rPr>
      </w:pPr>
      <w:r w:rsidRPr="3C7E2FAD">
        <w:rPr>
          <w:rFonts w:ascii="Times New Roman" w:eastAsia="Times New Roman" w:hAnsi="Times New Roman" w:cs="Times New Roman"/>
          <w:sz w:val="24"/>
          <w:szCs w:val="24"/>
        </w:rPr>
        <w:t xml:space="preserve">            </w:t>
      </w:r>
      <w:r>
        <w:tab/>
      </w:r>
      <w:r w:rsidRPr="3C7E2FAD">
        <w:rPr>
          <w:rFonts w:ascii="Times New Roman" w:eastAsia="Times New Roman" w:hAnsi="Times New Roman" w:cs="Times New Roman"/>
          <w:sz w:val="24"/>
          <w:szCs w:val="24"/>
        </w:rPr>
        <w:t xml:space="preserve"> Cost:</w:t>
      </w:r>
      <w:r>
        <w:tab/>
      </w:r>
      <w:r w:rsidRPr="3C7E2FAD">
        <w:rPr>
          <w:rFonts w:ascii="Times New Roman" w:eastAsia="Times New Roman" w:hAnsi="Times New Roman" w:cs="Times New Roman"/>
          <w:sz w:val="24"/>
          <w:szCs w:val="24"/>
        </w:rPr>
        <w:t>5</w:t>
      </w:r>
      <w:r w:rsidRPr="3C7E2FAD" w:rsidR="007C22DA">
        <w:rPr>
          <w:rFonts w:ascii="Times New Roman" w:eastAsia="Times New Roman" w:hAnsi="Times New Roman" w:cs="Times New Roman"/>
          <w:sz w:val="24"/>
          <w:szCs w:val="24"/>
        </w:rPr>
        <w:t>5</w:t>
      </w:r>
      <w:r w:rsidRPr="3C7E2FAD" w:rsidR="00BF6E08">
        <w:rPr>
          <w:rFonts w:ascii="Times New Roman" w:eastAsia="Times New Roman" w:hAnsi="Times New Roman" w:cs="Times New Roman"/>
          <w:sz w:val="24"/>
          <w:szCs w:val="24"/>
        </w:rPr>
        <w:t>3</w:t>
      </w:r>
      <w:r w:rsidRPr="3C7E2FAD">
        <w:rPr>
          <w:rFonts w:ascii="Times New Roman" w:eastAsia="Times New Roman" w:hAnsi="Times New Roman" w:cs="Times New Roman"/>
          <w:sz w:val="24"/>
          <w:szCs w:val="24"/>
        </w:rPr>
        <w:t xml:space="preserve"> hours x $</w:t>
      </w:r>
      <w:r w:rsidRPr="3C7E2FAD" w:rsidR="006F5F36">
        <w:rPr>
          <w:rFonts w:ascii="Times New Roman" w:eastAsia="Times New Roman" w:hAnsi="Times New Roman" w:cs="Times New Roman"/>
          <w:sz w:val="24"/>
          <w:szCs w:val="24"/>
        </w:rPr>
        <w:t>53.70</w:t>
      </w:r>
      <w:r w:rsidRPr="3C7E2FAD">
        <w:rPr>
          <w:rFonts w:ascii="Times New Roman" w:eastAsia="Times New Roman" w:hAnsi="Times New Roman" w:cs="Times New Roman"/>
          <w:sz w:val="24"/>
          <w:szCs w:val="24"/>
        </w:rPr>
        <w:t>= $</w:t>
      </w:r>
      <w:r w:rsidRPr="3C7E2FAD" w:rsidR="007A0D1B">
        <w:rPr>
          <w:rFonts w:ascii="Times New Roman" w:eastAsia="Times New Roman" w:hAnsi="Times New Roman" w:cs="Times New Roman"/>
          <w:sz w:val="24"/>
          <w:szCs w:val="24"/>
        </w:rPr>
        <w:t>29,696</w:t>
      </w:r>
      <w:r w:rsidRPr="3C7E2FAD" w:rsidR="4DD8A703">
        <w:rPr>
          <w:rFonts w:ascii="Times New Roman" w:eastAsia="Times New Roman" w:hAnsi="Times New Roman" w:cs="Times New Roman"/>
          <w:sz w:val="24"/>
          <w:szCs w:val="24"/>
        </w:rPr>
        <w:t>.10</w:t>
      </w:r>
    </w:p>
    <w:p w:rsidR="00BF576C" w:rsidRPr="00723CBD" w:rsidP="00BF576C" w14:paraId="1F77D86E"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53B6A8A2" w14:textId="77777777">
      <w:pPr>
        <w:autoSpaceDE w:val="0"/>
        <w:autoSpaceDN w:val="0"/>
        <w:adjustRightInd w:val="0"/>
        <w:spacing w:after="0" w:line="240" w:lineRule="auto"/>
        <w:rPr>
          <w:rFonts w:ascii="Times New Roman" w:eastAsia="Times New Roman" w:hAnsi="Times New Roman" w:cs="Times New Roman"/>
          <w:b/>
          <w:sz w:val="24"/>
          <w:szCs w:val="24"/>
        </w:rPr>
      </w:pPr>
      <w:r w:rsidRPr="00723CBD">
        <w:rPr>
          <w:rFonts w:ascii="Times New Roman" w:eastAsia="Times New Roman" w:hAnsi="Times New Roman" w:cs="Times New Roman"/>
          <w:b/>
          <w:bCs/>
          <w:sz w:val="24"/>
          <w:szCs w:val="24"/>
        </w:rPr>
        <w:t>3. Pre-entry briefings on safety and health programs</w:t>
      </w:r>
    </w:p>
    <w:p w:rsidR="00BF576C" w:rsidRPr="00723CBD" w:rsidP="00BF576C" w14:paraId="2170434B"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6AD2520F" w14:textId="52EB1B0B">
      <w:pPr>
        <w:autoSpaceDE w:val="0"/>
        <w:autoSpaceDN w:val="0"/>
        <w:adjustRightInd w:val="0"/>
        <w:spacing w:after="0" w:line="240" w:lineRule="auto"/>
        <w:rPr>
          <w:rFonts w:ascii="Times New Roman" w:eastAsia="Times New Roman" w:hAnsi="Times New Roman" w:cs="Times New Roman"/>
          <w:sz w:val="24"/>
          <w:szCs w:val="24"/>
        </w:rPr>
      </w:pPr>
      <w:r w:rsidRPr="00D91F68">
        <w:rPr>
          <w:rFonts w:ascii="Times New Roman" w:eastAsia="Times New Roman" w:hAnsi="Times New Roman" w:cs="Times New Roman"/>
          <w:sz w:val="24"/>
          <w:szCs w:val="24"/>
        </w:rPr>
        <w:t>Paragraph 1910.120(b)(4)(iii)</w:t>
      </w:r>
      <w:r w:rsidRPr="3C7E2FAD">
        <w:rPr>
          <w:rFonts w:ascii="Times New Roman" w:eastAsia="Times New Roman" w:hAnsi="Times New Roman" w:cs="Times New Roman"/>
          <w:sz w:val="24"/>
          <w:szCs w:val="24"/>
        </w:rPr>
        <w:t xml:space="preserve"> requires that employers conduct pre-entry briefings prior to site entry, and at such other times as necessary to ensure that workers are aware of the site safety and health plan and that this plan is being followed. The information and data obtained from site characterization and analysis work required in paragraph (c) of this section shall be used to prepare and update the site safety and health plan.</w:t>
      </w:r>
    </w:p>
    <w:p w:rsidR="00BF576C" w:rsidRPr="00723CBD" w:rsidP="00BF576C" w14:paraId="21A30409"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05DE870B" w14:textId="4C42CDE2">
      <w:pPr>
        <w:autoSpaceDE w:val="0"/>
        <w:autoSpaceDN w:val="0"/>
        <w:adjustRightInd w:val="0"/>
        <w:spacing w:after="0" w:line="240" w:lineRule="auto"/>
        <w:rPr>
          <w:rFonts w:ascii="Times New Roman" w:eastAsia="Times New Roman" w:hAnsi="Times New Roman" w:cs="Times New Roman"/>
          <w:sz w:val="24"/>
          <w:szCs w:val="24"/>
        </w:rPr>
      </w:pPr>
      <w:r w:rsidRPr="3C7E2FAD">
        <w:rPr>
          <w:rFonts w:ascii="Times New Roman" w:eastAsia="Times New Roman" w:hAnsi="Times New Roman" w:cs="Times New Roman"/>
          <w:sz w:val="24"/>
          <w:szCs w:val="24"/>
        </w:rPr>
        <w:t xml:space="preserve">OSHA believes that it is a usual and customary practice at all sites to have briefings; however, because the briefing required in this rule is based on a safety and health program that may contain information that is not usual and customary, OSHA estimates the burden for this provision at one hour. In addition, OSHA estimates it will take 8 hours to conduct a site characterization and analysis in accordance with </w:t>
      </w:r>
      <w:r w:rsidRPr="3C7E2FAD" w:rsidR="4C92259B">
        <w:rPr>
          <w:rFonts w:ascii="Times New Roman" w:eastAsia="Times New Roman" w:hAnsi="Times New Roman" w:cs="Times New Roman"/>
          <w:sz w:val="24"/>
          <w:szCs w:val="24"/>
        </w:rPr>
        <w:t xml:space="preserve">paragraph </w:t>
      </w:r>
      <w:r w:rsidRPr="3C7E2FAD">
        <w:rPr>
          <w:rFonts w:ascii="Times New Roman" w:eastAsia="Times New Roman" w:hAnsi="Times New Roman" w:cs="Times New Roman"/>
          <w:sz w:val="24"/>
          <w:szCs w:val="24"/>
        </w:rPr>
        <w:t>1910.120(o).</w:t>
      </w:r>
    </w:p>
    <w:p w:rsidR="002468FA" w:rsidRPr="00723CBD" w:rsidP="00BF576C" w14:paraId="44EF6632"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2F3064A8" w14:textId="69E60274">
      <w:pPr>
        <w:autoSpaceDE w:val="0"/>
        <w:autoSpaceDN w:val="0"/>
        <w:adjustRightInd w:val="0"/>
        <w:spacing w:after="0" w:line="240" w:lineRule="auto"/>
        <w:ind w:firstLine="720"/>
        <w:rPr>
          <w:rFonts w:ascii="Times New Roman" w:eastAsia="Times New Roman" w:hAnsi="Times New Roman" w:cs="Times New Roman"/>
          <w:sz w:val="24"/>
          <w:szCs w:val="24"/>
        </w:rPr>
      </w:pPr>
      <w:r w:rsidRPr="3C7E2FAD">
        <w:rPr>
          <w:rFonts w:ascii="Times New Roman" w:eastAsia="Times New Roman" w:hAnsi="Times New Roman" w:cs="Times New Roman"/>
          <w:sz w:val="24"/>
          <w:szCs w:val="24"/>
        </w:rPr>
        <w:t>Burden hours:</w:t>
      </w:r>
      <w:r>
        <w:tab/>
      </w:r>
      <w:r w:rsidRPr="3C7E2FAD" w:rsidR="00D14AB6">
        <w:rPr>
          <w:rFonts w:ascii="Times New Roman" w:eastAsia="Times New Roman" w:hAnsi="Times New Roman" w:cs="Times New Roman"/>
          <w:sz w:val="24"/>
          <w:szCs w:val="24"/>
        </w:rPr>
        <w:t>553</w:t>
      </w:r>
      <w:r w:rsidRPr="3C7E2FAD">
        <w:rPr>
          <w:rFonts w:ascii="Times New Roman" w:eastAsia="Times New Roman" w:hAnsi="Times New Roman" w:cs="Times New Roman"/>
          <w:sz w:val="24"/>
          <w:szCs w:val="24"/>
        </w:rPr>
        <w:t xml:space="preserve"> sites × 1 hour to conduct pre-entry briefings = </w:t>
      </w:r>
      <w:r w:rsidRPr="3C7E2FAD" w:rsidR="00D14AB6">
        <w:rPr>
          <w:rFonts w:ascii="Times New Roman" w:eastAsia="Times New Roman" w:hAnsi="Times New Roman" w:cs="Times New Roman"/>
          <w:sz w:val="24"/>
          <w:szCs w:val="24"/>
        </w:rPr>
        <w:t xml:space="preserve">553 </w:t>
      </w:r>
      <w:r w:rsidRPr="3C7E2FAD">
        <w:rPr>
          <w:rFonts w:ascii="Times New Roman" w:eastAsia="Times New Roman" w:hAnsi="Times New Roman" w:cs="Times New Roman"/>
          <w:sz w:val="24"/>
          <w:szCs w:val="24"/>
        </w:rPr>
        <w:t>hours</w:t>
      </w:r>
    </w:p>
    <w:p w:rsidR="3DDBA8C5" w:rsidP="00D91F68" w14:paraId="4A39BA6F" w14:textId="1ED17533">
      <w:pPr>
        <w:spacing w:after="0" w:line="240" w:lineRule="auto"/>
        <w:ind w:left="720" w:firstLine="720"/>
        <w:rPr>
          <w:rFonts w:ascii="Times New Roman" w:eastAsia="Times New Roman" w:hAnsi="Times New Roman" w:cs="Times New Roman"/>
          <w:sz w:val="24"/>
          <w:szCs w:val="24"/>
        </w:rPr>
      </w:pPr>
      <w:r w:rsidRPr="3C7E2FAD">
        <w:rPr>
          <w:rFonts w:ascii="Times New Roman" w:eastAsia="Times New Roman" w:hAnsi="Times New Roman" w:cs="Times New Roman"/>
          <w:sz w:val="24"/>
          <w:szCs w:val="24"/>
        </w:rPr>
        <w:t xml:space="preserve">  Cost: 553 hours x $53.70 = $29,696.10</w:t>
      </w:r>
    </w:p>
    <w:p w:rsidR="00BF576C" w:rsidRPr="00723CBD" w:rsidP="00BF576C" w14:paraId="6E92485C"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7CEEEEA0" w14:textId="20795C53">
      <w:pPr>
        <w:autoSpaceDE w:val="0"/>
        <w:autoSpaceDN w:val="0"/>
        <w:adjustRightInd w:val="0"/>
        <w:spacing w:after="0" w:line="240" w:lineRule="auto"/>
        <w:ind w:firstLine="720"/>
        <w:rPr>
          <w:rFonts w:ascii="Times New Roman" w:eastAsia="Times New Roman" w:hAnsi="Times New Roman" w:cs="Times New Roman"/>
          <w:sz w:val="24"/>
          <w:szCs w:val="24"/>
        </w:rPr>
      </w:pPr>
      <w:r w:rsidRPr="3C7E2FAD">
        <w:rPr>
          <w:rFonts w:ascii="Times New Roman" w:eastAsia="Times New Roman" w:hAnsi="Times New Roman" w:cs="Times New Roman"/>
          <w:sz w:val="24"/>
          <w:szCs w:val="24"/>
        </w:rPr>
        <w:t>Burden hours:</w:t>
      </w:r>
      <w:r>
        <w:tab/>
      </w:r>
      <w:r w:rsidRPr="3C7E2FAD" w:rsidR="00D14AB6">
        <w:rPr>
          <w:rFonts w:ascii="Times New Roman" w:eastAsia="Times New Roman" w:hAnsi="Times New Roman" w:cs="Times New Roman"/>
          <w:sz w:val="24"/>
          <w:szCs w:val="24"/>
        </w:rPr>
        <w:t>553</w:t>
      </w:r>
      <w:r w:rsidRPr="3C7E2FAD">
        <w:rPr>
          <w:rFonts w:ascii="Times New Roman" w:eastAsia="Times New Roman" w:hAnsi="Times New Roman" w:cs="Times New Roman"/>
          <w:sz w:val="24"/>
          <w:szCs w:val="24"/>
        </w:rPr>
        <w:t xml:space="preserve"> sites × 8 hours to evaluate hazardous waste sites = </w:t>
      </w:r>
      <w:r w:rsidRPr="3C7E2FAD" w:rsidR="009C0543">
        <w:rPr>
          <w:rFonts w:ascii="Times New Roman" w:eastAsia="Times New Roman" w:hAnsi="Times New Roman" w:cs="Times New Roman"/>
          <w:sz w:val="24"/>
          <w:szCs w:val="24"/>
        </w:rPr>
        <w:t>4,424</w:t>
      </w:r>
      <w:r w:rsidRPr="3C7E2FAD" w:rsidR="005E7F64">
        <w:rPr>
          <w:rFonts w:ascii="Times New Roman" w:eastAsia="Times New Roman" w:hAnsi="Times New Roman" w:cs="Times New Roman"/>
          <w:sz w:val="24"/>
          <w:szCs w:val="24"/>
        </w:rPr>
        <w:t xml:space="preserve"> </w:t>
      </w:r>
      <w:r w:rsidRPr="3C7E2FAD">
        <w:rPr>
          <w:rFonts w:ascii="Times New Roman" w:eastAsia="Times New Roman" w:hAnsi="Times New Roman" w:cs="Times New Roman"/>
          <w:sz w:val="24"/>
          <w:szCs w:val="24"/>
        </w:rPr>
        <w:t>hours</w:t>
      </w:r>
    </w:p>
    <w:p w:rsidR="69D0FCEC" w:rsidP="3C7E2FAD" w14:paraId="6C11189E" w14:textId="7712ED41">
      <w:pPr>
        <w:spacing w:after="0" w:line="240" w:lineRule="auto"/>
        <w:ind w:left="720" w:firstLine="720"/>
        <w:rPr>
          <w:rFonts w:ascii="Times New Roman" w:eastAsia="Times New Roman" w:hAnsi="Times New Roman" w:cs="Times New Roman"/>
          <w:sz w:val="24"/>
          <w:szCs w:val="24"/>
        </w:rPr>
      </w:pPr>
      <w:r w:rsidRPr="3C7E2FAD">
        <w:rPr>
          <w:rFonts w:ascii="Times New Roman" w:eastAsia="Times New Roman" w:hAnsi="Times New Roman" w:cs="Times New Roman"/>
          <w:sz w:val="24"/>
          <w:szCs w:val="24"/>
        </w:rPr>
        <w:t xml:space="preserve">  Cost: 4,424 hours x $53.70 = $237,568.80</w:t>
      </w:r>
    </w:p>
    <w:p w:rsidR="3C7E2FAD" w:rsidP="3C7E2FAD" w14:paraId="13AFF266" w14:textId="6A16E606">
      <w:pPr>
        <w:spacing w:after="0" w:line="240" w:lineRule="auto"/>
        <w:ind w:firstLine="720"/>
        <w:rPr>
          <w:rFonts w:ascii="Times New Roman" w:eastAsia="Times New Roman" w:hAnsi="Times New Roman" w:cs="Times New Roman"/>
          <w:sz w:val="24"/>
          <w:szCs w:val="24"/>
        </w:rPr>
      </w:pPr>
    </w:p>
    <w:p w:rsidR="00BF576C" w:rsidRPr="00D91F68" w:rsidP="00D91F68" w14:paraId="75455E0B" w14:textId="224C49B5">
      <w:pPr>
        <w:autoSpaceDE w:val="0"/>
        <w:autoSpaceDN w:val="0"/>
        <w:adjustRightInd w:val="0"/>
        <w:spacing w:after="0" w:line="240" w:lineRule="auto"/>
        <w:ind w:firstLine="720"/>
        <w:rPr>
          <w:rFonts w:ascii="Times New Roman" w:eastAsia="Times New Roman" w:hAnsi="Times New Roman" w:cs="Times New Roman"/>
          <w:b/>
          <w:bCs/>
          <w:sz w:val="24"/>
          <w:szCs w:val="24"/>
        </w:rPr>
      </w:pPr>
      <w:r w:rsidRPr="00D91F68">
        <w:rPr>
          <w:rFonts w:ascii="Times New Roman" w:eastAsia="Times New Roman" w:hAnsi="Times New Roman" w:cs="Times New Roman"/>
          <w:b/>
          <w:bCs/>
          <w:sz w:val="24"/>
          <w:szCs w:val="24"/>
        </w:rPr>
        <w:t>Subtotal Burden hours: 553 hours + 4,424 hours = 4,977 hours</w:t>
      </w:r>
    </w:p>
    <w:p w:rsidR="671AC74F" w:rsidP="00D91F68" w14:paraId="384AAB98" w14:textId="2A7E0FAE">
      <w:pPr>
        <w:spacing w:after="0" w:line="240" w:lineRule="auto"/>
        <w:ind w:left="720" w:firstLine="720"/>
        <w:rPr>
          <w:rFonts w:ascii="Times New Roman" w:eastAsia="Times New Roman" w:hAnsi="Times New Roman" w:cs="Times New Roman"/>
          <w:b/>
          <w:bCs/>
          <w:sz w:val="24"/>
          <w:szCs w:val="24"/>
        </w:rPr>
      </w:pPr>
      <w:r w:rsidRPr="3C7E2FAD">
        <w:rPr>
          <w:rFonts w:ascii="Times New Roman" w:eastAsia="Times New Roman" w:hAnsi="Times New Roman" w:cs="Times New Roman"/>
          <w:b/>
          <w:bCs/>
          <w:sz w:val="24"/>
          <w:szCs w:val="24"/>
        </w:rPr>
        <w:t xml:space="preserve">    </w:t>
      </w:r>
      <w:r w:rsidRPr="00D91F68" w:rsidR="22937DDC">
        <w:rPr>
          <w:rFonts w:ascii="Times New Roman" w:eastAsia="Times New Roman" w:hAnsi="Times New Roman" w:cs="Times New Roman"/>
          <w:b/>
          <w:bCs/>
          <w:sz w:val="24"/>
          <w:szCs w:val="24"/>
        </w:rPr>
        <w:t>Subtotal Cost: $29,969.10 + $237,568.80 = $267,264.90</w:t>
      </w:r>
    </w:p>
    <w:p w:rsidR="00BF576C" w:rsidRPr="00723CBD" w:rsidP="00BF576C" w14:paraId="6E16C2A9" w14:textId="301AB65B">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sz w:val="24"/>
          <w:szCs w:val="24"/>
        </w:rPr>
        <w:tab/>
      </w:r>
      <w:r w:rsidRPr="00723CBD">
        <w:rPr>
          <w:rFonts w:ascii="Times New Roman" w:eastAsia="Times New Roman" w:hAnsi="Times New Roman" w:cs="Times New Roman"/>
          <w:sz w:val="24"/>
          <w:szCs w:val="24"/>
        </w:rPr>
        <w:tab/>
      </w:r>
      <w:r w:rsidRPr="00723CBD">
        <w:rPr>
          <w:rFonts w:ascii="Times New Roman" w:eastAsia="Times New Roman" w:hAnsi="Times New Roman" w:cs="Times New Roman"/>
          <w:sz w:val="24"/>
          <w:szCs w:val="24"/>
        </w:rPr>
        <w:tab/>
      </w:r>
    </w:p>
    <w:p w:rsidR="00BF576C" w:rsidRPr="00723CBD" w:rsidP="00BF576C" w14:paraId="7A36B761" w14:textId="0BD29847">
      <w:pPr>
        <w:autoSpaceDE w:val="0"/>
        <w:autoSpaceDN w:val="0"/>
        <w:adjustRightInd w:val="0"/>
        <w:spacing w:after="0" w:line="240" w:lineRule="auto"/>
        <w:rPr>
          <w:rFonts w:ascii="Times New Roman" w:eastAsia="Times New Roman" w:hAnsi="Times New Roman" w:cs="Times New Roman"/>
          <w:b/>
          <w:bCs/>
          <w:sz w:val="24"/>
          <w:szCs w:val="24"/>
        </w:rPr>
      </w:pPr>
      <w:r w:rsidRPr="0466994E">
        <w:rPr>
          <w:rFonts w:ascii="Times New Roman" w:eastAsia="Times New Roman" w:hAnsi="Times New Roman" w:cs="Times New Roman"/>
          <w:b/>
          <w:bCs/>
          <w:sz w:val="24"/>
          <w:szCs w:val="24"/>
        </w:rPr>
        <w:t>4. Certification of training</w:t>
      </w:r>
    </w:p>
    <w:p w:rsidR="00BF576C" w:rsidRPr="00723CBD" w:rsidP="00BF576C" w14:paraId="2025EEB7" w14:textId="77777777">
      <w:pPr>
        <w:autoSpaceDE w:val="0"/>
        <w:autoSpaceDN w:val="0"/>
        <w:adjustRightInd w:val="0"/>
        <w:spacing w:after="0" w:line="240" w:lineRule="auto"/>
        <w:rPr>
          <w:rFonts w:ascii="Times New Roman" w:eastAsia="Times New Roman" w:hAnsi="Times New Roman" w:cs="Times New Roman"/>
          <w:b/>
          <w:sz w:val="24"/>
          <w:szCs w:val="24"/>
        </w:rPr>
      </w:pPr>
    </w:p>
    <w:p w:rsidR="00BF576C" w:rsidRPr="00723CBD" w:rsidP="00BF576C" w14:paraId="6A439A4D" w14:textId="29289FC1">
      <w:pPr>
        <w:autoSpaceDE w:val="0"/>
        <w:autoSpaceDN w:val="0"/>
        <w:adjustRightInd w:val="0"/>
        <w:spacing w:after="0" w:line="240" w:lineRule="auto"/>
        <w:rPr>
          <w:rFonts w:ascii="Times New Roman" w:eastAsia="Times New Roman" w:hAnsi="Times New Roman" w:cs="Times New Roman"/>
          <w:sz w:val="24"/>
          <w:szCs w:val="24"/>
        </w:rPr>
      </w:pPr>
      <w:r w:rsidRPr="00D91F68">
        <w:rPr>
          <w:rFonts w:ascii="Times New Roman" w:eastAsia="Times New Roman" w:hAnsi="Times New Roman" w:cs="Times New Roman"/>
          <w:sz w:val="24"/>
          <w:szCs w:val="24"/>
        </w:rPr>
        <w:t>Paragraph 1910.120(e)(6)</w:t>
      </w:r>
      <w:r w:rsidRPr="3C7E2FAD">
        <w:rPr>
          <w:rFonts w:ascii="Times New Roman" w:eastAsia="Times New Roman" w:hAnsi="Times New Roman" w:cs="Times New Roman"/>
          <w:sz w:val="24"/>
          <w:szCs w:val="24"/>
        </w:rPr>
        <w:t xml:space="preserve"> requires a written certification for employees and supervisors who have received and successfully completed the training and field experience specified in paragraphs (e)(1) through (e)(4).</w:t>
      </w:r>
    </w:p>
    <w:p w:rsidR="00BF576C" w:rsidRPr="00723CBD" w:rsidP="00BF576C" w14:paraId="3E83622D"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515A28E5" w14:textId="1AC34D66">
      <w:pPr>
        <w:autoSpaceDE w:val="0"/>
        <w:autoSpaceDN w:val="0"/>
        <w:adjustRightInd w:val="0"/>
        <w:spacing w:after="0" w:line="240" w:lineRule="auto"/>
        <w:rPr>
          <w:rFonts w:ascii="Times New Roman" w:eastAsia="Times New Roman" w:hAnsi="Times New Roman" w:cs="Times New Roman"/>
          <w:sz w:val="24"/>
          <w:szCs w:val="24"/>
        </w:rPr>
      </w:pPr>
      <w:r w:rsidRPr="3C7E2FAD">
        <w:rPr>
          <w:rFonts w:ascii="Times New Roman" w:eastAsia="Times New Roman" w:hAnsi="Times New Roman" w:cs="Times New Roman"/>
          <w:sz w:val="24"/>
          <w:szCs w:val="24"/>
        </w:rPr>
        <w:t>OSHA estimates that there are a total of 11,0</w:t>
      </w:r>
      <w:r w:rsidRPr="3C7E2FAD" w:rsidR="7A72AF53">
        <w:rPr>
          <w:rFonts w:ascii="Times New Roman" w:eastAsia="Times New Roman" w:hAnsi="Times New Roman" w:cs="Times New Roman"/>
          <w:sz w:val="24"/>
          <w:szCs w:val="24"/>
        </w:rPr>
        <w:t>6</w:t>
      </w:r>
      <w:r w:rsidRPr="3C7E2FAD">
        <w:rPr>
          <w:rFonts w:ascii="Times New Roman" w:eastAsia="Times New Roman" w:hAnsi="Times New Roman" w:cs="Times New Roman"/>
          <w:sz w:val="24"/>
          <w:szCs w:val="24"/>
        </w:rPr>
        <w:t>0 clean-up workers (5</w:t>
      </w:r>
      <w:r w:rsidRPr="3C7E2FAD" w:rsidR="00230604">
        <w:rPr>
          <w:rFonts w:ascii="Times New Roman" w:eastAsia="Times New Roman" w:hAnsi="Times New Roman" w:cs="Times New Roman"/>
          <w:sz w:val="24"/>
          <w:szCs w:val="24"/>
        </w:rPr>
        <w:t>5</w:t>
      </w:r>
      <w:r w:rsidRPr="3C7E2FAD" w:rsidR="00977596">
        <w:rPr>
          <w:rFonts w:ascii="Times New Roman" w:eastAsia="Times New Roman" w:hAnsi="Times New Roman" w:cs="Times New Roman"/>
          <w:sz w:val="24"/>
          <w:szCs w:val="24"/>
        </w:rPr>
        <w:t>3</w:t>
      </w:r>
      <w:r w:rsidRPr="3C7E2FAD">
        <w:rPr>
          <w:rFonts w:ascii="Times New Roman" w:eastAsia="Times New Roman" w:hAnsi="Times New Roman" w:cs="Times New Roman"/>
          <w:sz w:val="24"/>
          <w:szCs w:val="24"/>
        </w:rPr>
        <w:t xml:space="preserve"> sites x an average of 20 workers per site)</w:t>
      </w:r>
      <w:r w:rsidRPr="3C7E2FAD" w:rsidR="210EE999">
        <w:rPr>
          <w:rFonts w:ascii="Times New Roman" w:eastAsia="Times New Roman" w:hAnsi="Times New Roman" w:cs="Times New Roman"/>
          <w:sz w:val="24"/>
          <w:szCs w:val="24"/>
        </w:rPr>
        <w:t>,</w:t>
      </w:r>
      <w:r w:rsidRPr="3C7E2FAD">
        <w:rPr>
          <w:rFonts w:ascii="Times New Roman" w:eastAsia="Times New Roman" w:hAnsi="Times New Roman" w:cs="Times New Roman"/>
          <w:sz w:val="24"/>
          <w:szCs w:val="24"/>
        </w:rPr>
        <w:t xml:space="preserve"> of which 10</w:t>
      </w:r>
      <w:r w:rsidRPr="3C7E2FAD" w:rsidR="3DD351BE">
        <w:rPr>
          <w:rFonts w:ascii="Times New Roman" w:eastAsia="Times New Roman" w:hAnsi="Times New Roman" w:cs="Times New Roman"/>
          <w:sz w:val="24"/>
          <w:szCs w:val="24"/>
        </w:rPr>
        <w:t>% (1,106 workers)</w:t>
      </w:r>
      <w:r w:rsidRPr="3C7E2FAD">
        <w:rPr>
          <w:rFonts w:ascii="Times New Roman" w:eastAsia="Times New Roman" w:hAnsi="Times New Roman" w:cs="Times New Roman"/>
          <w:sz w:val="24"/>
          <w:szCs w:val="24"/>
        </w:rPr>
        <w:t xml:space="preserve"> would be </w:t>
      </w:r>
      <w:r w:rsidRPr="3C7E2FAD" w:rsidR="00D945B8">
        <w:rPr>
          <w:rFonts w:ascii="Times New Roman" w:eastAsia="Times New Roman" w:hAnsi="Times New Roman" w:cs="Times New Roman"/>
          <w:sz w:val="24"/>
          <w:szCs w:val="24"/>
        </w:rPr>
        <w:t>considered “</w:t>
      </w:r>
      <w:r w:rsidRPr="3C7E2FAD">
        <w:rPr>
          <w:rFonts w:ascii="Times New Roman" w:eastAsia="Times New Roman" w:hAnsi="Times New Roman" w:cs="Times New Roman"/>
          <w:sz w:val="24"/>
          <w:szCs w:val="24"/>
        </w:rPr>
        <w:t>new</w:t>
      </w:r>
      <w:r w:rsidRPr="3C7E2FAD" w:rsidR="4C0AC695">
        <w:rPr>
          <w:rFonts w:ascii="Times New Roman" w:eastAsia="Times New Roman" w:hAnsi="Times New Roman" w:cs="Times New Roman"/>
          <w:sz w:val="24"/>
          <w:szCs w:val="24"/>
        </w:rPr>
        <w:t>”</w:t>
      </w:r>
      <w:r w:rsidRPr="3C7E2FAD">
        <w:rPr>
          <w:rFonts w:ascii="Times New Roman" w:eastAsia="Times New Roman" w:hAnsi="Times New Roman" w:cs="Times New Roman"/>
          <w:sz w:val="24"/>
          <w:szCs w:val="24"/>
        </w:rPr>
        <w:t xml:space="preserve"> workers </w:t>
      </w:r>
      <w:r w:rsidRPr="3C7E2FAD" w:rsidR="647FBAA4">
        <w:rPr>
          <w:rFonts w:ascii="Times New Roman" w:eastAsia="Times New Roman" w:hAnsi="Times New Roman" w:cs="Times New Roman"/>
          <w:sz w:val="24"/>
          <w:szCs w:val="24"/>
        </w:rPr>
        <w:t xml:space="preserve">and </w:t>
      </w:r>
      <w:r w:rsidRPr="3C7E2FAD">
        <w:rPr>
          <w:rFonts w:ascii="Times New Roman" w:eastAsia="Times New Roman" w:hAnsi="Times New Roman" w:cs="Times New Roman"/>
          <w:sz w:val="24"/>
          <w:szCs w:val="24"/>
        </w:rPr>
        <w:t>requir</w:t>
      </w:r>
      <w:r w:rsidRPr="3C7E2FAD" w:rsidR="70E550C2">
        <w:rPr>
          <w:rFonts w:ascii="Times New Roman" w:eastAsia="Times New Roman" w:hAnsi="Times New Roman" w:cs="Times New Roman"/>
          <w:sz w:val="24"/>
          <w:szCs w:val="24"/>
        </w:rPr>
        <w:t>e</w:t>
      </w:r>
      <w:r w:rsidRPr="3C7E2FAD">
        <w:rPr>
          <w:rFonts w:ascii="Times New Roman" w:eastAsia="Times New Roman" w:hAnsi="Times New Roman" w:cs="Times New Roman"/>
          <w:sz w:val="24"/>
          <w:szCs w:val="24"/>
        </w:rPr>
        <w:t xml:space="preserve"> initial training.</w:t>
      </w:r>
    </w:p>
    <w:p w:rsidR="00BF576C" w:rsidRPr="00723CBD" w:rsidP="00BF576C" w14:paraId="0ADFBD26"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44681A1F" w14:textId="20C9F50D">
      <w:pPr>
        <w:autoSpaceDE w:val="0"/>
        <w:autoSpaceDN w:val="0"/>
        <w:adjustRightInd w:val="0"/>
        <w:spacing w:after="0" w:line="240" w:lineRule="auto"/>
        <w:rPr>
          <w:rFonts w:ascii="Times New Roman" w:eastAsia="Times New Roman" w:hAnsi="Times New Roman" w:cs="Times New Roman"/>
          <w:sz w:val="24"/>
          <w:szCs w:val="24"/>
        </w:rPr>
      </w:pPr>
      <w:r w:rsidRPr="3C7E2FAD">
        <w:rPr>
          <w:rFonts w:ascii="Times New Roman" w:eastAsia="Times New Roman" w:hAnsi="Times New Roman" w:cs="Times New Roman"/>
          <w:sz w:val="24"/>
          <w:szCs w:val="24"/>
        </w:rPr>
        <w:t xml:space="preserve">The </w:t>
      </w:r>
      <w:r w:rsidRPr="3C7E2FAD" w:rsidR="07915205">
        <w:rPr>
          <w:rFonts w:ascii="Times New Roman" w:eastAsia="Times New Roman" w:hAnsi="Times New Roman" w:cs="Times New Roman"/>
          <w:sz w:val="24"/>
          <w:szCs w:val="24"/>
        </w:rPr>
        <w:t>a</w:t>
      </w:r>
      <w:r w:rsidRPr="3C7E2FAD">
        <w:rPr>
          <w:rFonts w:ascii="Times New Roman" w:eastAsia="Times New Roman" w:hAnsi="Times New Roman" w:cs="Times New Roman"/>
          <w:sz w:val="24"/>
          <w:szCs w:val="24"/>
        </w:rPr>
        <w:t xml:space="preserve">gency estimates that it will take </w:t>
      </w:r>
      <w:r w:rsidRPr="3C7E2FAD" w:rsidR="602BB850">
        <w:rPr>
          <w:rFonts w:ascii="Times New Roman" w:eastAsia="Times New Roman" w:hAnsi="Times New Roman" w:cs="Times New Roman"/>
          <w:sz w:val="24"/>
          <w:szCs w:val="24"/>
        </w:rPr>
        <w:t>one</w:t>
      </w:r>
      <w:r w:rsidRPr="3C7E2FAD">
        <w:rPr>
          <w:rFonts w:ascii="Times New Roman" w:eastAsia="Times New Roman" w:hAnsi="Times New Roman" w:cs="Times New Roman"/>
          <w:sz w:val="24"/>
          <w:szCs w:val="24"/>
        </w:rPr>
        <w:t xml:space="preserve"> minute (</w:t>
      </w:r>
      <w:r w:rsidRPr="3C7E2FAD" w:rsidR="00755609">
        <w:rPr>
          <w:rFonts w:ascii="Times New Roman" w:eastAsia="Times New Roman" w:hAnsi="Times New Roman" w:cs="Times New Roman"/>
          <w:sz w:val="24"/>
          <w:szCs w:val="24"/>
        </w:rPr>
        <w:t>1/60</w:t>
      </w:r>
      <w:r w:rsidRPr="3C7E2FAD">
        <w:rPr>
          <w:rFonts w:ascii="Times New Roman" w:eastAsia="Times New Roman" w:hAnsi="Times New Roman" w:cs="Times New Roman"/>
          <w:sz w:val="24"/>
          <w:szCs w:val="24"/>
        </w:rPr>
        <w:t xml:space="preserve"> hour)</w:t>
      </w:r>
      <w:r w:rsidRPr="3C7E2FAD" w:rsidR="006D06C5">
        <w:rPr>
          <w:rFonts w:ascii="Times New Roman" w:eastAsia="Times New Roman" w:hAnsi="Times New Roman" w:cs="Times New Roman"/>
          <w:sz w:val="24"/>
          <w:szCs w:val="24"/>
        </w:rPr>
        <w:t xml:space="preserve"> </w:t>
      </w:r>
      <w:r w:rsidRPr="3C7E2FAD">
        <w:rPr>
          <w:rFonts w:ascii="Times New Roman" w:eastAsia="Times New Roman" w:hAnsi="Times New Roman" w:cs="Times New Roman"/>
          <w:sz w:val="24"/>
          <w:szCs w:val="24"/>
        </w:rPr>
        <w:t xml:space="preserve">to maintain training records for the existing </w:t>
      </w:r>
      <w:r w:rsidRPr="3C7E2FAD" w:rsidR="00113DA3">
        <w:rPr>
          <w:rFonts w:ascii="Times New Roman" w:eastAsia="Times New Roman" w:hAnsi="Times New Roman" w:cs="Times New Roman"/>
          <w:sz w:val="24"/>
          <w:szCs w:val="24"/>
        </w:rPr>
        <w:t>11,060</w:t>
      </w:r>
      <w:r w:rsidRPr="3C7E2FAD" w:rsidR="008A5CCC">
        <w:rPr>
          <w:rFonts w:ascii="Times New Roman" w:eastAsia="Times New Roman" w:hAnsi="Times New Roman" w:cs="Times New Roman"/>
          <w:sz w:val="24"/>
          <w:szCs w:val="24"/>
        </w:rPr>
        <w:t xml:space="preserve"> </w:t>
      </w:r>
      <w:r w:rsidRPr="3C7E2FAD">
        <w:rPr>
          <w:rFonts w:ascii="Times New Roman" w:eastAsia="Times New Roman" w:hAnsi="Times New Roman" w:cs="Times New Roman"/>
          <w:sz w:val="24"/>
          <w:szCs w:val="24"/>
        </w:rPr>
        <w:t>clean-up workers and 3 minutes (</w:t>
      </w:r>
      <w:r w:rsidRPr="3C7E2FAD" w:rsidR="00755609">
        <w:rPr>
          <w:rFonts w:ascii="Times New Roman" w:eastAsia="Times New Roman" w:hAnsi="Times New Roman" w:cs="Times New Roman"/>
          <w:sz w:val="24"/>
          <w:szCs w:val="24"/>
        </w:rPr>
        <w:t>3/60</w:t>
      </w:r>
      <w:r w:rsidRPr="3C7E2FAD">
        <w:rPr>
          <w:rFonts w:ascii="Times New Roman" w:eastAsia="Times New Roman" w:hAnsi="Times New Roman" w:cs="Times New Roman"/>
          <w:sz w:val="24"/>
          <w:szCs w:val="24"/>
        </w:rPr>
        <w:t xml:space="preserve"> hour) to generate and maintain records for the </w:t>
      </w:r>
      <w:r w:rsidRPr="3C7E2FAD" w:rsidR="00AB3DC2">
        <w:rPr>
          <w:rFonts w:ascii="Times New Roman" w:eastAsia="Times New Roman" w:hAnsi="Times New Roman" w:cs="Times New Roman"/>
          <w:sz w:val="24"/>
          <w:szCs w:val="24"/>
        </w:rPr>
        <w:t xml:space="preserve">1,106 </w:t>
      </w:r>
      <w:r w:rsidRPr="3C7E2FAD">
        <w:rPr>
          <w:rFonts w:ascii="Times New Roman" w:eastAsia="Times New Roman" w:hAnsi="Times New Roman" w:cs="Times New Roman"/>
          <w:sz w:val="24"/>
          <w:szCs w:val="24"/>
        </w:rPr>
        <w:t>new workers.</w:t>
      </w:r>
    </w:p>
    <w:p w:rsidR="00BF576C" w:rsidRPr="00723CBD" w:rsidP="00BF576C" w14:paraId="68BEDD64"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3C7E2FAD" w14:paraId="7D404620" w14:textId="320D39D4">
      <w:pPr>
        <w:autoSpaceDE w:val="0"/>
        <w:autoSpaceDN w:val="0"/>
        <w:adjustRightInd w:val="0"/>
        <w:spacing w:after="0" w:line="240" w:lineRule="auto"/>
        <w:ind w:left="2880" w:hanging="1440"/>
        <w:rPr>
          <w:rFonts w:ascii="Times New Roman" w:eastAsia="Times New Roman" w:hAnsi="Times New Roman" w:cs="Times New Roman"/>
          <w:sz w:val="24"/>
          <w:szCs w:val="24"/>
        </w:rPr>
      </w:pPr>
      <w:r w:rsidRPr="3C7E2FAD">
        <w:rPr>
          <w:rFonts w:ascii="Times New Roman" w:eastAsia="Times New Roman" w:hAnsi="Times New Roman" w:cs="Times New Roman"/>
          <w:sz w:val="24"/>
          <w:szCs w:val="24"/>
        </w:rPr>
        <w:t>Burden hours:</w:t>
      </w:r>
      <w:r>
        <w:tab/>
      </w:r>
      <w:r w:rsidRPr="3C7E2FAD" w:rsidR="000E7A2D">
        <w:rPr>
          <w:rFonts w:ascii="Times New Roman" w:eastAsia="Times New Roman" w:hAnsi="Times New Roman" w:cs="Times New Roman"/>
          <w:sz w:val="24"/>
          <w:szCs w:val="24"/>
        </w:rPr>
        <w:t>11,060</w:t>
      </w:r>
      <w:r w:rsidRPr="3C7E2FAD" w:rsidR="008C5315">
        <w:rPr>
          <w:rFonts w:ascii="Times New Roman" w:eastAsia="Times New Roman" w:hAnsi="Times New Roman" w:cs="Times New Roman"/>
          <w:sz w:val="24"/>
          <w:szCs w:val="24"/>
        </w:rPr>
        <w:t xml:space="preserve"> </w:t>
      </w:r>
      <w:r w:rsidRPr="3C7E2FAD">
        <w:rPr>
          <w:rFonts w:ascii="Times New Roman" w:eastAsia="Times New Roman" w:hAnsi="Times New Roman" w:cs="Times New Roman"/>
          <w:sz w:val="24"/>
          <w:szCs w:val="24"/>
        </w:rPr>
        <w:t xml:space="preserve">existing workers x </w:t>
      </w:r>
      <w:r w:rsidRPr="3C7E2FAD" w:rsidR="0023699C">
        <w:rPr>
          <w:rFonts w:ascii="Times New Roman" w:eastAsia="Times New Roman" w:hAnsi="Times New Roman" w:cs="Times New Roman"/>
          <w:sz w:val="24"/>
          <w:szCs w:val="24"/>
        </w:rPr>
        <w:t>1/60</w:t>
      </w:r>
      <w:r w:rsidRPr="3C7E2FAD" w:rsidR="005F0153">
        <w:rPr>
          <w:rFonts w:ascii="Times New Roman" w:eastAsia="Times New Roman" w:hAnsi="Times New Roman" w:cs="Times New Roman"/>
          <w:sz w:val="24"/>
          <w:szCs w:val="24"/>
        </w:rPr>
        <w:t xml:space="preserve"> </w:t>
      </w:r>
      <w:r w:rsidRPr="3C7E2FAD">
        <w:rPr>
          <w:rFonts w:ascii="Times New Roman" w:eastAsia="Times New Roman" w:hAnsi="Times New Roman" w:cs="Times New Roman"/>
          <w:sz w:val="24"/>
          <w:szCs w:val="24"/>
        </w:rPr>
        <w:t>ho</w:t>
      </w:r>
      <w:r w:rsidRPr="3C7E2FAD" w:rsidR="0044673A">
        <w:rPr>
          <w:rFonts w:ascii="Times New Roman" w:eastAsia="Times New Roman" w:hAnsi="Times New Roman" w:cs="Times New Roman"/>
          <w:sz w:val="24"/>
          <w:szCs w:val="24"/>
        </w:rPr>
        <w:t xml:space="preserve">ur to maintain and provide the </w:t>
      </w:r>
      <w:r w:rsidRPr="3C7E2FAD">
        <w:rPr>
          <w:rFonts w:ascii="Times New Roman" w:eastAsia="Times New Roman" w:hAnsi="Times New Roman" w:cs="Times New Roman"/>
          <w:sz w:val="24"/>
          <w:szCs w:val="24"/>
        </w:rPr>
        <w:t xml:space="preserve">written certificate to each certified person = </w:t>
      </w:r>
      <w:r w:rsidRPr="3C7E2FAD" w:rsidR="00F6091B">
        <w:rPr>
          <w:rFonts w:ascii="Times New Roman" w:eastAsia="Times New Roman" w:hAnsi="Times New Roman" w:cs="Times New Roman"/>
          <w:sz w:val="24"/>
          <w:szCs w:val="24"/>
        </w:rPr>
        <w:t>184</w:t>
      </w:r>
      <w:r w:rsidRPr="3C7E2FAD">
        <w:rPr>
          <w:rFonts w:ascii="Times New Roman" w:eastAsia="Times New Roman" w:hAnsi="Times New Roman" w:cs="Times New Roman"/>
          <w:sz w:val="24"/>
          <w:szCs w:val="24"/>
        </w:rPr>
        <w:t xml:space="preserve"> hours</w:t>
      </w:r>
      <w:r w:rsidRPr="3C7E2FAD" w:rsidR="05D7D420">
        <w:rPr>
          <w:rFonts w:ascii="Times New Roman" w:eastAsia="Times New Roman" w:hAnsi="Times New Roman" w:cs="Times New Roman"/>
          <w:sz w:val="24"/>
          <w:szCs w:val="24"/>
        </w:rPr>
        <w:t xml:space="preserve"> (rounded)</w:t>
      </w:r>
    </w:p>
    <w:p w:rsidR="320FD785" w:rsidP="00D91F68" w14:paraId="7B26A677" w14:textId="3B0D4917">
      <w:pPr>
        <w:spacing w:after="0" w:line="240" w:lineRule="auto"/>
        <w:ind w:left="2880" w:hanging="720"/>
        <w:rPr>
          <w:rFonts w:ascii="Times New Roman" w:eastAsia="Times New Roman" w:hAnsi="Times New Roman" w:cs="Times New Roman"/>
          <w:sz w:val="24"/>
          <w:szCs w:val="24"/>
        </w:rPr>
      </w:pPr>
      <w:r w:rsidRPr="3C7E2FAD">
        <w:rPr>
          <w:rFonts w:ascii="Times New Roman" w:eastAsia="Times New Roman" w:hAnsi="Times New Roman" w:cs="Times New Roman"/>
          <w:sz w:val="24"/>
          <w:szCs w:val="24"/>
        </w:rPr>
        <w:t xml:space="preserve">  Cost: 184 hours x $53.70 = $9,880.80</w:t>
      </w:r>
    </w:p>
    <w:p w:rsidR="00BF576C" w:rsidRPr="00723CBD" w:rsidP="00BF576C" w14:paraId="25CF430C" w14:textId="77777777">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sz w:val="24"/>
          <w:szCs w:val="24"/>
        </w:rPr>
        <w:tab/>
      </w:r>
      <w:r w:rsidRPr="00723CBD">
        <w:rPr>
          <w:rFonts w:ascii="Times New Roman" w:eastAsia="Times New Roman" w:hAnsi="Times New Roman" w:cs="Times New Roman"/>
          <w:sz w:val="24"/>
          <w:szCs w:val="24"/>
        </w:rPr>
        <w:tab/>
      </w:r>
    </w:p>
    <w:p w:rsidR="00BF576C" w:rsidRPr="00723CBD" w:rsidP="00FF7CDC" w14:paraId="4841189F" w14:textId="3078E84B">
      <w:pPr>
        <w:autoSpaceDE w:val="0"/>
        <w:autoSpaceDN w:val="0"/>
        <w:adjustRightInd w:val="0"/>
        <w:spacing w:after="0" w:line="240" w:lineRule="auto"/>
        <w:ind w:left="2880" w:hanging="1440"/>
        <w:rPr>
          <w:rFonts w:ascii="Times New Roman" w:eastAsia="Times New Roman" w:hAnsi="Times New Roman" w:cs="Times New Roman"/>
          <w:sz w:val="24"/>
          <w:szCs w:val="24"/>
        </w:rPr>
      </w:pPr>
      <w:r w:rsidRPr="3C7E2FAD">
        <w:rPr>
          <w:rFonts w:ascii="Times New Roman" w:eastAsia="Times New Roman" w:hAnsi="Times New Roman" w:cs="Times New Roman"/>
          <w:sz w:val="24"/>
          <w:szCs w:val="24"/>
        </w:rPr>
        <w:t>Burden hours:</w:t>
      </w:r>
      <w:r>
        <w:tab/>
      </w:r>
      <w:r w:rsidRPr="3C7E2FAD" w:rsidR="001E5B0C">
        <w:rPr>
          <w:rFonts w:ascii="Times New Roman" w:eastAsia="Times New Roman" w:hAnsi="Times New Roman" w:cs="Times New Roman"/>
          <w:sz w:val="24"/>
          <w:szCs w:val="24"/>
        </w:rPr>
        <w:t>1,106</w:t>
      </w:r>
      <w:r w:rsidRPr="3C7E2FAD" w:rsidR="00387ADE">
        <w:rPr>
          <w:rFonts w:ascii="Times New Roman" w:eastAsia="Times New Roman" w:hAnsi="Times New Roman" w:cs="Times New Roman"/>
          <w:sz w:val="24"/>
          <w:szCs w:val="24"/>
        </w:rPr>
        <w:t xml:space="preserve"> </w:t>
      </w:r>
      <w:r w:rsidRPr="3C7E2FAD">
        <w:rPr>
          <w:rFonts w:ascii="Times New Roman" w:eastAsia="Times New Roman" w:hAnsi="Times New Roman" w:cs="Times New Roman"/>
          <w:sz w:val="24"/>
          <w:szCs w:val="24"/>
        </w:rPr>
        <w:t xml:space="preserve">new workers x </w:t>
      </w:r>
      <w:r w:rsidRPr="3C7E2FAD" w:rsidR="004C1DF0">
        <w:rPr>
          <w:rFonts w:ascii="Times New Roman" w:eastAsia="Times New Roman" w:hAnsi="Times New Roman" w:cs="Times New Roman"/>
          <w:sz w:val="24"/>
          <w:szCs w:val="24"/>
        </w:rPr>
        <w:t>3/60</w:t>
      </w:r>
      <w:r w:rsidRPr="3C7E2FAD" w:rsidR="005F0153">
        <w:rPr>
          <w:rFonts w:ascii="Times New Roman" w:eastAsia="Times New Roman" w:hAnsi="Times New Roman" w:cs="Times New Roman"/>
          <w:sz w:val="24"/>
          <w:szCs w:val="24"/>
        </w:rPr>
        <w:t xml:space="preserve"> </w:t>
      </w:r>
      <w:r w:rsidRPr="3C7E2FAD">
        <w:rPr>
          <w:rFonts w:ascii="Times New Roman" w:eastAsia="Times New Roman" w:hAnsi="Times New Roman" w:cs="Times New Roman"/>
          <w:sz w:val="24"/>
          <w:szCs w:val="24"/>
        </w:rPr>
        <w:t xml:space="preserve">hour to generate, maintain, and provide the written certificate to each certified person = </w:t>
      </w:r>
      <w:r w:rsidRPr="3C7E2FAD" w:rsidR="004C1DF0">
        <w:rPr>
          <w:rFonts w:ascii="Times New Roman" w:eastAsia="Times New Roman" w:hAnsi="Times New Roman" w:cs="Times New Roman"/>
          <w:sz w:val="24"/>
          <w:szCs w:val="24"/>
        </w:rPr>
        <w:t>55</w:t>
      </w:r>
    </w:p>
    <w:p w:rsidR="00BF576C" w:rsidRPr="00723CBD" w:rsidP="3C7E2FAD" w14:paraId="045A5977" w14:textId="2974472F">
      <w:pPr>
        <w:autoSpaceDE w:val="0"/>
        <w:autoSpaceDN w:val="0"/>
        <w:adjustRightInd w:val="0"/>
        <w:spacing w:after="0" w:line="240" w:lineRule="auto"/>
        <w:ind w:left="2880"/>
        <w:rPr>
          <w:rFonts w:ascii="Times New Roman" w:eastAsia="Times New Roman" w:hAnsi="Times New Roman" w:cs="Times New Roman"/>
          <w:sz w:val="24"/>
          <w:szCs w:val="24"/>
        </w:rPr>
      </w:pPr>
      <w:r w:rsidRPr="3C7E2FAD">
        <w:rPr>
          <w:rFonts w:ascii="Times New Roman" w:eastAsia="Times New Roman" w:hAnsi="Times New Roman" w:cs="Times New Roman"/>
          <w:sz w:val="24"/>
          <w:szCs w:val="24"/>
        </w:rPr>
        <w:t xml:space="preserve"> </w:t>
      </w:r>
      <w:r w:rsidRPr="3C7E2FAD" w:rsidR="25A29FD4">
        <w:rPr>
          <w:rFonts w:ascii="Times New Roman" w:eastAsia="Times New Roman" w:hAnsi="Times New Roman" w:cs="Times New Roman"/>
          <w:sz w:val="24"/>
          <w:szCs w:val="24"/>
        </w:rPr>
        <w:t>H</w:t>
      </w:r>
      <w:r w:rsidRPr="3C7E2FAD">
        <w:rPr>
          <w:rFonts w:ascii="Times New Roman" w:eastAsia="Times New Roman" w:hAnsi="Times New Roman" w:cs="Times New Roman"/>
          <w:sz w:val="24"/>
          <w:szCs w:val="24"/>
        </w:rPr>
        <w:t>ours</w:t>
      </w:r>
      <w:r w:rsidRPr="3C7E2FAD" w:rsidR="25A29FD4">
        <w:rPr>
          <w:rFonts w:ascii="Times New Roman" w:eastAsia="Times New Roman" w:hAnsi="Times New Roman" w:cs="Times New Roman"/>
          <w:sz w:val="24"/>
          <w:szCs w:val="24"/>
        </w:rPr>
        <w:t xml:space="preserve"> (rounded)</w:t>
      </w:r>
    </w:p>
    <w:p w:rsidR="0B6A7C64" w:rsidP="00D91F68" w14:paraId="611DEC58" w14:textId="0556E211">
      <w:pPr>
        <w:spacing w:after="0" w:line="240" w:lineRule="auto"/>
        <w:ind w:left="2160"/>
        <w:rPr>
          <w:rFonts w:ascii="Times New Roman" w:eastAsia="Times New Roman" w:hAnsi="Times New Roman" w:cs="Times New Roman"/>
          <w:sz w:val="24"/>
          <w:szCs w:val="24"/>
        </w:rPr>
      </w:pPr>
      <w:r w:rsidRPr="3C7E2FAD">
        <w:rPr>
          <w:rFonts w:ascii="Times New Roman" w:eastAsia="Times New Roman" w:hAnsi="Times New Roman" w:cs="Times New Roman"/>
          <w:sz w:val="24"/>
          <w:szCs w:val="24"/>
        </w:rPr>
        <w:t xml:space="preserve">  Cost: 55 hours x $53.70 = $2</w:t>
      </w:r>
      <w:r w:rsidRPr="3C7E2FAD" w:rsidR="5C7B5789">
        <w:rPr>
          <w:rFonts w:ascii="Times New Roman" w:eastAsia="Times New Roman" w:hAnsi="Times New Roman" w:cs="Times New Roman"/>
          <w:sz w:val="24"/>
          <w:szCs w:val="24"/>
        </w:rPr>
        <w:t>,</w:t>
      </w:r>
      <w:r w:rsidRPr="3C7E2FAD">
        <w:rPr>
          <w:rFonts w:ascii="Times New Roman" w:eastAsia="Times New Roman" w:hAnsi="Times New Roman" w:cs="Times New Roman"/>
          <w:sz w:val="24"/>
          <w:szCs w:val="24"/>
        </w:rPr>
        <w:t>9</w:t>
      </w:r>
      <w:r w:rsidRPr="3C7E2FAD" w:rsidR="3BCDCA22">
        <w:rPr>
          <w:rFonts w:ascii="Times New Roman" w:eastAsia="Times New Roman" w:hAnsi="Times New Roman" w:cs="Times New Roman"/>
          <w:sz w:val="24"/>
          <w:szCs w:val="24"/>
        </w:rPr>
        <w:t>53.30</w:t>
      </w:r>
    </w:p>
    <w:p w:rsidR="00BF576C" w:rsidRPr="00723CBD" w:rsidP="00BF576C" w14:paraId="1926EB92" w14:textId="77777777">
      <w:pPr>
        <w:autoSpaceDE w:val="0"/>
        <w:autoSpaceDN w:val="0"/>
        <w:adjustRightInd w:val="0"/>
        <w:spacing w:after="0" w:line="240" w:lineRule="auto"/>
        <w:rPr>
          <w:rFonts w:ascii="Times New Roman" w:eastAsia="Times New Roman" w:hAnsi="Times New Roman" w:cs="Times New Roman"/>
          <w:sz w:val="24"/>
          <w:szCs w:val="24"/>
        </w:rPr>
      </w:pPr>
    </w:p>
    <w:p w:rsidR="004C1DF0" w:rsidRPr="00723CBD" w:rsidP="00BF576C" w14:paraId="05280281" w14:textId="4CDC99BB">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sz w:val="24"/>
          <w:szCs w:val="24"/>
        </w:rPr>
        <w:tab/>
      </w:r>
      <w:r w:rsidRPr="00723CBD">
        <w:rPr>
          <w:rFonts w:ascii="Times New Roman" w:eastAsia="Times New Roman" w:hAnsi="Times New Roman" w:cs="Times New Roman"/>
          <w:sz w:val="24"/>
          <w:szCs w:val="24"/>
        </w:rPr>
        <w:tab/>
      </w:r>
      <w:r w:rsidRPr="00723CBD">
        <w:rPr>
          <w:rFonts w:ascii="Times New Roman" w:eastAsia="Times New Roman" w:hAnsi="Times New Roman" w:cs="Times New Roman"/>
          <w:sz w:val="24"/>
          <w:szCs w:val="24"/>
        </w:rPr>
        <w:tab/>
      </w:r>
    </w:p>
    <w:p w:rsidR="140A46A1" w:rsidRPr="00D91F68" w:rsidP="3C7E2FAD" w14:paraId="6ECFE24C" w14:textId="13359D86">
      <w:pPr>
        <w:spacing w:after="0" w:line="240" w:lineRule="auto"/>
        <w:rPr>
          <w:rFonts w:ascii="Times New Roman" w:eastAsia="Times New Roman" w:hAnsi="Times New Roman" w:cs="Times New Roman"/>
          <w:b/>
          <w:bCs/>
          <w:sz w:val="24"/>
          <w:szCs w:val="24"/>
        </w:rPr>
      </w:pPr>
      <w:r>
        <w:tab/>
      </w:r>
      <w:r w:rsidRPr="00D91F68">
        <w:rPr>
          <w:rFonts w:ascii="Times New Roman" w:eastAsia="Times New Roman" w:hAnsi="Times New Roman" w:cs="Times New Roman"/>
          <w:b/>
          <w:bCs/>
          <w:sz w:val="24"/>
          <w:szCs w:val="24"/>
        </w:rPr>
        <w:t xml:space="preserve">Subtotal Burden hours: 184 hours + 55 hours = </w:t>
      </w:r>
      <w:r w:rsidRPr="3C7E2FAD" w:rsidR="4E7D5B2C">
        <w:rPr>
          <w:rFonts w:ascii="Times New Roman" w:eastAsia="Times New Roman" w:hAnsi="Times New Roman" w:cs="Times New Roman"/>
          <w:b/>
          <w:bCs/>
          <w:sz w:val="24"/>
          <w:szCs w:val="24"/>
        </w:rPr>
        <w:t>239</w:t>
      </w:r>
      <w:r w:rsidRPr="00D91F68" w:rsidR="0B990AE8">
        <w:rPr>
          <w:rFonts w:ascii="Times New Roman" w:eastAsia="Times New Roman" w:hAnsi="Times New Roman" w:cs="Times New Roman"/>
          <w:b/>
          <w:bCs/>
          <w:sz w:val="24"/>
          <w:szCs w:val="24"/>
        </w:rPr>
        <w:t xml:space="preserve"> hours</w:t>
      </w:r>
    </w:p>
    <w:p w:rsidR="00BF576C" w:rsidP="00BF576C" w14:paraId="6AF4C6C2" w14:textId="21C46DD9">
      <w:pPr>
        <w:autoSpaceDE w:val="0"/>
        <w:autoSpaceDN w:val="0"/>
        <w:adjustRightInd w:val="0"/>
        <w:spacing w:after="0" w:line="240" w:lineRule="auto"/>
        <w:rPr>
          <w:rFonts w:ascii="Times New Roman" w:eastAsia="Times New Roman" w:hAnsi="Times New Roman" w:cs="Times New Roman"/>
          <w:b/>
          <w:bCs/>
          <w:sz w:val="24"/>
          <w:szCs w:val="24"/>
        </w:rPr>
      </w:pPr>
      <w:r>
        <w:tab/>
      </w:r>
      <w:r w:rsidRPr="3C7E2FAD" w:rsidR="2ACF1FB2">
        <w:rPr>
          <w:rFonts w:ascii="Times New Roman" w:eastAsia="Times New Roman" w:hAnsi="Times New Roman" w:cs="Times New Roman"/>
          <w:b/>
          <w:bCs/>
          <w:sz w:val="24"/>
          <w:szCs w:val="24"/>
        </w:rPr>
        <w:t xml:space="preserve">                </w:t>
      </w:r>
      <w:r w:rsidRPr="00D91F68">
        <w:rPr>
          <w:rFonts w:ascii="Times New Roman" w:eastAsia="Times New Roman" w:hAnsi="Times New Roman" w:cs="Times New Roman"/>
          <w:b/>
          <w:bCs/>
          <w:sz w:val="24"/>
          <w:szCs w:val="24"/>
        </w:rPr>
        <w:t>Subtotal Cost:</w:t>
      </w:r>
      <w:r w:rsidRPr="00D91F68" w:rsidR="5CFA2C86">
        <w:rPr>
          <w:rFonts w:ascii="Times New Roman" w:eastAsia="Times New Roman" w:hAnsi="Times New Roman" w:cs="Times New Roman"/>
          <w:b/>
          <w:bCs/>
          <w:sz w:val="24"/>
          <w:szCs w:val="24"/>
        </w:rPr>
        <w:t xml:space="preserve"> </w:t>
      </w:r>
      <w:r w:rsidRPr="00D91F68" w:rsidR="20D77369">
        <w:rPr>
          <w:rFonts w:ascii="Times New Roman" w:eastAsia="Times New Roman" w:hAnsi="Times New Roman" w:cs="Times New Roman"/>
          <w:b/>
          <w:bCs/>
          <w:sz w:val="24"/>
          <w:szCs w:val="24"/>
        </w:rPr>
        <w:t>$9,880.80 + $2</w:t>
      </w:r>
      <w:r w:rsidRPr="3C7E2FAD" w:rsidR="1C0927AA">
        <w:rPr>
          <w:rFonts w:ascii="Times New Roman" w:eastAsia="Times New Roman" w:hAnsi="Times New Roman" w:cs="Times New Roman"/>
          <w:b/>
          <w:bCs/>
          <w:sz w:val="24"/>
          <w:szCs w:val="24"/>
        </w:rPr>
        <w:t>,</w:t>
      </w:r>
      <w:r w:rsidRPr="00D91F68" w:rsidR="20D77369">
        <w:rPr>
          <w:rFonts w:ascii="Times New Roman" w:eastAsia="Times New Roman" w:hAnsi="Times New Roman" w:cs="Times New Roman"/>
          <w:b/>
          <w:bCs/>
          <w:sz w:val="24"/>
          <w:szCs w:val="24"/>
        </w:rPr>
        <w:t>9</w:t>
      </w:r>
      <w:r w:rsidRPr="3C7E2FAD" w:rsidR="06375D8B">
        <w:rPr>
          <w:rFonts w:ascii="Times New Roman" w:eastAsia="Times New Roman" w:hAnsi="Times New Roman" w:cs="Times New Roman"/>
          <w:b/>
          <w:bCs/>
          <w:sz w:val="24"/>
          <w:szCs w:val="24"/>
        </w:rPr>
        <w:t>53.30</w:t>
      </w:r>
      <w:r w:rsidRPr="00D91F68" w:rsidR="20D77369">
        <w:rPr>
          <w:rFonts w:ascii="Times New Roman" w:eastAsia="Times New Roman" w:hAnsi="Times New Roman" w:cs="Times New Roman"/>
          <w:b/>
          <w:bCs/>
          <w:sz w:val="24"/>
          <w:szCs w:val="24"/>
        </w:rPr>
        <w:t xml:space="preserve"> = $</w:t>
      </w:r>
      <w:r w:rsidRPr="3C7E2FAD" w:rsidR="68936517">
        <w:rPr>
          <w:rFonts w:ascii="Times New Roman" w:eastAsia="Times New Roman" w:hAnsi="Times New Roman" w:cs="Times New Roman"/>
          <w:b/>
          <w:bCs/>
          <w:sz w:val="24"/>
          <w:szCs w:val="24"/>
        </w:rPr>
        <w:t>12,834.30</w:t>
      </w:r>
    </w:p>
    <w:p w:rsidR="001C0284" w:rsidRPr="00723CBD" w:rsidP="00BF576C" w14:paraId="01E15460"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4B79EDA6" w14:textId="77777777">
      <w:pPr>
        <w:autoSpaceDE w:val="0"/>
        <w:autoSpaceDN w:val="0"/>
        <w:adjustRightInd w:val="0"/>
        <w:spacing w:after="0" w:line="240" w:lineRule="auto"/>
        <w:rPr>
          <w:rFonts w:ascii="Times New Roman" w:eastAsia="Times New Roman" w:hAnsi="Times New Roman" w:cs="Times New Roman"/>
          <w:b/>
          <w:sz w:val="24"/>
          <w:szCs w:val="24"/>
        </w:rPr>
      </w:pPr>
      <w:r w:rsidRPr="00723CBD">
        <w:rPr>
          <w:rFonts w:ascii="Times New Roman" w:eastAsia="Times New Roman" w:hAnsi="Times New Roman" w:cs="Times New Roman"/>
          <w:b/>
          <w:bCs/>
          <w:sz w:val="24"/>
          <w:szCs w:val="24"/>
        </w:rPr>
        <w:t>5. Certification of refresher training</w:t>
      </w:r>
    </w:p>
    <w:p w:rsidR="00BF576C" w:rsidRPr="00723CBD" w:rsidP="00BF576C" w14:paraId="1F9EC5CF" w14:textId="77777777">
      <w:pPr>
        <w:autoSpaceDE w:val="0"/>
        <w:autoSpaceDN w:val="0"/>
        <w:adjustRightInd w:val="0"/>
        <w:spacing w:after="0" w:line="240" w:lineRule="auto"/>
        <w:rPr>
          <w:rFonts w:ascii="Times New Roman" w:eastAsia="Times New Roman" w:hAnsi="Times New Roman" w:cs="Times New Roman"/>
          <w:sz w:val="24"/>
          <w:szCs w:val="24"/>
          <w:u w:val="single"/>
        </w:rPr>
      </w:pPr>
    </w:p>
    <w:p w:rsidR="00BF576C" w:rsidRPr="00723CBD" w:rsidP="00BF576C" w14:paraId="29175B23" w14:textId="21FC5811">
      <w:pPr>
        <w:autoSpaceDE w:val="0"/>
        <w:autoSpaceDN w:val="0"/>
        <w:adjustRightInd w:val="0"/>
        <w:spacing w:after="0" w:line="240" w:lineRule="auto"/>
        <w:rPr>
          <w:rFonts w:ascii="Times New Roman" w:eastAsia="Times New Roman" w:hAnsi="Times New Roman" w:cs="Times New Roman"/>
          <w:sz w:val="24"/>
          <w:szCs w:val="24"/>
        </w:rPr>
      </w:pPr>
      <w:r w:rsidRPr="00D91F68">
        <w:rPr>
          <w:rFonts w:ascii="Times New Roman" w:eastAsia="Times New Roman" w:hAnsi="Times New Roman" w:cs="Times New Roman"/>
          <w:sz w:val="24"/>
          <w:szCs w:val="24"/>
        </w:rPr>
        <w:t>Paragraph 1910.120(e)(8)</w:t>
      </w:r>
      <w:r w:rsidRPr="3C7E2FAD">
        <w:rPr>
          <w:rFonts w:ascii="Times New Roman" w:eastAsia="Times New Roman" w:hAnsi="Times New Roman" w:cs="Times New Roman"/>
          <w:sz w:val="24"/>
          <w:szCs w:val="24"/>
        </w:rPr>
        <w:t xml:space="preserve"> requires that workers specified in paragraph (e)(1) of this section, and managers and supervisors specified in paragraph (e)(4) of this section, shall </w:t>
      </w:r>
      <w:r w:rsidRPr="3C7E2FAD" w:rsidR="00F8103F">
        <w:rPr>
          <w:rFonts w:ascii="Times New Roman" w:eastAsia="Times New Roman" w:hAnsi="Times New Roman" w:cs="Times New Roman"/>
          <w:sz w:val="24"/>
          <w:szCs w:val="24"/>
        </w:rPr>
        <w:t xml:space="preserve">receive </w:t>
      </w:r>
      <w:r w:rsidRPr="3C7E2FAD">
        <w:rPr>
          <w:rFonts w:ascii="Times New Roman" w:eastAsia="Times New Roman" w:hAnsi="Times New Roman" w:cs="Times New Roman"/>
          <w:sz w:val="24"/>
          <w:szCs w:val="24"/>
        </w:rPr>
        <w:t>refresher training annually on the items specified in paragraph</w:t>
      </w:r>
      <w:r w:rsidRPr="3C7E2FAD" w:rsidR="260233F2">
        <w:rPr>
          <w:rFonts w:ascii="Times New Roman" w:eastAsia="Times New Roman" w:hAnsi="Times New Roman" w:cs="Times New Roman"/>
          <w:sz w:val="24"/>
          <w:szCs w:val="24"/>
        </w:rPr>
        <w:t>s</w:t>
      </w:r>
      <w:r w:rsidRPr="3C7E2FAD">
        <w:rPr>
          <w:rFonts w:ascii="Times New Roman" w:eastAsia="Times New Roman" w:hAnsi="Times New Roman" w:cs="Times New Roman"/>
          <w:sz w:val="24"/>
          <w:szCs w:val="24"/>
        </w:rPr>
        <w:t xml:space="preserve"> (e)(2) and/or (e)(4) of this section, any critique of incidents that have occurred in the past year that can serve as training examples of related work, and other relevant topics. Employers must certify that workers receive refresher training</w:t>
      </w:r>
      <w:r w:rsidRPr="3C7E2FAD" w:rsidR="4375599A">
        <w:rPr>
          <w:rFonts w:ascii="Times New Roman" w:eastAsia="Times New Roman" w:hAnsi="Times New Roman" w:cs="Times New Roman"/>
          <w:sz w:val="24"/>
          <w:szCs w:val="24"/>
        </w:rPr>
        <w:t>s</w:t>
      </w:r>
      <w:r w:rsidRPr="3C7E2FAD">
        <w:rPr>
          <w:rFonts w:ascii="Times New Roman" w:eastAsia="Times New Roman" w:hAnsi="Times New Roman" w:cs="Times New Roman"/>
          <w:sz w:val="24"/>
          <w:szCs w:val="24"/>
        </w:rPr>
        <w:t xml:space="preserve"> and </w:t>
      </w:r>
      <w:r w:rsidRPr="3C7E2FAD" w:rsidR="67E9F6E9">
        <w:rPr>
          <w:rFonts w:ascii="Times New Roman" w:eastAsia="Times New Roman" w:hAnsi="Times New Roman" w:cs="Times New Roman"/>
          <w:sz w:val="24"/>
          <w:szCs w:val="24"/>
        </w:rPr>
        <w:t xml:space="preserve">the agency estimates </w:t>
      </w:r>
      <w:r w:rsidRPr="3C7E2FAD">
        <w:rPr>
          <w:rFonts w:ascii="Times New Roman" w:eastAsia="Times New Roman" w:hAnsi="Times New Roman" w:cs="Times New Roman"/>
          <w:sz w:val="24"/>
          <w:szCs w:val="24"/>
        </w:rPr>
        <w:t xml:space="preserve">that it takes </w:t>
      </w:r>
      <w:r w:rsidRPr="3C7E2FAD" w:rsidR="001C0284">
        <w:rPr>
          <w:rFonts w:ascii="Times New Roman" w:eastAsia="Times New Roman" w:hAnsi="Times New Roman" w:cs="Times New Roman"/>
          <w:sz w:val="24"/>
          <w:szCs w:val="24"/>
        </w:rPr>
        <w:t>one minute</w:t>
      </w:r>
      <w:r w:rsidRPr="3C7E2FAD">
        <w:rPr>
          <w:rFonts w:ascii="Times New Roman" w:eastAsia="Times New Roman" w:hAnsi="Times New Roman" w:cs="Times New Roman"/>
          <w:sz w:val="24"/>
          <w:szCs w:val="24"/>
        </w:rPr>
        <w:t xml:space="preserve"> </w:t>
      </w:r>
      <w:r w:rsidRPr="3C7E2FAD" w:rsidR="4191B99A">
        <w:rPr>
          <w:rFonts w:ascii="Times New Roman" w:eastAsia="Times New Roman" w:hAnsi="Times New Roman" w:cs="Times New Roman"/>
          <w:sz w:val="24"/>
          <w:szCs w:val="24"/>
        </w:rPr>
        <w:t>(</w:t>
      </w:r>
      <w:r w:rsidRPr="3C7E2FAD" w:rsidR="002311E4">
        <w:rPr>
          <w:rFonts w:ascii="Times New Roman" w:eastAsia="Times New Roman" w:hAnsi="Times New Roman" w:cs="Times New Roman"/>
          <w:sz w:val="24"/>
          <w:szCs w:val="24"/>
        </w:rPr>
        <w:t>1/60</w:t>
      </w:r>
      <w:r w:rsidRPr="3C7E2FAD" w:rsidR="48C33A64">
        <w:rPr>
          <w:rFonts w:ascii="Times New Roman" w:eastAsia="Times New Roman" w:hAnsi="Times New Roman" w:cs="Times New Roman"/>
          <w:sz w:val="24"/>
          <w:szCs w:val="24"/>
        </w:rPr>
        <w:t xml:space="preserve"> hour)</w:t>
      </w:r>
      <w:r w:rsidRPr="3C7E2FAD">
        <w:rPr>
          <w:rFonts w:ascii="Times New Roman" w:eastAsia="Times New Roman" w:hAnsi="Times New Roman" w:cs="Times New Roman"/>
          <w:sz w:val="24"/>
          <w:szCs w:val="24"/>
        </w:rPr>
        <w:t xml:space="preserve"> to maintain records for </w:t>
      </w:r>
      <w:r w:rsidRPr="3C7E2FAD">
        <w:rPr>
          <w:rFonts w:ascii="Times New Roman" w:eastAsia="Times New Roman" w:hAnsi="Times New Roman" w:cs="Times New Roman"/>
          <w:sz w:val="24"/>
          <w:szCs w:val="24"/>
        </w:rPr>
        <w:t xml:space="preserve">existing workers and 3 minutes </w:t>
      </w:r>
      <w:r w:rsidRPr="3C7E2FAD" w:rsidR="00A53503">
        <w:rPr>
          <w:rFonts w:ascii="Times New Roman" w:eastAsia="Times New Roman" w:hAnsi="Times New Roman" w:cs="Times New Roman"/>
          <w:sz w:val="24"/>
          <w:szCs w:val="24"/>
        </w:rPr>
        <w:t>(</w:t>
      </w:r>
      <w:r w:rsidRPr="3C7E2FAD" w:rsidR="002311E4">
        <w:rPr>
          <w:rFonts w:ascii="Times New Roman" w:eastAsia="Times New Roman" w:hAnsi="Times New Roman" w:cs="Times New Roman"/>
          <w:sz w:val="24"/>
          <w:szCs w:val="24"/>
        </w:rPr>
        <w:t>3/60</w:t>
      </w:r>
      <w:r w:rsidRPr="3C7E2FAD">
        <w:rPr>
          <w:rFonts w:ascii="Times New Roman" w:eastAsia="Times New Roman" w:hAnsi="Times New Roman" w:cs="Times New Roman"/>
          <w:sz w:val="24"/>
          <w:szCs w:val="24"/>
        </w:rPr>
        <w:t xml:space="preserve"> hour</w:t>
      </w:r>
      <w:r w:rsidRPr="3C7E2FAD" w:rsidR="00A53503">
        <w:rPr>
          <w:rFonts w:ascii="Times New Roman" w:eastAsia="Times New Roman" w:hAnsi="Times New Roman" w:cs="Times New Roman"/>
          <w:sz w:val="24"/>
          <w:szCs w:val="24"/>
        </w:rPr>
        <w:t>)</w:t>
      </w:r>
      <w:r w:rsidRPr="3C7E2FAD">
        <w:rPr>
          <w:rFonts w:ascii="Times New Roman" w:eastAsia="Times New Roman" w:hAnsi="Times New Roman" w:cs="Times New Roman"/>
          <w:sz w:val="24"/>
          <w:szCs w:val="24"/>
        </w:rPr>
        <w:t xml:space="preserve"> to generate and maintain the certification record</w:t>
      </w:r>
      <w:r w:rsidRPr="3C7E2FAD" w:rsidR="2F107794">
        <w:rPr>
          <w:rFonts w:ascii="Times New Roman" w:eastAsia="Times New Roman" w:hAnsi="Times New Roman" w:cs="Times New Roman"/>
          <w:sz w:val="24"/>
          <w:szCs w:val="24"/>
        </w:rPr>
        <w:t>s</w:t>
      </w:r>
      <w:r w:rsidRPr="3C7E2FAD">
        <w:rPr>
          <w:rFonts w:ascii="Times New Roman" w:eastAsia="Times New Roman" w:hAnsi="Times New Roman" w:cs="Times New Roman"/>
          <w:sz w:val="24"/>
          <w:szCs w:val="24"/>
        </w:rPr>
        <w:t xml:space="preserve"> for new workers.</w:t>
      </w:r>
    </w:p>
    <w:p w:rsidR="00BF576C" w:rsidRPr="00723CBD" w:rsidP="00BF576C" w14:paraId="00100564" w14:textId="77777777">
      <w:pPr>
        <w:autoSpaceDE w:val="0"/>
        <w:autoSpaceDN w:val="0"/>
        <w:adjustRightInd w:val="0"/>
        <w:spacing w:after="0" w:line="240" w:lineRule="auto"/>
        <w:rPr>
          <w:rFonts w:ascii="Times New Roman" w:eastAsia="Times New Roman" w:hAnsi="Times New Roman" w:cs="Times New Roman"/>
          <w:sz w:val="24"/>
          <w:szCs w:val="24"/>
        </w:rPr>
      </w:pPr>
    </w:p>
    <w:p w:rsidR="00E3769C" w:rsidRPr="00723CBD" w:rsidP="00D91F68" w14:paraId="01AB7F3C" w14:textId="51F66BFE">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3C7E2FAD">
        <w:rPr>
          <w:rFonts w:ascii="Times New Roman" w:eastAsia="Times New Roman" w:hAnsi="Times New Roman" w:cs="Times New Roman"/>
          <w:sz w:val="24"/>
          <w:szCs w:val="24"/>
        </w:rPr>
        <w:t>Burden hours:</w:t>
      </w:r>
      <w:r>
        <w:tab/>
      </w:r>
      <w:r w:rsidRPr="3C7E2FAD" w:rsidR="00EE33DB">
        <w:rPr>
          <w:rFonts w:ascii="Times New Roman" w:eastAsia="Times New Roman" w:hAnsi="Times New Roman" w:cs="Times New Roman"/>
          <w:sz w:val="24"/>
          <w:szCs w:val="24"/>
        </w:rPr>
        <w:t>11,060</w:t>
      </w:r>
      <w:r w:rsidRPr="3C7E2FAD" w:rsidR="009F12B2">
        <w:rPr>
          <w:rFonts w:ascii="Times New Roman" w:eastAsia="Times New Roman" w:hAnsi="Times New Roman" w:cs="Times New Roman"/>
          <w:sz w:val="24"/>
          <w:szCs w:val="24"/>
        </w:rPr>
        <w:t xml:space="preserve"> </w:t>
      </w:r>
      <w:r w:rsidRPr="3C7E2FAD">
        <w:rPr>
          <w:rFonts w:ascii="Times New Roman" w:eastAsia="Times New Roman" w:hAnsi="Times New Roman" w:cs="Times New Roman"/>
          <w:sz w:val="24"/>
          <w:szCs w:val="24"/>
        </w:rPr>
        <w:t xml:space="preserve">existing workers x </w:t>
      </w:r>
      <w:r w:rsidRPr="3C7E2FAD" w:rsidR="0023699C">
        <w:rPr>
          <w:rFonts w:ascii="Times New Roman" w:eastAsia="Times New Roman" w:hAnsi="Times New Roman" w:cs="Times New Roman"/>
          <w:sz w:val="24"/>
          <w:szCs w:val="24"/>
        </w:rPr>
        <w:t>1/60</w:t>
      </w:r>
      <w:r w:rsidRPr="3C7E2FAD">
        <w:rPr>
          <w:rFonts w:ascii="Times New Roman" w:eastAsia="Times New Roman" w:hAnsi="Times New Roman" w:cs="Times New Roman"/>
          <w:sz w:val="24"/>
          <w:szCs w:val="24"/>
        </w:rPr>
        <w:t xml:space="preserve"> hour = </w:t>
      </w:r>
      <w:r w:rsidRPr="3C7E2FAD" w:rsidR="009A2B47">
        <w:rPr>
          <w:rFonts w:ascii="Times New Roman" w:eastAsia="Times New Roman" w:hAnsi="Times New Roman" w:cs="Times New Roman"/>
          <w:sz w:val="24"/>
          <w:szCs w:val="24"/>
        </w:rPr>
        <w:t>184</w:t>
      </w:r>
      <w:r>
        <w:tab/>
      </w:r>
      <w:r w:rsidRPr="3C7E2FAD" w:rsidR="4B3D9D64">
        <w:rPr>
          <w:rFonts w:ascii="Times New Roman" w:eastAsia="Times New Roman" w:hAnsi="Times New Roman" w:cs="Times New Roman"/>
          <w:sz w:val="24"/>
          <w:szCs w:val="24"/>
        </w:rPr>
        <w:t>hours</w:t>
      </w:r>
      <w:r w:rsidRPr="3C7E2FAD" w:rsidR="05EEC1BF">
        <w:rPr>
          <w:rFonts w:ascii="Times New Roman" w:eastAsia="Times New Roman" w:hAnsi="Times New Roman" w:cs="Times New Roman"/>
          <w:sz w:val="24"/>
          <w:szCs w:val="24"/>
        </w:rPr>
        <w:t xml:space="preserve"> (rounded)</w:t>
      </w:r>
    </w:p>
    <w:p w:rsidR="081D7493" w:rsidP="00D91F68" w14:paraId="7D4BB9BF" w14:textId="702052AA">
      <w:pPr>
        <w:spacing w:after="0" w:line="240" w:lineRule="auto"/>
        <w:ind w:left="720" w:firstLine="720"/>
        <w:rPr>
          <w:rFonts w:ascii="Times New Roman" w:eastAsia="Times New Roman" w:hAnsi="Times New Roman" w:cs="Times New Roman"/>
          <w:sz w:val="24"/>
          <w:szCs w:val="24"/>
        </w:rPr>
      </w:pPr>
      <w:r>
        <w:tab/>
      </w:r>
      <w:r w:rsidR="5B061B00">
        <w:t xml:space="preserve">   </w:t>
      </w:r>
      <w:r w:rsidRPr="3C7E2FAD">
        <w:rPr>
          <w:rFonts w:ascii="Times New Roman" w:eastAsia="Times New Roman" w:hAnsi="Times New Roman" w:cs="Times New Roman"/>
          <w:sz w:val="24"/>
          <w:szCs w:val="24"/>
        </w:rPr>
        <w:t>Cost: 184 hours x $53.70 =</w:t>
      </w:r>
      <w:r w:rsidRPr="3C7E2FAD" w:rsidR="4B9D3D78">
        <w:rPr>
          <w:rFonts w:ascii="Times New Roman" w:eastAsia="Times New Roman" w:hAnsi="Times New Roman" w:cs="Times New Roman"/>
          <w:sz w:val="24"/>
          <w:szCs w:val="24"/>
        </w:rPr>
        <w:t xml:space="preserve"> $9,880,80</w:t>
      </w:r>
    </w:p>
    <w:p w:rsidR="3C7E2FAD" w:rsidP="3C7E2FAD" w14:paraId="71358234" w14:textId="39C9A411">
      <w:pPr>
        <w:spacing w:after="0" w:line="240" w:lineRule="auto"/>
        <w:ind w:left="720"/>
        <w:rPr>
          <w:rFonts w:ascii="Times New Roman" w:eastAsia="Times New Roman" w:hAnsi="Times New Roman" w:cs="Times New Roman"/>
          <w:sz w:val="24"/>
          <w:szCs w:val="24"/>
        </w:rPr>
      </w:pPr>
    </w:p>
    <w:p w:rsidR="00BF576C" w:rsidRPr="00723CBD" w:rsidP="00D91F68" w14:paraId="2B3CD33A" w14:textId="4444E5C6">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3C7E2FAD">
        <w:rPr>
          <w:rFonts w:ascii="Times New Roman" w:eastAsia="Times New Roman" w:hAnsi="Times New Roman" w:cs="Times New Roman"/>
          <w:sz w:val="24"/>
          <w:szCs w:val="24"/>
        </w:rPr>
        <w:t xml:space="preserve">Burden hours: </w:t>
      </w:r>
      <w:r w:rsidRPr="3C7E2FAD" w:rsidR="00B22BC4">
        <w:rPr>
          <w:rFonts w:ascii="Times New Roman" w:eastAsia="Times New Roman" w:hAnsi="Times New Roman" w:cs="Times New Roman"/>
          <w:sz w:val="24"/>
          <w:szCs w:val="24"/>
        </w:rPr>
        <w:t>1</w:t>
      </w:r>
      <w:r w:rsidRPr="3C7E2FAD" w:rsidR="00C53DF1">
        <w:rPr>
          <w:rFonts w:ascii="Times New Roman" w:eastAsia="Times New Roman" w:hAnsi="Times New Roman" w:cs="Times New Roman"/>
          <w:sz w:val="24"/>
          <w:szCs w:val="24"/>
        </w:rPr>
        <w:t>,</w:t>
      </w:r>
      <w:r w:rsidRPr="3C7E2FAD" w:rsidR="00B22BC4">
        <w:rPr>
          <w:rFonts w:ascii="Times New Roman" w:eastAsia="Times New Roman" w:hAnsi="Times New Roman" w:cs="Times New Roman"/>
          <w:sz w:val="24"/>
          <w:szCs w:val="24"/>
        </w:rPr>
        <w:t>106</w:t>
      </w:r>
      <w:r w:rsidRPr="3C7E2FAD" w:rsidR="00F27BB0">
        <w:rPr>
          <w:rFonts w:ascii="Times New Roman" w:eastAsia="Times New Roman" w:hAnsi="Times New Roman" w:cs="Times New Roman"/>
          <w:sz w:val="24"/>
          <w:szCs w:val="24"/>
        </w:rPr>
        <w:t xml:space="preserve"> </w:t>
      </w:r>
      <w:r w:rsidRPr="3C7E2FAD">
        <w:rPr>
          <w:rFonts w:ascii="Times New Roman" w:eastAsia="Times New Roman" w:hAnsi="Times New Roman" w:cs="Times New Roman"/>
          <w:sz w:val="24"/>
          <w:szCs w:val="24"/>
        </w:rPr>
        <w:t xml:space="preserve">new workers x </w:t>
      </w:r>
      <w:r w:rsidRPr="3C7E2FAD" w:rsidR="003C4D0A">
        <w:rPr>
          <w:rFonts w:ascii="Times New Roman" w:eastAsia="Times New Roman" w:hAnsi="Times New Roman" w:cs="Times New Roman"/>
          <w:sz w:val="24"/>
          <w:szCs w:val="24"/>
        </w:rPr>
        <w:t>3/60</w:t>
      </w:r>
      <w:r w:rsidRPr="3C7E2FAD">
        <w:rPr>
          <w:rFonts w:ascii="Times New Roman" w:eastAsia="Times New Roman" w:hAnsi="Times New Roman" w:cs="Times New Roman"/>
          <w:sz w:val="24"/>
          <w:szCs w:val="24"/>
        </w:rPr>
        <w:t xml:space="preserve"> hour = 55</w:t>
      </w:r>
      <w:r w:rsidRPr="3C7E2FAD" w:rsidR="7CA4CA04">
        <w:rPr>
          <w:rFonts w:ascii="Times New Roman" w:eastAsia="Times New Roman" w:hAnsi="Times New Roman" w:cs="Times New Roman"/>
          <w:sz w:val="24"/>
          <w:szCs w:val="24"/>
        </w:rPr>
        <w:t xml:space="preserve"> hours</w:t>
      </w:r>
      <w:r w:rsidRPr="3C7E2FAD" w:rsidR="633E05C0">
        <w:rPr>
          <w:rFonts w:ascii="Times New Roman" w:eastAsia="Times New Roman" w:hAnsi="Times New Roman" w:cs="Times New Roman"/>
          <w:sz w:val="24"/>
          <w:szCs w:val="24"/>
        </w:rPr>
        <w:t xml:space="preserve"> (rounded)</w:t>
      </w:r>
    </w:p>
    <w:p w:rsidR="37FB22CB" w:rsidP="00D91F68" w14:paraId="2C195F19" w14:textId="725C0059">
      <w:pPr>
        <w:spacing w:after="0" w:line="240" w:lineRule="auto"/>
        <w:ind w:left="720" w:firstLine="720"/>
        <w:rPr>
          <w:rFonts w:ascii="Times New Roman" w:eastAsia="Times New Roman" w:hAnsi="Times New Roman" w:cs="Times New Roman"/>
          <w:sz w:val="24"/>
          <w:szCs w:val="24"/>
        </w:rPr>
      </w:pPr>
      <w:r>
        <w:tab/>
      </w:r>
      <w:r w:rsidRPr="3C7E2FAD" w:rsidR="44300CEA">
        <w:rPr>
          <w:rFonts w:ascii="Times New Roman" w:eastAsia="Times New Roman" w:hAnsi="Times New Roman" w:cs="Times New Roman"/>
          <w:sz w:val="24"/>
          <w:szCs w:val="24"/>
        </w:rPr>
        <w:t xml:space="preserve">   </w:t>
      </w:r>
      <w:r w:rsidRPr="3C7E2FAD">
        <w:rPr>
          <w:rFonts w:ascii="Times New Roman" w:eastAsia="Times New Roman" w:hAnsi="Times New Roman" w:cs="Times New Roman"/>
          <w:sz w:val="24"/>
          <w:szCs w:val="24"/>
        </w:rPr>
        <w:t>Cost: 55 hours x $53.70 = $2,953.50</w:t>
      </w:r>
    </w:p>
    <w:p w:rsidR="3C7E2FAD" w:rsidP="3C7E2FAD" w14:paraId="1A042B9E" w14:textId="0FF5A7A3">
      <w:pPr>
        <w:spacing w:after="0" w:line="240" w:lineRule="auto"/>
        <w:ind w:left="720"/>
        <w:rPr>
          <w:rFonts w:ascii="Times New Roman" w:eastAsia="Times New Roman" w:hAnsi="Times New Roman" w:cs="Times New Roman"/>
          <w:sz w:val="24"/>
          <w:szCs w:val="24"/>
        </w:rPr>
      </w:pPr>
    </w:p>
    <w:p w:rsidR="37FB22CB" w:rsidP="3C7E2FAD" w14:paraId="2AADD810" w14:textId="56BF00C9">
      <w:pPr>
        <w:spacing w:after="0" w:line="240" w:lineRule="auto"/>
        <w:ind w:left="720"/>
        <w:rPr>
          <w:rFonts w:ascii="Times New Roman" w:eastAsia="Times New Roman" w:hAnsi="Times New Roman" w:cs="Times New Roman"/>
          <w:b/>
          <w:bCs/>
          <w:sz w:val="24"/>
          <w:szCs w:val="24"/>
        </w:rPr>
      </w:pPr>
      <w:r w:rsidRPr="00D91F68">
        <w:rPr>
          <w:rFonts w:ascii="Times New Roman" w:eastAsia="Times New Roman" w:hAnsi="Times New Roman" w:cs="Times New Roman"/>
          <w:b/>
          <w:bCs/>
          <w:sz w:val="24"/>
          <w:szCs w:val="24"/>
        </w:rPr>
        <w:t>Subtotal Burden hours: 184 hours + 55 hours = 239 hours</w:t>
      </w:r>
    </w:p>
    <w:p w:rsidR="00BF576C" w:rsidRPr="00723CBD" w:rsidP="1210E917" w14:paraId="2C5BFB51" w14:textId="7AB3E067">
      <w:pPr>
        <w:autoSpaceDE w:val="0"/>
        <w:autoSpaceDN w:val="0"/>
        <w:adjustRightInd w:val="0"/>
        <w:spacing w:after="0" w:line="240" w:lineRule="auto"/>
        <w:rPr>
          <w:rFonts w:ascii="Times New Roman" w:eastAsia="Times New Roman" w:hAnsi="Times New Roman" w:cs="Times New Roman"/>
          <w:b/>
          <w:bCs/>
          <w:sz w:val="24"/>
          <w:szCs w:val="24"/>
        </w:rPr>
      </w:pPr>
      <w:r w:rsidRPr="1210E917">
        <w:rPr>
          <w:rFonts w:ascii="Times New Roman" w:eastAsia="Times New Roman" w:hAnsi="Times New Roman" w:cs="Times New Roman"/>
          <w:b/>
          <w:bCs/>
          <w:sz w:val="24"/>
          <w:szCs w:val="24"/>
        </w:rPr>
        <w:t xml:space="preserve">  </w:t>
      </w:r>
      <w:r>
        <w:tab/>
      </w:r>
      <w:r>
        <w:tab/>
      </w:r>
      <w:r w:rsidRPr="3C7E2FAD">
        <w:rPr>
          <w:rFonts w:ascii="Times New Roman" w:eastAsia="Times New Roman" w:hAnsi="Times New Roman" w:cs="Times New Roman"/>
          <w:b/>
          <w:bCs/>
          <w:sz w:val="24"/>
          <w:szCs w:val="24"/>
        </w:rPr>
        <w:t xml:space="preserve">    </w:t>
      </w:r>
      <w:r w:rsidRPr="00D91F68">
        <w:rPr>
          <w:rFonts w:ascii="Times New Roman" w:eastAsia="Times New Roman" w:hAnsi="Times New Roman" w:cs="Times New Roman"/>
          <w:b/>
          <w:bCs/>
          <w:sz w:val="24"/>
          <w:szCs w:val="24"/>
        </w:rPr>
        <w:t xml:space="preserve">Subtotal Cost: $9,880,80 + $2,953.50 = </w:t>
      </w:r>
      <w:r w:rsidRPr="00D91F68">
        <w:rPr>
          <w:rFonts w:ascii="Times New Roman" w:eastAsia="Times New Roman" w:hAnsi="Times New Roman" w:cs="Times New Roman"/>
          <w:b/>
          <w:bCs/>
          <w:sz w:val="24"/>
          <w:szCs w:val="24"/>
        </w:rPr>
        <w:t>$12,834.30</w:t>
      </w:r>
      <w:r>
        <w:tab/>
      </w:r>
    </w:p>
    <w:p w:rsidR="00BF576C" w:rsidRPr="00723CBD" w:rsidP="00BF576C" w14:paraId="4559D8BC" w14:textId="5FD53AD3">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22DC7D2A" w14:textId="77777777">
      <w:pPr>
        <w:autoSpaceDE w:val="0"/>
        <w:autoSpaceDN w:val="0"/>
        <w:adjustRightInd w:val="0"/>
        <w:spacing w:after="0" w:line="240" w:lineRule="auto"/>
        <w:rPr>
          <w:rFonts w:ascii="Times New Roman" w:eastAsia="Times New Roman" w:hAnsi="Times New Roman" w:cs="Times New Roman"/>
          <w:b/>
          <w:sz w:val="24"/>
          <w:szCs w:val="24"/>
        </w:rPr>
      </w:pPr>
      <w:r w:rsidRPr="00723CBD">
        <w:rPr>
          <w:rFonts w:ascii="Times New Roman" w:eastAsia="Times New Roman" w:hAnsi="Times New Roman" w:cs="Times New Roman"/>
          <w:b/>
          <w:bCs/>
          <w:sz w:val="24"/>
          <w:szCs w:val="24"/>
        </w:rPr>
        <w:t>6. Medical exam frequency</w:t>
      </w:r>
    </w:p>
    <w:p w:rsidR="00BF576C" w:rsidRPr="00723CBD" w:rsidP="00BF576C" w14:paraId="7FBA7810"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2F9D0CC7" w14:textId="638BF4BA">
      <w:pPr>
        <w:autoSpaceDE w:val="0"/>
        <w:autoSpaceDN w:val="0"/>
        <w:adjustRightInd w:val="0"/>
        <w:spacing w:after="0" w:line="240" w:lineRule="auto"/>
        <w:rPr>
          <w:rFonts w:ascii="Times New Roman" w:eastAsia="Times New Roman" w:hAnsi="Times New Roman" w:cs="Times New Roman"/>
          <w:sz w:val="24"/>
          <w:szCs w:val="24"/>
        </w:rPr>
      </w:pPr>
      <w:r w:rsidRPr="5C516CCC">
        <w:rPr>
          <w:rFonts w:ascii="Times New Roman" w:eastAsia="Times New Roman" w:hAnsi="Times New Roman" w:cs="Times New Roman"/>
          <w:sz w:val="24"/>
          <w:szCs w:val="24"/>
        </w:rPr>
        <w:t>Paragraph 1910.120(f)(3) requires certain workers to receive medical exams based on the criteria in the medical surveillance program of the safety and health program (</w:t>
      </w:r>
      <w:r w:rsidRPr="5C516CCC" w:rsidR="6DAF66C3">
        <w:rPr>
          <w:rFonts w:ascii="Times New Roman" w:eastAsia="Times New Roman" w:hAnsi="Times New Roman" w:cs="Times New Roman"/>
          <w:i/>
          <w:iCs/>
          <w:sz w:val="24"/>
          <w:szCs w:val="24"/>
        </w:rPr>
        <w:t>S</w:t>
      </w:r>
      <w:r w:rsidRPr="5C516CCC">
        <w:rPr>
          <w:rFonts w:ascii="Times New Roman" w:eastAsia="Times New Roman" w:hAnsi="Times New Roman" w:cs="Times New Roman"/>
          <w:i/>
          <w:iCs/>
          <w:sz w:val="24"/>
          <w:szCs w:val="24"/>
        </w:rPr>
        <w:t>ee</w:t>
      </w:r>
      <w:r w:rsidRPr="5C516CCC">
        <w:rPr>
          <w:rFonts w:ascii="Times New Roman" w:eastAsia="Times New Roman" w:hAnsi="Times New Roman" w:cs="Times New Roman"/>
          <w:sz w:val="24"/>
          <w:szCs w:val="24"/>
        </w:rPr>
        <w:t xml:space="preserve"> (b)(1) above).</w:t>
      </w:r>
      <w:r w:rsidRPr="5C516CCC" w:rsidR="3F8EDC40">
        <w:rPr>
          <w:rFonts w:ascii="Times New Roman" w:eastAsia="Times New Roman" w:hAnsi="Times New Roman" w:cs="Times New Roman"/>
          <w:sz w:val="24"/>
          <w:szCs w:val="24"/>
        </w:rPr>
        <w:t xml:space="preserve"> </w:t>
      </w:r>
      <w:r w:rsidRPr="5C516CCC">
        <w:rPr>
          <w:rFonts w:ascii="Times New Roman" w:eastAsia="Times New Roman" w:hAnsi="Times New Roman" w:cs="Times New Roman"/>
          <w:sz w:val="24"/>
          <w:szCs w:val="24"/>
        </w:rPr>
        <w:t xml:space="preserve">Paragraph 1910.120(f)(4) details the content of the medical exam and paragraph 1910.120(f)(6) requires that certain information be provided to the attending physician and to each worker. </w:t>
      </w:r>
    </w:p>
    <w:p w:rsidR="00BF576C" w:rsidRPr="00723CBD" w:rsidP="00BF576C" w14:paraId="36FFF7A6"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14CC6E7A" w14:textId="7C63D177">
      <w:pPr>
        <w:autoSpaceDE w:val="0"/>
        <w:autoSpaceDN w:val="0"/>
        <w:adjustRightInd w:val="0"/>
        <w:spacing w:after="0" w:line="240" w:lineRule="auto"/>
        <w:rPr>
          <w:rFonts w:ascii="Times New Roman" w:eastAsia="Times New Roman" w:hAnsi="Times New Roman" w:cs="Times New Roman"/>
          <w:sz w:val="24"/>
          <w:szCs w:val="24"/>
        </w:rPr>
      </w:pPr>
      <w:r w:rsidRPr="5C516CCC">
        <w:rPr>
          <w:rFonts w:ascii="Times New Roman" w:eastAsia="Times New Roman" w:hAnsi="Times New Roman" w:cs="Times New Roman"/>
          <w:sz w:val="24"/>
          <w:szCs w:val="24"/>
        </w:rPr>
        <w:t xml:space="preserve">Based on the </w:t>
      </w:r>
      <w:r w:rsidR="00901021">
        <w:rPr>
          <w:rFonts w:ascii="Times New Roman" w:eastAsia="Times New Roman" w:hAnsi="Times New Roman" w:cs="Times New Roman"/>
          <w:sz w:val="24"/>
          <w:szCs w:val="24"/>
        </w:rPr>
        <w:t>a</w:t>
      </w:r>
      <w:r w:rsidR="00102A3E">
        <w:rPr>
          <w:rFonts w:ascii="Times New Roman" w:eastAsia="Times New Roman" w:hAnsi="Times New Roman" w:cs="Times New Roman"/>
          <w:sz w:val="24"/>
          <w:szCs w:val="24"/>
        </w:rPr>
        <w:t>bove calculations</w:t>
      </w:r>
      <w:r w:rsidRPr="5C516CCC">
        <w:rPr>
          <w:rFonts w:ascii="Times New Roman" w:eastAsia="Times New Roman" w:hAnsi="Times New Roman" w:cs="Times New Roman"/>
          <w:sz w:val="24"/>
          <w:szCs w:val="24"/>
        </w:rPr>
        <w:t xml:space="preserve">, OSHA estimates that there are </w:t>
      </w:r>
      <w:r w:rsidRPr="5C516CCC" w:rsidR="53F8C58F">
        <w:rPr>
          <w:rFonts w:ascii="Times New Roman" w:eastAsia="Times New Roman" w:hAnsi="Times New Roman" w:cs="Times New Roman"/>
          <w:sz w:val="24"/>
          <w:szCs w:val="24"/>
        </w:rPr>
        <w:t>11,060</w:t>
      </w:r>
      <w:r w:rsidRPr="5C516CCC" w:rsidR="30AFD0E6">
        <w:rPr>
          <w:rFonts w:ascii="Times New Roman" w:eastAsia="Times New Roman" w:hAnsi="Times New Roman" w:cs="Times New Roman"/>
          <w:sz w:val="24"/>
          <w:szCs w:val="24"/>
        </w:rPr>
        <w:t xml:space="preserve"> </w:t>
      </w:r>
      <w:r w:rsidRPr="5C516CCC">
        <w:rPr>
          <w:rFonts w:ascii="Times New Roman" w:eastAsia="Times New Roman" w:hAnsi="Times New Roman" w:cs="Times New Roman"/>
          <w:sz w:val="24"/>
          <w:szCs w:val="24"/>
        </w:rPr>
        <w:t>clean-up workers. OSHA estimates that it will take 1.5 hours</w:t>
      </w:r>
      <w:r w:rsidRPr="5C516CCC" w:rsidR="1331D102">
        <w:rPr>
          <w:rFonts w:ascii="Times New Roman" w:eastAsia="Times New Roman" w:hAnsi="Times New Roman" w:cs="Times New Roman"/>
          <w:sz w:val="24"/>
          <w:szCs w:val="24"/>
        </w:rPr>
        <w:t xml:space="preserve"> (90/60 hours)</w:t>
      </w:r>
      <w:r w:rsidRPr="5C516CCC">
        <w:rPr>
          <w:rFonts w:ascii="Times New Roman" w:eastAsia="Times New Roman" w:hAnsi="Times New Roman" w:cs="Times New Roman"/>
          <w:sz w:val="24"/>
          <w:szCs w:val="24"/>
        </w:rPr>
        <w:t xml:space="preserve"> for a medical exam, including travel time, and 15 minutes (</w:t>
      </w:r>
      <w:r w:rsidRPr="5C516CCC" w:rsidR="19936A04">
        <w:rPr>
          <w:rFonts w:ascii="Times New Roman" w:eastAsia="Times New Roman" w:hAnsi="Times New Roman" w:cs="Times New Roman"/>
          <w:sz w:val="24"/>
          <w:szCs w:val="24"/>
        </w:rPr>
        <w:t>15/60</w:t>
      </w:r>
      <w:r w:rsidRPr="5C516CCC">
        <w:rPr>
          <w:rFonts w:ascii="Times New Roman" w:eastAsia="Times New Roman" w:hAnsi="Times New Roman" w:cs="Times New Roman"/>
          <w:sz w:val="24"/>
          <w:szCs w:val="24"/>
        </w:rPr>
        <w:t xml:space="preserve"> h</w:t>
      </w:r>
      <w:r w:rsidRPr="5C516CCC" w:rsidR="076C9008">
        <w:rPr>
          <w:rFonts w:ascii="Times New Roman" w:eastAsia="Times New Roman" w:hAnsi="Times New Roman" w:cs="Times New Roman"/>
          <w:sz w:val="24"/>
          <w:szCs w:val="24"/>
        </w:rPr>
        <w:t>ou</w:t>
      </w:r>
      <w:r w:rsidRPr="5C516CCC">
        <w:rPr>
          <w:rFonts w:ascii="Times New Roman" w:eastAsia="Times New Roman" w:hAnsi="Times New Roman" w:cs="Times New Roman"/>
          <w:sz w:val="24"/>
          <w:szCs w:val="24"/>
        </w:rPr>
        <w:t>r</w:t>
      </w:r>
      <w:r w:rsidRPr="5C516CCC" w:rsidR="1FD3CDC0">
        <w:rPr>
          <w:rFonts w:ascii="Times New Roman" w:eastAsia="Times New Roman" w:hAnsi="Times New Roman" w:cs="Times New Roman"/>
          <w:sz w:val="24"/>
          <w:szCs w:val="24"/>
        </w:rPr>
        <w:t>s</w:t>
      </w:r>
      <w:r w:rsidRPr="5C516CCC">
        <w:rPr>
          <w:rFonts w:ascii="Times New Roman" w:eastAsia="Times New Roman" w:hAnsi="Times New Roman" w:cs="Times New Roman"/>
          <w:sz w:val="24"/>
          <w:szCs w:val="24"/>
        </w:rPr>
        <w:t>) for the employer to provide the necessary information to the physician for a total of 1.75 hours</w:t>
      </w:r>
      <w:r w:rsidRPr="5C516CCC" w:rsidR="1B7ADBED">
        <w:rPr>
          <w:rFonts w:ascii="Times New Roman" w:eastAsia="Times New Roman" w:hAnsi="Times New Roman" w:cs="Times New Roman"/>
          <w:sz w:val="24"/>
          <w:szCs w:val="24"/>
        </w:rPr>
        <w:t xml:space="preserve"> (105/60 hours)</w:t>
      </w:r>
      <w:r w:rsidRPr="5C516CCC">
        <w:rPr>
          <w:rFonts w:ascii="Times New Roman" w:eastAsia="Times New Roman" w:hAnsi="Times New Roman" w:cs="Times New Roman"/>
          <w:sz w:val="24"/>
          <w:szCs w:val="24"/>
        </w:rPr>
        <w:t xml:space="preserve">. According to the </w:t>
      </w:r>
      <w:r w:rsidRPr="5C516CCC" w:rsidR="490587BA">
        <w:rPr>
          <w:rFonts w:ascii="Times New Roman" w:eastAsia="Times New Roman" w:hAnsi="Times New Roman" w:cs="Times New Roman"/>
          <w:sz w:val="24"/>
          <w:szCs w:val="24"/>
        </w:rPr>
        <w:t>Regulatory Impact Analysis (</w:t>
      </w:r>
      <w:r w:rsidRPr="5C516CCC">
        <w:rPr>
          <w:rFonts w:ascii="Times New Roman" w:eastAsia="Times New Roman" w:hAnsi="Times New Roman" w:cs="Times New Roman"/>
          <w:sz w:val="24"/>
          <w:szCs w:val="24"/>
        </w:rPr>
        <w:t>RIA</w:t>
      </w:r>
      <w:r w:rsidRPr="5C516CCC" w:rsidR="784939B6">
        <w:rPr>
          <w:rFonts w:ascii="Times New Roman" w:eastAsia="Times New Roman" w:hAnsi="Times New Roman" w:cs="Times New Roman"/>
          <w:sz w:val="24"/>
          <w:szCs w:val="24"/>
        </w:rPr>
        <w:t>)</w:t>
      </w:r>
      <w:r w:rsidRPr="5C516CCC">
        <w:rPr>
          <w:rFonts w:ascii="Times New Roman" w:eastAsia="Times New Roman" w:hAnsi="Times New Roman" w:cs="Times New Roman"/>
          <w:sz w:val="24"/>
          <w:szCs w:val="24"/>
        </w:rPr>
        <w:t>, it was estimated that 75</w:t>
      </w:r>
      <w:r w:rsidRPr="5C516CCC" w:rsidR="2A1E376C">
        <w:rPr>
          <w:rFonts w:ascii="Times New Roman" w:eastAsia="Times New Roman" w:hAnsi="Times New Roman" w:cs="Times New Roman"/>
          <w:sz w:val="24"/>
          <w:szCs w:val="24"/>
        </w:rPr>
        <w:t>%</w:t>
      </w:r>
      <w:r w:rsidRPr="5C516CCC">
        <w:rPr>
          <w:rFonts w:ascii="Times New Roman" w:eastAsia="Times New Roman" w:hAnsi="Times New Roman" w:cs="Times New Roman"/>
          <w:sz w:val="24"/>
          <w:szCs w:val="24"/>
        </w:rPr>
        <w:t xml:space="preserve"> of employees and supervisors were receiving annual medical examinations as a usual and customary business practice.</w:t>
      </w:r>
    </w:p>
    <w:p w:rsidR="00BF576C" w:rsidRPr="00723CBD" w:rsidP="00BF576C" w14:paraId="01B709A1"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65F907A7" w14:textId="65916406">
      <w:pPr>
        <w:autoSpaceDE w:val="0"/>
        <w:autoSpaceDN w:val="0"/>
        <w:adjustRightInd w:val="0"/>
        <w:spacing w:after="0" w:line="240" w:lineRule="auto"/>
        <w:ind w:firstLine="720"/>
        <w:rPr>
          <w:rFonts w:ascii="Times New Roman" w:eastAsia="Times New Roman" w:hAnsi="Times New Roman" w:cs="Times New Roman"/>
          <w:sz w:val="24"/>
          <w:szCs w:val="24"/>
        </w:rPr>
      </w:pPr>
      <w:r w:rsidRPr="3C7E2FAD">
        <w:rPr>
          <w:rFonts w:ascii="Times New Roman" w:eastAsia="Times New Roman" w:hAnsi="Times New Roman" w:cs="Times New Roman"/>
          <w:sz w:val="24"/>
          <w:szCs w:val="24"/>
        </w:rPr>
        <w:t>Burden hours:</w:t>
      </w:r>
      <w:r>
        <w:tab/>
      </w:r>
      <w:r w:rsidRPr="3C7E2FAD" w:rsidR="0007091E">
        <w:rPr>
          <w:rFonts w:ascii="Times New Roman" w:eastAsia="Times New Roman" w:hAnsi="Times New Roman" w:cs="Times New Roman"/>
          <w:sz w:val="24"/>
          <w:szCs w:val="24"/>
        </w:rPr>
        <w:t>11,060</w:t>
      </w:r>
      <w:r w:rsidRPr="3C7E2FAD">
        <w:rPr>
          <w:rFonts w:ascii="Times New Roman" w:eastAsia="Times New Roman" w:hAnsi="Times New Roman" w:cs="Times New Roman"/>
          <w:sz w:val="24"/>
          <w:szCs w:val="24"/>
        </w:rPr>
        <w:t xml:space="preserve"> workers × 25% need</w:t>
      </w:r>
      <w:r w:rsidRPr="3C7E2FAD" w:rsidR="0E11DE6E">
        <w:rPr>
          <w:rFonts w:ascii="Times New Roman" w:eastAsia="Times New Roman" w:hAnsi="Times New Roman" w:cs="Times New Roman"/>
          <w:sz w:val="24"/>
          <w:szCs w:val="24"/>
        </w:rPr>
        <w:t>ing</w:t>
      </w:r>
      <w:r w:rsidRPr="3C7E2FAD">
        <w:rPr>
          <w:rFonts w:ascii="Times New Roman" w:eastAsia="Times New Roman" w:hAnsi="Times New Roman" w:cs="Times New Roman"/>
          <w:sz w:val="24"/>
          <w:szCs w:val="24"/>
        </w:rPr>
        <w:t xml:space="preserve"> medical exams × 1</w:t>
      </w:r>
      <w:r w:rsidRPr="3C7E2FAD" w:rsidR="6961FBDA">
        <w:rPr>
          <w:rFonts w:ascii="Times New Roman" w:eastAsia="Times New Roman" w:hAnsi="Times New Roman" w:cs="Times New Roman"/>
          <w:sz w:val="24"/>
          <w:szCs w:val="24"/>
        </w:rPr>
        <w:t>05/60</w:t>
      </w:r>
      <w:r w:rsidRPr="3C7E2FAD">
        <w:rPr>
          <w:rFonts w:ascii="Times New Roman" w:eastAsia="Times New Roman" w:hAnsi="Times New Roman" w:cs="Times New Roman"/>
          <w:sz w:val="24"/>
          <w:szCs w:val="24"/>
        </w:rPr>
        <w:t xml:space="preserve"> hours</w:t>
      </w:r>
    </w:p>
    <w:p w:rsidR="00BF576C" w:rsidRPr="00723CBD" w:rsidP="00BF576C" w14:paraId="3F970C11" w14:textId="7A697C5B">
      <w:pPr>
        <w:autoSpaceDE w:val="0"/>
        <w:autoSpaceDN w:val="0"/>
        <w:adjustRightInd w:val="0"/>
        <w:spacing w:after="0" w:line="240" w:lineRule="auto"/>
        <w:ind w:left="1440" w:firstLine="720"/>
        <w:rPr>
          <w:rFonts w:ascii="Times New Roman" w:eastAsia="Times New Roman" w:hAnsi="Times New Roman" w:cs="Times New Roman"/>
          <w:sz w:val="24"/>
          <w:szCs w:val="24"/>
        </w:rPr>
      </w:pPr>
      <w:r w:rsidRPr="3C7E2FAD">
        <w:rPr>
          <w:rFonts w:ascii="Times New Roman" w:eastAsia="Times New Roman" w:hAnsi="Times New Roman" w:cs="Times New Roman"/>
          <w:sz w:val="24"/>
          <w:szCs w:val="24"/>
        </w:rPr>
        <w:t xml:space="preserve"> = </w:t>
      </w:r>
      <w:r w:rsidRPr="3C7E2FAD" w:rsidR="0023699C">
        <w:rPr>
          <w:rFonts w:ascii="Times New Roman" w:eastAsia="Times New Roman" w:hAnsi="Times New Roman" w:cs="Times New Roman"/>
          <w:sz w:val="24"/>
          <w:szCs w:val="24"/>
        </w:rPr>
        <w:t>4,83</w:t>
      </w:r>
      <w:r w:rsidRPr="3C7E2FAD" w:rsidR="46502D3B">
        <w:rPr>
          <w:rFonts w:ascii="Times New Roman" w:eastAsia="Times New Roman" w:hAnsi="Times New Roman" w:cs="Times New Roman"/>
          <w:sz w:val="24"/>
          <w:szCs w:val="24"/>
        </w:rPr>
        <w:t>9</w:t>
      </w:r>
      <w:r w:rsidRPr="3C7E2FAD">
        <w:rPr>
          <w:rFonts w:ascii="Times New Roman" w:eastAsia="Times New Roman" w:hAnsi="Times New Roman" w:cs="Times New Roman"/>
          <w:sz w:val="24"/>
          <w:szCs w:val="24"/>
        </w:rPr>
        <w:t xml:space="preserve"> hours</w:t>
      </w:r>
      <w:r w:rsidRPr="3C7E2FAD" w:rsidR="436BE0C7">
        <w:rPr>
          <w:rFonts w:ascii="Times New Roman" w:eastAsia="Times New Roman" w:hAnsi="Times New Roman" w:cs="Times New Roman"/>
          <w:sz w:val="24"/>
          <w:szCs w:val="24"/>
        </w:rPr>
        <w:t xml:space="preserve"> (rounded)</w:t>
      </w:r>
    </w:p>
    <w:p w:rsidR="00BF576C" w:rsidRPr="00723CBD" w:rsidP="00BF576C" w14:paraId="20B6C9E2" w14:textId="40D30ED6">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sz w:val="24"/>
          <w:szCs w:val="24"/>
        </w:rPr>
        <w:tab/>
      </w:r>
      <w:r w:rsidRPr="00723CBD">
        <w:rPr>
          <w:rFonts w:ascii="Times New Roman" w:eastAsia="Times New Roman" w:hAnsi="Times New Roman" w:cs="Times New Roman"/>
          <w:sz w:val="24"/>
          <w:szCs w:val="24"/>
        </w:rPr>
        <w:tab/>
        <w:t xml:space="preserve">  Cost:</w:t>
      </w:r>
      <w:r w:rsidRPr="00723CBD">
        <w:rPr>
          <w:rFonts w:ascii="Times New Roman" w:eastAsia="Times New Roman" w:hAnsi="Times New Roman" w:cs="Times New Roman"/>
          <w:sz w:val="24"/>
          <w:szCs w:val="24"/>
        </w:rPr>
        <w:tab/>
        <w:t xml:space="preserve"> </w:t>
      </w:r>
      <w:r w:rsidRPr="00723CBD" w:rsidR="007F0DE9">
        <w:rPr>
          <w:rFonts w:ascii="Times New Roman" w:eastAsia="Times New Roman" w:hAnsi="Times New Roman" w:cs="Times New Roman"/>
          <w:sz w:val="24"/>
          <w:szCs w:val="24"/>
        </w:rPr>
        <w:t>4,839</w:t>
      </w:r>
      <w:r w:rsidRPr="00723CBD" w:rsidR="00DE31A1">
        <w:rPr>
          <w:rFonts w:ascii="Times New Roman" w:eastAsia="Times New Roman" w:hAnsi="Times New Roman" w:cs="Times New Roman"/>
          <w:sz w:val="24"/>
          <w:szCs w:val="24"/>
        </w:rPr>
        <w:t xml:space="preserve"> </w:t>
      </w:r>
      <w:r w:rsidRPr="00723CBD">
        <w:rPr>
          <w:rFonts w:ascii="Times New Roman" w:eastAsia="Times New Roman" w:hAnsi="Times New Roman" w:cs="Times New Roman"/>
          <w:sz w:val="24"/>
          <w:szCs w:val="24"/>
        </w:rPr>
        <w:t>hours x $</w:t>
      </w:r>
      <w:r w:rsidRPr="00723CBD" w:rsidR="006F5F36">
        <w:rPr>
          <w:rFonts w:ascii="Times New Roman" w:eastAsia="Times New Roman" w:hAnsi="Times New Roman" w:cs="Times New Roman"/>
          <w:sz w:val="24"/>
          <w:szCs w:val="24"/>
        </w:rPr>
        <w:t>53.70</w:t>
      </w:r>
      <w:r w:rsidR="00142C0E">
        <w:rPr>
          <w:rFonts w:ascii="Times New Roman" w:eastAsia="Times New Roman" w:hAnsi="Times New Roman" w:cs="Times New Roman"/>
          <w:sz w:val="24"/>
          <w:szCs w:val="24"/>
        </w:rPr>
        <w:t xml:space="preserve"> </w:t>
      </w:r>
      <w:r w:rsidRPr="00723CBD">
        <w:rPr>
          <w:rFonts w:ascii="Times New Roman" w:eastAsia="Times New Roman" w:hAnsi="Times New Roman" w:cs="Times New Roman"/>
          <w:sz w:val="24"/>
          <w:szCs w:val="24"/>
        </w:rPr>
        <w:t>= $</w:t>
      </w:r>
      <w:r w:rsidRPr="00723CBD" w:rsidR="0042139D">
        <w:rPr>
          <w:rFonts w:ascii="Times New Roman" w:eastAsia="Times New Roman" w:hAnsi="Times New Roman" w:cs="Times New Roman"/>
          <w:sz w:val="24"/>
          <w:szCs w:val="24"/>
        </w:rPr>
        <w:t xml:space="preserve"> 259,854</w:t>
      </w:r>
      <w:r w:rsidRPr="00723CBD" w:rsidR="07700BA7">
        <w:rPr>
          <w:rFonts w:ascii="Times New Roman" w:eastAsia="Times New Roman" w:hAnsi="Times New Roman" w:cs="Times New Roman"/>
          <w:sz w:val="24"/>
          <w:szCs w:val="24"/>
        </w:rPr>
        <w:t>.30</w:t>
      </w:r>
    </w:p>
    <w:p w:rsidR="00EC33FB" w:rsidRPr="00723CBD" w:rsidP="00BF576C" w14:paraId="1F6BB78C"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BF576C" w:rsidRPr="00723CBD" w:rsidP="00BF576C" w14:paraId="026D448A" w14:textId="77777777">
      <w:pPr>
        <w:autoSpaceDE w:val="0"/>
        <w:autoSpaceDN w:val="0"/>
        <w:adjustRightInd w:val="0"/>
        <w:spacing w:after="0" w:line="240" w:lineRule="auto"/>
        <w:rPr>
          <w:rFonts w:ascii="Times New Roman" w:eastAsia="Times New Roman" w:hAnsi="Times New Roman" w:cs="Times New Roman"/>
          <w:b/>
          <w:sz w:val="24"/>
          <w:szCs w:val="24"/>
        </w:rPr>
      </w:pPr>
      <w:r w:rsidRPr="00723CBD">
        <w:rPr>
          <w:rFonts w:ascii="Times New Roman" w:eastAsia="Times New Roman" w:hAnsi="Times New Roman" w:cs="Times New Roman"/>
          <w:b/>
          <w:bCs/>
          <w:sz w:val="24"/>
          <w:szCs w:val="24"/>
        </w:rPr>
        <w:t>7. Written physician opinion to the employee</w:t>
      </w:r>
    </w:p>
    <w:p w:rsidR="00BF576C" w:rsidRPr="00723CBD" w:rsidP="00BF576C" w14:paraId="34EB0AF8"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3810A5B6" w14:textId="27AB009C">
      <w:pPr>
        <w:autoSpaceDE w:val="0"/>
        <w:autoSpaceDN w:val="0"/>
        <w:adjustRightInd w:val="0"/>
        <w:spacing w:after="0" w:line="240" w:lineRule="auto"/>
        <w:rPr>
          <w:rFonts w:ascii="Times New Roman" w:eastAsia="Times New Roman" w:hAnsi="Times New Roman" w:cs="Times New Roman"/>
          <w:sz w:val="24"/>
          <w:szCs w:val="24"/>
        </w:rPr>
      </w:pPr>
      <w:r w:rsidRPr="00D91F68">
        <w:rPr>
          <w:rFonts w:ascii="Times New Roman" w:eastAsia="Times New Roman" w:hAnsi="Times New Roman" w:cs="Times New Roman"/>
          <w:sz w:val="24"/>
          <w:szCs w:val="24"/>
        </w:rPr>
        <w:t>Paragraphs 1910.120(f)(7) and (f)(8)(i)</w:t>
      </w:r>
      <w:r w:rsidRPr="58460332">
        <w:rPr>
          <w:rFonts w:ascii="Times New Roman" w:eastAsia="Times New Roman" w:hAnsi="Times New Roman" w:cs="Times New Roman"/>
          <w:sz w:val="24"/>
          <w:szCs w:val="24"/>
        </w:rPr>
        <w:t xml:space="preserve"> requires the employer to provide the employee with a copy of the physician</w:t>
      </w:r>
      <w:r w:rsidRPr="58460332" w:rsidR="1E687D65">
        <w:rPr>
          <w:rFonts w:ascii="Times New Roman" w:eastAsia="Times New Roman" w:hAnsi="Times New Roman" w:cs="Times New Roman"/>
          <w:sz w:val="24"/>
          <w:szCs w:val="24"/>
        </w:rPr>
        <w:t>’s written</w:t>
      </w:r>
      <w:r w:rsidRPr="58460332">
        <w:rPr>
          <w:rFonts w:ascii="Times New Roman" w:eastAsia="Times New Roman" w:hAnsi="Times New Roman" w:cs="Times New Roman"/>
          <w:sz w:val="24"/>
          <w:szCs w:val="24"/>
        </w:rPr>
        <w:t xml:space="preserve"> opinion. The information given to the physician in (f)(6) must be maintained.</w:t>
      </w:r>
    </w:p>
    <w:p w:rsidR="00BF576C" w:rsidRPr="00723CBD" w:rsidP="00BF576C" w14:paraId="71B20AE2"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56588326" w14:textId="3C426419">
      <w:pPr>
        <w:autoSpaceDE w:val="0"/>
        <w:autoSpaceDN w:val="0"/>
        <w:adjustRightInd w:val="0"/>
        <w:spacing w:after="0" w:line="240" w:lineRule="auto"/>
        <w:rPr>
          <w:rFonts w:ascii="Times New Roman" w:eastAsia="Times New Roman" w:hAnsi="Times New Roman" w:cs="Times New Roman"/>
          <w:sz w:val="24"/>
          <w:szCs w:val="24"/>
        </w:rPr>
      </w:pPr>
      <w:r w:rsidRPr="58460332">
        <w:rPr>
          <w:rFonts w:ascii="Times New Roman" w:eastAsia="Times New Roman" w:hAnsi="Times New Roman" w:cs="Times New Roman"/>
          <w:sz w:val="24"/>
          <w:szCs w:val="24"/>
        </w:rPr>
        <w:t xml:space="preserve">The </w:t>
      </w:r>
      <w:r w:rsidRPr="58460332" w:rsidR="4A008E02">
        <w:rPr>
          <w:rFonts w:ascii="Times New Roman" w:eastAsia="Times New Roman" w:hAnsi="Times New Roman" w:cs="Times New Roman"/>
          <w:sz w:val="24"/>
          <w:szCs w:val="24"/>
        </w:rPr>
        <w:t>a</w:t>
      </w:r>
      <w:r w:rsidRPr="58460332">
        <w:rPr>
          <w:rFonts w:ascii="Times New Roman" w:eastAsia="Times New Roman" w:hAnsi="Times New Roman" w:cs="Times New Roman"/>
          <w:sz w:val="24"/>
          <w:szCs w:val="24"/>
        </w:rPr>
        <w:t>gency estimates that it will take 10 minutes (</w:t>
      </w:r>
      <w:r w:rsidRPr="58460332" w:rsidR="00373882">
        <w:rPr>
          <w:rFonts w:ascii="Times New Roman" w:eastAsia="Times New Roman" w:hAnsi="Times New Roman" w:cs="Times New Roman"/>
          <w:sz w:val="24"/>
          <w:szCs w:val="24"/>
        </w:rPr>
        <w:t>10/60</w:t>
      </w:r>
      <w:r w:rsidRPr="58460332" w:rsidR="003C4D0A">
        <w:rPr>
          <w:rFonts w:ascii="Times New Roman" w:eastAsia="Times New Roman" w:hAnsi="Times New Roman" w:cs="Times New Roman"/>
          <w:sz w:val="24"/>
          <w:szCs w:val="24"/>
        </w:rPr>
        <w:t xml:space="preserve"> hour</w:t>
      </w:r>
      <w:r w:rsidRPr="58460332" w:rsidR="007850FB">
        <w:rPr>
          <w:rFonts w:ascii="Times New Roman" w:eastAsia="Times New Roman" w:hAnsi="Times New Roman" w:cs="Times New Roman"/>
          <w:sz w:val="24"/>
          <w:szCs w:val="24"/>
        </w:rPr>
        <w:t>)</w:t>
      </w:r>
      <w:r w:rsidRPr="58460332">
        <w:rPr>
          <w:rFonts w:ascii="Times New Roman" w:eastAsia="Times New Roman" w:hAnsi="Times New Roman" w:cs="Times New Roman"/>
          <w:sz w:val="24"/>
          <w:szCs w:val="24"/>
        </w:rPr>
        <w:t xml:space="preserve"> to furnish the employee with the written opinion and to develop and maintain the employee</w:t>
      </w:r>
      <w:r w:rsidRPr="58460332" w:rsidR="5E8C82DF">
        <w:rPr>
          <w:rFonts w:ascii="Times New Roman" w:eastAsia="Times New Roman" w:hAnsi="Times New Roman" w:cs="Times New Roman"/>
          <w:sz w:val="24"/>
          <w:szCs w:val="24"/>
        </w:rPr>
        <w:t>’s</w:t>
      </w:r>
      <w:r w:rsidRPr="58460332">
        <w:rPr>
          <w:rFonts w:ascii="Times New Roman" w:eastAsia="Times New Roman" w:hAnsi="Times New Roman" w:cs="Times New Roman"/>
          <w:sz w:val="24"/>
          <w:szCs w:val="24"/>
        </w:rPr>
        <w:t xml:space="preserve"> medical record.</w:t>
      </w:r>
    </w:p>
    <w:p w:rsidR="00BF576C" w:rsidRPr="00723CBD" w:rsidP="00BF576C" w14:paraId="1CAC3D2C"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7E08FEB7" w14:textId="693E5458">
      <w:pPr>
        <w:autoSpaceDE w:val="0"/>
        <w:autoSpaceDN w:val="0"/>
        <w:adjustRightInd w:val="0"/>
        <w:spacing w:after="0" w:line="240" w:lineRule="auto"/>
        <w:ind w:firstLine="720"/>
        <w:rPr>
          <w:rFonts w:ascii="Times New Roman" w:eastAsia="Times New Roman" w:hAnsi="Times New Roman" w:cs="Times New Roman"/>
          <w:sz w:val="24"/>
          <w:szCs w:val="24"/>
        </w:rPr>
      </w:pPr>
      <w:r w:rsidRPr="3C7E2FAD">
        <w:rPr>
          <w:rFonts w:ascii="Times New Roman" w:eastAsia="Times New Roman" w:hAnsi="Times New Roman" w:cs="Times New Roman"/>
          <w:sz w:val="24"/>
          <w:szCs w:val="24"/>
        </w:rPr>
        <w:t>Burden hours:</w:t>
      </w:r>
      <w:r>
        <w:tab/>
      </w:r>
      <w:r w:rsidRPr="3C7E2FAD" w:rsidR="00185999">
        <w:rPr>
          <w:rFonts w:ascii="Times New Roman" w:eastAsia="Times New Roman" w:hAnsi="Times New Roman" w:cs="Times New Roman"/>
          <w:sz w:val="24"/>
          <w:szCs w:val="24"/>
        </w:rPr>
        <w:t>11,060</w:t>
      </w:r>
      <w:r w:rsidRPr="3C7E2FAD" w:rsidR="003C4D0A">
        <w:rPr>
          <w:rFonts w:ascii="Times New Roman" w:eastAsia="Times New Roman" w:hAnsi="Times New Roman" w:cs="Times New Roman"/>
          <w:sz w:val="24"/>
          <w:szCs w:val="24"/>
        </w:rPr>
        <w:t xml:space="preserve"> </w:t>
      </w:r>
      <w:r w:rsidRPr="3C7E2FAD">
        <w:rPr>
          <w:rFonts w:ascii="Times New Roman" w:eastAsia="Times New Roman" w:hAnsi="Times New Roman" w:cs="Times New Roman"/>
          <w:sz w:val="24"/>
          <w:szCs w:val="24"/>
        </w:rPr>
        <w:t xml:space="preserve">workers × </w:t>
      </w:r>
      <w:r w:rsidRPr="3C7E2FAD" w:rsidR="00373882">
        <w:rPr>
          <w:rFonts w:ascii="Times New Roman" w:eastAsia="Times New Roman" w:hAnsi="Times New Roman" w:cs="Times New Roman"/>
          <w:sz w:val="24"/>
          <w:szCs w:val="24"/>
        </w:rPr>
        <w:t>10/60</w:t>
      </w:r>
      <w:r w:rsidRPr="3C7E2FAD" w:rsidR="005F0153">
        <w:rPr>
          <w:rFonts w:ascii="Times New Roman" w:eastAsia="Times New Roman" w:hAnsi="Times New Roman" w:cs="Times New Roman"/>
          <w:sz w:val="24"/>
          <w:szCs w:val="24"/>
        </w:rPr>
        <w:t xml:space="preserve"> </w:t>
      </w:r>
      <w:r w:rsidRPr="3C7E2FAD">
        <w:rPr>
          <w:rFonts w:ascii="Times New Roman" w:eastAsia="Times New Roman" w:hAnsi="Times New Roman" w:cs="Times New Roman"/>
          <w:sz w:val="24"/>
          <w:szCs w:val="24"/>
        </w:rPr>
        <w:t>hou</w:t>
      </w:r>
      <w:r w:rsidRPr="3C7E2FAD" w:rsidR="003C4D0A">
        <w:rPr>
          <w:rFonts w:ascii="Times New Roman" w:eastAsia="Times New Roman" w:hAnsi="Times New Roman" w:cs="Times New Roman"/>
          <w:sz w:val="24"/>
          <w:szCs w:val="24"/>
        </w:rPr>
        <w:t>rs</w:t>
      </w:r>
      <w:r w:rsidRPr="3C7E2FAD">
        <w:rPr>
          <w:rFonts w:ascii="Times New Roman" w:eastAsia="Times New Roman" w:hAnsi="Times New Roman" w:cs="Times New Roman"/>
          <w:sz w:val="24"/>
          <w:szCs w:val="24"/>
        </w:rPr>
        <w:t xml:space="preserve"> = </w:t>
      </w:r>
      <w:r w:rsidRPr="3C7E2FAD" w:rsidR="0061637B">
        <w:rPr>
          <w:rFonts w:ascii="Times New Roman" w:eastAsia="Times New Roman" w:hAnsi="Times New Roman" w:cs="Times New Roman"/>
          <w:sz w:val="24"/>
          <w:szCs w:val="24"/>
        </w:rPr>
        <w:t>1,</w:t>
      </w:r>
      <w:r w:rsidRPr="3C7E2FAD" w:rsidR="00201B98">
        <w:rPr>
          <w:rFonts w:ascii="Times New Roman" w:eastAsia="Times New Roman" w:hAnsi="Times New Roman" w:cs="Times New Roman"/>
          <w:sz w:val="24"/>
          <w:szCs w:val="24"/>
        </w:rPr>
        <w:t>843</w:t>
      </w:r>
      <w:r w:rsidRPr="3C7E2FAD">
        <w:rPr>
          <w:rFonts w:ascii="Times New Roman" w:eastAsia="Times New Roman" w:hAnsi="Times New Roman" w:cs="Times New Roman"/>
          <w:sz w:val="24"/>
          <w:szCs w:val="24"/>
        </w:rPr>
        <w:t xml:space="preserve"> hours</w:t>
      </w:r>
      <w:r w:rsidRPr="3C7E2FAD" w:rsidR="4C447697">
        <w:rPr>
          <w:rFonts w:ascii="Times New Roman" w:eastAsia="Times New Roman" w:hAnsi="Times New Roman" w:cs="Times New Roman"/>
          <w:sz w:val="24"/>
          <w:szCs w:val="24"/>
        </w:rPr>
        <w:t xml:space="preserve"> (rounded)</w:t>
      </w:r>
    </w:p>
    <w:p w:rsidR="00BF576C" w:rsidRPr="00723CBD" w:rsidP="3C7E2FAD" w14:paraId="3A20B89A" w14:textId="3F495AF8">
      <w:pPr>
        <w:autoSpaceDE w:val="0"/>
        <w:autoSpaceDN w:val="0"/>
        <w:adjustRightInd w:val="0"/>
        <w:spacing w:after="0" w:line="240" w:lineRule="auto"/>
        <w:rPr>
          <w:rFonts w:ascii="Times New Roman" w:eastAsia="Times New Roman" w:hAnsi="Times New Roman" w:cs="Times New Roman"/>
          <w:b/>
          <w:bCs/>
          <w:sz w:val="24"/>
          <w:szCs w:val="24"/>
        </w:rPr>
      </w:pPr>
      <w:r w:rsidRPr="00723CBD">
        <w:rPr>
          <w:rFonts w:ascii="Times New Roman" w:eastAsia="Times New Roman" w:hAnsi="Times New Roman" w:cs="Times New Roman"/>
          <w:sz w:val="24"/>
          <w:szCs w:val="24"/>
        </w:rPr>
        <w:tab/>
      </w:r>
      <w:r w:rsidRPr="00723CBD">
        <w:rPr>
          <w:rFonts w:ascii="Times New Roman" w:eastAsia="Times New Roman" w:hAnsi="Times New Roman" w:cs="Times New Roman"/>
          <w:sz w:val="24"/>
          <w:szCs w:val="24"/>
        </w:rPr>
        <w:tab/>
        <w:t xml:space="preserve">  Cost:</w:t>
      </w:r>
      <w:r w:rsidRPr="00723CBD" w:rsidR="00710CAA">
        <w:rPr>
          <w:rFonts w:ascii="Times New Roman" w:eastAsia="Times New Roman" w:hAnsi="Times New Roman" w:cs="Times New Roman"/>
          <w:sz w:val="24"/>
          <w:szCs w:val="24"/>
        </w:rPr>
        <w:t xml:space="preserve"> </w:t>
      </w:r>
      <w:r w:rsidRPr="00723CBD">
        <w:rPr>
          <w:rFonts w:ascii="Times New Roman" w:eastAsia="Times New Roman" w:hAnsi="Times New Roman" w:cs="Times New Roman"/>
          <w:sz w:val="24"/>
          <w:szCs w:val="24"/>
        </w:rPr>
        <w:t xml:space="preserve"> </w:t>
      </w:r>
      <w:r w:rsidRPr="00723CBD" w:rsidR="00201B98">
        <w:rPr>
          <w:rFonts w:ascii="Times New Roman" w:eastAsia="Times New Roman" w:hAnsi="Times New Roman" w:cs="Times New Roman"/>
          <w:sz w:val="24"/>
          <w:szCs w:val="24"/>
        </w:rPr>
        <w:t xml:space="preserve">1,843 </w:t>
      </w:r>
      <w:r w:rsidRPr="00723CBD">
        <w:rPr>
          <w:rFonts w:ascii="Times New Roman" w:eastAsia="Times New Roman" w:hAnsi="Times New Roman" w:cs="Times New Roman"/>
          <w:sz w:val="24"/>
          <w:szCs w:val="24"/>
        </w:rPr>
        <w:t>hours x $</w:t>
      </w:r>
      <w:r w:rsidRPr="00723CBD" w:rsidR="006F5F36">
        <w:rPr>
          <w:rFonts w:ascii="Times New Roman" w:eastAsia="Times New Roman" w:hAnsi="Times New Roman" w:cs="Times New Roman"/>
          <w:sz w:val="24"/>
          <w:szCs w:val="24"/>
        </w:rPr>
        <w:t>53.70</w:t>
      </w:r>
      <w:r w:rsidRPr="00723CBD" w:rsidR="005F0153">
        <w:rPr>
          <w:rFonts w:ascii="Times New Roman" w:eastAsia="Times New Roman" w:hAnsi="Times New Roman" w:cs="Times New Roman"/>
          <w:sz w:val="24"/>
          <w:szCs w:val="24"/>
        </w:rPr>
        <w:t xml:space="preserve"> </w:t>
      </w:r>
      <w:r w:rsidRPr="00723CBD">
        <w:rPr>
          <w:rFonts w:ascii="Times New Roman" w:eastAsia="Times New Roman" w:hAnsi="Times New Roman" w:cs="Times New Roman"/>
          <w:sz w:val="24"/>
          <w:szCs w:val="24"/>
        </w:rPr>
        <w:t>= $</w:t>
      </w:r>
      <w:r w:rsidRPr="00723CBD" w:rsidR="00DF07BE">
        <w:rPr>
          <w:rFonts w:ascii="Times New Roman" w:eastAsia="Times New Roman" w:hAnsi="Times New Roman" w:cs="Times New Roman"/>
          <w:sz w:val="24"/>
          <w:szCs w:val="24"/>
        </w:rPr>
        <w:t>98</w:t>
      </w:r>
      <w:r w:rsidRPr="00723CBD" w:rsidR="00F93410">
        <w:rPr>
          <w:rFonts w:ascii="Times New Roman" w:eastAsia="Times New Roman" w:hAnsi="Times New Roman" w:cs="Times New Roman"/>
          <w:sz w:val="24"/>
          <w:szCs w:val="24"/>
        </w:rPr>
        <w:t>,969</w:t>
      </w:r>
      <w:r w:rsidRPr="00723CBD" w:rsidR="7A1713E8">
        <w:rPr>
          <w:rFonts w:ascii="Times New Roman" w:eastAsia="Times New Roman" w:hAnsi="Times New Roman" w:cs="Times New Roman"/>
          <w:sz w:val="24"/>
          <w:szCs w:val="24"/>
        </w:rPr>
        <w:t>.10</w:t>
      </w:r>
    </w:p>
    <w:p w:rsidR="00BF576C" w:rsidRPr="00723CBD" w:rsidP="00BF576C" w14:paraId="1456CB2F"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162FC5FC" w14:paraId="60BD7861" w14:textId="77777777">
      <w:pPr>
        <w:autoSpaceDE w:val="0"/>
        <w:autoSpaceDN w:val="0"/>
        <w:adjustRightInd w:val="0"/>
        <w:spacing w:after="0" w:line="240" w:lineRule="auto"/>
        <w:rPr>
          <w:rFonts w:ascii="Times New Roman" w:eastAsia="Times New Roman" w:hAnsi="Times New Roman" w:cs="Times New Roman"/>
          <w:b/>
          <w:bCs/>
          <w:sz w:val="24"/>
          <w:szCs w:val="24"/>
        </w:rPr>
      </w:pPr>
      <w:r w:rsidRPr="162FC5FC">
        <w:rPr>
          <w:rFonts w:ascii="Times New Roman" w:eastAsia="Times New Roman" w:hAnsi="Times New Roman" w:cs="Times New Roman"/>
          <w:b/>
          <w:bCs/>
          <w:sz w:val="24"/>
          <w:szCs w:val="24"/>
        </w:rPr>
        <w:t xml:space="preserve">8. Monitoring program </w:t>
      </w:r>
      <w:r w:rsidRPr="162FC5FC">
        <w:rPr>
          <w:rFonts w:ascii="Times New Roman" w:eastAsia="Times New Roman" w:hAnsi="Times New Roman" w:cs="Times New Roman"/>
          <w:b/>
          <w:bCs/>
          <w:sz w:val="24"/>
          <w:szCs w:val="24"/>
        </w:rPr>
        <w:t>requirements</w:t>
      </w:r>
    </w:p>
    <w:p w:rsidR="00BF576C" w:rsidRPr="00723CBD" w:rsidP="00BF576C" w14:paraId="5FC004D1"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779C395C" w14:textId="172C8CC2">
      <w:pPr>
        <w:autoSpaceDE w:val="0"/>
        <w:autoSpaceDN w:val="0"/>
        <w:adjustRightInd w:val="0"/>
        <w:spacing w:after="0" w:line="240" w:lineRule="auto"/>
        <w:rPr>
          <w:rFonts w:ascii="Times New Roman" w:eastAsia="Times New Roman" w:hAnsi="Times New Roman" w:cs="Times New Roman"/>
          <w:sz w:val="24"/>
          <w:szCs w:val="24"/>
        </w:rPr>
      </w:pPr>
      <w:r w:rsidRPr="00D91F68">
        <w:rPr>
          <w:rFonts w:ascii="Times New Roman" w:eastAsia="Times New Roman" w:hAnsi="Times New Roman" w:cs="Times New Roman"/>
          <w:sz w:val="24"/>
          <w:szCs w:val="24"/>
        </w:rPr>
        <w:t>Paragraph 1910.120(h)</w:t>
      </w:r>
      <w:r w:rsidRPr="162FC5FC">
        <w:rPr>
          <w:rFonts w:ascii="Times New Roman" w:eastAsia="Times New Roman" w:hAnsi="Times New Roman" w:cs="Times New Roman"/>
          <w:sz w:val="24"/>
          <w:szCs w:val="24"/>
        </w:rPr>
        <w:t xml:space="preserve"> requires employers to develop a monitoring program. The program specifies the: (1) </w:t>
      </w:r>
      <w:r w:rsidRPr="638B37EC" w:rsidR="162C7790">
        <w:rPr>
          <w:rFonts w:ascii="Times New Roman" w:eastAsia="Times New Roman" w:hAnsi="Times New Roman" w:cs="Times New Roman"/>
          <w:sz w:val="24"/>
          <w:szCs w:val="24"/>
        </w:rPr>
        <w:t>t</w:t>
      </w:r>
      <w:r w:rsidRPr="162FC5FC">
        <w:rPr>
          <w:rFonts w:ascii="Times New Roman" w:eastAsia="Times New Roman" w:hAnsi="Times New Roman" w:cs="Times New Roman"/>
          <w:sz w:val="24"/>
          <w:szCs w:val="24"/>
        </w:rPr>
        <w:t>ype of monitoring, (2) frequency</w:t>
      </w:r>
      <w:r w:rsidRPr="638B37EC" w:rsidR="283DF201">
        <w:rPr>
          <w:rFonts w:ascii="Times New Roman" w:eastAsia="Times New Roman" w:hAnsi="Times New Roman" w:cs="Times New Roman"/>
          <w:sz w:val="24"/>
          <w:szCs w:val="24"/>
        </w:rPr>
        <w:t xml:space="preserve"> of monitoring</w:t>
      </w:r>
      <w:r w:rsidRPr="162FC5FC">
        <w:rPr>
          <w:rFonts w:ascii="Times New Roman" w:eastAsia="Times New Roman" w:hAnsi="Times New Roman" w:cs="Times New Roman"/>
          <w:sz w:val="24"/>
          <w:szCs w:val="24"/>
        </w:rPr>
        <w:t xml:space="preserve">, and (3) the workers to be monitored. The </w:t>
      </w:r>
      <w:r w:rsidRPr="638B37EC" w:rsidR="22106364">
        <w:rPr>
          <w:rFonts w:ascii="Times New Roman" w:eastAsia="Times New Roman" w:hAnsi="Times New Roman" w:cs="Times New Roman"/>
          <w:sz w:val="24"/>
          <w:szCs w:val="24"/>
        </w:rPr>
        <w:t>s</w:t>
      </w:r>
      <w:r w:rsidRPr="162FC5FC">
        <w:rPr>
          <w:rFonts w:ascii="Times New Roman" w:eastAsia="Times New Roman" w:hAnsi="Times New Roman" w:cs="Times New Roman"/>
          <w:sz w:val="24"/>
          <w:szCs w:val="24"/>
        </w:rPr>
        <w:t xml:space="preserve">tandard prescribes the criteria for the three elements. This information is used in the </w:t>
      </w:r>
      <w:r w:rsidRPr="162FC5FC" w:rsidR="667B38C1">
        <w:rPr>
          <w:rFonts w:ascii="Times New Roman" w:eastAsia="Times New Roman" w:hAnsi="Times New Roman" w:cs="Times New Roman"/>
          <w:sz w:val="24"/>
          <w:szCs w:val="24"/>
        </w:rPr>
        <w:t xml:space="preserve">safety and health program elements </w:t>
      </w:r>
      <w:r w:rsidRPr="162FC5FC">
        <w:rPr>
          <w:rFonts w:ascii="Times New Roman" w:eastAsia="Times New Roman" w:hAnsi="Times New Roman" w:cs="Times New Roman"/>
          <w:sz w:val="24"/>
          <w:szCs w:val="24"/>
        </w:rPr>
        <w:t>required in 1910.120(b)(1) described above. This information is also used in the briefings required in 1910.120 (b)(4)(iii) and to fulfill the requirements of 1910.120(c)(7). Based on the RIA, it takes four hours to conduct the monitoring</w:t>
      </w:r>
      <w:r>
        <w:rPr>
          <w:rStyle w:val="FootnoteReference"/>
          <w:rFonts w:ascii="Times New Roman" w:eastAsia="Times New Roman" w:hAnsi="Times New Roman" w:cs="Times New Roman"/>
          <w:sz w:val="24"/>
          <w:szCs w:val="24"/>
          <w:vertAlign w:val="superscript"/>
        </w:rPr>
        <w:footnoteReference w:id="8"/>
      </w:r>
      <w:r w:rsidRPr="162FC5FC">
        <w:rPr>
          <w:rFonts w:ascii="Times New Roman" w:eastAsia="Times New Roman" w:hAnsi="Times New Roman" w:cs="Times New Roman"/>
          <w:sz w:val="24"/>
          <w:szCs w:val="24"/>
        </w:rPr>
        <w:t xml:space="preserve"> at each site. </w:t>
      </w:r>
    </w:p>
    <w:p w:rsidR="1210E917" w:rsidP="1210E917" w14:paraId="2909B6FE" w14:textId="5AD9148E">
      <w:pPr>
        <w:spacing w:after="0" w:line="240" w:lineRule="auto"/>
        <w:rPr>
          <w:rFonts w:ascii="Times New Roman" w:eastAsia="Times New Roman" w:hAnsi="Times New Roman" w:cs="Times New Roman"/>
          <w:sz w:val="24"/>
          <w:szCs w:val="24"/>
        </w:rPr>
      </w:pPr>
    </w:p>
    <w:p w:rsidR="00BF576C" w:rsidRPr="00723CBD" w:rsidP="1210E917" w14:paraId="7E05D018" w14:textId="4F3FBAB6">
      <w:pPr>
        <w:autoSpaceDE w:val="0"/>
        <w:autoSpaceDN w:val="0"/>
        <w:adjustRightInd w:val="0"/>
        <w:spacing w:after="0" w:line="240" w:lineRule="auto"/>
        <w:ind w:firstLine="720"/>
        <w:rPr>
          <w:rFonts w:ascii="Times New Roman" w:eastAsia="Times New Roman" w:hAnsi="Times New Roman" w:cs="Times New Roman"/>
          <w:sz w:val="24"/>
          <w:szCs w:val="24"/>
        </w:rPr>
      </w:pPr>
      <w:r w:rsidRPr="00723CBD">
        <w:rPr>
          <w:rFonts w:ascii="Times New Roman" w:eastAsia="Times New Roman" w:hAnsi="Times New Roman" w:cs="Times New Roman"/>
          <w:sz w:val="24"/>
          <w:szCs w:val="24"/>
        </w:rPr>
        <w:t>Burden hours:</w:t>
      </w:r>
      <w:r>
        <w:tab/>
      </w:r>
      <w:r w:rsidRPr="00723CBD" w:rsidR="00747E44">
        <w:rPr>
          <w:rFonts w:ascii="Times New Roman" w:eastAsia="Times New Roman" w:hAnsi="Times New Roman" w:cs="Times New Roman"/>
          <w:sz w:val="24"/>
          <w:szCs w:val="24"/>
        </w:rPr>
        <w:t xml:space="preserve"> 553</w:t>
      </w:r>
      <w:r w:rsidRPr="00723CBD">
        <w:rPr>
          <w:rFonts w:ascii="Times New Roman" w:eastAsia="Times New Roman" w:hAnsi="Times New Roman" w:cs="Times New Roman"/>
          <w:sz w:val="24"/>
          <w:szCs w:val="24"/>
        </w:rPr>
        <w:t xml:space="preserve"> sites × 4 hours for employers to develop a monitoring program </w:t>
      </w:r>
      <w:r>
        <w:br/>
      </w:r>
      <w:r>
        <w:tab/>
      </w:r>
      <w:r>
        <w:tab/>
      </w:r>
      <w:r>
        <w:tab/>
      </w:r>
      <w:r w:rsidRPr="1210E917" w:rsidR="38EE623D">
        <w:rPr>
          <w:rFonts w:ascii="Times New Roman" w:eastAsia="Times New Roman" w:hAnsi="Times New Roman" w:cs="Times New Roman"/>
          <w:sz w:val="24"/>
          <w:szCs w:val="24"/>
        </w:rPr>
        <w:t xml:space="preserve">      </w:t>
      </w:r>
      <w:r w:rsidRPr="1210E917">
        <w:rPr>
          <w:rFonts w:ascii="Times New Roman" w:eastAsia="Times New Roman" w:hAnsi="Times New Roman" w:cs="Times New Roman"/>
          <w:sz w:val="24"/>
          <w:szCs w:val="24"/>
        </w:rPr>
        <w:t>=</w:t>
      </w:r>
      <w:r w:rsidRPr="00723CBD">
        <w:rPr>
          <w:rFonts w:ascii="Times New Roman" w:eastAsia="Times New Roman" w:hAnsi="Times New Roman" w:cs="Times New Roman"/>
          <w:sz w:val="24"/>
          <w:szCs w:val="24"/>
        </w:rPr>
        <w:t xml:space="preserve"> </w:t>
      </w:r>
      <w:r w:rsidRPr="00723CBD" w:rsidR="00C9210C">
        <w:rPr>
          <w:rFonts w:ascii="Times New Roman" w:eastAsia="Times New Roman" w:hAnsi="Times New Roman" w:cs="Times New Roman"/>
          <w:sz w:val="24"/>
          <w:szCs w:val="24"/>
        </w:rPr>
        <w:t>2,212</w:t>
      </w:r>
      <w:r w:rsidRPr="00723CBD">
        <w:rPr>
          <w:rFonts w:ascii="Times New Roman" w:eastAsia="Times New Roman" w:hAnsi="Times New Roman" w:cs="Times New Roman"/>
          <w:sz w:val="24"/>
          <w:szCs w:val="24"/>
        </w:rPr>
        <w:t xml:space="preserve"> hours</w:t>
      </w:r>
    </w:p>
    <w:p w:rsidR="005F0153" w:rsidRPr="00723CBD" w:rsidP="00BF576C" w14:paraId="55B96288" w14:textId="3C3FCA49">
      <w:pPr>
        <w:autoSpaceDE w:val="0"/>
        <w:autoSpaceDN w:val="0"/>
        <w:adjustRightInd w:val="0"/>
        <w:spacing w:after="0" w:line="240" w:lineRule="auto"/>
        <w:rPr>
          <w:rFonts w:ascii="Times New Roman" w:eastAsia="Times New Roman" w:hAnsi="Times New Roman" w:cs="Times New Roman"/>
          <w:sz w:val="24"/>
          <w:szCs w:val="24"/>
        </w:rPr>
      </w:pPr>
      <w:r w:rsidRPr="162FC5FC">
        <w:rPr>
          <w:rFonts w:ascii="Times New Roman" w:eastAsia="Times New Roman" w:hAnsi="Times New Roman" w:cs="Times New Roman"/>
          <w:sz w:val="24"/>
          <w:szCs w:val="24"/>
        </w:rPr>
        <w:t xml:space="preserve">              </w:t>
      </w:r>
      <w:r>
        <w:tab/>
      </w:r>
      <w:r w:rsidRPr="162FC5FC">
        <w:rPr>
          <w:rFonts w:ascii="Times New Roman" w:eastAsia="Times New Roman" w:hAnsi="Times New Roman" w:cs="Times New Roman"/>
          <w:sz w:val="24"/>
          <w:szCs w:val="24"/>
        </w:rPr>
        <w:t xml:space="preserve">  Cost:</w:t>
      </w:r>
      <w:r>
        <w:tab/>
      </w:r>
      <w:r w:rsidRPr="162FC5FC">
        <w:rPr>
          <w:rFonts w:ascii="Times New Roman" w:eastAsia="Times New Roman" w:hAnsi="Times New Roman" w:cs="Times New Roman"/>
          <w:sz w:val="24"/>
          <w:szCs w:val="24"/>
        </w:rPr>
        <w:t xml:space="preserve"> </w:t>
      </w:r>
      <w:r w:rsidRPr="162FC5FC" w:rsidR="00C9210C">
        <w:rPr>
          <w:rFonts w:ascii="Times New Roman" w:eastAsia="Times New Roman" w:hAnsi="Times New Roman" w:cs="Times New Roman"/>
          <w:sz w:val="24"/>
          <w:szCs w:val="24"/>
        </w:rPr>
        <w:t>2</w:t>
      </w:r>
      <w:r w:rsidRPr="162FC5FC" w:rsidR="00455529">
        <w:rPr>
          <w:rFonts w:ascii="Times New Roman" w:eastAsia="Times New Roman" w:hAnsi="Times New Roman" w:cs="Times New Roman"/>
          <w:sz w:val="24"/>
          <w:szCs w:val="24"/>
        </w:rPr>
        <w:t>,212</w:t>
      </w:r>
      <w:r w:rsidRPr="162FC5FC">
        <w:rPr>
          <w:rFonts w:ascii="Times New Roman" w:eastAsia="Times New Roman" w:hAnsi="Times New Roman" w:cs="Times New Roman"/>
          <w:sz w:val="24"/>
          <w:szCs w:val="24"/>
        </w:rPr>
        <w:t xml:space="preserve"> hours x $</w:t>
      </w:r>
      <w:r w:rsidRPr="162FC5FC" w:rsidR="006F5F36">
        <w:rPr>
          <w:rFonts w:ascii="Times New Roman" w:eastAsia="Times New Roman" w:hAnsi="Times New Roman" w:cs="Times New Roman"/>
          <w:sz w:val="24"/>
          <w:szCs w:val="24"/>
        </w:rPr>
        <w:t>53.70</w:t>
      </w:r>
      <w:r w:rsidRPr="162FC5FC">
        <w:rPr>
          <w:rFonts w:ascii="Times New Roman" w:eastAsia="Times New Roman" w:hAnsi="Times New Roman" w:cs="Times New Roman"/>
          <w:sz w:val="24"/>
          <w:szCs w:val="24"/>
        </w:rPr>
        <w:t>= $</w:t>
      </w:r>
      <w:r w:rsidRPr="162FC5FC" w:rsidR="00455529">
        <w:rPr>
          <w:rFonts w:ascii="Times New Roman" w:eastAsia="Times New Roman" w:hAnsi="Times New Roman" w:cs="Times New Roman"/>
          <w:sz w:val="24"/>
          <w:szCs w:val="24"/>
        </w:rPr>
        <w:t xml:space="preserve"> 118,</w:t>
      </w:r>
      <w:r w:rsidRPr="162FC5FC" w:rsidR="00090F83">
        <w:rPr>
          <w:rFonts w:ascii="Times New Roman" w:eastAsia="Times New Roman" w:hAnsi="Times New Roman" w:cs="Times New Roman"/>
          <w:sz w:val="24"/>
          <w:szCs w:val="24"/>
        </w:rPr>
        <w:t>784</w:t>
      </w:r>
      <w:r w:rsidRPr="162FC5FC" w:rsidR="022CB522">
        <w:rPr>
          <w:rFonts w:ascii="Times New Roman" w:eastAsia="Times New Roman" w:hAnsi="Times New Roman" w:cs="Times New Roman"/>
          <w:sz w:val="24"/>
          <w:szCs w:val="24"/>
        </w:rPr>
        <w:t>.40</w:t>
      </w:r>
    </w:p>
    <w:p w:rsidR="00BF576C" w:rsidRPr="00723CBD" w:rsidP="00BF576C" w14:paraId="4405CC54"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2D7C92F3" w14:textId="77777777">
      <w:pPr>
        <w:autoSpaceDE w:val="0"/>
        <w:autoSpaceDN w:val="0"/>
        <w:adjustRightInd w:val="0"/>
        <w:spacing w:after="0" w:line="240" w:lineRule="auto"/>
        <w:rPr>
          <w:rFonts w:ascii="Times New Roman" w:eastAsia="Times New Roman" w:hAnsi="Times New Roman" w:cs="Times New Roman"/>
          <w:b/>
          <w:sz w:val="24"/>
          <w:szCs w:val="24"/>
        </w:rPr>
      </w:pPr>
      <w:r w:rsidRPr="00723CBD">
        <w:rPr>
          <w:rFonts w:ascii="Times New Roman" w:eastAsia="Times New Roman" w:hAnsi="Times New Roman" w:cs="Times New Roman"/>
          <w:b/>
          <w:bCs/>
          <w:sz w:val="24"/>
          <w:szCs w:val="24"/>
        </w:rPr>
        <w:t>9. Decontamination procedures</w:t>
      </w:r>
    </w:p>
    <w:p w:rsidR="00BF576C" w:rsidRPr="00723CBD" w:rsidP="00BF576C" w14:paraId="1F1E455A"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675755B3" w14:textId="76403532">
      <w:pPr>
        <w:autoSpaceDE w:val="0"/>
        <w:autoSpaceDN w:val="0"/>
        <w:adjustRightInd w:val="0"/>
        <w:spacing w:after="0" w:line="240" w:lineRule="auto"/>
        <w:rPr>
          <w:rFonts w:ascii="Times New Roman" w:eastAsia="Times New Roman" w:hAnsi="Times New Roman" w:cs="Times New Roman"/>
          <w:sz w:val="24"/>
          <w:szCs w:val="24"/>
        </w:rPr>
      </w:pPr>
      <w:r w:rsidRPr="162FC5FC">
        <w:rPr>
          <w:rFonts w:ascii="Times New Roman" w:eastAsia="Times New Roman" w:hAnsi="Times New Roman" w:cs="Times New Roman"/>
          <w:sz w:val="24"/>
          <w:szCs w:val="24"/>
        </w:rPr>
        <w:t>Paragraph 1910.120(k)(2)(i) requires employers to develop a decontamination procedure</w:t>
      </w:r>
      <w:r w:rsidRPr="162FC5FC" w:rsidR="2190C5DB">
        <w:rPr>
          <w:rFonts w:ascii="Times New Roman" w:eastAsia="Times New Roman" w:hAnsi="Times New Roman" w:cs="Times New Roman"/>
          <w:sz w:val="24"/>
          <w:szCs w:val="24"/>
        </w:rPr>
        <w:t>,</w:t>
      </w:r>
      <w:r w:rsidRPr="162FC5FC">
        <w:rPr>
          <w:rFonts w:ascii="Times New Roman" w:eastAsia="Times New Roman" w:hAnsi="Times New Roman" w:cs="Times New Roman"/>
          <w:sz w:val="24"/>
          <w:szCs w:val="24"/>
        </w:rPr>
        <w:t xml:space="preserve"> communicate it to </w:t>
      </w:r>
      <w:bookmarkStart w:id="1" w:name="_Int_xgEhYDF4"/>
      <w:r w:rsidRPr="162FC5FC">
        <w:rPr>
          <w:rFonts w:ascii="Times New Roman" w:eastAsia="Times New Roman" w:hAnsi="Times New Roman" w:cs="Times New Roman"/>
          <w:sz w:val="24"/>
          <w:szCs w:val="24"/>
        </w:rPr>
        <w:t>employees</w:t>
      </w:r>
      <w:r w:rsidRPr="162FC5FC" w:rsidR="0BA8AA9A">
        <w:rPr>
          <w:rFonts w:ascii="Times New Roman" w:eastAsia="Times New Roman" w:hAnsi="Times New Roman" w:cs="Times New Roman"/>
          <w:sz w:val="24"/>
          <w:szCs w:val="24"/>
        </w:rPr>
        <w:t>,</w:t>
      </w:r>
      <w:r w:rsidRPr="162FC5FC">
        <w:rPr>
          <w:rFonts w:ascii="Times New Roman" w:eastAsia="Times New Roman" w:hAnsi="Times New Roman" w:cs="Times New Roman"/>
          <w:sz w:val="24"/>
          <w:szCs w:val="24"/>
        </w:rPr>
        <w:t xml:space="preserve"> and</w:t>
      </w:r>
      <w:bookmarkEnd w:id="1"/>
      <w:r w:rsidRPr="162FC5FC">
        <w:rPr>
          <w:rFonts w:ascii="Times New Roman" w:eastAsia="Times New Roman" w:hAnsi="Times New Roman" w:cs="Times New Roman"/>
          <w:sz w:val="24"/>
          <w:szCs w:val="24"/>
        </w:rPr>
        <w:t xml:space="preserve"> implement it before any workers or equipment may enter areas on site where a potential for exposure to hazardous substances exists.</w:t>
      </w:r>
    </w:p>
    <w:p w:rsidR="00BF576C" w:rsidRPr="00723CBD" w:rsidP="00BF576C" w14:paraId="1C7FA339"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67A58A76" w14:textId="65DBE9C1">
      <w:pPr>
        <w:autoSpaceDE w:val="0"/>
        <w:autoSpaceDN w:val="0"/>
        <w:adjustRightInd w:val="0"/>
        <w:spacing w:after="0" w:line="240" w:lineRule="auto"/>
        <w:ind w:firstLine="720"/>
        <w:rPr>
          <w:rFonts w:ascii="Times New Roman" w:eastAsia="Times New Roman" w:hAnsi="Times New Roman" w:cs="Times New Roman"/>
          <w:sz w:val="24"/>
          <w:szCs w:val="24"/>
        </w:rPr>
      </w:pPr>
      <w:r w:rsidRPr="00723CBD">
        <w:rPr>
          <w:rFonts w:ascii="Times New Roman" w:eastAsia="Times New Roman" w:hAnsi="Times New Roman" w:cs="Times New Roman"/>
          <w:sz w:val="24"/>
          <w:szCs w:val="24"/>
        </w:rPr>
        <w:t>Burden hours:</w:t>
      </w:r>
      <w:r w:rsidRPr="00723CBD">
        <w:rPr>
          <w:rFonts w:ascii="Times New Roman" w:eastAsia="Times New Roman" w:hAnsi="Times New Roman" w:cs="Times New Roman"/>
          <w:sz w:val="24"/>
          <w:szCs w:val="24"/>
        </w:rPr>
        <w:tab/>
      </w:r>
      <w:r w:rsidRPr="00723CBD" w:rsidR="00A91BA8">
        <w:rPr>
          <w:rFonts w:ascii="Times New Roman" w:eastAsia="Times New Roman" w:hAnsi="Times New Roman" w:cs="Times New Roman"/>
          <w:sz w:val="24"/>
          <w:szCs w:val="24"/>
        </w:rPr>
        <w:t xml:space="preserve">553 </w:t>
      </w:r>
      <w:r w:rsidRPr="00723CBD">
        <w:rPr>
          <w:rFonts w:ascii="Times New Roman" w:eastAsia="Times New Roman" w:hAnsi="Times New Roman" w:cs="Times New Roman"/>
          <w:sz w:val="24"/>
          <w:szCs w:val="24"/>
        </w:rPr>
        <w:t>sites × 6 hours to develop a decontamination procedure and to</w:t>
      </w:r>
    </w:p>
    <w:p w:rsidR="00BF576C" w:rsidRPr="00723CBD" w:rsidP="00BF576C" w14:paraId="0D6FBABA" w14:textId="0E2234C7">
      <w:pPr>
        <w:autoSpaceDE w:val="0"/>
        <w:autoSpaceDN w:val="0"/>
        <w:adjustRightInd w:val="0"/>
        <w:spacing w:after="0" w:line="240" w:lineRule="auto"/>
        <w:ind w:left="1440" w:firstLine="720"/>
        <w:rPr>
          <w:rFonts w:ascii="Times New Roman" w:eastAsia="Times New Roman" w:hAnsi="Times New Roman" w:cs="Times New Roman"/>
          <w:sz w:val="24"/>
          <w:szCs w:val="24"/>
        </w:rPr>
      </w:pPr>
      <w:r w:rsidRPr="0466994E">
        <w:rPr>
          <w:rFonts w:ascii="Times New Roman" w:eastAsia="Times New Roman" w:hAnsi="Times New Roman" w:cs="Times New Roman"/>
          <w:sz w:val="24"/>
          <w:szCs w:val="24"/>
        </w:rPr>
        <w:t xml:space="preserve"> communicate it to employees =</w:t>
      </w:r>
      <w:r w:rsidRPr="0466994E" w:rsidR="0024081C">
        <w:rPr>
          <w:rFonts w:ascii="Times New Roman" w:eastAsia="Times New Roman" w:hAnsi="Times New Roman" w:cs="Times New Roman"/>
          <w:sz w:val="24"/>
          <w:szCs w:val="24"/>
        </w:rPr>
        <w:t xml:space="preserve"> </w:t>
      </w:r>
      <w:r w:rsidRPr="0466994E" w:rsidR="00772DD6">
        <w:rPr>
          <w:rFonts w:ascii="Times New Roman" w:eastAsia="Times New Roman" w:hAnsi="Times New Roman" w:cs="Times New Roman"/>
          <w:sz w:val="24"/>
          <w:szCs w:val="24"/>
        </w:rPr>
        <w:t>3,318</w:t>
      </w:r>
      <w:r w:rsidRPr="0466994E">
        <w:rPr>
          <w:rFonts w:ascii="Times New Roman" w:eastAsia="Times New Roman" w:hAnsi="Times New Roman" w:cs="Times New Roman"/>
          <w:sz w:val="24"/>
          <w:szCs w:val="24"/>
        </w:rPr>
        <w:t xml:space="preserve"> hours</w:t>
      </w:r>
    </w:p>
    <w:p w:rsidR="00BF576C" w:rsidRPr="00723CBD" w:rsidP="162FC5FC" w14:paraId="125B371B" w14:textId="26BF5FAB">
      <w:pPr>
        <w:autoSpaceDE w:val="0"/>
        <w:autoSpaceDN w:val="0"/>
        <w:adjustRightInd w:val="0"/>
        <w:spacing w:after="0" w:line="240" w:lineRule="auto"/>
        <w:rPr>
          <w:rFonts w:ascii="Times New Roman" w:eastAsia="Times New Roman" w:hAnsi="Times New Roman" w:cs="Times New Roman"/>
          <w:b/>
          <w:bCs/>
          <w:sz w:val="24"/>
          <w:szCs w:val="24"/>
        </w:rPr>
      </w:pPr>
      <w:r w:rsidRPr="00723CBD">
        <w:rPr>
          <w:rFonts w:ascii="Times New Roman" w:eastAsia="Times New Roman" w:hAnsi="Times New Roman" w:cs="Times New Roman"/>
          <w:sz w:val="24"/>
          <w:szCs w:val="24"/>
        </w:rPr>
        <w:tab/>
      </w:r>
      <w:r w:rsidRPr="00723CBD">
        <w:rPr>
          <w:rFonts w:ascii="Times New Roman" w:eastAsia="Times New Roman" w:hAnsi="Times New Roman" w:cs="Times New Roman"/>
          <w:sz w:val="24"/>
          <w:szCs w:val="24"/>
        </w:rPr>
        <w:tab/>
        <w:t xml:space="preserve"> Cost: </w:t>
      </w:r>
      <w:r w:rsidRPr="00723CBD" w:rsidR="00772DD6">
        <w:rPr>
          <w:rFonts w:ascii="Times New Roman" w:eastAsia="Times New Roman" w:hAnsi="Times New Roman" w:cs="Times New Roman"/>
          <w:sz w:val="24"/>
          <w:szCs w:val="24"/>
        </w:rPr>
        <w:t>3</w:t>
      </w:r>
      <w:r w:rsidRPr="00723CBD" w:rsidR="00950A9F">
        <w:rPr>
          <w:rFonts w:ascii="Times New Roman" w:eastAsia="Times New Roman" w:hAnsi="Times New Roman" w:cs="Times New Roman"/>
          <w:sz w:val="24"/>
          <w:szCs w:val="24"/>
        </w:rPr>
        <w:t>,</w:t>
      </w:r>
      <w:r w:rsidRPr="00723CBD" w:rsidR="008365F5">
        <w:rPr>
          <w:rFonts w:ascii="Times New Roman" w:eastAsia="Times New Roman" w:hAnsi="Times New Roman" w:cs="Times New Roman"/>
          <w:sz w:val="24"/>
          <w:szCs w:val="24"/>
        </w:rPr>
        <w:t>3</w:t>
      </w:r>
      <w:r w:rsidRPr="00723CBD" w:rsidR="00772DD6">
        <w:rPr>
          <w:rFonts w:ascii="Times New Roman" w:eastAsia="Times New Roman" w:hAnsi="Times New Roman" w:cs="Times New Roman"/>
          <w:sz w:val="24"/>
          <w:szCs w:val="24"/>
        </w:rPr>
        <w:t xml:space="preserve">18 </w:t>
      </w:r>
      <w:r w:rsidRPr="00723CBD">
        <w:rPr>
          <w:rFonts w:ascii="Times New Roman" w:eastAsia="Times New Roman" w:hAnsi="Times New Roman" w:cs="Times New Roman"/>
          <w:sz w:val="24"/>
          <w:szCs w:val="24"/>
        </w:rPr>
        <w:t>hours x $</w:t>
      </w:r>
      <w:r w:rsidRPr="00723CBD" w:rsidR="005B06B3">
        <w:rPr>
          <w:rFonts w:ascii="Times New Roman" w:eastAsia="Times New Roman" w:hAnsi="Times New Roman" w:cs="Times New Roman"/>
          <w:sz w:val="24"/>
          <w:szCs w:val="24"/>
        </w:rPr>
        <w:t>5</w:t>
      </w:r>
      <w:r w:rsidRPr="00723CBD" w:rsidR="006F5F36">
        <w:rPr>
          <w:rFonts w:ascii="Times New Roman" w:eastAsia="Times New Roman" w:hAnsi="Times New Roman" w:cs="Times New Roman"/>
          <w:sz w:val="24"/>
          <w:szCs w:val="24"/>
        </w:rPr>
        <w:t>3.70</w:t>
      </w:r>
      <w:r w:rsidRPr="00723CBD">
        <w:rPr>
          <w:rFonts w:ascii="Times New Roman" w:eastAsia="Times New Roman" w:hAnsi="Times New Roman" w:cs="Times New Roman"/>
          <w:sz w:val="24"/>
          <w:szCs w:val="24"/>
        </w:rPr>
        <w:t>= $</w:t>
      </w:r>
      <w:r w:rsidRPr="00723CBD" w:rsidR="00DC70D9">
        <w:rPr>
          <w:rFonts w:ascii="Times New Roman" w:eastAsia="Times New Roman" w:hAnsi="Times New Roman" w:cs="Times New Roman"/>
          <w:sz w:val="24"/>
          <w:szCs w:val="24"/>
        </w:rPr>
        <w:t>1</w:t>
      </w:r>
      <w:r w:rsidRPr="00723CBD" w:rsidR="00E918B1">
        <w:rPr>
          <w:rFonts w:ascii="Times New Roman" w:eastAsia="Times New Roman" w:hAnsi="Times New Roman" w:cs="Times New Roman"/>
          <w:sz w:val="24"/>
          <w:szCs w:val="24"/>
        </w:rPr>
        <w:t>78,17</w:t>
      </w:r>
      <w:r w:rsidRPr="00723CBD" w:rsidR="3EE5B624">
        <w:rPr>
          <w:rFonts w:ascii="Times New Roman" w:eastAsia="Times New Roman" w:hAnsi="Times New Roman" w:cs="Times New Roman"/>
          <w:sz w:val="24"/>
          <w:szCs w:val="24"/>
        </w:rPr>
        <w:t>6.60</w:t>
      </w:r>
    </w:p>
    <w:p w:rsidR="00BF576C" w:rsidRPr="00723CBD" w:rsidP="00BF576C" w14:paraId="505DCFDD"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BF576C" w:rsidRPr="00723CBD" w:rsidP="00BF576C" w14:paraId="39FC2EF2" w14:textId="77777777">
      <w:pPr>
        <w:autoSpaceDE w:val="0"/>
        <w:autoSpaceDN w:val="0"/>
        <w:adjustRightInd w:val="0"/>
        <w:spacing w:after="0" w:line="240" w:lineRule="auto"/>
        <w:rPr>
          <w:rFonts w:ascii="Times New Roman" w:eastAsia="Times New Roman" w:hAnsi="Times New Roman" w:cs="Times New Roman"/>
          <w:b/>
          <w:sz w:val="24"/>
          <w:szCs w:val="24"/>
        </w:rPr>
      </w:pPr>
      <w:r w:rsidRPr="00723CBD">
        <w:rPr>
          <w:rFonts w:ascii="Times New Roman" w:eastAsia="Times New Roman" w:hAnsi="Times New Roman" w:cs="Times New Roman"/>
          <w:b/>
          <w:bCs/>
          <w:sz w:val="24"/>
          <w:szCs w:val="24"/>
        </w:rPr>
        <w:t>10. Emergency action plan</w:t>
      </w:r>
    </w:p>
    <w:p w:rsidR="00BF576C" w:rsidRPr="00723CBD" w:rsidP="00BF576C" w14:paraId="1AA1D5B4"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4D90216C" w14:textId="58080944">
      <w:pPr>
        <w:autoSpaceDE w:val="0"/>
        <w:autoSpaceDN w:val="0"/>
        <w:adjustRightInd w:val="0"/>
        <w:spacing w:after="0" w:line="240" w:lineRule="auto"/>
        <w:rPr>
          <w:rFonts w:ascii="Times New Roman" w:eastAsia="Times New Roman" w:hAnsi="Times New Roman" w:cs="Times New Roman"/>
          <w:sz w:val="24"/>
          <w:szCs w:val="24"/>
        </w:rPr>
      </w:pPr>
      <w:r w:rsidRPr="00D91F68">
        <w:rPr>
          <w:rFonts w:ascii="Times New Roman" w:eastAsia="Times New Roman" w:hAnsi="Times New Roman" w:cs="Times New Roman"/>
          <w:sz w:val="24"/>
          <w:szCs w:val="24"/>
        </w:rPr>
        <w:t>Paragraph 1910.120(l)(1)(i)</w:t>
      </w:r>
      <w:r w:rsidRPr="162FC5FC">
        <w:rPr>
          <w:rFonts w:ascii="Times New Roman" w:eastAsia="Times New Roman" w:hAnsi="Times New Roman" w:cs="Times New Roman"/>
          <w:sz w:val="24"/>
          <w:szCs w:val="24"/>
        </w:rPr>
        <w:t xml:space="preserve"> requires that employers develop and implement an emergency action plan to handle anticipated emergencies prior to the commencement of hazardous waste </w:t>
      </w:r>
      <w:r w:rsidRPr="162FC5FC">
        <w:rPr>
          <w:rFonts w:ascii="Times New Roman" w:eastAsia="Times New Roman" w:hAnsi="Times New Roman" w:cs="Times New Roman"/>
          <w:sz w:val="24"/>
          <w:szCs w:val="24"/>
        </w:rPr>
        <w:t>operations. The plan shall be in writing and available for inspection and copying by workers, their representatives, OSHA personnel</w:t>
      </w:r>
      <w:r w:rsidRPr="162FC5FC" w:rsidR="1CB552D1">
        <w:rPr>
          <w:rFonts w:ascii="Times New Roman" w:eastAsia="Times New Roman" w:hAnsi="Times New Roman" w:cs="Times New Roman"/>
          <w:sz w:val="24"/>
          <w:szCs w:val="24"/>
        </w:rPr>
        <w:t>,</w:t>
      </w:r>
      <w:r w:rsidRPr="162FC5FC">
        <w:rPr>
          <w:rFonts w:ascii="Times New Roman" w:eastAsia="Times New Roman" w:hAnsi="Times New Roman" w:cs="Times New Roman"/>
          <w:sz w:val="24"/>
          <w:szCs w:val="24"/>
        </w:rPr>
        <w:t xml:space="preserve"> and other government agencies with relevant responsibilities.</w:t>
      </w:r>
    </w:p>
    <w:p w:rsidR="00BF576C" w:rsidRPr="00723CBD" w:rsidP="00BF576C" w14:paraId="2D5F0D91"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563B21" w:rsidP="162FC5FC" w14:paraId="5B605CEB" w14:textId="6EEA9701">
      <w:pPr>
        <w:autoSpaceDE w:val="0"/>
        <w:autoSpaceDN w:val="0"/>
        <w:adjustRightInd w:val="0"/>
        <w:spacing w:after="0" w:line="240" w:lineRule="auto"/>
        <w:rPr>
          <w:rFonts w:ascii="Times New Roman" w:eastAsia="Times New Roman" w:hAnsi="Times New Roman" w:cs="Times New Roman"/>
          <w:sz w:val="24"/>
          <w:szCs w:val="24"/>
        </w:rPr>
      </w:pPr>
      <w:r w:rsidRPr="00563B21">
        <w:rPr>
          <w:rFonts w:ascii="Times New Roman" w:eastAsia="Times New Roman" w:hAnsi="Times New Roman" w:cs="Times New Roman"/>
          <w:sz w:val="24"/>
          <w:szCs w:val="24"/>
        </w:rPr>
        <w:t xml:space="preserve">As discussed under TYPE 1, OSHA assumes that all employers are already in compliance with this provision. However, OSHA is </w:t>
      </w:r>
      <w:r w:rsidRPr="00563B21" w:rsidR="174C6BF5">
        <w:rPr>
          <w:rFonts w:ascii="Times New Roman" w:eastAsia="Times New Roman" w:hAnsi="Times New Roman" w:cs="Times New Roman"/>
          <w:sz w:val="24"/>
          <w:szCs w:val="24"/>
        </w:rPr>
        <w:t>accounting for</w:t>
      </w:r>
      <w:r w:rsidRPr="00563B21">
        <w:rPr>
          <w:rFonts w:ascii="Times New Roman" w:eastAsia="Times New Roman" w:hAnsi="Times New Roman" w:cs="Times New Roman"/>
          <w:sz w:val="24"/>
          <w:szCs w:val="24"/>
        </w:rPr>
        <w:t xml:space="preserve"> a 10</w:t>
      </w:r>
      <w:r w:rsidRPr="00563B21" w:rsidR="26F7249A">
        <w:rPr>
          <w:rFonts w:ascii="Times New Roman" w:eastAsia="Times New Roman" w:hAnsi="Times New Roman" w:cs="Times New Roman"/>
          <w:sz w:val="24"/>
          <w:szCs w:val="24"/>
        </w:rPr>
        <w:t>%</w:t>
      </w:r>
      <w:r w:rsidRPr="00563B21">
        <w:rPr>
          <w:rFonts w:ascii="Times New Roman" w:eastAsia="Times New Roman" w:hAnsi="Times New Roman" w:cs="Times New Roman"/>
          <w:sz w:val="24"/>
          <w:szCs w:val="24"/>
        </w:rPr>
        <w:t xml:space="preserve"> turnover rate for new employers (</w:t>
      </w:r>
      <w:r w:rsidRPr="00563B21" w:rsidR="73CD64E0">
        <w:rPr>
          <w:rFonts w:ascii="Times New Roman" w:eastAsia="Times New Roman" w:hAnsi="Times New Roman" w:cs="Times New Roman"/>
          <w:sz w:val="24"/>
          <w:szCs w:val="24"/>
        </w:rPr>
        <w:t xml:space="preserve">for a total of 55 </w:t>
      </w:r>
      <w:r w:rsidRPr="00563B21">
        <w:rPr>
          <w:rFonts w:ascii="Times New Roman" w:eastAsia="Times New Roman" w:hAnsi="Times New Roman" w:cs="Times New Roman"/>
          <w:sz w:val="24"/>
          <w:szCs w:val="24"/>
        </w:rPr>
        <w:t>sites</w:t>
      </w:r>
      <w:r w:rsidRPr="00563B21" w:rsidR="18BB4153">
        <w:rPr>
          <w:rFonts w:ascii="Times New Roman" w:eastAsia="Times New Roman" w:hAnsi="Times New Roman" w:cs="Times New Roman"/>
          <w:sz w:val="24"/>
          <w:szCs w:val="24"/>
        </w:rPr>
        <w:t>, rounded</w:t>
      </w:r>
      <w:r w:rsidRPr="00563B21">
        <w:rPr>
          <w:rFonts w:ascii="Times New Roman" w:eastAsia="Times New Roman" w:hAnsi="Times New Roman" w:cs="Times New Roman"/>
          <w:sz w:val="24"/>
          <w:szCs w:val="24"/>
        </w:rPr>
        <w:t xml:space="preserve">). </w:t>
      </w:r>
      <w:r w:rsidRPr="00563B21" w:rsidR="377242DC">
        <w:rPr>
          <w:rFonts w:ascii="Times New Roman" w:eastAsia="Times New Roman" w:hAnsi="Times New Roman" w:cs="Times New Roman"/>
          <w:sz w:val="24"/>
          <w:szCs w:val="24"/>
        </w:rPr>
        <w:t>Those sites will take 8 hours to prepare and maintain emergency action plans.</w:t>
      </w:r>
    </w:p>
    <w:p w:rsidR="00BF576C" w:rsidRPr="00563B21" w:rsidP="162FC5FC" w14:paraId="361C559D" w14:textId="15339296">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32984BA5" w14:textId="4F143938">
      <w:pPr>
        <w:autoSpaceDE w:val="0"/>
        <w:autoSpaceDN w:val="0"/>
        <w:adjustRightInd w:val="0"/>
        <w:spacing w:after="0" w:line="240" w:lineRule="auto"/>
        <w:rPr>
          <w:rFonts w:ascii="Times New Roman" w:eastAsia="Times New Roman" w:hAnsi="Times New Roman" w:cs="Times New Roman"/>
          <w:sz w:val="24"/>
          <w:szCs w:val="24"/>
        </w:rPr>
      </w:pPr>
      <w:r w:rsidRPr="00563B21">
        <w:rPr>
          <w:rFonts w:ascii="Times New Roman" w:eastAsia="Times New Roman" w:hAnsi="Times New Roman" w:cs="Times New Roman"/>
          <w:sz w:val="24"/>
          <w:szCs w:val="24"/>
        </w:rPr>
        <w:t>For the existing 553 sites, OSHA estimat</w:t>
      </w:r>
      <w:r w:rsidRPr="00563B21" w:rsidR="001B7EFF">
        <w:rPr>
          <w:rFonts w:ascii="Times New Roman" w:eastAsia="Times New Roman" w:hAnsi="Times New Roman" w:cs="Times New Roman"/>
          <w:sz w:val="24"/>
          <w:szCs w:val="24"/>
        </w:rPr>
        <w:t xml:space="preserve">es that it takes one minute </w:t>
      </w:r>
      <w:r w:rsidRPr="00563B21" w:rsidR="004E7B29">
        <w:rPr>
          <w:rFonts w:ascii="Times New Roman" w:eastAsia="Times New Roman" w:hAnsi="Times New Roman" w:cs="Times New Roman"/>
          <w:sz w:val="24"/>
          <w:szCs w:val="24"/>
        </w:rPr>
        <w:t>(</w:t>
      </w:r>
      <w:r w:rsidRPr="00563B21" w:rsidR="001B7EFF">
        <w:rPr>
          <w:rFonts w:ascii="Times New Roman" w:eastAsia="Times New Roman" w:hAnsi="Times New Roman" w:cs="Times New Roman"/>
          <w:sz w:val="24"/>
          <w:szCs w:val="24"/>
        </w:rPr>
        <w:t xml:space="preserve">1/60 </w:t>
      </w:r>
      <w:r w:rsidRPr="00563B21">
        <w:rPr>
          <w:rFonts w:ascii="Times New Roman" w:eastAsia="Times New Roman" w:hAnsi="Times New Roman" w:cs="Times New Roman"/>
          <w:sz w:val="24"/>
          <w:szCs w:val="24"/>
        </w:rPr>
        <w:t>h</w:t>
      </w:r>
      <w:r w:rsidRPr="00563B21" w:rsidR="001B7EFF">
        <w:rPr>
          <w:rFonts w:ascii="Times New Roman" w:eastAsia="Times New Roman" w:hAnsi="Times New Roman" w:cs="Times New Roman"/>
          <w:sz w:val="24"/>
          <w:szCs w:val="24"/>
        </w:rPr>
        <w:t>ou</w:t>
      </w:r>
      <w:r w:rsidRPr="00563B21">
        <w:rPr>
          <w:rFonts w:ascii="Times New Roman" w:eastAsia="Times New Roman" w:hAnsi="Times New Roman" w:cs="Times New Roman"/>
          <w:sz w:val="24"/>
          <w:szCs w:val="24"/>
        </w:rPr>
        <w:t>r) to maintain the</w:t>
      </w:r>
      <w:r w:rsidRPr="162FC5FC">
        <w:rPr>
          <w:rFonts w:ascii="Times New Roman" w:eastAsia="Times New Roman" w:hAnsi="Times New Roman" w:cs="Times New Roman"/>
          <w:sz w:val="24"/>
          <w:szCs w:val="24"/>
        </w:rPr>
        <w:t xml:space="preserve"> </w:t>
      </w:r>
      <w:r w:rsidRPr="162FC5FC" w:rsidR="591D7FCB">
        <w:rPr>
          <w:rFonts w:ascii="Times New Roman" w:eastAsia="Times New Roman" w:hAnsi="Times New Roman" w:cs="Times New Roman"/>
          <w:sz w:val="24"/>
          <w:szCs w:val="24"/>
        </w:rPr>
        <w:t>ongoing</w:t>
      </w:r>
      <w:r w:rsidRPr="162FC5FC" w:rsidR="3C4C5EFB">
        <w:rPr>
          <w:rFonts w:ascii="Times New Roman" w:eastAsia="Times New Roman" w:hAnsi="Times New Roman" w:cs="Times New Roman"/>
          <w:sz w:val="24"/>
          <w:szCs w:val="24"/>
        </w:rPr>
        <w:t xml:space="preserve"> emergency action </w:t>
      </w:r>
      <w:r w:rsidRPr="162FC5FC">
        <w:rPr>
          <w:rFonts w:ascii="Times New Roman" w:eastAsia="Times New Roman" w:hAnsi="Times New Roman" w:cs="Times New Roman"/>
          <w:sz w:val="24"/>
          <w:szCs w:val="24"/>
        </w:rPr>
        <w:t>plan.</w:t>
      </w:r>
    </w:p>
    <w:p w:rsidR="00BF576C" w:rsidRPr="00723CBD" w:rsidP="00BF576C" w14:paraId="179AB5DC"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253F8640" w14:textId="1C67AE6E">
      <w:pPr>
        <w:autoSpaceDE w:val="0"/>
        <w:autoSpaceDN w:val="0"/>
        <w:adjustRightInd w:val="0"/>
        <w:spacing w:after="0" w:line="240" w:lineRule="auto"/>
        <w:ind w:firstLine="720"/>
        <w:rPr>
          <w:rFonts w:ascii="Times New Roman" w:eastAsia="Times New Roman" w:hAnsi="Times New Roman" w:cs="Times New Roman"/>
          <w:sz w:val="24"/>
          <w:szCs w:val="24"/>
        </w:rPr>
      </w:pPr>
      <w:r w:rsidRPr="162FC5FC">
        <w:rPr>
          <w:rFonts w:ascii="Times New Roman" w:eastAsia="Times New Roman" w:hAnsi="Times New Roman" w:cs="Times New Roman"/>
          <w:sz w:val="24"/>
          <w:szCs w:val="24"/>
        </w:rPr>
        <w:t>Burden hours:</w:t>
      </w:r>
      <w:r>
        <w:tab/>
      </w:r>
      <w:r w:rsidRPr="162FC5FC">
        <w:rPr>
          <w:rFonts w:ascii="Times New Roman" w:eastAsia="Times New Roman" w:hAnsi="Times New Roman" w:cs="Times New Roman"/>
          <w:sz w:val="24"/>
          <w:szCs w:val="24"/>
        </w:rPr>
        <w:t xml:space="preserve"> </w:t>
      </w:r>
      <w:r w:rsidRPr="162FC5FC" w:rsidR="00DA2ADC">
        <w:rPr>
          <w:rFonts w:ascii="Times New Roman" w:eastAsia="Times New Roman" w:hAnsi="Times New Roman" w:cs="Times New Roman"/>
          <w:sz w:val="24"/>
          <w:szCs w:val="24"/>
        </w:rPr>
        <w:t>55</w:t>
      </w:r>
      <w:r w:rsidRPr="162FC5FC">
        <w:rPr>
          <w:rFonts w:ascii="Times New Roman" w:eastAsia="Times New Roman" w:hAnsi="Times New Roman" w:cs="Times New Roman"/>
          <w:sz w:val="24"/>
          <w:szCs w:val="24"/>
        </w:rPr>
        <w:t xml:space="preserve"> sites × 8 hours to prepare and maintain emergency action plan</w:t>
      </w:r>
    </w:p>
    <w:p w:rsidR="33FFCE71" w:rsidP="1210E917" w14:paraId="5B06598A" w14:textId="660055BE">
      <w:pPr>
        <w:spacing w:after="0" w:line="240" w:lineRule="auto"/>
        <w:ind w:left="1440" w:firstLine="720"/>
        <w:rPr>
          <w:rFonts w:ascii="Times New Roman" w:eastAsia="Times New Roman" w:hAnsi="Times New Roman" w:cs="Times New Roman"/>
          <w:sz w:val="24"/>
          <w:szCs w:val="24"/>
        </w:rPr>
      </w:pPr>
      <w:r w:rsidRPr="1210E917">
        <w:rPr>
          <w:rFonts w:ascii="Times New Roman" w:eastAsia="Times New Roman" w:hAnsi="Times New Roman" w:cs="Times New Roman"/>
          <w:sz w:val="24"/>
          <w:szCs w:val="24"/>
        </w:rPr>
        <w:t xml:space="preserve">    </w:t>
      </w:r>
      <w:r w:rsidRPr="1210E917" w:rsidR="00BF576C">
        <w:rPr>
          <w:rFonts w:ascii="Times New Roman" w:eastAsia="Times New Roman" w:hAnsi="Times New Roman" w:cs="Times New Roman"/>
          <w:sz w:val="24"/>
          <w:szCs w:val="24"/>
        </w:rPr>
        <w:t xml:space="preserve"> = </w:t>
      </w:r>
      <w:r w:rsidRPr="1210E917" w:rsidR="0073265E">
        <w:rPr>
          <w:rFonts w:ascii="Times New Roman" w:eastAsia="Times New Roman" w:hAnsi="Times New Roman" w:cs="Times New Roman"/>
          <w:sz w:val="24"/>
          <w:szCs w:val="24"/>
        </w:rPr>
        <w:t>44</w:t>
      </w:r>
      <w:r w:rsidRPr="1210E917" w:rsidR="53B498EF">
        <w:rPr>
          <w:rFonts w:ascii="Times New Roman" w:eastAsia="Times New Roman" w:hAnsi="Times New Roman" w:cs="Times New Roman"/>
          <w:sz w:val="24"/>
          <w:szCs w:val="24"/>
        </w:rPr>
        <w:t>0</w:t>
      </w:r>
      <w:r w:rsidRPr="1210E917" w:rsidR="00BF576C">
        <w:rPr>
          <w:rFonts w:ascii="Times New Roman" w:eastAsia="Times New Roman" w:hAnsi="Times New Roman" w:cs="Times New Roman"/>
          <w:sz w:val="24"/>
          <w:szCs w:val="24"/>
        </w:rPr>
        <w:t xml:space="preserve"> hours</w:t>
      </w:r>
    </w:p>
    <w:p w:rsidR="60A22521" w:rsidP="162FC5FC" w14:paraId="744C0A4B" w14:textId="7638B837">
      <w:pPr>
        <w:spacing w:after="0" w:line="240" w:lineRule="auto"/>
        <w:ind w:firstLine="720"/>
        <w:rPr>
          <w:rFonts w:ascii="Times New Roman" w:eastAsia="Times New Roman" w:hAnsi="Times New Roman" w:cs="Times New Roman"/>
          <w:sz w:val="24"/>
          <w:szCs w:val="24"/>
        </w:rPr>
      </w:pPr>
      <w:r>
        <w:tab/>
      </w:r>
      <w:r w:rsidRPr="162FC5FC" w:rsidR="3DBACBC2">
        <w:rPr>
          <w:rFonts w:ascii="Times New Roman" w:eastAsia="Times New Roman" w:hAnsi="Times New Roman" w:cs="Times New Roman"/>
          <w:sz w:val="24"/>
          <w:szCs w:val="24"/>
        </w:rPr>
        <w:t xml:space="preserve">  Cost:</w:t>
      </w:r>
      <w:r>
        <w:tab/>
      </w:r>
      <w:r w:rsidRPr="162FC5FC" w:rsidR="3DBACBC2">
        <w:rPr>
          <w:rFonts w:ascii="Times New Roman" w:eastAsia="Times New Roman" w:hAnsi="Times New Roman" w:cs="Times New Roman"/>
          <w:sz w:val="24"/>
          <w:szCs w:val="24"/>
        </w:rPr>
        <w:t xml:space="preserve"> 44</w:t>
      </w:r>
      <w:r w:rsidRPr="162FC5FC" w:rsidR="47773F91">
        <w:rPr>
          <w:rFonts w:ascii="Times New Roman" w:eastAsia="Times New Roman" w:hAnsi="Times New Roman" w:cs="Times New Roman"/>
          <w:sz w:val="24"/>
          <w:szCs w:val="24"/>
        </w:rPr>
        <w:t>0</w:t>
      </w:r>
      <w:r w:rsidRPr="162FC5FC" w:rsidR="3DBACBC2">
        <w:rPr>
          <w:rFonts w:ascii="Times New Roman" w:eastAsia="Times New Roman" w:hAnsi="Times New Roman" w:cs="Times New Roman"/>
          <w:sz w:val="24"/>
          <w:szCs w:val="24"/>
        </w:rPr>
        <w:t xml:space="preserve"> hour</w:t>
      </w:r>
      <w:r w:rsidRPr="162FC5FC" w:rsidR="53FEF331">
        <w:rPr>
          <w:rFonts w:ascii="Times New Roman" w:eastAsia="Times New Roman" w:hAnsi="Times New Roman" w:cs="Times New Roman"/>
          <w:sz w:val="24"/>
          <w:szCs w:val="24"/>
        </w:rPr>
        <w:t>s</w:t>
      </w:r>
      <w:r w:rsidRPr="162FC5FC" w:rsidR="3DBACBC2">
        <w:rPr>
          <w:rFonts w:ascii="Times New Roman" w:eastAsia="Times New Roman" w:hAnsi="Times New Roman" w:cs="Times New Roman"/>
          <w:sz w:val="24"/>
          <w:szCs w:val="24"/>
        </w:rPr>
        <w:t xml:space="preserve"> x $53.70 = $2</w:t>
      </w:r>
      <w:r w:rsidRPr="162FC5FC" w:rsidR="2D6D84D7">
        <w:rPr>
          <w:rFonts w:ascii="Times New Roman" w:eastAsia="Times New Roman" w:hAnsi="Times New Roman" w:cs="Times New Roman"/>
          <w:sz w:val="24"/>
          <w:szCs w:val="24"/>
        </w:rPr>
        <w:t>3,628.00</w:t>
      </w:r>
    </w:p>
    <w:p w:rsidR="162FC5FC" w:rsidP="162FC5FC" w14:paraId="683D60C9" w14:textId="71AE0967">
      <w:pPr>
        <w:spacing w:after="0" w:line="240" w:lineRule="auto"/>
        <w:ind w:left="1440" w:firstLine="720"/>
        <w:rPr>
          <w:rFonts w:ascii="Times New Roman" w:eastAsia="Times New Roman" w:hAnsi="Times New Roman" w:cs="Times New Roman"/>
          <w:sz w:val="24"/>
          <w:szCs w:val="24"/>
        </w:rPr>
      </w:pPr>
    </w:p>
    <w:p w:rsidR="00BF576C" w:rsidRPr="00723CBD" w:rsidP="00BF576C" w14:paraId="62A6AB3D"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1210E917" w14:paraId="22BD267C" w14:textId="3254A4F1">
      <w:pPr>
        <w:spacing w:after="0" w:line="240" w:lineRule="auto"/>
        <w:ind w:firstLine="720"/>
        <w:rPr>
          <w:rFonts w:ascii="Times New Roman" w:eastAsia="Times New Roman" w:hAnsi="Times New Roman" w:cs="Times New Roman"/>
          <w:sz w:val="24"/>
          <w:szCs w:val="24"/>
        </w:rPr>
      </w:pPr>
      <w:r w:rsidRPr="5C516CCC">
        <w:rPr>
          <w:rFonts w:ascii="Times New Roman" w:eastAsia="Times New Roman" w:hAnsi="Times New Roman" w:cs="Times New Roman"/>
          <w:sz w:val="24"/>
          <w:szCs w:val="24"/>
        </w:rPr>
        <w:t>Burden hours:</w:t>
      </w:r>
      <w:r>
        <w:tab/>
      </w:r>
      <w:r w:rsidRPr="5C516CCC">
        <w:rPr>
          <w:rFonts w:ascii="Times New Roman" w:eastAsia="Times New Roman" w:hAnsi="Times New Roman" w:cs="Times New Roman"/>
          <w:sz w:val="24"/>
          <w:szCs w:val="24"/>
        </w:rPr>
        <w:t xml:space="preserve"> </w:t>
      </w:r>
      <w:r w:rsidRPr="5C516CCC" w:rsidR="1A621391">
        <w:rPr>
          <w:rFonts w:ascii="Times New Roman" w:eastAsia="Times New Roman" w:hAnsi="Times New Roman" w:cs="Times New Roman"/>
          <w:sz w:val="24"/>
          <w:szCs w:val="24"/>
        </w:rPr>
        <w:t>553</w:t>
      </w:r>
      <w:r w:rsidRPr="5C516CCC">
        <w:rPr>
          <w:rFonts w:ascii="Times New Roman" w:eastAsia="Times New Roman" w:hAnsi="Times New Roman" w:cs="Times New Roman"/>
          <w:sz w:val="24"/>
          <w:szCs w:val="24"/>
        </w:rPr>
        <w:t xml:space="preserve"> existing plans × </w:t>
      </w:r>
      <w:r w:rsidRPr="5C516CCC" w:rsidR="5FC614D6">
        <w:rPr>
          <w:rFonts w:ascii="Times New Roman" w:eastAsia="Times New Roman" w:hAnsi="Times New Roman" w:cs="Times New Roman"/>
          <w:sz w:val="24"/>
          <w:szCs w:val="24"/>
        </w:rPr>
        <w:t>1/60</w:t>
      </w:r>
      <w:r w:rsidRPr="5C516CCC" w:rsidR="593DA542">
        <w:rPr>
          <w:rFonts w:ascii="Times New Roman" w:eastAsia="Times New Roman" w:hAnsi="Times New Roman" w:cs="Times New Roman"/>
          <w:sz w:val="24"/>
          <w:szCs w:val="24"/>
        </w:rPr>
        <w:t xml:space="preserve"> </w:t>
      </w:r>
      <w:r w:rsidRPr="5C516CCC">
        <w:rPr>
          <w:rFonts w:ascii="Times New Roman" w:eastAsia="Times New Roman" w:hAnsi="Times New Roman" w:cs="Times New Roman"/>
          <w:sz w:val="24"/>
          <w:szCs w:val="24"/>
        </w:rPr>
        <w:t xml:space="preserve">hour = </w:t>
      </w:r>
      <w:r w:rsidRPr="5C516CCC" w:rsidR="3BDCA71B">
        <w:rPr>
          <w:rFonts w:ascii="Times New Roman" w:eastAsia="Times New Roman" w:hAnsi="Times New Roman" w:cs="Times New Roman"/>
          <w:sz w:val="24"/>
          <w:szCs w:val="24"/>
        </w:rPr>
        <w:t>9</w:t>
      </w:r>
      <w:r w:rsidRPr="5C516CCC">
        <w:rPr>
          <w:rFonts w:ascii="Times New Roman" w:eastAsia="Times New Roman" w:hAnsi="Times New Roman" w:cs="Times New Roman"/>
          <w:sz w:val="24"/>
          <w:szCs w:val="24"/>
        </w:rPr>
        <w:t xml:space="preserve"> hours</w:t>
      </w:r>
    </w:p>
    <w:p w:rsidR="00BF576C" w:rsidRPr="00723CBD" w:rsidP="00BF576C" w14:paraId="11D26229" w14:textId="10C9FC40">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sz w:val="24"/>
          <w:szCs w:val="24"/>
        </w:rPr>
        <w:tab/>
      </w:r>
      <w:r w:rsidRPr="00723CBD" w:rsidR="092D7F12">
        <w:rPr>
          <w:rFonts w:ascii="Times New Roman" w:eastAsia="Times New Roman" w:hAnsi="Times New Roman" w:cs="Times New Roman"/>
          <w:sz w:val="24"/>
          <w:szCs w:val="24"/>
        </w:rPr>
        <w:t xml:space="preserve"> </w:t>
      </w:r>
      <w:r w:rsidRPr="00723CBD">
        <w:rPr>
          <w:rFonts w:ascii="Times New Roman" w:eastAsia="Times New Roman" w:hAnsi="Times New Roman" w:cs="Times New Roman"/>
          <w:sz w:val="24"/>
          <w:szCs w:val="24"/>
        </w:rPr>
        <w:tab/>
      </w:r>
      <w:r w:rsidRPr="00723CBD" w:rsidR="092D7F12">
        <w:rPr>
          <w:rFonts w:ascii="Times New Roman" w:eastAsia="Times New Roman" w:hAnsi="Times New Roman" w:cs="Times New Roman"/>
          <w:sz w:val="24"/>
          <w:szCs w:val="24"/>
        </w:rPr>
        <w:t xml:space="preserve">  Cost:</w:t>
      </w:r>
      <w:r w:rsidRPr="00723CBD">
        <w:rPr>
          <w:rFonts w:ascii="Times New Roman" w:eastAsia="Times New Roman" w:hAnsi="Times New Roman" w:cs="Times New Roman"/>
          <w:sz w:val="24"/>
          <w:szCs w:val="24"/>
        </w:rPr>
        <w:tab/>
      </w:r>
      <w:r w:rsidRPr="00723CBD" w:rsidR="092D7F12">
        <w:rPr>
          <w:rFonts w:ascii="Times New Roman" w:eastAsia="Times New Roman" w:hAnsi="Times New Roman" w:cs="Times New Roman"/>
          <w:sz w:val="24"/>
          <w:szCs w:val="24"/>
        </w:rPr>
        <w:t xml:space="preserve"> </w:t>
      </w:r>
      <w:r w:rsidRPr="00723CBD" w:rsidR="3BDCA71B">
        <w:rPr>
          <w:rFonts w:ascii="Times New Roman" w:eastAsia="Times New Roman" w:hAnsi="Times New Roman" w:cs="Times New Roman"/>
          <w:sz w:val="24"/>
          <w:szCs w:val="24"/>
        </w:rPr>
        <w:t>9</w:t>
      </w:r>
      <w:r w:rsidRPr="00723CBD" w:rsidR="092D7F12">
        <w:rPr>
          <w:rFonts w:ascii="Times New Roman" w:eastAsia="Times New Roman" w:hAnsi="Times New Roman" w:cs="Times New Roman"/>
          <w:sz w:val="24"/>
          <w:szCs w:val="24"/>
        </w:rPr>
        <w:t xml:space="preserve"> hours x $</w:t>
      </w:r>
      <w:r w:rsidRPr="00723CBD" w:rsidR="23BE4D48">
        <w:rPr>
          <w:rFonts w:ascii="Times New Roman" w:eastAsia="Times New Roman" w:hAnsi="Times New Roman" w:cs="Times New Roman"/>
          <w:sz w:val="24"/>
          <w:szCs w:val="24"/>
        </w:rPr>
        <w:t>53.70</w:t>
      </w:r>
      <w:r w:rsidRPr="00723CBD" w:rsidR="092D7F12">
        <w:rPr>
          <w:rFonts w:ascii="Times New Roman" w:eastAsia="Times New Roman" w:hAnsi="Times New Roman" w:cs="Times New Roman"/>
          <w:sz w:val="24"/>
          <w:szCs w:val="24"/>
        </w:rPr>
        <w:t xml:space="preserve"> = $</w:t>
      </w:r>
      <w:r w:rsidRPr="00723CBD" w:rsidR="5CD96DC0">
        <w:rPr>
          <w:rFonts w:ascii="Times New Roman" w:eastAsia="Times New Roman" w:hAnsi="Times New Roman" w:cs="Times New Roman"/>
          <w:sz w:val="24"/>
          <w:szCs w:val="24"/>
        </w:rPr>
        <w:t xml:space="preserve"> </w:t>
      </w:r>
      <w:r w:rsidRPr="00723CBD" w:rsidR="2C4EAE7E">
        <w:rPr>
          <w:rFonts w:ascii="Times New Roman" w:eastAsia="Times New Roman" w:hAnsi="Times New Roman" w:cs="Times New Roman"/>
          <w:sz w:val="24"/>
          <w:szCs w:val="24"/>
        </w:rPr>
        <w:t>483.30</w:t>
      </w:r>
    </w:p>
    <w:p w:rsidR="162FC5FC" w:rsidP="162FC5FC" w14:paraId="15CCD874" w14:textId="7BCD2DE0">
      <w:pPr>
        <w:spacing w:after="0" w:line="240" w:lineRule="auto"/>
        <w:rPr>
          <w:rFonts w:ascii="Times New Roman" w:eastAsia="Times New Roman" w:hAnsi="Times New Roman" w:cs="Times New Roman"/>
          <w:sz w:val="24"/>
          <w:szCs w:val="24"/>
        </w:rPr>
      </w:pPr>
    </w:p>
    <w:p w:rsidR="0772C9BD" w:rsidP="162FC5FC" w14:paraId="444CC4AC" w14:textId="56131B25">
      <w:pPr>
        <w:spacing w:after="0" w:line="240" w:lineRule="auto"/>
        <w:rPr>
          <w:rFonts w:ascii="Times New Roman" w:eastAsia="Times New Roman" w:hAnsi="Times New Roman" w:cs="Times New Roman"/>
          <w:sz w:val="24"/>
          <w:szCs w:val="24"/>
        </w:rPr>
      </w:pPr>
      <w:r>
        <w:tab/>
      </w:r>
      <w:r w:rsidRPr="162FC5FC">
        <w:rPr>
          <w:rFonts w:ascii="Times New Roman" w:eastAsia="Times New Roman" w:hAnsi="Times New Roman" w:cs="Times New Roman"/>
          <w:i/>
          <w:iCs/>
          <w:sz w:val="24"/>
          <w:szCs w:val="24"/>
        </w:rPr>
        <w:t>Subtotal Burden hours: 440 + 9 = 449 hours</w:t>
      </w:r>
    </w:p>
    <w:p w:rsidR="00EA0A2B" w:rsidRPr="00723CBD" w:rsidP="00BF576C" w14:paraId="4F0C737E" w14:textId="507BCE20">
      <w:pPr>
        <w:autoSpaceDE w:val="0"/>
        <w:autoSpaceDN w:val="0"/>
        <w:adjustRightInd w:val="0"/>
        <w:spacing w:after="0" w:line="240" w:lineRule="auto"/>
        <w:rPr>
          <w:rFonts w:ascii="Times New Roman" w:eastAsia="Times New Roman" w:hAnsi="Times New Roman" w:cs="Times New Roman"/>
          <w:b/>
          <w:bCs/>
          <w:sz w:val="24"/>
          <w:szCs w:val="24"/>
        </w:rPr>
      </w:pPr>
      <w:r>
        <w:tab/>
      </w:r>
      <w:r>
        <w:tab/>
      </w:r>
      <w:r w:rsidRPr="162FC5FC">
        <w:rPr>
          <w:rFonts w:ascii="Times New Roman" w:eastAsia="Times New Roman" w:hAnsi="Times New Roman" w:cs="Times New Roman"/>
          <w:i/>
          <w:iCs/>
          <w:sz w:val="24"/>
          <w:szCs w:val="24"/>
        </w:rPr>
        <w:t xml:space="preserve">  Subtotal Cost: $23,628.00 + $483.30 = $24,111.30</w:t>
      </w:r>
    </w:p>
    <w:p w:rsidR="1210E917" w:rsidP="1210E917" w14:paraId="317770B7" w14:textId="38BCA6B4">
      <w:pPr>
        <w:spacing w:after="0" w:line="240" w:lineRule="auto"/>
        <w:rPr>
          <w:rFonts w:ascii="Times New Roman" w:eastAsia="Times New Roman" w:hAnsi="Times New Roman" w:cs="Times New Roman"/>
          <w:i/>
          <w:iCs/>
          <w:sz w:val="24"/>
          <w:szCs w:val="24"/>
        </w:rPr>
      </w:pPr>
    </w:p>
    <w:p w:rsidR="00BF576C" w:rsidRPr="00723CBD" w:rsidP="00BF576C" w14:paraId="2BB7963F" w14:textId="77777777">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b/>
          <w:bCs/>
          <w:sz w:val="24"/>
          <w:szCs w:val="24"/>
        </w:rPr>
        <w:t>11. Marking water containers as containing drinking water</w:t>
      </w:r>
    </w:p>
    <w:p w:rsidR="00BF576C" w:rsidRPr="00723CBD" w:rsidP="00BF576C" w14:paraId="3D0BB0D3"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048B6280" w14:textId="77777777">
      <w:pPr>
        <w:autoSpaceDE w:val="0"/>
        <w:autoSpaceDN w:val="0"/>
        <w:adjustRightInd w:val="0"/>
        <w:spacing w:after="0" w:line="240" w:lineRule="auto"/>
        <w:rPr>
          <w:rFonts w:ascii="Times New Roman" w:eastAsia="Times New Roman" w:hAnsi="Times New Roman" w:cs="Times New Roman"/>
          <w:sz w:val="24"/>
          <w:szCs w:val="24"/>
        </w:rPr>
      </w:pPr>
      <w:r w:rsidRPr="00D91F68">
        <w:rPr>
          <w:rFonts w:ascii="Times New Roman" w:eastAsia="Times New Roman" w:hAnsi="Times New Roman" w:cs="Times New Roman"/>
          <w:sz w:val="24"/>
          <w:szCs w:val="24"/>
        </w:rPr>
        <w:t>Paragraph 1910.120(n)(1)(iii)</w:t>
      </w:r>
      <w:r w:rsidRPr="58460332">
        <w:rPr>
          <w:rFonts w:ascii="Times New Roman" w:eastAsia="Times New Roman" w:hAnsi="Times New Roman" w:cs="Times New Roman"/>
          <w:sz w:val="24"/>
          <w:szCs w:val="24"/>
        </w:rPr>
        <w:t xml:space="preserve"> requires that any container used to distribute drinking water shall be clearly marked as to the nature of its contents and not used for any other purpose.</w:t>
      </w:r>
    </w:p>
    <w:p w:rsidR="00BF576C" w:rsidRPr="00723CBD" w:rsidP="00BF576C" w14:paraId="724E85CA"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496F868D" w14:textId="788B0640">
      <w:pPr>
        <w:autoSpaceDE w:val="0"/>
        <w:autoSpaceDN w:val="0"/>
        <w:adjustRightInd w:val="0"/>
        <w:spacing w:after="0" w:line="240" w:lineRule="auto"/>
        <w:rPr>
          <w:rFonts w:ascii="Times New Roman" w:eastAsia="Times New Roman" w:hAnsi="Times New Roman" w:cs="Times New Roman"/>
          <w:sz w:val="24"/>
          <w:szCs w:val="24"/>
        </w:rPr>
      </w:pPr>
      <w:r w:rsidRPr="58460332">
        <w:rPr>
          <w:rFonts w:ascii="Times New Roman" w:eastAsia="Times New Roman" w:hAnsi="Times New Roman" w:cs="Times New Roman"/>
          <w:sz w:val="24"/>
          <w:szCs w:val="24"/>
        </w:rPr>
        <w:t>OSHA assumes that employers have completed developing appropriate language to fulfill the requirement</w:t>
      </w:r>
      <w:r w:rsidRPr="58460332" w:rsidR="7B26AAFE">
        <w:rPr>
          <w:rFonts w:ascii="Times New Roman" w:eastAsia="Times New Roman" w:hAnsi="Times New Roman" w:cs="Times New Roman"/>
          <w:sz w:val="24"/>
          <w:szCs w:val="24"/>
        </w:rPr>
        <w:t xml:space="preserve"> for existing containers, and that each new site (55 sites, rounded) will require 10 containers (550 containers in total)</w:t>
      </w:r>
      <w:r w:rsidRPr="58460332">
        <w:rPr>
          <w:rFonts w:ascii="Times New Roman" w:eastAsia="Times New Roman" w:hAnsi="Times New Roman" w:cs="Times New Roman"/>
          <w:sz w:val="24"/>
          <w:szCs w:val="24"/>
        </w:rPr>
        <w:t>. OSHA assumes this task will take 1</w:t>
      </w:r>
      <w:r w:rsidRPr="58460332" w:rsidR="001B7EFF">
        <w:rPr>
          <w:rFonts w:ascii="Times New Roman" w:eastAsia="Times New Roman" w:hAnsi="Times New Roman" w:cs="Times New Roman"/>
          <w:sz w:val="24"/>
          <w:szCs w:val="24"/>
        </w:rPr>
        <w:t xml:space="preserve">0 minutes </w:t>
      </w:r>
      <w:r w:rsidRPr="58460332" w:rsidR="00A0622B">
        <w:rPr>
          <w:rFonts w:ascii="Times New Roman" w:eastAsia="Times New Roman" w:hAnsi="Times New Roman" w:cs="Times New Roman"/>
          <w:sz w:val="24"/>
          <w:szCs w:val="24"/>
        </w:rPr>
        <w:t>(</w:t>
      </w:r>
      <w:r w:rsidRPr="58460332" w:rsidR="007850FB">
        <w:rPr>
          <w:rFonts w:ascii="Times New Roman" w:eastAsia="Times New Roman" w:hAnsi="Times New Roman" w:cs="Times New Roman"/>
          <w:sz w:val="24"/>
          <w:szCs w:val="24"/>
        </w:rPr>
        <w:t>10/60</w:t>
      </w:r>
      <w:r w:rsidRPr="58460332">
        <w:rPr>
          <w:rFonts w:ascii="Times New Roman" w:eastAsia="Times New Roman" w:hAnsi="Times New Roman" w:cs="Times New Roman"/>
          <w:sz w:val="24"/>
          <w:szCs w:val="24"/>
        </w:rPr>
        <w:t xml:space="preserve"> hour).</w:t>
      </w:r>
    </w:p>
    <w:p w:rsidR="1210E917" w:rsidP="1210E917" w14:paraId="5D275369" w14:textId="010E3B5D">
      <w:pPr>
        <w:spacing w:after="0" w:line="240" w:lineRule="auto"/>
        <w:rPr>
          <w:rFonts w:ascii="Times New Roman" w:eastAsia="Times New Roman" w:hAnsi="Times New Roman" w:cs="Times New Roman"/>
          <w:sz w:val="24"/>
          <w:szCs w:val="24"/>
        </w:rPr>
      </w:pPr>
    </w:p>
    <w:p w:rsidR="00C71058" w:rsidRPr="00723CBD" w:rsidP="1210E917" w14:paraId="5689A5EA" w14:textId="53E06D2B">
      <w:pPr>
        <w:autoSpaceDE w:val="0"/>
        <w:autoSpaceDN w:val="0"/>
        <w:adjustRightInd w:val="0"/>
        <w:spacing w:after="0" w:line="240" w:lineRule="auto"/>
        <w:ind w:left="720"/>
        <w:rPr>
          <w:rFonts w:ascii="Times New Roman" w:eastAsia="Times New Roman" w:hAnsi="Times New Roman" w:cs="Times New Roman"/>
          <w:sz w:val="24"/>
          <w:szCs w:val="24"/>
        </w:rPr>
      </w:pPr>
      <w:r w:rsidRPr="638B37EC">
        <w:rPr>
          <w:rFonts w:ascii="Times New Roman" w:eastAsia="Times New Roman" w:hAnsi="Times New Roman" w:cs="Times New Roman"/>
          <w:sz w:val="24"/>
          <w:szCs w:val="24"/>
        </w:rPr>
        <w:t>Burden hours:</w:t>
      </w:r>
      <w:r>
        <w:tab/>
      </w:r>
      <w:r w:rsidRPr="638B37EC" w:rsidR="00E22A0C">
        <w:rPr>
          <w:rFonts w:ascii="Times New Roman" w:eastAsia="Times New Roman" w:hAnsi="Times New Roman" w:cs="Times New Roman"/>
          <w:sz w:val="24"/>
          <w:szCs w:val="24"/>
        </w:rPr>
        <w:t xml:space="preserve">55 </w:t>
      </w:r>
      <w:r w:rsidRPr="638B37EC">
        <w:rPr>
          <w:rFonts w:ascii="Times New Roman" w:eastAsia="Times New Roman" w:hAnsi="Times New Roman" w:cs="Times New Roman"/>
          <w:sz w:val="24"/>
          <w:szCs w:val="24"/>
        </w:rPr>
        <w:t xml:space="preserve">sites × 10 containers per site × </w:t>
      </w:r>
      <w:r w:rsidRPr="638B37EC" w:rsidR="00C62BD1">
        <w:rPr>
          <w:rFonts w:ascii="Times New Roman" w:eastAsia="Times New Roman" w:hAnsi="Times New Roman" w:cs="Times New Roman"/>
          <w:sz w:val="24"/>
          <w:szCs w:val="24"/>
        </w:rPr>
        <w:t>10/60</w:t>
      </w:r>
      <w:r w:rsidRPr="638B37EC" w:rsidR="00BE6F73">
        <w:rPr>
          <w:rFonts w:ascii="Times New Roman" w:eastAsia="Times New Roman" w:hAnsi="Times New Roman" w:cs="Times New Roman"/>
          <w:sz w:val="24"/>
          <w:szCs w:val="24"/>
        </w:rPr>
        <w:t xml:space="preserve"> </w:t>
      </w:r>
      <w:r w:rsidRPr="638B37EC">
        <w:rPr>
          <w:rFonts w:ascii="Times New Roman" w:eastAsia="Times New Roman" w:hAnsi="Times New Roman" w:cs="Times New Roman"/>
          <w:sz w:val="24"/>
          <w:szCs w:val="24"/>
        </w:rPr>
        <w:t xml:space="preserve">hours = </w:t>
      </w:r>
      <w:r w:rsidRPr="638B37EC" w:rsidR="001041AA">
        <w:rPr>
          <w:rFonts w:ascii="Times New Roman" w:eastAsia="Times New Roman" w:hAnsi="Times New Roman" w:cs="Times New Roman"/>
          <w:sz w:val="24"/>
          <w:szCs w:val="24"/>
        </w:rPr>
        <w:t>92</w:t>
      </w:r>
      <w:r w:rsidRPr="638B37EC">
        <w:rPr>
          <w:rFonts w:ascii="Times New Roman" w:eastAsia="Times New Roman" w:hAnsi="Times New Roman" w:cs="Times New Roman"/>
          <w:sz w:val="24"/>
          <w:szCs w:val="24"/>
        </w:rPr>
        <w:t xml:space="preserve"> hours</w:t>
      </w:r>
      <w:r w:rsidRPr="638B37EC" w:rsidR="0CD88C81">
        <w:rPr>
          <w:rFonts w:ascii="Times New Roman" w:eastAsia="Times New Roman" w:hAnsi="Times New Roman" w:cs="Times New Roman"/>
          <w:sz w:val="24"/>
          <w:szCs w:val="24"/>
        </w:rPr>
        <w:t>, rounded</w:t>
      </w:r>
    </w:p>
    <w:p w:rsidR="00BF576C" w:rsidRPr="00723CBD" w:rsidP="1210E917" w14:paraId="79AEE1EA" w14:textId="7D6633C1">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638B37EC">
        <w:rPr>
          <w:rFonts w:ascii="Times New Roman" w:eastAsia="Times New Roman" w:hAnsi="Times New Roman" w:cs="Times New Roman"/>
          <w:sz w:val="24"/>
          <w:szCs w:val="24"/>
        </w:rPr>
        <w:t xml:space="preserve"> Cost:</w:t>
      </w:r>
      <w:r>
        <w:tab/>
      </w:r>
      <w:r w:rsidRPr="638B37EC" w:rsidR="001041AA">
        <w:rPr>
          <w:rFonts w:ascii="Times New Roman" w:eastAsia="Times New Roman" w:hAnsi="Times New Roman" w:cs="Times New Roman"/>
          <w:sz w:val="24"/>
          <w:szCs w:val="24"/>
        </w:rPr>
        <w:t>92</w:t>
      </w:r>
      <w:r w:rsidRPr="638B37EC" w:rsidR="00C074A9">
        <w:rPr>
          <w:rFonts w:ascii="Times New Roman" w:eastAsia="Times New Roman" w:hAnsi="Times New Roman" w:cs="Times New Roman"/>
          <w:sz w:val="24"/>
          <w:szCs w:val="24"/>
        </w:rPr>
        <w:t xml:space="preserve"> </w:t>
      </w:r>
      <w:r w:rsidRPr="638B37EC">
        <w:rPr>
          <w:rFonts w:ascii="Times New Roman" w:eastAsia="Times New Roman" w:hAnsi="Times New Roman" w:cs="Times New Roman"/>
          <w:sz w:val="24"/>
          <w:szCs w:val="24"/>
        </w:rPr>
        <w:t>hours x $</w:t>
      </w:r>
      <w:r w:rsidRPr="638B37EC" w:rsidR="006F5F36">
        <w:rPr>
          <w:rFonts w:ascii="Times New Roman" w:eastAsia="Times New Roman" w:hAnsi="Times New Roman" w:cs="Times New Roman"/>
          <w:sz w:val="24"/>
          <w:szCs w:val="24"/>
        </w:rPr>
        <w:t>53.70</w:t>
      </w:r>
      <w:r w:rsidRPr="638B37EC" w:rsidR="007850FB">
        <w:rPr>
          <w:rFonts w:ascii="Times New Roman" w:eastAsia="Times New Roman" w:hAnsi="Times New Roman" w:cs="Times New Roman"/>
          <w:sz w:val="24"/>
          <w:szCs w:val="24"/>
        </w:rPr>
        <w:t xml:space="preserve"> </w:t>
      </w:r>
      <w:r w:rsidRPr="638B37EC">
        <w:rPr>
          <w:rFonts w:ascii="Times New Roman" w:eastAsia="Times New Roman" w:hAnsi="Times New Roman" w:cs="Times New Roman"/>
          <w:sz w:val="24"/>
          <w:szCs w:val="24"/>
        </w:rPr>
        <w:t xml:space="preserve">= </w:t>
      </w:r>
      <w:r w:rsidRPr="638B37EC" w:rsidR="00271C23">
        <w:rPr>
          <w:rFonts w:ascii="Times New Roman" w:eastAsia="Times New Roman" w:hAnsi="Times New Roman" w:cs="Times New Roman"/>
          <w:sz w:val="24"/>
          <w:szCs w:val="24"/>
        </w:rPr>
        <w:t>$</w:t>
      </w:r>
      <w:r w:rsidRPr="638B37EC" w:rsidR="00E65F85">
        <w:rPr>
          <w:rFonts w:ascii="Times New Roman" w:eastAsia="Times New Roman" w:hAnsi="Times New Roman" w:cs="Times New Roman"/>
          <w:sz w:val="24"/>
          <w:szCs w:val="24"/>
        </w:rPr>
        <w:t>4</w:t>
      </w:r>
      <w:r w:rsidRPr="638B37EC" w:rsidR="00271C23">
        <w:rPr>
          <w:rFonts w:ascii="Times New Roman" w:eastAsia="Times New Roman" w:hAnsi="Times New Roman" w:cs="Times New Roman"/>
          <w:sz w:val="24"/>
          <w:szCs w:val="24"/>
        </w:rPr>
        <w:t>,</w:t>
      </w:r>
      <w:r w:rsidRPr="638B37EC" w:rsidR="00E65F85">
        <w:rPr>
          <w:rFonts w:ascii="Times New Roman" w:eastAsia="Times New Roman" w:hAnsi="Times New Roman" w:cs="Times New Roman"/>
          <w:sz w:val="24"/>
          <w:szCs w:val="24"/>
        </w:rPr>
        <w:t>9</w:t>
      </w:r>
      <w:r w:rsidRPr="638B37EC">
        <w:rPr>
          <w:rFonts w:ascii="Times New Roman" w:eastAsia="Times New Roman" w:hAnsi="Times New Roman" w:cs="Times New Roman"/>
          <w:sz w:val="24"/>
          <w:szCs w:val="24"/>
        </w:rPr>
        <w:t>40</w:t>
      </w:r>
      <w:r w:rsidRPr="638B37EC" w:rsidR="5EF47573">
        <w:rPr>
          <w:rFonts w:ascii="Times New Roman" w:eastAsia="Times New Roman" w:hAnsi="Times New Roman" w:cs="Times New Roman"/>
          <w:sz w:val="24"/>
          <w:szCs w:val="24"/>
        </w:rPr>
        <w:t>.40</w:t>
      </w:r>
    </w:p>
    <w:p w:rsidR="00BF576C" w:rsidRPr="00723CBD" w:rsidP="00BF576C" w14:paraId="451DBB07" w14:textId="77777777">
      <w:pPr>
        <w:autoSpaceDE w:val="0"/>
        <w:autoSpaceDN w:val="0"/>
        <w:adjustRightInd w:val="0"/>
        <w:spacing w:after="0" w:line="240" w:lineRule="auto"/>
        <w:rPr>
          <w:rFonts w:ascii="Times New Roman" w:eastAsia="Times New Roman" w:hAnsi="Times New Roman" w:cs="Times New Roman"/>
          <w:bCs/>
          <w:sz w:val="24"/>
          <w:szCs w:val="24"/>
        </w:rPr>
      </w:pPr>
    </w:p>
    <w:p w:rsidR="00BF576C" w:rsidRPr="00723CBD" w:rsidP="00BF576C" w14:paraId="209CE079" w14:textId="77777777">
      <w:pPr>
        <w:autoSpaceDE w:val="0"/>
        <w:autoSpaceDN w:val="0"/>
        <w:adjustRightInd w:val="0"/>
        <w:spacing w:after="0" w:line="240" w:lineRule="auto"/>
        <w:rPr>
          <w:rFonts w:ascii="Times New Roman" w:eastAsia="Times New Roman" w:hAnsi="Times New Roman" w:cs="Times New Roman"/>
          <w:b/>
          <w:sz w:val="24"/>
          <w:szCs w:val="24"/>
        </w:rPr>
      </w:pPr>
      <w:r w:rsidRPr="00723CBD">
        <w:rPr>
          <w:rFonts w:ascii="Times New Roman" w:eastAsia="Times New Roman" w:hAnsi="Times New Roman" w:cs="Times New Roman"/>
          <w:b/>
          <w:bCs/>
          <w:sz w:val="24"/>
          <w:szCs w:val="24"/>
        </w:rPr>
        <w:t>12. Marking of outlets for non-potable water</w:t>
      </w:r>
    </w:p>
    <w:p w:rsidR="00BF576C" w:rsidRPr="00723CBD" w:rsidP="00BF576C" w14:paraId="3D5C4F22" w14:textId="77777777">
      <w:pPr>
        <w:autoSpaceDE w:val="0"/>
        <w:autoSpaceDN w:val="0"/>
        <w:adjustRightInd w:val="0"/>
        <w:spacing w:after="0" w:line="240" w:lineRule="auto"/>
        <w:rPr>
          <w:rFonts w:ascii="Times New Roman" w:eastAsia="Times New Roman" w:hAnsi="Times New Roman" w:cs="Times New Roman"/>
          <w:b/>
          <w:sz w:val="24"/>
          <w:szCs w:val="24"/>
        </w:rPr>
      </w:pPr>
    </w:p>
    <w:p w:rsidR="00BF576C" w:rsidRPr="00723CBD" w:rsidP="00BF576C" w14:paraId="1954A8A4" w14:textId="77777777">
      <w:pPr>
        <w:autoSpaceDE w:val="0"/>
        <w:autoSpaceDN w:val="0"/>
        <w:adjustRightInd w:val="0"/>
        <w:spacing w:after="0" w:line="240" w:lineRule="auto"/>
        <w:rPr>
          <w:rFonts w:ascii="Times New Roman" w:eastAsia="Times New Roman" w:hAnsi="Times New Roman" w:cs="Times New Roman"/>
          <w:sz w:val="24"/>
          <w:szCs w:val="24"/>
        </w:rPr>
      </w:pPr>
      <w:r w:rsidRPr="5C516CCC">
        <w:rPr>
          <w:rFonts w:ascii="Times New Roman" w:eastAsia="Times New Roman" w:hAnsi="Times New Roman" w:cs="Times New Roman"/>
          <w:sz w:val="24"/>
          <w:szCs w:val="24"/>
        </w:rPr>
        <w:t>Paragraph 1910.120(n)(2)(i) requires that outlets for non-potable water, such as water for firefighting purposes, be identified to indicate clearly that the water is unsafe and is not to be used for drinking, washing, or cooking purposes.</w:t>
      </w:r>
    </w:p>
    <w:p w:rsidR="58460332" w:rsidP="58460332" w14:paraId="33E45D2A" w14:textId="4938A633">
      <w:pPr>
        <w:spacing w:after="0" w:line="240" w:lineRule="auto"/>
        <w:rPr>
          <w:rFonts w:ascii="Times New Roman" w:eastAsia="Times New Roman" w:hAnsi="Times New Roman" w:cs="Times New Roman"/>
          <w:sz w:val="24"/>
          <w:szCs w:val="24"/>
        </w:rPr>
      </w:pPr>
    </w:p>
    <w:p w:rsidR="2AD368A9" w:rsidP="58460332" w14:paraId="67075FA6" w14:textId="507AFA6C">
      <w:pPr>
        <w:spacing w:after="0" w:line="240" w:lineRule="auto"/>
        <w:rPr>
          <w:rFonts w:ascii="Times New Roman" w:eastAsia="Times New Roman" w:hAnsi="Times New Roman" w:cs="Times New Roman"/>
          <w:sz w:val="24"/>
          <w:szCs w:val="24"/>
        </w:rPr>
      </w:pPr>
      <w:r w:rsidRPr="58460332">
        <w:rPr>
          <w:rFonts w:ascii="Times New Roman" w:eastAsia="Times New Roman" w:hAnsi="Times New Roman" w:cs="Times New Roman"/>
          <w:sz w:val="24"/>
          <w:szCs w:val="24"/>
        </w:rPr>
        <w:t xml:space="preserve">OSHA assumes that employers have completed developing appropriate language to fulfill the requirement for existing </w:t>
      </w:r>
      <w:r w:rsidRPr="58460332" w:rsidR="1DB73AC2">
        <w:rPr>
          <w:rFonts w:ascii="Times New Roman" w:eastAsia="Times New Roman" w:hAnsi="Times New Roman" w:cs="Times New Roman"/>
          <w:sz w:val="24"/>
          <w:szCs w:val="24"/>
        </w:rPr>
        <w:t>outlets</w:t>
      </w:r>
      <w:r w:rsidRPr="58460332">
        <w:rPr>
          <w:rFonts w:ascii="Times New Roman" w:eastAsia="Times New Roman" w:hAnsi="Times New Roman" w:cs="Times New Roman"/>
          <w:sz w:val="24"/>
          <w:szCs w:val="24"/>
        </w:rPr>
        <w:t>, and that each new site (55 sites, rounded) will require 10</w:t>
      </w:r>
      <w:r w:rsidRPr="58460332" w:rsidR="26C10135">
        <w:rPr>
          <w:rFonts w:ascii="Times New Roman" w:eastAsia="Times New Roman" w:hAnsi="Times New Roman" w:cs="Times New Roman"/>
          <w:sz w:val="24"/>
          <w:szCs w:val="24"/>
        </w:rPr>
        <w:t xml:space="preserve"> outlets be marked</w:t>
      </w:r>
      <w:r w:rsidRPr="58460332">
        <w:rPr>
          <w:rFonts w:ascii="Times New Roman" w:eastAsia="Times New Roman" w:hAnsi="Times New Roman" w:cs="Times New Roman"/>
          <w:sz w:val="24"/>
          <w:szCs w:val="24"/>
        </w:rPr>
        <w:t xml:space="preserve"> (550 </w:t>
      </w:r>
      <w:r w:rsidRPr="58460332" w:rsidR="4DB34D35">
        <w:rPr>
          <w:rFonts w:ascii="Times New Roman" w:eastAsia="Times New Roman" w:hAnsi="Times New Roman" w:cs="Times New Roman"/>
          <w:sz w:val="24"/>
          <w:szCs w:val="24"/>
        </w:rPr>
        <w:t>outlets</w:t>
      </w:r>
      <w:r w:rsidRPr="58460332">
        <w:rPr>
          <w:rFonts w:ascii="Times New Roman" w:eastAsia="Times New Roman" w:hAnsi="Times New Roman" w:cs="Times New Roman"/>
          <w:sz w:val="24"/>
          <w:szCs w:val="24"/>
        </w:rPr>
        <w:t xml:space="preserve"> in total). OSHA assumes this task will take 10 minutes (10/60 hour).</w:t>
      </w:r>
    </w:p>
    <w:p w:rsidR="00BF576C" w:rsidRPr="00723CBD" w:rsidP="00BF576C" w14:paraId="5FD65486" w14:textId="77777777">
      <w:pPr>
        <w:autoSpaceDE w:val="0"/>
        <w:autoSpaceDN w:val="0"/>
        <w:adjustRightInd w:val="0"/>
        <w:spacing w:after="0" w:line="240" w:lineRule="auto"/>
        <w:rPr>
          <w:rFonts w:ascii="Times New Roman" w:eastAsia="Times New Roman" w:hAnsi="Times New Roman" w:cs="Times New Roman"/>
          <w:sz w:val="24"/>
          <w:szCs w:val="24"/>
        </w:rPr>
      </w:pPr>
    </w:p>
    <w:p w:rsidR="006D06C5" w:rsidRPr="00723CBD" w:rsidP="1210E917" w14:paraId="00FC26E3" w14:textId="52EDA991">
      <w:pPr>
        <w:autoSpaceDE w:val="0"/>
        <w:autoSpaceDN w:val="0"/>
        <w:adjustRightInd w:val="0"/>
        <w:spacing w:after="0" w:line="240" w:lineRule="auto"/>
        <w:ind w:firstLine="720"/>
        <w:rPr>
          <w:rFonts w:ascii="Times New Roman" w:eastAsia="Times New Roman" w:hAnsi="Times New Roman" w:cs="Times New Roman"/>
          <w:sz w:val="24"/>
          <w:szCs w:val="24"/>
        </w:rPr>
      </w:pPr>
      <w:r w:rsidRPr="58460332">
        <w:rPr>
          <w:rFonts w:ascii="Times New Roman" w:eastAsia="Times New Roman" w:hAnsi="Times New Roman" w:cs="Times New Roman"/>
          <w:sz w:val="24"/>
          <w:szCs w:val="24"/>
        </w:rPr>
        <w:t>Burden hours:</w:t>
      </w:r>
      <w:r>
        <w:tab/>
      </w:r>
      <w:r w:rsidRPr="58460332" w:rsidR="00271C23">
        <w:rPr>
          <w:rFonts w:ascii="Times New Roman" w:eastAsia="Times New Roman" w:hAnsi="Times New Roman" w:cs="Times New Roman"/>
          <w:sz w:val="24"/>
          <w:szCs w:val="24"/>
        </w:rPr>
        <w:t>55</w:t>
      </w:r>
      <w:r w:rsidRPr="58460332" w:rsidR="49064025">
        <w:rPr>
          <w:rFonts w:ascii="Times New Roman" w:eastAsia="Times New Roman" w:hAnsi="Times New Roman" w:cs="Times New Roman"/>
          <w:sz w:val="24"/>
          <w:szCs w:val="24"/>
        </w:rPr>
        <w:t xml:space="preserve"> </w:t>
      </w:r>
      <w:r w:rsidRPr="58460332">
        <w:rPr>
          <w:rFonts w:ascii="Times New Roman" w:eastAsia="Times New Roman" w:hAnsi="Times New Roman" w:cs="Times New Roman"/>
          <w:sz w:val="24"/>
          <w:szCs w:val="24"/>
        </w:rPr>
        <w:t xml:space="preserve">sites × 10 outlets per site × </w:t>
      </w:r>
      <w:r w:rsidRPr="58460332" w:rsidR="00C074A9">
        <w:rPr>
          <w:rFonts w:ascii="Times New Roman" w:eastAsia="Times New Roman" w:hAnsi="Times New Roman" w:cs="Times New Roman"/>
          <w:sz w:val="24"/>
          <w:szCs w:val="24"/>
        </w:rPr>
        <w:t>10/60</w:t>
      </w:r>
      <w:r w:rsidRPr="58460332" w:rsidR="00C46CA1">
        <w:rPr>
          <w:rFonts w:ascii="Times New Roman" w:eastAsia="Times New Roman" w:hAnsi="Times New Roman" w:cs="Times New Roman"/>
          <w:sz w:val="24"/>
          <w:szCs w:val="24"/>
        </w:rPr>
        <w:t xml:space="preserve"> </w:t>
      </w:r>
      <w:r w:rsidRPr="58460332" w:rsidR="000D61D6">
        <w:rPr>
          <w:rFonts w:ascii="Times New Roman" w:eastAsia="Times New Roman" w:hAnsi="Times New Roman" w:cs="Times New Roman"/>
          <w:sz w:val="24"/>
          <w:szCs w:val="24"/>
        </w:rPr>
        <w:t>h</w:t>
      </w:r>
      <w:r w:rsidRPr="58460332">
        <w:rPr>
          <w:rFonts w:ascii="Times New Roman" w:eastAsia="Times New Roman" w:hAnsi="Times New Roman" w:cs="Times New Roman"/>
          <w:sz w:val="24"/>
          <w:szCs w:val="24"/>
        </w:rPr>
        <w:t>our</w:t>
      </w:r>
      <w:r w:rsidRPr="58460332" w:rsidR="00C46CA1">
        <w:rPr>
          <w:rFonts w:ascii="Times New Roman" w:eastAsia="Times New Roman" w:hAnsi="Times New Roman" w:cs="Times New Roman"/>
          <w:sz w:val="24"/>
          <w:szCs w:val="24"/>
        </w:rPr>
        <w:t xml:space="preserve"> </w:t>
      </w:r>
      <w:r w:rsidRPr="58460332">
        <w:rPr>
          <w:rFonts w:ascii="Times New Roman" w:eastAsia="Times New Roman" w:hAnsi="Times New Roman" w:cs="Times New Roman"/>
          <w:sz w:val="24"/>
          <w:szCs w:val="24"/>
        </w:rPr>
        <w:t xml:space="preserve">= </w:t>
      </w:r>
      <w:r w:rsidRPr="58460332" w:rsidR="001041AA">
        <w:rPr>
          <w:rFonts w:ascii="Times New Roman" w:eastAsia="Times New Roman" w:hAnsi="Times New Roman" w:cs="Times New Roman"/>
          <w:sz w:val="24"/>
          <w:szCs w:val="24"/>
        </w:rPr>
        <w:t>92</w:t>
      </w:r>
      <w:r w:rsidRPr="58460332" w:rsidR="00C46CA1">
        <w:rPr>
          <w:rFonts w:ascii="Times New Roman" w:eastAsia="Times New Roman" w:hAnsi="Times New Roman" w:cs="Times New Roman"/>
          <w:sz w:val="24"/>
          <w:szCs w:val="24"/>
        </w:rPr>
        <w:t xml:space="preserve"> </w:t>
      </w:r>
      <w:r w:rsidRPr="58460332">
        <w:rPr>
          <w:rFonts w:ascii="Times New Roman" w:eastAsia="Times New Roman" w:hAnsi="Times New Roman" w:cs="Times New Roman"/>
          <w:sz w:val="24"/>
          <w:szCs w:val="24"/>
        </w:rPr>
        <w:t>hours</w:t>
      </w:r>
      <w:r w:rsidRPr="58460332" w:rsidR="781C6339">
        <w:rPr>
          <w:rFonts w:ascii="Times New Roman" w:eastAsia="Times New Roman" w:hAnsi="Times New Roman" w:cs="Times New Roman"/>
          <w:sz w:val="24"/>
          <w:szCs w:val="24"/>
        </w:rPr>
        <w:t>, rounded</w:t>
      </w:r>
    </w:p>
    <w:p w:rsidR="00BF576C" w:rsidRPr="00723CBD" w:rsidP="00BF576C" w14:paraId="646C95AC" w14:textId="1D7EC3A7">
      <w:pPr>
        <w:autoSpaceDE w:val="0"/>
        <w:autoSpaceDN w:val="0"/>
        <w:adjustRightInd w:val="0"/>
        <w:spacing w:after="0" w:line="240" w:lineRule="auto"/>
        <w:rPr>
          <w:rFonts w:ascii="Times New Roman" w:eastAsia="Times New Roman" w:hAnsi="Times New Roman" w:cs="Times New Roman"/>
          <w:sz w:val="24"/>
          <w:szCs w:val="24"/>
        </w:rPr>
      </w:pPr>
      <w:r w:rsidRPr="58460332">
        <w:rPr>
          <w:rFonts w:ascii="Times New Roman" w:eastAsia="Times New Roman" w:hAnsi="Times New Roman" w:cs="Times New Roman"/>
          <w:sz w:val="24"/>
          <w:szCs w:val="24"/>
        </w:rPr>
        <w:t xml:space="preserve">  </w:t>
      </w:r>
      <w:r>
        <w:tab/>
      </w:r>
      <w:r>
        <w:tab/>
      </w:r>
      <w:r w:rsidRPr="58460332" w:rsidR="00C46CA1">
        <w:rPr>
          <w:rFonts w:ascii="Times New Roman" w:eastAsia="Times New Roman" w:hAnsi="Times New Roman" w:cs="Times New Roman"/>
          <w:sz w:val="24"/>
          <w:szCs w:val="24"/>
        </w:rPr>
        <w:t xml:space="preserve">  </w:t>
      </w:r>
      <w:r w:rsidRPr="58460332">
        <w:rPr>
          <w:rFonts w:ascii="Times New Roman" w:eastAsia="Times New Roman" w:hAnsi="Times New Roman" w:cs="Times New Roman"/>
          <w:sz w:val="24"/>
          <w:szCs w:val="24"/>
        </w:rPr>
        <w:t>Cost:</w:t>
      </w:r>
      <w:r>
        <w:tab/>
      </w:r>
      <w:r w:rsidRPr="58460332" w:rsidR="001041AA">
        <w:rPr>
          <w:rFonts w:ascii="Times New Roman" w:eastAsia="Times New Roman" w:hAnsi="Times New Roman" w:cs="Times New Roman"/>
          <w:sz w:val="24"/>
          <w:szCs w:val="24"/>
        </w:rPr>
        <w:t>92</w:t>
      </w:r>
      <w:r w:rsidRPr="58460332">
        <w:rPr>
          <w:rFonts w:ascii="Times New Roman" w:eastAsia="Times New Roman" w:hAnsi="Times New Roman" w:cs="Times New Roman"/>
          <w:sz w:val="24"/>
          <w:szCs w:val="24"/>
        </w:rPr>
        <w:t xml:space="preserve"> hours </w:t>
      </w:r>
      <w:r w:rsidRPr="58460332" w:rsidR="007850FB">
        <w:rPr>
          <w:rFonts w:ascii="Times New Roman" w:eastAsia="Times New Roman" w:hAnsi="Times New Roman" w:cs="Times New Roman"/>
          <w:sz w:val="24"/>
          <w:szCs w:val="24"/>
        </w:rPr>
        <w:t xml:space="preserve">x </w:t>
      </w:r>
      <w:r w:rsidRPr="58460332">
        <w:rPr>
          <w:rFonts w:ascii="Times New Roman" w:eastAsia="Times New Roman" w:hAnsi="Times New Roman" w:cs="Times New Roman"/>
          <w:sz w:val="24"/>
          <w:szCs w:val="24"/>
        </w:rPr>
        <w:t>$</w:t>
      </w:r>
      <w:r w:rsidRPr="58460332" w:rsidR="006F5F36">
        <w:rPr>
          <w:rFonts w:ascii="Times New Roman" w:eastAsia="Times New Roman" w:hAnsi="Times New Roman" w:cs="Times New Roman"/>
          <w:sz w:val="24"/>
          <w:szCs w:val="24"/>
        </w:rPr>
        <w:t>53.70</w:t>
      </w:r>
      <w:r w:rsidRPr="58460332">
        <w:rPr>
          <w:rFonts w:ascii="Times New Roman" w:eastAsia="Times New Roman" w:hAnsi="Times New Roman" w:cs="Times New Roman"/>
          <w:sz w:val="24"/>
          <w:szCs w:val="24"/>
        </w:rPr>
        <w:t xml:space="preserve"> = </w:t>
      </w:r>
      <w:r w:rsidRPr="58460332" w:rsidR="00816336">
        <w:rPr>
          <w:rFonts w:ascii="Times New Roman" w:eastAsia="Times New Roman" w:hAnsi="Times New Roman" w:cs="Times New Roman"/>
          <w:sz w:val="24"/>
          <w:szCs w:val="24"/>
        </w:rPr>
        <w:t>$4,9</w:t>
      </w:r>
      <w:r w:rsidRPr="58460332" w:rsidR="35D1D79A">
        <w:rPr>
          <w:rFonts w:ascii="Times New Roman" w:eastAsia="Times New Roman" w:hAnsi="Times New Roman" w:cs="Times New Roman"/>
          <w:sz w:val="24"/>
          <w:szCs w:val="24"/>
        </w:rPr>
        <w:t>22.50</w:t>
      </w:r>
    </w:p>
    <w:p w:rsidR="00BF576C" w:rsidRPr="00723CBD" w:rsidP="00BF576C" w14:paraId="34B6E511"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677E8C99" w14:textId="77777777">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b/>
          <w:bCs/>
          <w:sz w:val="24"/>
          <w:szCs w:val="24"/>
        </w:rPr>
        <w:t>13. New technology requirements</w:t>
      </w:r>
    </w:p>
    <w:p w:rsidR="00BF576C" w:rsidRPr="00723CBD" w:rsidP="00BF576C" w14:paraId="7CE4B819"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6D779436" w14:textId="2324927F">
      <w:pPr>
        <w:autoSpaceDE w:val="0"/>
        <w:autoSpaceDN w:val="0"/>
        <w:adjustRightInd w:val="0"/>
        <w:spacing w:after="0" w:line="240" w:lineRule="auto"/>
        <w:rPr>
          <w:rFonts w:ascii="Times New Roman" w:eastAsia="Times New Roman" w:hAnsi="Times New Roman" w:cs="Times New Roman"/>
          <w:sz w:val="24"/>
          <w:szCs w:val="24"/>
        </w:rPr>
      </w:pPr>
      <w:r w:rsidRPr="00D91F68">
        <w:rPr>
          <w:rFonts w:ascii="Times New Roman" w:eastAsia="Times New Roman" w:hAnsi="Times New Roman" w:cs="Times New Roman"/>
          <w:sz w:val="24"/>
          <w:szCs w:val="24"/>
        </w:rPr>
        <w:t>Paragraph 1910.120(o)</w:t>
      </w:r>
      <w:r w:rsidRPr="58460332">
        <w:rPr>
          <w:rFonts w:ascii="Times New Roman" w:eastAsia="Times New Roman" w:hAnsi="Times New Roman" w:cs="Times New Roman"/>
          <w:sz w:val="24"/>
          <w:szCs w:val="24"/>
        </w:rPr>
        <w:t xml:space="preserve"> requires employers develop and implement procedures for the introduction of new technologies and equipment developed for improved worker protection.</w:t>
      </w:r>
    </w:p>
    <w:p w:rsidR="00BF576C" w:rsidRPr="00723CBD" w:rsidP="00BF576C" w14:paraId="1F7DC2A5"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5A36135D" w14:textId="27F5748A">
      <w:pPr>
        <w:autoSpaceDE w:val="0"/>
        <w:autoSpaceDN w:val="0"/>
        <w:adjustRightInd w:val="0"/>
        <w:spacing w:after="0" w:line="240" w:lineRule="auto"/>
        <w:rPr>
          <w:rFonts w:ascii="Times New Roman" w:eastAsia="Times New Roman" w:hAnsi="Times New Roman" w:cs="Times New Roman"/>
          <w:sz w:val="24"/>
          <w:szCs w:val="24"/>
        </w:rPr>
      </w:pPr>
      <w:r w:rsidRPr="58460332">
        <w:rPr>
          <w:rFonts w:ascii="Times New Roman" w:eastAsia="Times New Roman" w:hAnsi="Times New Roman" w:cs="Times New Roman"/>
          <w:sz w:val="24"/>
          <w:szCs w:val="24"/>
        </w:rPr>
        <w:t xml:space="preserve">As discussed above under TYPE 1, OSHA assumes that all employers are already in compliance with this provision. </w:t>
      </w:r>
      <w:r w:rsidRPr="58460332" w:rsidR="00021BE2">
        <w:rPr>
          <w:rFonts w:ascii="Times New Roman" w:eastAsia="Times New Roman" w:hAnsi="Times New Roman" w:cs="Times New Roman"/>
          <w:sz w:val="24"/>
          <w:szCs w:val="24"/>
        </w:rPr>
        <w:t>OSHA estimates</w:t>
      </w:r>
      <w:r w:rsidRPr="58460332">
        <w:rPr>
          <w:rFonts w:ascii="Times New Roman" w:eastAsia="Times New Roman" w:hAnsi="Times New Roman" w:cs="Times New Roman"/>
          <w:sz w:val="24"/>
          <w:szCs w:val="24"/>
        </w:rPr>
        <w:t xml:space="preserve"> that it takes </w:t>
      </w:r>
      <w:r w:rsidRPr="58460332" w:rsidR="54C90592">
        <w:rPr>
          <w:rFonts w:ascii="Times New Roman" w:eastAsia="Times New Roman" w:hAnsi="Times New Roman" w:cs="Times New Roman"/>
          <w:sz w:val="24"/>
          <w:szCs w:val="24"/>
        </w:rPr>
        <w:t xml:space="preserve">the 55 new sites </w:t>
      </w:r>
      <w:r w:rsidRPr="58460332">
        <w:rPr>
          <w:rFonts w:ascii="Times New Roman" w:eastAsia="Times New Roman" w:hAnsi="Times New Roman" w:cs="Times New Roman"/>
          <w:sz w:val="24"/>
          <w:szCs w:val="24"/>
        </w:rPr>
        <w:t xml:space="preserve">6 hours to develop and implement </w:t>
      </w:r>
      <w:r w:rsidRPr="58460332" w:rsidR="26707B14">
        <w:rPr>
          <w:rFonts w:ascii="Times New Roman" w:eastAsia="Times New Roman" w:hAnsi="Times New Roman" w:cs="Times New Roman"/>
          <w:sz w:val="24"/>
          <w:szCs w:val="24"/>
        </w:rPr>
        <w:t xml:space="preserve">the </w:t>
      </w:r>
      <w:r w:rsidRPr="58460332">
        <w:rPr>
          <w:rFonts w:ascii="Times New Roman" w:eastAsia="Times New Roman" w:hAnsi="Times New Roman" w:cs="Times New Roman"/>
          <w:sz w:val="24"/>
          <w:szCs w:val="24"/>
        </w:rPr>
        <w:t>procedures</w:t>
      </w:r>
      <w:r w:rsidRPr="58460332" w:rsidR="4BC49E1D">
        <w:rPr>
          <w:rFonts w:ascii="Times New Roman" w:eastAsia="Times New Roman" w:hAnsi="Times New Roman" w:cs="Times New Roman"/>
          <w:sz w:val="24"/>
          <w:szCs w:val="24"/>
        </w:rPr>
        <w:t>.</w:t>
      </w:r>
    </w:p>
    <w:p w:rsidR="1210E917" w:rsidP="1210E917" w14:paraId="7484B599" w14:textId="02443D01">
      <w:pPr>
        <w:spacing w:after="0" w:line="240" w:lineRule="auto"/>
        <w:rPr>
          <w:rFonts w:ascii="Times New Roman" w:eastAsia="Times New Roman" w:hAnsi="Times New Roman" w:cs="Times New Roman"/>
          <w:sz w:val="24"/>
          <w:szCs w:val="24"/>
        </w:rPr>
      </w:pPr>
    </w:p>
    <w:p w:rsidR="00BF576C" w:rsidRPr="00723CBD" w:rsidP="1210E917" w14:paraId="2D73B53A" w14:textId="4CC59206">
      <w:pPr>
        <w:autoSpaceDE w:val="0"/>
        <w:autoSpaceDN w:val="0"/>
        <w:adjustRightInd w:val="0"/>
        <w:spacing w:after="0" w:line="240" w:lineRule="auto"/>
        <w:ind w:firstLine="720"/>
        <w:rPr>
          <w:rFonts w:ascii="Times New Roman" w:eastAsia="Times New Roman" w:hAnsi="Times New Roman" w:cs="Times New Roman"/>
          <w:sz w:val="24"/>
          <w:szCs w:val="24"/>
        </w:rPr>
      </w:pPr>
      <w:r w:rsidRPr="58460332">
        <w:rPr>
          <w:rFonts w:ascii="Times New Roman" w:eastAsia="Times New Roman" w:hAnsi="Times New Roman" w:cs="Times New Roman"/>
          <w:sz w:val="24"/>
          <w:szCs w:val="24"/>
        </w:rPr>
        <w:t>Burden hours:</w:t>
      </w:r>
      <w:r>
        <w:tab/>
      </w:r>
      <w:r w:rsidRPr="58460332" w:rsidR="007E78C7">
        <w:rPr>
          <w:rFonts w:ascii="Times New Roman" w:eastAsia="Times New Roman" w:hAnsi="Times New Roman" w:cs="Times New Roman"/>
          <w:sz w:val="24"/>
          <w:szCs w:val="24"/>
        </w:rPr>
        <w:t>55</w:t>
      </w:r>
      <w:r w:rsidRPr="58460332">
        <w:rPr>
          <w:rFonts w:ascii="Times New Roman" w:eastAsia="Times New Roman" w:hAnsi="Times New Roman" w:cs="Times New Roman"/>
          <w:sz w:val="24"/>
          <w:szCs w:val="24"/>
        </w:rPr>
        <w:t xml:space="preserve"> sites × 6 hours =</w:t>
      </w:r>
      <w:r w:rsidRPr="1210E917" w:rsidR="39724532">
        <w:rPr>
          <w:rFonts w:ascii="Times New Roman" w:eastAsia="Times New Roman" w:hAnsi="Times New Roman" w:cs="Times New Roman"/>
          <w:sz w:val="24"/>
          <w:szCs w:val="24"/>
        </w:rPr>
        <w:t xml:space="preserve"> </w:t>
      </w:r>
      <w:r w:rsidRPr="58460332" w:rsidR="004473D2">
        <w:rPr>
          <w:rFonts w:ascii="Times New Roman" w:eastAsia="Times New Roman" w:hAnsi="Times New Roman" w:cs="Times New Roman"/>
          <w:sz w:val="24"/>
          <w:szCs w:val="24"/>
        </w:rPr>
        <w:t>33</w:t>
      </w:r>
      <w:r w:rsidRPr="58460332" w:rsidR="0146103A">
        <w:rPr>
          <w:rFonts w:ascii="Times New Roman" w:eastAsia="Times New Roman" w:hAnsi="Times New Roman" w:cs="Times New Roman"/>
          <w:sz w:val="24"/>
          <w:szCs w:val="24"/>
        </w:rPr>
        <w:t>0</w:t>
      </w:r>
      <w:r w:rsidRPr="58460332">
        <w:rPr>
          <w:rFonts w:ascii="Times New Roman" w:eastAsia="Times New Roman" w:hAnsi="Times New Roman" w:cs="Times New Roman"/>
          <w:sz w:val="24"/>
          <w:szCs w:val="24"/>
        </w:rPr>
        <w:t xml:space="preserve"> hours</w:t>
      </w:r>
    </w:p>
    <w:p w:rsidR="0009427E" w:rsidRPr="00723CBD" w:rsidP="00BF576C" w14:paraId="612AEF41" w14:textId="664AAA30">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sz w:val="24"/>
          <w:szCs w:val="24"/>
        </w:rPr>
        <w:tab/>
      </w:r>
      <w:r w:rsidRPr="00723CBD">
        <w:rPr>
          <w:rFonts w:ascii="Times New Roman" w:eastAsia="Times New Roman" w:hAnsi="Times New Roman" w:cs="Times New Roman"/>
          <w:sz w:val="24"/>
          <w:szCs w:val="24"/>
        </w:rPr>
        <w:tab/>
        <w:t xml:space="preserve">  Cost:</w:t>
      </w:r>
      <w:r w:rsidRPr="00723CBD">
        <w:rPr>
          <w:rFonts w:ascii="Times New Roman" w:eastAsia="Times New Roman" w:hAnsi="Times New Roman" w:cs="Times New Roman"/>
          <w:sz w:val="24"/>
          <w:szCs w:val="24"/>
        </w:rPr>
        <w:tab/>
      </w:r>
      <w:r w:rsidRPr="00723CBD" w:rsidR="530CACF7">
        <w:rPr>
          <w:rFonts w:ascii="Times New Roman" w:eastAsia="Times New Roman" w:hAnsi="Times New Roman" w:cs="Times New Roman"/>
          <w:sz w:val="24"/>
          <w:szCs w:val="24"/>
        </w:rPr>
        <w:t>330</w:t>
      </w:r>
      <w:r w:rsidRPr="00723CBD">
        <w:rPr>
          <w:rFonts w:ascii="Times New Roman" w:eastAsia="Times New Roman" w:hAnsi="Times New Roman" w:cs="Times New Roman"/>
          <w:sz w:val="24"/>
          <w:szCs w:val="24"/>
        </w:rPr>
        <w:t xml:space="preserve"> hours x $</w:t>
      </w:r>
      <w:r w:rsidRPr="00723CBD" w:rsidR="006F5F36">
        <w:rPr>
          <w:rFonts w:ascii="Times New Roman" w:eastAsia="Times New Roman" w:hAnsi="Times New Roman" w:cs="Times New Roman"/>
          <w:sz w:val="24"/>
          <w:szCs w:val="24"/>
        </w:rPr>
        <w:t>53.70</w:t>
      </w:r>
      <w:r w:rsidRPr="00723CBD">
        <w:rPr>
          <w:rFonts w:ascii="Times New Roman" w:eastAsia="Times New Roman" w:hAnsi="Times New Roman" w:cs="Times New Roman"/>
          <w:sz w:val="24"/>
          <w:szCs w:val="24"/>
        </w:rPr>
        <w:t xml:space="preserve"> =</w:t>
      </w:r>
      <w:r w:rsidRPr="0466994E">
        <w:rPr>
          <w:rFonts w:ascii="Times New Roman" w:eastAsia="Times New Roman" w:hAnsi="Times New Roman" w:cs="Times New Roman"/>
          <w:sz w:val="24"/>
          <w:szCs w:val="24"/>
        </w:rPr>
        <w:t xml:space="preserve"> </w:t>
      </w:r>
      <w:r w:rsidRPr="00723CBD">
        <w:rPr>
          <w:rFonts w:ascii="Times New Roman" w:eastAsia="Times New Roman" w:hAnsi="Times New Roman" w:cs="Times New Roman"/>
          <w:sz w:val="24"/>
          <w:szCs w:val="24"/>
        </w:rPr>
        <w:t>$17,</w:t>
      </w:r>
      <w:r w:rsidRPr="00723CBD" w:rsidR="222F1256">
        <w:rPr>
          <w:rFonts w:ascii="Times New Roman" w:eastAsia="Times New Roman" w:hAnsi="Times New Roman" w:cs="Times New Roman"/>
          <w:sz w:val="24"/>
          <w:szCs w:val="24"/>
        </w:rPr>
        <w:t>721.00</w:t>
      </w:r>
    </w:p>
    <w:p w:rsidR="00BF576C" w:rsidRPr="00723CBD" w:rsidP="00BF576C" w14:paraId="479ACDA0"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DA7256" w14:paraId="18CF445A" w14:textId="77777777">
      <w:pPr>
        <w:spacing w:line="240" w:lineRule="auto"/>
        <w:rPr>
          <w:rFonts w:ascii="Times New Roman" w:eastAsia="Times New Roman" w:hAnsi="Times New Roman" w:cs="Times New Roman"/>
          <w:b/>
          <w:sz w:val="24"/>
          <w:szCs w:val="24"/>
        </w:rPr>
      </w:pPr>
      <w:r w:rsidRPr="00723CBD">
        <w:rPr>
          <w:rFonts w:ascii="Times New Roman" w:eastAsia="Times New Roman" w:hAnsi="Times New Roman" w:cs="Times New Roman"/>
          <w:b/>
          <w:bCs/>
          <w:sz w:val="24"/>
          <w:szCs w:val="24"/>
        </w:rPr>
        <w:t>(B)</w:t>
      </w:r>
      <w:r w:rsidRPr="00723CBD">
        <w:rPr>
          <w:rFonts w:ascii="Times New Roman" w:eastAsia="Times New Roman" w:hAnsi="Times New Roman" w:cs="Times New Roman"/>
          <w:b/>
          <w:bCs/>
          <w:sz w:val="24"/>
          <w:szCs w:val="24"/>
        </w:rPr>
        <w:tab/>
      </w:r>
      <w:r w:rsidRPr="00723CBD">
        <w:rPr>
          <w:rFonts w:ascii="Times New Roman" w:eastAsia="Times New Roman" w:hAnsi="Times New Roman" w:cs="Times New Roman"/>
          <w:b/>
          <w:bCs/>
          <w:sz w:val="24"/>
          <w:szCs w:val="24"/>
          <w:u w:val="single"/>
        </w:rPr>
        <w:t>TYPE 2-- RESOURCE CONSERVATION AND RECOVERY ACT (RCRA) (EPA-</w:t>
      </w:r>
      <w:r w:rsidRPr="00E5310B" w:rsidR="00A0622B">
        <w:rPr>
          <w:rFonts w:ascii="Times New Roman" w:eastAsia="Times New Roman" w:hAnsi="Times New Roman" w:cs="Times New Roman"/>
          <w:b/>
          <w:bCs/>
          <w:sz w:val="24"/>
          <w:szCs w:val="24"/>
        </w:rPr>
        <w:tab/>
      </w:r>
      <w:r w:rsidRPr="00723CBD">
        <w:rPr>
          <w:rFonts w:ascii="Times New Roman" w:eastAsia="Times New Roman" w:hAnsi="Times New Roman" w:cs="Times New Roman"/>
          <w:b/>
          <w:bCs/>
          <w:sz w:val="24"/>
          <w:szCs w:val="24"/>
          <w:u w:val="single"/>
        </w:rPr>
        <w:t>PERMITTED (TSD) SITES</w:t>
      </w:r>
    </w:p>
    <w:p w:rsidR="00BF576C" w:rsidRPr="00723CBD" w:rsidP="00BF576C" w14:paraId="627DE046"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58460332" w14:paraId="1211C462" w14:textId="36307445">
      <w:pPr>
        <w:autoSpaceDE w:val="0"/>
        <w:autoSpaceDN w:val="0"/>
        <w:adjustRightInd w:val="0"/>
        <w:spacing w:after="0" w:line="240" w:lineRule="auto"/>
        <w:rPr>
          <w:rFonts w:ascii="Times New Roman" w:eastAsia="Times New Roman" w:hAnsi="Times New Roman" w:cs="Times New Roman"/>
          <w:b/>
          <w:bCs/>
          <w:sz w:val="24"/>
          <w:szCs w:val="24"/>
        </w:rPr>
      </w:pPr>
      <w:r w:rsidRPr="58460332">
        <w:rPr>
          <w:rFonts w:ascii="Times New Roman" w:eastAsia="Times New Roman" w:hAnsi="Times New Roman" w:cs="Times New Roman"/>
          <w:b/>
          <w:bCs/>
          <w:sz w:val="24"/>
          <w:szCs w:val="24"/>
        </w:rPr>
        <w:t xml:space="preserve">14. Safety and </w:t>
      </w:r>
      <w:r w:rsidRPr="58460332" w:rsidR="3A0C1587">
        <w:rPr>
          <w:rFonts w:ascii="Times New Roman" w:eastAsia="Times New Roman" w:hAnsi="Times New Roman" w:cs="Times New Roman"/>
          <w:b/>
          <w:bCs/>
          <w:sz w:val="24"/>
          <w:szCs w:val="24"/>
        </w:rPr>
        <w:t>h</w:t>
      </w:r>
      <w:r w:rsidRPr="58460332">
        <w:rPr>
          <w:rFonts w:ascii="Times New Roman" w:eastAsia="Times New Roman" w:hAnsi="Times New Roman" w:cs="Times New Roman"/>
          <w:b/>
          <w:bCs/>
          <w:sz w:val="24"/>
          <w:szCs w:val="24"/>
        </w:rPr>
        <w:t xml:space="preserve">ealth </w:t>
      </w:r>
      <w:r w:rsidRPr="58460332" w:rsidR="553E7691">
        <w:rPr>
          <w:rFonts w:ascii="Times New Roman" w:eastAsia="Times New Roman" w:hAnsi="Times New Roman" w:cs="Times New Roman"/>
          <w:b/>
          <w:bCs/>
          <w:sz w:val="24"/>
          <w:szCs w:val="24"/>
        </w:rPr>
        <w:t>p</w:t>
      </w:r>
      <w:r w:rsidRPr="58460332">
        <w:rPr>
          <w:rFonts w:ascii="Times New Roman" w:eastAsia="Times New Roman" w:hAnsi="Times New Roman" w:cs="Times New Roman"/>
          <w:b/>
          <w:bCs/>
          <w:sz w:val="24"/>
          <w:szCs w:val="24"/>
        </w:rPr>
        <w:t>rogram</w:t>
      </w:r>
    </w:p>
    <w:p w:rsidR="00BF576C" w:rsidRPr="00723CBD" w:rsidP="00BF576C" w14:paraId="4EA7AD1B"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11A8C5EB" w14:textId="3B4D0ADC">
      <w:pPr>
        <w:autoSpaceDE w:val="0"/>
        <w:autoSpaceDN w:val="0"/>
        <w:adjustRightInd w:val="0"/>
        <w:spacing w:after="0" w:line="240" w:lineRule="auto"/>
        <w:rPr>
          <w:rFonts w:ascii="Times New Roman" w:eastAsia="Times New Roman" w:hAnsi="Times New Roman" w:cs="Times New Roman"/>
          <w:sz w:val="24"/>
          <w:szCs w:val="24"/>
        </w:rPr>
      </w:pPr>
      <w:r w:rsidRPr="58460332">
        <w:rPr>
          <w:rFonts w:ascii="Times New Roman" w:eastAsia="Times New Roman" w:hAnsi="Times New Roman" w:cs="Times New Roman"/>
          <w:sz w:val="24"/>
          <w:szCs w:val="24"/>
        </w:rPr>
        <w:t>Paragraph 1910.120(p)(1) requires RCRA TSD</w:t>
      </w:r>
      <w:r w:rsidRPr="58460332" w:rsidR="478A8FE2">
        <w:rPr>
          <w:rFonts w:ascii="Times New Roman" w:eastAsia="Times New Roman" w:hAnsi="Times New Roman" w:cs="Times New Roman"/>
          <w:sz w:val="24"/>
          <w:szCs w:val="24"/>
        </w:rPr>
        <w:t>-</w:t>
      </w:r>
      <w:r w:rsidRPr="58460332">
        <w:rPr>
          <w:rFonts w:ascii="Times New Roman" w:eastAsia="Times New Roman" w:hAnsi="Times New Roman" w:cs="Times New Roman"/>
          <w:sz w:val="24"/>
          <w:szCs w:val="24"/>
        </w:rPr>
        <w:t>site employers to develop and implement a safety and health program. As part of this safety and health program, employers are required to develop a training program as specified in paragraph 1910.120(p)(7)(i), and an emergency response plan as specified in paragraph 1910.120(p)(8).</w:t>
      </w:r>
    </w:p>
    <w:p w:rsidR="00BF576C" w:rsidRPr="00723CBD" w:rsidP="00BF576C" w14:paraId="12BD8B6F"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0C9AEA9C" w14:textId="7563EE1F">
      <w:pPr>
        <w:autoSpaceDE w:val="0"/>
        <w:autoSpaceDN w:val="0"/>
        <w:adjustRightInd w:val="0"/>
        <w:spacing w:after="0" w:line="240" w:lineRule="auto"/>
        <w:rPr>
          <w:rFonts w:ascii="Times New Roman" w:eastAsia="Times New Roman" w:hAnsi="Times New Roman" w:cs="Times New Roman"/>
          <w:sz w:val="24"/>
          <w:szCs w:val="24"/>
        </w:rPr>
      </w:pPr>
      <w:r w:rsidRPr="5C516CCC">
        <w:rPr>
          <w:rFonts w:ascii="Times New Roman" w:eastAsia="Times New Roman" w:hAnsi="Times New Roman" w:cs="Times New Roman"/>
          <w:sz w:val="24"/>
          <w:szCs w:val="24"/>
        </w:rPr>
        <w:t>As stated under the TYPE 2 discussion above, OSHA estimates that 65</w:t>
      </w:r>
      <w:r w:rsidRPr="5C516CCC" w:rsidR="3707113B">
        <w:rPr>
          <w:rFonts w:ascii="Times New Roman" w:eastAsia="Times New Roman" w:hAnsi="Times New Roman" w:cs="Times New Roman"/>
          <w:sz w:val="24"/>
          <w:szCs w:val="24"/>
        </w:rPr>
        <w:t>%</w:t>
      </w:r>
      <w:r w:rsidRPr="5C516CCC">
        <w:rPr>
          <w:rFonts w:ascii="Times New Roman" w:eastAsia="Times New Roman" w:hAnsi="Times New Roman" w:cs="Times New Roman"/>
          <w:sz w:val="24"/>
          <w:szCs w:val="24"/>
        </w:rPr>
        <w:t xml:space="preserve"> of the sites have already completed this requirement.</w:t>
      </w:r>
      <w:r w:rsidRPr="5C516CCC" w:rsidR="2CD2A5BE">
        <w:rPr>
          <w:rFonts w:ascii="Times New Roman" w:eastAsia="Times New Roman" w:hAnsi="Times New Roman" w:cs="Times New Roman"/>
          <w:sz w:val="24"/>
          <w:szCs w:val="24"/>
        </w:rPr>
        <w:t xml:space="preserve"> OSHA is assuming </w:t>
      </w:r>
      <w:r w:rsidRPr="5C516CCC" w:rsidR="35678D7D">
        <w:rPr>
          <w:rFonts w:ascii="Times New Roman" w:eastAsia="Times New Roman" w:hAnsi="Times New Roman" w:cs="Times New Roman"/>
          <w:sz w:val="24"/>
          <w:szCs w:val="24"/>
        </w:rPr>
        <w:t xml:space="preserve">that it takes the remaining </w:t>
      </w:r>
      <w:r w:rsidRPr="5C516CCC" w:rsidR="2CD2A5BE">
        <w:rPr>
          <w:rFonts w:ascii="Times New Roman" w:eastAsia="Times New Roman" w:hAnsi="Times New Roman" w:cs="Times New Roman"/>
          <w:sz w:val="24"/>
          <w:szCs w:val="24"/>
        </w:rPr>
        <w:t>35%</w:t>
      </w:r>
      <w:r w:rsidRPr="5C516CCC" w:rsidR="067F9B51">
        <w:rPr>
          <w:rFonts w:ascii="Times New Roman" w:eastAsia="Times New Roman" w:hAnsi="Times New Roman" w:cs="Times New Roman"/>
          <w:sz w:val="24"/>
          <w:szCs w:val="24"/>
        </w:rPr>
        <w:t xml:space="preserve"> </w:t>
      </w:r>
      <w:r w:rsidRPr="5C516CCC" w:rsidR="379DFB7E">
        <w:rPr>
          <w:rFonts w:ascii="Times New Roman" w:eastAsia="Times New Roman" w:hAnsi="Times New Roman" w:cs="Times New Roman"/>
          <w:sz w:val="24"/>
          <w:szCs w:val="24"/>
        </w:rPr>
        <w:t xml:space="preserve">of the </w:t>
      </w:r>
      <w:r w:rsidRPr="5C516CCC" w:rsidR="2CD2A5BE">
        <w:rPr>
          <w:rFonts w:ascii="Times New Roman" w:eastAsia="Times New Roman" w:hAnsi="Times New Roman" w:cs="Times New Roman"/>
          <w:sz w:val="24"/>
          <w:szCs w:val="24"/>
        </w:rPr>
        <w:t>sites (3,059 sites x 35%</w:t>
      </w:r>
      <w:r w:rsidRPr="5C516CCC" w:rsidR="52E70D41">
        <w:rPr>
          <w:rFonts w:ascii="Times New Roman" w:eastAsia="Times New Roman" w:hAnsi="Times New Roman" w:cs="Times New Roman"/>
          <w:sz w:val="24"/>
          <w:szCs w:val="24"/>
        </w:rPr>
        <w:t xml:space="preserve"> = 1,071 sites, rounded</w:t>
      </w:r>
      <w:r w:rsidRPr="5C516CCC" w:rsidR="2CD2A5BE">
        <w:rPr>
          <w:rFonts w:ascii="Times New Roman" w:eastAsia="Times New Roman" w:hAnsi="Times New Roman" w:cs="Times New Roman"/>
          <w:sz w:val="24"/>
          <w:szCs w:val="24"/>
        </w:rPr>
        <w:t>)</w:t>
      </w:r>
      <w:r w:rsidRPr="5C516CCC" w:rsidR="640D89B0">
        <w:rPr>
          <w:rFonts w:ascii="Times New Roman" w:eastAsia="Times New Roman" w:hAnsi="Times New Roman" w:cs="Times New Roman"/>
          <w:sz w:val="24"/>
          <w:szCs w:val="24"/>
        </w:rPr>
        <w:t xml:space="preserve"> 6 hours to develop the required programs.</w:t>
      </w:r>
    </w:p>
    <w:p w:rsidR="00BF576C" w:rsidRPr="00723CBD" w:rsidP="00BF576C" w14:paraId="2E270883"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4C29B69C" w14:textId="0F0FCF5F">
      <w:pPr>
        <w:autoSpaceDE w:val="0"/>
        <w:autoSpaceDN w:val="0"/>
        <w:adjustRightInd w:val="0"/>
        <w:spacing w:after="0" w:line="240" w:lineRule="auto"/>
        <w:ind w:firstLine="720"/>
        <w:rPr>
          <w:rFonts w:ascii="Times New Roman" w:eastAsia="Times New Roman" w:hAnsi="Times New Roman" w:cs="Times New Roman"/>
          <w:sz w:val="24"/>
          <w:szCs w:val="24"/>
        </w:rPr>
      </w:pPr>
      <w:r w:rsidRPr="58460332">
        <w:rPr>
          <w:rFonts w:ascii="Times New Roman" w:eastAsia="Times New Roman" w:hAnsi="Times New Roman" w:cs="Times New Roman"/>
          <w:sz w:val="24"/>
          <w:szCs w:val="24"/>
        </w:rPr>
        <w:t>Burden hours:</w:t>
      </w:r>
      <w:r>
        <w:tab/>
      </w:r>
      <w:r w:rsidRPr="58460332" w:rsidR="22079EA2">
        <w:rPr>
          <w:rFonts w:ascii="Times New Roman" w:eastAsia="Times New Roman" w:hAnsi="Times New Roman" w:cs="Times New Roman"/>
          <w:sz w:val="24"/>
          <w:szCs w:val="24"/>
        </w:rPr>
        <w:t>1,071</w:t>
      </w:r>
      <w:r w:rsidRPr="58460332">
        <w:rPr>
          <w:rFonts w:ascii="Times New Roman" w:eastAsia="Times New Roman" w:hAnsi="Times New Roman" w:cs="Times New Roman"/>
          <w:sz w:val="24"/>
          <w:szCs w:val="24"/>
        </w:rPr>
        <w:t xml:space="preserve"> sites × 6 hours = 6,42</w:t>
      </w:r>
      <w:r w:rsidRPr="58460332" w:rsidR="783B01B0">
        <w:rPr>
          <w:rFonts w:ascii="Times New Roman" w:eastAsia="Times New Roman" w:hAnsi="Times New Roman" w:cs="Times New Roman"/>
          <w:sz w:val="24"/>
          <w:szCs w:val="24"/>
        </w:rPr>
        <w:t>6</w:t>
      </w:r>
      <w:r w:rsidRPr="58460332">
        <w:rPr>
          <w:rFonts w:ascii="Times New Roman" w:eastAsia="Times New Roman" w:hAnsi="Times New Roman" w:cs="Times New Roman"/>
          <w:sz w:val="24"/>
          <w:szCs w:val="24"/>
        </w:rPr>
        <w:t xml:space="preserve"> hours</w:t>
      </w:r>
    </w:p>
    <w:p w:rsidR="00BF576C" w:rsidRPr="00723CBD" w:rsidP="00BF576C" w14:paraId="774F5570" w14:textId="0D516C5B">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sz w:val="24"/>
          <w:szCs w:val="24"/>
        </w:rPr>
        <w:tab/>
      </w:r>
      <w:r w:rsidRPr="00723CBD">
        <w:rPr>
          <w:rFonts w:ascii="Times New Roman" w:eastAsia="Times New Roman" w:hAnsi="Times New Roman" w:cs="Times New Roman"/>
          <w:sz w:val="24"/>
          <w:szCs w:val="24"/>
        </w:rPr>
        <w:tab/>
        <w:t xml:space="preserve">  Cost:</w:t>
      </w:r>
      <w:r w:rsidRPr="00723CBD">
        <w:rPr>
          <w:rFonts w:ascii="Times New Roman" w:eastAsia="Times New Roman" w:hAnsi="Times New Roman" w:cs="Times New Roman"/>
          <w:sz w:val="24"/>
          <w:szCs w:val="24"/>
        </w:rPr>
        <w:tab/>
        <w:t>6,42</w:t>
      </w:r>
      <w:r w:rsidRPr="00723CBD" w:rsidR="1B93760A">
        <w:rPr>
          <w:rFonts w:ascii="Times New Roman" w:eastAsia="Times New Roman" w:hAnsi="Times New Roman" w:cs="Times New Roman"/>
          <w:sz w:val="24"/>
          <w:szCs w:val="24"/>
        </w:rPr>
        <w:t>6</w:t>
      </w:r>
      <w:r w:rsidRPr="00723CBD">
        <w:rPr>
          <w:rFonts w:ascii="Times New Roman" w:eastAsia="Times New Roman" w:hAnsi="Times New Roman" w:cs="Times New Roman"/>
          <w:sz w:val="24"/>
          <w:szCs w:val="24"/>
        </w:rPr>
        <w:t xml:space="preserve"> hours x $</w:t>
      </w:r>
      <w:r w:rsidRPr="00723CBD" w:rsidR="006F5F36">
        <w:rPr>
          <w:rFonts w:ascii="Times New Roman" w:eastAsia="Times New Roman" w:hAnsi="Times New Roman" w:cs="Times New Roman"/>
          <w:sz w:val="24"/>
          <w:szCs w:val="24"/>
        </w:rPr>
        <w:t>53.70</w:t>
      </w:r>
      <w:r w:rsidRPr="00723CBD">
        <w:rPr>
          <w:rFonts w:ascii="Times New Roman" w:eastAsia="Times New Roman" w:hAnsi="Times New Roman" w:cs="Times New Roman"/>
          <w:sz w:val="24"/>
          <w:szCs w:val="24"/>
        </w:rPr>
        <w:t xml:space="preserve"> = $</w:t>
      </w:r>
      <w:r w:rsidRPr="00723CBD" w:rsidR="000F71FA">
        <w:rPr>
          <w:rFonts w:ascii="Times New Roman" w:eastAsia="Times New Roman" w:hAnsi="Times New Roman" w:cs="Times New Roman"/>
          <w:sz w:val="24"/>
          <w:szCs w:val="24"/>
        </w:rPr>
        <w:t>34</w:t>
      </w:r>
      <w:r w:rsidRPr="00723CBD" w:rsidR="787212DA">
        <w:rPr>
          <w:rFonts w:ascii="Times New Roman" w:eastAsia="Times New Roman" w:hAnsi="Times New Roman" w:cs="Times New Roman"/>
          <w:sz w:val="24"/>
          <w:szCs w:val="24"/>
        </w:rPr>
        <w:t>5,076.20</w:t>
      </w:r>
    </w:p>
    <w:p w:rsidR="00BF576C" w:rsidRPr="00723CBD" w:rsidP="00BF576C" w14:paraId="398D9091"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06EFCD4A" w14:textId="790019A0">
      <w:pPr>
        <w:autoSpaceDE w:val="0"/>
        <w:autoSpaceDN w:val="0"/>
        <w:adjustRightInd w:val="0"/>
        <w:spacing w:after="0" w:line="240" w:lineRule="auto"/>
        <w:rPr>
          <w:rFonts w:ascii="Times New Roman" w:eastAsia="Times New Roman" w:hAnsi="Times New Roman" w:cs="Times New Roman"/>
          <w:sz w:val="24"/>
          <w:szCs w:val="24"/>
        </w:rPr>
      </w:pPr>
      <w:r w:rsidRPr="58460332">
        <w:rPr>
          <w:rFonts w:ascii="Times New Roman" w:eastAsia="Times New Roman" w:hAnsi="Times New Roman" w:cs="Times New Roman"/>
          <w:sz w:val="24"/>
          <w:szCs w:val="24"/>
        </w:rPr>
        <w:t xml:space="preserve">In addition, the </w:t>
      </w:r>
      <w:r w:rsidRPr="58460332" w:rsidR="12A2CA69">
        <w:rPr>
          <w:rFonts w:ascii="Times New Roman" w:eastAsia="Times New Roman" w:hAnsi="Times New Roman" w:cs="Times New Roman"/>
          <w:sz w:val="24"/>
          <w:szCs w:val="24"/>
        </w:rPr>
        <w:t>a</w:t>
      </w:r>
      <w:r w:rsidRPr="58460332">
        <w:rPr>
          <w:rFonts w:ascii="Times New Roman" w:eastAsia="Times New Roman" w:hAnsi="Times New Roman" w:cs="Times New Roman"/>
          <w:sz w:val="24"/>
          <w:szCs w:val="24"/>
        </w:rPr>
        <w:t xml:space="preserve">gency estimates that </w:t>
      </w:r>
      <w:r w:rsidR="002D2423">
        <w:rPr>
          <w:rFonts w:ascii="Times New Roman" w:eastAsia="Times New Roman" w:hAnsi="Times New Roman" w:cs="Times New Roman"/>
          <w:sz w:val="24"/>
          <w:szCs w:val="24"/>
        </w:rPr>
        <w:t xml:space="preserve">at some point </w:t>
      </w:r>
      <w:r w:rsidRPr="58460332">
        <w:rPr>
          <w:rFonts w:ascii="Times New Roman" w:eastAsia="Times New Roman" w:hAnsi="Times New Roman" w:cs="Times New Roman"/>
          <w:sz w:val="24"/>
          <w:szCs w:val="24"/>
        </w:rPr>
        <w:t>10</w:t>
      </w:r>
      <w:r w:rsidRPr="58460332" w:rsidR="030CCF69">
        <w:rPr>
          <w:rFonts w:ascii="Times New Roman" w:eastAsia="Times New Roman" w:hAnsi="Times New Roman" w:cs="Times New Roman"/>
          <w:sz w:val="24"/>
          <w:szCs w:val="24"/>
        </w:rPr>
        <w:t>%</w:t>
      </w:r>
      <w:r w:rsidRPr="58460332">
        <w:rPr>
          <w:rFonts w:ascii="Times New Roman" w:eastAsia="Times New Roman" w:hAnsi="Times New Roman" w:cs="Times New Roman"/>
          <w:sz w:val="24"/>
          <w:szCs w:val="24"/>
        </w:rPr>
        <w:t xml:space="preserve"> of </w:t>
      </w:r>
      <w:r w:rsidR="00DD458B">
        <w:rPr>
          <w:rFonts w:ascii="Times New Roman" w:eastAsia="Times New Roman" w:hAnsi="Times New Roman" w:cs="Times New Roman"/>
          <w:sz w:val="24"/>
          <w:szCs w:val="24"/>
        </w:rPr>
        <w:t>all</w:t>
      </w:r>
      <w:r w:rsidRPr="58460332" w:rsidR="00DD458B">
        <w:rPr>
          <w:rFonts w:ascii="Times New Roman" w:eastAsia="Times New Roman" w:hAnsi="Times New Roman" w:cs="Times New Roman"/>
          <w:sz w:val="24"/>
          <w:szCs w:val="24"/>
        </w:rPr>
        <w:t xml:space="preserve"> </w:t>
      </w:r>
      <w:r w:rsidRPr="58460332">
        <w:rPr>
          <w:rFonts w:ascii="Times New Roman" w:eastAsia="Times New Roman" w:hAnsi="Times New Roman" w:cs="Times New Roman"/>
          <w:sz w:val="24"/>
          <w:szCs w:val="24"/>
        </w:rPr>
        <w:t xml:space="preserve">sites </w:t>
      </w:r>
      <w:r w:rsidRPr="58460332" w:rsidR="1ECE77B8">
        <w:rPr>
          <w:rFonts w:ascii="Times New Roman" w:eastAsia="Times New Roman" w:hAnsi="Times New Roman" w:cs="Times New Roman"/>
          <w:sz w:val="24"/>
          <w:szCs w:val="24"/>
        </w:rPr>
        <w:t xml:space="preserve">(306 sites, rounded) </w:t>
      </w:r>
      <w:r w:rsidRPr="58460332">
        <w:rPr>
          <w:rFonts w:ascii="Times New Roman" w:eastAsia="Times New Roman" w:hAnsi="Times New Roman" w:cs="Times New Roman"/>
          <w:sz w:val="24"/>
          <w:szCs w:val="24"/>
        </w:rPr>
        <w:t>may need to update</w:t>
      </w:r>
      <w:r w:rsidRPr="58460332" w:rsidR="0F8A1DB3">
        <w:rPr>
          <w:rFonts w:ascii="Times New Roman" w:eastAsia="Times New Roman" w:hAnsi="Times New Roman" w:cs="Times New Roman"/>
          <w:sz w:val="24"/>
          <w:szCs w:val="24"/>
        </w:rPr>
        <w:t xml:space="preserve"> or </w:t>
      </w:r>
      <w:r w:rsidRPr="58460332">
        <w:rPr>
          <w:rFonts w:ascii="Times New Roman" w:eastAsia="Times New Roman" w:hAnsi="Times New Roman" w:cs="Times New Roman"/>
          <w:sz w:val="24"/>
          <w:szCs w:val="24"/>
        </w:rPr>
        <w:t xml:space="preserve">modify their plans, and that it will take </w:t>
      </w:r>
      <w:r w:rsidRPr="58460332" w:rsidR="00B502DA">
        <w:rPr>
          <w:rFonts w:ascii="Times New Roman" w:eastAsia="Times New Roman" w:hAnsi="Times New Roman" w:cs="Times New Roman"/>
          <w:sz w:val="24"/>
          <w:szCs w:val="24"/>
        </w:rPr>
        <w:t xml:space="preserve">each site </w:t>
      </w:r>
      <w:r w:rsidRPr="58460332">
        <w:rPr>
          <w:rFonts w:ascii="Times New Roman" w:eastAsia="Times New Roman" w:hAnsi="Times New Roman" w:cs="Times New Roman"/>
          <w:sz w:val="24"/>
          <w:szCs w:val="24"/>
        </w:rPr>
        <w:t>2 hours to</w:t>
      </w:r>
      <w:r w:rsidRPr="58460332" w:rsidR="633DAE6A">
        <w:rPr>
          <w:rFonts w:ascii="Times New Roman" w:eastAsia="Times New Roman" w:hAnsi="Times New Roman" w:cs="Times New Roman"/>
          <w:sz w:val="24"/>
          <w:szCs w:val="24"/>
        </w:rPr>
        <w:t xml:space="preserve"> do so.</w:t>
      </w:r>
    </w:p>
    <w:p w:rsidR="00BF576C" w:rsidRPr="00723CBD" w:rsidP="00BF576C" w14:paraId="38A355B7"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1210E917" w14:paraId="3F03453B" w14:textId="7ACF7E90">
      <w:pPr>
        <w:spacing w:after="0" w:line="240" w:lineRule="auto"/>
        <w:ind w:firstLine="720"/>
        <w:rPr>
          <w:rFonts w:ascii="Times New Roman" w:eastAsia="Times New Roman" w:hAnsi="Times New Roman" w:cs="Times New Roman"/>
          <w:sz w:val="24"/>
          <w:szCs w:val="24"/>
        </w:rPr>
      </w:pPr>
      <w:r w:rsidRPr="58460332">
        <w:rPr>
          <w:rFonts w:ascii="Times New Roman" w:eastAsia="Times New Roman" w:hAnsi="Times New Roman" w:cs="Times New Roman"/>
          <w:sz w:val="24"/>
          <w:szCs w:val="24"/>
        </w:rPr>
        <w:t>Burden hours:</w:t>
      </w:r>
      <w:r>
        <w:tab/>
      </w:r>
      <w:r w:rsidRPr="58460332">
        <w:rPr>
          <w:rFonts w:ascii="Times New Roman" w:eastAsia="Times New Roman" w:hAnsi="Times New Roman" w:cs="Times New Roman"/>
          <w:sz w:val="24"/>
          <w:szCs w:val="24"/>
        </w:rPr>
        <w:t xml:space="preserve"> 30</w:t>
      </w:r>
      <w:r w:rsidRPr="58460332" w:rsidR="2B701232">
        <w:rPr>
          <w:rFonts w:ascii="Times New Roman" w:eastAsia="Times New Roman" w:hAnsi="Times New Roman" w:cs="Times New Roman"/>
          <w:sz w:val="24"/>
          <w:szCs w:val="24"/>
        </w:rPr>
        <w:t>6</w:t>
      </w:r>
      <w:r w:rsidRPr="58460332">
        <w:rPr>
          <w:rFonts w:ascii="Times New Roman" w:eastAsia="Times New Roman" w:hAnsi="Times New Roman" w:cs="Times New Roman"/>
          <w:sz w:val="24"/>
          <w:szCs w:val="24"/>
        </w:rPr>
        <w:t xml:space="preserve"> sites × 2 hours = 612 hours</w:t>
      </w:r>
    </w:p>
    <w:p w:rsidR="00BF576C" w:rsidRPr="00723CBD" w:rsidP="00BF576C" w14:paraId="7ADA2E39" w14:textId="4DB69DAC">
      <w:pPr>
        <w:autoSpaceDE w:val="0"/>
        <w:autoSpaceDN w:val="0"/>
        <w:adjustRightInd w:val="0"/>
        <w:spacing w:after="0" w:line="240" w:lineRule="auto"/>
        <w:rPr>
          <w:rFonts w:ascii="Times New Roman" w:eastAsia="Times New Roman" w:hAnsi="Times New Roman" w:cs="Times New Roman"/>
          <w:sz w:val="24"/>
          <w:szCs w:val="24"/>
        </w:rPr>
      </w:pPr>
      <w:r w:rsidRPr="58460332">
        <w:rPr>
          <w:rFonts w:ascii="Times New Roman" w:eastAsia="Times New Roman" w:hAnsi="Times New Roman" w:cs="Times New Roman"/>
          <w:sz w:val="24"/>
          <w:szCs w:val="24"/>
        </w:rPr>
        <w:t xml:space="preserve">                          Cost: 612 x $</w:t>
      </w:r>
      <w:r w:rsidRPr="58460332" w:rsidR="006F5F36">
        <w:rPr>
          <w:rFonts w:ascii="Times New Roman" w:eastAsia="Times New Roman" w:hAnsi="Times New Roman" w:cs="Times New Roman"/>
          <w:sz w:val="24"/>
          <w:szCs w:val="24"/>
        </w:rPr>
        <w:t>53.70</w:t>
      </w:r>
      <w:r w:rsidRPr="58460332">
        <w:rPr>
          <w:rFonts w:ascii="Times New Roman" w:eastAsia="Times New Roman" w:hAnsi="Times New Roman" w:cs="Times New Roman"/>
          <w:sz w:val="24"/>
          <w:szCs w:val="24"/>
        </w:rPr>
        <w:t xml:space="preserve"> = $</w:t>
      </w:r>
      <w:r w:rsidRPr="58460332" w:rsidR="00FE7868">
        <w:rPr>
          <w:rFonts w:ascii="Times New Roman" w:eastAsia="Times New Roman" w:hAnsi="Times New Roman" w:cs="Times New Roman"/>
          <w:sz w:val="24"/>
          <w:szCs w:val="24"/>
        </w:rPr>
        <w:t>32,864</w:t>
      </w:r>
      <w:r w:rsidRPr="58460332" w:rsidR="5AECE2F4">
        <w:rPr>
          <w:rFonts w:ascii="Times New Roman" w:eastAsia="Times New Roman" w:hAnsi="Times New Roman" w:cs="Times New Roman"/>
          <w:sz w:val="24"/>
          <w:szCs w:val="24"/>
        </w:rPr>
        <w:t>.40</w:t>
      </w:r>
    </w:p>
    <w:p w:rsidR="007850FB" w:rsidRPr="00723CBD" w:rsidP="58460332" w14:paraId="1F2C2E08"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A7DEFBA" w:rsidP="58460332" w14:paraId="3114D9B2" w14:textId="6948D75D">
      <w:pPr>
        <w:spacing w:after="0" w:line="240" w:lineRule="auto"/>
        <w:rPr>
          <w:rFonts w:ascii="Times New Roman" w:eastAsia="Times New Roman" w:hAnsi="Times New Roman" w:cs="Times New Roman"/>
          <w:i/>
          <w:iCs/>
          <w:sz w:val="24"/>
          <w:szCs w:val="24"/>
        </w:rPr>
      </w:pPr>
      <w:r>
        <w:tab/>
      </w:r>
      <w:r w:rsidRPr="00D91F68">
        <w:rPr>
          <w:rFonts w:ascii="Times New Roman" w:eastAsia="Times New Roman" w:hAnsi="Times New Roman" w:cs="Times New Roman"/>
          <w:i/>
          <w:iCs/>
          <w:sz w:val="24"/>
          <w:szCs w:val="24"/>
        </w:rPr>
        <w:t xml:space="preserve">Subtotal Burden hours: </w:t>
      </w:r>
      <w:r w:rsidRPr="58460332">
        <w:rPr>
          <w:rFonts w:ascii="Times New Roman" w:eastAsia="Times New Roman" w:hAnsi="Times New Roman" w:cs="Times New Roman"/>
          <w:i/>
          <w:iCs/>
          <w:sz w:val="24"/>
          <w:szCs w:val="24"/>
        </w:rPr>
        <w:t xml:space="preserve">6,426 + </w:t>
      </w:r>
      <w:r w:rsidRPr="58460332" w:rsidR="51DCCF00">
        <w:rPr>
          <w:rFonts w:ascii="Times New Roman" w:eastAsia="Times New Roman" w:hAnsi="Times New Roman" w:cs="Times New Roman"/>
          <w:i/>
          <w:iCs/>
          <w:sz w:val="24"/>
          <w:szCs w:val="24"/>
        </w:rPr>
        <w:t>612 = 7,038 hours</w:t>
      </w:r>
    </w:p>
    <w:p w:rsidR="00BF576C" w:rsidRPr="00723CBD" w:rsidP="00BF576C" w14:paraId="69092C3D" w14:textId="7417EA33">
      <w:pPr>
        <w:autoSpaceDE w:val="0"/>
        <w:autoSpaceDN w:val="0"/>
        <w:adjustRightInd w:val="0"/>
        <w:spacing w:after="0" w:line="240" w:lineRule="auto"/>
        <w:rPr>
          <w:rFonts w:ascii="Times New Roman" w:eastAsia="Times New Roman" w:hAnsi="Times New Roman" w:cs="Times New Roman"/>
          <w:b/>
          <w:bCs/>
          <w:sz w:val="24"/>
          <w:szCs w:val="24"/>
        </w:rPr>
      </w:pPr>
      <w:r>
        <w:tab/>
      </w:r>
      <w:r>
        <w:tab/>
      </w:r>
      <w:r w:rsidRPr="58460332">
        <w:rPr>
          <w:rFonts w:ascii="Times New Roman" w:eastAsia="Times New Roman" w:hAnsi="Times New Roman" w:cs="Times New Roman"/>
          <w:i/>
          <w:iCs/>
          <w:sz w:val="24"/>
          <w:szCs w:val="24"/>
        </w:rPr>
        <w:t xml:space="preserve">  </w:t>
      </w:r>
      <w:r w:rsidRPr="00D91F68">
        <w:rPr>
          <w:rFonts w:ascii="Times New Roman" w:eastAsia="Times New Roman" w:hAnsi="Times New Roman" w:cs="Times New Roman"/>
          <w:i/>
          <w:iCs/>
          <w:sz w:val="24"/>
          <w:szCs w:val="24"/>
        </w:rPr>
        <w:t>Subtotal Cost:</w:t>
      </w:r>
      <w:r w:rsidRPr="58460332">
        <w:rPr>
          <w:rFonts w:ascii="Times New Roman" w:eastAsia="Times New Roman" w:hAnsi="Times New Roman" w:cs="Times New Roman"/>
          <w:i/>
          <w:iCs/>
          <w:sz w:val="24"/>
          <w:szCs w:val="24"/>
        </w:rPr>
        <w:t xml:space="preserve"> $345,076.20 + </w:t>
      </w:r>
      <w:r w:rsidRPr="58460332" w:rsidR="2B9068F3">
        <w:rPr>
          <w:rFonts w:ascii="Times New Roman" w:eastAsia="Times New Roman" w:hAnsi="Times New Roman" w:cs="Times New Roman"/>
          <w:i/>
          <w:iCs/>
          <w:sz w:val="24"/>
          <w:szCs w:val="24"/>
        </w:rPr>
        <w:t>$32,864.40 = $377,940.60</w:t>
      </w:r>
    </w:p>
    <w:p w:rsidR="1210E917" w:rsidP="1210E917" w14:paraId="1CD969D0" w14:textId="1F603DC7">
      <w:pPr>
        <w:spacing w:after="0" w:line="240" w:lineRule="auto"/>
        <w:rPr>
          <w:rFonts w:ascii="Times New Roman" w:eastAsia="Times New Roman" w:hAnsi="Times New Roman" w:cs="Times New Roman"/>
          <w:i/>
          <w:iCs/>
          <w:sz w:val="24"/>
          <w:szCs w:val="24"/>
        </w:rPr>
      </w:pPr>
    </w:p>
    <w:p w:rsidR="00BF576C" w:rsidRPr="00723CBD" w:rsidP="00BF576C" w14:paraId="1FF2FF19" w14:textId="77777777">
      <w:pPr>
        <w:rPr>
          <w:rFonts w:ascii="Times New Roman" w:eastAsia="Times New Roman" w:hAnsi="Times New Roman" w:cs="Times New Roman"/>
          <w:b/>
          <w:bCs/>
          <w:sz w:val="24"/>
          <w:szCs w:val="24"/>
        </w:rPr>
      </w:pPr>
      <w:r w:rsidRPr="00723CBD">
        <w:rPr>
          <w:rFonts w:ascii="Times New Roman" w:eastAsia="Times New Roman" w:hAnsi="Times New Roman" w:cs="Times New Roman"/>
          <w:b/>
          <w:bCs/>
          <w:sz w:val="24"/>
          <w:szCs w:val="24"/>
        </w:rPr>
        <w:t>15. Hazard communication program</w:t>
      </w:r>
    </w:p>
    <w:p w:rsidR="00BF576C" w:rsidRPr="00723CBD" w:rsidP="58460332" w14:paraId="48311AE1" w14:textId="561CC8A9">
      <w:pPr>
        <w:autoSpaceDE w:val="0"/>
        <w:autoSpaceDN w:val="0"/>
        <w:adjustRightInd w:val="0"/>
        <w:spacing w:after="0" w:line="240" w:lineRule="auto"/>
        <w:rPr>
          <w:rFonts w:ascii="Times New Roman" w:eastAsia="Times New Roman" w:hAnsi="Times New Roman" w:cs="Times New Roman"/>
          <w:sz w:val="24"/>
          <w:szCs w:val="24"/>
        </w:rPr>
      </w:pPr>
      <w:r w:rsidRPr="00D91F68">
        <w:rPr>
          <w:rFonts w:ascii="Times New Roman" w:eastAsia="Times New Roman" w:hAnsi="Times New Roman" w:cs="Times New Roman"/>
          <w:sz w:val="24"/>
          <w:szCs w:val="24"/>
        </w:rPr>
        <w:t>Paragraph 1910.120(p)(2)</w:t>
      </w:r>
      <w:r w:rsidRPr="58460332">
        <w:rPr>
          <w:rFonts w:ascii="Times New Roman" w:eastAsia="Times New Roman" w:hAnsi="Times New Roman" w:cs="Times New Roman"/>
          <w:sz w:val="24"/>
          <w:szCs w:val="24"/>
        </w:rPr>
        <w:t xml:space="preserve"> requires RCRA TSD</w:t>
      </w:r>
      <w:r w:rsidRPr="58460332" w:rsidR="11F05707">
        <w:rPr>
          <w:rFonts w:ascii="Times New Roman" w:eastAsia="Times New Roman" w:hAnsi="Times New Roman" w:cs="Times New Roman"/>
          <w:sz w:val="24"/>
          <w:szCs w:val="24"/>
        </w:rPr>
        <w:t>-</w:t>
      </w:r>
      <w:r w:rsidRPr="58460332">
        <w:rPr>
          <w:rFonts w:ascii="Times New Roman" w:eastAsia="Times New Roman" w:hAnsi="Times New Roman" w:cs="Times New Roman"/>
          <w:sz w:val="24"/>
          <w:szCs w:val="24"/>
        </w:rPr>
        <w:t>site employers to develop a hazard communication program.</w:t>
      </w:r>
      <w:r w:rsidRPr="58460332" w:rsidR="026D554E">
        <w:rPr>
          <w:rFonts w:ascii="Times New Roman" w:eastAsia="Times New Roman" w:hAnsi="Times New Roman" w:cs="Times New Roman"/>
          <w:sz w:val="24"/>
          <w:szCs w:val="24"/>
        </w:rPr>
        <w:t xml:space="preserve"> As stated under the TYPE 2 discussion above, OSHA estimates that 65% of the sites have already completed this requirement. OSHA is assuming that it takes the remaining 35% sites (3,059 sites x 35% = 1,071 sites, rounded) 6 hours to develop the required programs.</w:t>
      </w:r>
    </w:p>
    <w:p w:rsidR="00BF576C" w:rsidRPr="00723CBD" w:rsidP="00BF576C" w14:paraId="1EE0F771"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7B019DC9" w14:textId="3E7DA67A">
      <w:pPr>
        <w:autoSpaceDE w:val="0"/>
        <w:autoSpaceDN w:val="0"/>
        <w:adjustRightInd w:val="0"/>
        <w:spacing w:after="0" w:line="240" w:lineRule="auto"/>
        <w:ind w:firstLine="720"/>
        <w:rPr>
          <w:rFonts w:ascii="Times New Roman" w:eastAsia="Times New Roman" w:hAnsi="Times New Roman" w:cs="Times New Roman"/>
          <w:sz w:val="24"/>
          <w:szCs w:val="24"/>
        </w:rPr>
      </w:pPr>
      <w:r w:rsidRPr="58460332">
        <w:rPr>
          <w:rFonts w:ascii="Times New Roman" w:eastAsia="Times New Roman" w:hAnsi="Times New Roman" w:cs="Times New Roman"/>
          <w:sz w:val="24"/>
          <w:szCs w:val="24"/>
        </w:rPr>
        <w:t>Burden hours:</w:t>
      </w:r>
      <w:r>
        <w:tab/>
      </w:r>
      <w:r w:rsidRPr="58460332">
        <w:rPr>
          <w:rFonts w:ascii="Times New Roman" w:eastAsia="Times New Roman" w:hAnsi="Times New Roman" w:cs="Times New Roman"/>
          <w:sz w:val="24"/>
          <w:szCs w:val="24"/>
        </w:rPr>
        <w:t xml:space="preserve"> </w:t>
      </w:r>
      <w:r w:rsidRPr="58460332" w:rsidR="3277739E">
        <w:rPr>
          <w:rFonts w:ascii="Times New Roman" w:eastAsia="Times New Roman" w:hAnsi="Times New Roman" w:cs="Times New Roman"/>
          <w:sz w:val="24"/>
          <w:szCs w:val="24"/>
        </w:rPr>
        <w:t>1,071</w:t>
      </w:r>
      <w:r w:rsidRPr="58460332">
        <w:rPr>
          <w:rFonts w:ascii="Times New Roman" w:eastAsia="Times New Roman" w:hAnsi="Times New Roman" w:cs="Times New Roman"/>
          <w:sz w:val="24"/>
          <w:szCs w:val="24"/>
        </w:rPr>
        <w:t xml:space="preserve"> sites × × 6 hours = 6,42</w:t>
      </w:r>
      <w:r w:rsidRPr="58460332" w:rsidR="60C2185E">
        <w:rPr>
          <w:rFonts w:ascii="Times New Roman" w:eastAsia="Times New Roman" w:hAnsi="Times New Roman" w:cs="Times New Roman"/>
          <w:sz w:val="24"/>
          <w:szCs w:val="24"/>
        </w:rPr>
        <w:t>6</w:t>
      </w:r>
      <w:r w:rsidRPr="58460332">
        <w:rPr>
          <w:rFonts w:ascii="Times New Roman" w:eastAsia="Times New Roman" w:hAnsi="Times New Roman" w:cs="Times New Roman"/>
          <w:sz w:val="24"/>
          <w:szCs w:val="24"/>
        </w:rPr>
        <w:t xml:space="preserve"> hours</w:t>
      </w:r>
    </w:p>
    <w:p w:rsidR="00A0622B" w:rsidRPr="00723CBD" w:rsidP="00BF576C" w14:paraId="080F2CA5" w14:textId="7BD9A7E9">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sz w:val="24"/>
          <w:szCs w:val="24"/>
        </w:rPr>
        <w:tab/>
      </w:r>
      <w:r w:rsidRPr="00723CBD">
        <w:rPr>
          <w:rFonts w:ascii="Times New Roman" w:eastAsia="Times New Roman" w:hAnsi="Times New Roman" w:cs="Times New Roman"/>
          <w:sz w:val="24"/>
          <w:szCs w:val="24"/>
        </w:rPr>
        <w:tab/>
        <w:t xml:space="preserve">  Cost:</w:t>
      </w:r>
      <w:r w:rsidRPr="00723CBD">
        <w:rPr>
          <w:rFonts w:ascii="Times New Roman" w:eastAsia="Times New Roman" w:hAnsi="Times New Roman" w:cs="Times New Roman"/>
          <w:sz w:val="24"/>
          <w:szCs w:val="24"/>
        </w:rPr>
        <w:tab/>
        <w:t xml:space="preserve"> </w:t>
      </w:r>
      <w:r w:rsidRPr="00723CBD" w:rsidR="00D913B9">
        <w:rPr>
          <w:rFonts w:ascii="Times New Roman" w:eastAsia="Times New Roman" w:hAnsi="Times New Roman" w:cs="Times New Roman"/>
          <w:sz w:val="24"/>
          <w:szCs w:val="24"/>
        </w:rPr>
        <w:t>6,42</w:t>
      </w:r>
      <w:r w:rsidRPr="00723CBD" w:rsidR="0E21AD78">
        <w:rPr>
          <w:rFonts w:ascii="Times New Roman" w:eastAsia="Times New Roman" w:hAnsi="Times New Roman" w:cs="Times New Roman"/>
          <w:sz w:val="24"/>
          <w:szCs w:val="24"/>
        </w:rPr>
        <w:t>6</w:t>
      </w:r>
      <w:r w:rsidRPr="00723CBD">
        <w:rPr>
          <w:rFonts w:ascii="Times New Roman" w:eastAsia="Times New Roman" w:hAnsi="Times New Roman" w:cs="Times New Roman"/>
          <w:sz w:val="24"/>
          <w:szCs w:val="24"/>
        </w:rPr>
        <w:t xml:space="preserve"> hours x $</w:t>
      </w:r>
      <w:r w:rsidRPr="00723CBD" w:rsidR="006F5F36">
        <w:rPr>
          <w:rFonts w:ascii="Times New Roman" w:eastAsia="Times New Roman" w:hAnsi="Times New Roman" w:cs="Times New Roman"/>
          <w:sz w:val="24"/>
          <w:szCs w:val="24"/>
        </w:rPr>
        <w:t>53.70</w:t>
      </w:r>
      <w:r w:rsidRPr="00723CBD">
        <w:rPr>
          <w:rFonts w:ascii="Times New Roman" w:eastAsia="Times New Roman" w:hAnsi="Times New Roman" w:cs="Times New Roman"/>
          <w:sz w:val="24"/>
          <w:szCs w:val="24"/>
        </w:rPr>
        <w:t xml:space="preserve"> = $</w:t>
      </w:r>
      <w:r w:rsidRPr="00723CBD" w:rsidR="00D913B9">
        <w:rPr>
          <w:rFonts w:ascii="Times New Roman" w:eastAsia="Times New Roman" w:hAnsi="Times New Roman" w:cs="Times New Roman"/>
          <w:sz w:val="24"/>
          <w:szCs w:val="24"/>
        </w:rPr>
        <w:t>3</w:t>
      </w:r>
      <w:r w:rsidRPr="00723CBD" w:rsidR="00793C3E">
        <w:rPr>
          <w:rFonts w:ascii="Times New Roman" w:eastAsia="Times New Roman" w:hAnsi="Times New Roman" w:cs="Times New Roman"/>
          <w:sz w:val="24"/>
          <w:szCs w:val="24"/>
        </w:rPr>
        <w:t>4</w:t>
      </w:r>
      <w:r w:rsidRPr="00723CBD" w:rsidR="09A68A79">
        <w:rPr>
          <w:rFonts w:ascii="Times New Roman" w:eastAsia="Times New Roman" w:hAnsi="Times New Roman" w:cs="Times New Roman"/>
          <w:sz w:val="24"/>
          <w:szCs w:val="24"/>
        </w:rPr>
        <w:t>5,076.20</w:t>
      </w:r>
    </w:p>
    <w:p w:rsidR="00BF576C" w:rsidRPr="00723CBD" w:rsidP="00BF576C" w14:paraId="49307CE6"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64345DEB" w14:textId="0618462D">
      <w:pPr>
        <w:autoSpaceDE w:val="0"/>
        <w:autoSpaceDN w:val="0"/>
        <w:adjustRightInd w:val="0"/>
        <w:spacing w:after="0" w:line="240" w:lineRule="auto"/>
        <w:rPr>
          <w:rFonts w:ascii="Times New Roman" w:eastAsia="Times New Roman" w:hAnsi="Times New Roman" w:cs="Times New Roman"/>
          <w:sz w:val="24"/>
          <w:szCs w:val="24"/>
        </w:rPr>
      </w:pPr>
      <w:r w:rsidRPr="5C516CCC">
        <w:rPr>
          <w:rFonts w:ascii="Times New Roman" w:eastAsia="Times New Roman" w:hAnsi="Times New Roman" w:cs="Times New Roman"/>
          <w:sz w:val="24"/>
          <w:szCs w:val="24"/>
        </w:rPr>
        <w:t xml:space="preserve">In addition, the </w:t>
      </w:r>
      <w:r w:rsidRPr="5C516CCC" w:rsidR="7DDDAB00">
        <w:rPr>
          <w:rFonts w:ascii="Times New Roman" w:eastAsia="Times New Roman" w:hAnsi="Times New Roman" w:cs="Times New Roman"/>
          <w:sz w:val="24"/>
          <w:szCs w:val="24"/>
        </w:rPr>
        <w:t>a</w:t>
      </w:r>
      <w:r w:rsidRPr="5C516CCC">
        <w:rPr>
          <w:rFonts w:ascii="Times New Roman" w:eastAsia="Times New Roman" w:hAnsi="Times New Roman" w:cs="Times New Roman"/>
          <w:sz w:val="24"/>
          <w:szCs w:val="24"/>
        </w:rPr>
        <w:t>gency estimates that 10</w:t>
      </w:r>
      <w:r w:rsidRPr="5C516CCC" w:rsidR="484B5EC4">
        <w:rPr>
          <w:rFonts w:ascii="Times New Roman" w:eastAsia="Times New Roman" w:hAnsi="Times New Roman" w:cs="Times New Roman"/>
          <w:sz w:val="24"/>
          <w:szCs w:val="24"/>
        </w:rPr>
        <w:t>%</w:t>
      </w:r>
      <w:r w:rsidRPr="5C516CCC">
        <w:rPr>
          <w:rFonts w:ascii="Times New Roman" w:eastAsia="Times New Roman" w:hAnsi="Times New Roman" w:cs="Times New Roman"/>
          <w:sz w:val="24"/>
          <w:szCs w:val="24"/>
        </w:rPr>
        <w:t xml:space="preserve"> of the sites </w:t>
      </w:r>
      <w:r w:rsidRPr="5C516CCC" w:rsidR="010955DF">
        <w:rPr>
          <w:rFonts w:ascii="Times New Roman" w:eastAsia="Times New Roman" w:hAnsi="Times New Roman" w:cs="Times New Roman"/>
          <w:sz w:val="24"/>
          <w:szCs w:val="24"/>
        </w:rPr>
        <w:t xml:space="preserve">(306 sites, rounded) </w:t>
      </w:r>
      <w:r w:rsidRPr="5C516CCC">
        <w:rPr>
          <w:rFonts w:ascii="Times New Roman" w:eastAsia="Times New Roman" w:hAnsi="Times New Roman" w:cs="Times New Roman"/>
          <w:sz w:val="24"/>
          <w:szCs w:val="24"/>
        </w:rPr>
        <w:t>may need to update</w:t>
      </w:r>
      <w:r w:rsidRPr="5C516CCC" w:rsidR="0220B853">
        <w:rPr>
          <w:rFonts w:ascii="Times New Roman" w:eastAsia="Times New Roman" w:hAnsi="Times New Roman" w:cs="Times New Roman"/>
          <w:sz w:val="24"/>
          <w:szCs w:val="24"/>
        </w:rPr>
        <w:t xml:space="preserve"> or </w:t>
      </w:r>
      <w:r w:rsidRPr="5C516CCC">
        <w:rPr>
          <w:rFonts w:ascii="Times New Roman" w:eastAsia="Times New Roman" w:hAnsi="Times New Roman" w:cs="Times New Roman"/>
          <w:sz w:val="24"/>
          <w:szCs w:val="24"/>
        </w:rPr>
        <w:t xml:space="preserve">modify their plans, and that it will take 2 hours to </w:t>
      </w:r>
      <w:r w:rsidRPr="5C516CCC" w:rsidR="5C90F065">
        <w:rPr>
          <w:rFonts w:ascii="Times New Roman" w:eastAsia="Times New Roman" w:hAnsi="Times New Roman" w:cs="Times New Roman"/>
          <w:sz w:val="24"/>
          <w:szCs w:val="24"/>
        </w:rPr>
        <w:t>do so.</w:t>
      </w:r>
    </w:p>
    <w:p w:rsidR="00BF576C" w:rsidRPr="00723CBD" w:rsidP="00BF576C" w14:paraId="4803DC75"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1210E917" w14:paraId="0E179837" w14:textId="5E2D6E90">
      <w:pPr>
        <w:spacing w:after="0" w:line="240" w:lineRule="auto"/>
        <w:ind w:firstLine="720"/>
        <w:rPr>
          <w:rFonts w:ascii="Times New Roman" w:eastAsia="Times New Roman" w:hAnsi="Times New Roman" w:cs="Times New Roman"/>
          <w:sz w:val="24"/>
          <w:szCs w:val="24"/>
        </w:rPr>
      </w:pPr>
      <w:r w:rsidRPr="58460332">
        <w:rPr>
          <w:rFonts w:ascii="Times New Roman" w:eastAsia="Times New Roman" w:hAnsi="Times New Roman" w:cs="Times New Roman"/>
          <w:sz w:val="24"/>
          <w:szCs w:val="24"/>
        </w:rPr>
        <w:t>Burden hours:</w:t>
      </w:r>
      <w:r>
        <w:tab/>
      </w:r>
      <w:r w:rsidRPr="58460332">
        <w:rPr>
          <w:rFonts w:ascii="Times New Roman" w:eastAsia="Times New Roman" w:hAnsi="Times New Roman" w:cs="Times New Roman"/>
          <w:sz w:val="24"/>
          <w:szCs w:val="24"/>
        </w:rPr>
        <w:t>30</w:t>
      </w:r>
      <w:r w:rsidRPr="58460332" w:rsidR="00C4B8C7">
        <w:rPr>
          <w:rFonts w:ascii="Times New Roman" w:eastAsia="Times New Roman" w:hAnsi="Times New Roman" w:cs="Times New Roman"/>
          <w:sz w:val="24"/>
          <w:szCs w:val="24"/>
        </w:rPr>
        <w:t>6</w:t>
      </w:r>
      <w:r w:rsidRPr="58460332">
        <w:rPr>
          <w:rFonts w:ascii="Times New Roman" w:eastAsia="Times New Roman" w:hAnsi="Times New Roman" w:cs="Times New Roman"/>
          <w:sz w:val="24"/>
          <w:szCs w:val="24"/>
        </w:rPr>
        <w:t xml:space="preserve"> sites × 2 hours = 612 hours</w:t>
      </w:r>
    </w:p>
    <w:p w:rsidR="00BF576C" w:rsidRPr="00723CBD" w:rsidP="00BF576C" w14:paraId="062E14BE" w14:textId="14A0A0C8">
      <w:pPr>
        <w:autoSpaceDE w:val="0"/>
        <w:autoSpaceDN w:val="0"/>
        <w:adjustRightInd w:val="0"/>
        <w:spacing w:after="0" w:line="240" w:lineRule="auto"/>
        <w:rPr>
          <w:rFonts w:ascii="Times New Roman" w:eastAsia="Times New Roman" w:hAnsi="Times New Roman" w:cs="Times New Roman"/>
          <w:sz w:val="24"/>
          <w:szCs w:val="24"/>
        </w:rPr>
      </w:pPr>
      <w:r w:rsidRPr="58460332">
        <w:rPr>
          <w:rFonts w:ascii="Times New Roman" w:eastAsia="Times New Roman" w:hAnsi="Times New Roman" w:cs="Times New Roman"/>
          <w:sz w:val="24"/>
          <w:szCs w:val="24"/>
        </w:rPr>
        <w:t xml:space="preserve">                          Cost: 612 x $</w:t>
      </w:r>
      <w:r w:rsidRPr="58460332" w:rsidR="001168FD">
        <w:rPr>
          <w:rFonts w:ascii="Times New Roman" w:eastAsia="Times New Roman" w:hAnsi="Times New Roman" w:cs="Times New Roman"/>
          <w:sz w:val="24"/>
          <w:szCs w:val="24"/>
        </w:rPr>
        <w:t>5</w:t>
      </w:r>
      <w:r w:rsidRPr="58460332" w:rsidR="00E854C3">
        <w:rPr>
          <w:rFonts w:ascii="Times New Roman" w:eastAsia="Times New Roman" w:hAnsi="Times New Roman" w:cs="Times New Roman"/>
          <w:sz w:val="24"/>
          <w:szCs w:val="24"/>
        </w:rPr>
        <w:t>3.70</w:t>
      </w:r>
      <w:r w:rsidRPr="58460332">
        <w:rPr>
          <w:rFonts w:ascii="Times New Roman" w:eastAsia="Times New Roman" w:hAnsi="Times New Roman" w:cs="Times New Roman"/>
          <w:sz w:val="24"/>
          <w:szCs w:val="24"/>
        </w:rPr>
        <w:t xml:space="preserve"> = $</w:t>
      </w:r>
      <w:r w:rsidRPr="58460332" w:rsidR="001168FD">
        <w:rPr>
          <w:rFonts w:ascii="Times New Roman" w:eastAsia="Times New Roman" w:hAnsi="Times New Roman" w:cs="Times New Roman"/>
          <w:sz w:val="24"/>
          <w:szCs w:val="24"/>
        </w:rPr>
        <w:t>32</w:t>
      </w:r>
      <w:r w:rsidRPr="58460332" w:rsidR="006E563B">
        <w:rPr>
          <w:rFonts w:ascii="Times New Roman" w:eastAsia="Times New Roman" w:hAnsi="Times New Roman" w:cs="Times New Roman"/>
          <w:sz w:val="24"/>
          <w:szCs w:val="24"/>
        </w:rPr>
        <w:t>,864</w:t>
      </w:r>
      <w:r w:rsidRPr="58460332" w:rsidR="345346D1">
        <w:rPr>
          <w:rFonts w:ascii="Times New Roman" w:eastAsia="Times New Roman" w:hAnsi="Times New Roman" w:cs="Times New Roman"/>
          <w:sz w:val="24"/>
          <w:szCs w:val="24"/>
        </w:rPr>
        <w:t>.40</w:t>
      </w:r>
    </w:p>
    <w:p w:rsidR="58460332" w:rsidP="58460332" w14:paraId="5FD558EC" w14:textId="3CDD0888">
      <w:pPr>
        <w:spacing w:after="0" w:line="240" w:lineRule="auto"/>
        <w:rPr>
          <w:rFonts w:ascii="Times New Roman" w:eastAsia="Times New Roman" w:hAnsi="Times New Roman" w:cs="Times New Roman"/>
          <w:sz w:val="24"/>
          <w:szCs w:val="24"/>
        </w:rPr>
      </w:pPr>
    </w:p>
    <w:p w:rsidR="58460332" w:rsidP="1210E917" w14:paraId="0B948116" w14:textId="2AE9DF09">
      <w:pPr>
        <w:spacing w:after="0" w:line="240" w:lineRule="auto"/>
        <w:ind w:firstLine="720"/>
        <w:rPr>
          <w:rFonts w:ascii="Times New Roman" w:eastAsia="Times New Roman" w:hAnsi="Times New Roman" w:cs="Times New Roman"/>
          <w:i/>
          <w:iCs/>
          <w:sz w:val="24"/>
          <w:szCs w:val="24"/>
        </w:rPr>
      </w:pPr>
      <w:r w:rsidRPr="58460332">
        <w:rPr>
          <w:rFonts w:ascii="Times New Roman" w:eastAsia="Times New Roman" w:hAnsi="Times New Roman" w:cs="Times New Roman"/>
          <w:i/>
          <w:iCs/>
          <w:sz w:val="24"/>
          <w:szCs w:val="24"/>
        </w:rPr>
        <w:t>Subtotal Burden hours: 6,426 + 612 = 7,038 hours</w:t>
      </w:r>
    </w:p>
    <w:p w:rsidR="00BF576C" w:rsidRPr="00723CBD" w:rsidP="1210E917" w14:paraId="3558E81E" w14:textId="792A5F65">
      <w:pPr>
        <w:autoSpaceDE w:val="0"/>
        <w:autoSpaceDN w:val="0"/>
        <w:adjustRightInd w:val="0"/>
        <w:spacing w:after="0" w:line="240" w:lineRule="auto"/>
        <w:rPr>
          <w:rFonts w:ascii="Times New Roman" w:eastAsia="Times New Roman" w:hAnsi="Times New Roman" w:cs="Times New Roman"/>
          <w:b/>
          <w:bCs/>
          <w:sz w:val="24"/>
          <w:szCs w:val="24"/>
        </w:rPr>
      </w:pPr>
      <w:r w:rsidRPr="1210E917">
        <w:rPr>
          <w:rFonts w:ascii="Times New Roman" w:eastAsia="Times New Roman" w:hAnsi="Times New Roman" w:cs="Times New Roman"/>
          <w:i/>
          <w:iCs/>
          <w:sz w:val="24"/>
          <w:szCs w:val="24"/>
        </w:rPr>
        <w:t xml:space="preserve">  </w:t>
      </w:r>
      <w:r>
        <w:tab/>
      </w:r>
      <w:r>
        <w:tab/>
      </w:r>
      <w:r w:rsidRPr="58460332">
        <w:rPr>
          <w:rFonts w:ascii="Times New Roman" w:eastAsia="Times New Roman" w:hAnsi="Times New Roman" w:cs="Times New Roman"/>
          <w:i/>
          <w:iCs/>
          <w:sz w:val="24"/>
          <w:szCs w:val="24"/>
        </w:rPr>
        <w:t xml:space="preserve">  Subtotal Cost: $345,076.20 + $32,864.40 = $377,940.</w:t>
      </w:r>
      <w:r w:rsidRPr="1210E917">
        <w:rPr>
          <w:rFonts w:ascii="Times New Roman" w:eastAsia="Times New Roman" w:hAnsi="Times New Roman" w:cs="Times New Roman"/>
          <w:i/>
          <w:iCs/>
          <w:sz w:val="24"/>
          <w:szCs w:val="24"/>
        </w:rPr>
        <w:t>60</w:t>
      </w:r>
    </w:p>
    <w:p w:rsidR="00BF576C" w:rsidRPr="00723CBD" w:rsidP="00BF576C" w14:paraId="467B0E00" w14:textId="07E464CD">
      <w:pPr>
        <w:autoSpaceDE w:val="0"/>
        <w:autoSpaceDN w:val="0"/>
        <w:adjustRightInd w:val="0"/>
        <w:spacing w:after="0" w:line="240" w:lineRule="auto"/>
        <w:rPr>
          <w:rFonts w:ascii="Times New Roman" w:eastAsia="Times New Roman" w:hAnsi="Times New Roman" w:cs="Times New Roman"/>
          <w:b/>
          <w:sz w:val="24"/>
          <w:szCs w:val="24"/>
        </w:rPr>
      </w:pPr>
    </w:p>
    <w:p w:rsidR="00BF576C" w:rsidRPr="00723CBD" w:rsidP="00BF576C" w14:paraId="17C18F31" w14:textId="35FE3729">
      <w:pPr>
        <w:autoSpaceDE w:val="0"/>
        <w:autoSpaceDN w:val="0"/>
        <w:adjustRightInd w:val="0"/>
        <w:spacing w:after="0" w:line="240" w:lineRule="auto"/>
        <w:rPr>
          <w:rFonts w:ascii="Times New Roman" w:eastAsia="Times New Roman" w:hAnsi="Times New Roman" w:cs="Times New Roman"/>
          <w:b/>
          <w:sz w:val="24"/>
          <w:szCs w:val="24"/>
        </w:rPr>
      </w:pPr>
      <w:r w:rsidRPr="00723CBD">
        <w:rPr>
          <w:rFonts w:ascii="Times New Roman" w:eastAsia="Times New Roman" w:hAnsi="Times New Roman" w:cs="Times New Roman"/>
          <w:b/>
          <w:bCs/>
          <w:sz w:val="24"/>
          <w:szCs w:val="24"/>
        </w:rPr>
        <w:t>16. Medical surveillance program</w:t>
      </w:r>
    </w:p>
    <w:p w:rsidR="00BF576C" w:rsidRPr="00723CBD" w:rsidP="00BF576C" w14:paraId="779F0C83"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58460332" w14:paraId="17C1FC29" w14:textId="4BC5EAAD">
      <w:pPr>
        <w:autoSpaceDE w:val="0"/>
        <w:autoSpaceDN w:val="0"/>
        <w:adjustRightInd w:val="0"/>
        <w:spacing w:after="0" w:line="240" w:lineRule="auto"/>
        <w:rPr>
          <w:rFonts w:ascii="Times New Roman" w:eastAsia="Times New Roman" w:hAnsi="Times New Roman" w:cs="Times New Roman"/>
          <w:sz w:val="24"/>
          <w:szCs w:val="24"/>
        </w:rPr>
      </w:pPr>
      <w:r w:rsidRPr="5C516CCC">
        <w:rPr>
          <w:rFonts w:ascii="Times New Roman" w:eastAsia="Times New Roman" w:hAnsi="Times New Roman" w:cs="Times New Roman"/>
          <w:sz w:val="24"/>
          <w:szCs w:val="24"/>
        </w:rPr>
        <w:t>Paragraph 1910.120(p)(3) requires RCRA TSD</w:t>
      </w:r>
      <w:r w:rsidRPr="5C516CCC" w:rsidR="72BA5AA2">
        <w:rPr>
          <w:rFonts w:ascii="Times New Roman" w:eastAsia="Times New Roman" w:hAnsi="Times New Roman" w:cs="Times New Roman"/>
          <w:sz w:val="24"/>
          <w:szCs w:val="24"/>
        </w:rPr>
        <w:t>-</w:t>
      </w:r>
      <w:r w:rsidRPr="5C516CCC">
        <w:rPr>
          <w:rFonts w:ascii="Times New Roman" w:eastAsia="Times New Roman" w:hAnsi="Times New Roman" w:cs="Times New Roman"/>
          <w:sz w:val="24"/>
          <w:szCs w:val="24"/>
        </w:rPr>
        <w:t>site employers to provide worker medical exams as specified in paragraph 1910.120(f).</w:t>
      </w:r>
      <w:r w:rsidRPr="5C516CCC" w:rsidR="7D20C771">
        <w:rPr>
          <w:rFonts w:ascii="Times New Roman" w:eastAsia="Times New Roman" w:hAnsi="Times New Roman" w:cs="Times New Roman"/>
          <w:sz w:val="24"/>
          <w:szCs w:val="24"/>
        </w:rPr>
        <w:t xml:space="preserve"> </w:t>
      </w:r>
      <w:r w:rsidRPr="5C516CCC">
        <w:rPr>
          <w:rFonts w:ascii="Times New Roman" w:eastAsia="Times New Roman" w:hAnsi="Times New Roman" w:cs="Times New Roman"/>
          <w:sz w:val="24"/>
          <w:szCs w:val="24"/>
        </w:rPr>
        <w:t xml:space="preserve">Based on previous paperwork </w:t>
      </w:r>
      <w:r w:rsidRPr="5C516CCC" w:rsidR="6F04804F">
        <w:rPr>
          <w:rFonts w:ascii="Times New Roman" w:eastAsia="Times New Roman" w:hAnsi="Times New Roman" w:cs="Times New Roman"/>
          <w:sz w:val="24"/>
          <w:szCs w:val="24"/>
        </w:rPr>
        <w:t>packages and</w:t>
      </w:r>
      <w:r w:rsidRPr="5C516CCC">
        <w:rPr>
          <w:rFonts w:ascii="Times New Roman" w:eastAsia="Times New Roman" w:hAnsi="Times New Roman" w:cs="Times New Roman"/>
          <w:sz w:val="24"/>
          <w:szCs w:val="24"/>
        </w:rPr>
        <w:t xml:space="preserve"> using the </w:t>
      </w:r>
      <w:r w:rsidRPr="5C516CCC">
        <w:rPr>
          <w:rFonts w:ascii="Times New Roman" w:eastAsia="Times New Roman" w:hAnsi="Times New Roman" w:cs="Times New Roman"/>
          <w:sz w:val="24"/>
          <w:szCs w:val="24"/>
        </w:rPr>
        <w:t xml:space="preserve">same methodology </w:t>
      </w:r>
      <w:r w:rsidRPr="5C516CCC" w:rsidR="5A07508B">
        <w:rPr>
          <w:rFonts w:ascii="Times New Roman" w:eastAsia="Times New Roman" w:hAnsi="Times New Roman" w:cs="Times New Roman"/>
          <w:sz w:val="24"/>
          <w:szCs w:val="24"/>
        </w:rPr>
        <w:t>as was used to calculate the number of</w:t>
      </w:r>
      <w:r w:rsidRPr="5C516CCC">
        <w:rPr>
          <w:rFonts w:ascii="Times New Roman" w:eastAsia="Times New Roman" w:hAnsi="Times New Roman" w:cs="Times New Roman"/>
          <w:sz w:val="24"/>
          <w:szCs w:val="24"/>
        </w:rPr>
        <w:t xml:space="preserve"> employees in Type 1, OSHA estimates </w:t>
      </w:r>
      <w:r w:rsidRPr="5C516CCC" w:rsidR="1BF72A4D">
        <w:rPr>
          <w:rFonts w:ascii="Times New Roman" w:eastAsia="Times New Roman" w:hAnsi="Times New Roman" w:cs="Times New Roman"/>
          <w:sz w:val="24"/>
          <w:szCs w:val="24"/>
        </w:rPr>
        <w:t xml:space="preserve">that there are </w:t>
      </w:r>
      <w:r w:rsidRPr="5C516CCC">
        <w:rPr>
          <w:rFonts w:ascii="Times New Roman" w:eastAsia="Times New Roman" w:hAnsi="Times New Roman" w:cs="Times New Roman"/>
          <w:sz w:val="24"/>
          <w:szCs w:val="24"/>
        </w:rPr>
        <w:t>45,885 TSD</w:t>
      </w:r>
      <w:r w:rsidRPr="5C516CCC" w:rsidR="4145A949">
        <w:rPr>
          <w:rFonts w:ascii="Times New Roman" w:eastAsia="Times New Roman" w:hAnsi="Times New Roman" w:cs="Times New Roman"/>
          <w:sz w:val="24"/>
          <w:szCs w:val="24"/>
        </w:rPr>
        <w:t>-</w:t>
      </w:r>
      <w:r w:rsidRPr="5C516CCC">
        <w:rPr>
          <w:rFonts w:ascii="Times New Roman" w:eastAsia="Times New Roman" w:hAnsi="Times New Roman" w:cs="Times New Roman"/>
          <w:sz w:val="24"/>
          <w:szCs w:val="24"/>
        </w:rPr>
        <w:t xml:space="preserve">site employees (3,059 sites x 15 workers per site). </w:t>
      </w:r>
    </w:p>
    <w:p w:rsidR="00BF576C" w:rsidRPr="00723CBD" w:rsidP="58460332" w14:paraId="76CE7780" w14:textId="58220072">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58460332" w14:paraId="2DD5F641" w14:textId="7499A159">
      <w:pPr>
        <w:autoSpaceDE w:val="0"/>
        <w:autoSpaceDN w:val="0"/>
        <w:adjustRightInd w:val="0"/>
        <w:spacing w:after="0" w:line="240" w:lineRule="auto"/>
        <w:rPr>
          <w:rFonts w:ascii="Times New Roman" w:eastAsia="Times New Roman" w:hAnsi="Times New Roman" w:cs="Times New Roman"/>
          <w:sz w:val="24"/>
          <w:szCs w:val="24"/>
        </w:rPr>
      </w:pPr>
      <w:r w:rsidRPr="58460332">
        <w:rPr>
          <w:rFonts w:ascii="Times New Roman" w:eastAsia="Times New Roman" w:hAnsi="Times New Roman" w:cs="Times New Roman"/>
          <w:sz w:val="24"/>
          <w:szCs w:val="24"/>
        </w:rPr>
        <w:t xml:space="preserve">OSHA also estimates that it will take </w:t>
      </w:r>
      <w:r w:rsidRPr="58460332" w:rsidR="036C071B">
        <w:rPr>
          <w:rFonts w:ascii="Times New Roman" w:eastAsia="Times New Roman" w:hAnsi="Times New Roman" w:cs="Times New Roman"/>
          <w:sz w:val="24"/>
          <w:szCs w:val="24"/>
        </w:rPr>
        <w:t>90 minutes (90/60 hours)</w:t>
      </w:r>
      <w:r w:rsidRPr="58460332">
        <w:rPr>
          <w:rFonts w:ascii="Times New Roman" w:eastAsia="Times New Roman" w:hAnsi="Times New Roman" w:cs="Times New Roman"/>
          <w:sz w:val="24"/>
          <w:szCs w:val="24"/>
        </w:rPr>
        <w:t xml:space="preserve"> </w:t>
      </w:r>
      <w:r w:rsidRPr="58460332" w:rsidR="2ECE93D8">
        <w:rPr>
          <w:rFonts w:ascii="Times New Roman" w:eastAsia="Times New Roman" w:hAnsi="Times New Roman" w:cs="Times New Roman"/>
          <w:sz w:val="24"/>
          <w:szCs w:val="24"/>
        </w:rPr>
        <w:t xml:space="preserve">to conduct </w:t>
      </w:r>
      <w:r w:rsidRPr="58460332">
        <w:rPr>
          <w:rFonts w:ascii="Times New Roman" w:eastAsia="Times New Roman" w:hAnsi="Times New Roman" w:cs="Times New Roman"/>
          <w:sz w:val="24"/>
          <w:szCs w:val="24"/>
        </w:rPr>
        <w:t xml:space="preserve">a medical exam, including </w:t>
      </w:r>
      <w:r w:rsidRPr="58460332" w:rsidR="6DB63D9D">
        <w:rPr>
          <w:rFonts w:ascii="Times New Roman" w:eastAsia="Times New Roman" w:hAnsi="Times New Roman" w:cs="Times New Roman"/>
          <w:sz w:val="24"/>
          <w:szCs w:val="24"/>
        </w:rPr>
        <w:t xml:space="preserve">employee </w:t>
      </w:r>
      <w:r w:rsidRPr="58460332">
        <w:rPr>
          <w:rFonts w:ascii="Times New Roman" w:eastAsia="Times New Roman" w:hAnsi="Times New Roman" w:cs="Times New Roman"/>
          <w:sz w:val="24"/>
          <w:szCs w:val="24"/>
        </w:rPr>
        <w:t>travel time</w:t>
      </w:r>
      <w:r w:rsidRPr="58460332" w:rsidR="4DE3EDEA">
        <w:rPr>
          <w:rFonts w:ascii="Times New Roman" w:eastAsia="Times New Roman" w:hAnsi="Times New Roman" w:cs="Times New Roman"/>
          <w:sz w:val="24"/>
          <w:szCs w:val="24"/>
        </w:rPr>
        <w:t>;</w:t>
      </w:r>
      <w:r w:rsidRPr="58460332">
        <w:rPr>
          <w:rFonts w:ascii="Times New Roman" w:eastAsia="Times New Roman" w:hAnsi="Times New Roman" w:cs="Times New Roman"/>
          <w:sz w:val="24"/>
          <w:szCs w:val="24"/>
        </w:rPr>
        <w:t xml:space="preserve"> 15 minutes </w:t>
      </w:r>
      <w:r w:rsidRPr="58460332" w:rsidR="2AEA3BEF">
        <w:rPr>
          <w:rFonts w:ascii="Times New Roman" w:eastAsia="Times New Roman" w:hAnsi="Times New Roman" w:cs="Times New Roman"/>
          <w:sz w:val="24"/>
          <w:szCs w:val="24"/>
        </w:rPr>
        <w:t>(</w:t>
      </w:r>
      <w:r w:rsidRPr="58460332" w:rsidR="007850FB">
        <w:rPr>
          <w:rFonts w:ascii="Times New Roman" w:eastAsia="Times New Roman" w:hAnsi="Times New Roman" w:cs="Times New Roman"/>
          <w:sz w:val="24"/>
          <w:szCs w:val="24"/>
        </w:rPr>
        <w:t>15/60</w:t>
      </w:r>
      <w:r w:rsidRPr="58460332" w:rsidR="00A0622B">
        <w:rPr>
          <w:rFonts w:ascii="Times New Roman" w:eastAsia="Times New Roman" w:hAnsi="Times New Roman" w:cs="Times New Roman"/>
          <w:sz w:val="24"/>
          <w:szCs w:val="24"/>
        </w:rPr>
        <w:t xml:space="preserve"> </w:t>
      </w:r>
      <w:r w:rsidRPr="58460332" w:rsidR="390A9D2B">
        <w:rPr>
          <w:rFonts w:ascii="Times New Roman" w:eastAsia="Times New Roman" w:hAnsi="Times New Roman" w:cs="Times New Roman"/>
          <w:sz w:val="24"/>
          <w:szCs w:val="24"/>
        </w:rPr>
        <w:t>hour)</w:t>
      </w:r>
      <w:r w:rsidRPr="58460332">
        <w:rPr>
          <w:rFonts w:ascii="Times New Roman" w:eastAsia="Times New Roman" w:hAnsi="Times New Roman" w:cs="Times New Roman"/>
          <w:sz w:val="24"/>
          <w:szCs w:val="24"/>
        </w:rPr>
        <w:t xml:space="preserve"> for the employer to provide the necessary information to the physician</w:t>
      </w:r>
      <w:r w:rsidRPr="58460332" w:rsidR="4AB92B07">
        <w:rPr>
          <w:rFonts w:ascii="Times New Roman" w:eastAsia="Times New Roman" w:hAnsi="Times New Roman" w:cs="Times New Roman"/>
          <w:sz w:val="24"/>
          <w:szCs w:val="24"/>
        </w:rPr>
        <w:t>;</w:t>
      </w:r>
      <w:r w:rsidRPr="58460332" w:rsidR="302300C6">
        <w:rPr>
          <w:rFonts w:ascii="Times New Roman" w:eastAsia="Times New Roman" w:hAnsi="Times New Roman" w:cs="Times New Roman"/>
          <w:sz w:val="24"/>
          <w:szCs w:val="24"/>
        </w:rPr>
        <w:t xml:space="preserve"> </w:t>
      </w:r>
      <w:r w:rsidRPr="58460332" w:rsidR="2870D4D0">
        <w:rPr>
          <w:rFonts w:ascii="Times New Roman" w:eastAsia="Times New Roman" w:hAnsi="Times New Roman" w:cs="Times New Roman"/>
          <w:sz w:val="24"/>
          <w:szCs w:val="24"/>
        </w:rPr>
        <w:t>and</w:t>
      </w:r>
      <w:r w:rsidRPr="58460332">
        <w:rPr>
          <w:rFonts w:ascii="Times New Roman" w:eastAsia="Times New Roman" w:hAnsi="Times New Roman" w:cs="Times New Roman"/>
          <w:sz w:val="24"/>
          <w:szCs w:val="24"/>
        </w:rPr>
        <w:t xml:space="preserve"> 10 minutes (</w:t>
      </w:r>
      <w:r w:rsidRPr="58460332" w:rsidR="007850FB">
        <w:rPr>
          <w:rFonts w:ascii="Times New Roman" w:eastAsia="Times New Roman" w:hAnsi="Times New Roman" w:cs="Times New Roman"/>
          <w:sz w:val="24"/>
          <w:szCs w:val="24"/>
        </w:rPr>
        <w:t>10/60</w:t>
      </w:r>
      <w:r w:rsidRPr="58460332">
        <w:rPr>
          <w:rFonts w:ascii="Times New Roman" w:eastAsia="Times New Roman" w:hAnsi="Times New Roman" w:cs="Times New Roman"/>
          <w:sz w:val="24"/>
          <w:szCs w:val="24"/>
        </w:rPr>
        <w:t xml:space="preserve"> hour) to furnish the employee with the written opinion and to develop and maintain the employee</w:t>
      </w:r>
      <w:r w:rsidRPr="58460332" w:rsidR="31F6737B">
        <w:rPr>
          <w:rFonts w:ascii="Times New Roman" w:eastAsia="Times New Roman" w:hAnsi="Times New Roman" w:cs="Times New Roman"/>
          <w:sz w:val="24"/>
          <w:szCs w:val="24"/>
        </w:rPr>
        <w:t>’s</w:t>
      </w:r>
      <w:r w:rsidRPr="58460332">
        <w:rPr>
          <w:rFonts w:ascii="Times New Roman" w:eastAsia="Times New Roman" w:hAnsi="Times New Roman" w:cs="Times New Roman"/>
          <w:sz w:val="24"/>
          <w:szCs w:val="24"/>
        </w:rPr>
        <w:t xml:space="preserve"> medical record. </w:t>
      </w:r>
      <w:r w:rsidRPr="58460332" w:rsidR="5C2B8CDF">
        <w:rPr>
          <w:rFonts w:ascii="Times New Roman" w:eastAsia="Times New Roman" w:hAnsi="Times New Roman" w:cs="Times New Roman"/>
          <w:sz w:val="24"/>
          <w:szCs w:val="24"/>
        </w:rPr>
        <w:t>In total, the medical surveillance program will take 115 minutes (115/60 hours)</w:t>
      </w:r>
      <w:r w:rsidRPr="58460332" w:rsidR="30F3CDD1">
        <w:rPr>
          <w:rFonts w:ascii="Times New Roman" w:eastAsia="Times New Roman" w:hAnsi="Times New Roman" w:cs="Times New Roman"/>
          <w:sz w:val="24"/>
          <w:szCs w:val="24"/>
        </w:rPr>
        <w:t>.</w:t>
      </w:r>
    </w:p>
    <w:p w:rsidR="00BF576C" w:rsidRPr="00723CBD" w:rsidP="58460332" w14:paraId="45954375" w14:textId="50DFAE69">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3E183183" w14:textId="44CFB843">
      <w:pPr>
        <w:autoSpaceDE w:val="0"/>
        <w:autoSpaceDN w:val="0"/>
        <w:adjustRightInd w:val="0"/>
        <w:spacing w:after="0" w:line="240" w:lineRule="auto"/>
        <w:rPr>
          <w:rFonts w:ascii="Times New Roman" w:eastAsia="Times New Roman" w:hAnsi="Times New Roman" w:cs="Times New Roman"/>
          <w:sz w:val="24"/>
          <w:szCs w:val="24"/>
        </w:rPr>
      </w:pPr>
      <w:r w:rsidRPr="5C516CCC">
        <w:rPr>
          <w:rFonts w:ascii="Times New Roman" w:eastAsia="Times New Roman" w:hAnsi="Times New Roman" w:cs="Times New Roman"/>
          <w:sz w:val="24"/>
          <w:szCs w:val="24"/>
        </w:rPr>
        <w:t>Based on the RIA, it is estimated that, on average, 70</w:t>
      </w:r>
      <w:r w:rsidRPr="5C516CCC" w:rsidR="15CBAC63">
        <w:rPr>
          <w:rFonts w:ascii="Times New Roman" w:eastAsia="Times New Roman" w:hAnsi="Times New Roman" w:cs="Times New Roman"/>
          <w:sz w:val="24"/>
          <w:szCs w:val="24"/>
        </w:rPr>
        <w:t>%</w:t>
      </w:r>
      <w:r w:rsidRPr="5C516CCC">
        <w:rPr>
          <w:rFonts w:ascii="Times New Roman" w:eastAsia="Times New Roman" w:hAnsi="Times New Roman" w:cs="Times New Roman"/>
          <w:sz w:val="24"/>
          <w:szCs w:val="24"/>
        </w:rPr>
        <w:t xml:space="preserve"> of the RCRA employees and supervisors receive annual medical reexaminations as a usual and customary business practice</w:t>
      </w:r>
      <w:r w:rsidRPr="5C516CCC" w:rsidR="7C5816D6">
        <w:rPr>
          <w:rFonts w:ascii="Times New Roman" w:eastAsia="Times New Roman" w:hAnsi="Times New Roman" w:cs="Times New Roman"/>
          <w:sz w:val="24"/>
          <w:szCs w:val="24"/>
        </w:rPr>
        <w:t xml:space="preserve"> and the remaining 30% of employees (45,885 x 30% = 13,766 employees, rounded) are subjected to this requirement</w:t>
      </w:r>
      <w:r w:rsidRPr="5C516CCC">
        <w:rPr>
          <w:rFonts w:ascii="Times New Roman" w:eastAsia="Times New Roman" w:hAnsi="Times New Roman" w:cs="Times New Roman"/>
          <w:sz w:val="24"/>
          <w:szCs w:val="24"/>
        </w:rPr>
        <w:t>.</w:t>
      </w:r>
    </w:p>
    <w:p w:rsidR="00BF576C" w:rsidRPr="00723CBD" w:rsidP="00BF576C" w14:paraId="41304FC6"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1210E917" w14:paraId="10644378" w14:textId="112267C8">
      <w:pPr>
        <w:spacing w:after="0" w:line="240" w:lineRule="auto"/>
        <w:ind w:firstLine="720"/>
        <w:rPr>
          <w:rFonts w:ascii="Times New Roman" w:eastAsia="Times New Roman" w:hAnsi="Times New Roman" w:cs="Times New Roman"/>
          <w:sz w:val="24"/>
          <w:szCs w:val="24"/>
        </w:rPr>
      </w:pPr>
      <w:r w:rsidRPr="58460332">
        <w:rPr>
          <w:rFonts w:ascii="Times New Roman" w:eastAsia="Times New Roman" w:hAnsi="Times New Roman" w:cs="Times New Roman"/>
          <w:sz w:val="24"/>
          <w:szCs w:val="24"/>
        </w:rPr>
        <w:t>Burden hours:</w:t>
      </w:r>
      <w:r>
        <w:tab/>
      </w:r>
      <w:r w:rsidRPr="58460332" w:rsidR="06A9F338">
        <w:rPr>
          <w:rFonts w:ascii="Times New Roman" w:eastAsia="Times New Roman" w:hAnsi="Times New Roman" w:cs="Times New Roman"/>
          <w:sz w:val="24"/>
          <w:szCs w:val="24"/>
        </w:rPr>
        <w:t>13,766 employees</w:t>
      </w:r>
      <w:r w:rsidRPr="58460332">
        <w:rPr>
          <w:rFonts w:ascii="Times New Roman" w:eastAsia="Times New Roman" w:hAnsi="Times New Roman" w:cs="Times New Roman"/>
          <w:sz w:val="24"/>
          <w:szCs w:val="24"/>
        </w:rPr>
        <w:t xml:space="preserve"> × </w:t>
      </w:r>
      <w:r w:rsidRPr="58460332" w:rsidR="4CEAF4A1">
        <w:rPr>
          <w:rFonts w:ascii="Times New Roman" w:eastAsia="Times New Roman" w:hAnsi="Times New Roman" w:cs="Times New Roman"/>
          <w:sz w:val="24"/>
          <w:szCs w:val="24"/>
        </w:rPr>
        <w:t>115/60</w:t>
      </w:r>
      <w:r w:rsidRPr="58460332">
        <w:rPr>
          <w:rFonts w:ascii="Times New Roman" w:eastAsia="Times New Roman" w:hAnsi="Times New Roman" w:cs="Times New Roman"/>
          <w:sz w:val="24"/>
          <w:szCs w:val="24"/>
        </w:rPr>
        <w:t xml:space="preserve"> h</w:t>
      </w:r>
      <w:r w:rsidRPr="58460332" w:rsidR="12EA4776">
        <w:rPr>
          <w:rFonts w:ascii="Times New Roman" w:eastAsia="Times New Roman" w:hAnsi="Times New Roman" w:cs="Times New Roman"/>
          <w:sz w:val="24"/>
          <w:szCs w:val="24"/>
        </w:rPr>
        <w:t>ou</w:t>
      </w:r>
      <w:r w:rsidRPr="58460332">
        <w:rPr>
          <w:rFonts w:ascii="Times New Roman" w:eastAsia="Times New Roman" w:hAnsi="Times New Roman" w:cs="Times New Roman"/>
          <w:sz w:val="24"/>
          <w:szCs w:val="24"/>
        </w:rPr>
        <w:t>rs = 26,</w:t>
      </w:r>
      <w:r w:rsidRPr="58460332" w:rsidR="1538EECB">
        <w:rPr>
          <w:rFonts w:ascii="Times New Roman" w:eastAsia="Times New Roman" w:hAnsi="Times New Roman" w:cs="Times New Roman"/>
          <w:sz w:val="24"/>
          <w:szCs w:val="24"/>
        </w:rPr>
        <w:t>385</w:t>
      </w:r>
      <w:r w:rsidRPr="58460332">
        <w:rPr>
          <w:rFonts w:ascii="Times New Roman" w:eastAsia="Times New Roman" w:hAnsi="Times New Roman" w:cs="Times New Roman"/>
          <w:sz w:val="24"/>
          <w:szCs w:val="24"/>
        </w:rPr>
        <w:t xml:space="preserve"> hours</w:t>
      </w:r>
    </w:p>
    <w:p w:rsidR="00BF576C" w:rsidRPr="00723CBD" w:rsidP="00BF576C" w14:paraId="729549B1" w14:textId="3008ACD6">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sz w:val="24"/>
          <w:szCs w:val="24"/>
        </w:rPr>
        <w:tab/>
      </w:r>
      <w:r w:rsidRPr="00723CBD">
        <w:rPr>
          <w:rFonts w:ascii="Times New Roman" w:eastAsia="Times New Roman" w:hAnsi="Times New Roman" w:cs="Times New Roman"/>
          <w:sz w:val="24"/>
          <w:szCs w:val="24"/>
        </w:rPr>
        <w:tab/>
        <w:t xml:space="preserve">  Cost:</w:t>
      </w:r>
      <w:r w:rsidRPr="00723CBD">
        <w:rPr>
          <w:rFonts w:ascii="Times New Roman" w:eastAsia="Times New Roman" w:hAnsi="Times New Roman" w:cs="Times New Roman"/>
          <w:sz w:val="24"/>
          <w:szCs w:val="24"/>
        </w:rPr>
        <w:tab/>
        <w:t>26,</w:t>
      </w:r>
      <w:r w:rsidRPr="00723CBD" w:rsidR="11C788F6">
        <w:rPr>
          <w:rFonts w:ascii="Times New Roman" w:eastAsia="Times New Roman" w:hAnsi="Times New Roman" w:cs="Times New Roman"/>
          <w:sz w:val="24"/>
          <w:szCs w:val="24"/>
        </w:rPr>
        <w:t>385</w:t>
      </w:r>
      <w:r w:rsidRPr="00723CBD">
        <w:rPr>
          <w:rFonts w:ascii="Times New Roman" w:eastAsia="Times New Roman" w:hAnsi="Times New Roman" w:cs="Times New Roman"/>
          <w:sz w:val="24"/>
          <w:szCs w:val="24"/>
        </w:rPr>
        <w:t xml:space="preserve"> hours x $</w:t>
      </w:r>
      <w:r w:rsidRPr="00723CBD" w:rsidR="006F5F36">
        <w:rPr>
          <w:rFonts w:ascii="Times New Roman" w:eastAsia="Times New Roman" w:hAnsi="Times New Roman" w:cs="Times New Roman"/>
          <w:sz w:val="24"/>
          <w:szCs w:val="24"/>
        </w:rPr>
        <w:t>53.70</w:t>
      </w:r>
      <w:r w:rsidRPr="00723CBD">
        <w:rPr>
          <w:rFonts w:ascii="Times New Roman" w:eastAsia="Times New Roman" w:hAnsi="Times New Roman" w:cs="Times New Roman"/>
          <w:sz w:val="24"/>
          <w:szCs w:val="24"/>
        </w:rPr>
        <w:t xml:space="preserve"> = $1,</w:t>
      </w:r>
      <w:r w:rsidRPr="00723CBD" w:rsidR="006E520E">
        <w:rPr>
          <w:rFonts w:ascii="Times New Roman" w:eastAsia="Times New Roman" w:hAnsi="Times New Roman" w:cs="Times New Roman"/>
          <w:sz w:val="24"/>
          <w:szCs w:val="24"/>
        </w:rPr>
        <w:t>41</w:t>
      </w:r>
      <w:r w:rsidRPr="00723CBD" w:rsidR="03B587A7">
        <w:rPr>
          <w:rFonts w:ascii="Times New Roman" w:eastAsia="Times New Roman" w:hAnsi="Times New Roman" w:cs="Times New Roman"/>
          <w:sz w:val="24"/>
          <w:szCs w:val="24"/>
        </w:rPr>
        <w:t>6,874.50</w:t>
      </w:r>
    </w:p>
    <w:p w:rsidR="00BF576C" w:rsidRPr="00723CBD" w:rsidP="00BF576C" w14:paraId="64390488"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BF576C" w:rsidRPr="00723CBD" w:rsidP="00BF576C" w14:paraId="7A6FD1B6" w14:textId="77777777">
      <w:pPr>
        <w:autoSpaceDE w:val="0"/>
        <w:autoSpaceDN w:val="0"/>
        <w:adjustRightInd w:val="0"/>
        <w:spacing w:after="0" w:line="240" w:lineRule="auto"/>
        <w:rPr>
          <w:rFonts w:ascii="Times New Roman" w:eastAsia="Times New Roman" w:hAnsi="Times New Roman" w:cs="Times New Roman"/>
          <w:b/>
          <w:sz w:val="24"/>
          <w:szCs w:val="24"/>
        </w:rPr>
      </w:pPr>
      <w:r w:rsidRPr="00723CBD">
        <w:rPr>
          <w:rFonts w:ascii="Times New Roman" w:eastAsia="Times New Roman" w:hAnsi="Times New Roman" w:cs="Times New Roman"/>
          <w:b/>
          <w:bCs/>
          <w:sz w:val="24"/>
          <w:szCs w:val="24"/>
        </w:rPr>
        <w:t>17. Decontamination program</w:t>
      </w:r>
    </w:p>
    <w:p w:rsidR="00BF576C" w:rsidRPr="00723CBD" w:rsidP="00BF576C" w14:paraId="2ECD1A12"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0D6DEE32" w14:textId="4B50CF59">
      <w:pPr>
        <w:autoSpaceDE w:val="0"/>
        <w:autoSpaceDN w:val="0"/>
        <w:adjustRightInd w:val="0"/>
        <w:spacing w:after="0" w:line="240" w:lineRule="auto"/>
        <w:rPr>
          <w:rFonts w:ascii="Times New Roman" w:eastAsia="Times New Roman" w:hAnsi="Times New Roman" w:cs="Times New Roman"/>
          <w:sz w:val="24"/>
          <w:szCs w:val="24"/>
        </w:rPr>
      </w:pPr>
      <w:r w:rsidRPr="00D91F68">
        <w:rPr>
          <w:rFonts w:ascii="Times New Roman" w:eastAsia="Times New Roman" w:hAnsi="Times New Roman" w:cs="Times New Roman"/>
          <w:sz w:val="24"/>
          <w:szCs w:val="24"/>
        </w:rPr>
        <w:t>Paragraph 1910.120(p)(4)</w:t>
      </w:r>
      <w:r w:rsidRPr="58460332">
        <w:rPr>
          <w:rFonts w:ascii="Times New Roman" w:eastAsia="Times New Roman" w:hAnsi="Times New Roman" w:cs="Times New Roman"/>
          <w:sz w:val="24"/>
          <w:szCs w:val="24"/>
        </w:rPr>
        <w:t xml:space="preserve"> requires RCRA TSD</w:t>
      </w:r>
      <w:r w:rsidRPr="58460332" w:rsidR="0E4C0DED">
        <w:rPr>
          <w:rFonts w:ascii="Times New Roman" w:eastAsia="Times New Roman" w:hAnsi="Times New Roman" w:cs="Times New Roman"/>
          <w:sz w:val="24"/>
          <w:szCs w:val="24"/>
        </w:rPr>
        <w:t>-</w:t>
      </w:r>
      <w:r w:rsidRPr="58460332">
        <w:rPr>
          <w:rFonts w:ascii="Times New Roman" w:eastAsia="Times New Roman" w:hAnsi="Times New Roman" w:cs="Times New Roman"/>
          <w:sz w:val="24"/>
          <w:szCs w:val="24"/>
        </w:rPr>
        <w:t>site employers to develop a decontamination program.</w:t>
      </w:r>
      <w:r w:rsidRPr="58460332" w:rsidR="78C65F60">
        <w:rPr>
          <w:rFonts w:ascii="Times New Roman" w:eastAsia="Times New Roman" w:hAnsi="Times New Roman" w:cs="Times New Roman"/>
          <w:sz w:val="24"/>
          <w:szCs w:val="24"/>
        </w:rPr>
        <w:t xml:space="preserve"> The agency assumes that </w:t>
      </w:r>
      <w:r w:rsidRPr="58460332" w:rsidR="383110C6">
        <w:rPr>
          <w:rFonts w:ascii="Times New Roman" w:eastAsia="Times New Roman" w:hAnsi="Times New Roman" w:cs="Times New Roman"/>
          <w:sz w:val="24"/>
          <w:szCs w:val="24"/>
        </w:rPr>
        <w:t>65% of</w:t>
      </w:r>
      <w:r w:rsidRPr="58460332" w:rsidR="78C65F60">
        <w:rPr>
          <w:rFonts w:ascii="Times New Roman" w:eastAsia="Times New Roman" w:hAnsi="Times New Roman" w:cs="Times New Roman"/>
          <w:sz w:val="24"/>
          <w:szCs w:val="24"/>
        </w:rPr>
        <w:t xml:space="preserve"> sites will have already completed this requirement and the</w:t>
      </w:r>
      <w:r w:rsidRPr="58460332" w:rsidR="3DCACA95">
        <w:rPr>
          <w:rFonts w:ascii="Times New Roman" w:eastAsia="Times New Roman" w:hAnsi="Times New Roman" w:cs="Times New Roman"/>
          <w:sz w:val="24"/>
          <w:szCs w:val="24"/>
        </w:rPr>
        <w:t xml:space="preserve"> remaining</w:t>
      </w:r>
      <w:r w:rsidRPr="58460332" w:rsidR="78C65F60">
        <w:rPr>
          <w:rFonts w:ascii="Times New Roman" w:eastAsia="Times New Roman" w:hAnsi="Times New Roman" w:cs="Times New Roman"/>
          <w:sz w:val="24"/>
          <w:szCs w:val="24"/>
        </w:rPr>
        <w:t xml:space="preserve"> </w:t>
      </w:r>
      <w:r w:rsidRPr="58460332" w:rsidR="682E694B">
        <w:rPr>
          <w:rFonts w:ascii="Times New Roman" w:eastAsia="Times New Roman" w:hAnsi="Times New Roman" w:cs="Times New Roman"/>
          <w:sz w:val="24"/>
          <w:szCs w:val="24"/>
        </w:rPr>
        <w:t>1,071</w:t>
      </w:r>
      <w:r w:rsidRPr="58460332" w:rsidR="78C65F60">
        <w:rPr>
          <w:rFonts w:ascii="Times New Roman" w:eastAsia="Times New Roman" w:hAnsi="Times New Roman" w:cs="Times New Roman"/>
          <w:sz w:val="24"/>
          <w:szCs w:val="24"/>
        </w:rPr>
        <w:t xml:space="preserve"> sites (3,059 x 35%</w:t>
      </w:r>
      <w:r w:rsidRPr="58460332" w:rsidR="05002F73">
        <w:rPr>
          <w:rFonts w:ascii="Times New Roman" w:eastAsia="Times New Roman" w:hAnsi="Times New Roman" w:cs="Times New Roman"/>
          <w:sz w:val="24"/>
          <w:szCs w:val="24"/>
        </w:rPr>
        <w:t>)</w:t>
      </w:r>
      <w:r w:rsidRPr="58460332" w:rsidR="7C819FB3">
        <w:rPr>
          <w:rFonts w:ascii="Times New Roman" w:eastAsia="Times New Roman" w:hAnsi="Times New Roman" w:cs="Times New Roman"/>
          <w:sz w:val="24"/>
          <w:szCs w:val="24"/>
        </w:rPr>
        <w:t xml:space="preserve"> </w:t>
      </w:r>
      <w:r w:rsidRPr="58460332" w:rsidR="78C65F60">
        <w:rPr>
          <w:rFonts w:ascii="Times New Roman" w:eastAsia="Times New Roman" w:hAnsi="Times New Roman" w:cs="Times New Roman"/>
          <w:sz w:val="24"/>
          <w:szCs w:val="24"/>
        </w:rPr>
        <w:t xml:space="preserve">will </w:t>
      </w:r>
      <w:r w:rsidRPr="58460332" w:rsidR="011890B0">
        <w:rPr>
          <w:rFonts w:ascii="Times New Roman" w:eastAsia="Times New Roman" w:hAnsi="Times New Roman" w:cs="Times New Roman"/>
          <w:sz w:val="24"/>
          <w:szCs w:val="24"/>
        </w:rPr>
        <w:t>require 6 hours to develop their programs.</w:t>
      </w:r>
    </w:p>
    <w:p w:rsidR="00BF576C" w:rsidRPr="00723CBD" w:rsidP="00BF576C" w14:paraId="4D57BCD8"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759E4FB2" w14:textId="55AF0458">
      <w:pPr>
        <w:autoSpaceDE w:val="0"/>
        <w:autoSpaceDN w:val="0"/>
        <w:adjustRightInd w:val="0"/>
        <w:spacing w:after="0" w:line="240" w:lineRule="auto"/>
        <w:ind w:firstLine="720"/>
        <w:rPr>
          <w:rFonts w:ascii="Times New Roman" w:eastAsia="Times New Roman" w:hAnsi="Times New Roman" w:cs="Times New Roman"/>
          <w:sz w:val="24"/>
          <w:szCs w:val="24"/>
        </w:rPr>
      </w:pPr>
      <w:r w:rsidRPr="5C516CCC">
        <w:rPr>
          <w:rFonts w:ascii="Times New Roman" w:eastAsia="Times New Roman" w:hAnsi="Times New Roman" w:cs="Times New Roman"/>
          <w:sz w:val="24"/>
          <w:szCs w:val="24"/>
        </w:rPr>
        <w:t>Burden hours:</w:t>
      </w:r>
      <w:r>
        <w:tab/>
      </w:r>
      <w:r w:rsidRPr="5C516CCC">
        <w:rPr>
          <w:rFonts w:ascii="Times New Roman" w:eastAsia="Times New Roman" w:hAnsi="Times New Roman" w:cs="Times New Roman"/>
          <w:sz w:val="24"/>
          <w:szCs w:val="24"/>
        </w:rPr>
        <w:t xml:space="preserve"> </w:t>
      </w:r>
      <w:r w:rsidRPr="5C516CCC" w:rsidR="06D16CD5">
        <w:rPr>
          <w:rFonts w:ascii="Times New Roman" w:eastAsia="Times New Roman" w:hAnsi="Times New Roman" w:cs="Times New Roman"/>
          <w:sz w:val="24"/>
          <w:szCs w:val="24"/>
        </w:rPr>
        <w:t>1,071</w:t>
      </w:r>
      <w:r w:rsidRPr="5C516CCC">
        <w:rPr>
          <w:rFonts w:ascii="Times New Roman" w:eastAsia="Times New Roman" w:hAnsi="Times New Roman" w:cs="Times New Roman"/>
          <w:sz w:val="24"/>
          <w:szCs w:val="24"/>
        </w:rPr>
        <w:t xml:space="preserve"> sites × 6 hours = 6,42</w:t>
      </w:r>
      <w:r w:rsidRPr="5C516CCC" w:rsidR="1E590ED3">
        <w:rPr>
          <w:rFonts w:ascii="Times New Roman" w:eastAsia="Times New Roman" w:hAnsi="Times New Roman" w:cs="Times New Roman"/>
          <w:sz w:val="24"/>
          <w:szCs w:val="24"/>
        </w:rPr>
        <w:t>6</w:t>
      </w:r>
      <w:r w:rsidRPr="5C516CCC">
        <w:rPr>
          <w:rFonts w:ascii="Times New Roman" w:eastAsia="Times New Roman" w:hAnsi="Times New Roman" w:cs="Times New Roman"/>
          <w:sz w:val="24"/>
          <w:szCs w:val="24"/>
        </w:rPr>
        <w:t xml:space="preserve"> hours</w:t>
      </w:r>
    </w:p>
    <w:p w:rsidR="00BF576C" w:rsidRPr="00723CBD" w:rsidP="00BF576C" w14:paraId="55644B2F" w14:textId="48908570">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sz w:val="24"/>
          <w:szCs w:val="24"/>
        </w:rPr>
        <w:tab/>
      </w:r>
      <w:r w:rsidRPr="00723CBD">
        <w:rPr>
          <w:rFonts w:ascii="Times New Roman" w:eastAsia="Times New Roman" w:hAnsi="Times New Roman" w:cs="Times New Roman"/>
          <w:sz w:val="24"/>
          <w:szCs w:val="24"/>
        </w:rPr>
        <w:tab/>
        <w:t xml:space="preserve">  Cost:</w:t>
      </w:r>
      <w:r w:rsidRPr="00723CBD">
        <w:rPr>
          <w:rFonts w:ascii="Times New Roman" w:eastAsia="Times New Roman" w:hAnsi="Times New Roman" w:cs="Times New Roman"/>
          <w:sz w:val="24"/>
          <w:szCs w:val="24"/>
        </w:rPr>
        <w:tab/>
        <w:t xml:space="preserve"> 6,42</w:t>
      </w:r>
      <w:r w:rsidRPr="00723CBD" w:rsidR="75614AB8">
        <w:rPr>
          <w:rFonts w:ascii="Times New Roman" w:eastAsia="Times New Roman" w:hAnsi="Times New Roman" w:cs="Times New Roman"/>
          <w:sz w:val="24"/>
          <w:szCs w:val="24"/>
        </w:rPr>
        <w:t>6</w:t>
      </w:r>
      <w:r w:rsidRPr="00723CBD">
        <w:rPr>
          <w:rFonts w:ascii="Times New Roman" w:eastAsia="Times New Roman" w:hAnsi="Times New Roman" w:cs="Times New Roman"/>
          <w:sz w:val="24"/>
          <w:szCs w:val="24"/>
        </w:rPr>
        <w:t xml:space="preserve"> hours x $</w:t>
      </w:r>
      <w:r w:rsidRPr="00723CBD" w:rsidR="006F5F36">
        <w:rPr>
          <w:rFonts w:ascii="Times New Roman" w:eastAsia="Times New Roman" w:hAnsi="Times New Roman" w:cs="Times New Roman"/>
          <w:sz w:val="24"/>
          <w:szCs w:val="24"/>
        </w:rPr>
        <w:t>53.70</w:t>
      </w:r>
      <w:r w:rsidRPr="00723CBD" w:rsidR="006565FD">
        <w:rPr>
          <w:rFonts w:ascii="Times New Roman" w:eastAsia="Times New Roman" w:hAnsi="Times New Roman" w:cs="Times New Roman"/>
          <w:sz w:val="24"/>
          <w:szCs w:val="24"/>
        </w:rPr>
        <w:t xml:space="preserve"> = $</w:t>
      </w:r>
      <w:r w:rsidRPr="00723CBD" w:rsidR="00D913B9">
        <w:rPr>
          <w:rFonts w:ascii="Times New Roman" w:eastAsia="Times New Roman" w:hAnsi="Times New Roman" w:cs="Times New Roman"/>
          <w:sz w:val="24"/>
          <w:szCs w:val="24"/>
        </w:rPr>
        <w:t>3</w:t>
      </w:r>
      <w:r w:rsidRPr="00723CBD" w:rsidR="0082035B">
        <w:rPr>
          <w:rFonts w:ascii="Times New Roman" w:eastAsia="Times New Roman" w:hAnsi="Times New Roman" w:cs="Times New Roman"/>
          <w:sz w:val="24"/>
          <w:szCs w:val="24"/>
        </w:rPr>
        <w:t>4</w:t>
      </w:r>
      <w:r w:rsidRPr="00723CBD" w:rsidR="5558243A">
        <w:rPr>
          <w:rFonts w:ascii="Times New Roman" w:eastAsia="Times New Roman" w:hAnsi="Times New Roman" w:cs="Times New Roman"/>
          <w:sz w:val="24"/>
          <w:szCs w:val="24"/>
        </w:rPr>
        <w:t>5,076.20</w:t>
      </w:r>
    </w:p>
    <w:p w:rsidR="00BF576C" w:rsidRPr="00723CBD" w:rsidP="00BF576C" w14:paraId="03A53D18"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75256E39" w14:textId="77777777">
      <w:pPr>
        <w:rPr>
          <w:rFonts w:ascii="Times New Roman" w:eastAsia="Times New Roman" w:hAnsi="Times New Roman" w:cs="Times New Roman"/>
          <w:b/>
          <w:bCs/>
          <w:sz w:val="24"/>
          <w:szCs w:val="24"/>
        </w:rPr>
      </w:pPr>
      <w:r w:rsidRPr="00723CBD">
        <w:rPr>
          <w:rFonts w:ascii="Times New Roman" w:eastAsia="Times New Roman" w:hAnsi="Times New Roman" w:cs="Times New Roman"/>
          <w:b/>
          <w:bCs/>
          <w:sz w:val="24"/>
          <w:szCs w:val="24"/>
        </w:rPr>
        <w:t>18. New technology program</w:t>
      </w:r>
    </w:p>
    <w:p w:rsidR="00BF576C" w:rsidRPr="00723CBD" w:rsidP="58460332" w14:paraId="38027CDD" w14:textId="60CF0664">
      <w:pPr>
        <w:autoSpaceDE w:val="0"/>
        <w:autoSpaceDN w:val="0"/>
        <w:adjustRightInd w:val="0"/>
        <w:spacing w:after="0" w:line="240" w:lineRule="auto"/>
        <w:rPr>
          <w:rFonts w:ascii="Times New Roman" w:eastAsia="Times New Roman" w:hAnsi="Times New Roman" w:cs="Times New Roman"/>
          <w:sz w:val="24"/>
          <w:szCs w:val="24"/>
        </w:rPr>
      </w:pPr>
      <w:r w:rsidRPr="00D91F68">
        <w:rPr>
          <w:rFonts w:ascii="Times New Roman" w:eastAsia="Times New Roman" w:hAnsi="Times New Roman" w:cs="Times New Roman"/>
          <w:sz w:val="24"/>
          <w:szCs w:val="24"/>
        </w:rPr>
        <w:t>Paragraph 1910.120(p)(5)</w:t>
      </w:r>
      <w:r w:rsidRPr="58460332">
        <w:rPr>
          <w:rFonts w:ascii="Times New Roman" w:eastAsia="Times New Roman" w:hAnsi="Times New Roman" w:cs="Times New Roman"/>
          <w:sz w:val="24"/>
          <w:szCs w:val="24"/>
        </w:rPr>
        <w:t xml:space="preserve"> requires the employer to develop and implement procedures meeting the requirements of paragraph (o) of this section (i.e., introducing new and innovative equipment into the workplace).</w:t>
      </w:r>
      <w:r w:rsidRPr="58460332" w:rsidR="031B6C40">
        <w:rPr>
          <w:rFonts w:ascii="Times New Roman" w:eastAsia="Times New Roman" w:hAnsi="Times New Roman" w:cs="Times New Roman"/>
          <w:sz w:val="24"/>
          <w:szCs w:val="24"/>
        </w:rPr>
        <w:t xml:space="preserve"> The agency assumes that </w:t>
      </w:r>
      <w:r w:rsidRPr="58460332" w:rsidR="21C6C6E5">
        <w:rPr>
          <w:rFonts w:ascii="Times New Roman" w:eastAsia="Times New Roman" w:hAnsi="Times New Roman" w:cs="Times New Roman"/>
          <w:sz w:val="24"/>
          <w:szCs w:val="24"/>
        </w:rPr>
        <w:t>65% of</w:t>
      </w:r>
      <w:r w:rsidRPr="58460332" w:rsidR="031B6C40">
        <w:rPr>
          <w:rFonts w:ascii="Times New Roman" w:eastAsia="Times New Roman" w:hAnsi="Times New Roman" w:cs="Times New Roman"/>
          <w:sz w:val="24"/>
          <w:szCs w:val="24"/>
        </w:rPr>
        <w:t xml:space="preserve"> sites will have already completed this requirement and the </w:t>
      </w:r>
      <w:r w:rsidRPr="58460332" w:rsidR="4A23F7C8">
        <w:rPr>
          <w:rFonts w:ascii="Times New Roman" w:eastAsia="Times New Roman" w:hAnsi="Times New Roman" w:cs="Times New Roman"/>
          <w:sz w:val="24"/>
          <w:szCs w:val="24"/>
        </w:rPr>
        <w:t xml:space="preserve">remaining </w:t>
      </w:r>
      <w:r w:rsidRPr="58460332" w:rsidR="031B6C40">
        <w:rPr>
          <w:rFonts w:ascii="Times New Roman" w:eastAsia="Times New Roman" w:hAnsi="Times New Roman" w:cs="Times New Roman"/>
          <w:sz w:val="24"/>
          <w:szCs w:val="24"/>
        </w:rPr>
        <w:t>1,071 sites (3,059 x 35%) will require 6 hours to develop their programs.</w:t>
      </w:r>
    </w:p>
    <w:p w:rsidR="00BF576C" w:rsidRPr="00723CBD" w:rsidP="00BF576C" w14:paraId="527D0360"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1210E917" w14:paraId="26859C5E" w14:textId="24B75AA1">
      <w:pPr>
        <w:spacing w:after="0" w:line="240" w:lineRule="auto"/>
        <w:ind w:firstLine="720"/>
        <w:rPr>
          <w:rFonts w:ascii="Times New Roman" w:eastAsia="Times New Roman" w:hAnsi="Times New Roman" w:cs="Times New Roman"/>
          <w:sz w:val="24"/>
          <w:szCs w:val="24"/>
        </w:rPr>
      </w:pPr>
      <w:r w:rsidRPr="58460332">
        <w:rPr>
          <w:rFonts w:ascii="Times New Roman" w:eastAsia="Times New Roman" w:hAnsi="Times New Roman" w:cs="Times New Roman"/>
          <w:sz w:val="24"/>
          <w:szCs w:val="24"/>
        </w:rPr>
        <w:t>Burden hours:</w:t>
      </w:r>
      <w:r>
        <w:tab/>
      </w:r>
      <w:r w:rsidRPr="58460332">
        <w:rPr>
          <w:rFonts w:ascii="Times New Roman" w:eastAsia="Times New Roman" w:hAnsi="Times New Roman" w:cs="Times New Roman"/>
          <w:sz w:val="24"/>
          <w:szCs w:val="24"/>
        </w:rPr>
        <w:t xml:space="preserve"> </w:t>
      </w:r>
      <w:r w:rsidRPr="58460332" w:rsidR="70A061D5">
        <w:rPr>
          <w:rFonts w:ascii="Times New Roman" w:eastAsia="Times New Roman" w:hAnsi="Times New Roman" w:cs="Times New Roman"/>
          <w:sz w:val="24"/>
          <w:szCs w:val="24"/>
        </w:rPr>
        <w:t>1,071</w:t>
      </w:r>
      <w:r w:rsidRPr="58460332">
        <w:rPr>
          <w:rFonts w:ascii="Times New Roman" w:eastAsia="Times New Roman" w:hAnsi="Times New Roman" w:cs="Times New Roman"/>
          <w:sz w:val="24"/>
          <w:szCs w:val="24"/>
        </w:rPr>
        <w:t xml:space="preserve"> sites × 6 hours per site = 6,42</w:t>
      </w:r>
      <w:r w:rsidRPr="58460332" w:rsidR="124F9AA6">
        <w:rPr>
          <w:rFonts w:ascii="Times New Roman" w:eastAsia="Times New Roman" w:hAnsi="Times New Roman" w:cs="Times New Roman"/>
          <w:sz w:val="24"/>
          <w:szCs w:val="24"/>
        </w:rPr>
        <w:t>6</w:t>
      </w:r>
      <w:r w:rsidRPr="58460332">
        <w:rPr>
          <w:rFonts w:ascii="Times New Roman" w:eastAsia="Times New Roman" w:hAnsi="Times New Roman" w:cs="Times New Roman"/>
          <w:sz w:val="24"/>
          <w:szCs w:val="24"/>
        </w:rPr>
        <w:t xml:space="preserve"> hours</w:t>
      </w:r>
    </w:p>
    <w:p w:rsidR="00BF576C" w:rsidRPr="00723CBD" w:rsidP="00BF576C" w14:paraId="633C2E32" w14:textId="1A32408D">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sz w:val="24"/>
          <w:szCs w:val="24"/>
        </w:rPr>
        <w:tab/>
      </w:r>
      <w:r w:rsidRPr="00723CBD">
        <w:rPr>
          <w:rFonts w:ascii="Times New Roman" w:eastAsia="Times New Roman" w:hAnsi="Times New Roman" w:cs="Times New Roman"/>
          <w:sz w:val="24"/>
          <w:szCs w:val="24"/>
        </w:rPr>
        <w:tab/>
        <w:t xml:space="preserve">  Cost:</w:t>
      </w:r>
      <w:r w:rsidRPr="00723CBD">
        <w:rPr>
          <w:rFonts w:ascii="Times New Roman" w:eastAsia="Times New Roman" w:hAnsi="Times New Roman" w:cs="Times New Roman"/>
          <w:sz w:val="24"/>
          <w:szCs w:val="24"/>
        </w:rPr>
        <w:tab/>
        <w:t xml:space="preserve"> 6,42</w:t>
      </w:r>
      <w:r w:rsidRPr="00723CBD" w:rsidR="268C287E">
        <w:rPr>
          <w:rFonts w:ascii="Times New Roman" w:eastAsia="Times New Roman" w:hAnsi="Times New Roman" w:cs="Times New Roman"/>
          <w:sz w:val="24"/>
          <w:szCs w:val="24"/>
        </w:rPr>
        <w:t>6</w:t>
      </w:r>
      <w:r w:rsidRPr="00723CBD">
        <w:rPr>
          <w:rFonts w:ascii="Times New Roman" w:eastAsia="Times New Roman" w:hAnsi="Times New Roman" w:cs="Times New Roman"/>
          <w:sz w:val="24"/>
          <w:szCs w:val="24"/>
        </w:rPr>
        <w:t xml:space="preserve"> hours x $</w:t>
      </w:r>
      <w:r w:rsidRPr="00723CBD" w:rsidR="006F5F36">
        <w:rPr>
          <w:rFonts w:ascii="Times New Roman" w:eastAsia="Times New Roman" w:hAnsi="Times New Roman" w:cs="Times New Roman"/>
          <w:sz w:val="24"/>
          <w:szCs w:val="24"/>
        </w:rPr>
        <w:t>53.70</w:t>
      </w:r>
      <w:r w:rsidRPr="00723CBD">
        <w:rPr>
          <w:rFonts w:ascii="Times New Roman" w:eastAsia="Times New Roman" w:hAnsi="Times New Roman" w:cs="Times New Roman"/>
          <w:sz w:val="24"/>
          <w:szCs w:val="24"/>
        </w:rPr>
        <w:t xml:space="preserve"> = $</w:t>
      </w:r>
      <w:r w:rsidRPr="00723CBD" w:rsidR="00D913B9">
        <w:rPr>
          <w:rFonts w:ascii="Times New Roman" w:eastAsia="Times New Roman" w:hAnsi="Times New Roman" w:cs="Times New Roman"/>
          <w:sz w:val="24"/>
          <w:szCs w:val="24"/>
        </w:rPr>
        <w:t>3</w:t>
      </w:r>
      <w:r w:rsidRPr="00723CBD" w:rsidR="0082035B">
        <w:rPr>
          <w:rFonts w:ascii="Times New Roman" w:eastAsia="Times New Roman" w:hAnsi="Times New Roman" w:cs="Times New Roman"/>
          <w:sz w:val="24"/>
          <w:szCs w:val="24"/>
        </w:rPr>
        <w:t>4</w:t>
      </w:r>
      <w:r w:rsidRPr="00723CBD" w:rsidR="11928F8D">
        <w:rPr>
          <w:rFonts w:ascii="Times New Roman" w:eastAsia="Times New Roman" w:hAnsi="Times New Roman" w:cs="Times New Roman"/>
          <w:sz w:val="24"/>
          <w:szCs w:val="24"/>
        </w:rPr>
        <w:t>5,076.20</w:t>
      </w:r>
    </w:p>
    <w:p w:rsidR="00BF576C" w:rsidRPr="00723CBD" w:rsidP="00BF576C" w14:paraId="16C52323"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23E1A991" w14:textId="77777777">
      <w:pPr>
        <w:autoSpaceDE w:val="0"/>
        <w:autoSpaceDN w:val="0"/>
        <w:adjustRightInd w:val="0"/>
        <w:spacing w:after="0" w:line="240" w:lineRule="auto"/>
        <w:rPr>
          <w:rFonts w:ascii="Times New Roman" w:eastAsia="Times New Roman" w:hAnsi="Times New Roman" w:cs="Times New Roman"/>
          <w:b/>
          <w:sz w:val="24"/>
          <w:szCs w:val="24"/>
        </w:rPr>
      </w:pPr>
      <w:r w:rsidRPr="00723CBD">
        <w:rPr>
          <w:rFonts w:ascii="Times New Roman" w:eastAsia="Times New Roman" w:hAnsi="Times New Roman" w:cs="Times New Roman"/>
          <w:b/>
          <w:bCs/>
          <w:sz w:val="24"/>
          <w:szCs w:val="24"/>
        </w:rPr>
        <w:t>19. Material handling program</w:t>
      </w:r>
    </w:p>
    <w:p w:rsidR="00BF576C" w:rsidRPr="00723CBD" w:rsidP="00BF576C" w14:paraId="2332EDD4" w14:textId="77777777">
      <w:pPr>
        <w:autoSpaceDE w:val="0"/>
        <w:autoSpaceDN w:val="0"/>
        <w:adjustRightInd w:val="0"/>
        <w:spacing w:after="0" w:line="240" w:lineRule="auto"/>
        <w:rPr>
          <w:rFonts w:ascii="Times New Roman" w:eastAsia="Times New Roman" w:hAnsi="Times New Roman" w:cs="Times New Roman"/>
          <w:sz w:val="24"/>
          <w:szCs w:val="24"/>
          <w:u w:val="single"/>
        </w:rPr>
      </w:pPr>
    </w:p>
    <w:p w:rsidR="00BF576C" w:rsidRPr="00723CBD" w:rsidP="58460332" w14:paraId="73DAA2CC" w14:textId="2982304E">
      <w:pPr>
        <w:autoSpaceDE w:val="0"/>
        <w:autoSpaceDN w:val="0"/>
        <w:adjustRightInd w:val="0"/>
        <w:spacing w:after="0" w:line="240" w:lineRule="auto"/>
        <w:rPr>
          <w:rFonts w:ascii="Times New Roman" w:eastAsia="Times New Roman" w:hAnsi="Times New Roman" w:cs="Times New Roman"/>
          <w:sz w:val="24"/>
          <w:szCs w:val="24"/>
        </w:rPr>
      </w:pPr>
      <w:r w:rsidRPr="00D91F68">
        <w:rPr>
          <w:rFonts w:ascii="Times New Roman" w:eastAsia="Times New Roman" w:hAnsi="Times New Roman" w:cs="Times New Roman"/>
          <w:sz w:val="24"/>
          <w:szCs w:val="24"/>
        </w:rPr>
        <w:t>Paragraph 1910.120(p)(6)</w:t>
      </w:r>
      <w:r w:rsidRPr="58460332">
        <w:rPr>
          <w:rFonts w:ascii="Times New Roman" w:eastAsia="Times New Roman" w:hAnsi="Times New Roman" w:cs="Times New Roman"/>
          <w:sz w:val="24"/>
          <w:szCs w:val="24"/>
        </w:rPr>
        <w:t xml:space="preserve"> requires employers whose employees will be handling drums or containers to develop and implement procedures meeting the requirements of paragraphs 1910.120(j)(1)(ii) through (viii), (j)(1)(xi), (j)(3) and (j)(8) of this section prior to the employees starting such work.</w:t>
      </w:r>
      <w:r w:rsidRPr="58460332" w:rsidR="5856E7AD">
        <w:rPr>
          <w:rFonts w:ascii="Times New Roman" w:eastAsia="Times New Roman" w:hAnsi="Times New Roman" w:cs="Times New Roman"/>
          <w:sz w:val="24"/>
          <w:szCs w:val="24"/>
        </w:rPr>
        <w:t xml:space="preserve"> The agency assumes that existing sites will have already completed this requirement and the 1,071 new sites (3,059 x 35%) will require 6 hours to develop their programs.</w:t>
      </w:r>
    </w:p>
    <w:p w:rsidR="00BF576C" w:rsidRPr="00723CBD" w:rsidP="00BF576C" w14:paraId="25A46293"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1210E917" w14:paraId="4D90B6BC" w14:textId="7E9E46B0">
      <w:pPr>
        <w:spacing w:after="0" w:line="240" w:lineRule="auto"/>
        <w:ind w:firstLine="720"/>
        <w:rPr>
          <w:rFonts w:ascii="Times New Roman" w:eastAsia="Times New Roman" w:hAnsi="Times New Roman" w:cs="Times New Roman"/>
          <w:b/>
          <w:bCs/>
          <w:sz w:val="24"/>
          <w:szCs w:val="24"/>
        </w:rPr>
      </w:pPr>
      <w:r w:rsidRPr="58460332">
        <w:rPr>
          <w:rFonts w:ascii="Times New Roman" w:eastAsia="Times New Roman" w:hAnsi="Times New Roman" w:cs="Times New Roman"/>
          <w:sz w:val="24"/>
          <w:szCs w:val="24"/>
        </w:rPr>
        <w:t>Burden hours:</w:t>
      </w:r>
      <w:r>
        <w:tab/>
      </w:r>
      <w:r w:rsidRPr="58460332" w:rsidR="532004F6">
        <w:rPr>
          <w:rFonts w:ascii="Times New Roman" w:eastAsia="Times New Roman" w:hAnsi="Times New Roman" w:cs="Times New Roman"/>
          <w:sz w:val="24"/>
          <w:szCs w:val="24"/>
        </w:rPr>
        <w:t>1,071</w:t>
      </w:r>
      <w:r w:rsidRPr="58460332">
        <w:rPr>
          <w:rFonts w:ascii="Times New Roman" w:eastAsia="Times New Roman" w:hAnsi="Times New Roman" w:cs="Times New Roman"/>
          <w:sz w:val="24"/>
          <w:szCs w:val="24"/>
        </w:rPr>
        <w:t xml:space="preserve"> sites × 6 hours per site = 6,42</w:t>
      </w:r>
      <w:r w:rsidRPr="58460332" w:rsidR="318CDA8C">
        <w:rPr>
          <w:rFonts w:ascii="Times New Roman" w:eastAsia="Times New Roman" w:hAnsi="Times New Roman" w:cs="Times New Roman"/>
          <w:sz w:val="24"/>
          <w:szCs w:val="24"/>
        </w:rPr>
        <w:t>6</w:t>
      </w:r>
      <w:r w:rsidRPr="58460332">
        <w:rPr>
          <w:rFonts w:ascii="Times New Roman" w:eastAsia="Times New Roman" w:hAnsi="Times New Roman" w:cs="Times New Roman"/>
          <w:sz w:val="24"/>
          <w:szCs w:val="24"/>
        </w:rPr>
        <w:t xml:space="preserve"> hours</w:t>
      </w:r>
    </w:p>
    <w:p w:rsidR="00BF576C" w:rsidRPr="00723CBD" w:rsidP="00BF576C" w14:paraId="4E7788B1" w14:textId="1AF86DA7">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b/>
          <w:sz w:val="24"/>
          <w:szCs w:val="24"/>
        </w:rPr>
        <w:tab/>
      </w:r>
      <w:r w:rsidRPr="00723CBD">
        <w:rPr>
          <w:rFonts w:ascii="Times New Roman" w:eastAsia="Times New Roman" w:hAnsi="Times New Roman" w:cs="Times New Roman"/>
          <w:b/>
          <w:sz w:val="24"/>
          <w:szCs w:val="24"/>
        </w:rPr>
        <w:tab/>
      </w:r>
      <w:r w:rsidRPr="58460332">
        <w:rPr>
          <w:rFonts w:ascii="Times New Roman" w:eastAsia="Times New Roman" w:hAnsi="Times New Roman" w:cs="Times New Roman"/>
          <w:b/>
          <w:bCs/>
          <w:sz w:val="24"/>
          <w:szCs w:val="24"/>
        </w:rPr>
        <w:t xml:space="preserve">  </w:t>
      </w:r>
      <w:r w:rsidRPr="1210E917">
        <w:rPr>
          <w:rFonts w:ascii="Times New Roman" w:eastAsia="Times New Roman" w:hAnsi="Times New Roman" w:cs="Times New Roman"/>
          <w:sz w:val="24"/>
          <w:szCs w:val="24"/>
        </w:rPr>
        <w:t>Cost:</w:t>
      </w:r>
      <w:r w:rsidRPr="00723CBD">
        <w:rPr>
          <w:rFonts w:ascii="Times New Roman" w:eastAsia="Times New Roman" w:hAnsi="Times New Roman" w:cs="Times New Roman"/>
          <w:sz w:val="24"/>
          <w:szCs w:val="24"/>
        </w:rPr>
        <w:t xml:space="preserve"> 6,42</w:t>
      </w:r>
      <w:r w:rsidRPr="638B37EC" w:rsidR="4CE52473">
        <w:rPr>
          <w:rFonts w:ascii="Times New Roman" w:eastAsia="Times New Roman" w:hAnsi="Times New Roman" w:cs="Times New Roman"/>
          <w:sz w:val="24"/>
          <w:szCs w:val="24"/>
        </w:rPr>
        <w:t>6</w:t>
      </w:r>
      <w:r w:rsidRPr="00723CBD">
        <w:rPr>
          <w:rFonts w:ascii="Times New Roman" w:eastAsia="Times New Roman" w:hAnsi="Times New Roman" w:cs="Times New Roman"/>
          <w:sz w:val="24"/>
          <w:szCs w:val="24"/>
        </w:rPr>
        <w:t xml:space="preserve"> hours x $</w:t>
      </w:r>
      <w:r w:rsidRPr="00723CBD" w:rsidR="006F5F36">
        <w:rPr>
          <w:rFonts w:ascii="Times New Roman" w:eastAsia="Times New Roman" w:hAnsi="Times New Roman" w:cs="Times New Roman"/>
          <w:sz w:val="24"/>
          <w:szCs w:val="24"/>
        </w:rPr>
        <w:t>53.70</w:t>
      </w:r>
      <w:r w:rsidRPr="00723CBD">
        <w:rPr>
          <w:rFonts w:ascii="Times New Roman" w:eastAsia="Times New Roman" w:hAnsi="Times New Roman" w:cs="Times New Roman"/>
          <w:sz w:val="24"/>
          <w:szCs w:val="24"/>
        </w:rPr>
        <w:t xml:space="preserve"> = $</w:t>
      </w:r>
      <w:r w:rsidRPr="00723CBD" w:rsidR="00D913B9">
        <w:rPr>
          <w:rFonts w:ascii="Times New Roman" w:eastAsia="Times New Roman" w:hAnsi="Times New Roman" w:cs="Times New Roman"/>
          <w:sz w:val="24"/>
          <w:szCs w:val="24"/>
        </w:rPr>
        <w:t>3</w:t>
      </w:r>
      <w:r w:rsidRPr="00723CBD" w:rsidR="005F678C">
        <w:rPr>
          <w:rFonts w:ascii="Times New Roman" w:eastAsia="Times New Roman" w:hAnsi="Times New Roman" w:cs="Times New Roman"/>
          <w:sz w:val="24"/>
          <w:szCs w:val="24"/>
        </w:rPr>
        <w:t>4</w:t>
      </w:r>
      <w:r w:rsidRPr="00723CBD" w:rsidR="762282B5">
        <w:rPr>
          <w:rFonts w:ascii="Times New Roman" w:eastAsia="Times New Roman" w:hAnsi="Times New Roman" w:cs="Times New Roman"/>
          <w:sz w:val="24"/>
          <w:szCs w:val="24"/>
        </w:rPr>
        <w:t>5,076.20</w:t>
      </w:r>
    </w:p>
    <w:p w:rsidR="00BF576C" w:rsidRPr="00723CBD" w:rsidP="00BF576C" w14:paraId="5AC3DE3E"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2731D89A" w14:textId="77777777">
      <w:pPr>
        <w:autoSpaceDE w:val="0"/>
        <w:autoSpaceDN w:val="0"/>
        <w:adjustRightInd w:val="0"/>
        <w:spacing w:after="0" w:line="240" w:lineRule="auto"/>
        <w:rPr>
          <w:rFonts w:ascii="Times New Roman" w:eastAsia="Times New Roman" w:hAnsi="Times New Roman" w:cs="Times New Roman"/>
          <w:b/>
          <w:sz w:val="24"/>
          <w:szCs w:val="24"/>
        </w:rPr>
      </w:pPr>
      <w:r w:rsidRPr="00723CBD">
        <w:rPr>
          <w:rFonts w:ascii="Times New Roman" w:eastAsia="Times New Roman" w:hAnsi="Times New Roman" w:cs="Times New Roman"/>
          <w:b/>
          <w:sz w:val="24"/>
          <w:szCs w:val="24"/>
        </w:rPr>
        <w:t>Updating plans and procedures</w:t>
      </w:r>
    </w:p>
    <w:p w:rsidR="00BF576C" w:rsidRPr="00723CBD" w:rsidP="00BF576C" w14:paraId="3E4F4AE3"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02F8B020" w14:textId="28508D7B">
      <w:pPr>
        <w:autoSpaceDE w:val="0"/>
        <w:autoSpaceDN w:val="0"/>
        <w:adjustRightInd w:val="0"/>
        <w:spacing w:after="0" w:line="240" w:lineRule="auto"/>
        <w:rPr>
          <w:rFonts w:ascii="Times New Roman" w:eastAsia="Times New Roman" w:hAnsi="Times New Roman" w:cs="Times New Roman"/>
          <w:sz w:val="24"/>
          <w:szCs w:val="24"/>
        </w:rPr>
      </w:pPr>
      <w:r w:rsidRPr="638B37EC">
        <w:rPr>
          <w:rFonts w:ascii="Times New Roman" w:eastAsia="Times New Roman" w:hAnsi="Times New Roman" w:cs="Times New Roman"/>
          <w:sz w:val="24"/>
          <w:szCs w:val="24"/>
        </w:rPr>
        <w:t xml:space="preserve">In addition, the </w:t>
      </w:r>
      <w:r w:rsidRPr="638B37EC" w:rsidR="4534F3CD">
        <w:rPr>
          <w:rFonts w:ascii="Times New Roman" w:eastAsia="Times New Roman" w:hAnsi="Times New Roman" w:cs="Times New Roman"/>
          <w:sz w:val="24"/>
          <w:szCs w:val="24"/>
        </w:rPr>
        <w:t>a</w:t>
      </w:r>
      <w:r w:rsidRPr="638B37EC">
        <w:rPr>
          <w:rFonts w:ascii="Times New Roman" w:eastAsia="Times New Roman" w:hAnsi="Times New Roman" w:cs="Times New Roman"/>
          <w:sz w:val="24"/>
          <w:szCs w:val="24"/>
        </w:rPr>
        <w:t>gency estimates that 10</w:t>
      </w:r>
      <w:r w:rsidRPr="638B37EC" w:rsidR="3774AA3C">
        <w:rPr>
          <w:rFonts w:ascii="Times New Roman" w:eastAsia="Times New Roman" w:hAnsi="Times New Roman" w:cs="Times New Roman"/>
          <w:sz w:val="24"/>
          <w:szCs w:val="24"/>
        </w:rPr>
        <w:t>%</w:t>
      </w:r>
      <w:r w:rsidRPr="638B37EC">
        <w:rPr>
          <w:rFonts w:ascii="Times New Roman" w:eastAsia="Times New Roman" w:hAnsi="Times New Roman" w:cs="Times New Roman"/>
          <w:sz w:val="24"/>
          <w:szCs w:val="24"/>
        </w:rPr>
        <w:t xml:space="preserve"> of new employers (306</w:t>
      </w:r>
      <w:r w:rsidRPr="638B37EC" w:rsidR="6A9C080F">
        <w:rPr>
          <w:rFonts w:ascii="Times New Roman" w:eastAsia="Times New Roman" w:hAnsi="Times New Roman" w:cs="Times New Roman"/>
          <w:sz w:val="24"/>
          <w:szCs w:val="24"/>
        </w:rPr>
        <w:t xml:space="preserve"> employers</w:t>
      </w:r>
      <w:r w:rsidRPr="638B37EC">
        <w:rPr>
          <w:rFonts w:ascii="Times New Roman" w:eastAsia="Times New Roman" w:hAnsi="Times New Roman" w:cs="Times New Roman"/>
          <w:sz w:val="24"/>
          <w:szCs w:val="24"/>
        </w:rPr>
        <w:t>) will need to update their decontamination plans (Item 19), their new technology program procedures (Item 20), and/or their material handling program procedures (Item 21)</w:t>
      </w:r>
      <w:r w:rsidRPr="638B37EC" w:rsidR="07DC6467">
        <w:rPr>
          <w:rFonts w:ascii="Times New Roman" w:eastAsia="Times New Roman" w:hAnsi="Times New Roman" w:cs="Times New Roman"/>
          <w:sz w:val="24"/>
          <w:szCs w:val="24"/>
        </w:rPr>
        <w:t>,</w:t>
      </w:r>
      <w:r w:rsidRPr="638B37EC">
        <w:rPr>
          <w:rFonts w:ascii="Times New Roman" w:eastAsia="Times New Roman" w:hAnsi="Times New Roman" w:cs="Times New Roman"/>
          <w:sz w:val="24"/>
          <w:szCs w:val="24"/>
        </w:rPr>
        <w:t xml:space="preserve"> and that it will take 2 hours to do so.</w:t>
      </w:r>
    </w:p>
    <w:p w:rsidR="00BF576C" w:rsidRPr="00723CBD" w:rsidP="00BF576C" w14:paraId="19895DF2"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1210E917" w14:paraId="27E6D3AD" w14:textId="3428B78F">
      <w:pPr>
        <w:spacing w:after="0" w:line="240" w:lineRule="auto"/>
        <w:ind w:firstLine="720"/>
        <w:rPr>
          <w:rFonts w:ascii="Times New Roman" w:eastAsia="Times New Roman" w:hAnsi="Times New Roman" w:cs="Times New Roman"/>
          <w:sz w:val="24"/>
          <w:szCs w:val="24"/>
        </w:rPr>
      </w:pPr>
      <w:r w:rsidRPr="638B37EC">
        <w:rPr>
          <w:rFonts w:ascii="Times New Roman" w:eastAsia="Times New Roman" w:hAnsi="Times New Roman" w:cs="Times New Roman"/>
          <w:sz w:val="24"/>
          <w:szCs w:val="24"/>
        </w:rPr>
        <w:t>Burden hours: 306 x 2 hours = 612</w:t>
      </w:r>
      <w:r w:rsidRPr="638B37EC" w:rsidR="5FDD82CA">
        <w:rPr>
          <w:rFonts w:ascii="Times New Roman" w:eastAsia="Times New Roman" w:hAnsi="Times New Roman" w:cs="Times New Roman"/>
          <w:sz w:val="24"/>
          <w:szCs w:val="24"/>
        </w:rPr>
        <w:t xml:space="preserve"> hours</w:t>
      </w:r>
    </w:p>
    <w:p w:rsidR="00BF576C" w:rsidRPr="00723CBD" w:rsidP="0466994E" w14:paraId="0F4570FA" w14:textId="6B21FDD7">
      <w:pPr>
        <w:tabs>
          <w:tab w:val="left" w:pos="720"/>
          <w:tab w:val="left" w:pos="1440"/>
          <w:tab w:val="left" w:pos="2160"/>
          <w:tab w:val="left" w:pos="2880"/>
          <w:tab w:val="left" w:pos="3600"/>
          <w:tab w:val="left" w:pos="4320"/>
          <w:tab w:val="left" w:pos="4800"/>
        </w:tabs>
        <w:autoSpaceDE w:val="0"/>
        <w:autoSpaceDN w:val="0"/>
        <w:adjustRightInd w:val="0"/>
        <w:spacing w:after="0" w:line="240" w:lineRule="auto"/>
        <w:rPr>
          <w:rFonts w:ascii="Times New Roman" w:eastAsia="Times New Roman" w:hAnsi="Times New Roman" w:cs="Times New Roman"/>
          <w:b/>
          <w:bCs/>
          <w:sz w:val="24"/>
          <w:szCs w:val="24"/>
        </w:rPr>
      </w:pPr>
      <w:r w:rsidRPr="00723CBD">
        <w:rPr>
          <w:rFonts w:ascii="Times New Roman" w:eastAsia="Times New Roman" w:hAnsi="Times New Roman" w:cs="Times New Roman"/>
          <w:sz w:val="24"/>
          <w:szCs w:val="24"/>
        </w:rPr>
        <w:tab/>
      </w:r>
      <w:r w:rsidRPr="00723CBD">
        <w:rPr>
          <w:rFonts w:ascii="Times New Roman" w:eastAsia="Times New Roman" w:hAnsi="Times New Roman" w:cs="Times New Roman"/>
          <w:sz w:val="24"/>
          <w:szCs w:val="24"/>
        </w:rPr>
        <w:tab/>
        <w:t xml:space="preserve">  Cost: 612 hours x $</w:t>
      </w:r>
      <w:r w:rsidRPr="00723CBD" w:rsidR="006F5F36">
        <w:rPr>
          <w:rFonts w:ascii="Times New Roman" w:eastAsia="Times New Roman" w:hAnsi="Times New Roman" w:cs="Times New Roman"/>
          <w:sz w:val="24"/>
          <w:szCs w:val="24"/>
        </w:rPr>
        <w:t>53.70</w:t>
      </w:r>
      <w:r w:rsidRPr="00723CBD">
        <w:rPr>
          <w:rFonts w:ascii="Times New Roman" w:eastAsia="Times New Roman" w:hAnsi="Times New Roman" w:cs="Times New Roman"/>
          <w:sz w:val="24"/>
          <w:szCs w:val="24"/>
        </w:rPr>
        <w:t xml:space="preserve"> = $</w:t>
      </w:r>
      <w:r w:rsidRPr="00723CBD" w:rsidR="001168FD">
        <w:rPr>
          <w:rFonts w:ascii="Times New Roman" w:eastAsia="Times New Roman" w:hAnsi="Times New Roman" w:cs="Times New Roman"/>
          <w:sz w:val="24"/>
          <w:szCs w:val="24"/>
        </w:rPr>
        <w:t>3</w:t>
      </w:r>
      <w:r w:rsidRPr="00723CBD" w:rsidR="00024CFB">
        <w:rPr>
          <w:rFonts w:ascii="Times New Roman" w:eastAsia="Times New Roman" w:hAnsi="Times New Roman" w:cs="Times New Roman"/>
          <w:sz w:val="24"/>
          <w:szCs w:val="24"/>
        </w:rPr>
        <w:t>2,864</w:t>
      </w:r>
      <w:r w:rsidRPr="00723CBD" w:rsidR="5F615A87">
        <w:rPr>
          <w:rFonts w:ascii="Times New Roman" w:eastAsia="Times New Roman" w:hAnsi="Times New Roman" w:cs="Times New Roman"/>
          <w:sz w:val="24"/>
          <w:szCs w:val="24"/>
        </w:rPr>
        <w:t>.40</w:t>
      </w:r>
    </w:p>
    <w:p w:rsidR="638B37EC" w:rsidP="638B37EC" w14:paraId="35A73F40" w14:textId="386EE79B">
      <w:pPr>
        <w:tabs>
          <w:tab w:val="left" w:pos="720"/>
          <w:tab w:val="left" w:pos="1440"/>
          <w:tab w:val="left" w:pos="2160"/>
          <w:tab w:val="left" w:pos="2880"/>
          <w:tab w:val="left" w:pos="3600"/>
          <w:tab w:val="left" w:pos="4320"/>
          <w:tab w:val="left" w:pos="4800"/>
        </w:tabs>
        <w:spacing w:after="0" w:line="240" w:lineRule="auto"/>
        <w:rPr>
          <w:rFonts w:ascii="Times New Roman" w:eastAsia="Times New Roman" w:hAnsi="Times New Roman" w:cs="Times New Roman"/>
          <w:sz w:val="24"/>
          <w:szCs w:val="24"/>
        </w:rPr>
      </w:pPr>
    </w:p>
    <w:p w:rsidR="5F615A87" w:rsidP="00D91F68" w14:paraId="5549B6D4" w14:textId="66672995">
      <w:pPr>
        <w:tabs>
          <w:tab w:val="left" w:pos="720"/>
          <w:tab w:val="left" w:pos="1440"/>
          <w:tab w:val="left" w:pos="2160"/>
          <w:tab w:val="left" w:pos="2880"/>
          <w:tab w:val="left" w:pos="3600"/>
          <w:tab w:val="left" w:pos="4320"/>
          <w:tab w:val="left" w:pos="4800"/>
        </w:tabs>
        <w:spacing w:after="0" w:line="240" w:lineRule="auto"/>
        <w:ind w:firstLine="720"/>
        <w:rPr>
          <w:rFonts w:ascii="Times New Roman" w:eastAsia="Times New Roman" w:hAnsi="Times New Roman" w:cs="Times New Roman"/>
          <w:sz w:val="24"/>
          <w:szCs w:val="24"/>
        </w:rPr>
      </w:pPr>
      <w:r w:rsidRPr="638B37EC">
        <w:rPr>
          <w:rFonts w:ascii="Times New Roman" w:eastAsia="Times New Roman" w:hAnsi="Times New Roman" w:cs="Times New Roman"/>
          <w:i/>
          <w:iCs/>
          <w:sz w:val="24"/>
          <w:szCs w:val="24"/>
        </w:rPr>
        <w:t>Subtotal Burden hours: 6,426 + 612 = 7,038 hours</w:t>
      </w:r>
    </w:p>
    <w:p w:rsidR="3D819542" w:rsidP="00D91F68" w14:paraId="13CD20D4" w14:textId="181B5967">
      <w:pPr>
        <w:tabs>
          <w:tab w:val="left" w:pos="720"/>
          <w:tab w:val="left" w:pos="1440"/>
          <w:tab w:val="left" w:pos="2160"/>
          <w:tab w:val="left" w:pos="2880"/>
          <w:tab w:val="left" w:pos="3600"/>
          <w:tab w:val="left" w:pos="4320"/>
          <w:tab w:val="left" w:pos="4800"/>
        </w:tabs>
        <w:spacing w:after="0" w:line="240" w:lineRule="auto"/>
        <w:ind w:left="720" w:firstLine="720"/>
        <w:rPr>
          <w:rFonts w:ascii="Times New Roman" w:eastAsia="Times New Roman" w:hAnsi="Times New Roman" w:cs="Times New Roman"/>
          <w:i/>
          <w:iCs/>
          <w:sz w:val="24"/>
          <w:szCs w:val="24"/>
        </w:rPr>
      </w:pPr>
      <w:r w:rsidRPr="638B37EC">
        <w:rPr>
          <w:rFonts w:ascii="Times New Roman" w:eastAsia="Times New Roman" w:hAnsi="Times New Roman" w:cs="Times New Roman"/>
          <w:i/>
          <w:iCs/>
          <w:sz w:val="24"/>
          <w:szCs w:val="24"/>
        </w:rPr>
        <w:t xml:space="preserve">  </w:t>
      </w:r>
      <w:r w:rsidRPr="638B37EC" w:rsidR="5F615A87">
        <w:rPr>
          <w:rFonts w:ascii="Times New Roman" w:eastAsia="Times New Roman" w:hAnsi="Times New Roman" w:cs="Times New Roman"/>
          <w:i/>
          <w:iCs/>
          <w:sz w:val="24"/>
          <w:szCs w:val="24"/>
        </w:rPr>
        <w:t xml:space="preserve">Subtotal Cost: </w:t>
      </w:r>
      <w:r w:rsidRPr="638B37EC" w:rsidR="22F1D875">
        <w:rPr>
          <w:rFonts w:ascii="Times New Roman" w:eastAsia="Times New Roman" w:hAnsi="Times New Roman" w:cs="Times New Roman"/>
          <w:i/>
          <w:iCs/>
          <w:sz w:val="24"/>
          <w:szCs w:val="24"/>
        </w:rPr>
        <w:t>$345,076.20 + $32,864.40 = $377,940.60</w:t>
      </w:r>
    </w:p>
    <w:p w:rsidR="00F856A1" w:rsidRPr="00723CBD" w:rsidP="00BF576C" w14:paraId="1E5864B3" w14:textId="3BBB4BC4">
      <w:pPr>
        <w:autoSpaceDE w:val="0"/>
        <w:autoSpaceDN w:val="0"/>
        <w:adjustRightInd w:val="0"/>
        <w:spacing w:after="0" w:line="240" w:lineRule="auto"/>
        <w:rPr>
          <w:rFonts w:ascii="Times New Roman" w:eastAsia="Times New Roman" w:hAnsi="Times New Roman" w:cs="Times New Roman"/>
          <w:b/>
          <w:sz w:val="24"/>
          <w:szCs w:val="24"/>
        </w:rPr>
      </w:pPr>
    </w:p>
    <w:p w:rsidR="00BF576C" w:rsidRPr="00723CBD" w:rsidP="00BF576C" w14:paraId="401BDD6D" w14:textId="77777777">
      <w:pPr>
        <w:autoSpaceDE w:val="0"/>
        <w:autoSpaceDN w:val="0"/>
        <w:adjustRightInd w:val="0"/>
        <w:spacing w:after="0" w:line="240" w:lineRule="auto"/>
        <w:rPr>
          <w:rFonts w:ascii="Times New Roman" w:eastAsia="Times New Roman" w:hAnsi="Times New Roman" w:cs="Times New Roman"/>
          <w:b/>
          <w:sz w:val="24"/>
          <w:szCs w:val="24"/>
        </w:rPr>
      </w:pPr>
      <w:r w:rsidRPr="00723CBD">
        <w:rPr>
          <w:rFonts w:ascii="Times New Roman" w:eastAsia="Times New Roman" w:hAnsi="Times New Roman" w:cs="Times New Roman"/>
          <w:b/>
          <w:bCs/>
          <w:sz w:val="24"/>
          <w:szCs w:val="24"/>
        </w:rPr>
        <w:t>20. Certification of training program</w:t>
      </w:r>
    </w:p>
    <w:p w:rsidR="00BF576C" w:rsidRPr="00723CBD" w:rsidP="00BF576C" w14:paraId="080A737F"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6236A2" w:rsidP="00D91F68" w14:paraId="7E608006" w14:textId="39508AFE">
      <w:pPr>
        <w:autoSpaceDE w:val="0"/>
        <w:autoSpaceDN w:val="0"/>
        <w:adjustRightInd w:val="0"/>
        <w:spacing w:after="0" w:line="240" w:lineRule="auto"/>
        <w:rPr>
          <w:rFonts w:ascii="Times New Roman" w:eastAsia="Times New Roman" w:hAnsi="Times New Roman" w:cs="Times New Roman"/>
          <w:sz w:val="24"/>
          <w:szCs w:val="24"/>
        </w:rPr>
      </w:pPr>
      <w:r w:rsidRPr="00D91F68">
        <w:rPr>
          <w:rFonts w:ascii="Times New Roman" w:eastAsia="Times New Roman" w:hAnsi="Times New Roman" w:cs="Times New Roman"/>
          <w:sz w:val="24"/>
          <w:szCs w:val="24"/>
        </w:rPr>
        <w:t>Paragraph 1910.120(p)(7)(i)</w:t>
      </w:r>
      <w:r w:rsidRPr="00723CBD">
        <w:rPr>
          <w:rFonts w:ascii="Times New Roman" w:eastAsia="Times New Roman" w:hAnsi="Times New Roman" w:cs="Times New Roman"/>
          <w:sz w:val="24"/>
          <w:szCs w:val="24"/>
        </w:rPr>
        <w:t xml:space="preserve"> requires the employer to develop a training program, which is part of the employer's safety and health program, for new workers exposed to health hazards or hazardous substances at TSD operations</w:t>
      </w:r>
      <w:r w:rsidRPr="00723CBD" w:rsidR="6EC34397">
        <w:rPr>
          <w:rFonts w:ascii="Times New Roman" w:eastAsia="Times New Roman" w:hAnsi="Times New Roman" w:cs="Times New Roman"/>
          <w:sz w:val="24"/>
          <w:szCs w:val="24"/>
        </w:rPr>
        <w:t>. The purpose of this program is</w:t>
      </w:r>
      <w:r w:rsidRPr="00723CBD">
        <w:rPr>
          <w:rFonts w:ascii="Times New Roman" w:eastAsia="Times New Roman" w:hAnsi="Times New Roman" w:cs="Times New Roman"/>
          <w:sz w:val="24"/>
          <w:szCs w:val="24"/>
        </w:rPr>
        <w:t xml:space="preserve"> to en</w:t>
      </w:r>
      <w:r w:rsidRPr="00723CBD" w:rsidR="77630DD4">
        <w:rPr>
          <w:rFonts w:ascii="Times New Roman" w:eastAsia="Times New Roman" w:hAnsi="Times New Roman" w:cs="Times New Roman"/>
          <w:sz w:val="24"/>
          <w:szCs w:val="24"/>
        </w:rPr>
        <w:t xml:space="preserve">sure </w:t>
      </w:r>
      <w:r w:rsidRPr="00723CBD">
        <w:rPr>
          <w:rFonts w:ascii="Times New Roman" w:eastAsia="Times New Roman" w:hAnsi="Times New Roman" w:cs="Times New Roman"/>
          <w:sz w:val="24"/>
          <w:szCs w:val="24"/>
        </w:rPr>
        <w:t xml:space="preserve">the workers </w:t>
      </w:r>
      <w:r w:rsidRPr="00723CBD" w:rsidR="47E57B48">
        <w:rPr>
          <w:rFonts w:ascii="Times New Roman" w:eastAsia="Times New Roman" w:hAnsi="Times New Roman" w:cs="Times New Roman"/>
          <w:sz w:val="24"/>
          <w:szCs w:val="24"/>
        </w:rPr>
        <w:t xml:space="preserve">are able </w:t>
      </w:r>
      <w:r w:rsidRPr="00723CBD">
        <w:rPr>
          <w:rFonts w:ascii="Times New Roman" w:eastAsia="Times New Roman" w:hAnsi="Times New Roman" w:cs="Times New Roman"/>
          <w:sz w:val="24"/>
          <w:szCs w:val="24"/>
        </w:rPr>
        <w:t xml:space="preserve">to perform their assigned duties </w:t>
      </w:r>
      <w:r w:rsidRPr="006236A2">
        <w:rPr>
          <w:rFonts w:ascii="Times New Roman" w:eastAsia="Times New Roman" w:hAnsi="Times New Roman" w:cs="Times New Roman"/>
          <w:sz w:val="24"/>
          <w:szCs w:val="24"/>
        </w:rPr>
        <w:t xml:space="preserve">and functions in a safe and healthful manner so as not to endanger themselves or other employees. It is estimated that </w:t>
      </w:r>
      <w:r w:rsidRPr="006236A2" w:rsidR="001740BF">
        <w:rPr>
          <w:rFonts w:ascii="Times New Roman" w:eastAsia="Times New Roman" w:hAnsi="Times New Roman" w:cs="Times New Roman"/>
          <w:sz w:val="24"/>
          <w:szCs w:val="24"/>
        </w:rPr>
        <w:t>45,885 TSD</w:t>
      </w:r>
      <w:r w:rsidRPr="006236A2">
        <w:rPr>
          <w:rFonts w:ascii="Times New Roman" w:eastAsia="Times New Roman" w:hAnsi="Times New Roman" w:cs="Times New Roman"/>
          <w:sz w:val="24"/>
          <w:szCs w:val="24"/>
        </w:rPr>
        <w:t xml:space="preserve"> employees will require training.</w:t>
      </w:r>
      <w:r>
        <w:rPr>
          <w:rFonts w:ascii="Times New Roman" w:hAnsi="Times New Roman" w:cs="Times New Roman"/>
          <w:sz w:val="24"/>
          <w:szCs w:val="24"/>
          <w:vertAlign w:val="superscript"/>
        </w:rPr>
        <w:footnoteReference w:id="9"/>
      </w:r>
    </w:p>
    <w:p w:rsidR="00BF576C" w:rsidRPr="00723CBD" w:rsidP="00BF576C" w14:paraId="571C6867"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77DE2BEE" w14:textId="13E414E0">
      <w:pPr>
        <w:autoSpaceDE w:val="0"/>
        <w:autoSpaceDN w:val="0"/>
        <w:adjustRightInd w:val="0"/>
        <w:spacing w:after="0" w:line="240" w:lineRule="auto"/>
        <w:rPr>
          <w:rFonts w:ascii="Times New Roman" w:eastAsia="Times New Roman" w:hAnsi="Times New Roman" w:cs="Times New Roman"/>
          <w:sz w:val="24"/>
          <w:szCs w:val="24"/>
        </w:rPr>
      </w:pPr>
      <w:r w:rsidRPr="638B37EC">
        <w:rPr>
          <w:rFonts w:ascii="Times New Roman" w:eastAsia="Times New Roman" w:hAnsi="Times New Roman" w:cs="Times New Roman"/>
          <w:sz w:val="24"/>
          <w:szCs w:val="24"/>
        </w:rPr>
        <w:t>Workers who have received the initial training required by this paragraph shall be given a written certificate attesting that they have successfully completed the necessary training. This certificate will also fulfill employer obligations under paragraph 1910.120(p)(8)(iii)(C)</w:t>
      </w:r>
      <w:r w:rsidRPr="638B37EC" w:rsidR="2CB1AA6A">
        <w:rPr>
          <w:rFonts w:ascii="Times New Roman" w:eastAsia="Times New Roman" w:hAnsi="Times New Roman" w:cs="Times New Roman"/>
          <w:sz w:val="24"/>
          <w:szCs w:val="24"/>
        </w:rPr>
        <w:t>,</w:t>
      </w:r>
      <w:r w:rsidRPr="638B37EC">
        <w:rPr>
          <w:rFonts w:ascii="Times New Roman" w:eastAsia="Times New Roman" w:hAnsi="Times New Roman" w:cs="Times New Roman"/>
          <w:sz w:val="24"/>
          <w:szCs w:val="24"/>
        </w:rPr>
        <w:t xml:space="preserve"> which requires the employer to certify that each covered worker has attended and successfully completed the training required in paragraph (p)(8)(iii) of this </w:t>
      </w:r>
      <w:r w:rsidRPr="638B37EC" w:rsidR="00873670">
        <w:rPr>
          <w:rFonts w:ascii="Times New Roman" w:eastAsia="Times New Roman" w:hAnsi="Times New Roman" w:cs="Times New Roman"/>
          <w:sz w:val="24"/>
          <w:szCs w:val="24"/>
        </w:rPr>
        <w:t>section or</w:t>
      </w:r>
      <w:r w:rsidRPr="638B37EC">
        <w:rPr>
          <w:rFonts w:ascii="Times New Roman" w:eastAsia="Times New Roman" w:hAnsi="Times New Roman" w:cs="Times New Roman"/>
          <w:sz w:val="24"/>
          <w:szCs w:val="24"/>
        </w:rPr>
        <w:t xml:space="preserve"> shall certify the employee's competency at least yearly. The method used to demonstrate competency for certification of training shall be recorded and maintained by the employer. The </w:t>
      </w:r>
      <w:r w:rsidRPr="638B37EC" w:rsidR="5C9330C9">
        <w:rPr>
          <w:rFonts w:ascii="Times New Roman" w:eastAsia="Times New Roman" w:hAnsi="Times New Roman" w:cs="Times New Roman"/>
          <w:sz w:val="24"/>
          <w:szCs w:val="24"/>
        </w:rPr>
        <w:t>a</w:t>
      </w:r>
      <w:r w:rsidRPr="638B37EC">
        <w:rPr>
          <w:rFonts w:ascii="Times New Roman" w:eastAsia="Times New Roman" w:hAnsi="Times New Roman" w:cs="Times New Roman"/>
          <w:sz w:val="24"/>
          <w:szCs w:val="24"/>
        </w:rPr>
        <w:t>gency estimates that it will take</w:t>
      </w:r>
      <w:r w:rsidRPr="638B37EC" w:rsidR="345A1485">
        <w:rPr>
          <w:rFonts w:ascii="Times New Roman" w:eastAsia="Times New Roman" w:hAnsi="Times New Roman" w:cs="Times New Roman"/>
          <w:sz w:val="24"/>
          <w:szCs w:val="24"/>
        </w:rPr>
        <w:t xml:space="preserve"> </w:t>
      </w:r>
      <w:r w:rsidRPr="638B37EC">
        <w:rPr>
          <w:rFonts w:ascii="Times New Roman" w:eastAsia="Times New Roman" w:hAnsi="Times New Roman" w:cs="Times New Roman"/>
          <w:sz w:val="24"/>
          <w:szCs w:val="24"/>
        </w:rPr>
        <w:t>1 minute (</w:t>
      </w:r>
      <w:r w:rsidRPr="638B37EC" w:rsidR="00C074A9">
        <w:rPr>
          <w:rFonts w:ascii="Times New Roman" w:eastAsia="Times New Roman" w:hAnsi="Times New Roman" w:cs="Times New Roman"/>
          <w:sz w:val="24"/>
          <w:szCs w:val="24"/>
        </w:rPr>
        <w:t>1/60</w:t>
      </w:r>
      <w:r w:rsidRPr="638B37EC">
        <w:rPr>
          <w:rFonts w:ascii="Times New Roman" w:eastAsia="Times New Roman" w:hAnsi="Times New Roman" w:cs="Times New Roman"/>
          <w:sz w:val="24"/>
          <w:szCs w:val="24"/>
        </w:rPr>
        <w:t xml:space="preserve"> hour) to maintain records for current workers </w:t>
      </w:r>
      <w:r w:rsidRPr="638B37EC" w:rsidR="00476E47">
        <w:rPr>
          <w:rFonts w:ascii="Times New Roman" w:eastAsia="Times New Roman" w:hAnsi="Times New Roman" w:cs="Times New Roman"/>
          <w:sz w:val="24"/>
          <w:szCs w:val="24"/>
        </w:rPr>
        <w:t xml:space="preserve">and </w:t>
      </w:r>
      <w:r w:rsidR="00ED2049">
        <w:rPr>
          <w:rFonts w:ascii="Times New Roman" w:eastAsia="Times New Roman" w:hAnsi="Times New Roman" w:cs="Times New Roman"/>
          <w:sz w:val="24"/>
          <w:szCs w:val="24"/>
        </w:rPr>
        <w:t>10%</w:t>
      </w:r>
      <w:r w:rsidR="001B2D6F">
        <w:rPr>
          <w:rFonts w:ascii="Times New Roman" w:eastAsia="Times New Roman" w:hAnsi="Times New Roman" w:cs="Times New Roman"/>
          <w:sz w:val="24"/>
          <w:szCs w:val="24"/>
        </w:rPr>
        <w:t xml:space="preserve"> of the </w:t>
      </w:r>
      <w:r w:rsidR="006E14CE">
        <w:rPr>
          <w:rFonts w:ascii="Times New Roman" w:eastAsia="Times New Roman" w:hAnsi="Times New Roman" w:cs="Times New Roman"/>
          <w:sz w:val="24"/>
          <w:szCs w:val="24"/>
        </w:rPr>
        <w:t>employees will be new</w:t>
      </w:r>
      <w:r w:rsidR="00A156D7">
        <w:rPr>
          <w:rFonts w:ascii="Times New Roman" w:eastAsia="Times New Roman" w:hAnsi="Times New Roman" w:cs="Times New Roman"/>
          <w:sz w:val="24"/>
          <w:szCs w:val="24"/>
        </w:rPr>
        <w:t xml:space="preserve"> and therefore</w:t>
      </w:r>
      <w:r w:rsidR="007375DC">
        <w:rPr>
          <w:rFonts w:ascii="Times New Roman" w:eastAsia="Times New Roman" w:hAnsi="Times New Roman" w:cs="Times New Roman"/>
          <w:sz w:val="24"/>
          <w:szCs w:val="24"/>
        </w:rPr>
        <w:t>, the time</w:t>
      </w:r>
      <w:r w:rsidR="005B2E9D">
        <w:rPr>
          <w:rFonts w:ascii="Times New Roman" w:eastAsia="Times New Roman" w:hAnsi="Times New Roman" w:cs="Times New Roman"/>
          <w:sz w:val="24"/>
          <w:szCs w:val="24"/>
        </w:rPr>
        <w:t xml:space="preserve"> will take </w:t>
      </w:r>
      <w:r w:rsidRPr="638B37EC" w:rsidR="00476E47">
        <w:rPr>
          <w:rFonts w:ascii="Times New Roman" w:eastAsia="Times New Roman" w:hAnsi="Times New Roman" w:cs="Times New Roman"/>
          <w:sz w:val="24"/>
          <w:szCs w:val="24"/>
        </w:rPr>
        <w:t>3</w:t>
      </w:r>
      <w:r w:rsidRPr="638B37EC">
        <w:rPr>
          <w:rFonts w:ascii="Times New Roman" w:eastAsia="Times New Roman" w:hAnsi="Times New Roman" w:cs="Times New Roman"/>
          <w:sz w:val="24"/>
          <w:szCs w:val="24"/>
        </w:rPr>
        <w:t xml:space="preserve"> minutes (</w:t>
      </w:r>
      <w:r w:rsidRPr="638B37EC" w:rsidR="00FF697B">
        <w:rPr>
          <w:rFonts w:ascii="Times New Roman" w:eastAsia="Times New Roman" w:hAnsi="Times New Roman" w:cs="Times New Roman"/>
          <w:sz w:val="24"/>
          <w:szCs w:val="24"/>
        </w:rPr>
        <w:t>3/60</w:t>
      </w:r>
      <w:r w:rsidRPr="638B37EC">
        <w:rPr>
          <w:rFonts w:ascii="Times New Roman" w:eastAsia="Times New Roman" w:hAnsi="Times New Roman" w:cs="Times New Roman"/>
          <w:sz w:val="24"/>
          <w:szCs w:val="24"/>
        </w:rPr>
        <w:t xml:space="preserve"> hour)</w:t>
      </w:r>
      <w:r w:rsidRPr="638B37EC" w:rsidR="00A0622B">
        <w:rPr>
          <w:rFonts w:ascii="Times New Roman" w:eastAsia="Times New Roman" w:hAnsi="Times New Roman" w:cs="Times New Roman"/>
          <w:sz w:val="24"/>
          <w:szCs w:val="24"/>
        </w:rPr>
        <w:t xml:space="preserve"> </w:t>
      </w:r>
      <w:r w:rsidRPr="638B37EC">
        <w:rPr>
          <w:rFonts w:ascii="Times New Roman" w:eastAsia="Times New Roman" w:hAnsi="Times New Roman" w:cs="Times New Roman"/>
          <w:sz w:val="24"/>
          <w:szCs w:val="24"/>
        </w:rPr>
        <w:t>to generate and maintain each record.</w:t>
      </w:r>
    </w:p>
    <w:p w:rsidR="00BF576C" w:rsidRPr="00723CBD" w:rsidP="00BF576C" w14:paraId="2148349C"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P="1210E917" w14:paraId="7989C12E" w14:textId="4C84D22A">
      <w:pPr>
        <w:spacing w:after="0" w:line="240" w:lineRule="auto"/>
        <w:ind w:firstLine="720"/>
        <w:rPr>
          <w:rFonts w:ascii="Times New Roman" w:eastAsia="Times New Roman" w:hAnsi="Times New Roman" w:cs="Times New Roman"/>
          <w:sz w:val="24"/>
          <w:szCs w:val="24"/>
        </w:rPr>
      </w:pPr>
      <w:r w:rsidRPr="1210E917">
        <w:rPr>
          <w:rFonts w:ascii="Times New Roman" w:eastAsia="Times New Roman" w:hAnsi="Times New Roman" w:cs="Times New Roman"/>
          <w:sz w:val="24"/>
          <w:szCs w:val="24"/>
        </w:rPr>
        <w:t>Burden hours:</w:t>
      </w:r>
      <w:r>
        <w:tab/>
      </w:r>
      <w:r w:rsidRPr="1210E917">
        <w:rPr>
          <w:rFonts w:ascii="Times New Roman" w:eastAsia="Times New Roman" w:hAnsi="Times New Roman" w:cs="Times New Roman"/>
          <w:sz w:val="24"/>
          <w:szCs w:val="24"/>
        </w:rPr>
        <w:t xml:space="preserve">45,885 current TSD workers × </w:t>
      </w:r>
      <w:r w:rsidRPr="1210E917" w:rsidR="00866440">
        <w:rPr>
          <w:rFonts w:ascii="Times New Roman" w:eastAsia="Times New Roman" w:hAnsi="Times New Roman" w:cs="Times New Roman"/>
          <w:sz w:val="24"/>
          <w:szCs w:val="24"/>
        </w:rPr>
        <w:t>1/60</w:t>
      </w:r>
      <w:r w:rsidRPr="1210E917" w:rsidR="000D61D6">
        <w:rPr>
          <w:rFonts w:ascii="Times New Roman" w:eastAsia="Times New Roman" w:hAnsi="Times New Roman" w:cs="Times New Roman"/>
          <w:sz w:val="24"/>
          <w:szCs w:val="24"/>
        </w:rPr>
        <w:t xml:space="preserve"> </w:t>
      </w:r>
      <w:r w:rsidRPr="1210E917">
        <w:rPr>
          <w:rFonts w:ascii="Times New Roman" w:eastAsia="Times New Roman" w:hAnsi="Times New Roman" w:cs="Times New Roman"/>
          <w:sz w:val="24"/>
          <w:szCs w:val="24"/>
        </w:rPr>
        <w:t xml:space="preserve">hours to maintain existing </w:t>
      </w:r>
      <w:r>
        <w:br/>
      </w:r>
      <w:r>
        <w:tab/>
      </w:r>
      <w:r>
        <w:tab/>
      </w:r>
      <w:r>
        <w:tab/>
      </w:r>
      <w:r w:rsidRPr="1210E917">
        <w:rPr>
          <w:rFonts w:ascii="Times New Roman" w:eastAsia="Times New Roman" w:hAnsi="Times New Roman" w:cs="Times New Roman"/>
          <w:sz w:val="24"/>
          <w:szCs w:val="24"/>
        </w:rPr>
        <w:t xml:space="preserve">certification/competency records = </w:t>
      </w:r>
      <w:r w:rsidRPr="1210E917" w:rsidR="00531B45">
        <w:rPr>
          <w:rFonts w:ascii="Times New Roman" w:eastAsia="Times New Roman" w:hAnsi="Times New Roman" w:cs="Times New Roman"/>
          <w:sz w:val="24"/>
          <w:szCs w:val="24"/>
        </w:rPr>
        <w:t>765</w:t>
      </w:r>
      <w:r w:rsidRPr="1210E917">
        <w:rPr>
          <w:rFonts w:ascii="Times New Roman" w:eastAsia="Times New Roman" w:hAnsi="Times New Roman" w:cs="Times New Roman"/>
          <w:sz w:val="24"/>
          <w:szCs w:val="24"/>
        </w:rPr>
        <w:t xml:space="preserve"> hours</w:t>
      </w:r>
      <w:r w:rsidRPr="1210E917" w:rsidR="10161CC7">
        <w:rPr>
          <w:rFonts w:ascii="Times New Roman" w:eastAsia="Times New Roman" w:hAnsi="Times New Roman" w:cs="Times New Roman"/>
          <w:sz w:val="24"/>
          <w:szCs w:val="24"/>
        </w:rPr>
        <w:t>, rounded</w:t>
      </w:r>
    </w:p>
    <w:p w:rsidR="00BF576C" w:rsidRPr="00723CBD" w:rsidP="00BF576C" w14:paraId="1C481235" w14:textId="1ABB1BE6">
      <w:pPr>
        <w:autoSpaceDE w:val="0"/>
        <w:autoSpaceDN w:val="0"/>
        <w:adjustRightInd w:val="0"/>
        <w:spacing w:after="0" w:line="240" w:lineRule="auto"/>
        <w:ind w:firstLine="720"/>
        <w:rPr>
          <w:rFonts w:ascii="Times New Roman" w:eastAsia="Times New Roman" w:hAnsi="Times New Roman" w:cs="Times New Roman"/>
          <w:sz w:val="24"/>
          <w:szCs w:val="24"/>
        </w:rPr>
      </w:pPr>
      <w:r w:rsidRPr="00723CBD">
        <w:rPr>
          <w:rFonts w:ascii="Times New Roman" w:eastAsia="Times New Roman" w:hAnsi="Times New Roman" w:cs="Times New Roman"/>
          <w:sz w:val="24"/>
          <w:szCs w:val="24"/>
        </w:rPr>
        <w:tab/>
        <w:t xml:space="preserve"> Cost:</w:t>
      </w:r>
      <w:r w:rsidRPr="00723CBD">
        <w:rPr>
          <w:rFonts w:ascii="Times New Roman" w:eastAsia="Times New Roman" w:hAnsi="Times New Roman" w:cs="Times New Roman"/>
          <w:sz w:val="24"/>
          <w:szCs w:val="24"/>
        </w:rPr>
        <w:tab/>
      </w:r>
      <w:r w:rsidRPr="00723CBD" w:rsidR="00531B45">
        <w:rPr>
          <w:rFonts w:ascii="Times New Roman" w:eastAsia="Times New Roman" w:hAnsi="Times New Roman" w:cs="Times New Roman"/>
          <w:sz w:val="24"/>
          <w:szCs w:val="24"/>
        </w:rPr>
        <w:t>765</w:t>
      </w:r>
      <w:r w:rsidRPr="00723CBD">
        <w:rPr>
          <w:rFonts w:ascii="Times New Roman" w:eastAsia="Times New Roman" w:hAnsi="Times New Roman" w:cs="Times New Roman"/>
          <w:sz w:val="24"/>
          <w:szCs w:val="24"/>
        </w:rPr>
        <w:t xml:space="preserve"> hours x $</w:t>
      </w:r>
      <w:r w:rsidRPr="00723CBD" w:rsidR="006F5F36">
        <w:rPr>
          <w:rFonts w:ascii="Times New Roman" w:eastAsia="Times New Roman" w:hAnsi="Times New Roman" w:cs="Times New Roman"/>
          <w:sz w:val="24"/>
          <w:szCs w:val="24"/>
        </w:rPr>
        <w:t>53.70</w:t>
      </w:r>
      <w:r w:rsidRPr="00723CBD">
        <w:rPr>
          <w:rFonts w:ascii="Times New Roman" w:eastAsia="Times New Roman" w:hAnsi="Times New Roman" w:cs="Times New Roman"/>
          <w:sz w:val="24"/>
          <w:szCs w:val="24"/>
        </w:rPr>
        <w:t xml:space="preserve"> = $</w:t>
      </w:r>
      <w:r w:rsidRPr="00723CBD" w:rsidR="007050E8">
        <w:rPr>
          <w:rFonts w:ascii="Times New Roman" w:eastAsia="Times New Roman" w:hAnsi="Times New Roman" w:cs="Times New Roman"/>
          <w:sz w:val="24"/>
          <w:szCs w:val="24"/>
        </w:rPr>
        <w:t>41,</w:t>
      </w:r>
      <w:r w:rsidRPr="00723CBD" w:rsidR="00AE5421">
        <w:rPr>
          <w:rFonts w:ascii="Times New Roman" w:eastAsia="Times New Roman" w:hAnsi="Times New Roman" w:cs="Times New Roman"/>
          <w:sz w:val="24"/>
          <w:szCs w:val="24"/>
        </w:rPr>
        <w:t>08</w:t>
      </w:r>
      <w:r w:rsidRPr="00723CBD" w:rsidR="275D9B52">
        <w:rPr>
          <w:rFonts w:ascii="Times New Roman" w:eastAsia="Times New Roman" w:hAnsi="Times New Roman" w:cs="Times New Roman"/>
          <w:sz w:val="24"/>
          <w:szCs w:val="24"/>
        </w:rPr>
        <w:t>0.50</w:t>
      </w:r>
    </w:p>
    <w:p w:rsidR="00BF576C" w:rsidRPr="00723CBD" w:rsidP="00BF576C" w14:paraId="13EF3D6B" w14:textId="77777777">
      <w:pPr>
        <w:autoSpaceDE w:val="0"/>
        <w:autoSpaceDN w:val="0"/>
        <w:adjustRightInd w:val="0"/>
        <w:spacing w:after="0" w:line="240" w:lineRule="auto"/>
        <w:ind w:firstLine="720"/>
        <w:rPr>
          <w:rFonts w:ascii="Times New Roman" w:eastAsia="Times New Roman" w:hAnsi="Times New Roman" w:cs="Times New Roman"/>
          <w:sz w:val="24"/>
          <w:szCs w:val="24"/>
        </w:rPr>
      </w:pPr>
    </w:p>
    <w:p w:rsidR="00BF576C" w:rsidP="1210E917" w14:paraId="7C4F4BC7" w14:textId="74EC39C5">
      <w:pPr>
        <w:spacing w:after="0" w:line="240" w:lineRule="auto"/>
        <w:ind w:firstLine="720"/>
        <w:rPr>
          <w:rFonts w:ascii="Times New Roman" w:eastAsia="Times New Roman" w:hAnsi="Times New Roman" w:cs="Times New Roman"/>
          <w:sz w:val="24"/>
          <w:szCs w:val="24"/>
        </w:rPr>
      </w:pPr>
      <w:r w:rsidRPr="1210E917">
        <w:rPr>
          <w:rFonts w:ascii="Times New Roman" w:eastAsia="Times New Roman" w:hAnsi="Times New Roman" w:cs="Times New Roman"/>
          <w:sz w:val="24"/>
          <w:szCs w:val="24"/>
        </w:rPr>
        <w:t xml:space="preserve">Burden hours: 4,589 new workers x </w:t>
      </w:r>
      <w:r w:rsidRPr="1210E917" w:rsidR="00866440">
        <w:rPr>
          <w:rFonts w:ascii="Times New Roman" w:eastAsia="Times New Roman" w:hAnsi="Times New Roman" w:cs="Times New Roman"/>
          <w:sz w:val="24"/>
          <w:szCs w:val="24"/>
        </w:rPr>
        <w:t>3/60</w:t>
      </w:r>
      <w:r w:rsidRPr="1210E917" w:rsidR="00A0622B">
        <w:rPr>
          <w:rFonts w:ascii="Times New Roman" w:eastAsia="Times New Roman" w:hAnsi="Times New Roman" w:cs="Times New Roman"/>
          <w:sz w:val="24"/>
          <w:szCs w:val="24"/>
        </w:rPr>
        <w:t xml:space="preserve"> </w:t>
      </w:r>
      <w:r w:rsidRPr="1210E917">
        <w:rPr>
          <w:rFonts w:ascii="Times New Roman" w:eastAsia="Times New Roman" w:hAnsi="Times New Roman" w:cs="Times New Roman"/>
          <w:sz w:val="24"/>
          <w:szCs w:val="24"/>
        </w:rPr>
        <w:t>hour to generate and maintain</w:t>
      </w:r>
      <w:r>
        <w:br/>
      </w:r>
      <w:r>
        <w:tab/>
      </w:r>
      <w:r>
        <w:tab/>
      </w:r>
      <w:r>
        <w:tab/>
      </w:r>
      <w:r w:rsidRPr="1210E917">
        <w:rPr>
          <w:rFonts w:ascii="Times New Roman" w:eastAsia="Times New Roman" w:hAnsi="Times New Roman" w:cs="Times New Roman"/>
          <w:sz w:val="24"/>
          <w:szCs w:val="24"/>
        </w:rPr>
        <w:t xml:space="preserve">certification/competency records = </w:t>
      </w:r>
      <w:r w:rsidRPr="1210E917" w:rsidR="00B016E8">
        <w:rPr>
          <w:rFonts w:ascii="Times New Roman" w:eastAsia="Times New Roman" w:hAnsi="Times New Roman" w:cs="Times New Roman"/>
          <w:sz w:val="24"/>
          <w:szCs w:val="24"/>
        </w:rPr>
        <w:t>229</w:t>
      </w:r>
      <w:r w:rsidRPr="1210E917" w:rsidR="00204ACA">
        <w:rPr>
          <w:rFonts w:ascii="Times New Roman" w:eastAsia="Times New Roman" w:hAnsi="Times New Roman" w:cs="Times New Roman"/>
          <w:sz w:val="24"/>
          <w:szCs w:val="24"/>
        </w:rPr>
        <w:t xml:space="preserve"> </w:t>
      </w:r>
      <w:r w:rsidRPr="1210E917">
        <w:rPr>
          <w:rFonts w:ascii="Times New Roman" w:eastAsia="Times New Roman" w:hAnsi="Times New Roman" w:cs="Times New Roman"/>
          <w:sz w:val="24"/>
          <w:szCs w:val="24"/>
        </w:rPr>
        <w:t>hours</w:t>
      </w:r>
      <w:r w:rsidRPr="1210E917" w:rsidR="73896647">
        <w:rPr>
          <w:rFonts w:ascii="Times New Roman" w:eastAsia="Times New Roman" w:hAnsi="Times New Roman" w:cs="Times New Roman"/>
          <w:sz w:val="24"/>
          <w:szCs w:val="24"/>
        </w:rPr>
        <w:t>, rounded</w:t>
      </w:r>
    </w:p>
    <w:p w:rsidR="00A0622B" w:rsidRPr="00723CBD" w:rsidP="00DA7256" w14:paraId="64E9A4FE" w14:textId="01F876EC">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638B37EC">
        <w:rPr>
          <w:rFonts w:ascii="Times New Roman" w:eastAsia="Times New Roman" w:hAnsi="Times New Roman" w:cs="Times New Roman"/>
          <w:sz w:val="24"/>
          <w:szCs w:val="24"/>
        </w:rPr>
        <w:t xml:space="preserve">  Cost:</w:t>
      </w:r>
      <w:r>
        <w:tab/>
      </w:r>
      <w:r w:rsidRPr="638B37EC">
        <w:rPr>
          <w:rFonts w:ascii="Times New Roman" w:eastAsia="Times New Roman" w:hAnsi="Times New Roman" w:cs="Times New Roman"/>
          <w:sz w:val="24"/>
          <w:szCs w:val="24"/>
        </w:rPr>
        <w:t xml:space="preserve"> </w:t>
      </w:r>
      <w:r w:rsidRPr="638B37EC" w:rsidR="00B016E8">
        <w:rPr>
          <w:rFonts w:ascii="Times New Roman" w:eastAsia="Times New Roman" w:hAnsi="Times New Roman" w:cs="Times New Roman"/>
          <w:sz w:val="24"/>
          <w:szCs w:val="24"/>
        </w:rPr>
        <w:t>229</w:t>
      </w:r>
      <w:r w:rsidRPr="638B37EC">
        <w:rPr>
          <w:rFonts w:ascii="Times New Roman" w:eastAsia="Times New Roman" w:hAnsi="Times New Roman" w:cs="Times New Roman"/>
          <w:sz w:val="24"/>
          <w:szCs w:val="24"/>
        </w:rPr>
        <w:t xml:space="preserve"> hours x $</w:t>
      </w:r>
      <w:r w:rsidRPr="638B37EC" w:rsidR="001168FD">
        <w:rPr>
          <w:rFonts w:ascii="Times New Roman" w:eastAsia="Times New Roman" w:hAnsi="Times New Roman" w:cs="Times New Roman"/>
          <w:sz w:val="24"/>
          <w:szCs w:val="24"/>
        </w:rPr>
        <w:t>5</w:t>
      </w:r>
      <w:r w:rsidRPr="638B37EC" w:rsidR="006F5F36">
        <w:rPr>
          <w:rFonts w:ascii="Times New Roman" w:eastAsia="Times New Roman" w:hAnsi="Times New Roman" w:cs="Times New Roman"/>
          <w:sz w:val="24"/>
          <w:szCs w:val="24"/>
        </w:rPr>
        <w:t>3.70</w:t>
      </w:r>
      <w:r w:rsidRPr="638B37EC">
        <w:rPr>
          <w:rFonts w:ascii="Times New Roman" w:eastAsia="Times New Roman" w:hAnsi="Times New Roman" w:cs="Times New Roman"/>
          <w:sz w:val="24"/>
          <w:szCs w:val="24"/>
        </w:rPr>
        <w:t xml:space="preserve"> = $</w:t>
      </w:r>
      <w:r w:rsidRPr="638B37EC" w:rsidR="00AE5421">
        <w:rPr>
          <w:rFonts w:ascii="Times New Roman" w:eastAsia="Times New Roman" w:hAnsi="Times New Roman" w:cs="Times New Roman"/>
          <w:sz w:val="24"/>
          <w:szCs w:val="24"/>
        </w:rPr>
        <w:t>12,297</w:t>
      </w:r>
      <w:r w:rsidRPr="638B37EC" w:rsidR="3F73F829">
        <w:rPr>
          <w:rFonts w:ascii="Times New Roman" w:eastAsia="Times New Roman" w:hAnsi="Times New Roman" w:cs="Times New Roman"/>
          <w:sz w:val="24"/>
          <w:szCs w:val="24"/>
        </w:rPr>
        <w:t>.30</w:t>
      </w:r>
    </w:p>
    <w:p w:rsidR="638B37EC" w:rsidP="638B37EC" w14:paraId="326ACB86" w14:textId="4FB9584A">
      <w:pPr>
        <w:spacing w:after="0" w:line="240" w:lineRule="auto"/>
        <w:ind w:left="720" w:firstLine="720"/>
        <w:rPr>
          <w:rFonts w:ascii="Times New Roman" w:eastAsia="Times New Roman" w:hAnsi="Times New Roman" w:cs="Times New Roman"/>
          <w:sz w:val="24"/>
          <w:szCs w:val="24"/>
        </w:rPr>
      </w:pPr>
    </w:p>
    <w:p w:rsidR="11139CCC" w:rsidP="00D91F68" w14:paraId="30954FCF" w14:textId="00184460">
      <w:pPr>
        <w:spacing w:after="0" w:line="240" w:lineRule="auto"/>
        <w:ind w:left="720"/>
        <w:rPr>
          <w:rFonts w:ascii="Times New Roman" w:eastAsia="Times New Roman" w:hAnsi="Times New Roman" w:cs="Times New Roman"/>
          <w:sz w:val="24"/>
          <w:szCs w:val="24"/>
        </w:rPr>
      </w:pPr>
      <w:r w:rsidRPr="638B37EC">
        <w:rPr>
          <w:rFonts w:ascii="Times New Roman" w:eastAsia="Times New Roman" w:hAnsi="Times New Roman" w:cs="Times New Roman"/>
          <w:i/>
          <w:iCs/>
          <w:sz w:val="24"/>
          <w:szCs w:val="24"/>
        </w:rPr>
        <w:t xml:space="preserve">Subtotal Burden hours: </w:t>
      </w:r>
      <w:r w:rsidRPr="638B37EC" w:rsidR="6DA70205">
        <w:rPr>
          <w:rFonts w:ascii="Times New Roman" w:eastAsia="Times New Roman" w:hAnsi="Times New Roman" w:cs="Times New Roman"/>
          <w:sz w:val="24"/>
          <w:szCs w:val="24"/>
        </w:rPr>
        <w:t>765 + 229 = 994 hours</w:t>
      </w:r>
    </w:p>
    <w:p w:rsidR="00BF576C" w:rsidRPr="00723CBD" w:rsidP="00BF576C" w14:paraId="7B30A6ED" w14:textId="7E76F139">
      <w:pPr>
        <w:autoSpaceDE w:val="0"/>
        <w:autoSpaceDN w:val="0"/>
        <w:adjustRightInd w:val="0"/>
        <w:spacing w:after="0" w:line="240" w:lineRule="auto"/>
        <w:rPr>
          <w:rFonts w:ascii="Times New Roman" w:eastAsia="Times New Roman" w:hAnsi="Times New Roman" w:cs="Times New Roman"/>
          <w:sz w:val="24"/>
          <w:szCs w:val="24"/>
        </w:rPr>
      </w:pPr>
      <w:r w:rsidRPr="638B37EC">
        <w:rPr>
          <w:rFonts w:ascii="Times New Roman" w:eastAsia="Times New Roman" w:hAnsi="Times New Roman" w:cs="Times New Roman"/>
          <w:i/>
          <w:iCs/>
          <w:sz w:val="24"/>
          <w:szCs w:val="24"/>
        </w:rPr>
        <w:t xml:space="preserve"> </w:t>
      </w:r>
      <w:r>
        <w:tab/>
      </w:r>
      <w:r>
        <w:tab/>
      </w:r>
      <w:r w:rsidRPr="638B37EC">
        <w:rPr>
          <w:rFonts w:ascii="Times New Roman" w:eastAsia="Times New Roman" w:hAnsi="Times New Roman" w:cs="Times New Roman"/>
          <w:i/>
          <w:iCs/>
          <w:sz w:val="24"/>
          <w:szCs w:val="24"/>
        </w:rPr>
        <w:t xml:space="preserve"> Subtotal Cost:</w:t>
      </w:r>
      <w:r w:rsidRPr="00D91F68">
        <w:rPr>
          <w:rFonts w:ascii="Times New Roman" w:eastAsia="Times New Roman" w:hAnsi="Times New Roman" w:cs="Times New Roman"/>
          <w:sz w:val="24"/>
          <w:szCs w:val="24"/>
        </w:rPr>
        <w:t xml:space="preserve"> $41,080.50 </w:t>
      </w:r>
      <w:r w:rsidRPr="638B37EC">
        <w:rPr>
          <w:rFonts w:ascii="Times New Roman" w:eastAsia="Times New Roman" w:hAnsi="Times New Roman" w:cs="Times New Roman"/>
          <w:sz w:val="24"/>
          <w:szCs w:val="24"/>
        </w:rPr>
        <w:t>+ $12,207.30 = $53,377.80</w:t>
      </w:r>
      <w:r w:rsidRPr="0466994E">
        <w:rPr>
          <w:rFonts w:ascii="Times New Roman" w:eastAsia="Times New Roman" w:hAnsi="Times New Roman" w:cs="Times New Roman"/>
          <w:sz w:val="24"/>
          <w:szCs w:val="24"/>
        </w:rPr>
        <w:t xml:space="preserve"> </w:t>
      </w:r>
    </w:p>
    <w:p w:rsidR="1210E917" w:rsidP="1210E917" w14:paraId="722BDC09" w14:textId="4BA0B7D3">
      <w:pPr>
        <w:spacing w:after="0" w:line="240" w:lineRule="auto"/>
        <w:rPr>
          <w:rFonts w:ascii="Times New Roman" w:eastAsia="Times New Roman" w:hAnsi="Times New Roman" w:cs="Times New Roman"/>
          <w:sz w:val="24"/>
          <w:szCs w:val="24"/>
        </w:rPr>
      </w:pPr>
    </w:p>
    <w:p w:rsidR="00BF576C" w:rsidRPr="00723CBD" w:rsidP="0466994E" w14:paraId="1480DC6B" w14:textId="539977FF">
      <w:pPr>
        <w:autoSpaceDE w:val="0"/>
        <w:autoSpaceDN w:val="0"/>
        <w:adjustRightInd w:val="0"/>
        <w:spacing w:after="0" w:line="240" w:lineRule="auto"/>
        <w:rPr>
          <w:rFonts w:ascii="Times New Roman" w:eastAsia="Times New Roman" w:hAnsi="Times New Roman" w:cs="Times New Roman"/>
          <w:b/>
          <w:bCs/>
          <w:sz w:val="24"/>
          <w:szCs w:val="24"/>
        </w:rPr>
      </w:pPr>
      <w:r w:rsidRPr="0466994E">
        <w:rPr>
          <w:rFonts w:ascii="Times New Roman" w:eastAsia="Times New Roman" w:hAnsi="Times New Roman" w:cs="Times New Roman"/>
          <w:b/>
          <w:bCs/>
          <w:sz w:val="24"/>
          <w:szCs w:val="24"/>
        </w:rPr>
        <w:t xml:space="preserve">(C) </w:t>
      </w:r>
      <w:r w:rsidRPr="0466994E">
        <w:rPr>
          <w:rFonts w:ascii="Times New Roman" w:eastAsia="Times New Roman" w:hAnsi="Times New Roman" w:cs="Times New Roman"/>
          <w:b/>
          <w:bCs/>
          <w:sz w:val="24"/>
          <w:szCs w:val="24"/>
          <w:u w:val="single"/>
        </w:rPr>
        <w:t>TYPE 3 -- EMERGENCY RESPONSE WORKERS</w:t>
      </w:r>
    </w:p>
    <w:p w:rsidR="00BF576C" w:rsidRPr="00723CBD" w:rsidP="00BF576C" w14:paraId="2E94B456"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19D71B50" w14:textId="77777777">
      <w:pPr>
        <w:autoSpaceDE w:val="0"/>
        <w:autoSpaceDN w:val="0"/>
        <w:adjustRightInd w:val="0"/>
        <w:spacing w:after="0" w:line="240" w:lineRule="auto"/>
        <w:rPr>
          <w:rFonts w:ascii="Times New Roman" w:eastAsia="Times New Roman" w:hAnsi="Times New Roman" w:cs="Times New Roman"/>
          <w:b/>
          <w:sz w:val="24"/>
          <w:szCs w:val="24"/>
        </w:rPr>
      </w:pPr>
      <w:r w:rsidRPr="00723CBD">
        <w:rPr>
          <w:rFonts w:ascii="Times New Roman" w:eastAsia="Times New Roman" w:hAnsi="Times New Roman" w:cs="Times New Roman"/>
          <w:b/>
          <w:bCs/>
          <w:sz w:val="24"/>
          <w:szCs w:val="24"/>
        </w:rPr>
        <w:t xml:space="preserve">21. </w:t>
      </w:r>
      <w:r w:rsidRPr="00723CBD">
        <w:rPr>
          <w:rFonts w:ascii="Times New Roman" w:eastAsia="Times New Roman" w:hAnsi="Times New Roman" w:cs="Times New Roman"/>
          <w:b/>
          <w:bCs/>
          <w:sz w:val="24"/>
          <w:szCs w:val="24"/>
        </w:rPr>
        <w:t>Emergency response plan</w:t>
      </w:r>
    </w:p>
    <w:p w:rsidR="00BF576C" w:rsidRPr="00723CBD" w:rsidP="00BF576C" w14:paraId="6C3F9E42"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5FA72DC8" w14:textId="5F7EFE0E">
      <w:pPr>
        <w:autoSpaceDE w:val="0"/>
        <w:autoSpaceDN w:val="0"/>
        <w:adjustRightInd w:val="0"/>
        <w:spacing w:after="0" w:line="240" w:lineRule="auto"/>
        <w:rPr>
          <w:rFonts w:ascii="Times New Roman" w:eastAsia="Times New Roman" w:hAnsi="Times New Roman" w:cs="Times New Roman"/>
          <w:sz w:val="24"/>
          <w:szCs w:val="24"/>
        </w:rPr>
      </w:pPr>
      <w:r w:rsidRPr="00D91F68">
        <w:rPr>
          <w:rFonts w:ascii="Times New Roman" w:eastAsia="Times New Roman" w:hAnsi="Times New Roman" w:cs="Times New Roman"/>
          <w:sz w:val="24"/>
          <w:szCs w:val="24"/>
        </w:rPr>
        <w:t>Paragraph 1910.120(q)(1)</w:t>
      </w:r>
      <w:r w:rsidRPr="638B37EC">
        <w:rPr>
          <w:rFonts w:ascii="Times New Roman" w:eastAsia="Times New Roman" w:hAnsi="Times New Roman" w:cs="Times New Roman"/>
          <w:sz w:val="24"/>
          <w:szCs w:val="24"/>
        </w:rPr>
        <w:t xml:space="preserve"> requires that an emergency response plan be developed and implemented to handle anticipated emergencies prior to the commencement of emergency response operations. The plan shall be in writing and available for inspection and copying by workers, their representatives, and OSHA personnel. Employers who evacuate their workers from </w:t>
      </w:r>
      <w:r w:rsidRPr="638B37EC" w:rsidR="648A3604">
        <w:rPr>
          <w:rFonts w:ascii="Times New Roman" w:eastAsia="Times New Roman" w:hAnsi="Times New Roman" w:cs="Times New Roman"/>
          <w:sz w:val="24"/>
          <w:szCs w:val="24"/>
        </w:rPr>
        <w:t>a</w:t>
      </w:r>
      <w:r w:rsidRPr="638B37EC">
        <w:rPr>
          <w:rFonts w:ascii="Times New Roman" w:eastAsia="Times New Roman" w:hAnsi="Times New Roman" w:cs="Times New Roman"/>
          <w:sz w:val="24"/>
          <w:szCs w:val="24"/>
        </w:rPr>
        <w:t xml:space="preserve"> danger</w:t>
      </w:r>
      <w:r w:rsidRPr="638B37EC" w:rsidR="73E9E44A">
        <w:rPr>
          <w:rFonts w:ascii="Times New Roman" w:eastAsia="Times New Roman" w:hAnsi="Times New Roman" w:cs="Times New Roman"/>
          <w:sz w:val="24"/>
          <w:szCs w:val="24"/>
        </w:rPr>
        <w:t>ous</w:t>
      </w:r>
      <w:r w:rsidRPr="638B37EC">
        <w:rPr>
          <w:rFonts w:ascii="Times New Roman" w:eastAsia="Times New Roman" w:hAnsi="Times New Roman" w:cs="Times New Roman"/>
          <w:sz w:val="24"/>
          <w:szCs w:val="24"/>
        </w:rPr>
        <w:t xml:space="preserve"> area when an emergency occurs and who do not permit any of their workers to assist in handling the emergency are exempt from the requirements of this paragraph if they </w:t>
      </w:r>
      <w:r w:rsidRPr="638B37EC">
        <w:rPr>
          <w:rFonts w:ascii="Times New Roman" w:eastAsia="Times New Roman" w:hAnsi="Times New Roman" w:cs="Times New Roman"/>
          <w:sz w:val="24"/>
          <w:szCs w:val="24"/>
        </w:rPr>
        <w:t>provide an emergency action plan complying with 29 CFR 1910.38(a).</w:t>
      </w:r>
    </w:p>
    <w:p w:rsidR="638B37EC" w:rsidP="638B37EC" w14:paraId="24303624" w14:textId="6FB11C11">
      <w:pPr>
        <w:spacing w:after="0" w:line="240" w:lineRule="auto"/>
        <w:rPr>
          <w:rFonts w:ascii="Times New Roman" w:eastAsia="Times New Roman" w:hAnsi="Times New Roman" w:cs="Times New Roman"/>
          <w:sz w:val="24"/>
          <w:szCs w:val="24"/>
        </w:rPr>
      </w:pPr>
    </w:p>
    <w:p w:rsidR="35C942C8" w:rsidP="638B37EC" w14:paraId="53869738" w14:textId="32107415">
      <w:pPr>
        <w:spacing w:after="0" w:line="240" w:lineRule="auto"/>
        <w:rPr>
          <w:rFonts w:ascii="Times New Roman" w:eastAsia="Times New Roman" w:hAnsi="Times New Roman" w:cs="Times New Roman"/>
          <w:sz w:val="24"/>
          <w:szCs w:val="24"/>
        </w:rPr>
      </w:pPr>
      <w:r w:rsidRPr="638B37EC">
        <w:rPr>
          <w:rFonts w:ascii="Times New Roman" w:eastAsia="Times New Roman" w:hAnsi="Times New Roman" w:cs="Times New Roman"/>
          <w:sz w:val="24"/>
          <w:szCs w:val="24"/>
        </w:rPr>
        <w:t>The agency estimates that of the 27,186 emergency response organizations, 50% are not covered by OSHA because they solely employ state and local employees (</w:t>
      </w:r>
      <w:r w:rsidRPr="638B37EC" w:rsidR="004859F6">
        <w:rPr>
          <w:rFonts w:ascii="Times New Roman" w:eastAsia="Times New Roman" w:hAnsi="Times New Roman" w:cs="Times New Roman"/>
          <w:sz w:val="24"/>
          <w:szCs w:val="24"/>
        </w:rPr>
        <w:t xml:space="preserve">13,593 organizations). Of the </w:t>
      </w:r>
      <w:r w:rsidRPr="638B37EC" w:rsidR="004859F6">
        <w:rPr>
          <w:rFonts w:ascii="Times New Roman" w:eastAsia="Times New Roman" w:hAnsi="Times New Roman" w:cs="Times New Roman"/>
          <w:sz w:val="24"/>
          <w:szCs w:val="24"/>
        </w:rPr>
        <w:t>remaining organizations, 10% are assumed to be required to develop a new emergency response plan (1,359 organizations) and wi</w:t>
      </w:r>
      <w:r w:rsidRPr="638B37EC" w:rsidR="7AD4BE5D">
        <w:rPr>
          <w:rFonts w:ascii="Times New Roman" w:eastAsia="Times New Roman" w:hAnsi="Times New Roman" w:cs="Times New Roman"/>
          <w:sz w:val="24"/>
          <w:szCs w:val="24"/>
        </w:rPr>
        <w:t>ll take 8 hours each to do so.</w:t>
      </w:r>
    </w:p>
    <w:p w:rsidR="00BF576C" w:rsidRPr="00723CBD" w:rsidP="00BF576C" w14:paraId="2B942966" w14:textId="77777777">
      <w:pPr>
        <w:autoSpaceDE w:val="0"/>
        <w:autoSpaceDN w:val="0"/>
        <w:adjustRightInd w:val="0"/>
        <w:spacing w:after="0" w:line="240" w:lineRule="auto"/>
        <w:rPr>
          <w:rFonts w:ascii="Times New Roman" w:eastAsia="Times New Roman" w:hAnsi="Times New Roman" w:cs="Times New Roman"/>
          <w:sz w:val="24"/>
          <w:szCs w:val="24"/>
        </w:rPr>
      </w:pPr>
    </w:p>
    <w:p w:rsidR="00EA0A2B" w:rsidRPr="00723CBD" w:rsidP="1210E917" w14:paraId="2F973BEC" w14:textId="495D97ED">
      <w:pPr>
        <w:autoSpaceDE w:val="0"/>
        <w:autoSpaceDN w:val="0"/>
        <w:adjustRightInd w:val="0"/>
        <w:spacing w:after="0" w:line="240" w:lineRule="auto"/>
        <w:ind w:firstLine="720"/>
        <w:rPr>
          <w:rFonts w:ascii="Times New Roman" w:eastAsia="Times New Roman" w:hAnsi="Times New Roman" w:cs="Times New Roman"/>
          <w:sz w:val="24"/>
          <w:szCs w:val="24"/>
        </w:rPr>
      </w:pPr>
      <w:r w:rsidRPr="5C516CCC">
        <w:rPr>
          <w:rFonts w:ascii="Times New Roman" w:eastAsia="Times New Roman" w:hAnsi="Times New Roman" w:cs="Times New Roman"/>
          <w:sz w:val="24"/>
          <w:szCs w:val="24"/>
        </w:rPr>
        <w:t>Burden hours:</w:t>
      </w:r>
      <w:r w:rsidRPr="5C516CCC" w:rsidR="01AB51CC">
        <w:rPr>
          <w:rFonts w:ascii="Times New Roman" w:eastAsia="Times New Roman" w:hAnsi="Times New Roman" w:cs="Times New Roman"/>
          <w:sz w:val="24"/>
          <w:szCs w:val="24"/>
        </w:rPr>
        <w:t xml:space="preserve"> </w:t>
      </w:r>
      <w:r w:rsidRPr="5C516CCC" w:rsidR="06F97B7F">
        <w:rPr>
          <w:rFonts w:ascii="Times New Roman" w:eastAsia="Times New Roman" w:hAnsi="Times New Roman" w:cs="Times New Roman"/>
          <w:sz w:val="24"/>
          <w:szCs w:val="24"/>
        </w:rPr>
        <w:t xml:space="preserve">1,359 </w:t>
      </w:r>
      <w:r w:rsidRPr="5C516CCC">
        <w:rPr>
          <w:rFonts w:ascii="Times New Roman" w:eastAsia="Times New Roman" w:hAnsi="Times New Roman" w:cs="Times New Roman"/>
          <w:sz w:val="24"/>
          <w:szCs w:val="24"/>
        </w:rPr>
        <w:t xml:space="preserve">organizations × 8 hours to prepare plan = </w:t>
      </w:r>
      <w:r w:rsidRPr="5C516CCC" w:rsidR="570A49FE">
        <w:rPr>
          <w:rFonts w:ascii="Times New Roman" w:eastAsia="Times New Roman" w:hAnsi="Times New Roman" w:cs="Times New Roman"/>
          <w:sz w:val="24"/>
          <w:szCs w:val="24"/>
        </w:rPr>
        <w:t>10,</w:t>
      </w:r>
      <w:r w:rsidRPr="5C516CCC" w:rsidR="656E491D">
        <w:rPr>
          <w:rFonts w:ascii="Times New Roman" w:eastAsia="Times New Roman" w:hAnsi="Times New Roman" w:cs="Times New Roman"/>
          <w:sz w:val="24"/>
          <w:szCs w:val="24"/>
        </w:rPr>
        <w:t>87</w:t>
      </w:r>
      <w:r w:rsidRPr="5C516CCC" w:rsidR="2CD7E3C1">
        <w:rPr>
          <w:rFonts w:ascii="Times New Roman" w:eastAsia="Times New Roman" w:hAnsi="Times New Roman" w:cs="Times New Roman"/>
          <w:sz w:val="24"/>
          <w:szCs w:val="24"/>
        </w:rPr>
        <w:t>2</w:t>
      </w:r>
      <w:r w:rsidRPr="5C516CCC">
        <w:rPr>
          <w:rFonts w:ascii="Times New Roman" w:eastAsia="Times New Roman" w:hAnsi="Times New Roman" w:cs="Times New Roman"/>
          <w:b/>
          <w:bCs/>
          <w:sz w:val="24"/>
          <w:szCs w:val="24"/>
        </w:rPr>
        <w:t xml:space="preserve"> </w:t>
      </w:r>
      <w:r w:rsidRPr="5C516CCC">
        <w:rPr>
          <w:rFonts w:ascii="Times New Roman" w:eastAsia="Times New Roman" w:hAnsi="Times New Roman" w:cs="Times New Roman"/>
          <w:sz w:val="24"/>
          <w:szCs w:val="24"/>
        </w:rPr>
        <w:t>hours</w:t>
      </w:r>
    </w:p>
    <w:p w:rsidR="00BF576C" w:rsidRPr="00723CBD" w:rsidP="00BF576C" w14:paraId="57E29617" w14:textId="703E615C">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sz w:val="24"/>
          <w:szCs w:val="24"/>
        </w:rPr>
        <w:tab/>
      </w:r>
      <w:r w:rsidRPr="00723CBD">
        <w:rPr>
          <w:rFonts w:ascii="Times New Roman" w:eastAsia="Times New Roman" w:hAnsi="Times New Roman" w:cs="Times New Roman"/>
          <w:sz w:val="24"/>
          <w:szCs w:val="24"/>
        </w:rPr>
        <w:tab/>
        <w:t xml:space="preserve">  Cost:</w:t>
      </w:r>
      <w:r w:rsidRPr="00723CBD">
        <w:rPr>
          <w:rFonts w:ascii="Times New Roman" w:eastAsia="Times New Roman" w:hAnsi="Times New Roman" w:cs="Times New Roman"/>
          <w:sz w:val="24"/>
          <w:szCs w:val="24"/>
        </w:rPr>
        <w:tab/>
      </w:r>
      <w:r w:rsidRPr="00723CBD" w:rsidR="00700D36">
        <w:rPr>
          <w:rFonts w:ascii="Times New Roman" w:eastAsia="Times New Roman" w:hAnsi="Times New Roman" w:cs="Times New Roman"/>
          <w:sz w:val="24"/>
          <w:szCs w:val="24"/>
        </w:rPr>
        <w:t>10,87</w:t>
      </w:r>
      <w:r w:rsidRPr="00723CBD" w:rsidR="29EE9B62">
        <w:rPr>
          <w:rFonts w:ascii="Times New Roman" w:eastAsia="Times New Roman" w:hAnsi="Times New Roman" w:cs="Times New Roman"/>
          <w:sz w:val="24"/>
          <w:szCs w:val="24"/>
        </w:rPr>
        <w:t>2</w:t>
      </w:r>
      <w:r w:rsidRPr="00723CBD" w:rsidR="00355899">
        <w:rPr>
          <w:rFonts w:ascii="Times New Roman" w:eastAsia="Times New Roman" w:hAnsi="Times New Roman" w:cs="Times New Roman"/>
          <w:sz w:val="24"/>
          <w:szCs w:val="24"/>
        </w:rPr>
        <w:t xml:space="preserve"> </w:t>
      </w:r>
      <w:r w:rsidRPr="00723CBD">
        <w:rPr>
          <w:rFonts w:ascii="Times New Roman" w:eastAsia="Times New Roman" w:hAnsi="Times New Roman" w:cs="Times New Roman"/>
          <w:sz w:val="24"/>
          <w:szCs w:val="24"/>
        </w:rPr>
        <w:t>hours x $</w:t>
      </w:r>
      <w:r w:rsidRPr="00723CBD" w:rsidR="006F5F36">
        <w:rPr>
          <w:rFonts w:ascii="Times New Roman" w:eastAsia="Times New Roman" w:hAnsi="Times New Roman" w:cs="Times New Roman"/>
          <w:sz w:val="24"/>
          <w:szCs w:val="24"/>
        </w:rPr>
        <w:t>53.70</w:t>
      </w:r>
      <w:r w:rsidRPr="00723CBD">
        <w:rPr>
          <w:rFonts w:ascii="Times New Roman" w:eastAsia="Times New Roman" w:hAnsi="Times New Roman" w:cs="Times New Roman"/>
          <w:sz w:val="24"/>
          <w:szCs w:val="24"/>
        </w:rPr>
        <w:t xml:space="preserve"> = $</w:t>
      </w:r>
      <w:r w:rsidRPr="00723CBD" w:rsidR="00355899">
        <w:rPr>
          <w:rFonts w:ascii="Times New Roman" w:eastAsia="Times New Roman" w:hAnsi="Times New Roman" w:cs="Times New Roman"/>
          <w:sz w:val="24"/>
          <w:szCs w:val="24"/>
        </w:rPr>
        <w:t xml:space="preserve"> $583,</w:t>
      </w:r>
      <w:r w:rsidRPr="00723CBD" w:rsidR="7A9D41DE">
        <w:rPr>
          <w:rFonts w:ascii="Times New Roman" w:eastAsia="Times New Roman" w:hAnsi="Times New Roman" w:cs="Times New Roman"/>
          <w:sz w:val="24"/>
          <w:szCs w:val="24"/>
        </w:rPr>
        <w:t>826.40</w:t>
      </w:r>
    </w:p>
    <w:p w:rsidR="00BF576C" w:rsidRPr="00723CBD" w:rsidP="00BF576C" w14:paraId="2AA4C387"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0DEDDD59" w14:textId="77777777">
      <w:pPr>
        <w:autoSpaceDE w:val="0"/>
        <w:autoSpaceDN w:val="0"/>
        <w:adjustRightInd w:val="0"/>
        <w:spacing w:after="0" w:line="240" w:lineRule="auto"/>
        <w:rPr>
          <w:rFonts w:ascii="Times New Roman" w:eastAsia="Times New Roman" w:hAnsi="Times New Roman" w:cs="Times New Roman"/>
          <w:b/>
          <w:sz w:val="24"/>
          <w:szCs w:val="24"/>
        </w:rPr>
      </w:pPr>
      <w:r w:rsidRPr="00723CBD">
        <w:rPr>
          <w:rFonts w:ascii="Times New Roman" w:eastAsia="Times New Roman" w:hAnsi="Times New Roman" w:cs="Times New Roman"/>
          <w:b/>
          <w:bCs/>
          <w:sz w:val="24"/>
          <w:szCs w:val="24"/>
        </w:rPr>
        <w:t>22. First responder training “at the awareness level”</w:t>
      </w:r>
    </w:p>
    <w:p w:rsidR="00BF576C" w:rsidRPr="00723CBD" w:rsidP="00BF576C" w14:paraId="795167DC"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430A5C88" w14:textId="7BDCB367">
      <w:pPr>
        <w:autoSpaceDE w:val="0"/>
        <w:autoSpaceDN w:val="0"/>
        <w:adjustRightInd w:val="0"/>
        <w:spacing w:after="0" w:line="240" w:lineRule="auto"/>
        <w:rPr>
          <w:rFonts w:ascii="Times New Roman" w:eastAsia="Times New Roman" w:hAnsi="Times New Roman" w:cs="Times New Roman"/>
          <w:sz w:val="24"/>
          <w:szCs w:val="24"/>
        </w:rPr>
      </w:pPr>
      <w:r w:rsidRPr="00D91F68">
        <w:rPr>
          <w:rFonts w:ascii="Times New Roman" w:eastAsia="Times New Roman" w:hAnsi="Times New Roman" w:cs="Times New Roman"/>
          <w:sz w:val="24"/>
          <w:szCs w:val="24"/>
        </w:rPr>
        <w:t>Paragraph 1910.120(q)(6)(i)</w:t>
      </w:r>
      <w:r w:rsidRPr="638B37EC">
        <w:rPr>
          <w:rFonts w:ascii="Times New Roman" w:eastAsia="Times New Roman" w:hAnsi="Times New Roman" w:cs="Times New Roman"/>
          <w:sz w:val="24"/>
          <w:szCs w:val="24"/>
        </w:rPr>
        <w:t xml:space="preserve"> describes “first responders at the awareness level” as individuals who are likely to witness or discover a hazardous substance release and who have been trained to initiate an emergency response sequence by notifying the proper authorities of the release. They would take no further action beyond notifying the authorities of the release. First responders at the awareness level shall have sufficient training or have had sufficient experience to </w:t>
      </w:r>
      <w:r w:rsidRPr="638B37EC" w:rsidR="00E01E22">
        <w:rPr>
          <w:rFonts w:ascii="Times New Roman" w:eastAsia="Times New Roman" w:hAnsi="Times New Roman" w:cs="Times New Roman"/>
          <w:sz w:val="24"/>
          <w:szCs w:val="24"/>
        </w:rPr>
        <w:t>demonstrate competency objectively</w:t>
      </w:r>
      <w:r w:rsidRPr="638B37EC">
        <w:rPr>
          <w:rFonts w:ascii="Times New Roman" w:eastAsia="Times New Roman" w:hAnsi="Times New Roman" w:cs="Times New Roman"/>
          <w:sz w:val="24"/>
          <w:szCs w:val="24"/>
        </w:rPr>
        <w:t>.</w:t>
      </w:r>
    </w:p>
    <w:p w:rsidR="00BF576C" w:rsidRPr="00723CBD" w:rsidP="00BF576C" w14:paraId="7F8C9FC0"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50D97A7E" w14:textId="5CDB6EE7">
      <w:pPr>
        <w:autoSpaceDE w:val="0"/>
        <w:autoSpaceDN w:val="0"/>
        <w:adjustRightInd w:val="0"/>
        <w:spacing w:after="0" w:line="240" w:lineRule="auto"/>
        <w:rPr>
          <w:rFonts w:ascii="Times New Roman" w:eastAsia="Times New Roman" w:hAnsi="Times New Roman" w:cs="Times New Roman"/>
          <w:sz w:val="24"/>
          <w:szCs w:val="24"/>
        </w:rPr>
      </w:pPr>
      <w:r w:rsidRPr="0466994E">
        <w:rPr>
          <w:rFonts w:ascii="Times New Roman" w:eastAsia="Times New Roman" w:hAnsi="Times New Roman" w:cs="Times New Roman"/>
          <w:sz w:val="24"/>
          <w:szCs w:val="24"/>
        </w:rPr>
        <w:t>As indicated above for other training requirements and upon further analysis, this requirement that employers provide training to workers under (q)(6)(i) is not considered to be a collection of information and is being removed from this ICR.</w:t>
      </w:r>
    </w:p>
    <w:p w:rsidR="00BF576C" w:rsidRPr="00723CBD" w:rsidP="00BF576C" w14:paraId="423D036C"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39B9234C" w14:textId="77777777">
      <w:pPr>
        <w:autoSpaceDE w:val="0"/>
        <w:autoSpaceDN w:val="0"/>
        <w:adjustRightInd w:val="0"/>
        <w:spacing w:after="0" w:line="240" w:lineRule="auto"/>
        <w:rPr>
          <w:rFonts w:ascii="Times New Roman" w:eastAsia="Times New Roman" w:hAnsi="Times New Roman" w:cs="Times New Roman"/>
          <w:b/>
          <w:sz w:val="24"/>
          <w:szCs w:val="24"/>
        </w:rPr>
      </w:pPr>
      <w:r w:rsidRPr="00723CBD">
        <w:rPr>
          <w:rFonts w:ascii="Times New Roman" w:eastAsia="Times New Roman" w:hAnsi="Times New Roman" w:cs="Times New Roman"/>
          <w:b/>
          <w:bCs/>
          <w:sz w:val="24"/>
          <w:szCs w:val="24"/>
        </w:rPr>
        <w:t xml:space="preserve">23. First responder </w:t>
      </w:r>
      <w:r w:rsidRPr="00723CBD">
        <w:rPr>
          <w:rFonts w:ascii="Times New Roman" w:eastAsia="Times New Roman" w:hAnsi="Times New Roman" w:cs="Times New Roman"/>
          <w:b/>
          <w:bCs/>
          <w:sz w:val="24"/>
          <w:szCs w:val="24"/>
        </w:rPr>
        <w:t>certification of training “at the operations level”</w:t>
      </w:r>
    </w:p>
    <w:p w:rsidR="00BF576C" w:rsidRPr="00723CBD" w:rsidP="00BF576C" w14:paraId="0E8BE504"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27DD8C18" w14:textId="7A903605">
      <w:pPr>
        <w:autoSpaceDE w:val="0"/>
        <w:autoSpaceDN w:val="0"/>
        <w:adjustRightInd w:val="0"/>
        <w:spacing w:after="0" w:line="240" w:lineRule="auto"/>
        <w:rPr>
          <w:rFonts w:ascii="Times New Roman" w:eastAsia="Times New Roman" w:hAnsi="Times New Roman" w:cs="Times New Roman"/>
          <w:sz w:val="24"/>
          <w:szCs w:val="24"/>
        </w:rPr>
      </w:pPr>
      <w:r w:rsidRPr="00D91F68">
        <w:rPr>
          <w:rFonts w:ascii="Times New Roman" w:eastAsia="Times New Roman" w:hAnsi="Times New Roman" w:cs="Times New Roman"/>
          <w:sz w:val="24"/>
          <w:szCs w:val="24"/>
        </w:rPr>
        <w:t>Paragraph 1910.120(q)(6)(ii)</w:t>
      </w:r>
      <w:r w:rsidRPr="638B37EC" w:rsidR="734ED36C">
        <w:rPr>
          <w:rFonts w:ascii="Times New Roman" w:eastAsia="Times New Roman" w:hAnsi="Times New Roman" w:cs="Times New Roman"/>
          <w:sz w:val="24"/>
          <w:szCs w:val="24"/>
        </w:rPr>
        <w:t xml:space="preserve"> </w:t>
      </w:r>
      <w:r w:rsidRPr="638B37EC" w:rsidR="1D0AF3BB">
        <w:rPr>
          <w:rFonts w:ascii="Times New Roman" w:eastAsia="Times New Roman" w:hAnsi="Times New Roman" w:cs="Times New Roman"/>
          <w:sz w:val="24"/>
          <w:szCs w:val="24"/>
        </w:rPr>
        <w:t>describes</w:t>
      </w:r>
      <w:r w:rsidRPr="638B37EC">
        <w:rPr>
          <w:rFonts w:ascii="Times New Roman" w:eastAsia="Times New Roman" w:hAnsi="Times New Roman" w:cs="Times New Roman"/>
          <w:sz w:val="24"/>
          <w:szCs w:val="24"/>
        </w:rPr>
        <w:t xml:space="preserve"> “</w:t>
      </w:r>
      <w:r w:rsidRPr="638B37EC" w:rsidR="3F8659C6">
        <w:rPr>
          <w:rFonts w:ascii="Times New Roman" w:eastAsia="Times New Roman" w:hAnsi="Times New Roman" w:cs="Times New Roman"/>
          <w:sz w:val="24"/>
          <w:szCs w:val="24"/>
        </w:rPr>
        <w:t>f</w:t>
      </w:r>
      <w:r w:rsidRPr="638B37EC">
        <w:rPr>
          <w:rFonts w:ascii="Times New Roman" w:eastAsia="Times New Roman" w:hAnsi="Times New Roman" w:cs="Times New Roman"/>
          <w:sz w:val="24"/>
          <w:szCs w:val="24"/>
        </w:rPr>
        <w:t>irst responders at the operations level” a</w:t>
      </w:r>
      <w:r w:rsidRPr="638B37EC" w:rsidR="5C427221">
        <w:rPr>
          <w:rFonts w:ascii="Times New Roman" w:eastAsia="Times New Roman" w:hAnsi="Times New Roman" w:cs="Times New Roman"/>
          <w:sz w:val="24"/>
          <w:szCs w:val="24"/>
        </w:rPr>
        <w:t>s</w:t>
      </w:r>
      <w:r w:rsidRPr="638B37EC">
        <w:rPr>
          <w:rFonts w:ascii="Times New Roman" w:eastAsia="Times New Roman" w:hAnsi="Times New Roman" w:cs="Times New Roman"/>
          <w:sz w:val="24"/>
          <w:szCs w:val="24"/>
        </w:rPr>
        <w:t xml:space="preserve"> individuals who respond to releases or potential releases of hazardous substances as part of the initial response to the site for the purpose of protecting nearby persons, property, or the environment from the effects of the release. They are trained to respond </w:t>
      </w:r>
      <w:r w:rsidRPr="638B37EC" w:rsidR="00E01E22">
        <w:rPr>
          <w:rFonts w:ascii="Times New Roman" w:eastAsia="Times New Roman" w:hAnsi="Times New Roman" w:cs="Times New Roman"/>
          <w:sz w:val="24"/>
          <w:szCs w:val="24"/>
        </w:rPr>
        <w:t>defensively</w:t>
      </w:r>
      <w:r w:rsidRPr="638B37EC">
        <w:rPr>
          <w:rFonts w:ascii="Times New Roman" w:eastAsia="Times New Roman" w:hAnsi="Times New Roman" w:cs="Times New Roman"/>
          <w:sz w:val="24"/>
          <w:szCs w:val="24"/>
        </w:rPr>
        <w:t xml:space="preserve"> without actually trying to stop the release. Their function is to contain the release from a safe distance, keep it from spreading, and prevent exposure. First responders at the ope</w:t>
      </w:r>
      <w:r w:rsidRPr="638B37EC">
        <w:rPr>
          <w:rFonts w:ascii="Times New Roman" w:eastAsia="Times New Roman" w:hAnsi="Times New Roman" w:cs="Times New Roman"/>
          <w:sz w:val="24"/>
          <w:szCs w:val="24"/>
        </w:rPr>
        <w:t>rations level shall have received training or have had sufficient experience to objectively demonstrate competency in several areas, in addition to those listed for the awareness level; the employer shall so certify their competency.</w:t>
      </w:r>
    </w:p>
    <w:p w:rsidR="00BF576C" w:rsidRPr="00723CBD" w:rsidP="00BF576C" w14:paraId="79542CB0"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2D435014" w14:textId="6B423495">
      <w:pPr>
        <w:autoSpaceDE w:val="0"/>
        <w:autoSpaceDN w:val="0"/>
        <w:adjustRightInd w:val="0"/>
        <w:spacing w:after="0" w:line="240" w:lineRule="auto"/>
        <w:rPr>
          <w:rFonts w:ascii="Times New Roman" w:eastAsia="Times New Roman" w:hAnsi="Times New Roman" w:cs="Times New Roman"/>
          <w:sz w:val="24"/>
          <w:szCs w:val="24"/>
        </w:rPr>
      </w:pPr>
      <w:r w:rsidRPr="638B37EC">
        <w:rPr>
          <w:rFonts w:ascii="Times New Roman" w:eastAsia="Times New Roman" w:hAnsi="Times New Roman" w:cs="Times New Roman"/>
          <w:sz w:val="24"/>
          <w:szCs w:val="24"/>
        </w:rPr>
        <w:t>As indicated above for other training requirements and upon further analysis, this requirement that employers provide training to workers under (q)(6)(ii) is not considered to be a collection of information and is being removed from this ICR. However, the burden hours associated with the employer generat</w:t>
      </w:r>
      <w:r w:rsidRPr="638B37EC" w:rsidR="5DE90CC5">
        <w:rPr>
          <w:rFonts w:ascii="Times New Roman" w:eastAsia="Times New Roman" w:hAnsi="Times New Roman" w:cs="Times New Roman"/>
          <w:sz w:val="24"/>
          <w:szCs w:val="24"/>
        </w:rPr>
        <w:t>ing</w:t>
      </w:r>
      <w:r w:rsidRPr="638B37EC">
        <w:rPr>
          <w:rFonts w:ascii="Times New Roman" w:eastAsia="Times New Roman" w:hAnsi="Times New Roman" w:cs="Times New Roman"/>
          <w:sz w:val="24"/>
          <w:szCs w:val="24"/>
        </w:rPr>
        <w:t xml:space="preserve"> and/or maintain</w:t>
      </w:r>
      <w:r w:rsidRPr="638B37EC" w:rsidR="490068F7">
        <w:rPr>
          <w:rFonts w:ascii="Times New Roman" w:eastAsia="Times New Roman" w:hAnsi="Times New Roman" w:cs="Times New Roman"/>
          <w:sz w:val="24"/>
          <w:szCs w:val="24"/>
        </w:rPr>
        <w:t>ing</w:t>
      </w:r>
      <w:r w:rsidRPr="638B37EC">
        <w:rPr>
          <w:rFonts w:ascii="Times New Roman" w:eastAsia="Times New Roman" w:hAnsi="Times New Roman" w:cs="Times New Roman"/>
          <w:sz w:val="24"/>
          <w:szCs w:val="24"/>
        </w:rPr>
        <w:t xml:space="preserve"> the training</w:t>
      </w:r>
      <w:r w:rsidRPr="638B37EC" w:rsidR="55CD74AA">
        <w:rPr>
          <w:rFonts w:ascii="Times New Roman" w:eastAsia="Times New Roman" w:hAnsi="Times New Roman" w:cs="Times New Roman"/>
          <w:sz w:val="24"/>
          <w:szCs w:val="24"/>
        </w:rPr>
        <w:t xml:space="preserve"> and </w:t>
      </w:r>
      <w:r w:rsidRPr="638B37EC">
        <w:rPr>
          <w:rFonts w:ascii="Times New Roman" w:eastAsia="Times New Roman" w:hAnsi="Times New Roman" w:cs="Times New Roman"/>
          <w:sz w:val="24"/>
          <w:szCs w:val="24"/>
        </w:rPr>
        <w:t xml:space="preserve">competency records are being </w:t>
      </w:r>
      <w:r w:rsidRPr="638B37EC" w:rsidR="36AE7956">
        <w:rPr>
          <w:rFonts w:ascii="Times New Roman" w:eastAsia="Times New Roman" w:hAnsi="Times New Roman" w:cs="Times New Roman"/>
          <w:sz w:val="24"/>
          <w:szCs w:val="24"/>
        </w:rPr>
        <w:t>ac</w:t>
      </w:r>
      <w:r w:rsidRPr="638B37EC">
        <w:rPr>
          <w:rFonts w:ascii="Times New Roman" w:eastAsia="Times New Roman" w:hAnsi="Times New Roman" w:cs="Times New Roman"/>
          <w:sz w:val="24"/>
          <w:szCs w:val="24"/>
        </w:rPr>
        <w:t>counted</w:t>
      </w:r>
      <w:r w:rsidRPr="638B37EC" w:rsidR="52EB3553">
        <w:rPr>
          <w:rFonts w:ascii="Times New Roman" w:eastAsia="Times New Roman" w:hAnsi="Times New Roman" w:cs="Times New Roman"/>
          <w:sz w:val="24"/>
          <w:szCs w:val="24"/>
        </w:rPr>
        <w:t xml:space="preserve"> for</w:t>
      </w:r>
      <w:r w:rsidRPr="638B37EC">
        <w:rPr>
          <w:rFonts w:ascii="Times New Roman" w:eastAsia="Times New Roman" w:hAnsi="Times New Roman" w:cs="Times New Roman"/>
          <w:sz w:val="24"/>
          <w:szCs w:val="24"/>
        </w:rPr>
        <w:t>.</w:t>
      </w:r>
    </w:p>
    <w:p w:rsidR="00BF576C" w:rsidRPr="00723CBD" w:rsidP="00BF576C" w14:paraId="0A63D7BA" w14:textId="77777777">
      <w:pPr>
        <w:autoSpaceDE w:val="0"/>
        <w:autoSpaceDN w:val="0"/>
        <w:adjustRightInd w:val="0"/>
        <w:spacing w:after="0" w:line="240" w:lineRule="auto"/>
        <w:rPr>
          <w:rFonts w:ascii="Times New Roman" w:eastAsia="Times New Roman" w:hAnsi="Times New Roman" w:cs="Times New Roman"/>
          <w:sz w:val="24"/>
          <w:szCs w:val="24"/>
          <w:u w:val="single"/>
        </w:rPr>
      </w:pPr>
    </w:p>
    <w:p w:rsidR="00BF576C" w:rsidRPr="00723CBD" w:rsidP="00BF576C" w14:paraId="3357A07C" w14:textId="02A735D7">
      <w:pPr>
        <w:autoSpaceDE w:val="0"/>
        <w:autoSpaceDN w:val="0"/>
        <w:adjustRightInd w:val="0"/>
        <w:spacing w:after="0" w:line="240" w:lineRule="auto"/>
        <w:rPr>
          <w:rFonts w:ascii="Times New Roman" w:eastAsia="Times New Roman" w:hAnsi="Times New Roman" w:cs="Times New Roman"/>
          <w:sz w:val="24"/>
          <w:szCs w:val="24"/>
        </w:rPr>
      </w:pPr>
      <w:r w:rsidRPr="638B37EC">
        <w:rPr>
          <w:rFonts w:ascii="Times New Roman" w:eastAsia="Times New Roman" w:hAnsi="Times New Roman" w:cs="Times New Roman"/>
          <w:sz w:val="24"/>
          <w:szCs w:val="24"/>
        </w:rPr>
        <w:t xml:space="preserve">The </w:t>
      </w:r>
      <w:r w:rsidRPr="638B37EC" w:rsidR="737290C1">
        <w:rPr>
          <w:rFonts w:ascii="Times New Roman" w:eastAsia="Times New Roman" w:hAnsi="Times New Roman" w:cs="Times New Roman"/>
          <w:sz w:val="24"/>
          <w:szCs w:val="24"/>
        </w:rPr>
        <w:t>a</w:t>
      </w:r>
      <w:r w:rsidRPr="638B37EC">
        <w:rPr>
          <w:rFonts w:ascii="Times New Roman" w:eastAsia="Times New Roman" w:hAnsi="Times New Roman" w:cs="Times New Roman"/>
          <w:sz w:val="24"/>
          <w:szCs w:val="24"/>
        </w:rPr>
        <w:t xml:space="preserve">gency estimates that there </w:t>
      </w:r>
      <w:r w:rsidRPr="638B37EC" w:rsidR="40146594">
        <w:rPr>
          <w:rFonts w:ascii="Times New Roman" w:eastAsia="Times New Roman" w:hAnsi="Times New Roman" w:cs="Times New Roman"/>
          <w:sz w:val="24"/>
          <w:szCs w:val="24"/>
        </w:rPr>
        <w:t>are</w:t>
      </w:r>
      <w:r w:rsidRPr="638B37EC" w:rsidR="00E01E22">
        <w:rPr>
          <w:rFonts w:ascii="Times New Roman" w:eastAsia="Times New Roman" w:hAnsi="Times New Roman" w:cs="Times New Roman"/>
          <w:sz w:val="24"/>
          <w:szCs w:val="24"/>
        </w:rPr>
        <w:t xml:space="preserve"> </w:t>
      </w:r>
      <w:r w:rsidRPr="638B37EC">
        <w:rPr>
          <w:rFonts w:ascii="Times New Roman" w:eastAsia="Times New Roman" w:hAnsi="Times New Roman" w:cs="Times New Roman"/>
          <w:sz w:val="24"/>
          <w:szCs w:val="24"/>
        </w:rPr>
        <w:t xml:space="preserve">a total </w:t>
      </w:r>
      <w:r w:rsidRPr="638B37EC" w:rsidR="00F06006">
        <w:rPr>
          <w:rFonts w:ascii="Times New Roman" w:eastAsia="Times New Roman" w:hAnsi="Times New Roman" w:cs="Times New Roman"/>
          <w:sz w:val="24"/>
          <w:szCs w:val="24"/>
        </w:rPr>
        <w:t xml:space="preserve">1,728,640 </w:t>
      </w:r>
      <w:r w:rsidRPr="638B37EC">
        <w:rPr>
          <w:rFonts w:ascii="Times New Roman" w:eastAsia="Times New Roman" w:hAnsi="Times New Roman" w:cs="Times New Roman"/>
          <w:sz w:val="24"/>
          <w:szCs w:val="24"/>
        </w:rPr>
        <w:t xml:space="preserve">emergency response workers. However, OSHA assumes that half of these workers </w:t>
      </w:r>
      <w:r w:rsidRPr="638B37EC" w:rsidR="7D50611F">
        <w:rPr>
          <w:rFonts w:ascii="Times New Roman" w:eastAsia="Times New Roman" w:hAnsi="Times New Roman" w:cs="Times New Roman"/>
          <w:sz w:val="24"/>
          <w:szCs w:val="24"/>
        </w:rPr>
        <w:t xml:space="preserve">(864,320 workers) </w:t>
      </w:r>
      <w:r w:rsidRPr="638B37EC">
        <w:rPr>
          <w:rFonts w:ascii="Times New Roman" w:eastAsia="Times New Roman" w:hAnsi="Times New Roman" w:cs="Times New Roman"/>
          <w:sz w:val="24"/>
          <w:szCs w:val="24"/>
        </w:rPr>
        <w:t xml:space="preserve">are state and local government workers </w:t>
      </w:r>
      <w:r w:rsidRPr="638B37EC" w:rsidR="20BB5482">
        <w:rPr>
          <w:rFonts w:ascii="Times New Roman" w:eastAsia="Times New Roman" w:hAnsi="Times New Roman" w:cs="Times New Roman"/>
          <w:sz w:val="24"/>
          <w:szCs w:val="24"/>
        </w:rPr>
        <w:t xml:space="preserve">and are </w:t>
      </w:r>
      <w:r w:rsidRPr="638B37EC">
        <w:rPr>
          <w:rFonts w:ascii="Times New Roman" w:eastAsia="Times New Roman" w:hAnsi="Times New Roman" w:cs="Times New Roman"/>
          <w:sz w:val="24"/>
          <w:szCs w:val="24"/>
        </w:rPr>
        <w:t xml:space="preserve">not covered by the </w:t>
      </w:r>
      <w:r w:rsidRPr="638B37EC" w:rsidR="6BB25CD0">
        <w:rPr>
          <w:rFonts w:ascii="Times New Roman" w:eastAsia="Times New Roman" w:hAnsi="Times New Roman" w:cs="Times New Roman"/>
          <w:sz w:val="24"/>
          <w:szCs w:val="24"/>
        </w:rPr>
        <w:t>s</w:t>
      </w:r>
      <w:r w:rsidRPr="638B37EC">
        <w:rPr>
          <w:rFonts w:ascii="Times New Roman" w:eastAsia="Times New Roman" w:hAnsi="Times New Roman" w:cs="Times New Roman"/>
          <w:sz w:val="24"/>
          <w:szCs w:val="24"/>
        </w:rPr>
        <w:t xml:space="preserve">tandard. Of </w:t>
      </w:r>
      <w:r w:rsidRPr="638B37EC" w:rsidR="00E01E22">
        <w:rPr>
          <w:rFonts w:ascii="Times New Roman" w:eastAsia="Times New Roman" w:hAnsi="Times New Roman" w:cs="Times New Roman"/>
          <w:sz w:val="24"/>
          <w:szCs w:val="24"/>
        </w:rPr>
        <w:t>the 864,320</w:t>
      </w:r>
      <w:r w:rsidRPr="638B37EC" w:rsidR="00F41F2B">
        <w:rPr>
          <w:rFonts w:ascii="Times New Roman" w:eastAsia="Times New Roman" w:hAnsi="Times New Roman" w:cs="Times New Roman"/>
          <w:sz w:val="24"/>
          <w:szCs w:val="24"/>
        </w:rPr>
        <w:t xml:space="preserve"> </w:t>
      </w:r>
      <w:r w:rsidRPr="638B37EC" w:rsidR="1149D2FC">
        <w:rPr>
          <w:rFonts w:ascii="Times New Roman" w:eastAsia="Times New Roman" w:hAnsi="Times New Roman" w:cs="Times New Roman"/>
          <w:sz w:val="24"/>
          <w:szCs w:val="24"/>
        </w:rPr>
        <w:t xml:space="preserve">remaining </w:t>
      </w:r>
      <w:r w:rsidRPr="638B37EC">
        <w:rPr>
          <w:rFonts w:ascii="Times New Roman" w:eastAsia="Times New Roman" w:hAnsi="Times New Roman" w:cs="Times New Roman"/>
          <w:sz w:val="24"/>
          <w:szCs w:val="24"/>
        </w:rPr>
        <w:t xml:space="preserve">workers, the </w:t>
      </w:r>
      <w:r w:rsidRPr="638B37EC" w:rsidR="597832DA">
        <w:rPr>
          <w:rFonts w:ascii="Times New Roman" w:eastAsia="Times New Roman" w:hAnsi="Times New Roman" w:cs="Times New Roman"/>
          <w:sz w:val="24"/>
          <w:szCs w:val="24"/>
        </w:rPr>
        <w:t>a</w:t>
      </w:r>
      <w:r w:rsidRPr="638B37EC">
        <w:rPr>
          <w:rFonts w:ascii="Times New Roman" w:eastAsia="Times New Roman" w:hAnsi="Times New Roman" w:cs="Times New Roman"/>
          <w:sz w:val="24"/>
          <w:szCs w:val="24"/>
        </w:rPr>
        <w:t xml:space="preserve">gency estimates that 41% </w:t>
      </w:r>
      <w:r w:rsidRPr="638B37EC" w:rsidR="171A565F">
        <w:rPr>
          <w:rFonts w:ascii="Times New Roman" w:eastAsia="Times New Roman" w:hAnsi="Times New Roman" w:cs="Times New Roman"/>
          <w:sz w:val="24"/>
          <w:szCs w:val="24"/>
        </w:rPr>
        <w:t>(</w:t>
      </w:r>
      <w:r w:rsidRPr="638B37EC" w:rsidR="00D22379">
        <w:rPr>
          <w:rFonts w:ascii="Times New Roman" w:eastAsia="Times New Roman" w:hAnsi="Times New Roman" w:cs="Times New Roman"/>
          <w:sz w:val="24"/>
          <w:szCs w:val="24"/>
        </w:rPr>
        <w:t>354,</w:t>
      </w:r>
      <w:r w:rsidRPr="638B37EC" w:rsidR="005923AC">
        <w:rPr>
          <w:rFonts w:ascii="Times New Roman" w:eastAsia="Times New Roman" w:hAnsi="Times New Roman" w:cs="Times New Roman"/>
          <w:sz w:val="24"/>
          <w:szCs w:val="24"/>
        </w:rPr>
        <w:t xml:space="preserve">371 </w:t>
      </w:r>
      <w:r w:rsidRPr="638B37EC">
        <w:rPr>
          <w:rFonts w:ascii="Times New Roman" w:eastAsia="Times New Roman" w:hAnsi="Times New Roman" w:cs="Times New Roman"/>
          <w:sz w:val="24"/>
          <w:szCs w:val="24"/>
        </w:rPr>
        <w:t>workers</w:t>
      </w:r>
      <w:r w:rsidRPr="638B37EC" w:rsidR="6FF757A1">
        <w:rPr>
          <w:rFonts w:ascii="Times New Roman" w:eastAsia="Times New Roman" w:hAnsi="Times New Roman" w:cs="Times New Roman"/>
          <w:sz w:val="24"/>
          <w:szCs w:val="24"/>
        </w:rPr>
        <w:t>, rounded)</w:t>
      </w:r>
      <w:r w:rsidRPr="638B37EC">
        <w:rPr>
          <w:rFonts w:ascii="Times New Roman" w:eastAsia="Times New Roman" w:hAnsi="Times New Roman" w:cs="Times New Roman"/>
          <w:sz w:val="24"/>
          <w:szCs w:val="24"/>
        </w:rPr>
        <w:t xml:space="preserve"> would require training “at the operations level” and that it would take 1 minute (</w:t>
      </w:r>
      <w:r w:rsidRPr="638B37EC" w:rsidR="00952D79">
        <w:rPr>
          <w:rFonts w:ascii="Times New Roman" w:eastAsia="Times New Roman" w:hAnsi="Times New Roman" w:cs="Times New Roman"/>
          <w:sz w:val="24"/>
          <w:szCs w:val="24"/>
        </w:rPr>
        <w:t>1/60</w:t>
      </w:r>
      <w:r w:rsidRPr="638B37EC">
        <w:rPr>
          <w:rFonts w:ascii="Times New Roman" w:eastAsia="Times New Roman" w:hAnsi="Times New Roman" w:cs="Times New Roman"/>
          <w:sz w:val="24"/>
          <w:szCs w:val="24"/>
        </w:rPr>
        <w:t xml:space="preserve"> hour) for an employer to maintain th</w:t>
      </w:r>
      <w:r w:rsidRPr="638B37EC" w:rsidR="5F6039B3">
        <w:rPr>
          <w:rFonts w:ascii="Times New Roman" w:eastAsia="Times New Roman" w:hAnsi="Times New Roman" w:cs="Times New Roman"/>
          <w:sz w:val="24"/>
          <w:szCs w:val="24"/>
        </w:rPr>
        <w:t>os</w:t>
      </w:r>
      <w:r w:rsidRPr="638B37EC">
        <w:rPr>
          <w:rFonts w:ascii="Times New Roman" w:eastAsia="Times New Roman" w:hAnsi="Times New Roman" w:cs="Times New Roman"/>
          <w:sz w:val="24"/>
          <w:szCs w:val="24"/>
        </w:rPr>
        <w:t>e training certification</w:t>
      </w:r>
      <w:r w:rsidRPr="638B37EC" w:rsidR="239BE9E2">
        <w:rPr>
          <w:rFonts w:ascii="Times New Roman" w:eastAsia="Times New Roman" w:hAnsi="Times New Roman" w:cs="Times New Roman"/>
          <w:sz w:val="24"/>
          <w:szCs w:val="24"/>
        </w:rPr>
        <w:t xml:space="preserve">s and </w:t>
      </w:r>
      <w:r w:rsidRPr="638B37EC">
        <w:rPr>
          <w:rFonts w:ascii="Times New Roman" w:eastAsia="Times New Roman" w:hAnsi="Times New Roman" w:cs="Times New Roman"/>
          <w:sz w:val="24"/>
          <w:szCs w:val="24"/>
        </w:rPr>
        <w:t>competency record</w:t>
      </w:r>
      <w:r w:rsidRPr="638B37EC" w:rsidR="164F94EB">
        <w:rPr>
          <w:rFonts w:ascii="Times New Roman" w:eastAsia="Times New Roman" w:hAnsi="Times New Roman" w:cs="Times New Roman"/>
          <w:sz w:val="24"/>
          <w:szCs w:val="24"/>
        </w:rPr>
        <w:t>s</w:t>
      </w:r>
      <w:r w:rsidRPr="638B37EC" w:rsidR="1114270E">
        <w:rPr>
          <w:rFonts w:ascii="Times New Roman" w:eastAsia="Times New Roman" w:hAnsi="Times New Roman" w:cs="Times New Roman"/>
          <w:sz w:val="24"/>
          <w:szCs w:val="24"/>
        </w:rPr>
        <w:t>.</w:t>
      </w:r>
    </w:p>
    <w:p w:rsidR="00BF576C" w:rsidRPr="00723CBD" w:rsidP="00BF576C" w14:paraId="43B48B70"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638B37EC" w14:paraId="6E297C2A" w14:textId="1241A231">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sz w:val="24"/>
          <w:szCs w:val="24"/>
        </w:rPr>
        <w:tab/>
        <w:t>Burden hours:</w:t>
      </w:r>
      <w:r w:rsidRPr="00723CBD">
        <w:rPr>
          <w:rFonts w:ascii="Times New Roman" w:eastAsia="Times New Roman" w:hAnsi="Times New Roman" w:cs="Times New Roman"/>
          <w:sz w:val="24"/>
          <w:szCs w:val="24"/>
        </w:rPr>
        <w:tab/>
      </w:r>
      <w:r w:rsidRPr="00723CBD" w:rsidR="00BD4E3A">
        <w:rPr>
          <w:rFonts w:ascii="Times New Roman" w:eastAsia="Times New Roman" w:hAnsi="Times New Roman" w:cs="Times New Roman"/>
          <w:sz w:val="24"/>
          <w:szCs w:val="24"/>
        </w:rPr>
        <w:t xml:space="preserve">354,371 </w:t>
      </w:r>
      <w:r w:rsidRPr="00723CBD">
        <w:rPr>
          <w:rFonts w:ascii="Times New Roman" w:eastAsia="Times New Roman" w:hAnsi="Times New Roman" w:cs="Times New Roman"/>
          <w:sz w:val="24"/>
          <w:szCs w:val="24"/>
        </w:rPr>
        <w:t xml:space="preserve">workers × </w:t>
      </w:r>
      <w:r w:rsidRPr="00723CBD" w:rsidR="00F41F2B">
        <w:rPr>
          <w:rFonts w:ascii="Times New Roman" w:eastAsia="Times New Roman" w:hAnsi="Times New Roman" w:cs="Times New Roman"/>
          <w:sz w:val="24"/>
          <w:szCs w:val="24"/>
        </w:rPr>
        <w:t>1/60</w:t>
      </w:r>
      <w:r w:rsidRPr="00723CBD" w:rsidR="00A74A8C">
        <w:rPr>
          <w:rFonts w:ascii="Times New Roman" w:eastAsia="Times New Roman" w:hAnsi="Times New Roman" w:cs="Times New Roman"/>
          <w:sz w:val="24"/>
          <w:szCs w:val="24"/>
        </w:rPr>
        <w:t xml:space="preserve"> </w:t>
      </w:r>
      <w:r w:rsidRPr="00723CBD">
        <w:rPr>
          <w:rFonts w:ascii="Times New Roman" w:eastAsia="Times New Roman" w:hAnsi="Times New Roman" w:cs="Times New Roman"/>
          <w:sz w:val="24"/>
          <w:szCs w:val="24"/>
        </w:rPr>
        <w:t>hour =</w:t>
      </w:r>
      <w:r w:rsidRPr="00723CBD" w:rsidR="001F4401">
        <w:rPr>
          <w:rFonts w:ascii="Times New Roman" w:eastAsia="Times New Roman" w:hAnsi="Times New Roman" w:cs="Times New Roman"/>
          <w:sz w:val="24"/>
          <w:szCs w:val="24"/>
        </w:rPr>
        <w:t xml:space="preserve"> </w:t>
      </w:r>
      <w:r w:rsidRPr="00723CBD" w:rsidR="00A40773">
        <w:rPr>
          <w:rFonts w:ascii="Times New Roman" w:eastAsia="Times New Roman" w:hAnsi="Times New Roman" w:cs="Times New Roman"/>
          <w:sz w:val="24"/>
          <w:szCs w:val="24"/>
        </w:rPr>
        <w:t xml:space="preserve">5,906 </w:t>
      </w:r>
      <w:r w:rsidRPr="00723CBD">
        <w:rPr>
          <w:rFonts w:ascii="Times New Roman" w:eastAsia="Times New Roman" w:hAnsi="Times New Roman" w:cs="Times New Roman"/>
          <w:sz w:val="24"/>
          <w:szCs w:val="24"/>
        </w:rPr>
        <w:t>hours</w:t>
      </w:r>
      <w:r w:rsidRPr="00723CBD" w:rsidR="55BF3B90">
        <w:rPr>
          <w:rFonts w:ascii="Times New Roman" w:eastAsia="Times New Roman" w:hAnsi="Times New Roman" w:cs="Times New Roman"/>
          <w:sz w:val="24"/>
          <w:szCs w:val="24"/>
        </w:rPr>
        <w:t>, rounded</w:t>
      </w:r>
    </w:p>
    <w:p w:rsidR="00BF576C" w:rsidRPr="00723CBD" w:rsidP="00D91F68" w14:paraId="05CC4D23" w14:textId="7A796429">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638B37EC">
        <w:rPr>
          <w:rFonts w:ascii="Times New Roman" w:eastAsia="Times New Roman" w:hAnsi="Times New Roman" w:cs="Times New Roman"/>
          <w:sz w:val="24"/>
          <w:szCs w:val="24"/>
        </w:rPr>
        <w:t xml:space="preserve">  Cost: 5,906 hours x $53.70 = $317,152.20</w:t>
      </w:r>
    </w:p>
    <w:p w:rsidR="00BF576C" w:rsidRPr="00723CBD" w:rsidP="00BF576C" w14:paraId="09B7F4B6"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7133A66B" w14:textId="196D126C">
      <w:pPr>
        <w:autoSpaceDE w:val="0"/>
        <w:autoSpaceDN w:val="0"/>
        <w:adjustRightInd w:val="0"/>
        <w:spacing w:after="0" w:line="240" w:lineRule="auto"/>
        <w:rPr>
          <w:rFonts w:ascii="Times New Roman" w:eastAsia="Times New Roman" w:hAnsi="Times New Roman" w:cs="Times New Roman"/>
          <w:sz w:val="24"/>
          <w:szCs w:val="24"/>
        </w:rPr>
      </w:pPr>
      <w:r w:rsidRPr="638B37EC">
        <w:rPr>
          <w:rFonts w:ascii="Times New Roman" w:eastAsia="Times New Roman" w:hAnsi="Times New Roman" w:cs="Times New Roman"/>
          <w:sz w:val="24"/>
          <w:szCs w:val="24"/>
        </w:rPr>
        <w:t xml:space="preserve">The </w:t>
      </w:r>
      <w:r w:rsidRPr="638B37EC" w:rsidR="4DA3A375">
        <w:rPr>
          <w:rFonts w:ascii="Times New Roman" w:eastAsia="Times New Roman" w:hAnsi="Times New Roman" w:cs="Times New Roman"/>
          <w:sz w:val="24"/>
          <w:szCs w:val="24"/>
        </w:rPr>
        <w:t>a</w:t>
      </w:r>
      <w:r w:rsidRPr="638B37EC">
        <w:rPr>
          <w:rFonts w:ascii="Times New Roman" w:eastAsia="Times New Roman" w:hAnsi="Times New Roman" w:cs="Times New Roman"/>
          <w:sz w:val="24"/>
          <w:szCs w:val="24"/>
        </w:rPr>
        <w:t>gency estimates a 10% turnover rate</w:t>
      </w:r>
      <w:r w:rsidRPr="638B37EC" w:rsidR="1FC9A416">
        <w:rPr>
          <w:rFonts w:ascii="Times New Roman" w:eastAsia="Times New Roman" w:hAnsi="Times New Roman" w:cs="Times New Roman"/>
          <w:sz w:val="24"/>
          <w:szCs w:val="24"/>
        </w:rPr>
        <w:t xml:space="preserve"> within the industry, and</w:t>
      </w:r>
      <w:r w:rsidRPr="638B37EC">
        <w:rPr>
          <w:rFonts w:ascii="Times New Roman" w:eastAsia="Times New Roman" w:hAnsi="Times New Roman" w:cs="Times New Roman"/>
          <w:sz w:val="24"/>
          <w:szCs w:val="24"/>
        </w:rPr>
        <w:t xml:space="preserve"> </w:t>
      </w:r>
      <w:r w:rsidRPr="638B37EC" w:rsidR="0AAE9D3B">
        <w:rPr>
          <w:rFonts w:ascii="Times New Roman" w:eastAsia="Times New Roman" w:hAnsi="Times New Roman" w:cs="Times New Roman"/>
          <w:sz w:val="24"/>
          <w:szCs w:val="24"/>
        </w:rPr>
        <w:t>further</w:t>
      </w:r>
      <w:r w:rsidRPr="638B37EC">
        <w:rPr>
          <w:rFonts w:ascii="Times New Roman" w:eastAsia="Times New Roman" w:hAnsi="Times New Roman" w:cs="Times New Roman"/>
          <w:sz w:val="24"/>
          <w:szCs w:val="24"/>
        </w:rPr>
        <w:t xml:space="preserve">, </w:t>
      </w:r>
      <w:r w:rsidRPr="638B37EC" w:rsidR="1100E609">
        <w:rPr>
          <w:rFonts w:ascii="Times New Roman" w:eastAsia="Times New Roman" w:hAnsi="Times New Roman" w:cs="Times New Roman"/>
          <w:sz w:val="24"/>
          <w:szCs w:val="24"/>
        </w:rPr>
        <w:t xml:space="preserve">that </w:t>
      </w:r>
      <w:r w:rsidRPr="638B37EC" w:rsidR="00E958C0">
        <w:rPr>
          <w:rFonts w:ascii="Times New Roman" w:eastAsia="Times New Roman" w:hAnsi="Times New Roman" w:cs="Times New Roman"/>
          <w:sz w:val="24"/>
          <w:szCs w:val="24"/>
        </w:rPr>
        <w:t>35,437</w:t>
      </w:r>
      <w:r w:rsidRPr="638B37EC">
        <w:rPr>
          <w:rFonts w:ascii="Times New Roman" w:eastAsia="Times New Roman" w:hAnsi="Times New Roman" w:cs="Times New Roman"/>
          <w:sz w:val="24"/>
          <w:szCs w:val="24"/>
        </w:rPr>
        <w:t xml:space="preserve"> workers</w:t>
      </w:r>
      <w:r w:rsidRPr="638B37EC" w:rsidR="7FFF8E00">
        <w:rPr>
          <w:rFonts w:ascii="Times New Roman" w:eastAsia="Times New Roman" w:hAnsi="Times New Roman" w:cs="Times New Roman"/>
          <w:sz w:val="24"/>
          <w:szCs w:val="24"/>
        </w:rPr>
        <w:t xml:space="preserve"> (354,371 workers x 10% turnover rate)</w:t>
      </w:r>
      <w:r w:rsidRPr="638B37EC">
        <w:rPr>
          <w:rFonts w:ascii="Times New Roman" w:eastAsia="Times New Roman" w:hAnsi="Times New Roman" w:cs="Times New Roman"/>
          <w:sz w:val="24"/>
          <w:szCs w:val="24"/>
        </w:rPr>
        <w:t xml:space="preserve"> would require initial training</w:t>
      </w:r>
      <w:r w:rsidRPr="638B37EC" w:rsidR="121B5428">
        <w:rPr>
          <w:rFonts w:ascii="Times New Roman" w:eastAsia="Times New Roman" w:hAnsi="Times New Roman" w:cs="Times New Roman"/>
          <w:sz w:val="24"/>
          <w:szCs w:val="24"/>
        </w:rPr>
        <w:t xml:space="preserve"> to comply with the standard.</w:t>
      </w:r>
      <w:r w:rsidRPr="638B37EC">
        <w:rPr>
          <w:rFonts w:ascii="Times New Roman" w:eastAsia="Times New Roman" w:hAnsi="Times New Roman" w:cs="Times New Roman"/>
          <w:sz w:val="24"/>
          <w:szCs w:val="24"/>
        </w:rPr>
        <w:t xml:space="preserve"> </w:t>
      </w:r>
      <w:r w:rsidRPr="638B37EC" w:rsidR="7A1D29BE">
        <w:rPr>
          <w:rFonts w:ascii="Times New Roman" w:eastAsia="Times New Roman" w:hAnsi="Times New Roman" w:cs="Times New Roman"/>
          <w:sz w:val="24"/>
          <w:szCs w:val="24"/>
        </w:rPr>
        <w:t>OSHA assumes it</w:t>
      </w:r>
      <w:r w:rsidRPr="638B37EC">
        <w:rPr>
          <w:rFonts w:ascii="Times New Roman" w:eastAsia="Times New Roman" w:hAnsi="Times New Roman" w:cs="Times New Roman"/>
          <w:sz w:val="24"/>
          <w:szCs w:val="24"/>
        </w:rPr>
        <w:t xml:space="preserve"> will take 3 minutes (</w:t>
      </w:r>
      <w:r w:rsidRPr="638B37EC" w:rsidR="00300E04">
        <w:rPr>
          <w:rFonts w:ascii="Times New Roman" w:eastAsia="Times New Roman" w:hAnsi="Times New Roman" w:cs="Times New Roman"/>
          <w:sz w:val="24"/>
          <w:szCs w:val="24"/>
        </w:rPr>
        <w:t>3/60</w:t>
      </w:r>
      <w:r w:rsidRPr="638B37EC">
        <w:rPr>
          <w:rFonts w:ascii="Times New Roman" w:eastAsia="Times New Roman" w:hAnsi="Times New Roman" w:cs="Times New Roman"/>
          <w:sz w:val="24"/>
          <w:szCs w:val="24"/>
        </w:rPr>
        <w:t xml:space="preserve"> hour)</w:t>
      </w:r>
      <w:r w:rsidRPr="638B37EC" w:rsidR="00BB4454">
        <w:rPr>
          <w:rFonts w:ascii="Times New Roman" w:eastAsia="Times New Roman" w:hAnsi="Times New Roman" w:cs="Times New Roman"/>
          <w:sz w:val="24"/>
          <w:szCs w:val="24"/>
        </w:rPr>
        <w:t xml:space="preserve"> </w:t>
      </w:r>
      <w:r w:rsidRPr="638B37EC">
        <w:rPr>
          <w:rFonts w:ascii="Times New Roman" w:eastAsia="Times New Roman" w:hAnsi="Times New Roman" w:cs="Times New Roman"/>
          <w:sz w:val="24"/>
          <w:szCs w:val="24"/>
        </w:rPr>
        <w:t xml:space="preserve">to generate and maintain the </w:t>
      </w:r>
      <w:r w:rsidRPr="638B37EC" w:rsidR="6781996D">
        <w:rPr>
          <w:rFonts w:ascii="Times New Roman" w:eastAsia="Times New Roman" w:hAnsi="Times New Roman" w:cs="Times New Roman"/>
          <w:sz w:val="24"/>
          <w:szCs w:val="24"/>
        </w:rPr>
        <w:t xml:space="preserve">associated </w:t>
      </w:r>
      <w:r w:rsidRPr="638B37EC">
        <w:rPr>
          <w:rFonts w:ascii="Times New Roman" w:eastAsia="Times New Roman" w:hAnsi="Times New Roman" w:cs="Times New Roman"/>
          <w:sz w:val="24"/>
          <w:szCs w:val="24"/>
        </w:rPr>
        <w:t>certification</w:t>
      </w:r>
      <w:r w:rsidRPr="638B37EC" w:rsidR="154E3549">
        <w:rPr>
          <w:rFonts w:ascii="Times New Roman" w:eastAsia="Times New Roman" w:hAnsi="Times New Roman" w:cs="Times New Roman"/>
          <w:sz w:val="24"/>
          <w:szCs w:val="24"/>
        </w:rPr>
        <w:t>s</w:t>
      </w:r>
      <w:r w:rsidRPr="638B37EC" w:rsidR="1A9CC1ED">
        <w:rPr>
          <w:rFonts w:ascii="Times New Roman" w:eastAsia="Times New Roman" w:hAnsi="Times New Roman" w:cs="Times New Roman"/>
          <w:sz w:val="24"/>
          <w:szCs w:val="24"/>
        </w:rPr>
        <w:t xml:space="preserve"> and </w:t>
      </w:r>
      <w:r w:rsidRPr="638B37EC">
        <w:rPr>
          <w:rFonts w:ascii="Times New Roman" w:eastAsia="Times New Roman" w:hAnsi="Times New Roman" w:cs="Times New Roman"/>
          <w:sz w:val="24"/>
          <w:szCs w:val="24"/>
        </w:rPr>
        <w:t>competency record</w:t>
      </w:r>
      <w:r w:rsidRPr="638B37EC" w:rsidR="6DC0012F">
        <w:rPr>
          <w:rFonts w:ascii="Times New Roman" w:eastAsia="Times New Roman" w:hAnsi="Times New Roman" w:cs="Times New Roman"/>
          <w:sz w:val="24"/>
          <w:szCs w:val="24"/>
        </w:rPr>
        <w:t>s</w:t>
      </w:r>
      <w:r w:rsidRPr="638B37EC">
        <w:rPr>
          <w:rFonts w:ascii="Times New Roman" w:eastAsia="Times New Roman" w:hAnsi="Times New Roman" w:cs="Times New Roman"/>
          <w:sz w:val="24"/>
          <w:szCs w:val="24"/>
        </w:rPr>
        <w:t xml:space="preserve">. </w:t>
      </w:r>
    </w:p>
    <w:p w:rsidR="00BF576C" w:rsidRPr="00723CBD" w:rsidP="00BF576C" w14:paraId="658448A6" w14:textId="77777777">
      <w:pPr>
        <w:autoSpaceDE w:val="0"/>
        <w:autoSpaceDN w:val="0"/>
        <w:adjustRightInd w:val="0"/>
        <w:spacing w:after="0" w:line="240" w:lineRule="auto"/>
        <w:ind w:firstLine="720"/>
        <w:rPr>
          <w:rFonts w:ascii="Times New Roman" w:eastAsia="Times New Roman" w:hAnsi="Times New Roman" w:cs="Times New Roman"/>
          <w:sz w:val="24"/>
          <w:szCs w:val="24"/>
        </w:rPr>
      </w:pPr>
    </w:p>
    <w:p w:rsidR="00BF576C" w:rsidRPr="00723CBD" w:rsidP="1210E917" w14:paraId="2944A1A6" w14:textId="306EA886">
      <w:pPr>
        <w:autoSpaceDE w:val="0"/>
        <w:autoSpaceDN w:val="0"/>
        <w:adjustRightInd w:val="0"/>
        <w:spacing w:after="0" w:line="240" w:lineRule="auto"/>
        <w:ind w:firstLine="720"/>
        <w:rPr>
          <w:rFonts w:ascii="Times New Roman" w:eastAsia="Times New Roman" w:hAnsi="Times New Roman" w:cs="Times New Roman"/>
          <w:sz w:val="24"/>
          <w:szCs w:val="24"/>
        </w:rPr>
      </w:pPr>
      <w:r w:rsidRPr="638B37EC">
        <w:rPr>
          <w:rFonts w:ascii="Times New Roman" w:eastAsia="Times New Roman" w:hAnsi="Times New Roman" w:cs="Times New Roman"/>
          <w:sz w:val="24"/>
          <w:szCs w:val="24"/>
        </w:rPr>
        <w:t xml:space="preserve">Burden hours: </w:t>
      </w:r>
      <w:r w:rsidRPr="638B37EC" w:rsidR="00E958C0">
        <w:rPr>
          <w:rFonts w:ascii="Times New Roman" w:eastAsia="Times New Roman" w:hAnsi="Times New Roman" w:cs="Times New Roman"/>
          <w:sz w:val="24"/>
          <w:szCs w:val="24"/>
        </w:rPr>
        <w:t>35,437</w:t>
      </w:r>
      <w:r w:rsidRPr="638B37EC">
        <w:rPr>
          <w:rFonts w:ascii="Times New Roman" w:eastAsia="Times New Roman" w:hAnsi="Times New Roman" w:cs="Times New Roman"/>
          <w:sz w:val="24"/>
          <w:szCs w:val="24"/>
        </w:rPr>
        <w:t xml:space="preserve"> new hires x </w:t>
      </w:r>
      <w:r w:rsidRPr="638B37EC" w:rsidR="00D9118C">
        <w:rPr>
          <w:rFonts w:ascii="Times New Roman" w:eastAsia="Times New Roman" w:hAnsi="Times New Roman" w:cs="Times New Roman"/>
          <w:sz w:val="24"/>
          <w:szCs w:val="24"/>
        </w:rPr>
        <w:t>3/60</w:t>
      </w:r>
      <w:r w:rsidRPr="638B37EC" w:rsidR="006B350A">
        <w:rPr>
          <w:rFonts w:ascii="Times New Roman" w:eastAsia="Times New Roman" w:hAnsi="Times New Roman" w:cs="Times New Roman"/>
          <w:sz w:val="24"/>
          <w:szCs w:val="24"/>
        </w:rPr>
        <w:t xml:space="preserve"> </w:t>
      </w:r>
      <w:r w:rsidRPr="638B37EC">
        <w:rPr>
          <w:rFonts w:ascii="Times New Roman" w:eastAsia="Times New Roman" w:hAnsi="Times New Roman" w:cs="Times New Roman"/>
          <w:sz w:val="24"/>
          <w:szCs w:val="24"/>
        </w:rPr>
        <w:t>hour =</w:t>
      </w:r>
      <w:r w:rsidRPr="638B37EC" w:rsidR="002448ED">
        <w:rPr>
          <w:rFonts w:ascii="Times New Roman" w:eastAsia="Times New Roman" w:hAnsi="Times New Roman" w:cs="Times New Roman"/>
          <w:sz w:val="24"/>
          <w:szCs w:val="24"/>
        </w:rPr>
        <w:t xml:space="preserve"> </w:t>
      </w:r>
      <w:r w:rsidRPr="638B37EC" w:rsidR="002F1C1B">
        <w:rPr>
          <w:rFonts w:ascii="Times New Roman" w:eastAsia="Times New Roman" w:hAnsi="Times New Roman" w:cs="Times New Roman"/>
          <w:sz w:val="24"/>
          <w:szCs w:val="24"/>
        </w:rPr>
        <w:t>1,7</w:t>
      </w:r>
      <w:r w:rsidRPr="638B37EC" w:rsidR="325B788C">
        <w:rPr>
          <w:rFonts w:ascii="Times New Roman" w:eastAsia="Times New Roman" w:hAnsi="Times New Roman" w:cs="Times New Roman"/>
          <w:sz w:val="24"/>
          <w:szCs w:val="24"/>
        </w:rPr>
        <w:t>67</w:t>
      </w:r>
      <w:r w:rsidRPr="638B37EC" w:rsidR="00DB51BC">
        <w:rPr>
          <w:rFonts w:ascii="Times New Roman" w:eastAsia="Times New Roman" w:hAnsi="Times New Roman" w:cs="Times New Roman"/>
          <w:sz w:val="24"/>
          <w:szCs w:val="24"/>
        </w:rPr>
        <w:t xml:space="preserve"> </w:t>
      </w:r>
      <w:r w:rsidRPr="638B37EC">
        <w:rPr>
          <w:rFonts w:ascii="Times New Roman" w:eastAsia="Times New Roman" w:hAnsi="Times New Roman" w:cs="Times New Roman"/>
          <w:sz w:val="24"/>
          <w:szCs w:val="24"/>
        </w:rPr>
        <w:t>hours</w:t>
      </w:r>
      <w:r w:rsidRPr="638B37EC" w:rsidR="418B7E60">
        <w:rPr>
          <w:rFonts w:ascii="Times New Roman" w:eastAsia="Times New Roman" w:hAnsi="Times New Roman" w:cs="Times New Roman"/>
          <w:sz w:val="24"/>
          <w:szCs w:val="24"/>
        </w:rPr>
        <w:t>, rounded</w:t>
      </w:r>
    </w:p>
    <w:p w:rsidR="71005DBD" w:rsidP="00D91F68" w14:paraId="51F8D12D" w14:textId="648A0D47">
      <w:pPr>
        <w:spacing w:after="0" w:line="240" w:lineRule="auto"/>
        <w:ind w:left="720" w:firstLine="720"/>
        <w:rPr>
          <w:rFonts w:ascii="Times New Roman" w:eastAsia="Times New Roman" w:hAnsi="Times New Roman" w:cs="Times New Roman"/>
          <w:sz w:val="24"/>
          <w:szCs w:val="24"/>
        </w:rPr>
      </w:pPr>
      <w:r w:rsidRPr="638B37EC">
        <w:rPr>
          <w:rFonts w:ascii="Times New Roman" w:eastAsia="Times New Roman" w:hAnsi="Times New Roman" w:cs="Times New Roman"/>
          <w:sz w:val="24"/>
          <w:szCs w:val="24"/>
        </w:rPr>
        <w:t xml:space="preserve">  </w:t>
      </w:r>
      <w:r w:rsidRPr="638B37EC" w:rsidR="032BBCA6">
        <w:rPr>
          <w:rFonts w:ascii="Times New Roman" w:eastAsia="Times New Roman" w:hAnsi="Times New Roman" w:cs="Times New Roman"/>
          <w:sz w:val="24"/>
          <w:szCs w:val="24"/>
        </w:rPr>
        <w:t>Cost: 1,767 hours x $53.70 = $94,887.90</w:t>
      </w:r>
    </w:p>
    <w:p w:rsidR="638B37EC" w:rsidP="638B37EC" w14:paraId="255DE1EB" w14:textId="5D61533B">
      <w:pPr>
        <w:spacing w:after="0" w:line="240" w:lineRule="auto"/>
        <w:ind w:left="720" w:firstLine="720"/>
        <w:rPr>
          <w:rFonts w:ascii="Times New Roman" w:eastAsia="Times New Roman" w:hAnsi="Times New Roman" w:cs="Times New Roman"/>
          <w:sz w:val="24"/>
          <w:szCs w:val="24"/>
        </w:rPr>
      </w:pPr>
    </w:p>
    <w:p w:rsidR="4691404F" w:rsidP="00D91F68" w14:paraId="227F96B5" w14:textId="1D276EF2">
      <w:pPr>
        <w:spacing w:after="0" w:line="240" w:lineRule="auto"/>
        <w:rPr>
          <w:rFonts w:ascii="Times New Roman" w:eastAsia="Times New Roman" w:hAnsi="Times New Roman" w:cs="Times New Roman"/>
          <w:i/>
          <w:iCs/>
          <w:sz w:val="24"/>
          <w:szCs w:val="24"/>
        </w:rPr>
      </w:pPr>
      <w:r>
        <w:tab/>
      </w:r>
      <w:r w:rsidRPr="00D91F68">
        <w:rPr>
          <w:rFonts w:ascii="Times New Roman" w:eastAsia="Times New Roman" w:hAnsi="Times New Roman" w:cs="Times New Roman"/>
          <w:i/>
          <w:iCs/>
          <w:sz w:val="24"/>
          <w:szCs w:val="24"/>
        </w:rPr>
        <w:t>Subtotal Burden hours: 5,</w:t>
      </w:r>
      <w:r w:rsidRPr="638B37EC">
        <w:rPr>
          <w:rFonts w:ascii="Times New Roman" w:eastAsia="Times New Roman" w:hAnsi="Times New Roman" w:cs="Times New Roman"/>
          <w:i/>
          <w:iCs/>
          <w:sz w:val="24"/>
          <w:szCs w:val="24"/>
        </w:rPr>
        <w:t>9</w:t>
      </w:r>
      <w:r w:rsidRPr="00D91F68">
        <w:rPr>
          <w:rFonts w:ascii="Times New Roman" w:eastAsia="Times New Roman" w:hAnsi="Times New Roman" w:cs="Times New Roman"/>
          <w:i/>
          <w:iCs/>
          <w:sz w:val="24"/>
          <w:szCs w:val="24"/>
        </w:rPr>
        <w:t>06 hours + 1,767 hours = 7,673 hours</w:t>
      </w:r>
    </w:p>
    <w:p w:rsidR="00BF576C" w:rsidRPr="00723CBD" w:rsidP="1210E917" w14:paraId="09386C80" w14:textId="60D4306C">
      <w:pPr>
        <w:autoSpaceDE w:val="0"/>
        <w:autoSpaceDN w:val="0"/>
        <w:adjustRightInd w:val="0"/>
        <w:spacing w:after="0" w:line="240" w:lineRule="auto"/>
        <w:rPr>
          <w:rFonts w:ascii="Times New Roman" w:eastAsia="Times New Roman" w:hAnsi="Times New Roman" w:cs="Times New Roman"/>
          <w:i/>
          <w:iCs/>
          <w:sz w:val="24"/>
          <w:szCs w:val="24"/>
        </w:rPr>
      </w:pPr>
      <w:r>
        <w:tab/>
      </w:r>
      <w:r>
        <w:tab/>
      </w:r>
      <w:r w:rsidRPr="00D91F68">
        <w:rPr>
          <w:rFonts w:ascii="Times New Roman" w:eastAsia="Times New Roman" w:hAnsi="Times New Roman" w:cs="Times New Roman"/>
          <w:i/>
          <w:iCs/>
          <w:sz w:val="24"/>
          <w:szCs w:val="24"/>
        </w:rPr>
        <w:t xml:space="preserve">  Subtotal Cost: $317,152.20 + $94,887.90 = $412,040.10</w:t>
      </w:r>
      <w:r w:rsidRPr="00723CBD">
        <w:rPr>
          <w:rFonts w:ascii="Times New Roman" w:eastAsia="Times New Roman" w:hAnsi="Times New Roman" w:cs="Times New Roman"/>
          <w:sz w:val="24"/>
          <w:szCs w:val="24"/>
        </w:rPr>
        <w:tab/>
      </w:r>
    </w:p>
    <w:p w:rsidR="00BF576C" w:rsidRPr="00723CBD" w:rsidP="00BF576C" w14:paraId="207FC780" w14:textId="60D4306C">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611546AD" w14:textId="77777777">
      <w:pPr>
        <w:autoSpaceDE w:val="0"/>
        <w:autoSpaceDN w:val="0"/>
        <w:adjustRightInd w:val="0"/>
        <w:spacing w:after="0" w:line="240" w:lineRule="auto"/>
        <w:rPr>
          <w:rFonts w:ascii="Times New Roman" w:eastAsia="Times New Roman" w:hAnsi="Times New Roman" w:cs="Times New Roman"/>
          <w:b/>
          <w:sz w:val="24"/>
          <w:szCs w:val="24"/>
        </w:rPr>
      </w:pPr>
      <w:r w:rsidRPr="00723CBD">
        <w:rPr>
          <w:rFonts w:ascii="Times New Roman" w:eastAsia="Times New Roman" w:hAnsi="Times New Roman" w:cs="Times New Roman"/>
          <w:b/>
          <w:bCs/>
          <w:sz w:val="24"/>
          <w:szCs w:val="24"/>
        </w:rPr>
        <w:t>24. Hazardous material personnel -- certification of training</w:t>
      </w:r>
      <w:r w:rsidRPr="00723CBD">
        <w:rPr>
          <w:rFonts w:ascii="Times New Roman" w:eastAsia="Times New Roman" w:hAnsi="Times New Roman" w:cs="Times New Roman"/>
          <w:b/>
          <w:sz w:val="24"/>
          <w:szCs w:val="24"/>
        </w:rPr>
        <w:t xml:space="preserve"> </w:t>
      </w:r>
    </w:p>
    <w:p w:rsidR="00BF576C" w:rsidRPr="00723CBD" w:rsidP="00BF576C" w14:paraId="08453823"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62874FA9" w14:textId="0D183ACD">
      <w:pPr>
        <w:autoSpaceDE w:val="0"/>
        <w:autoSpaceDN w:val="0"/>
        <w:adjustRightInd w:val="0"/>
        <w:spacing w:after="0" w:line="240" w:lineRule="auto"/>
        <w:rPr>
          <w:rFonts w:ascii="Times New Roman" w:eastAsia="Times New Roman" w:hAnsi="Times New Roman" w:cs="Times New Roman"/>
          <w:sz w:val="24"/>
          <w:szCs w:val="24"/>
        </w:rPr>
      </w:pPr>
      <w:r w:rsidRPr="00D91F68">
        <w:rPr>
          <w:rFonts w:ascii="Times New Roman" w:eastAsia="Times New Roman" w:hAnsi="Times New Roman" w:cs="Times New Roman"/>
          <w:sz w:val="24"/>
          <w:szCs w:val="24"/>
        </w:rPr>
        <w:t>Paragraph 1910.120(q)(6)(iii)</w:t>
      </w:r>
      <w:r w:rsidRPr="638B37EC" w:rsidR="5D1FFD1E">
        <w:rPr>
          <w:rFonts w:ascii="Times New Roman" w:eastAsia="Times New Roman" w:hAnsi="Times New Roman" w:cs="Times New Roman"/>
          <w:sz w:val="24"/>
          <w:szCs w:val="24"/>
        </w:rPr>
        <w:t xml:space="preserve"> </w:t>
      </w:r>
      <w:r w:rsidRPr="638B37EC" w:rsidR="6E4A2820">
        <w:rPr>
          <w:rFonts w:ascii="Times New Roman" w:eastAsia="Times New Roman" w:hAnsi="Times New Roman" w:cs="Times New Roman"/>
          <w:sz w:val="24"/>
          <w:szCs w:val="24"/>
        </w:rPr>
        <w:t>describes</w:t>
      </w:r>
      <w:r w:rsidRPr="638B37EC">
        <w:rPr>
          <w:rFonts w:ascii="Times New Roman" w:eastAsia="Times New Roman" w:hAnsi="Times New Roman" w:cs="Times New Roman"/>
          <w:sz w:val="24"/>
          <w:szCs w:val="24"/>
        </w:rPr>
        <w:t xml:space="preserve"> </w:t>
      </w:r>
      <w:r w:rsidRPr="638B37EC" w:rsidR="00A3449D">
        <w:rPr>
          <w:rFonts w:ascii="Times New Roman" w:eastAsia="Times New Roman" w:hAnsi="Times New Roman" w:cs="Times New Roman"/>
          <w:sz w:val="24"/>
          <w:szCs w:val="24"/>
        </w:rPr>
        <w:t>“</w:t>
      </w:r>
      <w:r w:rsidRPr="638B37EC" w:rsidR="5F0BDB3F">
        <w:rPr>
          <w:rFonts w:ascii="Times New Roman" w:eastAsia="Times New Roman" w:hAnsi="Times New Roman" w:cs="Times New Roman"/>
          <w:sz w:val="24"/>
          <w:szCs w:val="24"/>
        </w:rPr>
        <w:t>h</w:t>
      </w:r>
      <w:r w:rsidRPr="638B37EC" w:rsidR="00A3449D">
        <w:rPr>
          <w:rFonts w:ascii="Times New Roman" w:eastAsia="Times New Roman" w:hAnsi="Times New Roman" w:cs="Times New Roman"/>
          <w:sz w:val="24"/>
          <w:szCs w:val="24"/>
        </w:rPr>
        <w:t>azardous</w:t>
      </w:r>
      <w:r w:rsidRPr="638B37EC">
        <w:rPr>
          <w:rFonts w:ascii="Times New Roman" w:eastAsia="Times New Roman" w:hAnsi="Times New Roman" w:cs="Times New Roman"/>
          <w:sz w:val="24"/>
          <w:szCs w:val="24"/>
        </w:rPr>
        <w:t xml:space="preserve"> materials technicians” a</w:t>
      </w:r>
      <w:r w:rsidRPr="638B37EC" w:rsidR="509CC42D">
        <w:rPr>
          <w:rFonts w:ascii="Times New Roman" w:eastAsia="Times New Roman" w:hAnsi="Times New Roman" w:cs="Times New Roman"/>
          <w:sz w:val="24"/>
          <w:szCs w:val="24"/>
        </w:rPr>
        <w:t>s</w:t>
      </w:r>
      <w:r w:rsidRPr="638B37EC">
        <w:rPr>
          <w:rFonts w:ascii="Times New Roman" w:eastAsia="Times New Roman" w:hAnsi="Times New Roman" w:cs="Times New Roman"/>
          <w:sz w:val="24"/>
          <w:szCs w:val="24"/>
        </w:rPr>
        <w:t xml:space="preserve"> individuals who respond to releases or potential releases</w:t>
      </w:r>
      <w:r w:rsidRPr="638B37EC" w:rsidR="4D119D30">
        <w:rPr>
          <w:rFonts w:ascii="Times New Roman" w:eastAsia="Times New Roman" w:hAnsi="Times New Roman" w:cs="Times New Roman"/>
          <w:sz w:val="24"/>
          <w:szCs w:val="24"/>
        </w:rPr>
        <w:t xml:space="preserve"> of hazardous substances</w:t>
      </w:r>
      <w:r w:rsidRPr="638B37EC">
        <w:rPr>
          <w:rFonts w:ascii="Times New Roman" w:eastAsia="Times New Roman" w:hAnsi="Times New Roman" w:cs="Times New Roman"/>
          <w:sz w:val="24"/>
          <w:szCs w:val="24"/>
        </w:rPr>
        <w:t xml:space="preserve"> for the purpose of stopping the release. They assume a more aggressive role than a first responder at the operations level in that they will approach the point of release in order to plug, patch</w:t>
      </w:r>
      <w:r w:rsidRPr="638B37EC" w:rsidR="3CE13861">
        <w:rPr>
          <w:rFonts w:ascii="Times New Roman" w:eastAsia="Times New Roman" w:hAnsi="Times New Roman" w:cs="Times New Roman"/>
          <w:sz w:val="24"/>
          <w:szCs w:val="24"/>
        </w:rPr>
        <w:t>,</w:t>
      </w:r>
      <w:r w:rsidRPr="638B37EC">
        <w:rPr>
          <w:rFonts w:ascii="Times New Roman" w:eastAsia="Times New Roman" w:hAnsi="Times New Roman" w:cs="Times New Roman"/>
          <w:sz w:val="24"/>
          <w:szCs w:val="24"/>
        </w:rPr>
        <w:t xml:space="preserve"> or otherwise stop the release of a hazardous substance. Hazardous materials technicians shall have received training equal to the first responder operations level and, in addition, have competency in several additional areas; the employer shall so certify their competency.</w:t>
      </w:r>
    </w:p>
    <w:p w:rsidR="00BF576C" w:rsidRPr="00723CBD" w:rsidP="00BF576C" w14:paraId="7C07E207" w14:textId="77777777">
      <w:pPr>
        <w:autoSpaceDE w:val="0"/>
        <w:autoSpaceDN w:val="0"/>
        <w:adjustRightInd w:val="0"/>
        <w:spacing w:after="0" w:line="240" w:lineRule="auto"/>
        <w:rPr>
          <w:rFonts w:ascii="Times New Roman" w:eastAsia="Times New Roman" w:hAnsi="Times New Roman" w:cs="Times New Roman"/>
          <w:sz w:val="24"/>
          <w:szCs w:val="24"/>
          <w:u w:val="single"/>
        </w:rPr>
      </w:pPr>
    </w:p>
    <w:p w:rsidR="00BF576C" w:rsidRPr="00723CBD" w:rsidP="00BF576C" w14:paraId="55772C5D" w14:textId="53026BF8">
      <w:pPr>
        <w:autoSpaceDE w:val="0"/>
        <w:autoSpaceDN w:val="0"/>
        <w:adjustRightInd w:val="0"/>
        <w:spacing w:after="0" w:line="240" w:lineRule="auto"/>
        <w:rPr>
          <w:rFonts w:ascii="Times New Roman" w:eastAsia="Times New Roman" w:hAnsi="Times New Roman" w:cs="Times New Roman"/>
          <w:sz w:val="24"/>
          <w:szCs w:val="24"/>
        </w:rPr>
      </w:pPr>
      <w:r w:rsidRPr="00D91F68">
        <w:rPr>
          <w:rFonts w:ascii="Times New Roman" w:eastAsia="Times New Roman" w:hAnsi="Times New Roman" w:cs="Times New Roman"/>
          <w:sz w:val="24"/>
          <w:szCs w:val="24"/>
        </w:rPr>
        <w:t>Paragraph 1910.120(q)(6)(iv)</w:t>
      </w:r>
      <w:r w:rsidRPr="00D91F68" w:rsidR="7B1754E8">
        <w:rPr>
          <w:rFonts w:ascii="Times New Roman" w:eastAsia="Times New Roman" w:hAnsi="Times New Roman" w:cs="Times New Roman"/>
          <w:sz w:val="24"/>
          <w:szCs w:val="24"/>
        </w:rPr>
        <w:t xml:space="preserve"> describes</w:t>
      </w:r>
      <w:r w:rsidRPr="638B37EC">
        <w:rPr>
          <w:rFonts w:ascii="Times New Roman" w:eastAsia="Times New Roman" w:hAnsi="Times New Roman" w:cs="Times New Roman"/>
          <w:sz w:val="24"/>
          <w:szCs w:val="24"/>
        </w:rPr>
        <w:t xml:space="preserve"> “</w:t>
      </w:r>
      <w:r w:rsidRPr="638B37EC" w:rsidR="41D7D235">
        <w:rPr>
          <w:rFonts w:ascii="Times New Roman" w:eastAsia="Times New Roman" w:hAnsi="Times New Roman" w:cs="Times New Roman"/>
          <w:sz w:val="24"/>
          <w:szCs w:val="24"/>
        </w:rPr>
        <w:t>h</w:t>
      </w:r>
      <w:r w:rsidRPr="638B37EC">
        <w:rPr>
          <w:rFonts w:ascii="Times New Roman" w:eastAsia="Times New Roman" w:hAnsi="Times New Roman" w:cs="Times New Roman"/>
          <w:sz w:val="24"/>
          <w:szCs w:val="24"/>
        </w:rPr>
        <w:t>azardous materials specialists” a</w:t>
      </w:r>
      <w:r w:rsidRPr="638B37EC" w:rsidR="3DEC2FB0">
        <w:rPr>
          <w:rFonts w:ascii="Times New Roman" w:eastAsia="Times New Roman" w:hAnsi="Times New Roman" w:cs="Times New Roman"/>
          <w:sz w:val="24"/>
          <w:szCs w:val="24"/>
        </w:rPr>
        <w:t>s</w:t>
      </w:r>
      <w:r w:rsidRPr="638B37EC">
        <w:rPr>
          <w:rFonts w:ascii="Times New Roman" w:eastAsia="Times New Roman" w:hAnsi="Times New Roman" w:cs="Times New Roman"/>
          <w:sz w:val="24"/>
          <w:szCs w:val="24"/>
        </w:rPr>
        <w:t xml:space="preserve"> individuals who respond with and who provide technical support to hazardous materials technicians. Their duties parallel those of the hazardous materials technician; however, th</w:t>
      </w:r>
      <w:r w:rsidRPr="638B37EC" w:rsidR="065F1BA9">
        <w:rPr>
          <w:rFonts w:ascii="Times New Roman" w:eastAsia="Times New Roman" w:hAnsi="Times New Roman" w:cs="Times New Roman"/>
          <w:sz w:val="24"/>
          <w:szCs w:val="24"/>
        </w:rPr>
        <w:t>eir</w:t>
      </w:r>
      <w:r w:rsidRPr="638B37EC">
        <w:rPr>
          <w:rFonts w:ascii="Times New Roman" w:eastAsia="Times New Roman" w:hAnsi="Times New Roman" w:cs="Times New Roman"/>
          <w:sz w:val="24"/>
          <w:szCs w:val="24"/>
        </w:rPr>
        <w:t xml:space="preserve"> duties require a more directed or specific knowledge of the various substances they may be called upon to contain. The hazardous materials specialist would also act as the site liaison with Federal, state, local and other government authorities </w:t>
      </w:r>
      <w:r w:rsidRPr="638B37EC" w:rsidR="009F1665">
        <w:rPr>
          <w:rFonts w:ascii="Times New Roman" w:eastAsia="Times New Roman" w:hAnsi="Times New Roman" w:cs="Times New Roman"/>
          <w:sz w:val="24"/>
          <w:szCs w:val="24"/>
        </w:rPr>
        <w:t>in regard to</w:t>
      </w:r>
      <w:r w:rsidRPr="638B37EC">
        <w:rPr>
          <w:rFonts w:ascii="Times New Roman" w:eastAsia="Times New Roman" w:hAnsi="Times New Roman" w:cs="Times New Roman"/>
          <w:sz w:val="24"/>
          <w:szCs w:val="24"/>
        </w:rPr>
        <w:t xml:space="preserve"> site activities. Hazardou</w:t>
      </w:r>
      <w:r w:rsidRPr="638B37EC">
        <w:rPr>
          <w:rFonts w:ascii="Times New Roman" w:eastAsia="Times New Roman" w:hAnsi="Times New Roman" w:cs="Times New Roman"/>
          <w:sz w:val="24"/>
          <w:szCs w:val="24"/>
        </w:rPr>
        <w:t xml:space="preserve">s materials specialists shall </w:t>
      </w:r>
      <w:r w:rsidRPr="638B37EC">
        <w:rPr>
          <w:rFonts w:ascii="Times New Roman" w:eastAsia="Times New Roman" w:hAnsi="Times New Roman" w:cs="Times New Roman"/>
          <w:sz w:val="24"/>
          <w:szCs w:val="24"/>
        </w:rPr>
        <w:t>have received training at the technician level and have competency in several additional areas; the employer shall so certify their competency.</w:t>
      </w:r>
    </w:p>
    <w:p w:rsidR="00BF576C" w:rsidRPr="00723CBD" w:rsidP="00BF576C" w14:paraId="57EDD582"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5A24C161" w14:textId="3887509F">
      <w:pPr>
        <w:autoSpaceDE w:val="0"/>
        <w:autoSpaceDN w:val="0"/>
        <w:adjustRightInd w:val="0"/>
        <w:spacing w:after="0" w:line="240" w:lineRule="auto"/>
        <w:rPr>
          <w:rFonts w:ascii="Times New Roman" w:eastAsia="Times New Roman" w:hAnsi="Times New Roman" w:cs="Times New Roman"/>
          <w:sz w:val="24"/>
          <w:szCs w:val="24"/>
        </w:rPr>
      </w:pPr>
      <w:r w:rsidRPr="00D91F68">
        <w:rPr>
          <w:rFonts w:ascii="Times New Roman" w:eastAsia="Times New Roman" w:hAnsi="Times New Roman" w:cs="Times New Roman"/>
          <w:sz w:val="24"/>
          <w:szCs w:val="24"/>
        </w:rPr>
        <w:t>Paragraph 1910.120(q)(6)(v)</w:t>
      </w:r>
      <w:r w:rsidRPr="638B37EC" w:rsidR="06C24663">
        <w:rPr>
          <w:rFonts w:ascii="Times New Roman" w:eastAsia="Times New Roman" w:hAnsi="Times New Roman" w:cs="Times New Roman"/>
          <w:sz w:val="24"/>
          <w:szCs w:val="24"/>
        </w:rPr>
        <w:t xml:space="preserve"> describes</w:t>
      </w:r>
      <w:r w:rsidRPr="638B37EC">
        <w:rPr>
          <w:rFonts w:ascii="Times New Roman" w:eastAsia="Times New Roman" w:hAnsi="Times New Roman" w:cs="Times New Roman"/>
          <w:sz w:val="24"/>
          <w:szCs w:val="24"/>
        </w:rPr>
        <w:t xml:space="preserve"> “</w:t>
      </w:r>
      <w:r w:rsidRPr="638B37EC" w:rsidR="4D82C3AF">
        <w:rPr>
          <w:rFonts w:ascii="Times New Roman" w:eastAsia="Times New Roman" w:hAnsi="Times New Roman" w:cs="Times New Roman"/>
          <w:sz w:val="24"/>
          <w:szCs w:val="24"/>
        </w:rPr>
        <w:t>i</w:t>
      </w:r>
      <w:r w:rsidRPr="638B37EC">
        <w:rPr>
          <w:rFonts w:ascii="Times New Roman" w:eastAsia="Times New Roman" w:hAnsi="Times New Roman" w:cs="Times New Roman"/>
          <w:sz w:val="24"/>
          <w:szCs w:val="24"/>
        </w:rPr>
        <w:t xml:space="preserve">ncident commanders” </w:t>
      </w:r>
      <w:r w:rsidRPr="638B37EC" w:rsidR="57EB9FCD">
        <w:rPr>
          <w:rFonts w:ascii="Times New Roman" w:eastAsia="Times New Roman" w:hAnsi="Times New Roman" w:cs="Times New Roman"/>
          <w:sz w:val="24"/>
          <w:szCs w:val="24"/>
        </w:rPr>
        <w:t xml:space="preserve">as individuals </w:t>
      </w:r>
      <w:r w:rsidRPr="638B37EC">
        <w:rPr>
          <w:rFonts w:ascii="Times New Roman" w:eastAsia="Times New Roman" w:hAnsi="Times New Roman" w:cs="Times New Roman"/>
          <w:sz w:val="24"/>
          <w:szCs w:val="24"/>
        </w:rPr>
        <w:t>who will assume control of the incident scene beyond the first responder awareness level</w:t>
      </w:r>
      <w:r w:rsidRPr="638B37EC" w:rsidR="758CEF1C">
        <w:rPr>
          <w:rFonts w:ascii="Times New Roman" w:eastAsia="Times New Roman" w:hAnsi="Times New Roman" w:cs="Times New Roman"/>
          <w:sz w:val="24"/>
          <w:szCs w:val="24"/>
        </w:rPr>
        <w:t>.</w:t>
      </w:r>
      <w:r w:rsidRPr="638B37EC">
        <w:rPr>
          <w:rFonts w:ascii="Times New Roman" w:eastAsia="Times New Roman" w:hAnsi="Times New Roman" w:cs="Times New Roman"/>
          <w:sz w:val="24"/>
          <w:szCs w:val="24"/>
        </w:rPr>
        <w:t xml:space="preserve"> </w:t>
      </w:r>
      <w:r w:rsidRPr="638B37EC" w:rsidR="7C7130D2">
        <w:rPr>
          <w:rFonts w:ascii="Times New Roman" w:eastAsia="Times New Roman" w:hAnsi="Times New Roman" w:cs="Times New Roman"/>
          <w:sz w:val="24"/>
          <w:szCs w:val="24"/>
        </w:rPr>
        <w:t xml:space="preserve">Incident commanders </w:t>
      </w:r>
      <w:r w:rsidRPr="638B37EC">
        <w:rPr>
          <w:rFonts w:ascii="Times New Roman" w:eastAsia="Times New Roman" w:hAnsi="Times New Roman" w:cs="Times New Roman"/>
          <w:sz w:val="24"/>
          <w:szCs w:val="24"/>
        </w:rPr>
        <w:t>shall receive training equal to the first responder operations level and have competency in several additional areas; the employer shall so certify their competency.</w:t>
      </w:r>
    </w:p>
    <w:p w:rsidR="00BF576C" w:rsidRPr="00723CBD" w:rsidP="00BF576C" w14:paraId="4F1B8852"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6E4982B6" w14:textId="793C46E4">
      <w:pPr>
        <w:autoSpaceDE w:val="0"/>
        <w:autoSpaceDN w:val="0"/>
        <w:adjustRightInd w:val="0"/>
        <w:spacing w:after="0" w:line="240" w:lineRule="auto"/>
        <w:rPr>
          <w:rFonts w:ascii="Times New Roman" w:eastAsia="Times New Roman" w:hAnsi="Times New Roman" w:cs="Times New Roman"/>
          <w:sz w:val="24"/>
          <w:szCs w:val="24"/>
        </w:rPr>
      </w:pPr>
      <w:r w:rsidRPr="638B37EC">
        <w:rPr>
          <w:rFonts w:ascii="Times New Roman" w:eastAsia="Times New Roman" w:hAnsi="Times New Roman" w:cs="Times New Roman"/>
          <w:sz w:val="24"/>
          <w:szCs w:val="24"/>
        </w:rPr>
        <w:t>The</w:t>
      </w:r>
      <w:r w:rsidRPr="638B37EC" w:rsidR="391E30EE">
        <w:rPr>
          <w:rFonts w:ascii="Times New Roman" w:eastAsia="Times New Roman" w:hAnsi="Times New Roman" w:cs="Times New Roman"/>
          <w:sz w:val="24"/>
          <w:szCs w:val="24"/>
        </w:rPr>
        <w:t xml:space="preserve"> preceding</w:t>
      </w:r>
      <w:r w:rsidRPr="638B37EC">
        <w:rPr>
          <w:rFonts w:ascii="Times New Roman" w:eastAsia="Times New Roman" w:hAnsi="Times New Roman" w:cs="Times New Roman"/>
          <w:sz w:val="24"/>
          <w:szCs w:val="24"/>
        </w:rPr>
        <w:t xml:space="preserve"> three categories</w:t>
      </w:r>
      <w:r w:rsidRPr="638B37EC" w:rsidR="24B99E2D">
        <w:rPr>
          <w:rFonts w:ascii="Times New Roman" w:eastAsia="Times New Roman" w:hAnsi="Times New Roman" w:cs="Times New Roman"/>
          <w:sz w:val="24"/>
          <w:szCs w:val="24"/>
        </w:rPr>
        <w:t>,</w:t>
      </w:r>
      <w:r w:rsidRPr="638B37EC">
        <w:rPr>
          <w:rFonts w:ascii="Times New Roman" w:eastAsia="Times New Roman" w:hAnsi="Times New Roman" w:cs="Times New Roman"/>
          <w:sz w:val="24"/>
          <w:szCs w:val="24"/>
        </w:rPr>
        <w:t xml:space="preserve"> combined</w:t>
      </w:r>
      <w:r w:rsidRPr="638B37EC" w:rsidR="081C912A">
        <w:rPr>
          <w:rFonts w:ascii="Times New Roman" w:eastAsia="Times New Roman" w:hAnsi="Times New Roman" w:cs="Times New Roman"/>
          <w:sz w:val="24"/>
          <w:szCs w:val="24"/>
        </w:rPr>
        <w:t>,</w:t>
      </w:r>
      <w:r w:rsidRPr="638B37EC">
        <w:rPr>
          <w:rFonts w:ascii="Times New Roman" w:eastAsia="Times New Roman" w:hAnsi="Times New Roman" w:cs="Times New Roman"/>
          <w:sz w:val="24"/>
          <w:szCs w:val="24"/>
        </w:rPr>
        <w:t xml:space="preserve"> account for approximately 3</w:t>
      </w:r>
      <w:r w:rsidRPr="638B37EC" w:rsidR="7004187B">
        <w:rPr>
          <w:rFonts w:ascii="Times New Roman" w:eastAsia="Times New Roman" w:hAnsi="Times New Roman" w:cs="Times New Roman"/>
          <w:sz w:val="24"/>
          <w:szCs w:val="24"/>
        </w:rPr>
        <w:t>%</w:t>
      </w:r>
      <w:r w:rsidRPr="638B37EC">
        <w:rPr>
          <w:rFonts w:ascii="Times New Roman" w:eastAsia="Times New Roman" w:hAnsi="Times New Roman" w:cs="Times New Roman"/>
          <w:sz w:val="24"/>
          <w:szCs w:val="24"/>
        </w:rPr>
        <w:t xml:space="preserve"> of the total </w:t>
      </w:r>
      <w:r w:rsidRPr="638B37EC" w:rsidR="00C30C7E">
        <w:rPr>
          <w:rFonts w:ascii="Times New Roman" w:eastAsia="Times New Roman" w:hAnsi="Times New Roman" w:cs="Times New Roman"/>
          <w:sz w:val="24"/>
          <w:szCs w:val="24"/>
        </w:rPr>
        <w:t xml:space="preserve">864,320 </w:t>
      </w:r>
      <w:r w:rsidRPr="638B37EC">
        <w:rPr>
          <w:rFonts w:ascii="Times New Roman" w:eastAsia="Times New Roman" w:hAnsi="Times New Roman" w:cs="Times New Roman"/>
          <w:sz w:val="24"/>
          <w:szCs w:val="24"/>
        </w:rPr>
        <w:t xml:space="preserve">emergency response workers </w:t>
      </w:r>
      <w:r w:rsidRPr="638B37EC" w:rsidR="4B0AF5F7">
        <w:rPr>
          <w:rFonts w:ascii="Times New Roman" w:eastAsia="Times New Roman" w:hAnsi="Times New Roman" w:cs="Times New Roman"/>
          <w:sz w:val="24"/>
          <w:szCs w:val="24"/>
        </w:rPr>
        <w:t>(</w:t>
      </w:r>
      <w:r w:rsidRPr="638B37EC" w:rsidR="00E32913">
        <w:rPr>
          <w:rFonts w:ascii="Times New Roman" w:eastAsia="Times New Roman" w:hAnsi="Times New Roman" w:cs="Times New Roman"/>
          <w:sz w:val="24"/>
          <w:szCs w:val="24"/>
        </w:rPr>
        <w:t>2</w:t>
      </w:r>
      <w:r w:rsidRPr="638B37EC" w:rsidR="2A2BD441">
        <w:rPr>
          <w:rFonts w:ascii="Times New Roman" w:eastAsia="Times New Roman" w:hAnsi="Times New Roman" w:cs="Times New Roman"/>
          <w:sz w:val="24"/>
          <w:szCs w:val="24"/>
        </w:rPr>
        <w:t>5,930</w:t>
      </w:r>
      <w:r w:rsidRPr="638B37EC">
        <w:rPr>
          <w:rFonts w:ascii="Times New Roman" w:eastAsia="Times New Roman" w:hAnsi="Times New Roman" w:cs="Times New Roman"/>
          <w:sz w:val="24"/>
          <w:szCs w:val="24"/>
        </w:rPr>
        <w:t xml:space="preserve"> workers</w:t>
      </w:r>
      <w:r w:rsidRPr="638B37EC" w:rsidR="0D06419C">
        <w:rPr>
          <w:rFonts w:ascii="Times New Roman" w:eastAsia="Times New Roman" w:hAnsi="Times New Roman" w:cs="Times New Roman"/>
          <w:sz w:val="24"/>
          <w:szCs w:val="24"/>
        </w:rPr>
        <w:t>, rounded</w:t>
      </w:r>
      <w:r w:rsidRPr="638B37EC" w:rsidR="69687E7F">
        <w:rPr>
          <w:rFonts w:ascii="Times New Roman" w:eastAsia="Times New Roman" w:hAnsi="Times New Roman" w:cs="Times New Roman"/>
          <w:sz w:val="24"/>
          <w:szCs w:val="24"/>
        </w:rPr>
        <w:t>)</w:t>
      </w:r>
      <w:r w:rsidRPr="638B37EC">
        <w:rPr>
          <w:rFonts w:ascii="Times New Roman" w:eastAsia="Times New Roman" w:hAnsi="Times New Roman" w:cs="Times New Roman"/>
          <w:sz w:val="24"/>
          <w:szCs w:val="24"/>
        </w:rPr>
        <w:t>.</w:t>
      </w:r>
    </w:p>
    <w:p w:rsidR="00BF576C" w:rsidRPr="00723CBD" w:rsidP="00BF576C" w14:paraId="1528608E" w14:textId="77777777">
      <w:pPr>
        <w:autoSpaceDE w:val="0"/>
        <w:autoSpaceDN w:val="0"/>
        <w:adjustRightInd w:val="0"/>
        <w:spacing w:after="0" w:line="240" w:lineRule="auto"/>
        <w:rPr>
          <w:rFonts w:ascii="Times New Roman" w:eastAsia="Times New Roman" w:hAnsi="Times New Roman" w:cs="Times New Roman"/>
          <w:sz w:val="24"/>
          <w:szCs w:val="24"/>
          <w:u w:val="single"/>
        </w:rPr>
      </w:pPr>
    </w:p>
    <w:p w:rsidR="00BF576C" w:rsidRPr="00723CBD" w:rsidP="00BF576C" w14:paraId="490CD25F" w14:textId="77777777">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sz w:val="24"/>
          <w:szCs w:val="24"/>
          <w:u w:val="single"/>
        </w:rPr>
        <w:t>Written Training Certification</w:t>
      </w:r>
      <w:r w:rsidRPr="00723CBD">
        <w:rPr>
          <w:rFonts w:ascii="Times New Roman" w:eastAsia="Times New Roman" w:hAnsi="Times New Roman" w:cs="Times New Roman"/>
          <w:sz w:val="24"/>
          <w:szCs w:val="24"/>
        </w:rPr>
        <w:t>:</w:t>
      </w:r>
    </w:p>
    <w:p w:rsidR="00BF576C" w:rsidRPr="00723CBD" w:rsidP="00BF576C" w14:paraId="0BEF557D"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P="638B37EC" w14:paraId="27817DBF" w14:textId="467F1159">
      <w:pPr>
        <w:spacing w:after="0" w:line="240" w:lineRule="auto"/>
        <w:rPr>
          <w:rFonts w:ascii="Times New Roman" w:eastAsia="Times New Roman" w:hAnsi="Times New Roman" w:cs="Times New Roman"/>
          <w:sz w:val="24"/>
          <w:szCs w:val="24"/>
        </w:rPr>
      </w:pPr>
      <w:r w:rsidRPr="638B37EC">
        <w:rPr>
          <w:rFonts w:ascii="Times New Roman" w:eastAsia="Times New Roman" w:hAnsi="Times New Roman" w:cs="Times New Roman"/>
          <w:sz w:val="24"/>
          <w:szCs w:val="24"/>
        </w:rPr>
        <w:t xml:space="preserve">The </w:t>
      </w:r>
      <w:r w:rsidRPr="638B37EC" w:rsidR="2093AEDE">
        <w:rPr>
          <w:rFonts w:ascii="Times New Roman" w:eastAsia="Times New Roman" w:hAnsi="Times New Roman" w:cs="Times New Roman"/>
          <w:sz w:val="24"/>
          <w:szCs w:val="24"/>
        </w:rPr>
        <w:t>a</w:t>
      </w:r>
      <w:r w:rsidRPr="638B37EC">
        <w:rPr>
          <w:rFonts w:ascii="Times New Roman" w:eastAsia="Times New Roman" w:hAnsi="Times New Roman" w:cs="Times New Roman"/>
          <w:sz w:val="24"/>
          <w:szCs w:val="24"/>
        </w:rPr>
        <w:t>gency estimates that it takes 1 minute (</w:t>
      </w:r>
      <w:r w:rsidRPr="638B37EC" w:rsidR="00A74A8C">
        <w:rPr>
          <w:rFonts w:ascii="Times New Roman" w:eastAsia="Times New Roman" w:hAnsi="Times New Roman" w:cs="Times New Roman"/>
          <w:sz w:val="24"/>
          <w:szCs w:val="24"/>
        </w:rPr>
        <w:t>1/60</w:t>
      </w:r>
      <w:r w:rsidRPr="638B37EC">
        <w:rPr>
          <w:rFonts w:ascii="Times New Roman" w:eastAsia="Times New Roman" w:hAnsi="Times New Roman" w:cs="Times New Roman"/>
          <w:sz w:val="24"/>
          <w:szCs w:val="24"/>
        </w:rPr>
        <w:t xml:space="preserve"> hour) for an employer to maintain </w:t>
      </w:r>
      <w:r w:rsidRPr="638B37EC" w:rsidR="0C162807">
        <w:rPr>
          <w:rFonts w:ascii="Times New Roman" w:eastAsia="Times New Roman" w:hAnsi="Times New Roman" w:cs="Times New Roman"/>
          <w:sz w:val="24"/>
          <w:szCs w:val="24"/>
        </w:rPr>
        <w:t xml:space="preserve">each of </w:t>
      </w:r>
      <w:r w:rsidRPr="638B37EC">
        <w:rPr>
          <w:rFonts w:ascii="Times New Roman" w:eastAsia="Times New Roman" w:hAnsi="Times New Roman" w:cs="Times New Roman"/>
          <w:sz w:val="24"/>
          <w:szCs w:val="24"/>
        </w:rPr>
        <w:t xml:space="preserve">the </w:t>
      </w:r>
      <w:r w:rsidRPr="638B37EC" w:rsidR="3C8AE922">
        <w:rPr>
          <w:rFonts w:ascii="Times New Roman" w:eastAsia="Times New Roman" w:hAnsi="Times New Roman" w:cs="Times New Roman"/>
          <w:sz w:val="24"/>
          <w:szCs w:val="24"/>
        </w:rPr>
        <w:t xml:space="preserve">25,390 </w:t>
      </w:r>
      <w:r w:rsidRPr="638B37EC" w:rsidR="466CC108">
        <w:rPr>
          <w:rFonts w:ascii="Times New Roman" w:eastAsia="Times New Roman" w:hAnsi="Times New Roman" w:cs="Times New Roman"/>
          <w:sz w:val="24"/>
          <w:szCs w:val="24"/>
        </w:rPr>
        <w:t xml:space="preserve">written training </w:t>
      </w:r>
      <w:r w:rsidRPr="638B37EC">
        <w:rPr>
          <w:rFonts w:ascii="Times New Roman" w:eastAsia="Times New Roman" w:hAnsi="Times New Roman" w:cs="Times New Roman"/>
          <w:sz w:val="24"/>
          <w:szCs w:val="24"/>
        </w:rPr>
        <w:t>certification record</w:t>
      </w:r>
      <w:r w:rsidRPr="638B37EC" w:rsidR="608F51F5">
        <w:rPr>
          <w:rFonts w:ascii="Times New Roman" w:eastAsia="Times New Roman" w:hAnsi="Times New Roman" w:cs="Times New Roman"/>
          <w:sz w:val="24"/>
          <w:szCs w:val="24"/>
        </w:rPr>
        <w:t>s</w:t>
      </w:r>
      <w:r w:rsidRPr="638B37EC">
        <w:rPr>
          <w:rFonts w:ascii="Times New Roman" w:eastAsia="Times New Roman" w:hAnsi="Times New Roman" w:cs="Times New Roman"/>
          <w:sz w:val="24"/>
          <w:szCs w:val="24"/>
        </w:rPr>
        <w:t xml:space="preserve">. </w:t>
      </w:r>
    </w:p>
    <w:p w:rsidR="638B37EC" w:rsidP="638B37EC" w14:paraId="74CA8FF6" w14:textId="2E7920D3">
      <w:pPr>
        <w:spacing w:after="0" w:line="240" w:lineRule="auto"/>
        <w:rPr>
          <w:rFonts w:ascii="Times New Roman" w:eastAsia="Times New Roman" w:hAnsi="Times New Roman" w:cs="Times New Roman"/>
          <w:sz w:val="24"/>
          <w:szCs w:val="24"/>
        </w:rPr>
      </w:pPr>
    </w:p>
    <w:p w:rsidR="4FC1C262" w:rsidP="638B37EC" w14:paraId="3CD3A188" w14:textId="342FCAA8">
      <w:pPr>
        <w:spacing w:after="0" w:line="240" w:lineRule="auto"/>
        <w:rPr>
          <w:rFonts w:ascii="Times New Roman" w:eastAsia="Times New Roman" w:hAnsi="Times New Roman" w:cs="Times New Roman"/>
          <w:sz w:val="24"/>
          <w:szCs w:val="24"/>
        </w:rPr>
      </w:pPr>
      <w:r>
        <w:tab/>
      </w:r>
      <w:r w:rsidRPr="638B37EC">
        <w:rPr>
          <w:rFonts w:ascii="Times New Roman" w:eastAsia="Times New Roman" w:hAnsi="Times New Roman" w:cs="Times New Roman"/>
          <w:sz w:val="24"/>
          <w:szCs w:val="24"/>
        </w:rPr>
        <w:t xml:space="preserve">Burden hours: 25,390 existing workers x 1/60 hour = </w:t>
      </w:r>
      <w:r w:rsidRPr="638B37EC" w:rsidR="5F42AFD6">
        <w:rPr>
          <w:rFonts w:ascii="Times New Roman" w:eastAsia="Times New Roman" w:hAnsi="Times New Roman" w:cs="Times New Roman"/>
          <w:sz w:val="24"/>
          <w:szCs w:val="24"/>
        </w:rPr>
        <w:t>423 hours, rounded</w:t>
      </w:r>
    </w:p>
    <w:p w:rsidR="5F42AFD6" w:rsidP="638B37EC" w14:paraId="425AB300" w14:textId="22E56C26">
      <w:pPr>
        <w:spacing w:after="0" w:line="240" w:lineRule="auto"/>
        <w:rPr>
          <w:rFonts w:ascii="Times New Roman" w:eastAsia="Times New Roman" w:hAnsi="Times New Roman" w:cs="Times New Roman"/>
          <w:sz w:val="24"/>
          <w:szCs w:val="24"/>
        </w:rPr>
      </w:pPr>
      <w:r>
        <w:tab/>
      </w:r>
      <w:r>
        <w:tab/>
      </w:r>
      <w:r w:rsidRPr="638B37EC">
        <w:rPr>
          <w:rFonts w:ascii="Times New Roman" w:eastAsia="Times New Roman" w:hAnsi="Times New Roman" w:cs="Times New Roman"/>
          <w:sz w:val="24"/>
          <w:szCs w:val="24"/>
        </w:rPr>
        <w:t xml:space="preserve">  Cost: 423 hours x $53.70 = $22,7</w:t>
      </w:r>
      <w:r w:rsidRPr="638B37EC" w:rsidR="2C69C387">
        <w:rPr>
          <w:rFonts w:ascii="Times New Roman" w:eastAsia="Times New Roman" w:hAnsi="Times New Roman" w:cs="Times New Roman"/>
          <w:sz w:val="24"/>
          <w:szCs w:val="24"/>
        </w:rPr>
        <w:t>15.10</w:t>
      </w:r>
    </w:p>
    <w:p w:rsidR="638B37EC" w:rsidP="638B37EC" w14:paraId="1540CD97" w14:textId="3A8981A0">
      <w:pPr>
        <w:spacing w:after="0" w:line="240" w:lineRule="auto"/>
        <w:rPr>
          <w:rFonts w:ascii="Times New Roman" w:eastAsia="Times New Roman" w:hAnsi="Times New Roman" w:cs="Times New Roman"/>
          <w:sz w:val="24"/>
          <w:szCs w:val="24"/>
        </w:rPr>
      </w:pPr>
    </w:p>
    <w:p w:rsidR="00BF576C" w:rsidP="638B37EC" w14:paraId="5050A3F7" w14:textId="70953346">
      <w:pPr>
        <w:spacing w:after="0" w:line="240" w:lineRule="auto"/>
        <w:rPr>
          <w:rFonts w:ascii="Times New Roman" w:eastAsia="Times New Roman" w:hAnsi="Times New Roman" w:cs="Times New Roman"/>
          <w:sz w:val="24"/>
          <w:szCs w:val="24"/>
        </w:rPr>
      </w:pPr>
      <w:r w:rsidRPr="5C516CCC">
        <w:rPr>
          <w:rFonts w:ascii="Times New Roman" w:eastAsia="Times New Roman" w:hAnsi="Times New Roman" w:cs="Times New Roman"/>
          <w:sz w:val="24"/>
          <w:szCs w:val="24"/>
        </w:rPr>
        <w:t>T</w:t>
      </w:r>
      <w:r w:rsidRPr="5C516CCC" w:rsidR="092D7F12">
        <w:rPr>
          <w:rFonts w:ascii="Times New Roman" w:eastAsia="Times New Roman" w:hAnsi="Times New Roman" w:cs="Times New Roman"/>
          <w:sz w:val="24"/>
          <w:szCs w:val="24"/>
        </w:rPr>
        <w:t xml:space="preserve">he </w:t>
      </w:r>
      <w:r w:rsidRPr="5C516CCC" w:rsidR="53C6F659">
        <w:rPr>
          <w:rFonts w:ascii="Times New Roman" w:eastAsia="Times New Roman" w:hAnsi="Times New Roman" w:cs="Times New Roman"/>
          <w:sz w:val="24"/>
          <w:szCs w:val="24"/>
        </w:rPr>
        <w:t>a</w:t>
      </w:r>
      <w:r w:rsidRPr="5C516CCC" w:rsidR="092D7F12">
        <w:rPr>
          <w:rFonts w:ascii="Times New Roman" w:eastAsia="Times New Roman" w:hAnsi="Times New Roman" w:cs="Times New Roman"/>
          <w:sz w:val="24"/>
          <w:szCs w:val="24"/>
        </w:rPr>
        <w:t>gency estimates a 10</w:t>
      </w:r>
      <w:r w:rsidRPr="5C516CCC" w:rsidR="1E6BCFBD">
        <w:rPr>
          <w:rFonts w:ascii="Times New Roman" w:eastAsia="Times New Roman" w:hAnsi="Times New Roman" w:cs="Times New Roman"/>
          <w:sz w:val="24"/>
          <w:szCs w:val="24"/>
        </w:rPr>
        <w:t xml:space="preserve">% </w:t>
      </w:r>
      <w:r w:rsidRPr="5C516CCC" w:rsidR="092D7F12">
        <w:rPr>
          <w:rFonts w:ascii="Times New Roman" w:eastAsia="Times New Roman" w:hAnsi="Times New Roman" w:cs="Times New Roman"/>
          <w:sz w:val="24"/>
          <w:szCs w:val="24"/>
        </w:rPr>
        <w:t>turnover rate;</w:t>
      </w:r>
      <w:r w:rsidRPr="5C516CCC" w:rsidR="27EEB395">
        <w:rPr>
          <w:rFonts w:ascii="Times New Roman" w:eastAsia="Times New Roman" w:hAnsi="Times New Roman" w:cs="Times New Roman"/>
          <w:sz w:val="24"/>
          <w:szCs w:val="24"/>
        </w:rPr>
        <w:t xml:space="preserve"> within the industry, and further, that </w:t>
      </w:r>
      <w:r w:rsidRPr="5C516CCC" w:rsidR="43A5AF65">
        <w:rPr>
          <w:rFonts w:ascii="Times New Roman" w:eastAsia="Times New Roman" w:hAnsi="Times New Roman" w:cs="Times New Roman"/>
          <w:sz w:val="24"/>
          <w:szCs w:val="24"/>
        </w:rPr>
        <w:t>2,593</w:t>
      </w:r>
      <w:r w:rsidRPr="5C516CCC" w:rsidR="671A27F7">
        <w:rPr>
          <w:rFonts w:ascii="Times New Roman" w:eastAsia="Times New Roman" w:hAnsi="Times New Roman" w:cs="Times New Roman"/>
          <w:sz w:val="24"/>
          <w:szCs w:val="24"/>
        </w:rPr>
        <w:t xml:space="preserve"> </w:t>
      </w:r>
      <w:r w:rsidRPr="5C516CCC" w:rsidR="092D7F12">
        <w:rPr>
          <w:rFonts w:ascii="Times New Roman" w:eastAsia="Times New Roman" w:hAnsi="Times New Roman" w:cs="Times New Roman"/>
          <w:sz w:val="24"/>
          <w:szCs w:val="24"/>
        </w:rPr>
        <w:t>workers would require an initial training certification record</w:t>
      </w:r>
      <w:r w:rsidRPr="5C516CCC" w:rsidR="4393AD90">
        <w:rPr>
          <w:rFonts w:ascii="Times New Roman" w:eastAsia="Times New Roman" w:hAnsi="Times New Roman" w:cs="Times New Roman"/>
          <w:sz w:val="24"/>
          <w:szCs w:val="24"/>
        </w:rPr>
        <w:t xml:space="preserve"> to comply with the standard</w:t>
      </w:r>
      <w:r w:rsidRPr="5C516CCC" w:rsidR="092D7F12">
        <w:rPr>
          <w:rFonts w:ascii="Times New Roman" w:eastAsia="Times New Roman" w:hAnsi="Times New Roman" w:cs="Times New Roman"/>
          <w:sz w:val="24"/>
          <w:szCs w:val="24"/>
        </w:rPr>
        <w:t xml:space="preserve">. </w:t>
      </w:r>
      <w:r w:rsidRPr="5C516CCC" w:rsidR="0D70842F">
        <w:rPr>
          <w:rFonts w:ascii="Times New Roman" w:eastAsia="Times New Roman" w:hAnsi="Times New Roman" w:cs="Times New Roman"/>
          <w:sz w:val="24"/>
          <w:szCs w:val="24"/>
        </w:rPr>
        <w:t>OSHA assumes it will</w:t>
      </w:r>
      <w:r w:rsidRPr="5C516CCC" w:rsidR="092D7F12">
        <w:rPr>
          <w:rFonts w:ascii="Times New Roman" w:eastAsia="Times New Roman" w:hAnsi="Times New Roman" w:cs="Times New Roman"/>
          <w:sz w:val="24"/>
          <w:szCs w:val="24"/>
        </w:rPr>
        <w:t xml:space="preserve"> take 3 minutes (</w:t>
      </w:r>
      <w:r w:rsidRPr="5C516CCC" w:rsidR="152A9373">
        <w:rPr>
          <w:rFonts w:ascii="Times New Roman" w:eastAsia="Times New Roman" w:hAnsi="Times New Roman" w:cs="Times New Roman"/>
          <w:sz w:val="24"/>
          <w:szCs w:val="24"/>
        </w:rPr>
        <w:t>3/60</w:t>
      </w:r>
      <w:r w:rsidRPr="5C516CCC" w:rsidR="2D279936">
        <w:rPr>
          <w:rFonts w:ascii="Times New Roman" w:eastAsia="Times New Roman" w:hAnsi="Times New Roman" w:cs="Times New Roman"/>
          <w:sz w:val="24"/>
          <w:szCs w:val="24"/>
        </w:rPr>
        <w:t xml:space="preserve"> </w:t>
      </w:r>
      <w:r w:rsidRPr="5C516CCC" w:rsidR="092D7F12">
        <w:rPr>
          <w:rFonts w:ascii="Times New Roman" w:eastAsia="Times New Roman" w:hAnsi="Times New Roman" w:cs="Times New Roman"/>
          <w:sz w:val="24"/>
          <w:szCs w:val="24"/>
        </w:rPr>
        <w:t xml:space="preserve">hour) to generate and maintain the </w:t>
      </w:r>
      <w:r w:rsidRPr="5C516CCC" w:rsidR="4CBE8A22">
        <w:rPr>
          <w:rFonts w:ascii="Times New Roman" w:eastAsia="Times New Roman" w:hAnsi="Times New Roman" w:cs="Times New Roman"/>
          <w:sz w:val="24"/>
          <w:szCs w:val="24"/>
        </w:rPr>
        <w:t xml:space="preserve">associated </w:t>
      </w:r>
      <w:r w:rsidRPr="5C516CCC" w:rsidR="092D7F12">
        <w:rPr>
          <w:rFonts w:ascii="Times New Roman" w:eastAsia="Times New Roman" w:hAnsi="Times New Roman" w:cs="Times New Roman"/>
          <w:sz w:val="24"/>
          <w:szCs w:val="24"/>
        </w:rPr>
        <w:t>record.</w:t>
      </w:r>
    </w:p>
    <w:p w:rsidR="638B37EC" w:rsidP="638B37EC" w14:paraId="6C16D2FE" w14:textId="6BA366D1">
      <w:pPr>
        <w:spacing w:after="0" w:line="240" w:lineRule="auto"/>
        <w:rPr>
          <w:rFonts w:ascii="Times New Roman" w:eastAsia="Times New Roman" w:hAnsi="Times New Roman" w:cs="Times New Roman"/>
          <w:sz w:val="24"/>
          <w:szCs w:val="24"/>
        </w:rPr>
      </w:pPr>
    </w:p>
    <w:p w:rsidR="0B3803FE" w:rsidP="638B37EC" w14:paraId="049398A7" w14:textId="2024270B">
      <w:pPr>
        <w:spacing w:after="0" w:line="240" w:lineRule="auto"/>
        <w:rPr>
          <w:rFonts w:ascii="Times New Roman" w:eastAsia="Times New Roman" w:hAnsi="Times New Roman" w:cs="Times New Roman"/>
          <w:sz w:val="24"/>
          <w:szCs w:val="24"/>
        </w:rPr>
      </w:pPr>
      <w:r>
        <w:tab/>
      </w:r>
      <w:r w:rsidRPr="638B37EC">
        <w:rPr>
          <w:rFonts w:ascii="Times New Roman" w:eastAsia="Times New Roman" w:hAnsi="Times New Roman" w:cs="Times New Roman"/>
          <w:sz w:val="24"/>
          <w:szCs w:val="24"/>
        </w:rPr>
        <w:t xml:space="preserve">Burden hours: 2,539 existing workers x 3/60 hour = </w:t>
      </w:r>
      <w:r w:rsidRPr="638B37EC" w:rsidR="49DCE92F">
        <w:rPr>
          <w:rFonts w:ascii="Times New Roman" w:eastAsia="Times New Roman" w:hAnsi="Times New Roman" w:cs="Times New Roman"/>
          <w:sz w:val="24"/>
          <w:szCs w:val="24"/>
        </w:rPr>
        <w:t>127</w:t>
      </w:r>
      <w:r w:rsidRPr="638B37EC">
        <w:rPr>
          <w:rFonts w:ascii="Times New Roman" w:eastAsia="Times New Roman" w:hAnsi="Times New Roman" w:cs="Times New Roman"/>
          <w:sz w:val="24"/>
          <w:szCs w:val="24"/>
        </w:rPr>
        <w:t xml:space="preserve"> hours, rounded</w:t>
      </w:r>
    </w:p>
    <w:p w:rsidR="0B3803FE" w:rsidP="638B37EC" w14:paraId="3A36D3AD" w14:textId="3E6FA7CC">
      <w:pPr>
        <w:spacing w:after="0" w:line="240" w:lineRule="auto"/>
        <w:rPr>
          <w:rFonts w:ascii="Times New Roman" w:eastAsia="Times New Roman" w:hAnsi="Times New Roman" w:cs="Times New Roman"/>
          <w:sz w:val="24"/>
          <w:szCs w:val="24"/>
        </w:rPr>
      </w:pPr>
      <w:r>
        <w:tab/>
      </w:r>
      <w:r>
        <w:tab/>
      </w:r>
      <w:r w:rsidRPr="638B37EC">
        <w:rPr>
          <w:rFonts w:ascii="Times New Roman" w:eastAsia="Times New Roman" w:hAnsi="Times New Roman" w:cs="Times New Roman"/>
          <w:sz w:val="24"/>
          <w:szCs w:val="24"/>
        </w:rPr>
        <w:t xml:space="preserve">  Cost: </w:t>
      </w:r>
      <w:r w:rsidRPr="638B37EC" w:rsidR="7757A35E">
        <w:rPr>
          <w:rFonts w:ascii="Times New Roman" w:eastAsia="Times New Roman" w:hAnsi="Times New Roman" w:cs="Times New Roman"/>
          <w:sz w:val="24"/>
          <w:szCs w:val="24"/>
        </w:rPr>
        <w:t>127</w:t>
      </w:r>
      <w:r w:rsidRPr="638B37EC">
        <w:rPr>
          <w:rFonts w:ascii="Times New Roman" w:eastAsia="Times New Roman" w:hAnsi="Times New Roman" w:cs="Times New Roman"/>
          <w:sz w:val="24"/>
          <w:szCs w:val="24"/>
        </w:rPr>
        <w:t xml:space="preserve"> hours x $53.70 = $</w:t>
      </w:r>
      <w:r w:rsidRPr="638B37EC" w:rsidR="410A388D">
        <w:rPr>
          <w:rFonts w:ascii="Times New Roman" w:eastAsia="Times New Roman" w:hAnsi="Times New Roman" w:cs="Times New Roman"/>
          <w:sz w:val="24"/>
          <w:szCs w:val="24"/>
        </w:rPr>
        <w:t>6,819.90</w:t>
      </w:r>
    </w:p>
    <w:p w:rsidR="638B37EC" w:rsidP="638B37EC" w14:paraId="04108161" w14:textId="01C2DE50">
      <w:pPr>
        <w:spacing w:after="0" w:line="240" w:lineRule="auto"/>
        <w:rPr>
          <w:rFonts w:ascii="Times New Roman" w:eastAsia="Times New Roman" w:hAnsi="Times New Roman" w:cs="Times New Roman"/>
          <w:sz w:val="24"/>
          <w:szCs w:val="24"/>
        </w:rPr>
      </w:pPr>
    </w:p>
    <w:p w:rsidR="410A388D" w:rsidP="00D91F68" w14:paraId="36F84A68" w14:textId="18036FA6">
      <w:pPr>
        <w:spacing w:after="0" w:line="240" w:lineRule="auto"/>
        <w:ind w:firstLine="720"/>
        <w:rPr>
          <w:rFonts w:ascii="Times New Roman" w:eastAsia="Times New Roman" w:hAnsi="Times New Roman" w:cs="Times New Roman"/>
          <w:sz w:val="24"/>
          <w:szCs w:val="24"/>
        </w:rPr>
      </w:pPr>
      <w:r w:rsidRPr="638B37EC">
        <w:rPr>
          <w:rFonts w:ascii="Times New Roman" w:eastAsia="Times New Roman" w:hAnsi="Times New Roman" w:cs="Times New Roman"/>
          <w:i/>
          <w:iCs/>
          <w:sz w:val="24"/>
          <w:szCs w:val="24"/>
        </w:rPr>
        <w:t>Subtotal Burden hours: 423 + 127 = 550 hours</w:t>
      </w:r>
    </w:p>
    <w:p w:rsidR="00BF576C" w:rsidRPr="00723CBD" w:rsidP="00BF576C" w14:paraId="018E2458" w14:textId="1AEF2C5E">
      <w:pPr>
        <w:autoSpaceDE w:val="0"/>
        <w:autoSpaceDN w:val="0"/>
        <w:adjustRightInd w:val="0"/>
        <w:spacing w:after="0" w:line="240" w:lineRule="auto"/>
        <w:ind w:left="720" w:firstLine="720"/>
        <w:rPr>
          <w:rFonts w:ascii="Times New Roman" w:eastAsia="Times New Roman" w:hAnsi="Times New Roman" w:cs="Times New Roman"/>
          <w:i/>
          <w:sz w:val="24"/>
          <w:szCs w:val="24"/>
        </w:rPr>
      </w:pPr>
      <w:r w:rsidRPr="638B37EC">
        <w:rPr>
          <w:rFonts w:ascii="Times New Roman" w:eastAsia="Times New Roman" w:hAnsi="Times New Roman" w:cs="Times New Roman"/>
          <w:i/>
          <w:iCs/>
          <w:sz w:val="24"/>
          <w:szCs w:val="24"/>
        </w:rPr>
        <w:t xml:space="preserve">  Subtotal Cost: $22,715.10 + $6,819.90 = $29,535.00</w:t>
      </w:r>
    </w:p>
    <w:p w:rsidR="00BF576C" w:rsidRPr="00723CBD" w:rsidP="00BF576C" w14:paraId="4514FFB0"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51A1D3DC" w14:textId="77777777">
      <w:pPr>
        <w:autoSpaceDE w:val="0"/>
        <w:autoSpaceDN w:val="0"/>
        <w:adjustRightInd w:val="0"/>
        <w:spacing w:after="0" w:line="240" w:lineRule="auto"/>
        <w:rPr>
          <w:rFonts w:ascii="Times New Roman" w:eastAsia="Times New Roman" w:hAnsi="Times New Roman" w:cs="Times New Roman"/>
          <w:b/>
          <w:sz w:val="24"/>
          <w:szCs w:val="24"/>
        </w:rPr>
      </w:pPr>
      <w:r w:rsidRPr="00723CBD">
        <w:rPr>
          <w:rFonts w:ascii="Times New Roman" w:eastAsia="Times New Roman" w:hAnsi="Times New Roman" w:cs="Times New Roman"/>
          <w:b/>
          <w:bCs/>
          <w:sz w:val="24"/>
          <w:szCs w:val="24"/>
        </w:rPr>
        <w:t>25. Refresher training</w:t>
      </w:r>
    </w:p>
    <w:p w:rsidR="00BF576C" w:rsidRPr="00723CBD" w:rsidP="00BF576C" w14:paraId="48498AD2"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485F6358" w14:textId="77777777">
      <w:pPr>
        <w:autoSpaceDE w:val="0"/>
        <w:autoSpaceDN w:val="0"/>
        <w:adjustRightInd w:val="0"/>
        <w:spacing w:after="0" w:line="240" w:lineRule="auto"/>
        <w:rPr>
          <w:rFonts w:ascii="Times New Roman" w:eastAsia="Times New Roman" w:hAnsi="Times New Roman" w:cs="Times New Roman"/>
          <w:sz w:val="24"/>
          <w:szCs w:val="24"/>
        </w:rPr>
      </w:pPr>
      <w:r w:rsidRPr="00D91F68">
        <w:rPr>
          <w:rFonts w:ascii="Times New Roman" w:eastAsia="Times New Roman" w:hAnsi="Times New Roman" w:cs="Times New Roman"/>
          <w:sz w:val="24"/>
          <w:szCs w:val="24"/>
        </w:rPr>
        <w:t>Paragraph 1910.120(q)(8)(i)</w:t>
      </w:r>
      <w:r w:rsidRPr="638B37EC">
        <w:rPr>
          <w:rFonts w:ascii="Times New Roman" w:eastAsia="Times New Roman" w:hAnsi="Times New Roman" w:cs="Times New Roman"/>
          <w:sz w:val="24"/>
          <w:szCs w:val="24"/>
        </w:rPr>
        <w:t xml:space="preserve"> requires that those workers who are trained in accordance with paragraph (q)(6) of this section receive annual refresher training of sufficient content and duration to maintain their competencies, or that they demonstrate competency in those areas at least yearly.</w:t>
      </w:r>
    </w:p>
    <w:p w:rsidR="00BF576C" w:rsidRPr="00723CBD" w:rsidP="00BF576C" w14:paraId="0E7304A2"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6D857046" w14:textId="564BDFBE">
      <w:pPr>
        <w:autoSpaceDE w:val="0"/>
        <w:autoSpaceDN w:val="0"/>
        <w:adjustRightInd w:val="0"/>
        <w:spacing w:after="0" w:line="240" w:lineRule="auto"/>
        <w:rPr>
          <w:rFonts w:ascii="Times New Roman" w:eastAsia="Times New Roman" w:hAnsi="Times New Roman" w:cs="Times New Roman"/>
          <w:sz w:val="24"/>
          <w:szCs w:val="24"/>
        </w:rPr>
      </w:pPr>
      <w:r w:rsidRPr="638B37EC">
        <w:rPr>
          <w:rFonts w:ascii="Times New Roman" w:eastAsia="Times New Roman" w:hAnsi="Times New Roman" w:cs="Times New Roman"/>
          <w:sz w:val="24"/>
          <w:szCs w:val="24"/>
        </w:rPr>
        <w:t xml:space="preserve">As indicated earlier and upon further analysis, the requirements that employers provide training to workers are not considered </w:t>
      </w:r>
      <w:r w:rsidRPr="638B37EC" w:rsidR="4726B392">
        <w:rPr>
          <w:rFonts w:ascii="Times New Roman" w:eastAsia="Times New Roman" w:hAnsi="Times New Roman" w:cs="Times New Roman"/>
          <w:sz w:val="24"/>
          <w:szCs w:val="24"/>
        </w:rPr>
        <w:t xml:space="preserve">to be </w:t>
      </w:r>
      <w:r w:rsidRPr="638B37EC">
        <w:rPr>
          <w:rFonts w:ascii="Times New Roman" w:eastAsia="Times New Roman" w:hAnsi="Times New Roman" w:cs="Times New Roman"/>
          <w:sz w:val="24"/>
          <w:szCs w:val="24"/>
        </w:rPr>
        <w:t>collections of information and are being removed from this ICR. However, the burden hours associated with the requirement for the employer to generate and/or maintain a certification record will be retained. The burden hours for this provision are taken under paragraph 1910.120(q)(8)(ii) (Item 26 below).</w:t>
      </w:r>
    </w:p>
    <w:p w:rsidR="00BF576C" w:rsidRPr="00723CBD" w:rsidP="00BF576C" w14:paraId="33311AD3"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7DDEF1FB" w14:textId="77777777">
      <w:pPr>
        <w:autoSpaceDE w:val="0"/>
        <w:autoSpaceDN w:val="0"/>
        <w:adjustRightInd w:val="0"/>
        <w:spacing w:after="0" w:line="240" w:lineRule="auto"/>
        <w:rPr>
          <w:rFonts w:ascii="Times New Roman" w:eastAsia="Times New Roman" w:hAnsi="Times New Roman" w:cs="Times New Roman"/>
          <w:b/>
          <w:sz w:val="24"/>
          <w:szCs w:val="24"/>
        </w:rPr>
      </w:pPr>
      <w:r w:rsidRPr="00723CBD">
        <w:rPr>
          <w:rFonts w:ascii="Times New Roman" w:eastAsia="Times New Roman" w:hAnsi="Times New Roman" w:cs="Times New Roman"/>
          <w:b/>
          <w:bCs/>
          <w:sz w:val="24"/>
          <w:szCs w:val="24"/>
        </w:rPr>
        <w:t>26. Statement of competency</w:t>
      </w:r>
    </w:p>
    <w:p w:rsidR="00BF576C" w:rsidRPr="00723CBD" w:rsidP="00BF576C" w14:paraId="6CF62883"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3A7D0D05" w14:textId="4EA420F9">
      <w:pPr>
        <w:autoSpaceDE w:val="0"/>
        <w:autoSpaceDN w:val="0"/>
        <w:adjustRightInd w:val="0"/>
        <w:spacing w:after="0" w:line="240" w:lineRule="auto"/>
        <w:rPr>
          <w:rFonts w:ascii="Times New Roman" w:eastAsia="Times New Roman" w:hAnsi="Times New Roman" w:cs="Times New Roman"/>
          <w:sz w:val="24"/>
          <w:szCs w:val="24"/>
        </w:rPr>
      </w:pPr>
      <w:r w:rsidRPr="00D91F68">
        <w:rPr>
          <w:rFonts w:ascii="Times New Roman" w:eastAsia="Times New Roman" w:hAnsi="Times New Roman" w:cs="Times New Roman"/>
          <w:sz w:val="24"/>
          <w:szCs w:val="24"/>
        </w:rPr>
        <w:t>Paragraph 1910.120(q)(8)(ii)</w:t>
      </w:r>
      <w:r w:rsidRPr="638B37EC">
        <w:rPr>
          <w:rFonts w:ascii="Times New Roman" w:eastAsia="Times New Roman" w:hAnsi="Times New Roman" w:cs="Times New Roman"/>
          <w:sz w:val="24"/>
          <w:szCs w:val="24"/>
        </w:rPr>
        <w:t xml:space="preserve"> requires that a statement be made of the training or competency required by paragraph 1910.120(q)(8)(ii) and that the employer shall keep a record of the methodology used to demonstrate competency. </w:t>
      </w:r>
    </w:p>
    <w:p w:rsidR="638B37EC" w:rsidP="638B37EC" w14:paraId="30F80AD4" w14:textId="132BCBC6">
      <w:pPr>
        <w:spacing w:after="0" w:line="240" w:lineRule="auto"/>
        <w:rPr>
          <w:rFonts w:ascii="Times New Roman" w:eastAsia="Times New Roman" w:hAnsi="Times New Roman" w:cs="Times New Roman"/>
          <w:sz w:val="24"/>
          <w:szCs w:val="24"/>
        </w:rPr>
      </w:pPr>
    </w:p>
    <w:p w:rsidR="00BF576C" w:rsidRPr="00723CBD" w:rsidP="00BF576C" w14:paraId="6A695427" w14:textId="7C2016FE">
      <w:pPr>
        <w:autoSpaceDE w:val="0"/>
        <w:autoSpaceDN w:val="0"/>
        <w:adjustRightInd w:val="0"/>
        <w:spacing w:after="0" w:line="240" w:lineRule="auto"/>
        <w:rPr>
          <w:rFonts w:ascii="Times New Roman" w:eastAsia="Times New Roman" w:hAnsi="Times New Roman" w:cs="Times New Roman"/>
          <w:sz w:val="24"/>
          <w:szCs w:val="24"/>
        </w:rPr>
      </w:pPr>
      <w:r w:rsidRPr="638B37EC">
        <w:rPr>
          <w:rFonts w:ascii="Times New Roman" w:eastAsia="Times New Roman" w:hAnsi="Times New Roman" w:cs="Times New Roman"/>
          <w:sz w:val="24"/>
          <w:szCs w:val="24"/>
        </w:rPr>
        <w:t xml:space="preserve">The agency assumes that it will require an employer 10 minutes (10/60 hour) to record the statement of competency and document the methodologies used for each of the 864,320 </w:t>
      </w:r>
      <w:r w:rsidRPr="638B37EC" w:rsidR="0F5E5DCD">
        <w:rPr>
          <w:rFonts w:ascii="Times New Roman" w:eastAsia="Times New Roman" w:hAnsi="Times New Roman" w:cs="Times New Roman"/>
          <w:sz w:val="24"/>
          <w:szCs w:val="24"/>
        </w:rPr>
        <w:t xml:space="preserve">emergency response workers affected by this requirement. </w:t>
      </w:r>
    </w:p>
    <w:p w:rsidR="1210E917" w:rsidP="1210E917" w14:paraId="1B0E8A77" w14:textId="46160530">
      <w:pPr>
        <w:spacing w:after="0" w:line="240" w:lineRule="auto"/>
        <w:rPr>
          <w:rFonts w:ascii="Times New Roman" w:eastAsia="Times New Roman" w:hAnsi="Times New Roman" w:cs="Times New Roman"/>
          <w:sz w:val="24"/>
          <w:szCs w:val="24"/>
        </w:rPr>
      </w:pPr>
    </w:p>
    <w:p w:rsidR="00BF576C" w:rsidRPr="00723CBD" w:rsidP="1210E917" w14:paraId="753D5CEF" w14:textId="4DAA942E">
      <w:pPr>
        <w:autoSpaceDE w:val="0"/>
        <w:autoSpaceDN w:val="0"/>
        <w:adjustRightInd w:val="0"/>
        <w:spacing w:after="0" w:line="240" w:lineRule="auto"/>
        <w:ind w:firstLine="720"/>
        <w:rPr>
          <w:rFonts w:ascii="Times New Roman" w:eastAsia="Times New Roman" w:hAnsi="Times New Roman" w:cs="Times New Roman"/>
          <w:sz w:val="24"/>
          <w:szCs w:val="24"/>
        </w:rPr>
      </w:pPr>
      <w:r w:rsidRPr="638B37EC">
        <w:rPr>
          <w:rFonts w:ascii="Times New Roman" w:eastAsia="Times New Roman" w:hAnsi="Times New Roman" w:cs="Times New Roman"/>
          <w:sz w:val="24"/>
          <w:szCs w:val="24"/>
        </w:rPr>
        <w:t>Burden hours:</w:t>
      </w:r>
      <w:r>
        <w:tab/>
      </w:r>
      <w:r w:rsidRPr="638B37EC" w:rsidR="00107371">
        <w:rPr>
          <w:rFonts w:ascii="Times New Roman" w:eastAsia="Times New Roman" w:hAnsi="Times New Roman" w:cs="Times New Roman"/>
          <w:sz w:val="24"/>
          <w:szCs w:val="24"/>
        </w:rPr>
        <w:t>864,320</w:t>
      </w:r>
      <w:r w:rsidRPr="638B37EC">
        <w:rPr>
          <w:rFonts w:ascii="Times New Roman" w:eastAsia="Times New Roman" w:hAnsi="Times New Roman" w:cs="Times New Roman"/>
          <w:sz w:val="24"/>
          <w:szCs w:val="24"/>
        </w:rPr>
        <w:t xml:space="preserve"> emergency response workers × </w:t>
      </w:r>
      <w:r w:rsidRPr="638B37EC" w:rsidR="00755609">
        <w:rPr>
          <w:rFonts w:ascii="Times New Roman" w:eastAsia="Times New Roman" w:hAnsi="Times New Roman" w:cs="Times New Roman"/>
          <w:sz w:val="24"/>
          <w:szCs w:val="24"/>
        </w:rPr>
        <w:t>10/</w:t>
      </w:r>
      <w:r w:rsidRPr="638B37EC" w:rsidR="006D06C5">
        <w:rPr>
          <w:rFonts w:ascii="Times New Roman" w:eastAsia="Times New Roman" w:hAnsi="Times New Roman" w:cs="Times New Roman"/>
          <w:sz w:val="24"/>
          <w:szCs w:val="24"/>
        </w:rPr>
        <w:t>60</w:t>
      </w:r>
      <w:r w:rsidRPr="638B37EC" w:rsidR="00A74A8C">
        <w:rPr>
          <w:rFonts w:ascii="Times New Roman" w:eastAsia="Times New Roman" w:hAnsi="Times New Roman" w:cs="Times New Roman"/>
          <w:sz w:val="24"/>
          <w:szCs w:val="24"/>
        </w:rPr>
        <w:t xml:space="preserve"> </w:t>
      </w:r>
      <w:r w:rsidRPr="638B37EC">
        <w:rPr>
          <w:rFonts w:ascii="Times New Roman" w:eastAsia="Times New Roman" w:hAnsi="Times New Roman" w:cs="Times New Roman"/>
          <w:sz w:val="24"/>
          <w:szCs w:val="24"/>
        </w:rPr>
        <w:t>hour</w:t>
      </w:r>
      <w:r w:rsidRPr="00723CBD">
        <w:rPr>
          <w:rFonts w:ascii="Times New Roman" w:eastAsia="Times New Roman" w:hAnsi="Times New Roman" w:cs="Times New Roman"/>
          <w:sz w:val="24"/>
          <w:szCs w:val="24"/>
        </w:rPr>
        <w:t xml:space="preserve"> </w:t>
      </w:r>
      <w:r>
        <w:br/>
      </w:r>
      <w:r>
        <w:tab/>
      </w:r>
      <w:r>
        <w:tab/>
      </w:r>
      <w:r>
        <w:tab/>
      </w:r>
      <w:r>
        <w:tab/>
      </w:r>
      <w:r w:rsidRPr="1210E917" w:rsidR="24000D24">
        <w:rPr>
          <w:rFonts w:ascii="Times New Roman" w:eastAsia="Times New Roman" w:hAnsi="Times New Roman" w:cs="Times New Roman"/>
          <w:sz w:val="24"/>
          <w:szCs w:val="24"/>
        </w:rPr>
        <w:t xml:space="preserve">  </w:t>
      </w:r>
      <w:r w:rsidRPr="00723CBD">
        <w:rPr>
          <w:rFonts w:ascii="Times New Roman" w:eastAsia="Times New Roman" w:hAnsi="Times New Roman" w:cs="Times New Roman"/>
          <w:sz w:val="24"/>
          <w:szCs w:val="24"/>
        </w:rPr>
        <w:t xml:space="preserve"> =</w:t>
      </w:r>
      <w:r w:rsidRPr="00723CBD" w:rsidR="00E05B90">
        <w:rPr>
          <w:rFonts w:ascii="Times New Roman" w:eastAsia="Times New Roman" w:hAnsi="Times New Roman" w:cs="Times New Roman"/>
          <w:sz w:val="24"/>
          <w:szCs w:val="24"/>
        </w:rPr>
        <w:t xml:space="preserve"> </w:t>
      </w:r>
      <w:r w:rsidRPr="00723CBD" w:rsidR="00714096">
        <w:rPr>
          <w:rFonts w:ascii="Times New Roman" w:eastAsia="Times New Roman" w:hAnsi="Times New Roman" w:cs="Times New Roman"/>
          <w:sz w:val="24"/>
          <w:szCs w:val="24"/>
        </w:rPr>
        <w:t>144,</w:t>
      </w:r>
      <w:r w:rsidRPr="00723CBD" w:rsidR="00CD438C">
        <w:rPr>
          <w:rFonts w:ascii="Times New Roman" w:eastAsia="Times New Roman" w:hAnsi="Times New Roman" w:cs="Times New Roman"/>
          <w:sz w:val="24"/>
          <w:szCs w:val="24"/>
        </w:rPr>
        <w:t>053</w:t>
      </w:r>
      <w:r w:rsidRPr="00723CBD" w:rsidR="00F856A1">
        <w:rPr>
          <w:rFonts w:ascii="Times New Roman" w:eastAsia="Times New Roman" w:hAnsi="Times New Roman" w:cs="Times New Roman"/>
          <w:sz w:val="24"/>
          <w:szCs w:val="24"/>
        </w:rPr>
        <w:t xml:space="preserve"> </w:t>
      </w:r>
      <w:r w:rsidRPr="00723CBD">
        <w:rPr>
          <w:rFonts w:ascii="Times New Roman" w:eastAsia="Times New Roman" w:hAnsi="Times New Roman" w:cs="Times New Roman"/>
          <w:sz w:val="24"/>
          <w:szCs w:val="24"/>
        </w:rPr>
        <w:t>hours</w:t>
      </w:r>
      <w:r w:rsidRPr="00723CBD" w:rsidR="7AF9CB0B">
        <w:rPr>
          <w:rFonts w:ascii="Times New Roman" w:eastAsia="Times New Roman" w:hAnsi="Times New Roman" w:cs="Times New Roman"/>
          <w:sz w:val="24"/>
          <w:szCs w:val="24"/>
        </w:rPr>
        <w:t>, rounded</w:t>
      </w:r>
    </w:p>
    <w:p w:rsidR="00BF576C" w:rsidRPr="00723CBD" w:rsidP="00BF576C" w14:paraId="4E23353C" w14:textId="2FBD72C1">
      <w:pPr>
        <w:autoSpaceDE w:val="0"/>
        <w:autoSpaceDN w:val="0"/>
        <w:adjustRightInd w:val="0"/>
        <w:spacing w:after="0" w:line="240" w:lineRule="auto"/>
        <w:rPr>
          <w:rFonts w:ascii="Times New Roman" w:eastAsia="Times New Roman" w:hAnsi="Times New Roman" w:cs="Times New Roman"/>
          <w:sz w:val="24"/>
          <w:szCs w:val="24"/>
        </w:rPr>
      </w:pPr>
      <w:r w:rsidRPr="638B37EC">
        <w:rPr>
          <w:rFonts w:ascii="Times New Roman" w:eastAsia="Times New Roman" w:hAnsi="Times New Roman" w:cs="Times New Roman"/>
          <w:sz w:val="24"/>
          <w:szCs w:val="24"/>
        </w:rPr>
        <w:t xml:space="preserve">             </w:t>
      </w:r>
      <w:r>
        <w:tab/>
      </w:r>
      <w:r w:rsidRPr="638B37EC">
        <w:rPr>
          <w:rFonts w:ascii="Times New Roman" w:eastAsia="Times New Roman" w:hAnsi="Times New Roman" w:cs="Times New Roman"/>
          <w:sz w:val="24"/>
          <w:szCs w:val="24"/>
        </w:rPr>
        <w:t xml:space="preserve">  Cost:</w:t>
      </w:r>
      <w:r w:rsidRPr="1210E917" w:rsidR="3A6391E8">
        <w:rPr>
          <w:rFonts w:ascii="Times New Roman" w:eastAsia="Times New Roman" w:hAnsi="Times New Roman" w:cs="Times New Roman"/>
          <w:sz w:val="24"/>
          <w:szCs w:val="24"/>
        </w:rPr>
        <w:t xml:space="preserve"> </w:t>
      </w:r>
      <w:r w:rsidRPr="638B37EC" w:rsidR="00CD438C">
        <w:rPr>
          <w:rFonts w:ascii="Times New Roman" w:eastAsia="Times New Roman" w:hAnsi="Times New Roman" w:cs="Times New Roman"/>
          <w:sz w:val="24"/>
          <w:szCs w:val="24"/>
        </w:rPr>
        <w:t>144,053</w:t>
      </w:r>
      <w:r w:rsidRPr="638B37EC">
        <w:rPr>
          <w:rFonts w:ascii="Times New Roman" w:eastAsia="Times New Roman" w:hAnsi="Times New Roman" w:cs="Times New Roman"/>
          <w:sz w:val="24"/>
          <w:szCs w:val="24"/>
        </w:rPr>
        <w:t xml:space="preserve"> hours x $</w:t>
      </w:r>
      <w:r w:rsidRPr="638B37EC" w:rsidR="001168FD">
        <w:rPr>
          <w:rFonts w:ascii="Times New Roman" w:eastAsia="Times New Roman" w:hAnsi="Times New Roman" w:cs="Times New Roman"/>
          <w:sz w:val="24"/>
          <w:szCs w:val="24"/>
        </w:rPr>
        <w:t>5</w:t>
      </w:r>
      <w:r w:rsidRPr="638B37EC" w:rsidR="006F5F36">
        <w:rPr>
          <w:rFonts w:ascii="Times New Roman" w:eastAsia="Times New Roman" w:hAnsi="Times New Roman" w:cs="Times New Roman"/>
          <w:sz w:val="24"/>
          <w:szCs w:val="24"/>
        </w:rPr>
        <w:t>3.70</w:t>
      </w:r>
      <w:r w:rsidRPr="638B37EC" w:rsidR="001F4401">
        <w:rPr>
          <w:rFonts w:ascii="Times New Roman" w:eastAsia="Times New Roman" w:hAnsi="Times New Roman" w:cs="Times New Roman"/>
          <w:sz w:val="24"/>
          <w:szCs w:val="24"/>
        </w:rPr>
        <w:t xml:space="preserve"> </w:t>
      </w:r>
      <w:r w:rsidRPr="638B37EC">
        <w:rPr>
          <w:rFonts w:ascii="Times New Roman" w:eastAsia="Times New Roman" w:hAnsi="Times New Roman" w:cs="Times New Roman"/>
          <w:sz w:val="24"/>
          <w:szCs w:val="24"/>
        </w:rPr>
        <w:t>=</w:t>
      </w:r>
      <w:r w:rsidRPr="638B37EC" w:rsidR="001F4401">
        <w:rPr>
          <w:rFonts w:ascii="Times New Roman" w:eastAsia="Times New Roman" w:hAnsi="Times New Roman" w:cs="Times New Roman"/>
          <w:sz w:val="24"/>
          <w:szCs w:val="24"/>
        </w:rPr>
        <w:t xml:space="preserve"> </w:t>
      </w:r>
      <w:r w:rsidRPr="638B37EC" w:rsidR="00755609">
        <w:rPr>
          <w:rFonts w:ascii="Times New Roman" w:eastAsia="Times New Roman" w:hAnsi="Times New Roman" w:cs="Times New Roman"/>
          <w:sz w:val="24"/>
          <w:szCs w:val="24"/>
        </w:rPr>
        <w:t>$</w:t>
      </w:r>
      <w:r w:rsidRPr="638B37EC" w:rsidR="004A544E">
        <w:rPr>
          <w:rFonts w:ascii="Times New Roman" w:eastAsia="Times New Roman" w:hAnsi="Times New Roman" w:cs="Times New Roman"/>
          <w:sz w:val="24"/>
          <w:szCs w:val="24"/>
        </w:rPr>
        <w:t>7,</w:t>
      </w:r>
      <w:r w:rsidRPr="638B37EC" w:rsidR="00E17A63">
        <w:rPr>
          <w:rFonts w:ascii="Times New Roman" w:eastAsia="Times New Roman" w:hAnsi="Times New Roman" w:cs="Times New Roman"/>
          <w:sz w:val="24"/>
          <w:szCs w:val="24"/>
        </w:rPr>
        <w:t>735,646</w:t>
      </w:r>
      <w:r w:rsidRPr="638B37EC" w:rsidR="68CE6C23">
        <w:rPr>
          <w:rFonts w:ascii="Times New Roman" w:eastAsia="Times New Roman" w:hAnsi="Times New Roman" w:cs="Times New Roman"/>
          <w:sz w:val="24"/>
          <w:szCs w:val="24"/>
        </w:rPr>
        <w:t>.10</w:t>
      </w:r>
    </w:p>
    <w:p w:rsidR="00BF576C" w:rsidRPr="00723CBD" w:rsidP="00BF576C" w14:paraId="37BE14BE"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122E7D9D" w14:textId="77777777">
      <w:pPr>
        <w:autoSpaceDE w:val="0"/>
        <w:autoSpaceDN w:val="0"/>
        <w:adjustRightInd w:val="0"/>
        <w:spacing w:after="0" w:line="240" w:lineRule="auto"/>
        <w:rPr>
          <w:rFonts w:ascii="Times New Roman" w:eastAsia="Times New Roman" w:hAnsi="Times New Roman" w:cs="Times New Roman"/>
          <w:b/>
          <w:sz w:val="24"/>
          <w:szCs w:val="24"/>
        </w:rPr>
      </w:pPr>
      <w:r w:rsidRPr="00723CBD">
        <w:rPr>
          <w:rFonts w:ascii="Times New Roman" w:eastAsia="Times New Roman" w:hAnsi="Times New Roman" w:cs="Times New Roman"/>
          <w:b/>
          <w:bCs/>
          <w:sz w:val="24"/>
          <w:szCs w:val="24"/>
        </w:rPr>
        <w:t>27. Baseline physical exams for members of organized and designated HAZMAT team and hazardous materials specialists</w:t>
      </w:r>
      <w:r w:rsidRPr="00723CBD">
        <w:rPr>
          <w:rFonts w:ascii="Times New Roman" w:eastAsia="Times New Roman" w:hAnsi="Times New Roman" w:cs="Times New Roman"/>
          <w:b/>
          <w:sz w:val="24"/>
          <w:szCs w:val="24"/>
        </w:rPr>
        <w:t xml:space="preserve"> </w:t>
      </w:r>
    </w:p>
    <w:p w:rsidR="00BF576C" w:rsidRPr="00723CBD" w:rsidP="00BF576C" w14:paraId="1C95B98B"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36FBC43E" w14:textId="0AAB2BD5">
      <w:pPr>
        <w:autoSpaceDE w:val="0"/>
        <w:autoSpaceDN w:val="0"/>
        <w:adjustRightInd w:val="0"/>
        <w:spacing w:after="0" w:line="240" w:lineRule="auto"/>
        <w:rPr>
          <w:rFonts w:ascii="Times New Roman" w:eastAsia="Times New Roman" w:hAnsi="Times New Roman" w:cs="Times New Roman"/>
          <w:sz w:val="24"/>
          <w:szCs w:val="24"/>
        </w:rPr>
      </w:pPr>
      <w:r w:rsidRPr="00D91F68">
        <w:rPr>
          <w:rFonts w:ascii="Times New Roman" w:eastAsia="Times New Roman" w:hAnsi="Times New Roman" w:cs="Times New Roman"/>
          <w:sz w:val="24"/>
          <w:szCs w:val="24"/>
        </w:rPr>
        <w:t>Paragraph 1910.120(q)(9)</w:t>
      </w:r>
      <w:r w:rsidRPr="638B37EC">
        <w:rPr>
          <w:rFonts w:ascii="Times New Roman" w:eastAsia="Times New Roman" w:hAnsi="Times New Roman" w:cs="Times New Roman"/>
          <w:sz w:val="24"/>
          <w:szCs w:val="24"/>
        </w:rPr>
        <w:t xml:space="preserve"> requires that members of an organized and designated</w:t>
      </w:r>
      <w:r w:rsidRPr="638B37EC" w:rsidR="7145E589">
        <w:rPr>
          <w:rFonts w:ascii="Times New Roman" w:eastAsia="Times New Roman" w:hAnsi="Times New Roman" w:cs="Times New Roman"/>
          <w:sz w:val="24"/>
          <w:szCs w:val="24"/>
        </w:rPr>
        <w:t xml:space="preserve"> hazardous materials management</w:t>
      </w:r>
      <w:r w:rsidRPr="638B37EC">
        <w:rPr>
          <w:rFonts w:ascii="Times New Roman" w:eastAsia="Times New Roman" w:hAnsi="Times New Roman" w:cs="Times New Roman"/>
          <w:sz w:val="24"/>
          <w:szCs w:val="24"/>
        </w:rPr>
        <w:t xml:space="preserve"> </w:t>
      </w:r>
      <w:r w:rsidRPr="638B37EC" w:rsidR="73EDE20C">
        <w:rPr>
          <w:rFonts w:ascii="Times New Roman" w:eastAsia="Times New Roman" w:hAnsi="Times New Roman" w:cs="Times New Roman"/>
          <w:sz w:val="24"/>
          <w:szCs w:val="24"/>
        </w:rPr>
        <w:t>(</w:t>
      </w:r>
      <w:r w:rsidRPr="638B37EC">
        <w:rPr>
          <w:rFonts w:ascii="Times New Roman" w:eastAsia="Times New Roman" w:hAnsi="Times New Roman" w:cs="Times New Roman"/>
          <w:sz w:val="24"/>
          <w:szCs w:val="24"/>
        </w:rPr>
        <w:t>HAZMAT</w:t>
      </w:r>
      <w:r w:rsidRPr="638B37EC" w:rsidR="25C0E909">
        <w:rPr>
          <w:rFonts w:ascii="Times New Roman" w:eastAsia="Times New Roman" w:hAnsi="Times New Roman" w:cs="Times New Roman"/>
          <w:sz w:val="24"/>
          <w:szCs w:val="24"/>
        </w:rPr>
        <w:t>)</w:t>
      </w:r>
      <w:r w:rsidRPr="638B37EC">
        <w:rPr>
          <w:rFonts w:ascii="Times New Roman" w:eastAsia="Times New Roman" w:hAnsi="Times New Roman" w:cs="Times New Roman"/>
          <w:sz w:val="24"/>
          <w:szCs w:val="24"/>
        </w:rPr>
        <w:t xml:space="preserve"> team and hazardous materials specialists receive a baseline physical examination.</w:t>
      </w:r>
    </w:p>
    <w:p w:rsidR="00BF576C" w:rsidRPr="00723CBD" w:rsidP="00BF576C" w14:paraId="73A44195"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7F74E0C5" w14:textId="1166D1CA">
      <w:pPr>
        <w:autoSpaceDE w:val="0"/>
        <w:autoSpaceDN w:val="0"/>
        <w:adjustRightInd w:val="0"/>
        <w:spacing w:after="0" w:line="240" w:lineRule="auto"/>
        <w:rPr>
          <w:rFonts w:ascii="Times New Roman" w:eastAsia="Times New Roman" w:hAnsi="Times New Roman" w:cs="Times New Roman"/>
          <w:sz w:val="24"/>
          <w:szCs w:val="24"/>
        </w:rPr>
      </w:pPr>
      <w:r w:rsidRPr="5C516CCC">
        <w:rPr>
          <w:rFonts w:ascii="Times New Roman" w:eastAsia="Times New Roman" w:hAnsi="Times New Roman" w:cs="Times New Roman"/>
          <w:sz w:val="24"/>
          <w:szCs w:val="24"/>
        </w:rPr>
        <w:t xml:space="preserve">Based on the RIA, OSHA estimates that 3,000 HAZMAT employees will take </w:t>
      </w:r>
      <w:r w:rsidRPr="5C516CCC" w:rsidR="48CB2DEE">
        <w:rPr>
          <w:rFonts w:ascii="Times New Roman" w:eastAsia="Times New Roman" w:hAnsi="Times New Roman" w:cs="Times New Roman"/>
          <w:sz w:val="24"/>
          <w:szCs w:val="24"/>
        </w:rPr>
        <w:t>90 minutes (90/60 hours)</w:t>
      </w:r>
      <w:r w:rsidRPr="5C516CCC">
        <w:rPr>
          <w:rFonts w:ascii="Times New Roman" w:eastAsia="Times New Roman" w:hAnsi="Times New Roman" w:cs="Times New Roman"/>
          <w:sz w:val="24"/>
          <w:szCs w:val="24"/>
        </w:rPr>
        <w:t xml:space="preserve"> for a medical exam </w:t>
      </w:r>
      <w:r w:rsidRPr="5C516CCC" w:rsidR="0471BEC4">
        <w:rPr>
          <w:rFonts w:ascii="Times New Roman" w:eastAsia="Times New Roman" w:hAnsi="Times New Roman" w:cs="Times New Roman"/>
          <w:sz w:val="24"/>
          <w:szCs w:val="24"/>
        </w:rPr>
        <w:t>(</w:t>
      </w:r>
      <w:r w:rsidRPr="5C516CCC">
        <w:rPr>
          <w:rFonts w:ascii="Times New Roman" w:eastAsia="Times New Roman" w:hAnsi="Times New Roman" w:cs="Times New Roman"/>
          <w:sz w:val="24"/>
          <w:szCs w:val="24"/>
        </w:rPr>
        <w:t>including travel time</w:t>
      </w:r>
      <w:r w:rsidRPr="5C516CCC" w:rsidR="15C86F7F">
        <w:rPr>
          <w:rFonts w:ascii="Times New Roman" w:eastAsia="Times New Roman" w:hAnsi="Times New Roman" w:cs="Times New Roman"/>
          <w:sz w:val="24"/>
          <w:szCs w:val="24"/>
        </w:rPr>
        <w:t>)</w:t>
      </w:r>
      <w:r w:rsidRPr="5C516CCC">
        <w:rPr>
          <w:rFonts w:ascii="Times New Roman" w:eastAsia="Times New Roman" w:hAnsi="Times New Roman" w:cs="Times New Roman"/>
          <w:sz w:val="24"/>
          <w:szCs w:val="24"/>
        </w:rPr>
        <w:t>, 15 minutes (</w:t>
      </w:r>
      <w:r w:rsidRPr="5C516CCC" w:rsidR="2E8A87D2">
        <w:rPr>
          <w:rFonts w:ascii="Times New Roman" w:eastAsia="Times New Roman" w:hAnsi="Times New Roman" w:cs="Times New Roman"/>
          <w:sz w:val="24"/>
          <w:szCs w:val="24"/>
        </w:rPr>
        <w:t>15/60</w:t>
      </w:r>
      <w:r w:rsidRPr="5C516CCC" w:rsidR="21383542">
        <w:rPr>
          <w:rFonts w:ascii="Times New Roman" w:eastAsia="Times New Roman" w:hAnsi="Times New Roman" w:cs="Times New Roman"/>
          <w:sz w:val="24"/>
          <w:szCs w:val="24"/>
        </w:rPr>
        <w:t xml:space="preserve"> hour</w:t>
      </w:r>
      <w:r w:rsidRPr="5C516CCC">
        <w:rPr>
          <w:rFonts w:ascii="Times New Roman" w:eastAsia="Times New Roman" w:hAnsi="Times New Roman" w:cs="Times New Roman"/>
          <w:sz w:val="24"/>
          <w:szCs w:val="24"/>
        </w:rPr>
        <w:t>) for the employer to provide the necessary information to the physician</w:t>
      </w:r>
      <w:r w:rsidRPr="5C516CCC" w:rsidR="353CA826">
        <w:rPr>
          <w:rFonts w:ascii="Times New Roman" w:eastAsia="Times New Roman" w:hAnsi="Times New Roman" w:cs="Times New Roman"/>
          <w:sz w:val="24"/>
          <w:szCs w:val="24"/>
        </w:rPr>
        <w:t>,</w:t>
      </w:r>
      <w:r w:rsidRPr="5C516CCC">
        <w:rPr>
          <w:rFonts w:ascii="Times New Roman" w:eastAsia="Times New Roman" w:hAnsi="Times New Roman" w:cs="Times New Roman"/>
          <w:sz w:val="24"/>
          <w:szCs w:val="24"/>
        </w:rPr>
        <w:t xml:space="preserve"> </w:t>
      </w:r>
      <w:r w:rsidRPr="5C516CCC" w:rsidR="62A662C4">
        <w:rPr>
          <w:rFonts w:ascii="Times New Roman" w:eastAsia="Times New Roman" w:hAnsi="Times New Roman" w:cs="Times New Roman"/>
          <w:sz w:val="24"/>
          <w:szCs w:val="24"/>
        </w:rPr>
        <w:t xml:space="preserve">and </w:t>
      </w:r>
      <w:r w:rsidRPr="5C516CCC">
        <w:rPr>
          <w:rFonts w:ascii="Times New Roman" w:eastAsia="Times New Roman" w:hAnsi="Times New Roman" w:cs="Times New Roman"/>
          <w:sz w:val="24"/>
          <w:szCs w:val="24"/>
        </w:rPr>
        <w:t>10 minutes (</w:t>
      </w:r>
      <w:r w:rsidRPr="5C516CCC" w:rsidR="2E8A87D2">
        <w:rPr>
          <w:rFonts w:ascii="Times New Roman" w:eastAsia="Times New Roman" w:hAnsi="Times New Roman" w:cs="Times New Roman"/>
          <w:sz w:val="24"/>
          <w:szCs w:val="24"/>
        </w:rPr>
        <w:t>10/60</w:t>
      </w:r>
      <w:r w:rsidRPr="5C516CCC">
        <w:rPr>
          <w:rFonts w:ascii="Times New Roman" w:eastAsia="Times New Roman" w:hAnsi="Times New Roman" w:cs="Times New Roman"/>
          <w:sz w:val="24"/>
          <w:szCs w:val="24"/>
        </w:rPr>
        <w:t xml:space="preserve"> hour) to furnish the worker with the written opinion and to develop and maintain the employee medical record.</w:t>
      </w:r>
      <w:r w:rsidRPr="5C516CCC" w:rsidR="4032F4FC">
        <w:rPr>
          <w:rFonts w:ascii="Times New Roman" w:eastAsia="Times New Roman" w:hAnsi="Times New Roman" w:cs="Times New Roman"/>
          <w:sz w:val="24"/>
          <w:szCs w:val="24"/>
        </w:rPr>
        <w:t xml:space="preserve"> In total, the agency estimates that each baseline physical exam will require 11</w:t>
      </w:r>
      <w:r w:rsidRPr="5C516CCC" w:rsidR="05B2F4AF">
        <w:rPr>
          <w:rFonts w:ascii="Times New Roman" w:eastAsia="Times New Roman" w:hAnsi="Times New Roman" w:cs="Times New Roman"/>
          <w:sz w:val="24"/>
          <w:szCs w:val="24"/>
        </w:rPr>
        <w:t>5 minutes (115/60 hour) of time.</w:t>
      </w:r>
    </w:p>
    <w:p w:rsidR="00BF576C" w:rsidRPr="00723CBD" w:rsidP="00BF576C" w14:paraId="41DFD848"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1210E917" w14:paraId="18BDD11B" w14:textId="611C3522">
      <w:pPr>
        <w:autoSpaceDE w:val="0"/>
        <w:autoSpaceDN w:val="0"/>
        <w:adjustRightInd w:val="0"/>
        <w:spacing w:after="0" w:line="240" w:lineRule="auto"/>
        <w:ind w:firstLine="720"/>
        <w:rPr>
          <w:rFonts w:ascii="Times New Roman" w:eastAsia="Times New Roman" w:hAnsi="Times New Roman" w:cs="Times New Roman"/>
          <w:sz w:val="24"/>
          <w:szCs w:val="24"/>
        </w:rPr>
      </w:pPr>
      <w:r w:rsidRPr="638B37EC">
        <w:rPr>
          <w:rFonts w:ascii="Times New Roman" w:eastAsia="Times New Roman" w:hAnsi="Times New Roman" w:cs="Times New Roman"/>
          <w:sz w:val="24"/>
          <w:szCs w:val="24"/>
        </w:rPr>
        <w:t>Burden hours:</w:t>
      </w:r>
      <w:r>
        <w:tab/>
      </w:r>
      <w:r w:rsidRPr="638B37EC">
        <w:rPr>
          <w:rFonts w:ascii="Times New Roman" w:eastAsia="Times New Roman" w:hAnsi="Times New Roman" w:cs="Times New Roman"/>
          <w:sz w:val="24"/>
          <w:szCs w:val="24"/>
        </w:rPr>
        <w:t xml:space="preserve"> 3,000 workers × </w:t>
      </w:r>
      <w:r w:rsidRPr="638B37EC" w:rsidR="5F40EC23">
        <w:rPr>
          <w:rFonts w:ascii="Times New Roman" w:eastAsia="Times New Roman" w:hAnsi="Times New Roman" w:cs="Times New Roman"/>
          <w:sz w:val="24"/>
          <w:szCs w:val="24"/>
        </w:rPr>
        <w:t xml:space="preserve">115/60 </w:t>
      </w:r>
      <w:r w:rsidRPr="638B37EC">
        <w:rPr>
          <w:rFonts w:ascii="Times New Roman" w:eastAsia="Times New Roman" w:hAnsi="Times New Roman" w:cs="Times New Roman"/>
          <w:sz w:val="24"/>
          <w:szCs w:val="24"/>
        </w:rPr>
        <w:t xml:space="preserve">hours = </w:t>
      </w:r>
      <w:r w:rsidRPr="638B37EC" w:rsidR="00FF697B">
        <w:rPr>
          <w:rFonts w:ascii="Times New Roman" w:eastAsia="Times New Roman" w:hAnsi="Times New Roman" w:cs="Times New Roman"/>
          <w:sz w:val="24"/>
          <w:szCs w:val="24"/>
        </w:rPr>
        <w:t>5,750</w:t>
      </w:r>
      <w:r w:rsidRPr="638B37EC">
        <w:rPr>
          <w:rFonts w:ascii="Times New Roman" w:eastAsia="Times New Roman" w:hAnsi="Times New Roman" w:cs="Times New Roman"/>
          <w:sz w:val="24"/>
          <w:szCs w:val="24"/>
        </w:rPr>
        <w:t xml:space="preserve"> hours</w:t>
      </w:r>
    </w:p>
    <w:p w:rsidR="001E0E44" w:rsidRPr="00723CBD" w:rsidP="00BF576C" w14:paraId="450BA5D7" w14:textId="2E3ACC24">
      <w:pPr>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sz w:val="24"/>
          <w:szCs w:val="24"/>
        </w:rPr>
        <w:tab/>
      </w:r>
      <w:r w:rsidRPr="00723CBD">
        <w:rPr>
          <w:rFonts w:ascii="Times New Roman" w:eastAsia="Times New Roman" w:hAnsi="Times New Roman" w:cs="Times New Roman"/>
          <w:sz w:val="24"/>
          <w:szCs w:val="24"/>
        </w:rPr>
        <w:tab/>
        <w:t xml:space="preserve">  Cost:</w:t>
      </w:r>
      <w:r w:rsidRPr="00723CBD">
        <w:rPr>
          <w:rFonts w:ascii="Times New Roman" w:eastAsia="Times New Roman" w:hAnsi="Times New Roman" w:cs="Times New Roman"/>
          <w:sz w:val="24"/>
          <w:szCs w:val="24"/>
        </w:rPr>
        <w:tab/>
      </w:r>
      <w:r w:rsidRPr="00723CBD" w:rsidR="00FF697B">
        <w:rPr>
          <w:rFonts w:ascii="Times New Roman" w:eastAsia="Times New Roman" w:hAnsi="Times New Roman" w:cs="Times New Roman"/>
          <w:sz w:val="24"/>
          <w:szCs w:val="24"/>
        </w:rPr>
        <w:t>5,750</w:t>
      </w:r>
      <w:r w:rsidRPr="00723CBD">
        <w:rPr>
          <w:rFonts w:ascii="Times New Roman" w:eastAsia="Times New Roman" w:hAnsi="Times New Roman" w:cs="Times New Roman"/>
          <w:sz w:val="24"/>
          <w:szCs w:val="24"/>
        </w:rPr>
        <w:t xml:space="preserve"> hours x $</w:t>
      </w:r>
      <w:r w:rsidRPr="00723CBD" w:rsidR="006F5F36">
        <w:rPr>
          <w:rFonts w:ascii="Times New Roman" w:eastAsia="Times New Roman" w:hAnsi="Times New Roman" w:cs="Times New Roman"/>
          <w:sz w:val="24"/>
          <w:szCs w:val="24"/>
        </w:rPr>
        <w:t>53.70</w:t>
      </w:r>
      <w:r w:rsidRPr="00723CBD">
        <w:rPr>
          <w:rFonts w:ascii="Times New Roman" w:eastAsia="Times New Roman" w:hAnsi="Times New Roman" w:cs="Times New Roman"/>
          <w:sz w:val="24"/>
          <w:szCs w:val="24"/>
        </w:rPr>
        <w:t xml:space="preserve"> = $</w:t>
      </w:r>
      <w:r w:rsidRPr="00723CBD" w:rsidR="008A108C">
        <w:rPr>
          <w:rFonts w:ascii="Times New Roman" w:eastAsia="Times New Roman" w:hAnsi="Times New Roman" w:cs="Times New Roman"/>
          <w:sz w:val="24"/>
          <w:szCs w:val="24"/>
        </w:rPr>
        <w:t>308,</w:t>
      </w:r>
      <w:r w:rsidRPr="00723CBD" w:rsidR="00855F4E">
        <w:rPr>
          <w:rFonts w:ascii="Times New Roman" w:eastAsia="Times New Roman" w:hAnsi="Times New Roman" w:cs="Times New Roman"/>
          <w:sz w:val="24"/>
          <w:szCs w:val="24"/>
        </w:rPr>
        <w:t>775</w:t>
      </w:r>
      <w:r w:rsidRPr="00723CBD" w:rsidR="6854C048">
        <w:rPr>
          <w:rFonts w:ascii="Times New Roman" w:eastAsia="Times New Roman" w:hAnsi="Times New Roman" w:cs="Times New Roman"/>
          <w:sz w:val="24"/>
          <w:szCs w:val="24"/>
        </w:rPr>
        <w:t>.00</w:t>
      </w:r>
      <w:r w:rsidRPr="00723CBD" w:rsidR="00855F4E">
        <w:rPr>
          <w:rFonts w:ascii="Times New Roman" w:eastAsia="Times New Roman" w:hAnsi="Times New Roman" w:cs="Times New Roman"/>
          <w:sz w:val="24"/>
          <w:szCs w:val="24"/>
        </w:rPr>
        <w:t xml:space="preserve"> </w:t>
      </w:r>
    </w:p>
    <w:p w:rsidR="00BF576C" w:rsidRPr="00723CBD" w:rsidP="00BF576C" w14:paraId="6AE60950"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16002499" w14:textId="77777777">
      <w:pPr>
        <w:autoSpaceDE w:val="0"/>
        <w:autoSpaceDN w:val="0"/>
        <w:adjustRightInd w:val="0"/>
        <w:spacing w:after="0" w:line="240" w:lineRule="auto"/>
        <w:rPr>
          <w:rFonts w:ascii="Times New Roman" w:eastAsia="Times New Roman" w:hAnsi="Times New Roman" w:cs="Times New Roman"/>
          <w:b/>
          <w:sz w:val="24"/>
          <w:szCs w:val="24"/>
        </w:rPr>
      </w:pPr>
      <w:r w:rsidRPr="00723CBD">
        <w:rPr>
          <w:rFonts w:ascii="Times New Roman" w:eastAsia="Times New Roman" w:hAnsi="Times New Roman" w:cs="Times New Roman"/>
          <w:b/>
          <w:sz w:val="24"/>
          <w:szCs w:val="24"/>
        </w:rPr>
        <w:t>28. Disclosure of written safety and health programs, emergency action plans, emergency response plans and training certification records</w:t>
      </w:r>
    </w:p>
    <w:p w:rsidR="00BF576C" w:rsidRPr="00723CBD" w:rsidP="00BF576C" w14:paraId="1E88AFAA"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7CC7DB6E" w14:textId="358C7D21">
      <w:pPr>
        <w:spacing w:after="0" w:line="240" w:lineRule="auto"/>
        <w:rPr>
          <w:rFonts w:ascii="Times New Roman" w:eastAsia="Times New Roman" w:hAnsi="Times New Roman" w:cs="Times New Roman"/>
          <w:color w:val="000000"/>
          <w:sz w:val="24"/>
          <w:szCs w:val="24"/>
        </w:rPr>
      </w:pPr>
      <w:r w:rsidRPr="320A4B18">
        <w:rPr>
          <w:rFonts w:ascii="Times New Roman" w:eastAsia="Times New Roman" w:hAnsi="Times New Roman" w:cs="Times New Roman"/>
          <w:sz w:val="24"/>
          <w:szCs w:val="24"/>
        </w:rPr>
        <w:t xml:space="preserve">Customarily, OSHA requests access to records during an inspection. The </w:t>
      </w:r>
      <w:r w:rsidRPr="320A4B18" w:rsidR="5E08F3B1">
        <w:rPr>
          <w:rFonts w:ascii="Times New Roman" w:eastAsia="Times New Roman" w:hAnsi="Times New Roman" w:cs="Times New Roman"/>
          <w:sz w:val="24"/>
          <w:szCs w:val="24"/>
        </w:rPr>
        <w:t>a</w:t>
      </w:r>
      <w:r w:rsidRPr="320A4B18">
        <w:rPr>
          <w:rFonts w:ascii="Times New Roman" w:eastAsia="Times New Roman" w:hAnsi="Times New Roman" w:cs="Times New Roman"/>
          <w:sz w:val="24"/>
          <w:szCs w:val="24"/>
        </w:rPr>
        <w:t xml:space="preserve">gency has determined that information collected by the </w:t>
      </w:r>
      <w:r w:rsidRPr="320A4B18" w:rsidR="39CE72F7">
        <w:rPr>
          <w:rFonts w:ascii="Times New Roman" w:eastAsia="Times New Roman" w:hAnsi="Times New Roman" w:cs="Times New Roman"/>
          <w:sz w:val="24"/>
          <w:szCs w:val="24"/>
        </w:rPr>
        <w:t>a</w:t>
      </w:r>
      <w:r w:rsidRPr="320A4B18">
        <w:rPr>
          <w:rFonts w:ascii="Times New Roman" w:eastAsia="Times New Roman" w:hAnsi="Times New Roman" w:cs="Times New Roman"/>
          <w:sz w:val="24"/>
          <w:szCs w:val="24"/>
        </w:rPr>
        <w:t xml:space="preserve">gency during </w:t>
      </w:r>
      <w:r w:rsidRPr="320A4B18" w:rsidR="7CEA6BFB">
        <w:rPr>
          <w:rFonts w:ascii="Times New Roman" w:eastAsia="Times New Roman" w:hAnsi="Times New Roman" w:cs="Times New Roman"/>
          <w:sz w:val="24"/>
          <w:szCs w:val="24"/>
        </w:rPr>
        <w:t>an</w:t>
      </w:r>
      <w:r w:rsidRPr="320A4B18">
        <w:rPr>
          <w:rFonts w:ascii="Times New Roman" w:eastAsia="Times New Roman" w:hAnsi="Times New Roman" w:cs="Times New Roman"/>
          <w:sz w:val="24"/>
          <w:szCs w:val="24"/>
        </w:rPr>
        <w:t xml:space="preserve"> investigation is not subject to the PRA under 5 CFR 1320.4(a)(2). Therefore, OSHA takes no burden or cost for </w:t>
      </w:r>
      <w:r w:rsidRPr="320A4B18" w:rsidR="003A597B">
        <w:rPr>
          <w:rFonts w:ascii="Times New Roman" w:eastAsia="Times New Roman" w:hAnsi="Times New Roman" w:cs="Times New Roman"/>
          <w:sz w:val="24"/>
          <w:szCs w:val="24"/>
        </w:rPr>
        <w:t xml:space="preserve">the </w:t>
      </w:r>
      <w:r w:rsidRPr="320A4B18">
        <w:rPr>
          <w:rFonts w:ascii="Times New Roman" w:eastAsia="Times New Roman" w:hAnsi="Times New Roman" w:cs="Times New Roman"/>
          <w:sz w:val="24"/>
          <w:szCs w:val="24"/>
        </w:rPr>
        <w:t>disclosure of records</w:t>
      </w:r>
      <w:r w:rsidRPr="320A4B18" w:rsidR="717DCCB2">
        <w:rPr>
          <w:rFonts w:ascii="Times New Roman" w:eastAsia="Times New Roman" w:hAnsi="Times New Roman" w:cs="Times New Roman"/>
          <w:sz w:val="24"/>
          <w:szCs w:val="24"/>
        </w:rPr>
        <w:t xml:space="preserve"> under this requirement</w:t>
      </w:r>
      <w:r w:rsidRPr="320A4B18">
        <w:rPr>
          <w:rFonts w:ascii="Times New Roman" w:eastAsia="Times New Roman" w:hAnsi="Times New Roman" w:cs="Times New Roman"/>
          <w:sz w:val="24"/>
          <w:szCs w:val="24"/>
        </w:rPr>
        <w:t>.</w:t>
      </w:r>
    </w:p>
    <w:p w:rsidR="638B37EC" w:rsidP="638B37EC" w14:paraId="30AE0945" w14:textId="420840AA">
      <w:pPr>
        <w:spacing w:after="0" w:line="240" w:lineRule="auto"/>
        <w:rPr>
          <w:rFonts w:ascii="Times New Roman" w:eastAsia="Times New Roman" w:hAnsi="Times New Roman" w:cs="Times New Roman"/>
          <w:sz w:val="24"/>
          <w:szCs w:val="24"/>
        </w:rPr>
      </w:pPr>
    </w:p>
    <w:tbl>
      <w:tblPr>
        <w:tblStyle w:val="TableGrid"/>
        <w:tblW w:w="9800" w:type="dxa"/>
        <w:tblLayout w:type="fixed"/>
        <w:tblLook w:val="0680"/>
      </w:tblPr>
      <w:tblGrid>
        <w:gridCol w:w="1340"/>
        <w:gridCol w:w="1260"/>
        <w:gridCol w:w="1170"/>
        <w:gridCol w:w="1080"/>
        <w:gridCol w:w="990"/>
        <w:gridCol w:w="1080"/>
        <w:gridCol w:w="810"/>
        <w:gridCol w:w="720"/>
        <w:gridCol w:w="1350"/>
      </w:tblGrid>
      <w:tr w14:paraId="2207BA59" w14:textId="77777777" w:rsidTr="00F45D26">
        <w:tblPrEx>
          <w:tblW w:w="9800" w:type="dxa"/>
          <w:tblLayout w:type="fixed"/>
          <w:tblLook w:val="0680"/>
        </w:tblPrEx>
        <w:trPr>
          <w:trHeight w:val="330"/>
          <w:tblHeader/>
        </w:trPr>
        <w:tc>
          <w:tcPr>
            <w:tcW w:w="9800" w:type="dxa"/>
            <w:gridSpan w:val="9"/>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vAlign w:val="center"/>
          </w:tcPr>
          <w:p w:rsidR="0DAF6F61" w:rsidRPr="00BD6BA9" w:rsidP="00D91F68" w14:paraId="32351BEA" w14:textId="41A32C83">
            <w:pPr>
              <w:jc w:val="center"/>
              <w:rPr>
                <w:sz w:val="22"/>
                <w:szCs w:val="22"/>
              </w:rPr>
            </w:pPr>
            <w:r w:rsidRPr="00BD6BA9">
              <w:rPr>
                <w:b/>
                <w:sz w:val="22"/>
                <w:szCs w:val="22"/>
              </w:rPr>
              <w:t xml:space="preserve">Table </w:t>
            </w:r>
            <w:r w:rsidRPr="00BD6BA9" w:rsidR="718D3348">
              <w:rPr>
                <w:b/>
                <w:sz w:val="22"/>
                <w:szCs w:val="22"/>
              </w:rPr>
              <w:t>B</w:t>
            </w:r>
            <w:r w:rsidRPr="00BD6BA9">
              <w:rPr>
                <w:b/>
                <w:sz w:val="22"/>
                <w:szCs w:val="22"/>
              </w:rPr>
              <w:t xml:space="preserve"> -- </w:t>
            </w:r>
            <w:r w:rsidRPr="00BD6BA9" w:rsidR="638B37EC">
              <w:rPr>
                <w:b/>
                <w:sz w:val="22"/>
                <w:szCs w:val="22"/>
              </w:rPr>
              <w:t>Estimated Annualized Respondent Hour and Cost Burden Table</w:t>
            </w:r>
            <w:r w:rsidRPr="00BD6BA9" w:rsidR="638B37EC">
              <w:rPr>
                <w:sz w:val="22"/>
                <w:szCs w:val="22"/>
              </w:rPr>
              <w:t xml:space="preserve"> </w:t>
            </w:r>
          </w:p>
        </w:tc>
      </w:tr>
      <w:tr w14:paraId="1429BE9E" w14:textId="77777777" w:rsidTr="00F45D26">
        <w:tblPrEx>
          <w:tblW w:w="9800" w:type="dxa"/>
          <w:tblLayout w:type="fixed"/>
          <w:tblLook w:val="0680"/>
        </w:tblPrEx>
        <w:trPr>
          <w:trHeight w:val="960"/>
          <w:tblHeader/>
        </w:trPr>
        <w:tc>
          <w:tcPr>
            <w:tcW w:w="1340" w:type="dxa"/>
            <w:tcBorders>
              <w:top w:val="single" w:sz="8" w:space="0" w:color="auto"/>
              <w:left w:val="single" w:sz="8" w:space="0" w:color="auto"/>
              <w:bottom w:val="single" w:sz="8" w:space="0" w:color="auto"/>
              <w:right w:val="single" w:sz="4" w:space="0" w:color="000000" w:themeColor="text1"/>
            </w:tcBorders>
            <w:shd w:val="clear" w:color="auto" w:fill="D9D9D9" w:themeFill="background1" w:themeFillShade="D9"/>
            <w:tcMar>
              <w:top w:w="15" w:type="dxa"/>
              <w:left w:w="15" w:type="dxa"/>
              <w:right w:w="15" w:type="dxa"/>
            </w:tcMar>
            <w:vAlign w:val="center"/>
          </w:tcPr>
          <w:p w:rsidR="638B37EC" w:rsidP="00D91F68" w14:paraId="0B45C21B" w14:textId="0E67D536">
            <w:pPr>
              <w:jc w:val="center"/>
              <w:rPr>
                <w:sz w:val="24"/>
                <w:szCs w:val="24"/>
              </w:rPr>
            </w:pPr>
            <w:r w:rsidRPr="5C516CCC">
              <w:rPr>
                <w:b/>
                <w:bCs/>
              </w:rPr>
              <w:t>Information Collection Requirement</w:t>
            </w:r>
            <w:r>
              <w:t xml:space="preserve"> </w:t>
            </w:r>
          </w:p>
        </w:tc>
        <w:tc>
          <w:tcPr>
            <w:tcW w:w="1260" w:type="dxa"/>
            <w:tcBorders>
              <w:top w:val="nil"/>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0C7A1DC3" w14:textId="300191B2">
            <w:pPr>
              <w:jc w:val="center"/>
              <w:rPr>
                <w:sz w:val="24"/>
                <w:szCs w:val="24"/>
              </w:rPr>
            </w:pPr>
            <w:r w:rsidRPr="5C516CCC">
              <w:rPr>
                <w:b/>
                <w:bCs/>
              </w:rPr>
              <w:t>Type of Respondent</w:t>
            </w:r>
            <w:r w:rsidRPr="5C516CCC">
              <w:rPr>
                <w:sz w:val="24"/>
                <w:szCs w:val="24"/>
              </w:rPr>
              <w:t xml:space="preserve"> </w:t>
            </w:r>
          </w:p>
        </w:tc>
        <w:tc>
          <w:tcPr>
            <w:tcW w:w="1170" w:type="dxa"/>
            <w:tcBorders>
              <w:top w:val="nil"/>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0652D928" w14:textId="440CCA69">
            <w:pPr>
              <w:jc w:val="center"/>
              <w:rPr>
                <w:sz w:val="24"/>
                <w:szCs w:val="24"/>
              </w:rPr>
            </w:pPr>
            <w:r w:rsidRPr="5C516CCC">
              <w:rPr>
                <w:b/>
                <w:bCs/>
              </w:rPr>
              <w:t>No. of Respondents</w:t>
            </w:r>
            <w:r>
              <w:t xml:space="preserve"> </w:t>
            </w:r>
          </w:p>
        </w:tc>
        <w:tc>
          <w:tcPr>
            <w:tcW w:w="1080" w:type="dxa"/>
            <w:tcBorders>
              <w:top w:val="nil"/>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0D031771" w14:textId="5F4F00D7">
            <w:pPr>
              <w:jc w:val="center"/>
              <w:rPr>
                <w:sz w:val="24"/>
                <w:szCs w:val="24"/>
              </w:rPr>
            </w:pPr>
            <w:r w:rsidRPr="5C516CCC">
              <w:rPr>
                <w:b/>
                <w:bCs/>
              </w:rPr>
              <w:t>No. of Responses per Respondent</w:t>
            </w:r>
            <w:r>
              <w:t xml:space="preserve"> </w:t>
            </w:r>
          </w:p>
        </w:tc>
        <w:tc>
          <w:tcPr>
            <w:tcW w:w="990" w:type="dxa"/>
            <w:tcBorders>
              <w:top w:val="nil"/>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47ADCA22" w14:textId="0EDAC589">
            <w:pPr>
              <w:jc w:val="center"/>
              <w:rPr>
                <w:sz w:val="24"/>
                <w:szCs w:val="24"/>
              </w:rPr>
            </w:pPr>
            <w:r w:rsidRPr="5C516CCC">
              <w:rPr>
                <w:b/>
                <w:bCs/>
              </w:rPr>
              <w:t>Total No.  of Responses</w:t>
            </w:r>
            <w:r>
              <w:t xml:space="preserve"> </w:t>
            </w:r>
          </w:p>
        </w:tc>
        <w:tc>
          <w:tcPr>
            <w:tcW w:w="1080" w:type="dxa"/>
            <w:tcBorders>
              <w:top w:val="nil"/>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0D162C" w:rsidP="00D91F68" w14:paraId="79E1515E" w14:textId="473F159B">
            <w:pPr>
              <w:jc w:val="center"/>
              <w:rPr>
                <w:sz w:val="22"/>
                <w:szCs w:val="22"/>
              </w:rPr>
            </w:pPr>
            <w:r w:rsidRPr="5C516CCC">
              <w:rPr>
                <w:b/>
                <w:bCs/>
              </w:rPr>
              <w:t>Burden per Response (In Hrs.)</w:t>
            </w:r>
            <w:r>
              <w:t xml:space="preserve"> </w:t>
            </w:r>
          </w:p>
        </w:tc>
        <w:tc>
          <w:tcPr>
            <w:tcW w:w="810" w:type="dxa"/>
            <w:tcBorders>
              <w:top w:val="nil"/>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0D162C" w:rsidP="00D91F68" w14:paraId="04ED2DFB" w14:textId="18741DBE">
            <w:pPr>
              <w:jc w:val="center"/>
              <w:rPr>
                <w:sz w:val="22"/>
                <w:szCs w:val="22"/>
              </w:rPr>
            </w:pPr>
            <w:r w:rsidRPr="5C516CCC">
              <w:rPr>
                <w:b/>
                <w:bCs/>
                <w:sz w:val="22"/>
                <w:szCs w:val="22"/>
              </w:rPr>
              <w:t xml:space="preserve">Total Burden Hours </w:t>
            </w:r>
            <w:r w:rsidRPr="5C516CCC">
              <w:rPr>
                <w:sz w:val="22"/>
                <w:szCs w:val="22"/>
              </w:rPr>
              <w:t xml:space="preserve"> </w:t>
            </w:r>
          </w:p>
        </w:tc>
        <w:tc>
          <w:tcPr>
            <w:tcW w:w="720" w:type="dxa"/>
            <w:tcBorders>
              <w:top w:val="nil"/>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2FE1DA1D" w14:textId="5A2CC123">
            <w:pPr>
              <w:jc w:val="center"/>
              <w:rPr>
                <w:sz w:val="24"/>
                <w:szCs w:val="24"/>
              </w:rPr>
            </w:pPr>
            <w:r>
              <w:rPr>
                <w:b/>
                <w:bCs/>
              </w:rPr>
              <w:t>Loaded</w:t>
            </w:r>
            <w:r w:rsidRPr="5C516CCC" w:rsidR="3D634FCD">
              <w:rPr>
                <w:b/>
                <w:bCs/>
              </w:rPr>
              <w:t xml:space="preserve">  Hourly Wage Rate</w:t>
            </w:r>
            <w:r w:rsidR="3D634FCD">
              <w:t xml:space="preserve"> </w:t>
            </w:r>
          </w:p>
        </w:tc>
        <w:tc>
          <w:tcPr>
            <w:tcW w:w="1350" w:type="dxa"/>
            <w:tcBorders>
              <w:top w:val="nil"/>
              <w:left w:val="single" w:sz="4" w:space="0" w:color="auto"/>
              <w:bottom w:val="single" w:sz="8" w:space="0" w:color="auto"/>
              <w:right w:val="single" w:sz="8" w:space="0" w:color="000000" w:themeColor="text1"/>
            </w:tcBorders>
            <w:shd w:val="clear" w:color="auto" w:fill="D9D9D9" w:themeFill="background1" w:themeFillShade="D9"/>
            <w:tcMar>
              <w:top w:w="15" w:type="dxa"/>
              <w:left w:w="15" w:type="dxa"/>
              <w:right w:w="15" w:type="dxa"/>
            </w:tcMar>
            <w:vAlign w:val="center"/>
          </w:tcPr>
          <w:p w:rsidR="638B37EC" w:rsidP="00D91F68" w14:paraId="764C2E15" w14:textId="2A51539D">
            <w:pPr>
              <w:jc w:val="center"/>
              <w:rPr>
                <w:sz w:val="24"/>
                <w:szCs w:val="24"/>
              </w:rPr>
            </w:pPr>
            <w:r w:rsidRPr="5C516CCC">
              <w:rPr>
                <w:b/>
                <w:bCs/>
              </w:rPr>
              <w:t xml:space="preserve">Total Burden Costs </w:t>
            </w:r>
            <w:r>
              <w:t xml:space="preserve"> </w:t>
            </w:r>
          </w:p>
        </w:tc>
      </w:tr>
      <w:tr w14:paraId="476500E3" w14:textId="77777777" w:rsidTr="5C516CCC">
        <w:tblPrEx>
          <w:tblW w:w="9800" w:type="dxa"/>
          <w:tblLayout w:type="fixed"/>
          <w:tblLook w:val="0680"/>
        </w:tblPrEx>
        <w:trPr>
          <w:trHeight w:val="330"/>
        </w:trPr>
        <w:tc>
          <w:tcPr>
            <w:tcW w:w="9800" w:type="dxa"/>
            <w:gridSpan w:val="9"/>
            <w:tcBorders>
              <w:top w:val="single" w:sz="8" w:space="0" w:color="auto"/>
              <w:left w:val="single" w:sz="8" w:space="0" w:color="auto"/>
              <w:bottom w:val="single" w:sz="8" w:space="0" w:color="auto"/>
              <w:right w:val="single" w:sz="8" w:space="0" w:color="000000" w:themeColor="text1"/>
            </w:tcBorders>
            <w:shd w:val="clear" w:color="auto" w:fill="C6E0B4"/>
            <w:tcMar>
              <w:top w:w="15" w:type="dxa"/>
              <w:left w:w="15" w:type="dxa"/>
              <w:right w:w="15" w:type="dxa"/>
            </w:tcMar>
            <w:vAlign w:val="center"/>
          </w:tcPr>
          <w:p w:rsidR="638B37EC" w:rsidP="5C516CCC" w14:paraId="5A9FBB26" w14:textId="3D87B650">
            <w:r w:rsidRPr="5C516CCC">
              <w:rPr>
                <w:b/>
                <w:bCs/>
                <w:color w:val="000000" w:themeColor="text1"/>
                <w:sz w:val="24"/>
                <w:szCs w:val="24"/>
              </w:rPr>
              <w:t xml:space="preserve"> </w:t>
            </w:r>
            <w:r w:rsidRPr="5C516CCC">
              <w:rPr>
                <w:b/>
                <w:bCs/>
                <w:color w:val="000000" w:themeColor="text1"/>
                <w:sz w:val="22"/>
                <w:szCs w:val="22"/>
              </w:rPr>
              <w:t xml:space="preserve">A. Type 1 – </w:t>
            </w:r>
            <w:r w:rsidRPr="5C516CCC">
              <w:rPr>
                <w:b/>
                <w:bCs/>
                <w:color w:val="000000" w:themeColor="text1"/>
                <w:sz w:val="22"/>
                <w:szCs w:val="22"/>
              </w:rPr>
              <w:t>Clean Up Sites</w:t>
            </w:r>
            <w:r w:rsidRPr="5C516CCC">
              <w:rPr>
                <w:color w:val="000000" w:themeColor="text1"/>
                <w:sz w:val="22"/>
                <w:szCs w:val="22"/>
              </w:rPr>
              <w:t xml:space="preserve"> </w:t>
            </w:r>
          </w:p>
        </w:tc>
      </w:tr>
      <w:tr w14:paraId="23AC11E2" w14:textId="77777777" w:rsidTr="5C516CCC">
        <w:tblPrEx>
          <w:tblW w:w="9800" w:type="dxa"/>
          <w:tblLayout w:type="fixed"/>
          <w:tblLook w:val="0680"/>
        </w:tblPrEx>
        <w:trPr>
          <w:trHeight w:val="945"/>
        </w:trPr>
        <w:tc>
          <w:tcPr>
            <w:tcW w:w="1340" w:type="dxa"/>
            <w:tcBorders>
              <w:top w:val="single" w:sz="8" w:space="0" w:color="auto"/>
              <w:left w:val="single" w:sz="8" w:space="0" w:color="auto"/>
              <w:bottom w:val="single" w:sz="4" w:space="0" w:color="auto"/>
              <w:right w:val="single" w:sz="4" w:space="0" w:color="000000" w:themeColor="text1"/>
            </w:tcBorders>
            <w:tcMar>
              <w:top w:w="15" w:type="dxa"/>
              <w:left w:w="15" w:type="dxa"/>
              <w:right w:w="15" w:type="dxa"/>
            </w:tcMar>
            <w:vAlign w:val="center"/>
          </w:tcPr>
          <w:p w:rsidR="638B37EC" w:rsidRPr="008A6AE1" w:rsidP="638B37EC" w14:paraId="54DD0DBD" w14:textId="4DDE2ACF">
            <w:pPr>
              <w:rPr>
                <w:sz w:val="22"/>
                <w:szCs w:val="22"/>
              </w:rPr>
            </w:pPr>
            <w:r w:rsidRPr="008A6AE1">
              <w:rPr>
                <w:color w:val="000000" w:themeColor="text1"/>
                <w:sz w:val="22"/>
                <w:szCs w:val="22"/>
              </w:rPr>
              <w:t xml:space="preserve">1) Written Safety &amp; Health  </w:t>
            </w:r>
          </w:p>
        </w:tc>
        <w:tc>
          <w:tcPr>
            <w:tcW w:w="126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38B37EC" w:rsidRPr="008A6AE1" w:rsidP="00D91F68" w14:paraId="57474738" w14:textId="67EA8349">
            <w:pPr>
              <w:jc w:val="center"/>
              <w:rPr>
                <w:sz w:val="22"/>
                <w:szCs w:val="22"/>
              </w:rPr>
            </w:pPr>
            <w:r w:rsidRPr="008A6AE1">
              <w:rPr>
                <w:sz w:val="22"/>
                <w:szCs w:val="22"/>
              </w:rPr>
              <w:t xml:space="preserve">Occupational Safety and Health Specialist </w:t>
            </w:r>
          </w:p>
        </w:tc>
        <w:tc>
          <w:tcPr>
            <w:tcW w:w="117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38B37EC" w:rsidRPr="008A6AE1" w:rsidP="00D91F68" w14:paraId="3B5E0DF9" w14:textId="3A04ACD2">
            <w:pPr>
              <w:jc w:val="center"/>
              <w:rPr>
                <w:sz w:val="22"/>
                <w:szCs w:val="22"/>
              </w:rPr>
            </w:pPr>
            <w:r w:rsidRPr="008A6AE1">
              <w:rPr>
                <w:sz w:val="22"/>
                <w:szCs w:val="22"/>
              </w:rPr>
              <w:t>553</w:t>
            </w:r>
          </w:p>
        </w:tc>
        <w:tc>
          <w:tcPr>
            <w:tcW w:w="108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FCC3E2E" w:rsidRPr="008A6AE1" w:rsidP="00D91F68" w14:paraId="705396B3" w14:textId="66A1583E">
            <w:pPr>
              <w:jc w:val="center"/>
              <w:rPr>
                <w:sz w:val="22"/>
                <w:szCs w:val="22"/>
              </w:rPr>
            </w:pPr>
            <w:r w:rsidRPr="008A6AE1">
              <w:rPr>
                <w:sz w:val="22"/>
                <w:szCs w:val="22"/>
              </w:rPr>
              <w:t>1/10</w:t>
            </w:r>
          </w:p>
        </w:tc>
        <w:tc>
          <w:tcPr>
            <w:tcW w:w="990" w:type="dxa"/>
            <w:tcBorders>
              <w:top w:val="nil"/>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8A6AE1" w:rsidP="00D91F68" w14:paraId="7AD18F27" w14:textId="2C6DDE1D">
            <w:pPr>
              <w:jc w:val="center"/>
              <w:rPr>
                <w:color w:val="000000" w:themeColor="text1"/>
                <w:sz w:val="22"/>
                <w:szCs w:val="22"/>
              </w:rPr>
            </w:pPr>
            <w:r w:rsidRPr="008A6AE1">
              <w:rPr>
                <w:color w:val="000000" w:themeColor="text1"/>
                <w:sz w:val="22"/>
                <w:szCs w:val="22"/>
              </w:rPr>
              <w:t>55</w:t>
            </w:r>
          </w:p>
        </w:tc>
        <w:tc>
          <w:tcPr>
            <w:tcW w:w="108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38B37EC" w:rsidRPr="008A6AE1" w:rsidP="00D91F68" w14:paraId="026574EB" w14:textId="3E0C57E2">
            <w:pPr>
              <w:jc w:val="center"/>
              <w:rPr>
                <w:sz w:val="22"/>
                <w:szCs w:val="22"/>
              </w:rPr>
            </w:pPr>
            <w:r w:rsidRPr="008A6AE1">
              <w:rPr>
                <w:sz w:val="22"/>
                <w:szCs w:val="22"/>
              </w:rPr>
              <w:t>23</w:t>
            </w:r>
          </w:p>
        </w:tc>
        <w:tc>
          <w:tcPr>
            <w:tcW w:w="810" w:type="dxa"/>
            <w:tcBorders>
              <w:top w:val="nil"/>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8A6AE1" w:rsidP="00D91F68" w14:paraId="025D612C" w14:textId="24154616">
            <w:pPr>
              <w:jc w:val="center"/>
              <w:rPr>
                <w:sz w:val="22"/>
                <w:szCs w:val="22"/>
              </w:rPr>
            </w:pPr>
            <w:r w:rsidRPr="008A6AE1">
              <w:rPr>
                <w:sz w:val="22"/>
                <w:szCs w:val="22"/>
              </w:rPr>
              <w:t>1,272</w:t>
            </w:r>
          </w:p>
        </w:tc>
        <w:tc>
          <w:tcPr>
            <w:tcW w:w="72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38B37EC" w:rsidRPr="008A6AE1" w:rsidP="00D91F68" w14:paraId="4CCD41EF" w14:textId="4E4FF9AE">
            <w:pPr>
              <w:jc w:val="center"/>
              <w:rPr>
                <w:sz w:val="22"/>
                <w:szCs w:val="22"/>
              </w:rPr>
            </w:pPr>
            <w:r w:rsidRPr="008A6AE1">
              <w:rPr>
                <w:sz w:val="22"/>
                <w:szCs w:val="22"/>
              </w:rPr>
              <w:t>$53.70</w:t>
            </w:r>
          </w:p>
        </w:tc>
        <w:tc>
          <w:tcPr>
            <w:tcW w:w="1350" w:type="dxa"/>
            <w:tcBorders>
              <w:top w:val="nil"/>
              <w:left w:val="single" w:sz="4" w:space="0" w:color="auto"/>
              <w:bottom w:val="single" w:sz="4" w:space="0" w:color="auto"/>
              <w:right w:val="single" w:sz="8" w:space="0" w:color="000000" w:themeColor="text1"/>
            </w:tcBorders>
            <w:shd w:val="clear" w:color="auto" w:fill="B4C6E7"/>
            <w:tcMar>
              <w:top w:w="15" w:type="dxa"/>
              <w:left w:w="15" w:type="dxa"/>
              <w:right w:w="15" w:type="dxa"/>
            </w:tcMar>
            <w:vAlign w:val="center"/>
          </w:tcPr>
          <w:p w:rsidR="638B37EC" w:rsidRPr="008A6AE1" w:rsidP="00D91F68" w14:paraId="63990974" w14:textId="0BE0732A">
            <w:pPr>
              <w:jc w:val="center"/>
              <w:rPr>
                <w:sz w:val="22"/>
                <w:szCs w:val="22"/>
              </w:rPr>
            </w:pPr>
            <w:r w:rsidRPr="008A6AE1">
              <w:rPr>
                <w:sz w:val="22"/>
                <w:szCs w:val="22"/>
              </w:rPr>
              <w:t>$68,306.40</w:t>
            </w:r>
          </w:p>
        </w:tc>
      </w:tr>
      <w:tr w14:paraId="2657E385" w14:textId="77777777" w:rsidTr="5C516CCC">
        <w:tblPrEx>
          <w:tblW w:w="9800" w:type="dxa"/>
          <w:tblLayout w:type="fixed"/>
          <w:tblLook w:val="0680"/>
        </w:tblPrEx>
        <w:trPr>
          <w:trHeight w:val="945"/>
        </w:trPr>
        <w:tc>
          <w:tcPr>
            <w:tcW w:w="134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638B37EC" w:rsidRPr="008A6AE1" w:rsidP="638B37EC" w14:paraId="0E60075C" w14:textId="400D0839">
            <w:pPr>
              <w:rPr>
                <w:sz w:val="22"/>
                <w:szCs w:val="22"/>
              </w:rPr>
            </w:pPr>
            <w:r w:rsidRPr="008A6AE1">
              <w:rPr>
                <w:color w:val="000000" w:themeColor="text1"/>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8A6AE1" w:rsidP="00D91F68" w14:paraId="3D984E34" w14:textId="558E8E76">
            <w:pPr>
              <w:jc w:val="center"/>
              <w:rPr>
                <w:sz w:val="22"/>
                <w:szCs w:val="22"/>
              </w:rPr>
            </w:pPr>
            <w:r w:rsidRPr="008A6AE1">
              <w:rPr>
                <w:sz w:val="22"/>
                <w:szCs w:val="22"/>
              </w:rPr>
              <w:t xml:space="preserve">Occupational Safety and Health Specialist </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8A6AE1" w:rsidP="00D91F68" w14:paraId="0080B335" w14:textId="3301B80E">
            <w:pPr>
              <w:jc w:val="center"/>
              <w:rPr>
                <w:sz w:val="22"/>
                <w:szCs w:val="22"/>
              </w:rPr>
            </w:pPr>
            <w:r w:rsidRPr="008A6AE1">
              <w:rPr>
                <w:sz w:val="22"/>
                <w:szCs w:val="22"/>
              </w:rPr>
              <w:t>553</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CAE383E" w:rsidRPr="008A6AE1" w:rsidP="00D91F68" w14:paraId="54FFAB6A" w14:textId="57E1EDA5">
            <w:pPr>
              <w:jc w:val="center"/>
              <w:rPr>
                <w:sz w:val="22"/>
                <w:szCs w:val="22"/>
              </w:rPr>
            </w:pPr>
            <w:r w:rsidRPr="008A6AE1">
              <w:rPr>
                <w:sz w:val="22"/>
                <w:szCs w:val="22"/>
              </w:rPr>
              <w:t>1/10</w:t>
            </w:r>
          </w:p>
        </w:tc>
        <w:tc>
          <w:tcPr>
            <w:tcW w:w="99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8A6AE1" w:rsidP="00D91F68" w14:paraId="500F29B7" w14:textId="764903B9">
            <w:pPr>
              <w:jc w:val="center"/>
              <w:rPr>
                <w:color w:val="000000" w:themeColor="text1"/>
                <w:sz w:val="22"/>
                <w:szCs w:val="22"/>
              </w:rPr>
            </w:pPr>
            <w:r w:rsidRPr="008A6AE1">
              <w:rPr>
                <w:color w:val="000000" w:themeColor="text1"/>
                <w:sz w:val="22"/>
                <w:szCs w:val="22"/>
              </w:rPr>
              <w:t>55</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532294C" w:rsidRPr="008A6AE1" w:rsidP="00D91F68" w14:paraId="3F598830" w14:textId="143E093C">
            <w:pPr>
              <w:jc w:val="center"/>
              <w:rPr>
                <w:sz w:val="22"/>
                <w:szCs w:val="22"/>
              </w:rPr>
            </w:pPr>
            <w:r w:rsidRPr="008A6AE1">
              <w:rPr>
                <w:sz w:val="22"/>
                <w:szCs w:val="22"/>
              </w:rPr>
              <w:t>330/60</w:t>
            </w:r>
          </w:p>
        </w:tc>
        <w:tc>
          <w:tcPr>
            <w:tcW w:w="81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8A6AE1" w:rsidP="00D91F68" w14:paraId="64B05A50" w14:textId="30A050CB">
            <w:pPr>
              <w:jc w:val="center"/>
              <w:rPr>
                <w:sz w:val="22"/>
                <w:szCs w:val="22"/>
              </w:rPr>
            </w:pPr>
            <w:r w:rsidRPr="008A6AE1">
              <w:rPr>
                <w:sz w:val="22"/>
                <w:szCs w:val="22"/>
              </w:rPr>
              <w:t>304</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8A6AE1" w:rsidP="00D91F68" w14:paraId="49E1EDA3" w14:textId="19442D87">
            <w:pPr>
              <w:jc w:val="center"/>
              <w:rPr>
                <w:sz w:val="22"/>
                <w:szCs w:val="22"/>
              </w:rPr>
            </w:pPr>
            <w:r w:rsidRPr="008A6AE1">
              <w:rPr>
                <w:sz w:val="22"/>
                <w:szCs w:val="22"/>
              </w:rPr>
              <w:t>$53.70</w:t>
            </w:r>
          </w:p>
        </w:tc>
        <w:tc>
          <w:tcPr>
            <w:tcW w:w="1350" w:type="dxa"/>
            <w:tcBorders>
              <w:top w:val="single" w:sz="4" w:space="0" w:color="auto"/>
              <w:left w:val="single" w:sz="4" w:space="0" w:color="auto"/>
              <w:bottom w:val="single" w:sz="4" w:space="0" w:color="auto"/>
              <w:right w:val="single" w:sz="8" w:space="0" w:color="auto"/>
            </w:tcBorders>
            <w:shd w:val="clear" w:color="auto" w:fill="B4C6E7"/>
            <w:tcMar>
              <w:top w:w="15" w:type="dxa"/>
              <w:left w:w="15" w:type="dxa"/>
              <w:right w:w="15" w:type="dxa"/>
            </w:tcMar>
            <w:vAlign w:val="center"/>
          </w:tcPr>
          <w:p w:rsidR="638B37EC" w:rsidRPr="008A6AE1" w:rsidP="00D91F68" w14:paraId="392B2BE9" w14:textId="612964C4">
            <w:pPr>
              <w:jc w:val="center"/>
              <w:rPr>
                <w:sz w:val="22"/>
                <w:szCs w:val="22"/>
              </w:rPr>
            </w:pPr>
            <w:r w:rsidRPr="008A6AE1">
              <w:rPr>
                <w:sz w:val="22"/>
                <w:szCs w:val="22"/>
              </w:rPr>
              <w:t>$16,324.80</w:t>
            </w:r>
          </w:p>
        </w:tc>
      </w:tr>
      <w:tr w14:paraId="06422E08" w14:textId="77777777" w:rsidTr="5C516CCC">
        <w:tblPrEx>
          <w:tblW w:w="9800" w:type="dxa"/>
          <w:tblLayout w:type="fixed"/>
          <w:tblLook w:val="0680"/>
        </w:tblPrEx>
        <w:trPr>
          <w:trHeight w:val="330"/>
        </w:trPr>
        <w:tc>
          <w:tcPr>
            <w:tcW w:w="1340" w:type="dxa"/>
            <w:tcBorders>
              <w:top w:val="single" w:sz="4"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A018FA" w:rsidP="5C516CCC" w14:paraId="69BFAC84" w14:textId="2F25DAE0">
            <w:pPr>
              <w:jc w:val="center"/>
              <w:rPr>
                <w:b/>
                <w:bCs/>
                <w:color w:val="000000" w:themeColor="text1"/>
                <w:sz w:val="22"/>
                <w:szCs w:val="22"/>
              </w:rPr>
            </w:pPr>
            <w:r w:rsidRPr="5C516CCC">
              <w:rPr>
                <w:b/>
                <w:bCs/>
                <w:color w:val="000000" w:themeColor="text1"/>
                <w:sz w:val="22"/>
                <w:szCs w:val="22"/>
              </w:rPr>
              <w:t>Subtotal</w:t>
            </w:r>
          </w:p>
        </w:tc>
        <w:tc>
          <w:tcPr>
            <w:tcW w:w="126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A018FA" w:rsidP="00D91F68" w14:paraId="7BEB3FEC" w14:textId="727ABE9F">
            <w:pPr>
              <w:jc w:val="center"/>
              <w:rPr>
                <w:sz w:val="22"/>
                <w:szCs w:val="22"/>
              </w:rPr>
            </w:pPr>
            <w:r w:rsidRPr="5C516CCC">
              <w:rPr>
                <w:sz w:val="22"/>
                <w:szCs w:val="22"/>
              </w:rPr>
              <w:t xml:space="preserve"> </w:t>
            </w:r>
          </w:p>
        </w:tc>
        <w:tc>
          <w:tcPr>
            <w:tcW w:w="117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A018FA" w:rsidP="00D91F68" w14:paraId="15567992" w14:textId="1ACB0F5F">
            <w:pPr>
              <w:jc w:val="center"/>
              <w:rPr>
                <w:sz w:val="22"/>
                <w:szCs w:val="22"/>
              </w:rPr>
            </w:pPr>
            <w:r w:rsidRPr="5C516CCC">
              <w:rPr>
                <w:sz w:val="22"/>
                <w:szCs w:val="22"/>
              </w:rPr>
              <w:t>1,106</w:t>
            </w:r>
          </w:p>
        </w:tc>
        <w:tc>
          <w:tcPr>
            <w:tcW w:w="108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A018FA" w:rsidP="00D91F68" w14:paraId="05313163" w14:textId="7F12847C">
            <w:pPr>
              <w:jc w:val="center"/>
              <w:rPr>
                <w:sz w:val="22"/>
                <w:szCs w:val="22"/>
              </w:rPr>
            </w:pPr>
            <w:r w:rsidRPr="5C516CCC">
              <w:rPr>
                <w:sz w:val="22"/>
                <w:szCs w:val="22"/>
              </w:rPr>
              <w:t xml:space="preserve"> ---</w:t>
            </w:r>
          </w:p>
        </w:tc>
        <w:tc>
          <w:tcPr>
            <w:tcW w:w="99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A018FA" w:rsidP="00D91F68" w14:paraId="018BEE36" w14:textId="50598683">
            <w:pPr>
              <w:jc w:val="center"/>
              <w:rPr>
                <w:color w:val="000000" w:themeColor="text1"/>
                <w:sz w:val="22"/>
                <w:szCs w:val="22"/>
              </w:rPr>
            </w:pPr>
            <w:r w:rsidRPr="5C516CCC">
              <w:rPr>
                <w:color w:val="000000" w:themeColor="text1"/>
                <w:sz w:val="22"/>
                <w:szCs w:val="22"/>
              </w:rPr>
              <w:t>110</w:t>
            </w:r>
          </w:p>
        </w:tc>
        <w:tc>
          <w:tcPr>
            <w:tcW w:w="108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A018FA" w:rsidP="00D91F68" w14:paraId="4FB85367" w14:textId="669015B7">
            <w:pPr>
              <w:jc w:val="center"/>
              <w:rPr>
                <w:sz w:val="22"/>
                <w:szCs w:val="22"/>
              </w:rPr>
            </w:pPr>
            <w:r w:rsidRPr="5C516CCC">
              <w:rPr>
                <w:sz w:val="22"/>
                <w:szCs w:val="22"/>
              </w:rPr>
              <w:t xml:space="preserve"> ---</w:t>
            </w:r>
          </w:p>
        </w:tc>
        <w:tc>
          <w:tcPr>
            <w:tcW w:w="81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A018FA" w:rsidP="00D91F68" w14:paraId="0F334D6F" w14:textId="18BD1B19">
            <w:pPr>
              <w:jc w:val="center"/>
              <w:rPr>
                <w:sz w:val="22"/>
                <w:szCs w:val="22"/>
              </w:rPr>
            </w:pPr>
            <w:r w:rsidRPr="5C516CCC">
              <w:rPr>
                <w:sz w:val="22"/>
                <w:szCs w:val="22"/>
              </w:rPr>
              <w:t>1,576</w:t>
            </w:r>
          </w:p>
        </w:tc>
        <w:tc>
          <w:tcPr>
            <w:tcW w:w="72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A018FA" w:rsidP="00D91F68" w14:paraId="6396CAB7" w14:textId="3C05A2AF">
            <w:pPr>
              <w:jc w:val="center"/>
              <w:rPr>
                <w:sz w:val="22"/>
                <w:szCs w:val="22"/>
              </w:rPr>
            </w:pPr>
            <w:r w:rsidRPr="5C516CCC">
              <w:rPr>
                <w:sz w:val="22"/>
                <w:szCs w:val="22"/>
              </w:rPr>
              <w:t xml:space="preserve"> ---</w:t>
            </w:r>
          </w:p>
        </w:tc>
        <w:tc>
          <w:tcPr>
            <w:tcW w:w="1350" w:type="dxa"/>
            <w:tcBorders>
              <w:top w:val="single" w:sz="4" w:space="0" w:color="auto"/>
              <w:left w:val="single" w:sz="4"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rsidR="638B37EC" w:rsidRPr="00A018FA" w:rsidP="00D91F68" w14:paraId="535389A4" w14:textId="5E1DC90C">
            <w:pPr>
              <w:jc w:val="center"/>
              <w:rPr>
                <w:sz w:val="22"/>
                <w:szCs w:val="22"/>
              </w:rPr>
            </w:pPr>
            <w:r w:rsidRPr="5C516CCC">
              <w:rPr>
                <w:sz w:val="22"/>
                <w:szCs w:val="22"/>
              </w:rPr>
              <w:t>$84,631.20</w:t>
            </w:r>
          </w:p>
        </w:tc>
      </w:tr>
      <w:tr w14:paraId="1C0DE478" w14:textId="77777777" w:rsidTr="5C516CCC">
        <w:tblPrEx>
          <w:tblW w:w="9800" w:type="dxa"/>
          <w:tblLayout w:type="fixed"/>
          <w:tblLook w:val="0680"/>
        </w:tblPrEx>
        <w:trPr>
          <w:trHeight w:val="960"/>
        </w:trPr>
        <w:tc>
          <w:tcPr>
            <w:tcW w:w="1340" w:type="dxa"/>
            <w:tcBorders>
              <w:top w:val="single" w:sz="8" w:space="0" w:color="auto"/>
              <w:left w:val="single" w:sz="8" w:space="0" w:color="auto"/>
              <w:bottom w:val="single" w:sz="8" w:space="0" w:color="auto"/>
              <w:right w:val="single" w:sz="4" w:space="0" w:color="auto"/>
            </w:tcBorders>
            <w:tcMar>
              <w:top w:w="15" w:type="dxa"/>
              <w:left w:w="15" w:type="dxa"/>
              <w:right w:w="15" w:type="dxa"/>
            </w:tcMar>
            <w:vAlign w:val="center"/>
          </w:tcPr>
          <w:p w:rsidR="638B37EC" w:rsidRPr="00A018FA" w:rsidP="5C516CCC" w14:paraId="2B5F844C" w14:textId="292BC52D">
            <w:pPr>
              <w:rPr>
                <w:sz w:val="22"/>
                <w:szCs w:val="22"/>
              </w:rPr>
            </w:pPr>
            <w:r w:rsidRPr="5C516CCC">
              <w:rPr>
                <w:color w:val="000000" w:themeColor="text1"/>
                <w:sz w:val="22"/>
                <w:szCs w:val="22"/>
              </w:rPr>
              <w:t>2)</w:t>
            </w:r>
            <w:r w:rsidRPr="5C516CCC" w:rsidR="0A71B145">
              <w:rPr>
                <w:color w:val="000000" w:themeColor="text1"/>
                <w:sz w:val="22"/>
                <w:szCs w:val="22"/>
              </w:rPr>
              <w:t xml:space="preserve"> </w:t>
            </w:r>
            <w:r w:rsidRPr="5C516CCC">
              <w:rPr>
                <w:color w:val="000000" w:themeColor="text1"/>
                <w:sz w:val="22"/>
                <w:szCs w:val="22"/>
              </w:rPr>
              <w:t>Informing contractors &amp; subcontractor</w:t>
            </w:r>
            <w:r w:rsidRPr="5C516CCC" w:rsidR="3B8E2FE2">
              <w:rPr>
                <w:color w:val="000000" w:themeColor="text1"/>
                <w:sz w:val="22"/>
                <w:szCs w:val="22"/>
              </w:rPr>
              <w:t>s</w:t>
            </w:r>
          </w:p>
        </w:tc>
        <w:tc>
          <w:tcPr>
            <w:tcW w:w="126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A018FA" w:rsidP="00D91F68" w14:paraId="778F82F0" w14:textId="6B9E1A67">
            <w:pPr>
              <w:jc w:val="center"/>
              <w:rPr>
                <w:sz w:val="22"/>
                <w:szCs w:val="22"/>
              </w:rPr>
            </w:pPr>
            <w:r w:rsidRPr="5C516CCC">
              <w:rPr>
                <w:sz w:val="22"/>
                <w:szCs w:val="22"/>
              </w:rPr>
              <w:t>Occupational Safety and Health Specialist</w:t>
            </w:r>
          </w:p>
        </w:tc>
        <w:tc>
          <w:tcPr>
            <w:tcW w:w="117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A018FA" w:rsidP="00D91F68" w14:paraId="5330D54E" w14:textId="13D3380B">
            <w:pPr>
              <w:jc w:val="center"/>
              <w:rPr>
                <w:sz w:val="22"/>
                <w:szCs w:val="22"/>
              </w:rPr>
            </w:pPr>
            <w:r w:rsidRPr="5C516CCC">
              <w:rPr>
                <w:sz w:val="22"/>
                <w:szCs w:val="22"/>
              </w:rPr>
              <w:t>553</w:t>
            </w:r>
          </w:p>
        </w:tc>
        <w:tc>
          <w:tcPr>
            <w:tcW w:w="108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A018FA" w:rsidP="00D91F68" w14:paraId="0132AED4" w14:textId="7C223EE4">
            <w:pPr>
              <w:jc w:val="center"/>
              <w:rPr>
                <w:sz w:val="22"/>
                <w:szCs w:val="22"/>
              </w:rPr>
            </w:pPr>
            <w:r w:rsidRPr="5C516CCC">
              <w:rPr>
                <w:sz w:val="22"/>
                <w:szCs w:val="22"/>
              </w:rPr>
              <w:t>1</w:t>
            </w:r>
          </w:p>
        </w:tc>
        <w:tc>
          <w:tcPr>
            <w:tcW w:w="990" w:type="dxa"/>
            <w:tcBorders>
              <w:top w:val="single" w:sz="8" w:space="0" w:color="auto"/>
              <w:left w:val="single" w:sz="4" w:space="0" w:color="auto"/>
              <w:bottom w:val="single" w:sz="8" w:space="0" w:color="auto"/>
              <w:right w:val="single" w:sz="4" w:space="0" w:color="auto"/>
            </w:tcBorders>
            <w:shd w:val="clear" w:color="auto" w:fill="B4C6E7"/>
            <w:tcMar>
              <w:top w:w="15" w:type="dxa"/>
              <w:left w:w="15" w:type="dxa"/>
              <w:right w:w="15" w:type="dxa"/>
            </w:tcMar>
            <w:vAlign w:val="center"/>
          </w:tcPr>
          <w:p w:rsidR="638B37EC" w:rsidRPr="00A018FA" w:rsidP="00D91F68" w14:paraId="1BD1E1B6" w14:textId="3A479DB3">
            <w:pPr>
              <w:jc w:val="center"/>
              <w:rPr>
                <w:color w:val="000000" w:themeColor="text1"/>
                <w:sz w:val="22"/>
                <w:szCs w:val="22"/>
              </w:rPr>
            </w:pPr>
            <w:r w:rsidRPr="5C516CCC">
              <w:rPr>
                <w:color w:val="000000" w:themeColor="text1"/>
                <w:sz w:val="22"/>
                <w:szCs w:val="22"/>
              </w:rPr>
              <w:t>553</w:t>
            </w:r>
          </w:p>
        </w:tc>
        <w:tc>
          <w:tcPr>
            <w:tcW w:w="108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A018FA" w:rsidP="00D91F68" w14:paraId="13268A8F" w14:textId="1EC6960F">
            <w:pPr>
              <w:jc w:val="center"/>
              <w:rPr>
                <w:sz w:val="22"/>
                <w:szCs w:val="22"/>
              </w:rPr>
            </w:pPr>
            <w:r w:rsidRPr="5C516CCC">
              <w:rPr>
                <w:sz w:val="22"/>
                <w:szCs w:val="22"/>
              </w:rPr>
              <w:t>1</w:t>
            </w:r>
          </w:p>
        </w:tc>
        <w:tc>
          <w:tcPr>
            <w:tcW w:w="810" w:type="dxa"/>
            <w:tcBorders>
              <w:top w:val="single" w:sz="8" w:space="0" w:color="auto"/>
              <w:left w:val="single" w:sz="4" w:space="0" w:color="auto"/>
              <w:bottom w:val="single" w:sz="8" w:space="0" w:color="auto"/>
              <w:right w:val="single" w:sz="4" w:space="0" w:color="auto"/>
            </w:tcBorders>
            <w:shd w:val="clear" w:color="auto" w:fill="B4C6E7"/>
            <w:tcMar>
              <w:top w:w="15" w:type="dxa"/>
              <w:left w:w="15" w:type="dxa"/>
              <w:right w:w="15" w:type="dxa"/>
            </w:tcMar>
            <w:vAlign w:val="center"/>
          </w:tcPr>
          <w:p w:rsidR="638B37EC" w:rsidRPr="00A018FA" w:rsidP="00D91F68" w14:paraId="558FDBDB" w14:textId="7310944E">
            <w:pPr>
              <w:jc w:val="center"/>
              <w:rPr>
                <w:sz w:val="22"/>
                <w:szCs w:val="22"/>
              </w:rPr>
            </w:pPr>
            <w:r w:rsidRPr="5C516CCC">
              <w:rPr>
                <w:sz w:val="22"/>
                <w:szCs w:val="22"/>
              </w:rPr>
              <w:t>553</w:t>
            </w:r>
          </w:p>
        </w:tc>
        <w:tc>
          <w:tcPr>
            <w:tcW w:w="72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A018FA" w:rsidP="00D91F68" w14:paraId="0BEB43B6" w14:textId="0A1E6040">
            <w:pPr>
              <w:jc w:val="center"/>
              <w:rPr>
                <w:sz w:val="22"/>
                <w:szCs w:val="22"/>
              </w:rPr>
            </w:pPr>
            <w:r w:rsidRPr="5C516CCC">
              <w:rPr>
                <w:sz w:val="22"/>
                <w:szCs w:val="22"/>
              </w:rPr>
              <w:t>$53.70</w:t>
            </w:r>
          </w:p>
        </w:tc>
        <w:tc>
          <w:tcPr>
            <w:tcW w:w="1350" w:type="dxa"/>
            <w:tcBorders>
              <w:top w:val="single" w:sz="8" w:space="0" w:color="auto"/>
              <w:left w:val="single" w:sz="4" w:space="0" w:color="auto"/>
              <w:bottom w:val="single" w:sz="8" w:space="0" w:color="auto"/>
              <w:right w:val="single" w:sz="8" w:space="0" w:color="auto"/>
            </w:tcBorders>
            <w:shd w:val="clear" w:color="auto" w:fill="B4C6E7"/>
            <w:tcMar>
              <w:top w:w="15" w:type="dxa"/>
              <w:left w:w="15" w:type="dxa"/>
              <w:right w:w="15" w:type="dxa"/>
            </w:tcMar>
            <w:vAlign w:val="center"/>
          </w:tcPr>
          <w:p w:rsidR="638B37EC" w:rsidRPr="00A018FA" w:rsidP="00D91F68" w14:paraId="715043C7" w14:textId="5F578F2D">
            <w:pPr>
              <w:jc w:val="center"/>
              <w:rPr>
                <w:sz w:val="22"/>
                <w:szCs w:val="22"/>
              </w:rPr>
            </w:pPr>
            <w:r w:rsidRPr="5C516CCC">
              <w:rPr>
                <w:sz w:val="22"/>
                <w:szCs w:val="22"/>
              </w:rPr>
              <w:t>$29,696.10</w:t>
            </w:r>
          </w:p>
        </w:tc>
      </w:tr>
      <w:tr w14:paraId="350F0B5F" w14:textId="77777777" w:rsidTr="5C516CCC">
        <w:tblPrEx>
          <w:tblW w:w="9800" w:type="dxa"/>
          <w:tblLayout w:type="fixed"/>
          <w:tblLook w:val="0680"/>
        </w:tblPrEx>
        <w:trPr>
          <w:trHeight w:val="105"/>
        </w:trPr>
        <w:tc>
          <w:tcPr>
            <w:tcW w:w="1340" w:type="dxa"/>
            <w:tcBorders>
              <w:top w:val="single" w:sz="8" w:space="0" w:color="auto"/>
              <w:left w:val="single" w:sz="8" w:space="0" w:color="auto"/>
              <w:bottom w:val="nil"/>
              <w:right w:val="single" w:sz="4" w:space="0" w:color="auto"/>
            </w:tcBorders>
            <w:shd w:val="clear" w:color="auto" w:fill="D9D9D9" w:themeFill="background1" w:themeFillShade="D9"/>
            <w:tcMar>
              <w:top w:w="15" w:type="dxa"/>
              <w:left w:w="15" w:type="dxa"/>
              <w:right w:w="15" w:type="dxa"/>
            </w:tcMar>
            <w:vAlign w:val="center"/>
          </w:tcPr>
          <w:p w:rsidR="638B37EC" w:rsidRPr="00A018FA" w:rsidP="5C516CCC" w14:paraId="0247E7C3" w14:textId="27D28041">
            <w:pPr>
              <w:jc w:val="center"/>
              <w:rPr>
                <w:sz w:val="22"/>
                <w:szCs w:val="22"/>
              </w:rPr>
            </w:pPr>
            <w:r w:rsidRPr="5C516CCC">
              <w:rPr>
                <w:color w:val="000000" w:themeColor="text1"/>
                <w:sz w:val="22"/>
                <w:szCs w:val="22"/>
                <w:u w:val="single"/>
              </w:rPr>
              <w:t xml:space="preserve"> </w:t>
            </w:r>
          </w:p>
        </w:tc>
        <w:tc>
          <w:tcPr>
            <w:tcW w:w="1260" w:type="dxa"/>
            <w:tcBorders>
              <w:top w:val="single" w:sz="8" w:space="0" w:color="auto"/>
              <w:left w:val="single" w:sz="4" w:space="0" w:color="auto"/>
              <w:bottom w:val="nil"/>
              <w:right w:val="single" w:sz="4" w:space="0" w:color="auto"/>
            </w:tcBorders>
            <w:shd w:val="clear" w:color="auto" w:fill="D9D9D9" w:themeFill="background1" w:themeFillShade="D9"/>
            <w:tcMar>
              <w:top w:w="15" w:type="dxa"/>
              <w:left w:w="15" w:type="dxa"/>
              <w:right w:w="15" w:type="dxa"/>
            </w:tcMar>
            <w:vAlign w:val="center"/>
          </w:tcPr>
          <w:p w:rsidR="638B37EC" w:rsidRPr="00A018FA" w:rsidP="00D91F68" w14:paraId="47F5F189" w14:textId="5CB8AE2E">
            <w:pPr>
              <w:jc w:val="center"/>
              <w:rPr>
                <w:sz w:val="22"/>
                <w:szCs w:val="22"/>
                <w:u w:val="single"/>
              </w:rPr>
            </w:pPr>
            <w:r w:rsidRPr="5C516CCC">
              <w:rPr>
                <w:sz w:val="22"/>
                <w:szCs w:val="22"/>
                <w:u w:val="single"/>
              </w:rPr>
              <w:t xml:space="preserve"> </w:t>
            </w:r>
          </w:p>
        </w:tc>
        <w:tc>
          <w:tcPr>
            <w:tcW w:w="1170" w:type="dxa"/>
            <w:tcBorders>
              <w:top w:val="single" w:sz="8" w:space="0" w:color="auto"/>
              <w:left w:val="single" w:sz="4" w:space="0" w:color="auto"/>
              <w:bottom w:val="nil"/>
              <w:right w:val="single" w:sz="4" w:space="0" w:color="auto"/>
            </w:tcBorders>
            <w:shd w:val="clear" w:color="auto" w:fill="D9D9D9" w:themeFill="background1" w:themeFillShade="D9"/>
            <w:tcMar>
              <w:top w:w="15" w:type="dxa"/>
              <w:left w:w="15" w:type="dxa"/>
              <w:right w:w="15" w:type="dxa"/>
            </w:tcMar>
            <w:vAlign w:val="center"/>
          </w:tcPr>
          <w:p w:rsidR="638B37EC" w:rsidP="00D91F68" w14:paraId="3ADC1291" w14:textId="4EAF3D96">
            <w:pPr>
              <w:jc w:val="center"/>
              <w:rPr>
                <w:sz w:val="24"/>
                <w:szCs w:val="24"/>
                <w:u w:val="single"/>
              </w:rPr>
            </w:pPr>
            <w:r w:rsidRPr="5C516CCC">
              <w:rPr>
                <w:sz w:val="24"/>
                <w:szCs w:val="24"/>
                <w:u w:val="single"/>
              </w:rPr>
              <w:t xml:space="preserve"> </w:t>
            </w:r>
          </w:p>
        </w:tc>
        <w:tc>
          <w:tcPr>
            <w:tcW w:w="1080" w:type="dxa"/>
            <w:tcBorders>
              <w:top w:val="single" w:sz="8" w:space="0" w:color="auto"/>
              <w:left w:val="single" w:sz="4" w:space="0" w:color="auto"/>
              <w:bottom w:val="nil"/>
              <w:right w:val="single" w:sz="4" w:space="0" w:color="auto"/>
            </w:tcBorders>
            <w:shd w:val="clear" w:color="auto" w:fill="D9D9D9" w:themeFill="background1" w:themeFillShade="D9"/>
            <w:tcMar>
              <w:top w:w="15" w:type="dxa"/>
              <w:left w:w="15" w:type="dxa"/>
              <w:right w:w="15" w:type="dxa"/>
            </w:tcMar>
            <w:vAlign w:val="center"/>
          </w:tcPr>
          <w:p w:rsidR="638B37EC" w:rsidP="00D91F68" w14:paraId="44C1468A" w14:textId="00D7FA60">
            <w:pPr>
              <w:jc w:val="center"/>
              <w:rPr>
                <w:sz w:val="24"/>
                <w:szCs w:val="24"/>
                <w:u w:val="single"/>
              </w:rPr>
            </w:pPr>
            <w:r w:rsidRPr="5C516CCC">
              <w:rPr>
                <w:sz w:val="24"/>
                <w:szCs w:val="24"/>
                <w:u w:val="single"/>
              </w:rPr>
              <w:t xml:space="preserve"> </w:t>
            </w:r>
          </w:p>
        </w:tc>
        <w:tc>
          <w:tcPr>
            <w:tcW w:w="990" w:type="dxa"/>
            <w:tcBorders>
              <w:top w:val="single" w:sz="8" w:space="0" w:color="auto"/>
              <w:left w:val="single" w:sz="4" w:space="0" w:color="auto"/>
              <w:bottom w:val="nil"/>
              <w:right w:val="single" w:sz="4" w:space="0" w:color="auto"/>
            </w:tcBorders>
            <w:shd w:val="clear" w:color="auto" w:fill="D9D9D9" w:themeFill="background1" w:themeFillShade="D9"/>
            <w:tcMar>
              <w:top w:w="15" w:type="dxa"/>
              <w:left w:w="15" w:type="dxa"/>
              <w:right w:w="15" w:type="dxa"/>
            </w:tcMar>
            <w:vAlign w:val="center"/>
          </w:tcPr>
          <w:p w:rsidR="638B37EC" w:rsidP="00D91F68" w14:paraId="2A833593" w14:textId="67BBDCAC">
            <w:pPr>
              <w:jc w:val="center"/>
              <w:rPr>
                <w:color w:val="000000" w:themeColor="text1"/>
                <w:sz w:val="24"/>
                <w:szCs w:val="24"/>
                <w:u w:val="single"/>
              </w:rPr>
            </w:pPr>
            <w:r w:rsidRPr="5C516CCC">
              <w:rPr>
                <w:color w:val="000000" w:themeColor="text1"/>
                <w:sz w:val="24"/>
                <w:szCs w:val="24"/>
                <w:u w:val="single"/>
              </w:rPr>
              <w:t xml:space="preserve"> </w:t>
            </w:r>
          </w:p>
        </w:tc>
        <w:tc>
          <w:tcPr>
            <w:tcW w:w="1080" w:type="dxa"/>
            <w:tcBorders>
              <w:top w:val="single" w:sz="8" w:space="0" w:color="auto"/>
              <w:left w:val="single" w:sz="4" w:space="0" w:color="auto"/>
              <w:bottom w:val="nil"/>
              <w:right w:val="single" w:sz="4" w:space="0" w:color="auto"/>
            </w:tcBorders>
            <w:shd w:val="clear" w:color="auto" w:fill="D9D9D9" w:themeFill="background1" w:themeFillShade="D9"/>
            <w:tcMar>
              <w:top w:w="15" w:type="dxa"/>
              <w:left w:w="15" w:type="dxa"/>
              <w:right w:w="15" w:type="dxa"/>
            </w:tcMar>
            <w:vAlign w:val="center"/>
          </w:tcPr>
          <w:p w:rsidR="638B37EC" w:rsidP="00D91F68" w14:paraId="74894234" w14:textId="042D2064">
            <w:pPr>
              <w:jc w:val="center"/>
              <w:rPr>
                <w:sz w:val="24"/>
                <w:szCs w:val="24"/>
                <w:u w:val="single"/>
              </w:rPr>
            </w:pPr>
            <w:r w:rsidRPr="5C516CCC">
              <w:rPr>
                <w:sz w:val="24"/>
                <w:szCs w:val="24"/>
                <w:u w:val="single"/>
              </w:rPr>
              <w:t xml:space="preserve"> </w:t>
            </w:r>
          </w:p>
        </w:tc>
        <w:tc>
          <w:tcPr>
            <w:tcW w:w="810" w:type="dxa"/>
            <w:tcBorders>
              <w:top w:val="single" w:sz="8" w:space="0" w:color="auto"/>
              <w:left w:val="single" w:sz="4" w:space="0" w:color="auto"/>
              <w:bottom w:val="nil"/>
              <w:right w:val="single" w:sz="4" w:space="0" w:color="auto"/>
            </w:tcBorders>
            <w:shd w:val="clear" w:color="auto" w:fill="D9D9D9" w:themeFill="background1" w:themeFillShade="D9"/>
            <w:tcMar>
              <w:top w:w="15" w:type="dxa"/>
              <w:left w:w="15" w:type="dxa"/>
              <w:right w:w="15" w:type="dxa"/>
            </w:tcMar>
            <w:vAlign w:val="center"/>
          </w:tcPr>
          <w:p w:rsidR="638B37EC" w:rsidP="00D91F68" w14:paraId="54E4A8F4" w14:textId="78742128">
            <w:pPr>
              <w:jc w:val="center"/>
              <w:rPr>
                <w:sz w:val="24"/>
                <w:szCs w:val="24"/>
                <w:u w:val="single"/>
              </w:rPr>
            </w:pPr>
            <w:r w:rsidRPr="5C516CCC">
              <w:rPr>
                <w:sz w:val="24"/>
                <w:szCs w:val="24"/>
                <w:u w:val="single"/>
              </w:rPr>
              <w:t xml:space="preserve"> </w:t>
            </w:r>
          </w:p>
        </w:tc>
        <w:tc>
          <w:tcPr>
            <w:tcW w:w="720" w:type="dxa"/>
            <w:tcBorders>
              <w:top w:val="single" w:sz="8" w:space="0" w:color="auto"/>
              <w:left w:val="single" w:sz="4" w:space="0" w:color="auto"/>
              <w:bottom w:val="nil"/>
              <w:right w:val="single" w:sz="4" w:space="0" w:color="auto"/>
            </w:tcBorders>
            <w:shd w:val="clear" w:color="auto" w:fill="D9D9D9" w:themeFill="background1" w:themeFillShade="D9"/>
            <w:tcMar>
              <w:top w:w="15" w:type="dxa"/>
              <w:left w:w="15" w:type="dxa"/>
              <w:right w:w="15" w:type="dxa"/>
            </w:tcMar>
            <w:vAlign w:val="center"/>
          </w:tcPr>
          <w:p w:rsidR="638B37EC" w:rsidP="00D91F68" w14:paraId="5A928843" w14:textId="680565D0">
            <w:pPr>
              <w:jc w:val="center"/>
              <w:rPr>
                <w:sz w:val="24"/>
                <w:szCs w:val="24"/>
                <w:u w:val="single"/>
              </w:rPr>
            </w:pPr>
            <w:r w:rsidRPr="5C516CCC">
              <w:rPr>
                <w:sz w:val="24"/>
                <w:szCs w:val="24"/>
                <w:u w:val="single"/>
              </w:rPr>
              <w:t xml:space="preserve"> </w:t>
            </w:r>
          </w:p>
        </w:tc>
        <w:tc>
          <w:tcPr>
            <w:tcW w:w="1350" w:type="dxa"/>
            <w:tcBorders>
              <w:top w:val="single" w:sz="8" w:space="0" w:color="auto"/>
              <w:left w:val="single" w:sz="4" w:space="0" w:color="auto"/>
              <w:bottom w:val="nil"/>
              <w:right w:val="single" w:sz="8" w:space="0" w:color="auto"/>
            </w:tcBorders>
            <w:shd w:val="clear" w:color="auto" w:fill="D9D9D9" w:themeFill="background1" w:themeFillShade="D9"/>
            <w:tcMar>
              <w:top w:w="15" w:type="dxa"/>
              <w:left w:w="15" w:type="dxa"/>
              <w:right w:w="15" w:type="dxa"/>
            </w:tcMar>
            <w:vAlign w:val="center"/>
          </w:tcPr>
          <w:p w:rsidR="638B37EC" w:rsidP="00D91F68" w14:paraId="73B9305A" w14:textId="656AFE44">
            <w:pPr>
              <w:jc w:val="center"/>
              <w:rPr>
                <w:sz w:val="24"/>
                <w:szCs w:val="24"/>
                <w:u w:val="single"/>
              </w:rPr>
            </w:pPr>
            <w:r w:rsidRPr="5C516CCC">
              <w:rPr>
                <w:sz w:val="24"/>
                <w:szCs w:val="24"/>
                <w:u w:val="single"/>
              </w:rPr>
              <w:t xml:space="preserve"> </w:t>
            </w:r>
          </w:p>
        </w:tc>
      </w:tr>
      <w:tr w14:paraId="6043C592" w14:textId="77777777" w:rsidTr="5C516CCC">
        <w:tblPrEx>
          <w:tblW w:w="9800" w:type="dxa"/>
          <w:tblLayout w:type="fixed"/>
          <w:tblLook w:val="0680"/>
        </w:tblPrEx>
        <w:trPr>
          <w:trHeight w:val="945"/>
        </w:trPr>
        <w:tc>
          <w:tcPr>
            <w:tcW w:w="1340"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center"/>
          </w:tcPr>
          <w:p w:rsidR="638B37EC" w:rsidRPr="00A018FA" w:rsidP="5C516CCC" w14:paraId="2ACAA86A" w14:textId="47A762E6">
            <w:pPr>
              <w:rPr>
                <w:sz w:val="22"/>
                <w:szCs w:val="22"/>
              </w:rPr>
            </w:pPr>
            <w:r w:rsidRPr="5C516CCC">
              <w:rPr>
                <w:color w:val="000000" w:themeColor="text1"/>
                <w:sz w:val="22"/>
                <w:szCs w:val="22"/>
              </w:rPr>
              <w:t xml:space="preserve">3) Pre-entry briefings </w:t>
            </w:r>
          </w:p>
        </w:tc>
        <w:tc>
          <w:tcPr>
            <w:tcW w:w="126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A018FA" w:rsidP="00D91F68" w14:paraId="20CD5A93" w14:textId="0B748DEC">
            <w:pPr>
              <w:jc w:val="center"/>
              <w:rPr>
                <w:sz w:val="22"/>
                <w:szCs w:val="22"/>
              </w:rPr>
            </w:pPr>
            <w:r w:rsidRPr="5C516CCC">
              <w:rPr>
                <w:sz w:val="22"/>
                <w:szCs w:val="22"/>
              </w:rPr>
              <w:t xml:space="preserve">Occupational Safety and Health Specialist </w:t>
            </w:r>
          </w:p>
        </w:tc>
        <w:tc>
          <w:tcPr>
            <w:tcW w:w="117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A018FA" w:rsidP="00D91F68" w14:paraId="562CCED0" w14:textId="283D5982">
            <w:pPr>
              <w:jc w:val="center"/>
              <w:rPr>
                <w:sz w:val="22"/>
                <w:szCs w:val="22"/>
              </w:rPr>
            </w:pPr>
            <w:r w:rsidRPr="5C516CCC">
              <w:rPr>
                <w:sz w:val="22"/>
                <w:szCs w:val="22"/>
              </w:rPr>
              <w:t>553</w:t>
            </w:r>
          </w:p>
        </w:tc>
        <w:tc>
          <w:tcPr>
            <w:tcW w:w="108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A018FA" w:rsidP="00D91F68" w14:paraId="0BE95B2F" w14:textId="2DD23A7A">
            <w:pPr>
              <w:jc w:val="center"/>
              <w:rPr>
                <w:sz w:val="22"/>
                <w:szCs w:val="22"/>
              </w:rPr>
            </w:pPr>
            <w:r w:rsidRPr="5C516CCC">
              <w:rPr>
                <w:sz w:val="22"/>
                <w:szCs w:val="22"/>
              </w:rPr>
              <w:t>1</w:t>
            </w:r>
          </w:p>
        </w:tc>
        <w:tc>
          <w:tcPr>
            <w:tcW w:w="990" w:type="dxa"/>
            <w:tcBorders>
              <w:top w:val="single" w:sz="8"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A018FA" w:rsidP="00D91F68" w14:paraId="7F79281F" w14:textId="6C7E1CC8">
            <w:pPr>
              <w:jc w:val="center"/>
              <w:rPr>
                <w:color w:val="000000" w:themeColor="text1"/>
                <w:sz w:val="22"/>
                <w:szCs w:val="22"/>
              </w:rPr>
            </w:pPr>
            <w:r w:rsidRPr="5C516CCC">
              <w:rPr>
                <w:color w:val="000000" w:themeColor="text1"/>
                <w:sz w:val="22"/>
                <w:szCs w:val="22"/>
              </w:rPr>
              <w:t>553</w:t>
            </w:r>
          </w:p>
        </w:tc>
        <w:tc>
          <w:tcPr>
            <w:tcW w:w="108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A018FA" w:rsidP="00D91F68" w14:paraId="10BB796C" w14:textId="7B46E123">
            <w:pPr>
              <w:jc w:val="center"/>
              <w:rPr>
                <w:sz w:val="22"/>
                <w:szCs w:val="22"/>
              </w:rPr>
            </w:pPr>
            <w:r w:rsidRPr="5C516CCC">
              <w:rPr>
                <w:sz w:val="22"/>
                <w:szCs w:val="22"/>
              </w:rPr>
              <w:t>1</w:t>
            </w:r>
          </w:p>
        </w:tc>
        <w:tc>
          <w:tcPr>
            <w:tcW w:w="810" w:type="dxa"/>
            <w:tcBorders>
              <w:top w:val="single" w:sz="8"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A018FA" w:rsidP="00D91F68" w14:paraId="6837A1CA" w14:textId="3E149327">
            <w:pPr>
              <w:jc w:val="center"/>
              <w:rPr>
                <w:sz w:val="22"/>
                <w:szCs w:val="22"/>
              </w:rPr>
            </w:pPr>
            <w:r w:rsidRPr="5C516CCC">
              <w:rPr>
                <w:sz w:val="22"/>
                <w:szCs w:val="22"/>
              </w:rPr>
              <w:t>553</w:t>
            </w:r>
          </w:p>
        </w:tc>
        <w:tc>
          <w:tcPr>
            <w:tcW w:w="72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A018FA" w:rsidP="00D91F68" w14:paraId="03E1C12B" w14:textId="59B507E8">
            <w:pPr>
              <w:jc w:val="center"/>
              <w:rPr>
                <w:sz w:val="22"/>
                <w:szCs w:val="22"/>
              </w:rPr>
            </w:pPr>
            <w:r w:rsidRPr="5C516CCC">
              <w:rPr>
                <w:sz w:val="22"/>
                <w:szCs w:val="22"/>
              </w:rPr>
              <w:t>$53.70</w:t>
            </w:r>
          </w:p>
        </w:tc>
        <w:tc>
          <w:tcPr>
            <w:tcW w:w="1350" w:type="dxa"/>
            <w:tcBorders>
              <w:top w:val="single" w:sz="8" w:space="0" w:color="auto"/>
              <w:left w:val="single" w:sz="4" w:space="0" w:color="auto"/>
              <w:bottom w:val="single" w:sz="4" w:space="0" w:color="auto"/>
              <w:right w:val="single" w:sz="8" w:space="0" w:color="auto"/>
            </w:tcBorders>
            <w:shd w:val="clear" w:color="auto" w:fill="B4C6E7"/>
            <w:tcMar>
              <w:top w:w="15" w:type="dxa"/>
              <w:left w:w="15" w:type="dxa"/>
              <w:right w:w="15" w:type="dxa"/>
            </w:tcMar>
            <w:vAlign w:val="center"/>
          </w:tcPr>
          <w:p w:rsidR="638B37EC" w:rsidRPr="00A018FA" w:rsidP="00D91F68" w14:paraId="6A63B83D" w14:textId="36E301E2">
            <w:pPr>
              <w:jc w:val="center"/>
              <w:rPr>
                <w:sz w:val="22"/>
                <w:szCs w:val="22"/>
              </w:rPr>
            </w:pPr>
            <w:r w:rsidRPr="5C516CCC">
              <w:rPr>
                <w:sz w:val="22"/>
                <w:szCs w:val="22"/>
              </w:rPr>
              <w:t>$29,696.10</w:t>
            </w:r>
          </w:p>
        </w:tc>
      </w:tr>
      <w:tr w14:paraId="65E65261" w14:textId="77777777" w:rsidTr="5C516CCC">
        <w:tblPrEx>
          <w:tblW w:w="9800" w:type="dxa"/>
          <w:tblLayout w:type="fixed"/>
          <w:tblLook w:val="0680"/>
        </w:tblPrEx>
        <w:trPr>
          <w:trHeight w:val="945"/>
        </w:trPr>
        <w:tc>
          <w:tcPr>
            <w:tcW w:w="134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638B37EC" w:rsidRPr="00A018FA" w:rsidP="5C516CCC" w14:paraId="36923045" w14:textId="38067162">
            <w:pPr>
              <w:jc w:val="center"/>
              <w:rPr>
                <w:sz w:val="22"/>
                <w:szCs w:val="22"/>
              </w:rPr>
            </w:pPr>
            <w:r w:rsidRPr="5C516CCC">
              <w:rPr>
                <w:color w:val="000000" w:themeColor="text1"/>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A018FA" w:rsidP="00D91F68" w14:paraId="10C2E543" w14:textId="2AD3C6E7">
            <w:pPr>
              <w:jc w:val="center"/>
              <w:rPr>
                <w:sz w:val="22"/>
                <w:szCs w:val="22"/>
              </w:rPr>
            </w:pPr>
            <w:r w:rsidRPr="5C516CCC">
              <w:rPr>
                <w:sz w:val="22"/>
                <w:szCs w:val="22"/>
              </w:rPr>
              <w:t xml:space="preserve">Occupational Safety and Health Specialist </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A018FA" w:rsidP="00D91F68" w14:paraId="2E568FB5" w14:textId="5E6455E9">
            <w:pPr>
              <w:jc w:val="center"/>
              <w:rPr>
                <w:sz w:val="22"/>
                <w:szCs w:val="22"/>
              </w:rPr>
            </w:pPr>
            <w:r w:rsidRPr="5C516CCC">
              <w:rPr>
                <w:sz w:val="22"/>
                <w:szCs w:val="22"/>
              </w:rPr>
              <w:t>553</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A018FA" w:rsidP="00D91F68" w14:paraId="6E2BD9C3" w14:textId="575B9A91">
            <w:pPr>
              <w:jc w:val="center"/>
              <w:rPr>
                <w:sz w:val="22"/>
                <w:szCs w:val="22"/>
              </w:rPr>
            </w:pPr>
            <w:r w:rsidRPr="5C516CCC">
              <w:rPr>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A018FA" w:rsidP="00D91F68" w14:paraId="66557912" w14:textId="79819452">
            <w:pPr>
              <w:jc w:val="center"/>
              <w:rPr>
                <w:color w:val="000000" w:themeColor="text1"/>
                <w:sz w:val="22"/>
                <w:szCs w:val="22"/>
              </w:rPr>
            </w:pPr>
            <w:r w:rsidRPr="5C516CCC">
              <w:rPr>
                <w:color w:val="000000" w:themeColor="text1"/>
                <w:sz w:val="22"/>
                <w:szCs w:val="22"/>
              </w:rPr>
              <w:t>553</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A018FA" w:rsidP="00D91F68" w14:paraId="6F404DB9" w14:textId="6281C997">
            <w:pPr>
              <w:jc w:val="center"/>
              <w:rPr>
                <w:sz w:val="22"/>
                <w:szCs w:val="22"/>
              </w:rPr>
            </w:pPr>
            <w:r w:rsidRPr="5C516CCC">
              <w:rPr>
                <w:sz w:val="22"/>
                <w:szCs w:val="22"/>
              </w:rPr>
              <w:t>8</w:t>
            </w:r>
          </w:p>
        </w:tc>
        <w:tc>
          <w:tcPr>
            <w:tcW w:w="81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A018FA" w:rsidP="00D91F68" w14:paraId="6DA352AF" w14:textId="4EDD6694">
            <w:pPr>
              <w:jc w:val="center"/>
              <w:rPr>
                <w:sz w:val="22"/>
                <w:szCs w:val="22"/>
              </w:rPr>
            </w:pPr>
            <w:r w:rsidRPr="5C516CCC">
              <w:rPr>
                <w:sz w:val="22"/>
                <w:szCs w:val="22"/>
              </w:rPr>
              <w:t>4,424</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A018FA" w:rsidP="00D91F68" w14:paraId="740ED805" w14:textId="34450B76">
            <w:pPr>
              <w:jc w:val="center"/>
              <w:rPr>
                <w:sz w:val="22"/>
                <w:szCs w:val="22"/>
              </w:rPr>
            </w:pPr>
            <w:r w:rsidRPr="5C516CCC">
              <w:rPr>
                <w:sz w:val="22"/>
                <w:szCs w:val="22"/>
              </w:rPr>
              <w:t>$53.70</w:t>
            </w:r>
          </w:p>
        </w:tc>
        <w:tc>
          <w:tcPr>
            <w:tcW w:w="1350" w:type="dxa"/>
            <w:tcBorders>
              <w:top w:val="single" w:sz="4" w:space="0" w:color="auto"/>
              <w:left w:val="single" w:sz="4" w:space="0" w:color="auto"/>
              <w:bottom w:val="single" w:sz="4" w:space="0" w:color="auto"/>
              <w:right w:val="single" w:sz="8" w:space="0" w:color="auto"/>
            </w:tcBorders>
            <w:shd w:val="clear" w:color="auto" w:fill="B4C6E7"/>
            <w:tcMar>
              <w:top w:w="15" w:type="dxa"/>
              <w:left w:w="15" w:type="dxa"/>
              <w:right w:w="15" w:type="dxa"/>
            </w:tcMar>
            <w:vAlign w:val="center"/>
          </w:tcPr>
          <w:p w:rsidR="638B37EC" w:rsidRPr="00A018FA" w:rsidP="00D91F68" w14:paraId="2062E539" w14:textId="4431C82E">
            <w:pPr>
              <w:jc w:val="center"/>
              <w:rPr>
                <w:sz w:val="22"/>
                <w:szCs w:val="22"/>
              </w:rPr>
            </w:pPr>
            <w:r w:rsidRPr="5C516CCC">
              <w:rPr>
                <w:sz w:val="22"/>
                <w:szCs w:val="22"/>
              </w:rPr>
              <w:t>$237,568.80</w:t>
            </w:r>
          </w:p>
        </w:tc>
      </w:tr>
      <w:tr w14:paraId="269D3947" w14:textId="77777777" w:rsidTr="5C516CCC">
        <w:tblPrEx>
          <w:tblW w:w="9800" w:type="dxa"/>
          <w:tblLayout w:type="fixed"/>
          <w:tblLook w:val="0680"/>
        </w:tblPrEx>
        <w:trPr>
          <w:trHeight w:val="330"/>
        </w:trPr>
        <w:tc>
          <w:tcPr>
            <w:tcW w:w="1340" w:type="dxa"/>
            <w:tcBorders>
              <w:top w:val="single" w:sz="4"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6706AE" w14:paraId="1F9E99BE" w14:textId="20834808">
            <w:pPr>
              <w:jc w:val="center"/>
              <w:rPr>
                <w:b/>
                <w:bCs/>
                <w:color w:val="000000" w:themeColor="text1"/>
                <w:sz w:val="24"/>
                <w:szCs w:val="24"/>
              </w:rPr>
            </w:pPr>
            <w:r w:rsidRPr="5C516CCC">
              <w:rPr>
                <w:b/>
                <w:bCs/>
                <w:color w:val="000000" w:themeColor="text1"/>
                <w:sz w:val="22"/>
                <w:szCs w:val="22"/>
              </w:rPr>
              <w:t>Subtotal</w:t>
            </w:r>
          </w:p>
        </w:tc>
        <w:tc>
          <w:tcPr>
            <w:tcW w:w="126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43D155A4" w14:textId="1C8A4250">
            <w:pPr>
              <w:jc w:val="center"/>
              <w:rPr>
                <w:sz w:val="24"/>
                <w:szCs w:val="24"/>
              </w:rPr>
            </w:pPr>
            <w:r w:rsidRPr="5C516CCC">
              <w:rPr>
                <w:sz w:val="24"/>
                <w:szCs w:val="24"/>
              </w:rPr>
              <w:t xml:space="preserve"> </w:t>
            </w:r>
          </w:p>
        </w:tc>
        <w:tc>
          <w:tcPr>
            <w:tcW w:w="117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A018FA" w:rsidP="00D91F68" w14:paraId="11006DE8" w14:textId="77F74B8B">
            <w:pPr>
              <w:jc w:val="center"/>
              <w:rPr>
                <w:sz w:val="22"/>
                <w:szCs w:val="22"/>
              </w:rPr>
            </w:pPr>
            <w:r w:rsidRPr="5C516CCC">
              <w:rPr>
                <w:sz w:val="22"/>
                <w:szCs w:val="22"/>
              </w:rPr>
              <w:t xml:space="preserve"> </w:t>
            </w:r>
          </w:p>
        </w:tc>
        <w:tc>
          <w:tcPr>
            <w:tcW w:w="108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A018FA" w:rsidP="00D91F68" w14:paraId="0F518A79" w14:textId="4D51C58C">
            <w:pPr>
              <w:jc w:val="center"/>
              <w:rPr>
                <w:sz w:val="22"/>
                <w:szCs w:val="22"/>
              </w:rPr>
            </w:pPr>
            <w:r w:rsidRPr="5C516CCC">
              <w:rPr>
                <w:sz w:val="22"/>
                <w:szCs w:val="22"/>
              </w:rPr>
              <w:t xml:space="preserve"> </w:t>
            </w:r>
          </w:p>
        </w:tc>
        <w:tc>
          <w:tcPr>
            <w:tcW w:w="99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A018FA" w:rsidP="00D91F68" w14:paraId="595C41D9" w14:textId="3FD844F3">
            <w:pPr>
              <w:jc w:val="center"/>
              <w:rPr>
                <w:color w:val="000000" w:themeColor="text1"/>
                <w:sz w:val="22"/>
                <w:szCs w:val="22"/>
              </w:rPr>
            </w:pPr>
            <w:r w:rsidRPr="5C516CCC">
              <w:rPr>
                <w:color w:val="000000" w:themeColor="text1"/>
                <w:sz w:val="22"/>
                <w:szCs w:val="22"/>
              </w:rPr>
              <w:t>1,106</w:t>
            </w:r>
          </w:p>
        </w:tc>
        <w:tc>
          <w:tcPr>
            <w:tcW w:w="108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A018FA" w:rsidP="00D91F68" w14:paraId="747574F7" w14:textId="0B77E804">
            <w:pPr>
              <w:jc w:val="center"/>
              <w:rPr>
                <w:sz w:val="22"/>
                <w:szCs w:val="22"/>
              </w:rPr>
            </w:pPr>
            <w:r w:rsidRPr="5C516CCC">
              <w:rPr>
                <w:sz w:val="22"/>
                <w:szCs w:val="22"/>
              </w:rPr>
              <w:t xml:space="preserve"> </w:t>
            </w:r>
          </w:p>
        </w:tc>
        <w:tc>
          <w:tcPr>
            <w:tcW w:w="81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A018FA" w:rsidP="00D91F68" w14:paraId="371D9A86" w14:textId="20AF7BC5">
            <w:pPr>
              <w:jc w:val="center"/>
              <w:rPr>
                <w:sz w:val="22"/>
                <w:szCs w:val="22"/>
              </w:rPr>
            </w:pPr>
            <w:r w:rsidRPr="5C516CCC">
              <w:rPr>
                <w:sz w:val="22"/>
                <w:szCs w:val="22"/>
              </w:rPr>
              <w:t>4,977</w:t>
            </w:r>
          </w:p>
        </w:tc>
        <w:tc>
          <w:tcPr>
            <w:tcW w:w="72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A018FA" w:rsidP="00D91F68" w14:paraId="58CD7723" w14:textId="71793A62">
            <w:pPr>
              <w:jc w:val="center"/>
              <w:rPr>
                <w:sz w:val="22"/>
                <w:szCs w:val="22"/>
              </w:rPr>
            </w:pPr>
            <w:r w:rsidRPr="5C516CCC">
              <w:rPr>
                <w:sz w:val="22"/>
                <w:szCs w:val="22"/>
              </w:rPr>
              <w:t xml:space="preserve"> </w:t>
            </w:r>
          </w:p>
        </w:tc>
        <w:tc>
          <w:tcPr>
            <w:tcW w:w="1350" w:type="dxa"/>
            <w:tcBorders>
              <w:top w:val="single" w:sz="4" w:space="0" w:color="auto"/>
              <w:left w:val="single" w:sz="4"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rsidR="638B37EC" w:rsidRPr="00A018FA" w:rsidP="00D91F68" w14:paraId="50659B67" w14:textId="4F947183">
            <w:pPr>
              <w:jc w:val="center"/>
              <w:rPr>
                <w:sz w:val="22"/>
                <w:szCs w:val="22"/>
              </w:rPr>
            </w:pPr>
            <w:r w:rsidRPr="5C516CCC">
              <w:rPr>
                <w:sz w:val="22"/>
                <w:szCs w:val="22"/>
              </w:rPr>
              <w:t>$267,264.90</w:t>
            </w:r>
          </w:p>
        </w:tc>
      </w:tr>
      <w:tr w14:paraId="4CD9B31F" w14:textId="77777777" w:rsidTr="5C516CCC">
        <w:tblPrEx>
          <w:tblW w:w="9800" w:type="dxa"/>
          <w:tblLayout w:type="fixed"/>
          <w:tblLook w:val="0680"/>
        </w:tblPrEx>
        <w:trPr>
          <w:trHeight w:val="945"/>
        </w:trPr>
        <w:tc>
          <w:tcPr>
            <w:tcW w:w="1340"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center"/>
          </w:tcPr>
          <w:p w:rsidR="638B37EC" w:rsidRPr="000C647C" w:rsidP="5C516CCC" w14:paraId="2AFF92CB" w14:textId="5822945F">
            <w:pPr>
              <w:rPr>
                <w:sz w:val="22"/>
                <w:szCs w:val="22"/>
              </w:rPr>
            </w:pPr>
            <w:r w:rsidRPr="5C516CCC">
              <w:rPr>
                <w:color w:val="000000" w:themeColor="text1"/>
                <w:sz w:val="22"/>
                <w:szCs w:val="22"/>
              </w:rPr>
              <w:t xml:space="preserve">4) Certificate of training </w:t>
            </w:r>
          </w:p>
        </w:tc>
        <w:tc>
          <w:tcPr>
            <w:tcW w:w="126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0C647C" w:rsidP="00D91F68" w14:paraId="4705EA84" w14:textId="0BF68161">
            <w:pPr>
              <w:jc w:val="center"/>
              <w:rPr>
                <w:sz w:val="22"/>
                <w:szCs w:val="22"/>
              </w:rPr>
            </w:pPr>
            <w:r w:rsidRPr="5C516CCC">
              <w:rPr>
                <w:sz w:val="22"/>
                <w:szCs w:val="22"/>
              </w:rPr>
              <w:t xml:space="preserve">Occupational Safety and Health Specialist </w:t>
            </w:r>
          </w:p>
        </w:tc>
        <w:tc>
          <w:tcPr>
            <w:tcW w:w="117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0C647C" w:rsidP="00D91F68" w14:paraId="45C4291E" w14:textId="249B2FE2">
            <w:pPr>
              <w:jc w:val="center"/>
              <w:rPr>
                <w:sz w:val="22"/>
                <w:szCs w:val="22"/>
              </w:rPr>
            </w:pPr>
            <w:r w:rsidRPr="5C516CCC">
              <w:rPr>
                <w:sz w:val="22"/>
                <w:szCs w:val="22"/>
              </w:rPr>
              <w:t>11,060</w:t>
            </w:r>
          </w:p>
        </w:tc>
        <w:tc>
          <w:tcPr>
            <w:tcW w:w="108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0C647C" w:rsidP="00D91F68" w14:paraId="791A887C" w14:textId="21A07128">
            <w:pPr>
              <w:jc w:val="center"/>
              <w:rPr>
                <w:sz w:val="22"/>
                <w:szCs w:val="22"/>
              </w:rPr>
            </w:pPr>
            <w:r w:rsidRPr="5C516CCC">
              <w:rPr>
                <w:sz w:val="22"/>
                <w:szCs w:val="22"/>
              </w:rPr>
              <w:t>1</w:t>
            </w:r>
          </w:p>
        </w:tc>
        <w:tc>
          <w:tcPr>
            <w:tcW w:w="990" w:type="dxa"/>
            <w:tcBorders>
              <w:top w:val="single" w:sz="8"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0C647C" w:rsidP="00D91F68" w14:paraId="5EA8CB94" w14:textId="5CFE8B1D">
            <w:pPr>
              <w:jc w:val="center"/>
              <w:rPr>
                <w:color w:val="000000" w:themeColor="text1"/>
                <w:sz w:val="22"/>
                <w:szCs w:val="22"/>
              </w:rPr>
            </w:pPr>
            <w:r w:rsidRPr="5C516CCC">
              <w:rPr>
                <w:color w:val="000000" w:themeColor="text1"/>
                <w:sz w:val="22"/>
                <w:szCs w:val="22"/>
              </w:rPr>
              <w:t>11,060</w:t>
            </w:r>
          </w:p>
        </w:tc>
        <w:tc>
          <w:tcPr>
            <w:tcW w:w="108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2335A741" w:rsidRPr="000C647C" w:rsidP="00D91F68" w14:paraId="2922A6E3" w14:textId="7BC53D94">
            <w:pPr>
              <w:jc w:val="center"/>
              <w:rPr>
                <w:sz w:val="22"/>
                <w:szCs w:val="22"/>
              </w:rPr>
            </w:pPr>
            <w:r w:rsidRPr="5C516CCC">
              <w:rPr>
                <w:sz w:val="22"/>
                <w:szCs w:val="22"/>
              </w:rPr>
              <w:t>1/60</w:t>
            </w:r>
          </w:p>
        </w:tc>
        <w:tc>
          <w:tcPr>
            <w:tcW w:w="810" w:type="dxa"/>
            <w:tcBorders>
              <w:top w:val="single" w:sz="8"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0C647C" w:rsidP="00D91F68" w14:paraId="4043A8C7" w14:textId="0675FE75">
            <w:pPr>
              <w:jc w:val="center"/>
              <w:rPr>
                <w:sz w:val="22"/>
                <w:szCs w:val="22"/>
              </w:rPr>
            </w:pPr>
            <w:r w:rsidRPr="5C516CCC">
              <w:rPr>
                <w:sz w:val="22"/>
                <w:szCs w:val="22"/>
              </w:rPr>
              <w:t>184</w:t>
            </w:r>
          </w:p>
        </w:tc>
        <w:tc>
          <w:tcPr>
            <w:tcW w:w="72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0C647C" w:rsidP="00D91F68" w14:paraId="35113EDD" w14:textId="766BB3FA">
            <w:pPr>
              <w:jc w:val="center"/>
              <w:rPr>
                <w:sz w:val="22"/>
                <w:szCs w:val="22"/>
              </w:rPr>
            </w:pPr>
            <w:r w:rsidRPr="5C516CCC">
              <w:rPr>
                <w:sz w:val="22"/>
                <w:szCs w:val="22"/>
              </w:rPr>
              <w:t>$53.70</w:t>
            </w:r>
          </w:p>
        </w:tc>
        <w:tc>
          <w:tcPr>
            <w:tcW w:w="1350" w:type="dxa"/>
            <w:tcBorders>
              <w:top w:val="single" w:sz="8" w:space="0" w:color="auto"/>
              <w:left w:val="single" w:sz="4" w:space="0" w:color="auto"/>
              <w:bottom w:val="single" w:sz="4" w:space="0" w:color="auto"/>
              <w:right w:val="single" w:sz="8" w:space="0" w:color="auto"/>
            </w:tcBorders>
            <w:shd w:val="clear" w:color="auto" w:fill="B4C6E7"/>
            <w:tcMar>
              <w:top w:w="15" w:type="dxa"/>
              <w:left w:w="15" w:type="dxa"/>
              <w:right w:w="15" w:type="dxa"/>
            </w:tcMar>
            <w:vAlign w:val="center"/>
          </w:tcPr>
          <w:p w:rsidR="638B37EC" w:rsidRPr="000C647C" w:rsidP="00D91F68" w14:paraId="04002611" w14:textId="1689E71B">
            <w:pPr>
              <w:jc w:val="center"/>
              <w:rPr>
                <w:sz w:val="22"/>
                <w:szCs w:val="22"/>
              </w:rPr>
            </w:pPr>
            <w:r w:rsidRPr="5C516CCC">
              <w:rPr>
                <w:sz w:val="22"/>
                <w:szCs w:val="22"/>
              </w:rPr>
              <w:t>$9,880.80</w:t>
            </w:r>
          </w:p>
        </w:tc>
      </w:tr>
      <w:tr w14:paraId="1D0B66EF" w14:textId="77777777" w:rsidTr="5C516CCC">
        <w:tblPrEx>
          <w:tblW w:w="9800" w:type="dxa"/>
          <w:tblLayout w:type="fixed"/>
          <w:tblLook w:val="0680"/>
        </w:tblPrEx>
        <w:trPr>
          <w:trHeight w:val="945"/>
        </w:trPr>
        <w:tc>
          <w:tcPr>
            <w:tcW w:w="134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638B37EC" w:rsidRPr="000C647C" w:rsidP="5C516CCC" w14:paraId="76CC50AD" w14:textId="4D407305">
            <w:pPr>
              <w:jc w:val="center"/>
              <w:rPr>
                <w:sz w:val="22"/>
                <w:szCs w:val="22"/>
              </w:rPr>
            </w:pPr>
            <w:r w:rsidRPr="5C516CCC">
              <w:rPr>
                <w:color w:val="000000" w:themeColor="text1"/>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0C647C" w:rsidP="00D91F68" w14:paraId="3440CFD5" w14:textId="1E576140">
            <w:pPr>
              <w:jc w:val="center"/>
              <w:rPr>
                <w:sz w:val="22"/>
                <w:szCs w:val="22"/>
              </w:rPr>
            </w:pPr>
            <w:r w:rsidRPr="5C516CCC">
              <w:rPr>
                <w:sz w:val="22"/>
                <w:szCs w:val="22"/>
              </w:rPr>
              <w:t xml:space="preserve">Occupational Safety and Health Specialist </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0C647C" w:rsidP="00D91F68" w14:paraId="54E1B2AD" w14:textId="3049B49D">
            <w:pPr>
              <w:jc w:val="center"/>
              <w:rPr>
                <w:sz w:val="22"/>
                <w:szCs w:val="22"/>
              </w:rPr>
            </w:pPr>
            <w:r w:rsidRPr="5C516CCC">
              <w:rPr>
                <w:sz w:val="22"/>
                <w:szCs w:val="22"/>
              </w:rPr>
              <w:t>1,106</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0C647C" w:rsidP="00D91F68" w14:paraId="71886BCC" w14:textId="782D39D6">
            <w:pPr>
              <w:jc w:val="center"/>
              <w:rPr>
                <w:sz w:val="22"/>
                <w:szCs w:val="22"/>
              </w:rPr>
            </w:pPr>
            <w:r w:rsidRPr="5C516CCC">
              <w:rPr>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0C647C" w:rsidP="00D91F68" w14:paraId="2A49E3FD" w14:textId="2C20EE52">
            <w:pPr>
              <w:jc w:val="center"/>
              <w:rPr>
                <w:color w:val="000000" w:themeColor="text1"/>
                <w:sz w:val="22"/>
                <w:szCs w:val="22"/>
              </w:rPr>
            </w:pPr>
            <w:r w:rsidRPr="5C516CCC">
              <w:rPr>
                <w:color w:val="000000" w:themeColor="text1"/>
                <w:sz w:val="22"/>
                <w:szCs w:val="22"/>
              </w:rPr>
              <w:t>1,106</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23D8BD83" w:rsidRPr="000C647C" w:rsidP="00D91F68" w14:paraId="192EBA57" w14:textId="57A03D6F">
            <w:pPr>
              <w:jc w:val="center"/>
              <w:rPr>
                <w:sz w:val="22"/>
                <w:szCs w:val="22"/>
              </w:rPr>
            </w:pPr>
            <w:r w:rsidRPr="5C516CCC">
              <w:rPr>
                <w:sz w:val="22"/>
                <w:szCs w:val="22"/>
              </w:rPr>
              <w:t>3/60</w:t>
            </w:r>
          </w:p>
        </w:tc>
        <w:tc>
          <w:tcPr>
            <w:tcW w:w="81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0C647C" w:rsidP="00D91F68" w14:paraId="52FD99DE" w14:textId="519F584A">
            <w:pPr>
              <w:jc w:val="center"/>
              <w:rPr>
                <w:sz w:val="22"/>
                <w:szCs w:val="22"/>
              </w:rPr>
            </w:pPr>
            <w:r w:rsidRPr="5C516CCC">
              <w:rPr>
                <w:sz w:val="22"/>
                <w:szCs w:val="22"/>
              </w:rPr>
              <w:t>55</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0C647C" w:rsidP="00D91F68" w14:paraId="5EE2E36B" w14:textId="6499D688">
            <w:pPr>
              <w:jc w:val="center"/>
              <w:rPr>
                <w:sz w:val="22"/>
                <w:szCs w:val="22"/>
              </w:rPr>
            </w:pPr>
            <w:r w:rsidRPr="5C516CCC">
              <w:rPr>
                <w:sz w:val="22"/>
                <w:szCs w:val="22"/>
              </w:rPr>
              <w:t>$53.70</w:t>
            </w:r>
          </w:p>
        </w:tc>
        <w:tc>
          <w:tcPr>
            <w:tcW w:w="1350" w:type="dxa"/>
            <w:tcBorders>
              <w:top w:val="single" w:sz="4" w:space="0" w:color="auto"/>
              <w:left w:val="single" w:sz="4" w:space="0" w:color="auto"/>
              <w:bottom w:val="single" w:sz="4" w:space="0" w:color="auto"/>
              <w:right w:val="single" w:sz="8" w:space="0" w:color="auto"/>
            </w:tcBorders>
            <w:shd w:val="clear" w:color="auto" w:fill="B4C6E7"/>
            <w:tcMar>
              <w:top w:w="15" w:type="dxa"/>
              <w:left w:w="15" w:type="dxa"/>
              <w:right w:w="15" w:type="dxa"/>
            </w:tcMar>
            <w:vAlign w:val="center"/>
          </w:tcPr>
          <w:p w:rsidR="638B37EC" w:rsidRPr="000C647C" w:rsidP="00D91F68" w14:paraId="406B164D" w14:textId="26B9BA51">
            <w:pPr>
              <w:jc w:val="center"/>
              <w:rPr>
                <w:sz w:val="22"/>
                <w:szCs w:val="22"/>
              </w:rPr>
            </w:pPr>
            <w:r w:rsidRPr="5C516CCC">
              <w:rPr>
                <w:sz w:val="22"/>
                <w:szCs w:val="22"/>
              </w:rPr>
              <w:t>$2,953.50</w:t>
            </w:r>
          </w:p>
        </w:tc>
      </w:tr>
      <w:tr w14:paraId="495A5631" w14:textId="77777777" w:rsidTr="5C516CCC">
        <w:tblPrEx>
          <w:tblW w:w="9800" w:type="dxa"/>
          <w:tblLayout w:type="fixed"/>
          <w:tblLook w:val="0680"/>
        </w:tblPrEx>
        <w:trPr>
          <w:trHeight w:val="330"/>
        </w:trPr>
        <w:tc>
          <w:tcPr>
            <w:tcW w:w="1340" w:type="dxa"/>
            <w:tcBorders>
              <w:top w:val="single" w:sz="4"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1524FE" w:rsidP="5C516CCC" w14:paraId="4DD7BD98" w14:textId="649D6D74">
            <w:pPr>
              <w:jc w:val="center"/>
              <w:rPr>
                <w:b/>
                <w:bCs/>
                <w:color w:val="000000" w:themeColor="text1"/>
                <w:sz w:val="22"/>
                <w:szCs w:val="22"/>
              </w:rPr>
            </w:pPr>
            <w:r w:rsidRPr="5C516CCC">
              <w:rPr>
                <w:b/>
                <w:bCs/>
                <w:color w:val="000000" w:themeColor="text1"/>
                <w:sz w:val="22"/>
                <w:szCs w:val="22"/>
              </w:rPr>
              <w:t>Subtotal</w:t>
            </w:r>
          </w:p>
        </w:tc>
        <w:tc>
          <w:tcPr>
            <w:tcW w:w="126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1524FE" w:rsidP="00D91F68" w14:paraId="51B63214" w14:textId="2FC0BEDE">
            <w:pPr>
              <w:jc w:val="center"/>
              <w:rPr>
                <w:sz w:val="22"/>
                <w:szCs w:val="22"/>
              </w:rPr>
            </w:pPr>
            <w:r w:rsidRPr="5C516CCC">
              <w:rPr>
                <w:sz w:val="22"/>
                <w:szCs w:val="22"/>
              </w:rPr>
              <w:t xml:space="preserve"> ---</w:t>
            </w:r>
          </w:p>
        </w:tc>
        <w:tc>
          <w:tcPr>
            <w:tcW w:w="117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1524FE" w:rsidP="00D91F68" w14:paraId="55CFCCD0" w14:textId="0F2D9264">
            <w:pPr>
              <w:jc w:val="center"/>
              <w:rPr>
                <w:sz w:val="22"/>
                <w:szCs w:val="22"/>
              </w:rPr>
            </w:pPr>
            <w:r w:rsidRPr="5C516CCC">
              <w:rPr>
                <w:sz w:val="22"/>
                <w:szCs w:val="22"/>
              </w:rPr>
              <w:t xml:space="preserve"> ---</w:t>
            </w:r>
          </w:p>
        </w:tc>
        <w:tc>
          <w:tcPr>
            <w:tcW w:w="108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1524FE" w:rsidP="00D91F68" w14:paraId="7A309F98" w14:textId="257257D3">
            <w:pPr>
              <w:jc w:val="center"/>
              <w:rPr>
                <w:sz w:val="22"/>
                <w:szCs w:val="22"/>
              </w:rPr>
            </w:pPr>
            <w:r w:rsidRPr="5C516CCC">
              <w:rPr>
                <w:sz w:val="22"/>
                <w:szCs w:val="22"/>
              </w:rPr>
              <w:t xml:space="preserve"> ---</w:t>
            </w:r>
          </w:p>
        </w:tc>
        <w:tc>
          <w:tcPr>
            <w:tcW w:w="99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1524FE" w:rsidP="00D91F68" w14:paraId="722FE40A" w14:textId="5795EE21">
            <w:pPr>
              <w:jc w:val="center"/>
              <w:rPr>
                <w:color w:val="000000" w:themeColor="text1"/>
                <w:sz w:val="22"/>
                <w:szCs w:val="22"/>
              </w:rPr>
            </w:pPr>
            <w:r w:rsidRPr="5C516CCC">
              <w:rPr>
                <w:color w:val="000000" w:themeColor="text1"/>
                <w:sz w:val="22"/>
                <w:szCs w:val="22"/>
              </w:rPr>
              <w:t>12,166</w:t>
            </w:r>
          </w:p>
        </w:tc>
        <w:tc>
          <w:tcPr>
            <w:tcW w:w="108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1524FE" w:rsidP="00D91F68" w14:paraId="24EBCCBD" w14:textId="4460CA4A">
            <w:pPr>
              <w:jc w:val="center"/>
              <w:rPr>
                <w:sz w:val="22"/>
                <w:szCs w:val="22"/>
              </w:rPr>
            </w:pPr>
            <w:r w:rsidRPr="5C516CCC">
              <w:rPr>
                <w:sz w:val="22"/>
                <w:szCs w:val="22"/>
              </w:rPr>
              <w:t xml:space="preserve"> ---</w:t>
            </w:r>
          </w:p>
        </w:tc>
        <w:tc>
          <w:tcPr>
            <w:tcW w:w="81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1524FE" w:rsidP="00D91F68" w14:paraId="2718FD8E" w14:textId="103ACD9E">
            <w:pPr>
              <w:jc w:val="center"/>
              <w:rPr>
                <w:sz w:val="22"/>
                <w:szCs w:val="22"/>
              </w:rPr>
            </w:pPr>
            <w:r w:rsidRPr="5C516CCC">
              <w:rPr>
                <w:sz w:val="22"/>
                <w:szCs w:val="22"/>
              </w:rPr>
              <w:t>239</w:t>
            </w:r>
          </w:p>
        </w:tc>
        <w:tc>
          <w:tcPr>
            <w:tcW w:w="72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1524FE" w:rsidP="00D91F68" w14:paraId="2D39DB69" w14:textId="0545A460">
            <w:pPr>
              <w:jc w:val="center"/>
              <w:rPr>
                <w:sz w:val="22"/>
                <w:szCs w:val="22"/>
              </w:rPr>
            </w:pPr>
            <w:r w:rsidRPr="5C516CCC">
              <w:rPr>
                <w:sz w:val="22"/>
                <w:szCs w:val="22"/>
              </w:rPr>
              <w:t xml:space="preserve"> ---</w:t>
            </w:r>
          </w:p>
        </w:tc>
        <w:tc>
          <w:tcPr>
            <w:tcW w:w="1350" w:type="dxa"/>
            <w:tcBorders>
              <w:top w:val="single" w:sz="4" w:space="0" w:color="auto"/>
              <w:left w:val="single" w:sz="4"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rsidR="638B37EC" w:rsidRPr="001524FE" w:rsidP="00D91F68" w14:paraId="7A106D64" w14:textId="52BA0693">
            <w:pPr>
              <w:jc w:val="center"/>
              <w:rPr>
                <w:sz w:val="22"/>
                <w:szCs w:val="22"/>
              </w:rPr>
            </w:pPr>
            <w:r w:rsidRPr="5C516CCC">
              <w:rPr>
                <w:sz w:val="22"/>
                <w:szCs w:val="22"/>
              </w:rPr>
              <w:t>$12,834.30</w:t>
            </w:r>
          </w:p>
        </w:tc>
      </w:tr>
      <w:tr w14:paraId="3B501BDE" w14:textId="77777777" w:rsidTr="5C516CCC">
        <w:tblPrEx>
          <w:tblW w:w="9800" w:type="dxa"/>
          <w:tblLayout w:type="fixed"/>
          <w:tblLook w:val="0680"/>
        </w:tblPrEx>
        <w:trPr>
          <w:trHeight w:val="945"/>
        </w:trPr>
        <w:tc>
          <w:tcPr>
            <w:tcW w:w="1340"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center"/>
          </w:tcPr>
          <w:p w:rsidR="638B37EC" w:rsidRPr="001524FE" w:rsidP="5C516CCC" w14:paraId="7C542FFB" w14:textId="339CE789">
            <w:pPr>
              <w:rPr>
                <w:sz w:val="22"/>
                <w:szCs w:val="22"/>
              </w:rPr>
            </w:pPr>
            <w:r w:rsidRPr="5C516CCC">
              <w:rPr>
                <w:color w:val="000000" w:themeColor="text1"/>
                <w:sz w:val="22"/>
                <w:szCs w:val="22"/>
              </w:rPr>
              <w:t xml:space="preserve">5) Certificate of refresher training </w:t>
            </w:r>
          </w:p>
        </w:tc>
        <w:tc>
          <w:tcPr>
            <w:tcW w:w="126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1524FE" w:rsidP="00D91F68" w14:paraId="4AB8B05F" w14:textId="2E088693">
            <w:pPr>
              <w:jc w:val="center"/>
              <w:rPr>
                <w:sz w:val="22"/>
                <w:szCs w:val="22"/>
              </w:rPr>
            </w:pPr>
            <w:r w:rsidRPr="5C516CCC">
              <w:rPr>
                <w:sz w:val="22"/>
                <w:szCs w:val="22"/>
              </w:rPr>
              <w:t xml:space="preserve">Occupational Safety and Health Specialist </w:t>
            </w:r>
          </w:p>
        </w:tc>
        <w:tc>
          <w:tcPr>
            <w:tcW w:w="117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6E06E0" w:rsidP="00D91F68" w14:paraId="7F5DDD2F" w14:textId="5DBA1F3E">
            <w:pPr>
              <w:jc w:val="center"/>
              <w:rPr>
                <w:sz w:val="22"/>
                <w:szCs w:val="22"/>
              </w:rPr>
            </w:pPr>
            <w:r w:rsidRPr="5C516CCC">
              <w:rPr>
                <w:sz w:val="22"/>
                <w:szCs w:val="22"/>
              </w:rPr>
              <w:t>11,060</w:t>
            </w:r>
          </w:p>
        </w:tc>
        <w:tc>
          <w:tcPr>
            <w:tcW w:w="108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6E06E0" w:rsidP="00D91F68" w14:paraId="52DC0FE1" w14:textId="023E4C01">
            <w:pPr>
              <w:jc w:val="center"/>
              <w:rPr>
                <w:sz w:val="22"/>
                <w:szCs w:val="22"/>
              </w:rPr>
            </w:pPr>
            <w:r w:rsidRPr="5C516CCC">
              <w:rPr>
                <w:sz w:val="22"/>
                <w:szCs w:val="22"/>
              </w:rPr>
              <w:t>1</w:t>
            </w:r>
          </w:p>
        </w:tc>
        <w:tc>
          <w:tcPr>
            <w:tcW w:w="990" w:type="dxa"/>
            <w:tcBorders>
              <w:top w:val="single" w:sz="8"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6E06E0" w:rsidP="00D91F68" w14:paraId="1A32E9C4" w14:textId="4197C58D">
            <w:pPr>
              <w:jc w:val="center"/>
              <w:rPr>
                <w:color w:val="000000" w:themeColor="text1"/>
                <w:sz w:val="22"/>
                <w:szCs w:val="22"/>
              </w:rPr>
            </w:pPr>
            <w:r w:rsidRPr="5C516CCC">
              <w:rPr>
                <w:color w:val="000000" w:themeColor="text1"/>
                <w:sz w:val="22"/>
                <w:szCs w:val="22"/>
              </w:rPr>
              <w:t>11,060</w:t>
            </w:r>
          </w:p>
        </w:tc>
        <w:tc>
          <w:tcPr>
            <w:tcW w:w="108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B98BFB0" w:rsidRPr="006E06E0" w:rsidP="00D91F68" w14:paraId="2CB218DD" w14:textId="591B8A32">
            <w:pPr>
              <w:jc w:val="center"/>
              <w:rPr>
                <w:sz w:val="22"/>
                <w:szCs w:val="22"/>
              </w:rPr>
            </w:pPr>
            <w:r w:rsidRPr="5C516CCC">
              <w:rPr>
                <w:sz w:val="22"/>
                <w:szCs w:val="22"/>
              </w:rPr>
              <w:t>1/60</w:t>
            </w:r>
          </w:p>
        </w:tc>
        <w:tc>
          <w:tcPr>
            <w:tcW w:w="810" w:type="dxa"/>
            <w:tcBorders>
              <w:top w:val="single" w:sz="8"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6E06E0" w:rsidP="00D91F68" w14:paraId="4B35DFCC" w14:textId="28D42C5B">
            <w:pPr>
              <w:jc w:val="center"/>
              <w:rPr>
                <w:sz w:val="22"/>
                <w:szCs w:val="22"/>
              </w:rPr>
            </w:pPr>
            <w:r w:rsidRPr="5C516CCC">
              <w:rPr>
                <w:sz w:val="22"/>
                <w:szCs w:val="22"/>
              </w:rPr>
              <w:t>184</w:t>
            </w:r>
          </w:p>
        </w:tc>
        <w:tc>
          <w:tcPr>
            <w:tcW w:w="72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6E06E0" w:rsidP="00D91F68" w14:paraId="566B6DAE" w14:textId="167B1839">
            <w:pPr>
              <w:jc w:val="center"/>
              <w:rPr>
                <w:sz w:val="22"/>
                <w:szCs w:val="22"/>
              </w:rPr>
            </w:pPr>
            <w:r w:rsidRPr="5C516CCC">
              <w:rPr>
                <w:sz w:val="22"/>
                <w:szCs w:val="22"/>
              </w:rPr>
              <w:t>$53.70</w:t>
            </w:r>
          </w:p>
        </w:tc>
        <w:tc>
          <w:tcPr>
            <w:tcW w:w="1350" w:type="dxa"/>
            <w:tcBorders>
              <w:top w:val="single" w:sz="8" w:space="0" w:color="auto"/>
              <w:left w:val="single" w:sz="4" w:space="0" w:color="auto"/>
              <w:bottom w:val="single" w:sz="4" w:space="0" w:color="auto"/>
              <w:right w:val="single" w:sz="8" w:space="0" w:color="auto"/>
            </w:tcBorders>
            <w:shd w:val="clear" w:color="auto" w:fill="B4C6E7"/>
            <w:tcMar>
              <w:top w:w="15" w:type="dxa"/>
              <w:left w:w="15" w:type="dxa"/>
              <w:right w:w="15" w:type="dxa"/>
            </w:tcMar>
            <w:vAlign w:val="center"/>
          </w:tcPr>
          <w:p w:rsidR="638B37EC" w:rsidRPr="006E06E0" w:rsidP="00D91F68" w14:paraId="6BE62B6D" w14:textId="6B065DF4">
            <w:pPr>
              <w:jc w:val="center"/>
              <w:rPr>
                <w:sz w:val="22"/>
                <w:szCs w:val="22"/>
              </w:rPr>
            </w:pPr>
            <w:r w:rsidRPr="5C516CCC">
              <w:rPr>
                <w:sz w:val="22"/>
                <w:szCs w:val="22"/>
              </w:rPr>
              <w:t>$9,880.80</w:t>
            </w:r>
          </w:p>
        </w:tc>
      </w:tr>
      <w:tr w14:paraId="28E0E4B6" w14:textId="77777777" w:rsidTr="5C516CCC">
        <w:tblPrEx>
          <w:tblW w:w="9800" w:type="dxa"/>
          <w:tblLayout w:type="fixed"/>
          <w:tblLook w:val="0680"/>
        </w:tblPrEx>
        <w:trPr>
          <w:trHeight w:val="945"/>
        </w:trPr>
        <w:tc>
          <w:tcPr>
            <w:tcW w:w="134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638B37EC" w:rsidRPr="001524FE" w:rsidP="5C516CCC" w14:paraId="69A3C8D4" w14:textId="52AF8B1D">
            <w:pPr>
              <w:jc w:val="center"/>
              <w:rPr>
                <w:sz w:val="22"/>
                <w:szCs w:val="22"/>
              </w:rPr>
            </w:pPr>
            <w:r w:rsidRPr="5C516CCC">
              <w:rPr>
                <w:color w:val="000000" w:themeColor="text1"/>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1524FE" w:rsidP="00D91F68" w14:paraId="256C4C88" w14:textId="7A1AB280">
            <w:pPr>
              <w:jc w:val="center"/>
              <w:rPr>
                <w:sz w:val="22"/>
                <w:szCs w:val="22"/>
              </w:rPr>
            </w:pPr>
            <w:r w:rsidRPr="5C516CCC">
              <w:rPr>
                <w:sz w:val="22"/>
                <w:szCs w:val="22"/>
              </w:rPr>
              <w:t xml:space="preserve">Occupational Safety and Health Specialist </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6E06E0" w:rsidP="00D91F68" w14:paraId="1270B92B" w14:textId="31F2B26D">
            <w:pPr>
              <w:jc w:val="center"/>
              <w:rPr>
                <w:sz w:val="22"/>
                <w:szCs w:val="22"/>
              </w:rPr>
            </w:pPr>
            <w:r w:rsidRPr="5C516CCC">
              <w:rPr>
                <w:sz w:val="22"/>
                <w:szCs w:val="22"/>
              </w:rPr>
              <w:t>1,106</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6E06E0" w:rsidP="00D91F68" w14:paraId="22282B59" w14:textId="1AEC2210">
            <w:pPr>
              <w:jc w:val="center"/>
              <w:rPr>
                <w:sz w:val="22"/>
                <w:szCs w:val="22"/>
              </w:rPr>
            </w:pPr>
            <w:r w:rsidRPr="5C516CCC">
              <w:rPr>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6E06E0" w:rsidP="00D91F68" w14:paraId="1FF846CB" w14:textId="3DD2E029">
            <w:pPr>
              <w:jc w:val="center"/>
              <w:rPr>
                <w:color w:val="000000" w:themeColor="text1"/>
                <w:sz w:val="22"/>
                <w:szCs w:val="22"/>
              </w:rPr>
            </w:pPr>
            <w:r w:rsidRPr="5C516CCC">
              <w:rPr>
                <w:color w:val="000000" w:themeColor="text1"/>
                <w:sz w:val="22"/>
                <w:szCs w:val="22"/>
              </w:rPr>
              <w:t>1,106</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4E31843D" w:rsidRPr="006E06E0" w:rsidP="00D91F68" w14:paraId="5BAB79B4" w14:textId="5BFD1CF2">
            <w:pPr>
              <w:spacing w:after="200" w:line="276" w:lineRule="auto"/>
              <w:jc w:val="center"/>
              <w:rPr>
                <w:sz w:val="22"/>
                <w:szCs w:val="22"/>
              </w:rPr>
            </w:pPr>
            <w:r w:rsidRPr="5C516CCC">
              <w:rPr>
                <w:sz w:val="22"/>
                <w:szCs w:val="22"/>
              </w:rPr>
              <w:t>3/60</w:t>
            </w:r>
          </w:p>
        </w:tc>
        <w:tc>
          <w:tcPr>
            <w:tcW w:w="81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6E06E0" w:rsidP="00D91F68" w14:paraId="0E5BDD74" w14:textId="14225DCD">
            <w:pPr>
              <w:jc w:val="center"/>
              <w:rPr>
                <w:sz w:val="22"/>
                <w:szCs w:val="22"/>
              </w:rPr>
            </w:pPr>
            <w:r w:rsidRPr="5C516CCC">
              <w:rPr>
                <w:sz w:val="22"/>
                <w:szCs w:val="22"/>
              </w:rPr>
              <w:t>55</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6E06E0" w:rsidP="00D91F68" w14:paraId="6F011792" w14:textId="26449265">
            <w:pPr>
              <w:jc w:val="center"/>
              <w:rPr>
                <w:sz w:val="22"/>
                <w:szCs w:val="22"/>
              </w:rPr>
            </w:pPr>
            <w:r w:rsidRPr="5C516CCC">
              <w:rPr>
                <w:sz w:val="22"/>
                <w:szCs w:val="22"/>
              </w:rPr>
              <w:t>$53.70</w:t>
            </w:r>
          </w:p>
        </w:tc>
        <w:tc>
          <w:tcPr>
            <w:tcW w:w="1350" w:type="dxa"/>
            <w:tcBorders>
              <w:top w:val="single" w:sz="4" w:space="0" w:color="auto"/>
              <w:left w:val="single" w:sz="4" w:space="0" w:color="auto"/>
              <w:bottom w:val="single" w:sz="4" w:space="0" w:color="auto"/>
              <w:right w:val="single" w:sz="8" w:space="0" w:color="auto"/>
            </w:tcBorders>
            <w:shd w:val="clear" w:color="auto" w:fill="B4C6E7"/>
            <w:tcMar>
              <w:top w:w="15" w:type="dxa"/>
              <w:left w:w="15" w:type="dxa"/>
              <w:right w:w="15" w:type="dxa"/>
            </w:tcMar>
            <w:vAlign w:val="center"/>
          </w:tcPr>
          <w:p w:rsidR="638B37EC" w:rsidRPr="006E06E0" w:rsidP="00D91F68" w14:paraId="68D69E37" w14:textId="2B09E69B">
            <w:pPr>
              <w:jc w:val="center"/>
              <w:rPr>
                <w:sz w:val="22"/>
                <w:szCs w:val="22"/>
              </w:rPr>
            </w:pPr>
            <w:r w:rsidRPr="5C516CCC">
              <w:rPr>
                <w:sz w:val="22"/>
                <w:szCs w:val="22"/>
              </w:rPr>
              <w:t>$2,953.50</w:t>
            </w:r>
          </w:p>
        </w:tc>
      </w:tr>
      <w:tr w14:paraId="0390F521" w14:textId="77777777" w:rsidTr="5C516CCC">
        <w:tblPrEx>
          <w:tblW w:w="9800" w:type="dxa"/>
          <w:tblLayout w:type="fixed"/>
          <w:tblLook w:val="0680"/>
        </w:tblPrEx>
        <w:trPr>
          <w:trHeight w:val="330"/>
        </w:trPr>
        <w:tc>
          <w:tcPr>
            <w:tcW w:w="1340" w:type="dxa"/>
            <w:tcBorders>
              <w:top w:val="single" w:sz="4"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6E06E0" w14:paraId="68D1FC76" w14:textId="5016A110">
            <w:pPr>
              <w:jc w:val="center"/>
              <w:rPr>
                <w:b/>
                <w:bCs/>
                <w:color w:val="000000" w:themeColor="text1"/>
                <w:sz w:val="24"/>
                <w:szCs w:val="24"/>
              </w:rPr>
            </w:pPr>
            <w:r w:rsidRPr="5C516CCC">
              <w:rPr>
                <w:b/>
                <w:bCs/>
                <w:color w:val="000000" w:themeColor="text1"/>
                <w:sz w:val="22"/>
                <w:szCs w:val="22"/>
              </w:rPr>
              <w:t>Subtotal</w:t>
            </w:r>
          </w:p>
        </w:tc>
        <w:tc>
          <w:tcPr>
            <w:tcW w:w="126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25CDACEC" w14:textId="6605823C">
            <w:pPr>
              <w:jc w:val="center"/>
              <w:rPr>
                <w:sz w:val="24"/>
                <w:szCs w:val="24"/>
              </w:rPr>
            </w:pPr>
            <w:r w:rsidRPr="5C516CCC">
              <w:rPr>
                <w:sz w:val="24"/>
                <w:szCs w:val="24"/>
              </w:rPr>
              <w:t xml:space="preserve"> ---</w:t>
            </w:r>
          </w:p>
        </w:tc>
        <w:tc>
          <w:tcPr>
            <w:tcW w:w="117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70D12323" w14:textId="540C918F">
            <w:pPr>
              <w:jc w:val="center"/>
              <w:rPr>
                <w:sz w:val="24"/>
                <w:szCs w:val="24"/>
              </w:rPr>
            </w:pPr>
            <w:r w:rsidRPr="5C516CCC">
              <w:rPr>
                <w:sz w:val="24"/>
                <w:szCs w:val="24"/>
              </w:rPr>
              <w:t xml:space="preserve"> ---</w:t>
            </w:r>
          </w:p>
        </w:tc>
        <w:tc>
          <w:tcPr>
            <w:tcW w:w="108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45A098A7" w14:textId="726F96C2">
            <w:pPr>
              <w:jc w:val="center"/>
              <w:rPr>
                <w:sz w:val="24"/>
                <w:szCs w:val="24"/>
              </w:rPr>
            </w:pPr>
            <w:r w:rsidRPr="5C516CCC">
              <w:rPr>
                <w:sz w:val="24"/>
                <w:szCs w:val="24"/>
              </w:rPr>
              <w:t xml:space="preserve"> ---</w:t>
            </w:r>
          </w:p>
        </w:tc>
        <w:tc>
          <w:tcPr>
            <w:tcW w:w="99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6E06E0" w:rsidP="00D91F68" w14:paraId="5375DD09" w14:textId="2C8D0FED">
            <w:pPr>
              <w:jc w:val="center"/>
              <w:rPr>
                <w:color w:val="000000" w:themeColor="text1"/>
                <w:sz w:val="22"/>
                <w:szCs w:val="22"/>
              </w:rPr>
            </w:pPr>
            <w:r w:rsidRPr="5C516CCC">
              <w:rPr>
                <w:color w:val="000000" w:themeColor="text1"/>
                <w:sz w:val="22"/>
                <w:szCs w:val="22"/>
              </w:rPr>
              <w:t>12,166</w:t>
            </w:r>
          </w:p>
        </w:tc>
        <w:tc>
          <w:tcPr>
            <w:tcW w:w="108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6E06E0" w:rsidP="00D91F68" w14:paraId="494FEEF8" w14:textId="318559E0">
            <w:pPr>
              <w:jc w:val="center"/>
              <w:rPr>
                <w:sz w:val="22"/>
                <w:szCs w:val="22"/>
              </w:rPr>
            </w:pPr>
            <w:r w:rsidRPr="5C516CCC">
              <w:rPr>
                <w:sz w:val="22"/>
                <w:szCs w:val="22"/>
              </w:rPr>
              <w:t xml:space="preserve"> ---</w:t>
            </w:r>
          </w:p>
        </w:tc>
        <w:tc>
          <w:tcPr>
            <w:tcW w:w="81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6E06E0" w:rsidP="00D91F68" w14:paraId="774CB8B7" w14:textId="7BD38980">
            <w:pPr>
              <w:jc w:val="center"/>
              <w:rPr>
                <w:sz w:val="22"/>
                <w:szCs w:val="22"/>
              </w:rPr>
            </w:pPr>
            <w:r w:rsidRPr="5C516CCC">
              <w:rPr>
                <w:sz w:val="22"/>
                <w:szCs w:val="22"/>
              </w:rPr>
              <w:t>239</w:t>
            </w:r>
          </w:p>
        </w:tc>
        <w:tc>
          <w:tcPr>
            <w:tcW w:w="72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6E06E0" w:rsidP="00D91F68" w14:paraId="718C3566" w14:textId="048E10FD">
            <w:pPr>
              <w:jc w:val="center"/>
              <w:rPr>
                <w:sz w:val="22"/>
                <w:szCs w:val="22"/>
              </w:rPr>
            </w:pPr>
            <w:r w:rsidRPr="5C516CCC">
              <w:rPr>
                <w:sz w:val="22"/>
                <w:szCs w:val="22"/>
              </w:rPr>
              <w:t xml:space="preserve"> ---</w:t>
            </w:r>
          </w:p>
        </w:tc>
        <w:tc>
          <w:tcPr>
            <w:tcW w:w="1350" w:type="dxa"/>
            <w:tcBorders>
              <w:top w:val="single" w:sz="4" w:space="0" w:color="auto"/>
              <w:left w:val="single" w:sz="4"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rsidR="638B37EC" w:rsidRPr="006E06E0" w:rsidP="00D91F68" w14:paraId="3F14500B" w14:textId="173B12F5">
            <w:pPr>
              <w:jc w:val="center"/>
              <w:rPr>
                <w:sz w:val="22"/>
                <w:szCs w:val="22"/>
              </w:rPr>
            </w:pPr>
            <w:r w:rsidRPr="5C516CCC">
              <w:rPr>
                <w:sz w:val="22"/>
                <w:szCs w:val="22"/>
              </w:rPr>
              <w:t>$12,834.30</w:t>
            </w:r>
          </w:p>
        </w:tc>
      </w:tr>
      <w:tr w14:paraId="25D2221D" w14:textId="77777777" w:rsidTr="5C516CCC">
        <w:tblPrEx>
          <w:tblW w:w="9800" w:type="dxa"/>
          <w:tblLayout w:type="fixed"/>
          <w:tblLook w:val="0680"/>
        </w:tblPrEx>
        <w:trPr>
          <w:trHeight w:val="960"/>
        </w:trPr>
        <w:tc>
          <w:tcPr>
            <w:tcW w:w="1340" w:type="dxa"/>
            <w:tcBorders>
              <w:top w:val="single" w:sz="8" w:space="0" w:color="auto"/>
              <w:left w:val="single" w:sz="8" w:space="0" w:color="auto"/>
              <w:bottom w:val="single" w:sz="8" w:space="0" w:color="auto"/>
              <w:right w:val="single" w:sz="4" w:space="0" w:color="auto"/>
            </w:tcBorders>
            <w:tcMar>
              <w:top w:w="15" w:type="dxa"/>
              <w:left w:w="15" w:type="dxa"/>
              <w:right w:w="15" w:type="dxa"/>
            </w:tcMar>
            <w:vAlign w:val="center"/>
          </w:tcPr>
          <w:p w:rsidR="638B37EC" w:rsidRPr="006E06E0" w:rsidP="5C516CCC" w14:paraId="0603E1DA" w14:textId="2F91F0FB">
            <w:pPr>
              <w:rPr>
                <w:sz w:val="22"/>
                <w:szCs w:val="22"/>
              </w:rPr>
            </w:pPr>
            <w:r w:rsidRPr="5C516CCC">
              <w:rPr>
                <w:color w:val="000000" w:themeColor="text1"/>
                <w:sz w:val="22"/>
                <w:szCs w:val="22"/>
              </w:rPr>
              <w:t xml:space="preserve">6) Medical Exam freq. </w:t>
            </w:r>
          </w:p>
        </w:tc>
        <w:tc>
          <w:tcPr>
            <w:tcW w:w="126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6E06E0" w:rsidP="00D91F68" w14:paraId="338A2143" w14:textId="3DAD83DF">
            <w:pPr>
              <w:jc w:val="center"/>
              <w:rPr>
                <w:sz w:val="22"/>
                <w:szCs w:val="22"/>
              </w:rPr>
            </w:pPr>
            <w:r w:rsidRPr="5C516CCC">
              <w:rPr>
                <w:sz w:val="22"/>
                <w:szCs w:val="22"/>
              </w:rPr>
              <w:t xml:space="preserve">Occupational Safety and Health Specialist </w:t>
            </w:r>
          </w:p>
        </w:tc>
        <w:tc>
          <w:tcPr>
            <w:tcW w:w="117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6E06E0" w:rsidP="00D91F68" w14:paraId="433D3806" w14:textId="05E74A18">
            <w:pPr>
              <w:jc w:val="center"/>
              <w:rPr>
                <w:sz w:val="22"/>
                <w:szCs w:val="22"/>
              </w:rPr>
            </w:pPr>
            <w:r w:rsidRPr="5C516CCC">
              <w:rPr>
                <w:sz w:val="22"/>
                <w:szCs w:val="22"/>
              </w:rPr>
              <w:t>2,765</w:t>
            </w:r>
          </w:p>
        </w:tc>
        <w:tc>
          <w:tcPr>
            <w:tcW w:w="108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6E06E0" w:rsidP="00D91F68" w14:paraId="38AC1C04" w14:textId="3FCCB9EA">
            <w:pPr>
              <w:jc w:val="center"/>
              <w:rPr>
                <w:sz w:val="22"/>
                <w:szCs w:val="22"/>
              </w:rPr>
            </w:pPr>
            <w:r w:rsidRPr="5C516CCC">
              <w:rPr>
                <w:sz w:val="22"/>
                <w:szCs w:val="22"/>
              </w:rPr>
              <w:t>1</w:t>
            </w:r>
          </w:p>
        </w:tc>
        <w:tc>
          <w:tcPr>
            <w:tcW w:w="990" w:type="dxa"/>
            <w:tcBorders>
              <w:top w:val="single" w:sz="8" w:space="0" w:color="auto"/>
              <w:left w:val="single" w:sz="4" w:space="0" w:color="auto"/>
              <w:bottom w:val="single" w:sz="8" w:space="0" w:color="auto"/>
              <w:right w:val="single" w:sz="4" w:space="0" w:color="auto"/>
            </w:tcBorders>
            <w:shd w:val="clear" w:color="auto" w:fill="B4C6E7"/>
            <w:tcMar>
              <w:top w:w="15" w:type="dxa"/>
              <w:left w:w="15" w:type="dxa"/>
              <w:right w:w="15" w:type="dxa"/>
            </w:tcMar>
            <w:vAlign w:val="center"/>
          </w:tcPr>
          <w:p w:rsidR="638B37EC" w:rsidRPr="006E06E0" w:rsidP="00D91F68" w14:paraId="694B49AE" w14:textId="308BF702">
            <w:pPr>
              <w:jc w:val="center"/>
              <w:rPr>
                <w:color w:val="000000" w:themeColor="text1"/>
                <w:sz w:val="22"/>
                <w:szCs w:val="22"/>
              </w:rPr>
            </w:pPr>
            <w:r w:rsidRPr="5C516CCC">
              <w:rPr>
                <w:color w:val="000000" w:themeColor="text1"/>
                <w:sz w:val="22"/>
                <w:szCs w:val="22"/>
              </w:rPr>
              <w:t>2,765</w:t>
            </w:r>
          </w:p>
        </w:tc>
        <w:tc>
          <w:tcPr>
            <w:tcW w:w="108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6E06E0" w:rsidP="00D91F68" w14:paraId="176BFC64" w14:textId="0B2DC1F1">
            <w:pPr>
              <w:jc w:val="center"/>
              <w:rPr>
                <w:sz w:val="22"/>
                <w:szCs w:val="22"/>
              </w:rPr>
            </w:pPr>
            <w:r w:rsidRPr="5C516CCC">
              <w:rPr>
                <w:sz w:val="22"/>
                <w:szCs w:val="22"/>
              </w:rPr>
              <w:t>1</w:t>
            </w:r>
            <w:r w:rsidRPr="5C516CCC" w:rsidR="1FA67F6C">
              <w:rPr>
                <w:sz w:val="22"/>
                <w:szCs w:val="22"/>
              </w:rPr>
              <w:t>05/60</w:t>
            </w:r>
          </w:p>
        </w:tc>
        <w:tc>
          <w:tcPr>
            <w:tcW w:w="810" w:type="dxa"/>
            <w:tcBorders>
              <w:top w:val="single" w:sz="8" w:space="0" w:color="auto"/>
              <w:left w:val="single" w:sz="4" w:space="0" w:color="auto"/>
              <w:bottom w:val="single" w:sz="8" w:space="0" w:color="auto"/>
              <w:right w:val="single" w:sz="4" w:space="0" w:color="auto"/>
            </w:tcBorders>
            <w:shd w:val="clear" w:color="auto" w:fill="B4C6E7"/>
            <w:tcMar>
              <w:top w:w="15" w:type="dxa"/>
              <w:left w:w="15" w:type="dxa"/>
              <w:right w:w="15" w:type="dxa"/>
            </w:tcMar>
            <w:vAlign w:val="center"/>
          </w:tcPr>
          <w:p w:rsidR="638B37EC" w:rsidRPr="006E06E0" w:rsidP="00D91F68" w14:paraId="388B979A" w14:textId="02A337A3">
            <w:pPr>
              <w:jc w:val="center"/>
              <w:rPr>
                <w:sz w:val="22"/>
                <w:szCs w:val="22"/>
              </w:rPr>
            </w:pPr>
            <w:r w:rsidRPr="5C516CCC">
              <w:rPr>
                <w:sz w:val="22"/>
                <w:szCs w:val="22"/>
              </w:rPr>
              <w:t>4,839</w:t>
            </w:r>
          </w:p>
        </w:tc>
        <w:tc>
          <w:tcPr>
            <w:tcW w:w="72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6E06E0" w:rsidP="00D91F68" w14:paraId="7C615153" w14:textId="25EC0170">
            <w:pPr>
              <w:jc w:val="center"/>
              <w:rPr>
                <w:sz w:val="22"/>
                <w:szCs w:val="22"/>
              </w:rPr>
            </w:pPr>
            <w:r w:rsidRPr="5C516CCC">
              <w:rPr>
                <w:sz w:val="22"/>
                <w:szCs w:val="22"/>
              </w:rPr>
              <w:t>$53.70</w:t>
            </w:r>
          </w:p>
        </w:tc>
        <w:tc>
          <w:tcPr>
            <w:tcW w:w="1350" w:type="dxa"/>
            <w:tcBorders>
              <w:top w:val="single" w:sz="8" w:space="0" w:color="auto"/>
              <w:left w:val="single" w:sz="4" w:space="0" w:color="auto"/>
              <w:bottom w:val="single" w:sz="8" w:space="0" w:color="auto"/>
              <w:right w:val="single" w:sz="8" w:space="0" w:color="auto"/>
            </w:tcBorders>
            <w:shd w:val="clear" w:color="auto" w:fill="B4C6E7"/>
            <w:tcMar>
              <w:top w:w="15" w:type="dxa"/>
              <w:left w:w="15" w:type="dxa"/>
              <w:right w:w="15" w:type="dxa"/>
            </w:tcMar>
            <w:vAlign w:val="center"/>
          </w:tcPr>
          <w:p w:rsidR="638B37EC" w:rsidRPr="006E06E0" w:rsidP="00D91F68" w14:paraId="1DACE1B4" w14:textId="661A4399">
            <w:pPr>
              <w:jc w:val="center"/>
              <w:rPr>
                <w:sz w:val="22"/>
                <w:szCs w:val="22"/>
              </w:rPr>
            </w:pPr>
            <w:r w:rsidRPr="5C516CCC">
              <w:rPr>
                <w:sz w:val="22"/>
                <w:szCs w:val="22"/>
              </w:rPr>
              <w:t>$259,854.30</w:t>
            </w:r>
          </w:p>
        </w:tc>
      </w:tr>
      <w:tr w14:paraId="7BB740BB" w14:textId="77777777" w:rsidTr="5C516CCC">
        <w:tblPrEx>
          <w:tblW w:w="9800" w:type="dxa"/>
          <w:tblLayout w:type="fixed"/>
          <w:tblLook w:val="0680"/>
        </w:tblPrEx>
        <w:trPr>
          <w:trHeight w:val="105"/>
        </w:trPr>
        <w:tc>
          <w:tcPr>
            <w:tcW w:w="1340"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6E06E0" w:rsidP="5C516CCC" w14:paraId="7E9138FE" w14:textId="7BF78AAE">
            <w:pPr>
              <w:rPr>
                <w:sz w:val="22"/>
                <w:szCs w:val="22"/>
              </w:rPr>
            </w:pPr>
            <w:r w:rsidRPr="5C516CCC">
              <w:rPr>
                <w:color w:val="000000" w:themeColor="text1"/>
                <w:sz w:val="22"/>
                <w:szCs w:val="22"/>
              </w:rPr>
              <w:t xml:space="preserve"> </w:t>
            </w:r>
          </w:p>
        </w:tc>
        <w:tc>
          <w:tcPr>
            <w:tcW w:w="126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6E06E0" w:rsidP="00D91F68" w14:paraId="00685EA3" w14:textId="28BDC068">
            <w:pPr>
              <w:jc w:val="center"/>
              <w:rPr>
                <w:sz w:val="22"/>
                <w:szCs w:val="22"/>
              </w:rPr>
            </w:pPr>
            <w:r w:rsidRPr="5C516CCC">
              <w:rPr>
                <w:sz w:val="22"/>
                <w:szCs w:val="22"/>
              </w:rPr>
              <w:t xml:space="preserve"> </w:t>
            </w:r>
          </w:p>
        </w:tc>
        <w:tc>
          <w:tcPr>
            <w:tcW w:w="117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6E06E0" w:rsidP="00D91F68" w14:paraId="08F3D02A" w14:textId="68DDDE2E">
            <w:pPr>
              <w:jc w:val="center"/>
              <w:rPr>
                <w:sz w:val="22"/>
                <w:szCs w:val="22"/>
              </w:rPr>
            </w:pPr>
            <w:r w:rsidRPr="5C516CCC">
              <w:rPr>
                <w:sz w:val="22"/>
                <w:szCs w:val="22"/>
              </w:rPr>
              <w:t xml:space="preserve"> </w:t>
            </w:r>
          </w:p>
        </w:tc>
        <w:tc>
          <w:tcPr>
            <w:tcW w:w="10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6E06E0" w:rsidP="00D91F68" w14:paraId="138431CA" w14:textId="31383F8D">
            <w:pPr>
              <w:jc w:val="center"/>
              <w:rPr>
                <w:sz w:val="22"/>
                <w:szCs w:val="22"/>
              </w:rPr>
            </w:pPr>
            <w:r w:rsidRPr="5C516CCC">
              <w:rPr>
                <w:sz w:val="22"/>
                <w:szCs w:val="22"/>
              </w:rPr>
              <w:t xml:space="preserve"> </w:t>
            </w:r>
          </w:p>
        </w:tc>
        <w:tc>
          <w:tcPr>
            <w:tcW w:w="99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6E06E0" w:rsidP="00D91F68" w14:paraId="7E82A40A" w14:textId="64A6EB0F">
            <w:pPr>
              <w:jc w:val="center"/>
              <w:rPr>
                <w:color w:val="000000" w:themeColor="text1"/>
                <w:sz w:val="22"/>
                <w:szCs w:val="22"/>
              </w:rPr>
            </w:pPr>
            <w:r w:rsidRPr="5C516CCC">
              <w:rPr>
                <w:color w:val="000000" w:themeColor="text1"/>
                <w:sz w:val="22"/>
                <w:szCs w:val="22"/>
              </w:rPr>
              <w:t xml:space="preserve"> </w:t>
            </w:r>
          </w:p>
        </w:tc>
        <w:tc>
          <w:tcPr>
            <w:tcW w:w="10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6E06E0" w:rsidP="00D91F68" w14:paraId="24BB7AE7" w14:textId="71DF9046">
            <w:pPr>
              <w:jc w:val="center"/>
              <w:rPr>
                <w:sz w:val="22"/>
                <w:szCs w:val="22"/>
              </w:rPr>
            </w:pPr>
            <w:r w:rsidRPr="5C516CCC">
              <w:rPr>
                <w:sz w:val="22"/>
                <w:szCs w:val="22"/>
              </w:rPr>
              <w:t xml:space="preserve"> </w:t>
            </w:r>
          </w:p>
        </w:tc>
        <w:tc>
          <w:tcPr>
            <w:tcW w:w="81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6E06E0" w:rsidP="00D91F68" w14:paraId="3193072A" w14:textId="0AADD9B5">
            <w:pPr>
              <w:jc w:val="center"/>
              <w:rPr>
                <w:sz w:val="22"/>
                <w:szCs w:val="22"/>
              </w:rPr>
            </w:pPr>
            <w:r w:rsidRPr="5C516CCC">
              <w:rPr>
                <w:sz w:val="22"/>
                <w:szCs w:val="22"/>
              </w:rPr>
              <w:t xml:space="preserve"> </w:t>
            </w:r>
          </w:p>
        </w:tc>
        <w:tc>
          <w:tcPr>
            <w:tcW w:w="72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6E06E0" w:rsidP="00D91F68" w14:paraId="2A532FC7" w14:textId="4DCEB656">
            <w:pPr>
              <w:jc w:val="center"/>
              <w:rPr>
                <w:sz w:val="22"/>
                <w:szCs w:val="22"/>
              </w:rPr>
            </w:pPr>
            <w:r w:rsidRPr="5C516CCC">
              <w:rPr>
                <w:sz w:val="22"/>
                <w:szCs w:val="22"/>
              </w:rPr>
              <w:t xml:space="preserve"> </w:t>
            </w:r>
          </w:p>
        </w:tc>
        <w:tc>
          <w:tcPr>
            <w:tcW w:w="1350"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rsidR="638B37EC" w:rsidRPr="006E06E0" w:rsidP="00D91F68" w14:paraId="47AFF711" w14:textId="4BD105FF">
            <w:pPr>
              <w:jc w:val="center"/>
              <w:rPr>
                <w:sz w:val="22"/>
                <w:szCs w:val="22"/>
              </w:rPr>
            </w:pPr>
            <w:r w:rsidRPr="5C516CCC">
              <w:rPr>
                <w:sz w:val="22"/>
                <w:szCs w:val="22"/>
              </w:rPr>
              <w:t xml:space="preserve"> </w:t>
            </w:r>
          </w:p>
        </w:tc>
      </w:tr>
      <w:tr w14:paraId="034485BB" w14:textId="77777777" w:rsidTr="5C516CCC">
        <w:tblPrEx>
          <w:tblW w:w="9800" w:type="dxa"/>
          <w:tblLayout w:type="fixed"/>
          <w:tblLook w:val="0680"/>
        </w:tblPrEx>
        <w:trPr>
          <w:trHeight w:val="960"/>
        </w:trPr>
        <w:tc>
          <w:tcPr>
            <w:tcW w:w="1340" w:type="dxa"/>
            <w:tcBorders>
              <w:top w:val="single" w:sz="8" w:space="0" w:color="auto"/>
              <w:left w:val="single" w:sz="8" w:space="0" w:color="auto"/>
              <w:bottom w:val="single" w:sz="8" w:space="0" w:color="auto"/>
              <w:right w:val="single" w:sz="4" w:space="0" w:color="auto"/>
            </w:tcBorders>
            <w:tcMar>
              <w:top w:w="15" w:type="dxa"/>
              <w:left w:w="15" w:type="dxa"/>
              <w:right w:w="15" w:type="dxa"/>
            </w:tcMar>
            <w:vAlign w:val="center"/>
          </w:tcPr>
          <w:p w:rsidR="638B37EC" w:rsidRPr="006E06E0" w:rsidP="5C516CCC" w14:paraId="3E58A4FB" w14:textId="73B8FD85">
            <w:pPr>
              <w:rPr>
                <w:sz w:val="22"/>
                <w:szCs w:val="22"/>
              </w:rPr>
            </w:pPr>
            <w:r w:rsidRPr="5C516CCC">
              <w:rPr>
                <w:color w:val="000000" w:themeColor="text1"/>
                <w:sz w:val="22"/>
                <w:szCs w:val="22"/>
              </w:rPr>
              <w:t xml:space="preserve">7) Written physician opinion to employee </w:t>
            </w:r>
          </w:p>
        </w:tc>
        <w:tc>
          <w:tcPr>
            <w:tcW w:w="126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6E06E0" w:rsidP="00D91F68" w14:paraId="492FE139" w14:textId="0965B454">
            <w:pPr>
              <w:jc w:val="center"/>
              <w:rPr>
                <w:sz w:val="22"/>
                <w:szCs w:val="22"/>
              </w:rPr>
            </w:pPr>
            <w:r w:rsidRPr="5C516CCC">
              <w:rPr>
                <w:sz w:val="22"/>
                <w:szCs w:val="22"/>
              </w:rPr>
              <w:t xml:space="preserve">Occupational Safety and Health Specialist </w:t>
            </w:r>
          </w:p>
        </w:tc>
        <w:tc>
          <w:tcPr>
            <w:tcW w:w="117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6E06E0" w:rsidP="00D91F68" w14:paraId="0FCA572C" w14:textId="1EBE032F">
            <w:pPr>
              <w:jc w:val="center"/>
              <w:rPr>
                <w:sz w:val="22"/>
                <w:szCs w:val="22"/>
              </w:rPr>
            </w:pPr>
            <w:r w:rsidRPr="5C516CCC">
              <w:rPr>
                <w:sz w:val="22"/>
                <w:szCs w:val="22"/>
              </w:rPr>
              <w:t>11,060</w:t>
            </w:r>
          </w:p>
        </w:tc>
        <w:tc>
          <w:tcPr>
            <w:tcW w:w="108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6E06E0" w:rsidP="00D91F68" w14:paraId="08956B94" w14:textId="47232030">
            <w:pPr>
              <w:jc w:val="center"/>
              <w:rPr>
                <w:sz w:val="22"/>
                <w:szCs w:val="22"/>
              </w:rPr>
            </w:pPr>
            <w:r w:rsidRPr="5C516CCC">
              <w:rPr>
                <w:sz w:val="22"/>
                <w:szCs w:val="22"/>
              </w:rPr>
              <w:t>1</w:t>
            </w:r>
          </w:p>
        </w:tc>
        <w:tc>
          <w:tcPr>
            <w:tcW w:w="990" w:type="dxa"/>
            <w:tcBorders>
              <w:top w:val="single" w:sz="8" w:space="0" w:color="auto"/>
              <w:left w:val="single" w:sz="4" w:space="0" w:color="auto"/>
              <w:bottom w:val="single" w:sz="8" w:space="0" w:color="auto"/>
              <w:right w:val="single" w:sz="4" w:space="0" w:color="auto"/>
            </w:tcBorders>
            <w:shd w:val="clear" w:color="auto" w:fill="B4C6E7"/>
            <w:tcMar>
              <w:top w:w="15" w:type="dxa"/>
              <w:left w:w="15" w:type="dxa"/>
              <w:right w:w="15" w:type="dxa"/>
            </w:tcMar>
            <w:vAlign w:val="center"/>
          </w:tcPr>
          <w:p w:rsidR="638B37EC" w:rsidRPr="006E06E0" w:rsidP="00D91F68" w14:paraId="10FCA138" w14:textId="66918BA1">
            <w:pPr>
              <w:jc w:val="center"/>
              <w:rPr>
                <w:color w:val="000000" w:themeColor="text1"/>
                <w:sz w:val="22"/>
                <w:szCs w:val="22"/>
              </w:rPr>
            </w:pPr>
            <w:r w:rsidRPr="5C516CCC">
              <w:rPr>
                <w:color w:val="000000" w:themeColor="text1"/>
                <w:sz w:val="22"/>
                <w:szCs w:val="22"/>
              </w:rPr>
              <w:t>11,060</w:t>
            </w:r>
          </w:p>
        </w:tc>
        <w:tc>
          <w:tcPr>
            <w:tcW w:w="108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1AEF3B8A" w:rsidRPr="006E06E0" w:rsidP="00D91F68" w14:paraId="1AC6DE10" w14:textId="080D2C22">
            <w:pPr>
              <w:jc w:val="center"/>
              <w:rPr>
                <w:sz w:val="22"/>
                <w:szCs w:val="22"/>
              </w:rPr>
            </w:pPr>
            <w:r w:rsidRPr="5C516CCC">
              <w:rPr>
                <w:sz w:val="22"/>
                <w:szCs w:val="22"/>
              </w:rPr>
              <w:t>1/60</w:t>
            </w:r>
          </w:p>
        </w:tc>
        <w:tc>
          <w:tcPr>
            <w:tcW w:w="810" w:type="dxa"/>
            <w:tcBorders>
              <w:top w:val="single" w:sz="8" w:space="0" w:color="auto"/>
              <w:left w:val="single" w:sz="4" w:space="0" w:color="auto"/>
              <w:bottom w:val="single" w:sz="8" w:space="0" w:color="auto"/>
              <w:right w:val="single" w:sz="4" w:space="0" w:color="auto"/>
            </w:tcBorders>
            <w:shd w:val="clear" w:color="auto" w:fill="B4C6E7"/>
            <w:tcMar>
              <w:top w:w="15" w:type="dxa"/>
              <w:left w:w="15" w:type="dxa"/>
              <w:right w:w="15" w:type="dxa"/>
            </w:tcMar>
            <w:vAlign w:val="center"/>
          </w:tcPr>
          <w:p w:rsidR="638B37EC" w:rsidRPr="006E06E0" w:rsidP="00D91F68" w14:paraId="397323F9" w14:textId="41C5800B">
            <w:pPr>
              <w:jc w:val="center"/>
              <w:rPr>
                <w:sz w:val="22"/>
                <w:szCs w:val="22"/>
              </w:rPr>
            </w:pPr>
            <w:r w:rsidRPr="5C516CCC">
              <w:rPr>
                <w:sz w:val="22"/>
                <w:szCs w:val="22"/>
              </w:rPr>
              <w:t>1,843</w:t>
            </w:r>
          </w:p>
        </w:tc>
        <w:tc>
          <w:tcPr>
            <w:tcW w:w="72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6E06E0" w:rsidP="00D91F68" w14:paraId="3CC991F0" w14:textId="74C7C3F8">
            <w:pPr>
              <w:jc w:val="center"/>
              <w:rPr>
                <w:sz w:val="22"/>
                <w:szCs w:val="22"/>
              </w:rPr>
            </w:pPr>
            <w:r w:rsidRPr="5C516CCC">
              <w:rPr>
                <w:sz w:val="22"/>
                <w:szCs w:val="22"/>
              </w:rPr>
              <w:t>$53.70</w:t>
            </w:r>
          </w:p>
        </w:tc>
        <w:tc>
          <w:tcPr>
            <w:tcW w:w="1350" w:type="dxa"/>
            <w:tcBorders>
              <w:top w:val="single" w:sz="8" w:space="0" w:color="auto"/>
              <w:left w:val="single" w:sz="4" w:space="0" w:color="auto"/>
              <w:bottom w:val="single" w:sz="8" w:space="0" w:color="auto"/>
              <w:right w:val="single" w:sz="8" w:space="0" w:color="auto"/>
            </w:tcBorders>
            <w:shd w:val="clear" w:color="auto" w:fill="B4C6E7"/>
            <w:tcMar>
              <w:top w:w="15" w:type="dxa"/>
              <w:left w:w="15" w:type="dxa"/>
              <w:right w:w="15" w:type="dxa"/>
            </w:tcMar>
            <w:vAlign w:val="center"/>
          </w:tcPr>
          <w:p w:rsidR="638B37EC" w:rsidRPr="006E06E0" w:rsidP="00D91F68" w14:paraId="21484D81" w14:textId="70D71BB6">
            <w:pPr>
              <w:jc w:val="center"/>
              <w:rPr>
                <w:sz w:val="22"/>
                <w:szCs w:val="22"/>
              </w:rPr>
            </w:pPr>
            <w:r w:rsidRPr="5C516CCC">
              <w:rPr>
                <w:sz w:val="22"/>
                <w:szCs w:val="22"/>
              </w:rPr>
              <w:t>$98,969.10</w:t>
            </w:r>
          </w:p>
        </w:tc>
      </w:tr>
      <w:tr w14:paraId="409ADB71" w14:textId="77777777" w:rsidTr="5C516CCC">
        <w:tblPrEx>
          <w:tblW w:w="9800" w:type="dxa"/>
          <w:tblLayout w:type="fixed"/>
          <w:tblLook w:val="0680"/>
        </w:tblPrEx>
        <w:trPr>
          <w:trHeight w:val="105"/>
        </w:trPr>
        <w:tc>
          <w:tcPr>
            <w:tcW w:w="1340"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6E06E0" w:rsidP="5C516CCC" w14:paraId="73ADBC72" w14:textId="278DEE5B">
            <w:pPr>
              <w:rPr>
                <w:sz w:val="22"/>
                <w:szCs w:val="22"/>
              </w:rPr>
            </w:pPr>
            <w:r w:rsidRPr="5C516CCC">
              <w:rPr>
                <w:color w:val="000000" w:themeColor="text1"/>
                <w:sz w:val="22"/>
                <w:szCs w:val="22"/>
              </w:rPr>
              <w:t xml:space="preserve"> </w:t>
            </w:r>
          </w:p>
        </w:tc>
        <w:tc>
          <w:tcPr>
            <w:tcW w:w="126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6E06E0" w:rsidP="00D91F68" w14:paraId="39C9EEFE" w14:textId="3F58A03A">
            <w:pPr>
              <w:jc w:val="center"/>
              <w:rPr>
                <w:sz w:val="22"/>
                <w:szCs w:val="22"/>
              </w:rPr>
            </w:pPr>
            <w:r w:rsidRPr="5C516CCC">
              <w:rPr>
                <w:sz w:val="22"/>
                <w:szCs w:val="22"/>
              </w:rPr>
              <w:t xml:space="preserve"> </w:t>
            </w:r>
          </w:p>
        </w:tc>
        <w:tc>
          <w:tcPr>
            <w:tcW w:w="117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6E06E0" w:rsidP="00D91F68" w14:paraId="78FF76A2" w14:textId="0F185E5A">
            <w:pPr>
              <w:jc w:val="center"/>
              <w:rPr>
                <w:sz w:val="22"/>
                <w:szCs w:val="22"/>
              </w:rPr>
            </w:pPr>
            <w:r w:rsidRPr="5C516CCC">
              <w:rPr>
                <w:sz w:val="22"/>
                <w:szCs w:val="22"/>
              </w:rPr>
              <w:t xml:space="preserve"> </w:t>
            </w:r>
          </w:p>
        </w:tc>
        <w:tc>
          <w:tcPr>
            <w:tcW w:w="10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6E06E0" w:rsidP="00D91F68" w14:paraId="17C19628" w14:textId="322665C6">
            <w:pPr>
              <w:jc w:val="center"/>
              <w:rPr>
                <w:sz w:val="22"/>
                <w:szCs w:val="22"/>
              </w:rPr>
            </w:pPr>
            <w:r w:rsidRPr="5C516CCC">
              <w:rPr>
                <w:sz w:val="22"/>
                <w:szCs w:val="22"/>
              </w:rPr>
              <w:t xml:space="preserve"> </w:t>
            </w:r>
          </w:p>
        </w:tc>
        <w:tc>
          <w:tcPr>
            <w:tcW w:w="99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6E06E0" w:rsidP="00D91F68" w14:paraId="5670DD5B" w14:textId="01B25EB8">
            <w:pPr>
              <w:jc w:val="center"/>
              <w:rPr>
                <w:color w:val="000000" w:themeColor="text1"/>
                <w:sz w:val="22"/>
                <w:szCs w:val="22"/>
              </w:rPr>
            </w:pPr>
            <w:r w:rsidRPr="5C516CCC">
              <w:rPr>
                <w:color w:val="000000" w:themeColor="text1"/>
                <w:sz w:val="22"/>
                <w:szCs w:val="22"/>
              </w:rPr>
              <w:t xml:space="preserve"> </w:t>
            </w:r>
          </w:p>
        </w:tc>
        <w:tc>
          <w:tcPr>
            <w:tcW w:w="10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6E06E0" w:rsidP="00D91F68" w14:paraId="67A03F60" w14:textId="3AE3FC74">
            <w:pPr>
              <w:jc w:val="center"/>
              <w:rPr>
                <w:sz w:val="22"/>
                <w:szCs w:val="22"/>
              </w:rPr>
            </w:pPr>
            <w:r w:rsidRPr="5C516CCC">
              <w:rPr>
                <w:sz w:val="22"/>
                <w:szCs w:val="22"/>
              </w:rPr>
              <w:t xml:space="preserve"> </w:t>
            </w:r>
          </w:p>
        </w:tc>
        <w:tc>
          <w:tcPr>
            <w:tcW w:w="81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6E06E0" w:rsidP="00D91F68" w14:paraId="6001EAC9" w14:textId="6B35ACBA">
            <w:pPr>
              <w:jc w:val="center"/>
              <w:rPr>
                <w:sz w:val="22"/>
                <w:szCs w:val="22"/>
              </w:rPr>
            </w:pPr>
            <w:r w:rsidRPr="5C516CCC">
              <w:rPr>
                <w:sz w:val="22"/>
                <w:szCs w:val="22"/>
              </w:rPr>
              <w:t xml:space="preserve"> </w:t>
            </w:r>
          </w:p>
        </w:tc>
        <w:tc>
          <w:tcPr>
            <w:tcW w:w="72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6E06E0" w:rsidP="00D91F68" w14:paraId="04E30FC7" w14:textId="70EB4716">
            <w:pPr>
              <w:jc w:val="center"/>
              <w:rPr>
                <w:sz w:val="22"/>
                <w:szCs w:val="22"/>
              </w:rPr>
            </w:pPr>
            <w:r w:rsidRPr="5C516CCC">
              <w:rPr>
                <w:sz w:val="22"/>
                <w:szCs w:val="22"/>
              </w:rPr>
              <w:t xml:space="preserve"> </w:t>
            </w:r>
          </w:p>
        </w:tc>
        <w:tc>
          <w:tcPr>
            <w:tcW w:w="1350"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rsidR="638B37EC" w:rsidRPr="006E06E0" w:rsidP="00D91F68" w14:paraId="48C46E5E" w14:textId="64BBDC48">
            <w:pPr>
              <w:jc w:val="center"/>
              <w:rPr>
                <w:sz w:val="22"/>
                <w:szCs w:val="22"/>
              </w:rPr>
            </w:pPr>
            <w:r w:rsidRPr="5C516CCC">
              <w:rPr>
                <w:sz w:val="22"/>
                <w:szCs w:val="22"/>
              </w:rPr>
              <w:t xml:space="preserve"> </w:t>
            </w:r>
          </w:p>
        </w:tc>
      </w:tr>
      <w:tr w14:paraId="43706301" w14:textId="77777777" w:rsidTr="5C516CCC">
        <w:tblPrEx>
          <w:tblW w:w="9800" w:type="dxa"/>
          <w:tblLayout w:type="fixed"/>
          <w:tblLook w:val="0680"/>
        </w:tblPrEx>
        <w:trPr>
          <w:trHeight w:val="960"/>
        </w:trPr>
        <w:tc>
          <w:tcPr>
            <w:tcW w:w="1340" w:type="dxa"/>
            <w:tcBorders>
              <w:top w:val="single" w:sz="8" w:space="0" w:color="auto"/>
              <w:left w:val="single" w:sz="8" w:space="0" w:color="auto"/>
              <w:bottom w:val="single" w:sz="8" w:space="0" w:color="auto"/>
              <w:right w:val="single" w:sz="4" w:space="0" w:color="auto"/>
            </w:tcBorders>
            <w:tcMar>
              <w:top w:w="15" w:type="dxa"/>
              <w:left w:w="15" w:type="dxa"/>
              <w:right w:w="15" w:type="dxa"/>
            </w:tcMar>
            <w:vAlign w:val="center"/>
          </w:tcPr>
          <w:p w:rsidR="638B37EC" w:rsidRPr="006E06E0" w:rsidP="5C516CCC" w14:paraId="6478944B" w14:textId="726B466C">
            <w:pPr>
              <w:rPr>
                <w:sz w:val="22"/>
                <w:szCs w:val="22"/>
              </w:rPr>
            </w:pPr>
            <w:r w:rsidRPr="5C516CCC">
              <w:rPr>
                <w:color w:val="000000" w:themeColor="text1"/>
                <w:sz w:val="22"/>
                <w:szCs w:val="22"/>
              </w:rPr>
              <w:t xml:space="preserve">8) Monitoring program req. </w:t>
            </w:r>
          </w:p>
        </w:tc>
        <w:tc>
          <w:tcPr>
            <w:tcW w:w="126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6E06E0" w:rsidP="00D91F68" w14:paraId="0E94392C" w14:textId="4B44F3EC">
            <w:pPr>
              <w:jc w:val="center"/>
              <w:rPr>
                <w:sz w:val="22"/>
                <w:szCs w:val="22"/>
              </w:rPr>
            </w:pPr>
            <w:r w:rsidRPr="5C516CCC">
              <w:rPr>
                <w:sz w:val="22"/>
                <w:szCs w:val="22"/>
              </w:rPr>
              <w:t xml:space="preserve">Occupational Safety and Health Specialist </w:t>
            </w:r>
          </w:p>
        </w:tc>
        <w:tc>
          <w:tcPr>
            <w:tcW w:w="117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6E06E0" w:rsidP="00D91F68" w14:paraId="76471BEF" w14:textId="69712357">
            <w:pPr>
              <w:jc w:val="center"/>
              <w:rPr>
                <w:sz w:val="22"/>
                <w:szCs w:val="22"/>
              </w:rPr>
            </w:pPr>
            <w:r w:rsidRPr="5C516CCC">
              <w:rPr>
                <w:sz w:val="22"/>
                <w:szCs w:val="22"/>
              </w:rPr>
              <w:t>553</w:t>
            </w:r>
          </w:p>
        </w:tc>
        <w:tc>
          <w:tcPr>
            <w:tcW w:w="108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6E06E0" w:rsidP="00D91F68" w14:paraId="00585AAD" w14:textId="2E83E140">
            <w:pPr>
              <w:jc w:val="center"/>
              <w:rPr>
                <w:sz w:val="22"/>
                <w:szCs w:val="22"/>
              </w:rPr>
            </w:pPr>
            <w:r w:rsidRPr="5C516CCC">
              <w:rPr>
                <w:sz w:val="22"/>
                <w:szCs w:val="22"/>
              </w:rPr>
              <w:t>1</w:t>
            </w:r>
          </w:p>
        </w:tc>
        <w:tc>
          <w:tcPr>
            <w:tcW w:w="990" w:type="dxa"/>
            <w:tcBorders>
              <w:top w:val="single" w:sz="8" w:space="0" w:color="auto"/>
              <w:left w:val="single" w:sz="4" w:space="0" w:color="auto"/>
              <w:bottom w:val="single" w:sz="8" w:space="0" w:color="auto"/>
              <w:right w:val="single" w:sz="4" w:space="0" w:color="auto"/>
            </w:tcBorders>
            <w:shd w:val="clear" w:color="auto" w:fill="B4C6E7"/>
            <w:tcMar>
              <w:top w:w="15" w:type="dxa"/>
              <w:left w:w="15" w:type="dxa"/>
              <w:right w:w="15" w:type="dxa"/>
            </w:tcMar>
            <w:vAlign w:val="center"/>
          </w:tcPr>
          <w:p w:rsidR="638B37EC" w:rsidRPr="006E06E0" w:rsidP="00D91F68" w14:paraId="7212EDB3" w14:textId="0152B822">
            <w:pPr>
              <w:jc w:val="center"/>
              <w:rPr>
                <w:color w:val="000000" w:themeColor="text1"/>
                <w:sz w:val="22"/>
                <w:szCs w:val="22"/>
              </w:rPr>
            </w:pPr>
            <w:r w:rsidRPr="5C516CCC">
              <w:rPr>
                <w:color w:val="000000" w:themeColor="text1"/>
                <w:sz w:val="22"/>
                <w:szCs w:val="22"/>
              </w:rPr>
              <w:t>553</w:t>
            </w:r>
          </w:p>
        </w:tc>
        <w:tc>
          <w:tcPr>
            <w:tcW w:w="108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6E06E0" w:rsidP="00D91F68" w14:paraId="59F40738" w14:textId="66181808">
            <w:pPr>
              <w:jc w:val="center"/>
              <w:rPr>
                <w:sz w:val="22"/>
                <w:szCs w:val="22"/>
              </w:rPr>
            </w:pPr>
            <w:r w:rsidRPr="5C516CCC">
              <w:rPr>
                <w:sz w:val="22"/>
                <w:szCs w:val="22"/>
              </w:rPr>
              <w:t>4</w:t>
            </w:r>
          </w:p>
        </w:tc>
        <w:tc>
          <w:tcPr>
            <w:tcW w:w="810" w:type="dxa"/>
            <w:tcBorders>
              <w:top w:val="single" w:sz="8" w:space="0" w:color="auto"/>
              <w:left w:val="single" w:sz="4" w:space="0" w:color="auto"/>
              <w:bottom w:val="single" w:sz="8" w:space="0" w:color="auto"/>
              <w:right w:val="single" w:sz="4" w:space="0" w:color="auto"/>
            </w:tcBorders>
            <w:shd w:val="clear" w:color="auto" w:fill="B4C6E7"/>
            <w:tcMar>
              <w:top w:w="15" w:type="dxa"/>
              <w:left w:w="15" w:type="dxa"/>
              <w:right w:w="15" w:type="dxa"/>
            </w:tcMar>
            <w:vAlign w:val="center"/>
          </w:tcPr>
          <w:p w:rsidR="638B37EC" w:rsidRPr="006E06E0" w:rsidP="00D91F68" w14:paraId="4DEE1E6E" w14:textId="13AEE159">
            <w:pPr>
              <w:jc w:val="center"/>
              <w:rPr>
                <w:sz w:val="22"/>
                <w:szCs w:val="22"/>
              </w:rPr>
            </w:pPr>
            <w:r w:rsidRPr="5C516CCC">
              <w:rPr>
                <w:sz w:val="22"/>
                <w:szCs w:val="22"/>
              </w:rPr>
              <w:t>2,212</w:t>
            </w:r>
          </w:p>
        </w:tc>
        <w:tc>
          <w:tcPr>
            <w:tcW w:w="72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6E06E0" w:rsidP="00D91F68" w14:paraId="01837AA5" w14:textId="330FD99C">
            <w:pPr>
              <w:jc w:val="center"/>
              <w:rPr>
                <w:sz w:val="22"/>
                <w:szCs w:val="22"/>
              </w:rPr>
            </w:pPr>
            <w:r w:rsidRPr="5C516CCC">
              <w:rPr>
                <w:sz w:val="22"/>
                <w:szCs w:val="22"/>
              </w:rPr>
              <w:t>$53.70</w:t>
            </w:r>
          </w:p>
        </w:tc>
        <w:tc>
          <w:tcPr>
            <w:tcW w:w="1350" w:type="dxa"/>
            <w:tcBorders>
              <w:top w:val="single" w:sz="8" w:space="0" w:color="auto"/>
              <w:left w:val="single" w:sz="4" w:space="0" w:color="auto"/>
              <w:bottom w:val="single" w:sz="8" w:space="0" w:color="auto"/>
              <w:right w:val="single" w:sz="8" w:space="0" w:color="auto"/>
            </w:tcBorders>
            <w:shd w:val="clear" w:color="auto" w:fill="B4C6E7"/>
            <w:tcMar>
              <w:top w:w="15" w:type="dxa"/>
              <w:left w:w="15" w:type="dxa"/>
              <w:right w:w="15" w:type="dxa"/>
            </w:tcMar>
            <w:vAlign w:val="center"/>
          </w:tcPr>
          <w:p w:rsidR="638B37EC" w:rsidRPr="006E06E0" w:rsidP="00D91F68" w14:paraId="58746E9C" w14:textId="51BBFEDB">
            <w:pPr>
              <w:jc w:val="center"/>
              <w:rPr>
                <w:sz w:val="22"/>
                <w:szCs w:val="22"/>
              </w:rPr>
            </w:pPr>
            <w:r w:rsidRPr="5C516CCC">
              <w:rPr>
                <w:sz w:val="22"/>
                <w:szCs w:val="22"/>
              </w:rPr>
              <w:t>$118,784.40</w:t>
            </w:r>
          </w:p>
        </w:tc>
      </w:tr>
      <w:tr w14:paraId="666C2ECB" w14:textId="77777777" w:rsidTr="5C516CCC">
        <w:tblPrEx>
          <w:tblW w:w="9800" w:type="dxa"/>
          <w:tblLayout w:type="fixed"/>
          <w:tblLook w:val="0680"/>
        </w:tblPrEx>
        <w:trPr>
          <w:trHeight w:val="105"/>
        </w:trPr>
        <w:tc>
          <w:tcPr>
            <w:tcW w:w="1340"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5C516CCC" w14:paraId="5D3CE1AA" w14:textId="7208084D">
            <w:r w:rsidRPr="5C516CCC">
              <w:rPr>
                <w:color w:val="000000" w:themeColor="text1"/>
                <w:sz w:val="24"/>
                <w:szCs w:val="24"/>
              </w:rPr>
              <w:t xml:space="preserve"> </w:t>
            </w:r>
          </w:p>
        </w:tc>
        <w:tc>
          <w:tcPr>
            <w:tcW w:w="126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7D995F7A" w14:textId="08B841E8">
            <w:pPr>
              <w:jc w:val="center"/>
              <w:rPr>
                <w:sz w:val="24"/>
                <w:szCs w:val="24"/>
              </w:rPr>
            </w:pPr>
            <w:r w:rsidRPr="5C516CCC">
              <w:rPr>
                <w:sz w:val="24"/>
                <w:szCs w:val="24"/>
              </w:rPr>
              <w:t xml:space="preserve"> </w:t>
            </w:r>
          </w:p>
        </w:tc>
        <w:tc>
          <w:tcPr>
            <w:tcW w:w="117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6E06E0" w:rsidP="00D91F68" w14:paraId="1C6DC34C" w14:textId="22AF752C">
            <w:pPr>
              <w:jc w:val="center"/>
              <w:rPr>
                <w:sz w:val="22"/>
                <w:szCs w:val="22"/>
              </w:rPr>
            </w:pPr>
            <w:r w:rsidRPr="5C516CCC">
              <w:rPr>
                <w:sz w:val="22"/>
                <w:szCs w:val="22"/>
              </w:rPr>
              <w:t xml:space="preserve"> </w:t>
            </w:r>
          </w:p>
        </w:tc>
        <w:tc>
          <w:tcPr>
            <w:tcW w:w="10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6E06E0" w:rsidP="00D91F68" w14:paraId="56B5EED4" w14:textId="41CBF19C">
            <w:pPr>
              <w:jc w:val="center"/>
              <w:rPr>
                <w:sz w:val="22"/>
                <w:szCs w:val="22"/>
              </w:rPr>
            </w:pPr>
            <w:r w:rsidRPr="5C516CCC">
              <w:rPr>
                <w:sz w:val="22"/>
                <w:szCs w:val="22"/>
              </w:rPr>
              <w:t xml:space="preserve"> </w:t>
            </w:r>
          </w:p>
        </w:tc>
        <w:tc>
          <w:tcPr>
            <w:tcW w:w="99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6E06E0" w:rsidP="00D91F68" w14:paraId="0AA5ABCF" w14:textId="5AE0F7EB">
            <w:pPr>
              <w:jc w:val="center"/>
              <w:rPr>
                <w:color w:val="000000" w:themeColor="text1"/>
                <w:sz w:val="22"/>
                <w:szCs w:val="22"/>
              </w:rPr>
            </w:pPr>
            <w:r w:rsidRPr="5C516CCC">
              <w:rPr>
                <w:color w:val="000000" w:themeColor="text1"/>
                <w:sz w:val="22"/>
                <w:szCs w:val="22"/>
              </w:rPr>
              <w:t xml:space="preserve"> </w:t>
            </w:r>
          </w:p>
        </w:tc>
        <w:tc>
          <w:tcPr>
            <w:tcW w:w="10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6E06E0" w:rsidP="00D91F68" w14:paraId="07283B46" w14:textId="37B6444D">
            <w:pPr>
              <w:jc w:val="center"/>
              <w:rPr>
                <w:sz w:val="22"/>
                <w:szCs w:val="22"/>
              </w:rPr>
            </w:pPr>
            <w:r w:rsidRPr="5C516CCC">
              <w:rPr>
                <w:sz w:val="22"/>
                <w:szCs w:val="22"/>
              </w:rPr>
              <w:t xml:space="preserve"> </w:t>
            </w:r>
          </w:p>
        </w:tc>
        <w:tc>
          <w:tcPr>
            <w:tcW w:w="81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6E06E0" w:rsidP="00D91F68" w14:paraId="7F8CA9DA" w14:textId="5850D33B">
            <w:pPr>
              <w:jc w:val="center"/>
              <w:rPr>
                <w:sz w:val="22"/>
                <w:szCs w:val="22"/>
              </w:rPr>
            </w:pPr>
            <w:r w:rsidRPr="5C516CCC">
              <w:rPr>
                <w:sz w:val="22"/>
                <w:szCs w:val="22"/>
              </w:rPr>
              <w:t xml:space="preserve"> </w:t>
            </w:r>
          </w:p>
        </w:tc>
        <w:tc>
          <w:tcPr>
            <w:tcW w:w="72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6E06E0" w:rsidP="00D91F68" w14:paraId="10AD3596" w14:textId="2075C23F">
            <w:pPr>
              <w:jc w:val="center"/>
              <w:rPr>
                <w:sz w:val="22"/>
                <w:szCs w:val="22"/>
              </w:rPr>
            </w:pPr>
            <w:r w:rsidRPr="5C516CCC">
              <w:rPr>
                <w:sz w:val="22"/>
                <w:szCs w:val="22"/>
              </w:rPr>
              <w:t xml:space="preserve"> </w:t>
            </w:r>
          </w:p>
        </w:tc>
        <w:tc>
          <w:tcPr>
            <w:tcW w:w="1350"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rsidR="638B37EC" w:rsidRPr="006E06E0" w:rsidP="00D91F68" w14:paraId="0B7A6890" w14:textId="35A24D92">
            <w:pPr>
              <w:jc w:val="center"/>
              <w:rPr>
                <w:sz w:val="22"/>
                <w:szCs w:val="22"/>
              </w:rPr>
            </w:pPr>
            <w:r w:rsidRPr="5C516CCC">
              <w:rPr>
                <w:sz w:val="22"/>
                <w:szCs w:val="22"/>
              </w:rPr>
              <w:t xml:space="preserve"> </w:t>
            </w:r>
          </w:p>
        </w:tc>
      </w:tr>
      <w:tr w14:paraId="6E038696" w14:textId="77777777" w:rsidTr="5C516CCC">
        <w:tblPrEx>
          <w:tblW w:w="9800" w:type="dxa"/>
          <w:tblLayout w:type="fixed"/>
          <w:tblLook w:val="0680"/>
        </w:tblPrEx>
        <w:trPr>
          <w:trHeight w:val="960"/>
        </w:trPr>
        <w:tc>
          <w:tcPr>
            <w:tcW w:w="1340" w:type="dxa"/>
            <w:tcBorders>
              <w:top w:val="single" w:sz="8" w:space="0" w:color="auto"/>
              <w:left w:val="single" w:sz="8" w:space="0" w:color="auto"/>
              <w:bottom w:val="single" w:sz="8" w:space="0" w:color="auto"/>
              <w:right w:val="single" w:sz="4" w:space="0" w:color="auto"/>
            </w:tcBorders>
            <w:tcMar>
              <w:top w:w="15" w:type="dxa"/>
              <w:left w:w="15" w:type="dxa"/>
              <w:right w:w="15" w:type="dxa"/>
            </w:tcMar>
            <w:vAlign w:val="center"/>
          </w:tcPr>
          <w:p w:rsidR="638B37EC" w:rsidP="5C516CCC" w14:paraId="5E642F34" w14:textId="5E812932">
            <w:r w:rsidRPr="5C516CCC">
              <w:rPr>
                <w:color w:val="000000" w:themeColor="text1"/>
                <w:sz w:val="24"/>
                <w:szCs w:val="24"/>
              </w:rPr>
              <w:t>9</w:t>
            </w:r>
            <w:r w:rsidRPr="5C516CCC">
              <w:rPr>
                <w:color w:val="000000" w:themeColor="text1"/>
                <w:sz w:val="22"/>
                <w:szCs w:val="22"/>
              </w:rPr>
              <w:t xml:space="preserve">) Decontamination </w:t>
            </w:r>
          </w:p>
        </w:tc>
        <w:tc>
          <w:tcPr>
            <w:tcW w:w="126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P="00D91F68" w14:paraId="3D46EE8B" w14:textId="1E9DCEEB">
            <w:pPr>
              <w:jc w:val="center"/>
              <w:rPr>
                <w:sz w:val="24"/>
                <w:szCs w:val="24"/>
              </w:rPr>
            </w:pPr>
            <w:r w:rsidRPr="5C516CCC">
              <w:rPr>
                <w:sz w:val="22"/>
                <w:szCs w:val="22"/>
              </w:rPr>
              <w:t xml:space="preserve">Occupational Safety and Health Specialist </w:t>
            </w:r>
          </w:p>
        </w:tc>
        <w:tc>
          <w:tcPr>
            <w:tcW w:w="117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6E06E0" w:rsidP="00D91F68" w14:paraId="3B778297" w14:textId="270D58A5">
            <w:pPr>
              <w:jc w:val="center"/>
              <w:rPr>
                <w:sz w:val="22"/>
                <w:szCs w:val="22"/>
              </w:rPr>
            </w:pPr>
            <w:r w:rsidRPr="5C516CCC">
              <w:rPr>
                <w:sz w:val="22"/>
                <w:szCs w:val="22"/>
              </w:rPr>
              <w:t>553</w:t>
            </w:r>
          </w:p>
        </w:tc>
        <w:tc>
          <w:tcPr>
            <w:tcW w:w="108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6E06E0" w:rsidP="00D91F68" w14:paraId="04EB7217" w14:textId="656E1BD6">
            <w:pPr>
              <w:jc w:val="center"/>
              <w:rPr>
                <w:sz w:val="22"/>
                <w:szCs w:val="22"/>
              </w:rPr>
            </w:pPr>
            <w:r w:rsidRPr="5C516CCC">
              <w:rPr>
                <w:sz w:val="22"/>
                <w:szCs w:val="22"/>
              </w:rPr>
              <w:t>1</w:t>
            </w:r>
          </w:p>
        </w:tc>
        <w:tc>
          <w:tcPr>
            <w:tcW w:w="990" w:type="dxa"/>
            <w:tcBorders>
              <w:top w:val="single" w:sz="8" w:space="0" w:color="auto"/>
              <w:left w:val="single" w:sz="4" w:space="0" w:color="auto"/>
              <w:bottom w:val="single" w:sz="8" w:space="0" w:color="auto"/>
              <w:right w:val="single" w:sz="4" w:space="0" w:color="auto"/>
            </w:tcBorders>
            <w:shd w:val="clear" w:color="auto" w:fill="B4C6E7"/>
            <w:tcMar>
              <w:top w:w="15" w:type="dxa"/>
              <w:left w:w="15" w:type="dxa"/>
              <w:right w:w="15" w:type="dxa"/>
            </w:tcMar>
            <w:vAlign w:val="center"/>
          </w:tcPr>
          <w:p w:rsidR="638B37EC" w:rsidRPr="006E06E0" w:rsidP="00D91F68" w14:paraId="15C5F66B" w14:textId="0BA1F5F5">
            <w:pPr>
              <w:jc w:val="center"/>
              <w:rPr>
                <w:color w:val="000000" w:themeColor="text1"/>
                <w:sz w:val="22"/>
                <w:szCs w:val="22"/>
              </w:rPr>
            </w:pPr>
            <w:r w:rsidRPr="5C516CCC">
              <w:rPr>
                <w:color w:val="000000" w:themeColor="text1"/>
                <w:sz w:val="22"/>
                <w:szCs w:val="22"/>
              </w:rPr>
              <w:t>553</w:t>
            </w:r>
          </w:p>
        </w:tc>
        <w:tc>
          <w:tcPr>
            <w:tcW w:w="108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6E06E0" w:rsidP="00D91F68" w14:paraId="0C030A0F" w14:textId="4D0A9C00">
            <w:pPr>
              <w:jc w:val="center"/>
              <w:rPr>
                <w:sz w:val="22"/>
                <w:szCs w:val="22"/>
              </w:rPr>
            </w:pPr>
            <w:r w:rsidRPr="5C516CCC">
              <w:rPr>
                <w:sz w:val="22"/>
                <w:szCs w:val="22"/>
              </w:rPr>
              <w:t>6</w:t>
            </w:r>
          </w:p>
        </w:tc>
        <w:tc>
          <w:tcPr>
            <w:tcW w:w="810" w:type="dxa"/>
            <w:tcBorders>
              <w:top w:val="single" w:sz="8" w:space="0" w:color="auto"/>
              <w:left w:val="single" w:sz="4" w:space="0" w:color="auto"/>
              <w:bottom w:val="single" w:sz="8" w:space="0" w:color="auto"/>
              <w:right w:val="single" w:sz="4" w:space="0" w:color="auto"/>
            </w:tcBorders>
            <w:shd w:val="clear" w:color="auto" w:fill="B4C6E7"/>
            <w:tcMar>
              <w:top w:w="15" w:type="dxa"/>
              <w:left w:w="15" w:type="dxa"/>
              <w:right w:w="15" w:type="dxa"/>
            </w:tcMar>
            <w:vAlign w:val="center"/>
          </w:tcPr>
          <w:p w:rsidR="638B37EC" w:rsidRPr="006E06E0" w:rsidP="00D91F68" w14:paraId="2DAF3BAD" w14:textId="00B3F68B">
            <w:pPr>
              <w:jc w:val="center"/>
              <w:rPr>
                <w:sz w:val="22"/>
                <w:szCs w:val="22"/>
              </w:rPr>
            </w:pPr>
            <w:r w:rsidRPr="5C516CCC">
              <w:rPr>
                <w:sz w:val="22"/>
                <w:szCs w:val="22"/>
              </w:rPr>
              <w:t>3,318</w:t>
            </w:r>
          </w:p>
        </w:tc>
        <w:tc>
          <w:tcPr>
            <w:tcW w:w="72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6E06E0" w:rsidP="00D91F68" w14:paraId="5325A1F3" w14:textId="0EFBCC15">
            <w:pPr>
              <w:jc w:val="center"/>
              <w:rPr>
                <w:sz w:val="22"/>
                <w:szCs w:val="22"/>
              </w:rPr>
            </w:pPr>
            <w:r w:rsidRPr="5C516CCC">
              <w:rPr>
                <w:sz w:val="22"/>
                <w:szCs w:val="22"/>
              </w:rPr>
              <w:t>$53.70</w:t>
            </w:r>
          </w:p>
        </w:tc>
        <w:tc>
          <w:tcPr>
            <w:tcW w:w="1350" w:type="dxa"/>
            <w:tcBorders>
              <w:top w:val="single" w:sz="8" w:space="0" w:color="auto"/>
              <w:left w:val="single" w:sz="4" w:space="0" w:color="auto"/>
              <w:bottom w:val="single" w:sz="8" w:space="0" w:color="auto"/>
              <w:right w:val="single" w:sz="8" w:space="0" w:color="auto"/>
            </w:tcBorders>
            <w:shd w:val="clear" w:color="auto" w:fill="B4C6E7"/>
            <w:tcMar>
              <w:top w:w="15" w:type="dxa"/>
              <w:left w:w="15" w:type="dxa"/>
              <w:right w:w="15" w:type="dxa"/>
            </w:tcMar>
            <w:vAlign w:val="center"/>
          </w:tcPr>
          <w:p w:rsidR="638B37EC" w:rsidRPr="006E06E0" w:rsidP="00D91F68" w14:paraId="59640E14" w14:textId="752FEEE7">
            <w:pPr>
              <w:jc w:val="center"/>
              <w:rPr>
                <w:sz w:val="22"/>
                <w:szCs w:val="22"/>
              </w:rPr>
            </w:pPr>
            <w:r w:rsidRPr="5C516CCC">
              <w:rPr>
                <w:sz w:val="22"/>
                <w:szCs w:val="22"/>
              </w:rPr>
              <w:t>$178,176.60</w:t>
            </w:r>
          </w:p>
        </w:tc>
      </w:tr>
      <w:tr w14:paraId="3F5A2E6E" w14:textId="77777777" w:rsidTr="5C516CCC">
        <w:tblPrEx>
          <w:tblW w:w="9800" w:type="dxa"/>
          <w:tblLayout w:type="fixed"/>
          <w:tblLook w:val="0680"/>
        </w:tblPrEx>
        <w:trPr>
          <w:trHeight w:val="105"/>
        </w:trPr>
        <w:tc>
          <w:tcPr>
            <w:tcW w:w="1340"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5C516CCC" w14:paraId="29E3A7B1" w14:textId="23A0312D">
            <w:r w:rsidRPr="5C516CCC">
              <w:rPr>
                <w:color w:val="000000" w:themeColor="text1"/>
                <w:sz w:val="24"/>
                <w:szCs w:val="24"/>
              </w:rPr>
              <w:t xml:space="preserve"> </w:t>
            </w:r>
          </w:p>
        </w:tc>
        <w:tc>
          <w:tcPr>
            <w:tcW w:w="126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1849411C" w14:textId="7AF4A521">
            <w:pPr>
              <w:jc w:val="center"/>
              <w:rPr>
                <w:sz w:val="24"/>
                <w:szCs w:val="24"/>
              </w:rPr>
            </w:pPr>
            <w:r w:rsidRPr="5C516CCC">
              <w:rPr>
                <w:sz w:val="24"/>
                <w:szCs w:val="24"/>
              </w:rPr>
              <w:t xml:space="preserve"> </w:t>
            </w:r>
          </w:p>
        </w:tc>
        <w:tc>
          <w:tcPr>
            <w:tcW w:w="117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48B812DC" w14:textId="35FAE0DD">
            <w:pPr>
              <w:jc w:val="center"/>
              <w:rPr>
                <w:sz w:val="24"/>
                <w:szCs w:val="24"/>
              </w:rPr>
            </w:pPr>
            <w:r w:rsidRPr="5C516CCC">
              <w:rPr>
                <w:sz w:val="24"/>
                <w:szCs w:val="24"/>
              </w:rPr>
              <w:t xml:space="preserve"> </w:t>
            </w:r>
          </w:p>
        </w:tc>
        <w:tc>
          <w:tcPr>
            <w:tcW w:w="10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3F036EA3" w14:textId="4107446B">
            <w:pPr>
              <w:jc w:val="center"/>
              <w:rPr>
                <w:sz w:val="24"/>
                <w:szCs w:val="24"/>
              </w:rPr>
            </w:pPr>
            <w:r w:rsidRPr="5C516CCC">
              <w:rPr>
                <w:sz w:val="24"/>
                <w:szCs w:val="24"/>
              </w:rPr>
              <w:t xml:space="preserve"> </w:t>
            </w:r>
          </w:p>
        </w:tc>
        <w:tc>
          <w:tcPr>
            <w:tcW w:w="99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6D38B41C" w14:textId="6814E2A3">
            <w:pPr>
              <w:jc w:val="center"/>
              <w:rPr>
                <w:color w:val="000000" w:themeColor="text1"/>
                <w:sz w:val="24"/>
                <w:szCs w:val="24"/>
              </w:rPr>
            </w:pPr>
            <w:r w:rsidRPr="5C516CCC">
              <w:rPr>
                <w:color w:val="000000" w:themeColor="text1"/>
                <w:sz w:val="24"/>
                <w:szCs w:val="24"/>
              </w:rPr>
              <w:t xml:space="preserve"> </w:t>
            </w:r>
          </w:p>
        </w:tc>
        <w:tc>
          <w:tcPr>
            <w:tcW w:w="10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2A3508D4" w14:textId="60FF0CD6">
            <w:pPr>
              <w:jc w:val="center"/>
              <w:rPr>
                <w:sz w:val="24"/>
                <w:szCs w:val="24"/>
              </w:rPr>
            </w:pPr>
            <w:r w:rsidRPr="5C516CCC">
              <w:rPr>
                <w:sz w:val="24"/>
                <w:szCs w:val="24"/>
              </w:rPr>
              <w:t xml:space="preserve"> </w:t>
            </w:r>
          </w:p>
        </w:tc>
        <w:tc>
          <w:tcPr>
            <w:tcW w:w="81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0F7A820A" w14:textId="76B41CB4">
            <w:pPr>
              <w:jc w:val="center"/>
              <w:rPr>
                <w:sz w:val="24"/>
                <w:szCs w:val="24"/>
              </w:rPr>
            </w:pPr>
            <w:r w:rsidRPr="5C516CCC">
              <w:rPr>
                <w:sz w:val="24"/>
                <w:szCs w:val="24"/>
              </w:rPr>
              <w:t xml:space="preserve"> </w:t>
            </w:r>
          </w:p>
        </w:tc>
        <w:tc>
          <w:tcPr>
            <w:tcW w:w="72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7EABA805" w14:textId="5A74D00D">
            <w:pPr>
              <w:jc w:val="center"/>
              <w:rPr>
                <w:sz w:val="24"/>
                <w:szCs w:val="24"/>
              </w:rPr>
            </w:pPr>
            <w:r w:rsidRPr="5C516CCC">
              <w:rPr>
                <w:sz w:val="24"/>
                <w:szCs w:val="24"/>
              </w:rPr>
              <w:t xml:space="preserve"> </w:t>
            </w:r>
          </w:p>
        </w:tc>
        <w:tc>
          <w:tcPr>
            <w:tcW w:w="1350"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rsidR="638B37EC" w:rsidP="00D91F68" w14:paraId="53E11382" w14:textId="1AE5F076">
            <w:pPr>
              <w:jc w:val="center"/>
              <w:rPr>
                <w:sz w:val="24"/>
                <w:szCs w:val="24"/>
              </w:rPr>
            </w:pPr>
            <w:r w:rsidRPr="5C516CCC">
              <w:rPr>
                <w:sz w:val="24"/>
                <w:szCs w:val="24"/>
              </w:rPr>
              <w:t xml:space="preserve"> </w:t>
            </w:r>
          </w:p>
        </w:tc>
      </w:tr>
      <w:tr w14:paraId="1836A893" w14:textId="77777777" w:rsidTr="5C516CCC">
        <w:tblPrEx>
          <w:tblW w:w="9800" w:type="dxa"/>
          <w:tblLayout w:type="fixed"/>
          <w:tblLook w:val="0680"/>
        </w:tblPrEx>
        <w:trPr>
          <w:trHeight w:val="945"/>
        </w:trPr>
        <w:tc>
          <w:tcPr>
            <w:tcW w:w="1340"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center"/>
          </w:tcPr>
          <w:p w:rsidR="638B37EC" w:rsidRPr="0082487A" w:rsidP="5C516CCC" w14:paraId="0606A2BA" w14:textId="3A326C19">
            <w:pPr>
              <w:rPr>
                <w:sz w:val="22"/>
                <w:szCs w:val="22"/>
              </w:rPr>
            </w:pPr>
            <w:r w:rsidRPr="5C516CCC">
              <w:rPr>
                <w:color w:val="000000" w:themeColor="text1"/>
                <w:sz w:val="22"/>
                <w:szCs w:val="22"/>
              </w:rPr>
              <w:t xml:space="preserve">10) Emergency action Plan </w:t>
            </w:r>
          </w:p>
        </w:tc>
        <w:tc>
          <w:tcPr>
            <w:tcW w:w="126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82487A" w:rsidP="00D91F68" w14:paraId="458EC770" w14:textId="0AD3533D">
            <w:pPr>
              <w:jc w:val="center"/>
              <w:rPr>
                <w:sz w:val="22"/>
                <w:szCs w:val="22"/>
              </w:rPr>
            </w:pPr>
            <w:r w:rsidRPr="5C516CCC">
              <w:rPr>
                <w:sz w:val="22"/>
                <w:szCs w:val="22"/>
              </w:rPr>
              <w:t xml:space="preserve">Occupational Safety and Health Specialist </w:t>
            </w:r>
          </w:p>
        </w:tc>
        <w:tc>
          <w:tcPr>
            <w:tcW w:w="117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82487A" w:rsidP="00D91F68" w14:paraId="69D46D70" w14:textId="3073ADD8">
            <w:pPr>
              <w:jc w:val="center"/>
              <w:rPr>
                <w:sz w:val="22"/>
                <w:szCs w:val="22"/>
              </w:rPr>
            </w:pPr>
            <w:r w:rsidRPr="5C516CCC">
              <w:rPr>
                <w:sz w:val="22"/>
                <w:szCs w:val="22"/>
              </w:rPr>
              <w:t>55</w:t>
            </w:r>
          </w:p>
        </w:tc>
        <w:tc>
          <w:tcPr>
            <w:tcW w:w="108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82487A" w:rsidP="00D91F68" w14:paraId="3DD304EA" w14:textId="4B49547A">
            <w:pPr>
              <w:jc w:val="center"/>
              <w:rPr>
                <w:sz w:val="22"/>
                <w:szCs w:val="22"/>
              </w:rPr>
            </w:pPr>
            <w:r w:rsidRPr="5C516CCC">
              <w:rPr>
                <w:sz w:val="22"/>
                <w:szCs w:val="22"/>
              </w:rPr>
              <w:t>1</w:t>
            </w:r>
          </w:p>
        </w:tc>
        <w:tc>
          <w:tcPr>
            <w:tcW w:w="990" w:type="dxa"/>
            <w:tcBorders>
              <w:top w:val="single" w:sz="8"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82487A" w:rsidP="00D91F68" w14:paraId="7B52CC88" w14:textId="13331997">
            <w:pPr>
              <w:jc w:val="center"/>
              <w:rPr>
                <w:color w:val="000000" w:themeColor="text1"/>
                <w:sz w:val="22"/>
                <w:szCs w:val="22"/>
              </w:rPr>
            </w:pPr>
            <w:r w:rsidRPr="5C516CCC">
              <w:rPr>
                <w:color w:val="000000" w:themeColor="text1"/>
                <w:sz w:val="22"/>
                <w:szCs w:val="22"/>
              </w:rPr>
              <w:t>55</w:t>
            </w:r>
          </w:p>
        </w:tc>
        <w:tc>
          <w:tcPr>
            <w:tcW w:w="108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82487A" w:rsidP="00D91F68" w14:paraId="643F3A18" w14:textId="5F77779F">
            <w:pPr>
              <w:jc w:val="center"/>
              <w:rPr>
                <w:sz w:val="22"/>
                <w:szCs w:val="22"/>
              </w:rPr>
            </w:pPr>
            <w:r w:rsidRPr="5C516CCC">
              <w:rPr>
                <w:sz w:val="22"/>
                <w:szCs w:val="22"/>
              </w:rPr>
              <w:t>8</w:t>
            </w:r>
          </w:p>
        </w:tc>
        <w:tc>
          <w:tcPr>
            <w:tcW w:w="810" w:type="dxa"/>
            <w:tcBorders>
              <w:top w:val="single" w:sz="8"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82487A" w:rsidP="00D91F68" w14:paraId="3168A92A" w14:textId="4A677285">
            <w:pPr>
              <w:jc w:val="center"/>
              <w:rPr>
                <w:sz w:val="22"/>
                <w:szCs w:val="22"/>
              </w:rPr>
            </w:pPr>
            <w:r w:rsidRPr="5C516CCC">
              <w:rPr>
                <w:sz w:val="22"/>
                <w:szCs w:val="22"/>
              </w:rPr>
              <w:t>440</w:t>
            </w:r>
          </w:p>
        </w:tc>
        <w:tc>
          <w:tcPr>
            <w:tcW w:w="72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82487A" w:rsidP="00D91F68" w14:paraId="30D155B4" w14:textId="3B32FF61">
            <w:pPr>
              <w:jc w:val="center"/>
              <w:rPr>
                <w:sz w:val="22"/>
                <w:szCs w:val="22"/>
              </w:rPr>
            </w:pPr>
            <w:r w:rsidRPr="5C516CCC">
              <w:rPr>
                <w:sz w:val="22"/>
                <w:szCs w:val="22"/>
              </w:rPr>
              <w:t>$53.70</w:t>
            </w:r>
          </w:p>
        </w:tc>
        <w:tc>
          <w:tcPr>
            <w:tcW w:w="1350" w:type="dxa"/>
            <w:tcBorders>
              <w:top w:val="single" w:sz="8" w:space="0" w:color="auto"/>
              <w:left w:val="single" w:sz="4" w:space="0" w:color="auto"/>
              <w:bottom w:val="single" w:sz="4" w:space="0" w:color="auto"/>
              <w:right w:val="single" w:sz="8" w:space="0" w:color="auto"/>
            </w:tcBorders>
            <w:shd w:val="clear" w:color="auto" w:fill="B4C6E7"/>
            <w:tcMar>
              <w:top w:w="15" w:type="dxa"/>
              <w:left w:w="15" w:type="dxa"/>
              <w:right w:w="15" w:type="dxa"/>
            </w:tcMar>
            <w:vAlign w:val="center"/>
          </w:tcPr>
          <w:p w:rsidR="638B37EC" w:rsidRPr="0082487A" w:rsidP="00D91F68" w14:paraId="2AB83387" w14:textId="2D1E7913">
            <w:pPr>
              <w:jc w:val="center"/>
              <w:rPr>
                <w:sz w:val="22"/>
                <w:szCs w:val="22"/>
              </w:rPr>
            </w:pPr>
            <w:r w:rsidRPr="5C516CCC">
              <w:rPr>
                <w:sz w:val="22"/>
                <w:szCs w:val="22"/>
              </w:rPr>
              <w:t>$23,628.00</w:t>
            </w:r>
          </w:p>
        </w:tc>
      </w:tr>
      <w:tr w14:paraId="7D3AF9B4" w14:textId="77777777" w:rsidTr="5C516CCC">
        <w:tblPrEx>
          <w:tblW w:w="9800" w:type="dxa"/>
          <w:tblLayout w:type="fixed"/>
          <w:tblLook w:val="0680"/>
        </w:tblPrEx>
        <w:trPr>
          <w:trHeight w:val="945"/>
        </w:trPr>
        <w:tc>
          <w:tcPr>
            <w:tcW w:w="134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638B37EC" w:rsidRPr="0082487A" w:rsidP="5C516CCC" w14:paraId="042683B2" w14:textId="5CAAD675">
            <w:pPr>
              <w:rPr>
                <w:sz w:val="22"/>
                <w:szCs w:val="22"/>
              </w:rPr>
            </w:pPr>
            <w:r w:rsidRPr="5C516CCC">
              <w:rPr>
                <w:color w:val="000000" w:themeColor="text1"/>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82487A" w:rsidP="00D91F68" w14:paraId="0CC5C39C" w14:textId="646FEA61">
            <w:pPr>
              <w:jc w:val="center"/>
              <w:rPr>
                <w:sz w:val="22"/>
                <w:szCs w:val="22"/>
              </w:rPr>
            </w:pPr>
            <w:r w:rsidRPr="5C516CCC">
              <w:rPr>
                <w:sz w:val="22"/>
                <w:szCs w:val="22"/>
              </w:rPr>
              <w:t xml:space="preserve">Occupational Safety and Health Specialist </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82487A" w:rsidP="00D91F68" w14:paraId="7DDD48A1" w14:textId="278E6DFA">
            <w:pPr>
              <w:jc w:val="center"/>
              <w:rPr>
                <w:sz w:val="22"/>
                <w:szCs w:val="22"/>
              </w:rPr>
            </w:pPr>
            <w:r w:rsidRPr="5C516CCC">
              <w:rPr>
                <w:sz w:val="22"/>
                <w:szCs w:val="22"/>
              </w:rPr>
              <w:t>553</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82487A" w:rsidP="00D91F68" w14:paraId="362A4AD5" w14:textId="31E584FA">
            <w:pPr>
              <w:jc w:val="center"/>
              <w:rPr>
                <w:sz w:val="22"/>
                <w:szCs w:val="22"/>
              </w:rPr>
            </w:pPr>
            <w:r w:rsidRPr="5C516CCC">
              <w:rPr>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82487A" w:rsidP="00D91F68" w14:paraId="2E186BAA" w14:textId="5563522F">
            <w:pPr>
              <w:jc w:val="center"/>
              <w:rPr>
                <w:color w:val="000000" w:themeColor="text1"/>
                <w:sz w:val="22"/>
                <w:szCs w:val="22"/>
              </w:rPr>
            </w:pPr>
            <w:r w:rsidRPr="5C516CCC">
              <w:rPr>
                <w:color w:val="000000" w:themeColor="text1"/>
                <w:sz w:val="22"/>
                <w:szCs w:val="22"/>
              </w:rPr>
              <w:t>553</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4A43C0D4" w:rsidRPr="0082487A" w:rsidP="00D91F68" w14:paraId="7BD29944" w14:textId="33249341">
            <w:pPr>
              <w:jc w:val="center"/>
              <w:rPr>
                <w:sz w:val="22"/>
                <w:szCs w:val="22"/>
              </w:rPr>
            </w:pPr>
            <w:r w:rsidRPr="5C516CCC">
              <w:rPr>
                <w:sz w:val="22"/>
                <w:szCs w:val="22"/>
              </w:rPr>
              <w:t>1/60</w:t>
            </w:r>
          </w:p>
        </w:tc>
        <w:tc>
          <w:tcPr>
            <w:tcW w:w="81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82487A" w:rsidP="00D91F68" w14:paraId="246760A7" w14:textId="28B3C3C2">
            <w:pPr>
              <w:jc w:val="center"/>
              <w:rPr>
                <w:sz w:val="22"/>
                <w:szCs w:val="22"/>
              </w:rPr>
            </w:pPr>
            <w:r w:rsidRPr="5C516CCC">
              <w:rPr>
                <w:sz w:val="22"/>
                <w:szCs w:val="22"/>
              </w:rPr>
              <w:t>9</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82487A" w:rsidP="00D91F68" w14:paraId="5EECA9DE" w14:textId="667CB0DD">
            <w:pPr>
              <w:jc w:val="center"/>
              <w:rPr>
                <w:sz w:val="22"/>
                <w:szCs w:val="22"/>
              </w:rPr>
            </w:pPr>
            <w:r w:rsidRPr="5C516CCC">
              <w:rPr>
                <w:sz w:val="22"/>
                <w:szCs w:val="22"/>
              </w:rPr>
              <w:t>$53.70</w:t>
            </w:r>
          </w:p>
        </w:tc>
        <w:tc>
          <w:tcPr>
            <w:tcW w:w="1350" w:type="dxa"/>
            <w:tcBorders>
              <w:top w:val="single" w:sz="4" w:space="0" w:color="auto"/>
              <w:left w:val="single" w:sz="4" w:space="0" w:color="auto"/>
              <w:bottom w:val="single" w:sz="4" w:space="0" w:color="auto"/>
              <w:right w:val="single" w:sz="8" w:space="0" w:color="auto"/>
            </w:tcBorders>
            <w:shd w:val="clear" w:color="auto" w:fill="B4C6E7"/>
            <w:tcMar>
              <w:top w:w="15" w:type="dxa"/>
              <w:left w:w="15" w:type="dxa"/>
              <w:right w:w="15" w:type="dxa"/>
            </w:tcMar>
            <w:vAlign w:val="center"/>
          </w:tcPr>
          <w:p w:rsidR="638B37EC" w:rsidRPr="0082487A" w:rsidP="00D91F68" w14:paraId="1036BF52" w14:textId="5DB7A474">
            <w:pPr>
              <w:jc w:val="center"/>
              <w:rPr>
                <w:sz w:val="22"/>
                <w:szCs w:val="22"/>
              </w:rPr>
            </w:pPr>
            <w:r w:rsidRPr="5C516CCC">
              <w:rPr>
                <w:sz w:val="22"/>
                <w:szCs w:val="22"/>
              </w:rPr>
              <w:t>$483.30</w:t>
            </w:r>
          </w:p>
        </w:tc>
      </w:tr>
      <w:tr w14:paraId="589C177B" w14:textId="77777777" w:rsidTr="5C516CCC">
        <w:tblPrEx>
          <w:tblW w:w="9800" w:type="dxa"/>
          <w:tblLayout w:type="fixed"/>
          <w:tblLook w:val="0680"/>
        </w:tblPrEx>
        <w:trPr>
          <w:trHeight w:val="330"/>
        </w:trPr>
        <w:tc>
          <w:tcPr>
            <w:tcW w:w="1340" w:type="dxa"/>
            <w:tcBorders>
              <w:top w:val="single" w:sz="4" w:space="0" w:color="auto"/>
              <w:left w:val="single" w:sz="8" w:space="0" w:color="auto"/>
              <w:bottom w:val="nil"/>
              <w:right w:val="single" w:sz="4" w:space="0" w:color="auto"/>
            </w:tcBorders>
            <w:shd w:val="clear" w:color="auto" w:fill="D9D9D9" w:themeFill="background1" w:themeFillShade="D9"/>
            <w:tcMar>
              <w:top w:w="15" w:type="dxa"/>
              <w:left w:w="15" w:type="dxa"/>
              <w:right w:w="15" w:type="dxa"/>
            </w:tcMar>
            <w:vAlign w:val="center"/>
          </w:tcPr>
          <w:p w:rsidR="638B37EC" w:rsidRPr="004215A2" w:rsidP="5C516CCC" w14:paraId="3EF8EDB0" w14:textId="5DA3F439">
            <w:pPr>
              <w:rPr>
                <w:b/>
                <w:bCs/>
                <w:color w:val="000000" w:themeColor="text1"/>
                <w:sz w:val="22"/>
                <w:szCs w:val="22"/>
              </w:rPr>
            </w:pPr>
            <w:r w:rsidRPr="5C516CCC">
              <w:rPr>
                <w:b/>
                <w:bCs/>
                <w:color w:val="000000" w:themeColor="text1"/>
                <w:sz w:val="22"/>
                <w:szCs w:val="22"/>
              </w:rPr>
              <w:t>Subtotal</w:t>
            </w:r>
          </w:p>
        </w:tc>
        <w:tc>
          <w:tcPr>
            <w:tcW w:w="1260" w:type="dxa"/>
            <w:tcBorders>
              <w:top w:val="single" w:sz="4" w:space="0" w:color="auto"/>
              <w:left w:val="single" w:sz="4" w:space="0" w:color="auto"/>
              <w:bottom w:val="nil"/>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1887ED50" w14:textId="055912E5">
            <w:pPr>
              <w:jc w:val="center"/>
              <w:rPr>
                <w:sz w:val="22"/>
                <w:szCs w:val="22"/>
              </w:rPr>
            </w:pPr>
            <w:r w:rsidRPr="5C516CCC">
              <w:rPr>
                <w:sz w:val="22"/>
                <w:szCs w:val="22"/>
              </w:rPr>
              <w:t xml:space="preserve"> ---</w:t>
            </w:r>
          </w:p>
        </w:tc>
        <w:tc>
          <w:tcPr>
            <w:tcW w:w="1170" w:type="dxa"/>
            <w:tcBorders>
              <w:top w:val="single" w:sz="4" w:space="0" w:color="auto"/>
              <w:left w:val="single" w:sz="4" w:space="0" w:color="auto"/>
              <w:bottom w:val="nil"/>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1B204F91" w14:textId="53960659">
            <w:pPr>
              <w:jc w:val="center"/>
              <w:rPr>
                <w:sz w:val="22"/>
                <w:szCs w:val="22"/>
              </w:rPr>
            </w:pPr>
            <w:r w:rsidRPr="5C516CCC">
              <w:rPr>
                <w:sz w:val="22"/>
                <w:szCs w:val="22"/>
              </w:rPr>
              <w:t xml:space="preserve"> ---</w:t>
            </w:r>
          </w:p>
        </w:tc>
        <w:tc>
          <w:tcPr>
            <w:tcW w:w="1080" w:type="dxa"/>
            <w:tcBorders>
              <w:top w:val="single" w:sz="4" w:space="0" w:color="auto"/>
              <w:left w:val="single" w:sz="4" w:space="0" w:color="auto"/>
              <w:bottom w:val="nil"/>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6952E0F9" w14:textId="4376C0B2">
            <w:pPr>
              <w:jc w:val="center"/>
              <w:rPr>
                <w:sz w:val="22"/>
                <w:szCs w:val="22"/>
              </w:rPr>
            </w:pPr>
            <w:r w:rsidRPr="5C516CCC">
              <w:rPr>
                <w:sz w:val="22"/>
                <w:szCs w:val="22"/>
              </w:rPr>
              <w:t xml:space="preserve"> ---</w:t>
            </w:r>
          </w:p>
        </w:tc>
        <w:tc>
          <w:tcPr>
            <w:tcW w:w="990" w:type="dxa"/>
            <w:tcBorders>
              <w:top w:val="single" w:sz="4" w:space="0" w:color="auto"/>
              <w:left w:val="single" w:sz="4" w:space="0" w:color="auto"/>
              <w:bottom w:val="nil"/>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255ED74D" w14:textId="77D66F64">
            <w:pPr>
              <w:jc w:val="center"/>
              <w:rPr>
                <w:color w:val="000000" w:themeColor="text1"/>
                <w:sz w:val="22"/>
                <w:szCs w:val="22"/>
              </w:rPr>
            </w:pPr>
            <w:r w:rsidRPr="5C516CCC">
              <w:rPr>
                <w:color w:val="000000" w:themeColor="text1"/>
                <w:sz w:val="22"/>
                <w:szCs w:val="22"/>
              </w:rPr>
              <w:t>608</w:t>
            </w:r>
          </w:p>
        </w:tc>
        <w:tc>
          <w:tcPr>
            <w:tcW w:w="1080" w:type="dxa"/>
            <w:tcBorders>
              <w:top w:val="single" w:sz="4" w:space="0" w:color="auto"/>
              <w:left w:val="single" w:sz="4" w:space="0" w:color="auto"/>
              <w:bottom w:val="nil"/>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0FF84614" w14:textId="693A78F0">
            <w:pPr>
              <w:jc w:val="center"/>
              <w:rPr>
                <w:sz w:val="22"/>
                <w:szCs w:val="22"/>
              </w:rPr>
            </w:pPr>
            <w:r w:rsidRPr="5C516CCC">
              <w:rPr>
                <w:sz w:val="22"/>
                <w:szCs w:val="22"/>
              </w:rPr>
              <w:t xml:space="preserve"> ---</w:t>
            </w:r>
          </w:p>
        </w:tc>
        <w:tc>
          <w:tcPr>
            <w:tcW w:w="810" w:type="dxa"/>
            <w:tcBorders>
              <w:top w:val="single" w:sz="4" w:space="0" w:color="auto"/>
              <w:left w:val="single" w:sz="4" w:space="0" w:color="auto"/>
              <w:bottom w:val="nil"/>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4E75FDF8" w14:textId="7D117B39">
            <w:pPr>
              <w:jc w:val="center"/>
              <w:rPr>
                <w:sz w:val="22"/>
                <w:szCs w:val="22"/>
              </w:rPr>
            </w:pPr>
            <w:r w:rsidRPr="5C516CCC">
              <w:rPr>
                <w:sz w:val="22"/>
                <w:szCs w:val="22"/>
              </w:rPr>
              <w:t>449</w:t>
            </w:r>
          </w:p>
        </w:tc>
        <w:tc>
          <w:tcPr>
            <w:tcW w:w="720" w:type="dxa"/>
            <w:tcBorders>
              <w:top w:val="single" w:sz="4" w:space="0" w:color="auto"/>
              <w:left w:val="single" w:sz="4" w:space="0" w:color="auto"/>
              <w:bottom w:val="nil"/>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63C3DBFF" w14:textId="2A4024EB">
            <w:pPr>
              <w:jc w:val="center"/>
              <w:rPr>
                <w:sz w:val="22"/>
                <w:szCs w:val="22"/>
              </w:rPr>
            </w:pPr>
            <w:r w:rsidRPr="5C516CCC">
              <w:rPr>
                <w:sz w:val="22"/>
                <w:szCs w:val="22"/>
              </w:rPr>
              <w:t xml:space="preserve"> ---</w:t>
            </w:r>
          </w:p>
        </w:tc>
        <w:tc>
          <w:tcPr>
            <w:tcW w:w="1350" w:type="dxa"/>
            <w:tcBorders>
              <w:top w:val="single" w:sz="4" w:space="0" w:color="auto"/>
              <w:left w:val="single" w:sz="4" w:space="0" w:color="auto"/>
              <w:bottom w:val="nil"/>
              <w:right w:val="single" w:sz="8" w:space="0" w:color="auto"/>
            </w:tcBorders>
            <w:shd w:val="clear" w:color="auto" w:fill="D9D9D9" w:themeFill="background1" w:themeFillShade="D9"/>
            <w:tcMar>
              <w:top w:w="15" w:type="dxa"/>
              <w:left w:w="15" w:type="dxa"/>
              <w:right w:w="15" w:type="dxa"/>
            </w:tcMar>
            <w:vAlign w:val="center"/>
          </w:tcPr>
          <w:p w:rsidR="638B37EC" w:rsidRPr="004215A2" w:rsidP="00D91F68" w14:paraId="0812D04F" w14:textId="015B1086">
            <w:pPr>
              <w:jc w:val="center"/>
              <w:rPr>
                <w:sz w:val="22"/>
                <w:szCs w:val="22"/>
              </w:rPr>
            </w:pPr>
            <w:r w:rsidRPr="5C516CCC">
              <w:rPr>
                <w:sz w:val="22"/>
                <w:szCs w:val="22"/>
              </w:rPr>
              <w:t>$24,111.30</w:t>
            </w:r>
          </w:p>
        </w:tc>
      </w:tr>
      <w:tr w14:paraId="13E1A46D" w14:textId="77777777" w:rsidTr="5C516CCC">
        <w:tblPrEx>
          <w:tblW w:w="9800" w:type="dxa"/>
          <w:tblLayout w:type="fixed"/>
          <w:tblLook w:val="0680"/>
        </w:tblPrEx>
        <w:trPr>
          <w:trHeight w:val="960"/>
        </w:trPr>
        <w:tc>
          <w:tcPr>
            <w:tcW w:w="1340" w:type="dxa"/>
            <w:tcBorders>
              <w:top w:val="single" w:sz="8" w:space="0" w:color="auto"/>
              <w:left w:val="single" w:sz="8" w:space="0" w:color="auto"/>
              <w:bottom w:val="single" w:sz="8" w:space="0" w:color="auto"/>
              <w:right w:val="single" w:sz="4" w:space="0" w:color="auto"/>
            </w:tcBorders>
            <w:tcMar>
              <w:top w:w="15" w:type="dxa"/>
              <w:left w:w="15" w:type="dxa"/>
              <w:right w:w="15" w:type="dxa"/>
            </w:tcMar>
            <w:vAlign w:val="center"/>
          </w:tcPr>
          <w:p w:rsidR="638B37EC" w:rsidRPr="0082487A" w:rsidP="5C516CCC" w14:paraId="7FFFEA46" w14:textId="4B08F8DF">
            <w:pPr>
              <w:rPr>
                <w:sz w:val="22"/>
                <w:szCs w:val="22"/>
              </w:rPr>
            </w:pPr>
            <w:r w:rsidRPr="5C516CCC">
              <w:rPr>
                <w:color w:val="000000" w:themeColor="text1"/>
                <w:sz w:val="22"/>
                <w:szCs w:val="22"/>
              </w:rPr>
              <w:t xml:space="preserve">11) Marking H20 containers </w:t>
            </w:r>
          </w:p>
        </w:tc>
        <w:tc>
          <w:tcPr>
            <w:tcW w:w="126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82487A" w:rsidP="00D91F68" w14:paraId="4C3D0461" w14:textId="1DA635B2">
            <w:pPr>
              <w:jc w:val="center"/>
              <w:rPr>
                <w:sz w:val="22"/>
                <w:szCs w:val="22"/>
              </w:rPr>
            </w:pPr>
            <w:r w:rsidRPr="5C516CCC">
              <w:rPr>
                <w:sz w:val="22"/>
                <w:szCs w:val="22"/>
              </w:rPr>
              <w:t xml:space="preserve">Occupational Safety and Health Specialist </w:t>
            </w:r>
          </w:p>
        </w:tc>
        <w:tc>
          <w:tcPr>
            <w:tcW w:w="117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P="00D91F68" w14:paraId="0A137651" w14:textId="44E7EDCC">
            <w:pPr>
              <w:jc w:val="center"/>
              <w:rPr>
                <w:sz w:val="24"/>
                <w:szCs w:val="24"/>
              </w:rPr>
            </w:pPr>
            <w:r w:rsidRPr="5C516CCC">
              <w:rPr>
                <w:sz w:val="24"/>
                <w:szCs w:val="24"/>
              </w:rPr>
              <w:t>55</w:t>
            </w:r>
          </w:p>
        </w:tc>
        <w:tc>
          <w:tcPr>
            <w:tcW w:w="108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P="00D91F68" w14:paraId="522720C2" w14:textId="261359F1">
            <w:pPr>
              <w:jc w:val="center"/>
              <w:rPr>
                <w:sz w:val="24"/>
                <w:szCs w:val="24"/>
              </w:rPr>
            </w:pPr>
            <w:r w:rsidRPr="5C516CCC">
              <w:rPr>
                <w:sz w:val="24"/>
                <w:szCs w:val="24"/>
              </w:rPr>
              <w:t>10</w:t>
            </w:r>
          </w:p>
        </w:tc>
        <w:tc>
          <w:tcPr>
            <w:tcW w:w="990" w:type="dxa"/>
            <w:tcBorders>
              <w:top w:val="single" w:sz="8" w:space="0" w:color="auto"/>
              <w:left w:val="single" w:sz="4" w:space="0" w:color="auto"/>
              <w:bottom w:val="single" w:sz="8" w:space="0" w:color="auto"/>
              <w:right w:val="single" w:sz="4" w:space="0" w:color="auto"/>
            </w:tcBorders>
            <w:shd w:val="clear" w:color="auto" w:fill="B4C6E7"/>
            <w:tcMar>
              <w:top w:w="15" w:type="dxa"/>
              <w:left w:w="15" w:type="dxa"/>
              <w:right w:w="15" w:type="dxa"/>
            </w:tcMar>
            <w:vAlign w:val="center"/>
          </w:tcPr>
          <w:p w:rsidR="638B37EC" w:rsidRPr="0082487A" w:rsidP="00D91F68" w14:paraId="7EFC1D53" w14:textId="303598B3">
            <w:pPr>
              <w:jc w:val="center"/>
              <w:rPr>
                <w:color w:val="000000" w:themeColor="text1"/>
                <w:sz w:val="22"/>
                <w:szCs w:val="22"/>
              </w:rPr>
            </w:pPr>
            <w:r w:rsidRPr="5C516CCC">
              <w:rPr>
                <w:color w:val="000000" w:themeColor="text1"/>
                <w:sz w:val="22"/>
                <w:szCs w:val="22"/>
              </w:rPr>
              <w:t>550</w:t>
            </w:r>
          </w:p>
        </w:tc>
        <w:tc>
          <w:tcPr>
            <w:tcW w:w="108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77BE7B03" w:rsidRPr="0082487A" w:rsidP="00D91F68" w14:paraId="1EF8443D" w14:textId="2FB630FD">
            <w:pPr>
              <w:jc w:val="center"/>
              <w:rPr>
                <w:sz w:val="22"/>
                <w:szCs w:val="22"/>
              </w:rPr>
            </w:pPr>
            <w:r w:rsidRPr="5C516CCC">
              <w:rPr>
                <w:sz w:val="22"/>
                <w:szCs w:val="22"/>
              </w:rPr>
              <w:t>1/60</w:t>
            </w:r>
          </w:p>
        </w:tc>
        <w:tc>
          <w:tcPr>
            <w:tcW w:w="810" w:type="dxa"/>
            <w:tcBorders>
              <w:top w:val="single" w:sz="8" w:space="0" w:color="auto"/>
              <w:left w:val="single" w:sz="4" w:space="0" w:color="auto"/>
              <w:bottom w:val="single" w:sz="8" w:space="0" w:color="auto"/>
              <w:right w:val="single" w:sz="4" w:space="0" w:color="auto"/>
            </w:tcBorders>
            <w:shd w:val="clear" w:color="auto" w:fill="B4C6E7"/>
            <w:tcMar>
              <w:top w:w="15" w:type="dxa"/>
              <w:left w:w="15" w:type="dxa"/>
              <w:right w:w="15" w:type="dxa"/>
            </w:tcMar>
            <w:vAlign w:val="center"/>
          </w:tcPr>
          <w:p w:rsidR="638B37EC" w:rsidRPr="0082487A" w:rsidP="00D91F68" w14:paraId="6E649965" w14:textId="0CB7E327">
            <w:pPr>
              <w:jc w:val="center"/>
              <w:rPr>
                <w:sz w:val="22"/>
                <w:szCs w:val="22"/>
              </w:rPr>
            </w:pPr>
            <w:r w:rsidRPr="5C516CCC">
              <w:rPr>
                <w:sz w:val="22"/>
                <w:szCs w:val="22"/>
              </w:rPr>
              <w:t>92</w:t>
            </w:r>
          </w:p>
        </w:tc>
        <w:tc>
          <w:tcPr>
            <w:tcW w:w="72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82487A" w:rsidP="00D91F68" w14:paraId="368C4D79" w14:textId="3DD7101F">
            <w:pPr>
              <w:jc w:val="center"/>
              <w:rPr>
                <w:sz w:val="22"/>
                <w:szCs w:val="22"/>
              </w:rPr>
            </w:pPr>
            <w:r w:rsidRPr="5C516CCC">
              <w:rPr>
                <w:sz w:val="22"/>
                <w:szCs w:val="22"/>
              </w:rPr>
              <w:t>$53.70</w:t>
            </w:r>
          </w:p>
        </w:tc>
        <w:tc>
          <w:tcPr>
            <w:tcW w:w="1350" w:type="dxa"/>
            <w:tcBorders>
              <w:top w:val="single" w:sz="8" w:space="0" w:color="auto"/>
              <w:left w:val="single" w:sz="4" w:space="0" w:color="auto"/>
              <w:bottom w:val="single" w:sz="8" w:space="0" w:color="auto"/>
              <w:right w:val="single" w:sz="8" w:space="0" w:color="auto"/>
            </w:tcBorders>
            <w:shd w:val="clear" w:color="auto" w:fill="B4C6E7"/>
            <w:tcMar>
              <w:top w:w="15" w:type="dxa"/>
              <w:left w:w="15" w:type="dxa"/>
              <w:right w:w="15" w:type="dxa"/>
            </w:tcMar>
            <w:vAlign w:val="center"/>
          </w:tcPr>
          <w:p w:rsidR="638B37EC" w:rsidRPr="0082487A" w:rsidP="00D91F68" w14:paraId="172C2AD8" w14:textId="6403A330">
            <w:pPr>
              <w:jc w:val="center"/>
              <w:rPr>
                <w:sz w:val="22"/>
                <w:szCs w:val="22"/>
              </w:rPr>
            </w:pPr>
            <w:r w:rsidRPr="5C516CCC">
              <w:rPr>
                <w:sz w:val="22"/>
                <w:szCs w:val="22"/>
              </w:rPr>
              <w:t>$4,940.40</w:t>
            </w:r>
          </w:p>
        </w:tc>
      </w:tr>
      <w:tr w14:paraId="39EC45E5" w14:textId="77777777" w:rsidTr="5C516CCC">
        <w:tblPrEx>
          <w:tblW w:w="9800" w:type="dxa"/>
          <w:tblLayout w:type="fixed"/>
          <w:tblLook w:val="0680"/>
        </w:tblPrEx>
        <w:trPr>
          <w:trHeight w:val="105"/>
        </w:trPr>
        <w:tc>
          <w:tcPr>
            <w:tcW w:w="1340"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5C516CCC" w14:paraId="65DBE1A5" w14:textId="4BEA7B46">
            <w:r w:rsidRPr="5C516CCC">
              <w:rPr>
                <w:color w:val="000000" w:themeColor="text1"/>
                <w:sz w:val="24"/>
                <w:szCs w:val="24"/>
              </w:rPr>
              <w:t xml:space="preserve"> </w:t>
            </w:r>
          </w:p>
        </w:tc>
        <w:tc>
          <w:tcPr>
            <w:tcW w:w="126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23DC504D" w14:textId="5AF67815">
            <w:pPr>
              <w:jc w:val="center"/>
              <w:rPr>
                <w:sz w:val="24"/>
                <w:szCs w:val="24"/>
              </w:rPr>
            </w:pPr>
            <w:r w:rsidRPr="5C516CCC">
              <w:rPr>
                <w:sz w:val="24"/>
                <w:szCs w:val="24"/>
              </w:rPr>
              <w:t xml:space="preserve"> </w:t>
            </w:r>
          </w:p>
        </w:tc>
        <w:tc>
          <w:tcPr>
            <w:tcW w:w="117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623055F6" w14:textId="342DE3D8">
            <w:pPr>
              <w:jc w:val="center"/>
              <w:rPr>
                <w:sz w:val="24"/>
                <w:szCs w:val="24"/>
              </w:rPr>
            </w:pPr>
            <w:r w:rsidRPr="5C516CCC">
              <w:rPr>
                <w:sz w:val="24"/>
                <w:szCs w:val="24"/>
              </w:rPr>
              <w:t xml:space="preserve"> </w:t>
            </w:r>
          </w:p>
        </w:tc>
        <w:tc>
          <w:tcPr>
            <w:tcW w:w="10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2710784F" w14:textId="02B47EE1">
            <w:pPr>
              <w:jc w:val="center"/>
              <w:rPr>
                <w:sz w:val="24"/>
                <w:szCs w:val="24"/>
              </w:rPr>
            </w:pPr>
            <w:r w:rsidRPr="5C516CCC">
              <w:rPr>
                <w:sz w:val="24"/>
                <w:szCs w:val="24"/>
              </w:rPr>
              <w:t xml:space="preserve"> </w:t>
            </w:r>
          </w:p>
        </w:tc>
        <w:tc>
          <w:tcPr>
            <w:tcW w:w="99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74A8309D" w14:textId="0A658F8C">
            <w:pPr>
              <w:jc w:val="center"/>
              <w:rPr>
                <w:color w:val="000000" w:themeColor="text1"/>
                <w:sz w:val="24"/>
                <w:szCs w:val="24"/>
              </w:rPr>
            </w:pPr>
            <w:r w:rsidRPr="5C516CCC">
              <w:rPr>
                <w:color w:val="000000" w:themeColor="text1"/>
                <w:sz w:val="24"/>
                <w:szCs w:val="24"/>
              </w:rPr>
              <w:t xml:space="preserve"> </w:t>
            </w:r>
          </w:p>
        </w:tc>
        <w:tc>
          <w:tcPr>
            <w:tcW w:w="10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66F3523D" w14:textId="55546F34">
            <w:pPr>
              <w:jc w:val="center"/>
              <w:rPr>
                <w:sz w:val="24"/>
                <w:szCs w:val="24"/>
              </w:rPr>
            </w:pPr>
            <w:r w:rsidRPr="5C516CCC">
              <w:rPr>
                <w:sz w:val="24"/>
                <w:szCs w:val="24"/>
              </w:rPr>
              <w:t xml:space="preserve"> </w:t>
            </w:r>
          </w:p>
        </w:tc>
        <w:tc>
          <w:tcPr>
            <w:tcW w:w="81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40BC6583" w14:textId="0AC9A56E">
            <w:pPr>
              <w:jc w:val="center"/>
              <w:rPr>
                <w:sz w:val="24"/>
                <w:szCs w:val="24"/>
              </w:rPr>
            </w:pPr>
            <w:r w:rsidRPr="5C516CCC">
              <w:rPr>
                <w:sz w:val="24"/>
                <w:szCs w:val="24"/>
              </w:rPr>
              <w:t xml:space="preserve"> </w:t>
            </w:r>
          </w:p>
        </w:tc>
        <w:tc>
          <w:tcPr>
            <w:tcW w:w="72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2E198C6C" w14:textId="5CF61BF6">
            <w:pPr>
              <w:jc w:val="center"/>
              <w:rPr>
                <w:sz w:val="24"/>
                <w:szCs w:val="24"/>
              </w:rPr>
            </w:pPr>
            <w:r w:rsidRPr="5C516CCC">
              <w:rPr>
                <w:sz w:val="24"/>
                <w:szCs w:val="24"/>
              </w:rPr>
              <w:t xml:space="preserve"> </w:t>
            </w:r>
          </w:p>
        </w:tc>
        <w:tc>
          <w:tcPr>
            <w:tcW w:w="1350"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rsidR="638B37EC" w:rsidP="00D91F68" w14:paraId="6CC4E31C" w14:textId="4D54BA51">
            <w:pPr>
              <w:jc w:val="center"/>
              <w:rPr>
                <w:sz w:val="24"/>
                <w:szCs w:val="24"/>
              </w:rPr>
            </w:pPr>
            <w:r w:rsidRPr="5C516CCC">
              <w:rPr>
                <w:sz w:val="24"/>
                <w:szCs w:val="24"/>
              </w:rPr>
              <w:t xml:space="preserve"> </w:t>
            </w:r>
          </w:p>
        </w:tc>
      </w:tr>
      <w:tr w14:paraId="0633B759" w14:textId="77777777" w:rsidTr="5C516CCC">
        <w:tblPrEx>
          <w:tblW w:w="9800" w:type="dxa"/>
          <w:tblLayout w:type="fixed"/>
          <w:tblLook w:val="0680"/>
        </w:tblPrEx>
        <w:trPr>
          <w:trHeight w:val="960"/>
        </w:trPr>
        <w:tc>
          <w:tcPr>
            <w:tcW w:w="1340" w:type="dxa"/>
            <w:tcBorders>
              <w:top w:val="single" w:sz="8" w:space="0" w:color="auto"/>
              <w:left w:val="single" w:sz="8" w:space="0" w:color="auto"/>
              <w:bottom w:val="single" w:sz="8" w:space="0" w:color="auto"/>
              <w:right w:val="single" w:sz="4" w:space="0" w:color="auto"/>
            </w:tcBorders>
            <w:tcMar>
              <w:top w:w="15" w:type="dxa"/>
              <w:left w:w="15" w:type="dxa"/>
              <w:right w:w="15" w:type="dxa"/>
            </w:tcMar>
            <w:vAlign w:val="center"/>
          </w:tcPr>
          <w:p w:rsidR="638B37EC" w:rsidRPr="0082487A" w:rsidP="5C516CCC" w14:paraId="454F74C6" w14:textId="29A39F38">
            <w:pPr>
              <w:rPr>
                <w:sz w:val="22"/>
                <w:szCs w:val="22"/>
              </w:rPr>
            </w:pPr>
            <w:r w:rsidRPr="5C516CCC">
              <w:rPr>
                <w:color w:val="000000" w:themeColor="text1"/>
                <w:sz w:val="22"/>
                <w:szCs w:val="22"/>
              </w:rPr>
              <w:t xml:space="preserve">12) Marking of outlets non potable H20 </w:t>
            </w:r>
          </w:p>
        </w:tc>
        <w:tc>
          <w:tcPr>
            <w:tcW w:w="126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82487A" w:rsidP="00D91F68" w14:paraId="2AF8F7F3" w14:textId="1DC7A914">
            <w:pPr>
              <w:jc w:val="center"/>
              <w:rPr>
                <w:sz w:val="22"/>
                <w:szCs w:val="22"/>
              </w:rPr>
            </w:pPr>
            <w:r w:rsidRPr="5C516CCC">
              <w:rPr>
                <w:sz w:val="22"/>
                <w:szCs w:val="22"/>
              </w:rPr>
              <w:t xml:space="preserve">Occupational Safety and Health Specialist </w:t>
            </w:r>
          </w:p>
        </w:tc>
        <w:tc>
          <w:tcPr>
            <w:tcW w:w="117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E608DD" w:rsidP="00D91F68" w14:paraId="5653CA2D" w14:textId="1802C133">
            <w:pPr>
              <w:jc w:val="center"/>
              <w:rPr>
                <w:sz w:val="22"/>
                <w:szCs w:val="22"/>
              </w:rPr>
            </w:pPr>
            <w:r w:rsidRPr="5C516CCC">
              <w:rPr>
                <w:sz w:val="22"/>
                <w:szCs w:val="22"/>
              </w:rPr>
              <w:t>55</w:t>
            </w:r>
          </w:p>
        </w:tc>
        <w:tc>
          <w:tcPr>
            <w:tcW w:w="108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E608DD" w:rsidP="00D91F68" w14:paraId="3F23FBB9" w14:textId="2C443EAF">
            <w:pPr>
              <w:jc w:val="center"/>
              <w:rPr>
                <w:sz w:val="22"/>
                <w:szCs w:val="22"/>
              </w:rPr>
            </w:pPr>
            <w:r w:rsidRPr="5C516CCC">
              <w:rPr>
                <w:sz w:val="22"/>
                <w:szCs w:val="22"/>
              </w:rPr>
              <w:t>10</w:t>
            </w:r>
          </w:p>
        </w:tc>
        <w:tc>
          <w:tcPr>
            <w:tcW w:w="990" w:type="dxa"/>
            <w:tcBorders>
              <w:top w:val="single" w:sz="8" w:space="0" w:color="auto"/>
              <w:left w:val="single" w:sz="4" w:space="0" w:color="auto"/>
              <w:bottom w:val="single" w:sz="8" w:space="0" w:color="auto"/>
              <w:right w:val="single" w:sz="4" w:space="0" w:color="auto"/>
            </w:tcBorders>
            <w:shd w:val="clear" w:color="auto" w:fill="B4C6E7"/>
            <w:tcMar>
              <w:top w:w="15" w:type="dxa"/>
              <w:left w:w="15" w:type="dxa"/>
              <w:right w:w="15" w:type="dxa"/>
            </w:tcMar>
            <w:vAlign w:val="center"/>
          </w:tcPr>
          <w:p w:rsidR="638B37EC" w:rsidRPr="00E608DD" w:rsidP="00D91F68" w14:paraId="7D4FCA9A" w14:textId="5F12C279">
            <w:pPr>
              <w:jc w:val="center"/>
              <w:rPr>
                <w:color w:val="000000" w:themeColor="text1"/>
                <w:sz w:val="22"/>
                <w:szCs w:val="22"/>
              </w:rPr>
            </w:pPr>
            <w:r w:rsidRPr="5C516CCC">
              <w:rPr>
                <w:color w:val="000000" w:themeColor="text1"/>
                <w:sz w:val="22"/>
                <w:szCs w:val="22"/>
              </w:rPr>
              <w:t>550</w:t>
            </w:r>
          </w:p>
        </w:tc>
        <w:tc>
          <w:tcPr>
            <w:tcW w:w="108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71E52B12" w:rsidRPr="00E608DD" w:rsidP="00D91F68" w14:paraId="35432FAE" w14:textId="46741450">
            <w:pPr>
              <w:jc w:val="center"/>
              <w:rPr>
                <w:sz w:val="22"/>
                <w:szCs w:val="22"/>
              </w:rPr>
            </w:pPr>
            <w:r w:rsidRPr="5C516CCC">
              <w:rPr>
                <w:sz w:val="22"/>
                <w:szCs w:val="22"/>
              </w:rPr>
              <w:t>1/60</w:t>
            </w:r>
          </w:p>
        </w:tc>
        <w:tc>
          <w:tcPr>
            <w:tcW w:w="810" w:type="dxa"/>
            <w:tcBorders>
              <w:top w:val="single" w:sz="8" w:space="0" w:color="auto"/>
              <w:left w:val="single" w:sz="4" w:space="0" w:color="auto"/>
              <w:bottom w:val="single" w:sz="8" w:space="0" w:color="auto"/>
              <w:right w:val="single" w:sz="4" w:space="0" w:color="auto"/>
            </w:tcBorders>
            <w:shd w:val="clear" w:color="auto" w:fill="B4C6E7"/>
            <w:tcMar>
              <w:top w:w="15" w:type="dxa"/>
              <w:left w:w="15" w:type="dxa"/>
              <w:right w:w="15" w:type="dxa"/>
            </w:tcMar>
            <w:vAlign w:val="center"/>
          </w:tcPr>
          <w:p w:rsidR="638B37EC" w:rsidRPr="00E608DD" w:rsidP="00D91F68" w14:paraId="43C0EF48" w14:textId="4D3C0D23">
            <w:pPr>
              <w:jc w:val="center"/>
              <w:rPr>
                <w:sz w:val="22"/>
                <w:szCs w:val="22"/>
              </w:rPr>
            </w:pPr>
            <w:r w:rsidRPr="5C516CCC">
              <w:rPr>
                <w:sz w:val="22"/>
                <w:szCs w:val="22"/>
              </w:rPr>
              <w:t>9</w:t>
            </w:r>
            <w:r w:rsidRPr="5C516CCC" w:rsidR="4467244D">
              <w:rPr>
                <w:sz w:val="22"/>
                <w:szCs w:val="22"/>
              </w:rPr>
              <w:t>2</w:t>
            </w:r>
          </w:p>
        </w:tc>
        <w:tc>
          <w:tcPr>
            <w:tcW w:w="72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E608DD" w:rsidP="00D91F68" w14:paraId="669EE903" w14:textId="68E974CA">
            <w:pPr>
              <w:jc w:val="center"/>
              <w:rPr>
                <w:sz w:val="22"/>
                <w:szCs w:val="22"/>
              </w:rPr>
            </w:pPr>
            <w:r w:rsidRPr="5C516CCC">
              <w:rPr>
                <w:sz w:val="22"/>
                <w:szCs w:val="22"/>
              </w:rPr>
              <w:t>$53.70</w:t>
            </w:r>
          </w:p>
        </w:tc>
        <w:tc>
          <w:tcPr>
            <w:tcW w:w="1350" w:type="dxa"/>
            <w:tcBorders>
              <w:top w:val="single" w:sz="8" w:space="0" w:color="auto"/>
              <w:left w:val="single" w:sz="4" w:space="0" w:color="auto"/>
              <w:bottom w:val="single" w:sz="8" w:space="0" w:color="auto"/>
              <w:right w:val="single" w:sz="8" w:space="0" w:color="auto"/>
            </w:tcBorders>
            <w:shd w:val="clear" w:color="auto" w:fill="B4C6E7"/>
            <w:tcMar>
              <w:top w:w="15" w:type="dxa"/>
              <w:left w:w="15" w:type="dxa"/>
              <w:right w:w="15" w:type="dxa"/>
            </w:tcMar>
            <w:vAlign w:val="center"/>
          </w:tcPr>
          <w:p w:rsidR="638B37EC" w:rsidRPr="00E608DD" w:rsidP="00D91F68" w14:paraId="4B9F5F4B" w14:textId="0123CE8A">
            <w:pPr>
              <w:jc w:val="center"/>
              <w:rPr>
                <w:sz w:val="22"/>
                <w:szCs w:val="22"/>
              </w:rPr>
            </w:pPr>
            <w:r w:rsidRPr="5C516CCC">
              <w:rPr>
                <w:sz w:val="22"/>
                <w:szCs w:val="22"/>
              </w:rPr>
              <w:t>$4,922.50</w:t>
            </w:r>
          </w:p>
        </w:tc>
      </w:tr>
      <w:tr w14:paraId="4F913FE0" w14:textId="77777777" w:rsidTr="5C516CCC">
        <w:tblPrEx>
          <w:tblW w:w="9800" w:type="dxa"/>
          <w:tblLayout w:type="fixed"/>
          <w:tblLook w:val="0680"/>
        </w:tblPrEx>
        <w:trPr>
          <w:trHeight w:val="105"/>
        </w:trPr>
        <w:tc>
          <w:tcPr>
            <w:tcW w:w="1340"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5C516CCC" w14:paraId="71557E84" w14:textId="2EB55B13">
            <w:r w:rsidRPr="5C516CCC">
              <w:rPr>
                <w:color w:val="000000" w:themeColor="text1"/>
                <w:sz w:val="24"/>
                <w:szCs w:val="24"/>
              </w:rPr>
              <w:t xml:space="preserve"> </w:t>
            </w:r>
          </w:p>
        </w:tc>
        <w:tc>
          <w:tcPr>
            <w:tcW w:w="126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21954F96" w14:textId="531AF986">
            <w:pPr>
              <w:jc w:val="center"/>
              <w:rPr>
                <w:sz w:val="24"/>
                <w:szCs w:val="24"/>
              </w:rPr>
            </w:pPr>
            <w:r w:rsidRPr="5C516CCC">
              <w:rPr>
                <w:sz w:val="24"/>
                <w:szCs w:val="24"/>
              </w:rPr>
              <w:t xml:space="preserve"> </w:t>
            </w:r>
          </w:p>
        </w:tc>
        <w:tc>
          <w:tcPr>
            <w:tcW w:w="117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22AC7C11" w14:textId="02D57886">
            <w:pPr>
              <w:jc w:val="center"/>
              <w:rPr>
                <w:sz w:val="24"/>
                <w:szCs w:val="24"/>
              </w:rPr>
            </w:pPr>
            <w:r w:rsidRPr="5C516CCC">
              <w:rPr>
                <w:sz w:val="24"/>
                <w:szCs w:val="24"/>
              </w:rPr>
              <w:t xml:space="preserve"> </w:t>
            </w:r>
          </w:p>
        </w:tc>
        <w:tc>
          <w:tcPr>
            <w:tcW w:w="10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77A3EDBF" w14:textId="66406AD4">
            <w:pPr>
              <w:jc w:val="center"/>
              <w:rPr>
                <w:sz w:val="24"/>
                <w:szCs w:val="24"/>
              </w:rPr>
            </w:pPr>
            <w:r w:rsidRPr="5C516CCC">
              <w:rPr>
                <w:sz w:val="24"/>
                <w:szCs w:val="24"/>
              </w:rPr>
              <w:t xml:space="preserve"> </w:t>
            </w:r>
          </w:p>
        </w:tc>
        <w:tc>
          <w:tcPr>
            <w:tcW w:w="99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0FD8A79E" w14:textId="04B51E37">
            <w:pPr>
              <w:jc w:val="center"/>
              <w:rPr>
                <w:color w:val="000000" w:themeColor="text1"/>
                <w:sz w:val="24"/>
                <w:szCs w:val="24"/>
              </w:rPr>
            </w:pPr>
            <w:r w:rsidRPr="5C516CCC">
              <w:rPr>
                <w:color w:val="000000" w:themeColor="text1"/>
                <w:sz w:val="24"/>
                <w:szCs w:val="24"/>
              </w:rPr>
              <w:t xml:space="preserve"> </w:t>
            </w:r>
          </w:p>
        </w:tc>
        <w:tc>
          <w:tcPr>
            <w:tcW w:w="10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388480FF" w14:textId="6D4788EA">
            <w:pPr>
              <w:jc w:val="center"/>
              <w:rPr>
                <w:sz w:val="24"/>
                <w:szCs w:val="24"/>
              </w:rPr>
            </w:pPr>
            <w:r w:rsidRPr="5C516CCC">
              <w:rPr>
                <w:sz w:val="24"/>
                <w:szCs w:val="24"/>
              </w:rPr>
              <w:t xml:space="preserve"> </w:t>
            </w:r>
          </w:p>
        </w:tc>
        <w:tc>
          <w:tcPr>
            <w:tcW w:w="81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1D7A714D" w14:textId="6AEB1B01">
            <w:pPr>
              <w:jc w:val="center"/>
              <w:rPr>
                <w:sz w:val="24"/>
                <w:szCs w:val="24"/>
              </w:rPr>
            </w:pPr>
            <w:r w:rsidRPr="5C516CCC">
              <w:rPr>
                <w:sz w:val="24"/>
                <w:szCs w:val="24"/>
              </w:rPr>
              <w:t xml:space="preserve"> </w:t>
            </w:r>
          </w:p>
        </w:tc>
        <w:tc>
          <w:tcPr>
            <w:tcW w:w="72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331BCCC8" w14:textId="644538F8">
            <w:pPr>
              <w:jc w:val="center"/>
              <w:rPr>
                <w:sz w:val="24"/>
                <w:szCs w:val="24"/>
              </w:rPr>
            </w:pPr>
            <w:r w:rsidRPr="5C516CCC">
              <w:rPr>
                <w:sz w:val="24"/>
                <w:szCs w:val="24"/>
              </w:rPr>
              <w:t xml:space="preserve"> </w:t>
            </w:r>
          </w:p>
        </w:tc>
        <w:tc>
          <w:tcPr>
            <w:tcW w:w="1350"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rsidR="638B37EC" w:rsidP="00D91F68" w14:paraId="11F6EE88" w14:textId="07AF54F9">
            <w:pPr>
              <w:jc w:val="center"/>
              <w:rPr>
                <w:sz w:val="24"/>
                <w:szCs w:val="24"/>
              </w:rPr>
            </w:pPr>
            <w:r w:rsidRPr="5C516CCC">
              <w:rPr>
                <w:sz w:val="24"/>
                <w:szCs w:val="24"/>
              </w:rPr>
              <w:t xml:space="preserve"> </w:t>
            </w:r>
          </w:p>
        </w:tc>
      </w:tr>
      <w:tr w14:paraId="759CC478" w14:textId="77777777" w:rsidTr="5C516CCC">
        <w:tblPrEx>
          <w:tblW w:w="9800" w:type="dxa"/>
          <w:tblLayout w:type="fixed"/>
          <w:tblLook w:val="0680"/>
        </w:tblPrEx>
        <w:trPr>
          <w:trHeight w:val="960"/>
        </w:trPr>
        <w:tc>
          <w:tcPr>
            <w:tcW w:w="1340" w:type="dxa"/>
            <w:tcBorders>
              <w:top w:val="single" w:sz="8" w:space="0" w:color="auto"/>
              <w:left w:val="single" w:sz="8" w:space="0" w:color="auto"/>
              <w:bottom w:val="single" w:sz="8" w:space="0" w:color="auto"/>
              <w:right w:val="single" w:sz="4" w:space="0" w:color="auto"/>
            </w:tcBorders>
            <w:tcMar>
              <w:top w:w="15" w:type="dxa"/>
              <w:left w:w="15" w:type="dxa"/>
              <w:right w:w="15" w:type="dxa"/>
            </w:tcMar>
            <w:vAlign w:val="center"/>
          </w:tcPr>
          <w:p w:rsidR="638B37EC" w:rsidRPr="00E608DD" w:rsidP="5C516CCC" w14:paraId="5BC65411" w14:textId="29049AB2">
            <w:pPr>
              <w:rPr>
                <w:sz w:val="22"/>
                <w:szCs w:val="22"/>
              </w:rPr>
            </w:pPr>
            <w:r w:rsidRPr="5C516CCC">
              <w:rPr>
                <w:color w:val="000000" w:themeColor="text1"/>
                <w:sz w:val="22"/>
                <w:szCs w:val="22"/>
              </w:rPr>
              <w:t xml:space="preserve">13) New Technology Requirements </w:t>
            </w:r>
          </w:p>
        </w:tc>
        <w:tc>
          <w:tcPr>
            <w:tcW w:w="126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E608DD" w:rsidP="00D91F68" w14:paraId="67388D02" w14:textId="1C8F55B1">
            <w:pPr>
              <w:jc w:val="center"/>
              <w:rPr>
                <w:sz w:val="22"/>
                <w:szCs w:val="22"/>
              </w:rPr>
            </w:pPr>
            <w:r w:rsidRPr="5C516CCC">
              <w:rPr>
                <w:sz w:val="22"/>
                <w:szCs w:val="22"/>
              </w:rPr>
              <w:t xml:space="preserve">Occupational Safety and Health Specialist </w:t>
            </w:r>
          </w:p>
        </w:tc>
        <w:tc>
          <w:tcPr>
            <w:tcW w:w="117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E608DD" w:rsidP="00D91F68" w14:paraId="0E9F2B2F" w14:textId="0D02256F">
            <w:pPr>
              <w:jc w:val="center"/>
              <w:rPr>
                <w:sz w:val="22"/>
                <w:szCs w:val="22"/>
              </w:rPr>
            </w:pPr>
            <w:r w:rsidRPr="5C516CCC">
              <w:rPr>
                <w:sz w:val="22"/>
                <w:szCs w:val="22"/>
              </w:rPr>
              <w:t>55</w:t>
            </w:r>
          </w:p>
        </w:tc>
        <w:tc>
          <w:tcPr>
            <w:tcW w:w="108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E608DD" w:rsidP="00D91F68" w14:paraId="3123C901" w14:textId="62A699DF">
            <w:pPr>
              <w:jc w:val="center"/>
              <w:rPr>
                <w:sz w:val="22"/>
                <w:szCs w:val="22"/>
              </w:rPr>
            </w:pPr>
            <w:r w:rsidRPr="5C516CCC">
              <w:rPr>
                <w:sz w:val="22"/>
                <w:szCs w:val="22"/>
              </w:rPr>
              <w:t>1</w:t>
            </w:r>
          </w:p>
        </w:tc>
        <w:tc>
          <w:tcPr>
            <w:tcW w:w="990" w:type="dxa"/>
            <w:tcBorders>
              <w:top w:val="single" w:sz="8" w:space="0" w:color="auto"/>
              <w:left w:val="single" w:sz="4" w:space="0" w:color="auto"/>
              <w:bottom w:val="single" w:sz="8" w:space="0" w:color="auto"/>
              <w:right w:val="single" w:sz="4" w:space="0" w:color="auto"/>
            </w:tcBorders>
            <w:shd w:val="clear" w:color="auto" w:fill="B4C6E7"/>
            <w:tcMar>
              <w:top w:w="15" w:type="dxa"/>
              <w:left w:w="15" w:type="dxa"/>
              <w:right w:w="15" w:type="dxa"/>
            </w:tcMar>
            <w:vAlign w:val="center"/>
          </w:tcPr>
          <w:p w:rsidR="638B37EC" w:rsidRPr="00E608DD" w:rsidP="00D91F68" w14:paraId="14BC5DC5" w14:textId="1A6132AD">
            <w:pPr>
              <w:jc w:val="center"/>
              <w:rPr>
                <w:color w:val="000000" w:themeColor="text1"/>
                <w:sz w:val="22"/>
                <w:szCs w:val="22"/>
              </w:rPr>
            </w:pPr>
            <w:r w:rsidRPr="5C516CCC">
              <w:rPr>
                <w:color w:val="000000" w:themeColor="text1"/>
                <w:sz w:val="22"/>
                <w:szCs w:val="22"/>
              </w:rPr>
              <w:t>55</w:t>
            </w:r>
          </w:p>
        </w:tc>
        <w:tc>
          <w:tcPr>
            <w:tcW w:w="108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E608DD" w:rsidP="00D91F68" w14:paraId="54244640" w14:textId="20BD59CC">
            <w:pPr>
              <w:jc w:val="center"/>
              <w:rPr>
                <w:sz w:val="22"/>
                <w:szCs w:val="22"/>
              </w:rPr>
            </w:pPr>
            <w:r w:rsidRPr="5C516CCC">
              <w:rPr>
                <w:sz w:val="22"/>
                <w:szCs w:val="22"/>
              </w:rPr>
              <w:t>6</w:t>
            </w:r>
          </w:p>
        </w:tc>
        <w:tc>
          <w:tcPr>
            <w:tcW w:w="810" w:type="dxa"/>
            <w:tcBorders>
              <w:top w:val="single" w:sz="8" w:space="0" w:color="auto"/>
              <w:left w:val="single" w:sz="4" w:space="0" w:color="auto"/>
              <w:bottom w:val="single" w:sz="8" w:space="0" w:color="auto"/>
              <w:right w:val="single" w:sz="4" w:space="0" w:color="auto"/>
            </w:tcBorders>
            <w:shd w:val="clear" w:color="auto" w:fill="B4C6E7"/>
            <w:tcMar>
              <w:top w:w="15" w:type="dxa"/>
              <w:left w:w="15" w:type="dxa"/>
              <w:right w:w="15" w:type="dxa"/>
            </w:tcMar>
            <w:vAlign w:val="center"/>
          </w:tcPr>
          <w:p w:rsidR="638B37EC" w:rsidRPr="00E608DD" w:rsidP="00D91F68" w14:paraId="2FBDF9ED" w14:textId="2F2BF166">
            <w:pPr>
              <w:jc w:val="center"/>
              <w:rPr>
                <w:sz w:val="22"/>
                <w:szCs w:val="22"/>
              </w:rPr>
            </w:pPr>
            <w:r w:rsidRPr="5C516CCC">
              <w:rPr>
                <w:sz w:val="22"/>
                <w:szCs w:val="22"/>
              </w:rPr>
              <w:t>330</w:t>
            </w:r>
          </w:p>
        </w:tc>
        <w:tc>
          <w:tcPr>
            <w:tcW w:w="72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E608DD" w:rsidP="00D91F68" w14:paraId="18CCB825" w14:textId="0DD4FE15">
            <w:pPr>
              <w:jc w:val="center"/>
              <w:rPr>
                <w:sz w:val="22"/>
                <w:szCs w:val="22"/>
              </w:rPr>
            </w:pPr>
            <w:r w:rsidRPr="5C516CCC">
              <w:rPr>
                <w:sz w:val="22"/>
                <w:szCs w:val="22"/>
              </w:rPr>
              <w:t>$53.70</w:t>
            </w:r>
          </w:p>
        </w:tc>
        <w:tc>
          <w:tcPr>
            <w:tcW w:w="1350" w:type="dxa"/>
            <w:tcBorders>
              <w:top w:val="single" w:sz="8" w:space="0" w:color="auto"/>
              <w:left w:val="single" w:sz="4" w:space="0" w:color="auto"/>
              <w:bottom w:val="single" w:sz="8" w:space="0" w:color="auto"/>
              <w:right w:val="single" w:sz="8" w:space="0" w:color="auto"/>
            </w:tcBorders>
            <w:shd w:val="clear" w:color="auto" w:fill="B4C6E7"/>
            <w:tcMar>
              <w:top w:w="15" w:type="dxa"/>
              <w:left w:w="15" w:type="dxa"/>
              <w:right w:w="15" w:type="dxa"/>
            </w:tcMar>
            <w:vAlign w:val="center"/>
          </w:tcPr>
          <w:p w:rsidR="638B37EC" w:rsidRPr="00E608DD" w:rsidP="00D91F68" w14:paraId="31FC9EE5" w14:textId="2C24325F">
            <w:pPr>
              <w:jc w:val="center"/>
              <w:rPr>
                <w:sz w:val="22"/>
                <w:szCs w:val="22"/>
              </w:rPr>
            </w:pPr>
            <w:r w:rsidRPr="5C516CCC">
              <w:rPr>
                <w:sz w:val="22"/>
                <w:szCs w:val="22"/>
              </w:rPr>
              <w:t>$17,721.00</w:t>
            </w:r>
          </w:p>
        </w:tc>
      </w:tr>
      <w:tr w14:paraId="0A5BA461" w14:textId="77777777" w:rsidTr="5C516CCC">
        <w:tblPrEx>
          <w:tblW w:w="9800" w:type="dxa"/>
          <w:tblLayout w:type="fixed"/>
          <w:tblLook w:val="0680"/>
        </w:tblPrEx>
        <w:trPr>
          <w:trHeight w:val="330"/>
        </w:trPr>
        <w:tc>
          <w:tcPr>
            <w:tcW w:w="1340" w:type="dxa"/>
            <w:tcBorders>
              <w:top w:val="single" w:sz="8" w:space="0" w:color="auto"/>
              <w:left w:val="single" w:sz="8" w:space="0" w:color="auto"/>
              <w:bottom w:val="single" w:sz="8" w:space="0" w:color="auto"/>
              <w:right w:val="single" w:sz="4" w:space="0" w:color="auto"/>
            </w:tcBorders>
            <w:shd w:val="clear" w:color="auto" w:fill="E2EFDA"/>
            <w:tcMar>
              <w:top w:w="15" w:type="dxa"/>
              <w:left w:w="15" w:type="dxa"/>
              <w:right w:w="15" w:type="dxa"/>
            </w:tcMar>
            <w:vAlign w:val="center"/>
          </w:tcPr>
          <w:p w:rsidR="638B37EC" w:rsidRPr="007646E5" w:rsidP="5C516CCC" w14:paraId="19D7B2A9" w14:textId="02726D53">
            <w:pPr>
              <w:rPr>
                <w:b/>
                <w:bCs/>
                <w:color w:val="000000" w:themeColor="text1"/>
                <w:sz w:val="22"/>
                <w:szCs w:val="22"/>
              </w:rPr>
            </w:pPr>
            <w:r w:rsidRPr="5C516CCC">
              <w:rPr>
                <w:b/>
                <w:bCs/>
                <w:color w:val="000000" w:themeColor="text1"/>
                <w:sz w:val="22"/>
                <w:szCs w:val="22"/>
              </w:rPr>
              <w:t>Section Subtotal</w:t>
            </w:r>
          </w:p>
        </w:tc>
        <w:tc>
          <w:tcPr>
            <w:tcW w:w="1260" w:type="dxa"/>
            <w:tcBorders>
              <w:top w:val="single" w:sz="8"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rsidR="638B37EC" w:rsidRPr="007646E5" w:rsidP="00D91F68" w14:paraId="7FD3788A" w14:textId="7978E997">
            <w:pPr>
              <w:jc w:val="center"/>
              <w:rPr>
                <w:sz w:val="22"/>
                <w:szCs w:val="22"/>
              </w:rPr>
            </w:pPr>
            <w:r w:rsidRPr="5C516CCC">
              <w:rPr>
                <w:sz w:val="22"/>
                <w:szCs w:val="22"/>
              </w:rPr>
              <w:t>---</w:t>
            </w:r>
          </w:p>
        </w:tc>
        <w:tc>
          <w:tcPr>
            <w:tcW w:w="1170" w:type="dxa"/>
            <w:tcBorders>
              <w:top w:val="single" w:sz="8"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rsidR="638B37EC" w:rsidRPr="007646E5" w:rsidP="00D91F68" w14:paraId="4BFCFA2C" w14:textId="2EA62E75">
            <w:pPr>
              <w:jc w:val="center"/>
              <w:rPr>
                <w:sz w:val="22"/>
                <w:szCs w:val="22"/>
              </w:rPr>
            </w:pPr>
            <w:r w:rsidRPr="5C516CCC">
              <w:rPr>
                <w:sz w:val="22"/>
                <w:szCs w:val="22"/>
              </w:rPr>
              <w:t>---</w:t>
            </w:r>
          </w:p>
        </w:tc>
        <w:tc>
          <w:tcPr>
            <w:tcW w:w="1080" w:type="dxa"/>
            <w:tcBorders>
              <w:top w:val="single" w:sz="8"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rsidR="638B37EC" w:rsidRPr="007646E5" w:rsidP="00D91F68" w14:paraId="007164ED" w14:textId="385107DC">
            <w:pPr>
              <w:jc w:val="center"/>
              <w:rPr>
                <w:sz w:val="22"/>
                <w:szCs w:val="22"/>
              </w:rPr>
            </w:pPr>
            <w:r w:rsidRPr="5C516CCC">
              <w:rPr>
                <w:sz w:val="22"/>
                <w:szCs w:val="22"/>
              </w:rPr>
              <w:t>---</w:t>
            </w:r>
          </w:p>
        </w:tc>
        <w:tc>
          <w:tcPr>
            <w:tcW w:w="990" w:type="dxa"/>
            <w:tcBorders>
              <w:top w:val="single" w:sz="8"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rsidR="638B37EC" w:rsidRPr="007646E5" w:rsidP="00D91F68" w14:paraId="029D4216" w14:textId="4EF4E2B5">
            <w:pPr>
              <w:jc w:val="center"/>
              <w:rPr>
                <w:color w:val="000000" w:themeColor="text1"/>
                <w:sz w:val="22"/>
                <w:szCs w:val="22"/>
              </w:rPr>
            </w:pPr>
            <w:r w:rsidRPr="5C516CCC">
              <w:rPr>
                <w:color w:val="000000" w:themeColor="text1"/>
                <w:sz w:val="22"/>
                <w:szCs w:val="22"/>
              </w:rPr>
              <w:t>42,795</w:t>
            </w:r>
          </w:p>
        </w:tc>
        <w:tc>
          <w:tcPr>
            <w:tcW w:w="1080" w:type="dxa"/>
            <w:tcBorders>
              <w:top w:val="single" w:sz="8"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rsidR="638B37EC" w:rsidRPr="007646E5" w:rsidP="00D91F68" w14:paraId="1BF3CBD4" w14:textId="17A75618">
            <w:pPr>
              <w:jc w:val="center"/>
              <w:rPr>
                <w:sz w:val="22"/>
                <w:szCs w:val="22"/>
              </w:rPr>
            </w:pPr>
            <w:r w:rsidRPr="5C516CCC">
              <w:rPr>
                <w:sz w:val="22"/>
                <w:szCs w:val="22"/>
              </w:rPr>
              <w:t>---</w:t>
            </w:r>
          </w:p>
        </w:tc>
        <w:tc>
          <w:tcPr>
            <w:tcW w:w="810" w:type="dxa"/>
            <w:tcBorders>
              <w:top w:val="single" w:sz="8"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rsidR="638B37EC" w:rsidRPr="007646E5" w:rsidP="00D91F68" w14:paraId="724A026D" w14:textId="558B9A22">
            <w:pPr>
              <w:jc w:val="center"/>
              <w:rPr>
                <w:color w:val="000000" w:themeColor="text1"/>
                <w:sz w:val="22"/>
                <w:szCs w:val="22"/>
              </w:rPr>
            </w:pPr>
            <w:r w:rsidRPr="5C516CCC">
              <w:rPr>
                <w:color w:val="000000" w:themeColor="text1"/>
                <w:sz w:val="22"/>
                <w:szCs w:val="22"/>
              </w:rPr>
              <w:t>20,758</w:t>
            </w:r>
          </w:p>
        </w:tc>
        <w:tc>
          <w:tcPr>
            <w:tcW w:w="720" w:type="dxa"/>
            <w:tcBorders>
              <w:top w:val="single" w:sz="8"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rsidR="638B37EC" w:rsidRPr="007646E5" w:rsidP="00D91F68" w14:paraId="1A492BE4" w14:textId="099EA206">
            <w:pPr>
              <w:jc w:val="center"/>
              <w:rPr>
                <w:sz w:val="22"/>
                <w:szCs w:val="22"/>
              </w:rPr>
            </w:pPr>
            <w:r w:rsidRPr="5C516CCC">
              <w:rPr>
                <w:sz w:val="22"/>
                <w:szCs w:val="22"/>
              </w:rPr>
              <w:t>---</w:t>
            </w:r>
          </w:p>
        </w:tc>
        <w:tc>
          <w:tcPr>
            <w:tcW w:w="1350" w:type="dxa"/>
            <w:tcBorders>
              <w:top w:val="single" w:sz="8" w:space="0" w:color="auto"/>
              <w:left w:val="single" w:sz="4" w:space="0" w:color="auto"/>
              <w:bottom w:val="single" w:sz="8" w:space="0" w:color="auto"/>
              <w:right w:val="single" w:sz="8" w:space="0" w:color="auto"/>
            </w:tcBorders>
            <w:shd w:val="clear" w:color="auto" w:fill="E2EFDA"/>
            <w:tcMar>
              <w:top w:w="15" w:type="dxa"/>
              <w:left w:w="15" w:type="dxa"/>
              <w:right w:w="15" w:type="dxa"/>
            </w:tcMar>
            <w:vAlign w:val="center"/>
          </w:tcPr>
          <w:p w:rsidR="638B37EC" w:rsidRPr="007646E5" w:rsidP="00D91F68" w14:paraId="72C8C1C8" w14:textId="711941F5">
            <w:pPr>
              <w:jc w:val="center"/>
              <w:rPr>
                <w:color w:val="000000" w:themeColor="text1"/>
                <w:sz w:val="22"/>
                <w:szCs w:val="22"/>
              </w:rPr>
            </w:pPr>
            <w:r w:rsidRPr="5C516CCC">
              <w:rPr>
                <w:color w:val="000000" w:themeColor="text1"/>
                <w:sz w:val="22"/>
                <w:szCs w:val="22"/>
              </w:rPr>
              <w:t>1,114,740.40</w:t>
            </w:r>
          </w:p>
        </w:tc>
      </w:tr>
      <w:tr w14:paraId="08EA3FEF" w14:textId="77777777" w:rsidTr="5C516CCC">
        <w:tblPrEx>
          <w:tblW w:w="9800" w:type="dxa"/>
          <w:tblLayout w:type="fixed"/>
          <w:tblLook w:val="0680"/>
        </w:tblPrEx>
        <w:trPr>
          <w:trHeight w:val="105"/>
        </w:trPr>
        <w:tc>
          <w:tcPr>
            <w:tcW w:w="9800" w:type="dxa"/>
            <w:gridSpan w:val="9"/>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tcMar>
              <w:top w:w="15" w:type="dxa"/>
              <w:left w:w="15" w:type="dxa"/>
              <w:right w:w="15" w:type="dxa"/>
            </w:tcMar>
            <w:vAlign w:val="center"/>
          </w:tcPr>
          <w:p w:rsidR="638B37EC" w:rsidP="00D91F68" w14:paraId="1CB0C93C" w14:textId="052B4A73">
            <w:pPr>
              <w:jc w:val="center"/>
              <w:rPr>
                <w:b/>
                <w:bCs/>
                <w:color w:val="000000" w:themeColor="text1"/>
                <w:sz w:val="24"/>
                <w:szCs w:val="24"/>
              </w:rPr>
            </w:pPr>
            <w:r w:rsidRPr="5C516CCC">
              <w:rPr>
                <w:b/>
                <w:bCs/>
                <w:color w:val="000000" w:themeColor="text1"/>
                <w:sz w:val="24"/>
                <w:szCs w:val="24"/>
              </w:rPr>
              <w:t xml:space="preserve"> </w:t>
            </w:r>
          </w:p>
        </w:tc>
      </w:tr>
      <w:tr w14:paraId="6C55EADD" w14:textId="77777777" w:rsidTr="5C516CCC">
        <w:tblPrEx>
          <w:tblW w:w="9800" w:type="dxa"/>
          <w:tblLayout w:type="fixed"/>
          <w:tblLook w:val="0680"/>
        </w:tblPrEx>
        <w:trPr>
          <w:trHeight w:val="330"/>
        </w:trPr>
        <w:tc>
          <w:tcPr>
            <w:tcW w:w="9800" w:type="dxa"/>
            <w:gridSpan w:val="9"/>
            <w:tcBorders>
              <w:top w:val="single" w:sz="8" w:space="0" w:color="auto"/>
              <w:left w:val="single" w:sz="8" w:space="0" w:color="auto"/>
              <w:bottom w:val="single" w:sz="8" w:space="0" w:color="auto"/>
              <w:right w:val="single" w:sz="8" w:space="0" w:color="000000" w:themeColor="text1"/>
            </w:tcBorders>
            <w:shd w:val="clear" w:color="auto" w:fill="C6E0B4"/>
            <w:tcMar>
              <w:top w:w="15" w:type="dxa"/>
              <w:left w:w="15" w:type="dxa"/>
              <w:right w:w="15" w:type="dxa"/>
            </w:tcMar>
            <w:vAlign w:val="center"/>
          </w:tcPr>
          <w:p w:rsidR="638B37EC" w:rsidP="5C516CCC" w14:paraId="7FA29686" w14:textId="407F3254">
            <w:r w:rsidRPr="5C516CCC">
              <w:rPr>
                <w:b/>
                <w:bCs/>
                <w:color w:val="000000" w:themeColor="text1"/>
                <w:sz w:val="22"/>
                <w:szCs w:val="22"/>
              </w:rPr>
              <w:t>B) Type 2 Resource Conservation &amp; Recovery</w:t>
            </w:r>
            <w:r w:rsidRPr="5C516CCC">
              <w:rPr>
                <w:color w:val="000000" w:themeColor="text1"/>
                <w:sz w:val="22"/>
                <w:szCs w:val="22"/>
              </w:rPr>
              <w:t xml:space="preserve"> </w:t>
            </w:r>
          </w:p>
        </w:tc>
      </w:tr>
      <w:tr w14:paraId="137857F0" w14:textId="77777777" w:rsidTr="5C516CCC">
        <w:tblPrEx>
          <w:tblW w:w="9800" w:type="dxa"/>
          <w:tblLayout w:type="fixed"/>
          <w:tblLook w:val="0680"/>
        </w:tblPrEx>
        <w:trPr>
          <w:trHeight w:val="945"/>
        </w:trPr>
        <w:tc>
          <w:tcPr>
            <w:tcW w:w="1340" w:type="dxa"/>
            <w:tcBorders>
              <w:top w:val="single" w:sz="8" w:space="0" w:color="auto"/>
              <w:left w:val="single" w:sz="8" w:space="0" w:color="auto"/>
              <w:bottom w:val="single" w:sz="4" w:space="0" w:color="auto"/>
              <w:right w:val="single" w:sz="4" w:space="0" w:color="000000" w:themeColor="text1"/>
            </w:tcBorders>
            <w:tcMar>
              <w:top w:w="15" w:type="dxa"/>
              <w:left w:w="15" w:type="dxa"/>
              <w:right w:w="15" w:type="dxa"/>
            </w:tcMar>
            <w:vAlign w:val="center"/>
          </w:tcPr>
          <w:p w:rsidR="638B37EC" w:rsidRPr="004215A2" w:rsidP="5C516CCC" w14:paraId="20BA8E02" w14:textId="55A82F48">
            <w:pPr>
              <w:rPr>
                <w:sz w:val="22"/>
                <w:szCs w:val="22"/>
              </w:rPr>
            </w:pPr>
            <w:r w:rsidRPr="5C516CCC">
              <w:rPr>
                <w:color w:val="000000" w:themeColor="text1"/>
                <w:sz w:val="22"/>
                <w:szCs w:val="22"/>
              </w:rPr>
              <w:t xml:space="preserve">14) Safety &amp; Health Program </w:t>
            </w:r>
          </w:p>
        </w:tc>
        <w:tc>
          <w:tcPr>
            <w:tcW w:w="126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11912D3E" w14:textId="0B03E3F2">
            <w:pPr>
              <w:jc w:val="center"/>
              <w:rPr>
                <w:sz w:val="22"/>
                <w:szCs w:val="22"/>
              </w:rPr>
            </w:pPr>
            <w:r w:rsidRPr="5C516CCC">
              <w:rPr>
                <w:sz w:val="22"/>
                <w:szCs w:val="22"/>
              </w:rPr>
              <w:t xml:space="preserve">Occupational Safety and Health Specialist </w:t>
            </w:r>
          </w:p>
        </w:tc>
        <w:tc>
          <w:tcPr>
            <w:tcW w:w="117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49A45FAC" w14:textId="2BE1D893">
            <w:pPr>
              <w:jc w:val="center"/>
              <w:rPr>
                <w:sz w:val="22"/>
                <w:szCs w:val="22"/>
              </w:rPr>
            </w:pPr>
            <w:r w:rsidRPr="5C516CCC">
              <w:rPr>
                <w:sz w:val="22"/>
                <w:szCs w:val="22"/>
              </w:rPr>
              <w:t>1,071</w:t>
            </w:r>
          </w:p>
        </w:tc>
        <w:tc>
          <w:tcPr>
            <w:tcW w:w="108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0E494E34" w14:textId="1B5B858A">
            <w:pPr>
              <w:jc w:val="center"/>
              <w:rPr>
                <w:sz w:val="22"/>
                <w:szCs w:val="22"/>
              </w:rPr>
            </w:pPr>
            <w:r w:rsidRPr="5C516CCC">
              <w:rPr>
                <w:sz w:val="22"/>
                <w:szCs w:val="22"/>
              </w:rPr>
              <w:t>1</w:t>
            </w:r>
          </w:p>
        </w:tc>
        <w:tc>
          <w:tcPr>
            <w:tcW w:w="990" w:type="dxa"/>
            <w:tcBorders>
              <w:top w:val="nil"/>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4D0519C7" w14:textId="3C38639F">
            <w:pPr>
              <w:jc w:val="center"/>
              <w:rPr>
                <w:sz w:val="22"/>
                <w:szCs w:val="22"/>
              </w:rPr>
            </w:pPr>
            <w:r w:rsidRPr="5C516CCC">
              <w:rPr>
                <w:sz w:val="22"/>
                <w:szCs w:val="22"/>
              </w:rPr>
              <w:t>1,071</w:t>
            </w:r>
          </w:p>
        </w:tc>
        <w:tc>
          <w:tcPr>
            <w:tcW w:w="108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0C1F478C" w14:textId="2A5303A7">
            <w:pPr>
              <w:jc w:val="center"/>
              <w:rPr>
                <w:sz w:val="22"/>
                <w:szCs w:val="22"/>
              </w:rPr>
            </w:pPr>
            <w:r w:rsidRPr="5C516CCC">
              <w:rPr>
                <w:sz w:val="22"/>
                <w:szCs w:val="22"/>
              </w:rPr>
              <w:t>6</w:t>
            </w:r>
          </w:p>
        </w:tc>
        <w:tc>
          <w:tcPr>
            <w:tcW w:w="810" w:type="dxa"/>
            <w:tcBorders>
              <w:top w:val="nil"/>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48A66D15" w14:textId="7577F789">
            <w:pPr>
              <w:jc w:val="center"/>
              <w:rPr>
                <w:sz w:val="22"/>
                <w:szCs w:val="22"/>
              </w:rPr>
            </w:pPr>
            <w:r w:rsidRPr="5C516CCC">
              <w:rPr>
                <w:sz w:val="22"/>
                <w:szCs w:val="22"/>
              </w:rPr>
              <w:t>6,426</w:t>
            </w:r>
          </w:p>
        </w:tc>
        <w:tc>
          <w:tcPr>
            <w:tcW w:w="72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13FF13FA" w14:textId="6B40F65D">
            <w:pPr>
              <w:jc w:val="center"/>
              <w:rPr>
                <w:sz w:val="22"/>
                <w:szCs w:val="22"/>
              </w:rPr>
            </w:pPr>
            <w:r w:rsidRPr="5C516CCC">
              <w:rPr>
                <w:sz w:val="22"/>
                <w:szCs w:val="22"/>
              </w:rPr>
              <w:t>$53.70</w:t>
            </w:r>
          </w:p>
        </w:tc>
        <w:tc>
          <w:tcPr>
            <w:tcW w:w="1350" w:type="dxa"/>
            <w:tcBorders>
              <w:top w:val="nil"/>
              <w:left w:val="single" w:sz="4" w:space="0" w:color="auto"/>
              <w:bottom w:val="single" w:sz="4" w:space="0" w:color="auto"/>
              <w:right w:val="single" w:sz="8" w:space="0" w:color="000000" w:themeColor="text1"/>
            </w:tcBorders>
            <w:shd w:val="clear" w:color="auto" w:fill="B4C6E7"/>
            <w:tcMar>
              <w:top w:w="15" w:type="dxa"/>
              <w:left w:w="15" w:type="dxa"/>
              <w:right w:w="15" w:type="dxa"/>
            </w:tcMar>
            <w:vAlign w:val="center"/>
          </w:tcPr>
          <w:p w:rsidR="638B37EC" w:rsidRPr="004215A2" w:rsidP="00D91F68" w14:paraId="7539F56F" w14:textId="7B91442B">
            <w:pPr>
              <w:jc w:val="center"/>
              <w:rPr>
                <w:sz w:val="22"/>
                <w:szCs w:val="22"/>
              </w:rPr>
            </w:pPr>
            <w:r w:rsidRPr="5C516CCC">
              <w:rPr>
                <w:sz w:val="22"/>
                <w:szCs w:val="22"/>
              </w:rPr>
              <w:t>$345,076.20</w:t>
            </w:r>
          </w:p>
        </w:tc>
      </w:tr>
      <w:tr w14:paraId="1278E0DB" w14:textId="77777777" w:rsidTr="5C516CCC">
        <w:tblPrEx>
          <w:tblW w:w="9800" w:type="dxa"/>
          <w:tblLayout w:type="fixed"/>
          <w:tblLook w:val="0680"/>
        </w:tblPrEx>
        <w:trPr>
          <w:trHeight w:val="945"/>
        </w:trPr>
        <w:tc>
          <w:tcPr>
            <w:tcW w:w="134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638B37EC" w:rsidRPr="004215A2" w:rsidP="5C516CCC" w14:paraId="72807A3F" w14:textId="787F968C">
            <w:pPr>
              <w:rPr>
                <w:sz w:val="22"/>
                <w:szCs w:val="22"/>
              </w:rPr>
            </w:pPr>
            <w:r w:rsidRPr="5C516CCC">
              <w:rPr>
                <w:color w:val="000000" w:themeColor="text1"/>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3BCC0440" w14:textId="6631A0A0">
            <w:pPr>
              <w:jc w:val="center"/>
              <w:rPr>
                <w:sz w:val="22"/>
                <w:szCs w:val="22"/>
              </w:rPr>
            </w:pPr>
            <w:r w:rsidRPr="5C516CCC">
              <w:rPr>
                <w:sz w:val="22"/>
                <w:szCs w:val="22"/>
              </w:rPr>
              <w:t xml:space="preserve">Occupational Safety and Health Specialist </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2B58E40A" w14:textId="525F2B74">
            <w:pPr>
              <w:jc w:val="center"/>
              <w:rPr>
                <w:sz w:val="22"/>
                <w:szCs w:val="22"/>
              </w:rPr>
            </w:pPr>
            <w:r w:rsidRPr="5C516CCC">
              <w:rPr>
                <w:sz w:val="22"/>
                <w:szCs w:val="22"/>
              </w:rPr>
              <w:t>306</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784E85E5" w14:textId="046B19F9">
            <w:pPr>
              <w:jc w:val="center"/>
              <w:rPr>
                <w:sz w:val="22"/>
                <w:szCs w:val="22"/>
              </w:rPr>
            </w:pPr>
            <w:r w:rsidRPr="5C516CCC">
              <w:rPr>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7A2DE4C4" w14:textId="076BC48B">
            <w:pPr>
              <w:jc w:val="center"/>
              <w:rPr>
                <w:sz w:val="22"/>
                <w:szCs w:val="22"/>
              </w:rPr>
            </w:pPr>
            <w:r w:rsidRPr="5C516CCC">
              <w:rPr>
                <w:sz w:val="22"/>
                <w:szCs w:val="22"/>
              </w:rPr>
              <w:t>306</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0AEA38AC" w14:textId="60AE3176">
            <w:pPr>
              <w:jc w:val="center"/>
              <w:rPr>
                <w:sz w:val="22"/>
                <w:szCs w:val="22"/>
              </w:rPr>
            </w:pPr>
            <w:r w:rsidRPr="5C516CCC">
              <w:rPr>
                <w:sz w:val="22"/>
                <w:szCs w:val="22"/>
              </w:rPr>
              <w:t>2</w:t>
            </w:r>
          </w:p>
        </w:tc>
        <w:tc>
          <w:tcPr>
            <w:tcW w:w="81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4937EAE8" w14:textId="14187EB3">
            <w:pPr>
              <w:jc w:val="center"/>
              <w:rPr>
                <w:sz w:val="22"/>
                <w:szCs w:val="22"/>
              </w:rPr>
            </w:pPr>
            <w:r w:rsidRPr="5C516CCC">
              <w:rPr>
                <w:sz w:val="22"/>
                <w:szCs w:val="22"/>
              </w:rPr>
              <w:t>612</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420126CF" w14:textId="6BF23E01">
            <w:pPr>
              <w:jc w:val="center"/>
              <w:rPr>
                <w:sz w:val="22"/>
                <w:szCs w:val="22"/>
              </w:rPr>
            </w:pPr>
            <w:r w:rsidRPr="5C516CCC">
              <w:rPr>
                <w:sz w:val="22"/>
                <w:szCs w:val="22"/>
              </w:rPr>
              <w:t>$53.70</w:t>
            </w:r>
          </w:p>
        </w:tc>
        <w:tc>
          <w:tcPr>
            <w:tcW w:w="1350" w:type="dxa"/>
            <w:tcBorders>
              <w:top w:val="single" w:sz="4" w:space="0" w:color="auto"/>
              <w:left w:val="single" w:sz="4" w:space="0" w:color="auto"/>
              <w:bottom w:val="single" w:sz="4" w:space="0" w:color="auto"/>
              <w:right w:val="single" w:sz="8" w:space="0" w:color="auto"/>
            </w:tcBorders>
            <w:shd w:val="clear" w:color="auto" w:fill="B4C6E7"/>
            <w:tcMar>
              <w:top w:w="15" w:type="dxa"/>
              <w:left w:w="15" w:type="dxa"/>
              <w:right w:w="15" w:type="dxa"/>
            </w:tcMar>
            <w:vAlign w:val="center"/>
          </w:tcPr>
          <w:p w:rsidR="638B37EC" w:rsidRPr="004215A2" w:rsidP="00D91F68" w14:paraId="1E188EEA" w14:textId="7AE57B27">
            <w:pPr>
              <w:jc w:val="center"/>
              <w:rPr>
                <w:sz w:val="22"/>
                <w:szCs w:val="22"/>
              </w:rPr>
            </w:pPr>
            <w:r w:rsidRPr="5C516CCC">
              <w:rPr>
                <w:sz w:val="22"/>
                <w:szCs w:val="22"/>
              </w:rPr>
              <w:t>$32,864.40</w:t>
            </w:r>
          </w:p>
        </w:tc>
      </w:tr>
      <w:tr w14:paraId="6FADDDCE" w14:textId="77777777" w:rsidTr="5C516CCC">
        <w:tblPrEx>
          <w:tblW w:w="9800" w:type="dxa"/>
          <w:tblLayout w:type="fixed"/>
          <w:tblLook w:val="0680"/>
        </w:tblPrEx>
        <w:trPr>
          <w:trHeight w:val="330"/>
        </w:trPr>
        <w:tc>
          <w:tcPr>
            <w:tcW w:w="1340" w:type="dxa"/>
            <w:tcBorders>
              <w:top w:val="single" w:sz="4"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5C516CCC" w14:paraId="4CE79315" w14:textId="2C1D4A8A">
            <w:pPr>
              <w:rPr>
                <w:b/>
                <w:bCs/>
                <w:color w:val="000000" w:themeColor="text1"/>
                <w:sz w:val="22"/>
                <w:szCs w:val="22"/>
              </w:rPr>
            </w:pPr>
            <w:r w:rsidRPr="5C516CCC">
              <w:rPr>
                <w:b/>
                <w:bCs/>
                <w:color w:val="000000" w:themeColor="text1"/>
                <w:sz w:val="22"/>
                <w:szCs w:val="22"/>
              </w:rPr>
              <w:t>Subtotal</w:t>
            </w:r>
          </w:p>
        </w:tc>
        <w:tc>
          <w:tcPr>
            <w:tcW w:w="126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69C525A2" w14:textId="2B410919">
            <w:pPr>
              <w:jc w:val="center"/>
              <w:rPr>
                <w:sz w:val="22"/>
                <w:szCs w:val="22"/>
              </w:rPr>
            </w:pPr>
            <w:r w:rsidRPr="5C516CCC">
              <w:rPr>
                <w:sz w:val="22"/>
                <w:szCs w:val="22"/>
              </w:rPr>
              <w:t xml:space="preserve"> ---</w:t>
            </w:r>
          </w:p>
        </w:tc>
        <w:tc>
          <w:tcPr>
            <w:tcW w:w="117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4C152D3C" w14:textId="0F2339CB">
            <w:pPr>
              <w:jc w:val="center"/>
              <w:rPr>
                <w:sz w:val="22"/>
                <w:szCs w:val="22"/>
              </w:rPr>
            </w:pPr>
            <w:r w:rsidRPr="5C516CCC">
              <w:rPr>
                <w:sz w:val="22"/>
                <w:szCs w:val="22"/>
              </w:rPr>
              <w:t xml:space="preserve"> ---</w:t>
            </w:r>
          </w:p>
        </w:tc>
        <w:tc>
          <w:tcPr>
            <w:tcW w:w="108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4AB07B9A" w14:textId="4CB20C57">
            <w:pPr>
              <w:jc w:val="center"/>
              <w:rPr>
                <w:sz w:val="22"/>
                <w:szCs w:val="22"/>
              </w:rPr>
            </w:pPr>
            <w:r w:rsidRPr="5C516CCC">
              <w:rPr>
                <w:sz w:val="22"/>
                <w:szCs w:val="22"/>
              </w:rPr>
              <w:t xml:space="preserve"> ---</w:t>
            </w:r>
          </w:p>
        </w:tc>
        <w:tc>
          <w:tcPr>
            <w:tcW w:w="99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785AD35B" w14:textId="346B4F90">
            <w:pPr>
              <w:jc w:val="center"/>
              <w:rPr>
                <w:color w:val="000000" w:themeColor="text1"/>
                <w:sz w:val="22"/>
                <w:szCs w:val="22"/>
              </w:rPr>
            </w:pPr>
            <w:r w:rsidRPr="5C516CCC">
              <w:rPr>
                <w:color w:val="000000" w:themeColor="text1"/>
                <w:sz w:val="22"/>
                <w:szCs w:val="22"/>
              </w:rPr>
              <w:t>1,377</w:t>
            </w:r>
          </w:p>
        </w:tc>
        <w:tc>
          <w:tcPr>
            <w:tcW w:w="108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22A2AC53" w14:textId="31C5DB80">
            <w:pPr>
              <w:jc w:val="center"/>
              <w:rPr>
                <w:sz w:val="22"/>
                <w:szCs w:val="22"/>
              </w:rPr>
            </w:pPr>
            <w:r w:rsidRPr="5C516CCC">
              <w:rPr>
                <w:sz w:val="22"/>
                <w:szCs w:val="22"/>
              </w:rPr>
              <w:t xml:space="preserve"> ---</w:t>
            </w:r>
          </w:p>
        </w:tc>
        <w:tc>
          <w:tcPr>
            <w:tcW w:w="81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6AF891A5" w14:textId="46710662">
            <w:pPr>
              <w:jc w:val="center"/>
              <w:rPr>
                <w:sz w:val="22"/>
                <w:szCs w:val="22"/>
              </w:rPr>
            </w:pPr>
            <w:r w:rsidRPr="5C516CCC">
              <w:rPr>
                <w:sz w:val="22"/>
                <w:szCs w:val="22"/>
              </w:rPr>
              <w:t>7,038</w:t>
            </w:r>
          </w:p>
        </w:tc>
        <w:tc>
          <w:tcPr>
            <w:tcW w:w="72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37A11D95" w14:textId="25039C49">
            <w:pPr>
              <w:jc w:val="center"/>
              <w:rPr>
                <w:sz w:val="22"/>
                <w:szCs w:val="22"/>
              </w:rPr>
            </w:pPr>
            <w:r w:rsidRPr="5C516CCC">
              <w:rPr>
                <w:sz w:val="22"/>
                <w:szCs w:val="22"/>
              </w:rPr>
              <w:t xml:space="preserve"> ---</w:t>
            </w:r>
          </w:p>
        </w:tc>
        <w:tc>
          <w:tcPr>
            <w:tcW w:w="1350" w:type="dxa"/>
            <w:tcBorders>
              <w:top w:val="single" w:sz="4" w:space="0" w:color="auto"/>
              <w:left w:val="single" w:sz="4"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rsidR="638B37EC" w:rsidRPr="004215A2" w:rsidP="00D91F68" w14:paraId="7F272D8F" w14:textId="3B54D532">
            <w:pPr>
              <w:jc w:val="center"/>
              <w:rPr>
                <w:sz w:val="22"/>
                <w:szCs w:val="22"/>
              </w:rPr>
            </w:pPr>
            <w:r w:rsidRPr="5C516CCC">
              <w:rPr>
                <w:sz w:val="22"/>
                <w:szCs w:val="22"/>
              </w:rPr>
              <w:t>$377,940.60</w:t>
            </w:r>
          </w:p>
        </w:tc>
      </w:tr>
      <w:tr w14:paraId="1DDD04ED" w14:textId="77777777" w:rsidTr="5C516CCC">
        <w:tblPrEx>
          <w:tblW w:w="9800" w:type="dxa"/>
          <w:tblLayout w:type="fixed"/>
          <w:tblLook w:val="0680"/>
        </w:tblPrEx>
        <w:trPr>
          <w:trHeight w:val="945"/>
        </w:trPr>
        <w:tc>
          <w:tcPr>
            <w:tcW w:w="1340"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center"/>
          </w:tcPr>
          <w:p w:rsidR="638B37EC" w:rsidRPr="004215A2" w:rsidP="5C516CCC" w14:paraId="06CF6402" w14:textId="48BC0B97">
            <w:pPr>
              <w:rPr>
                <w:sz w:val="22"/>
                <w:szCs w:val="22"/>
              </w:rPr>
            </w:pPr>
            <w:r w:rsidRPr="5C516CCC">
              <w:rPr>
                <w:color w:val="000000" w:themeColor="text1"/>
                <w:sz w:val="22"/>
                <w:szCs w:val="22"/>
              </w:rPr>
              <w:t xml:space="preserve">15) Hazard Communication Program  </w:t>
            </w:r>
          </w:p>
        </w:tc>
        <w:tc>
          <w:tcPr>
            <w:tcW w:w="126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11C299EF" w14:textId="49A4464D">
            <w:pPr>
              <w:jc w:val="center"/>
              <w:rPr>
                <w:sz w:val="22"/>
                <w:szCs w:val="22"/>
              </w:rPr>
            </w:pPr>
            <w:r w:rsidRPr="5C516CCC">
              <w:rPr>
                <w:sz w:val="22"/>
                <w:szCs w:val="22"/>
              </w:rPr>
              <w:t xml:space="preserve">Occupational Safety and Health Specialist </w:t>
            </w:r>
          </w:p>
        </w:tc>
        <w:tc>
          <w:tcPr>
            <w:tcW w:w="117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1BBD2F94" w14:textId="4943767D">
            <w:pPr>
              <w:jc w:val="center"/>
              <w:rPr>
                <w:sz w:val="22"/>
                <w:szCs w:val="22"/>
              </w:rPr>
            </w:pPr>
            <w:r w:rsidRPr="5C516CCC">
              <w:rPr>
                <w:sz w:val="22"/>
                <w:szCs w:val="22"/>
              </w:rPr>
              <w:t>1,071</w:t>
            </w:r>
          </w:p>
        </w:tc>
        <w:tc>
          <w:tcPr>
            <w:tcW w:w="108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4F0A7E25" w14:textId="1D42BBC1">
            <w:pPr>
              <w:jc w:val="center"/>
              <w:rPr>
                <w:sz w:val="22"/>
                <w:szCs w:val="22"/>
              </w:rPr>
            </w:pPr>
            <w:r w:rsidRPr="5C516CCC">
              <w:rPr>
                <w:sz w:val="22"/>
                <w:szCs w:val="22"/>
              </w:rPr>
              <w:t>1</w:t>
            </w:r>
          </w:p>
        </w:tc>
        <w:tc>
          <w:tcPr>
            <w:tcW w:w="990" w:type="dxa"/>
            <w:tcBorders>
              <w:top w:val="single" w:sz="8"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0A9A2FD7" w14:textId="7D88A07B">
            <w:pPr>
              <w:jc w:val="center"/>
              <w:rPr>
                <w:sz w:val="22"/>
                <w:szCs w:val="22"/>
              </w:rPr>
            </w:pPr>
            <w:r w:rsidRPr="5C516CCC">
              <w:rPr>
                <w:sz w:val="22"/>
                <w:szCs w:val="22"/>
              </w:rPr>
              <w:t>1,071</w:t>
            </w:r>
          </w:p>
        </w:tc>
        <w:tc>
          <w:tcPr>
            <w:tcW w:w="108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3F89F131" w14:textId="23CDB1FC">
            <w:pPr>
              <w:jc w:val="center"/>
              <w:rPr>
                <w:sz w:val="22"/>
                <w:szCs w:val="22"/>
              </w:rPr>
            </w:pPr>
            <w:r w:rsidRPr="5C516CCC">
              <w:rPr>
                <w:sz w:val="22"/>
                <w:szCs w:val="22"/>
              </w:rPr>
              <w:t>6</w:t>
            </w:r>
          </w:p>
        </w:tc>
        <w:tc>
          <w:tcPr>
            <w:tcW w:w="810" w:type="dxa"/>
            <w:tcBorders>
              <w:top w:val="single" w:sz="8"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2F15B791" w14:textId="219F7ED3">
            <w:pPr>
              <w:jc w:val="center"/>
              <w:rPr>
                <w:sz w:val="22"/>
                <w:szCs w:val="22"/>
              </w:rPr>
            </w:pPr>
            <w:r w:rsidRPr="5C516CCC">
              <w:rPr>
                <w:sz w:val="22"/>
                <w:szCs w:val="22"/>
              </w:rPr>
              <w:t>6,426</w:t>
            </w:r>
          </w:p>
        </w:tc>
        <w:tc>
          <w:tcPr>
            <w:tcW w:w="72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01B44604" w14:textId="6F6E029A">
            <w:pPr>
              <w:jc w:val="center"/>
              <w:rPr>
                <w:sz w:val="22"/>
                <w:szCs w:val="22"/>
              </w:rPr>
            </w:pPr>
            <w:r w:rsidRPr="5C516CCC">
              <w:rPr>
                <w:sz w:val="22"/>
                <w:szCs w:val="22"/>
              </w:rPr>
              <w:t>$53.70</w:t>
            </w:r>
          </w:p>
        </w:tc>
        <w:tc>
          <w:tcPr>
            <w:tcW w:w="1350" w:type="dxa"/>
            <w:tcBorders>
              <w:top w:val="single" w:sz="8" w:space="0" w:color="auto"/>
              <w:left w:val="single" w:sz="4" w:space="0" w:color="auto"/>
              <w:bottom w:val="single" w:sz="4" w:space="0" w:color="auto"/>
              <w:right w:val="single" w:sz="8" w:space="0" w:color="auto"/>
            </w:tcBorders>
            <w:shd w:val="clear" w:color="auto" w:fill="B4C6E7"/>
            <w:tcMar>
              <w:top w:w="15" w:type="dxa"/>
              <w:left w:w="15" w:type="dxa"/>
              <w:right w:w="15" w:type="dxa"/>
            </w:tcMar>
            <w:vAlign w:val="center"/>
          </w:tcPr>
          <w:p w:rsidR="638B37EC" w:rsidRPr="004215A2" w:rsidP="00D91F68" w14:paraId="30BD57F7" w14:textId="55BE1006">
            <w:pPr>
              <w:jc w:val="center"/>
              <w:rPr>
                <w:sz w:val="22"/>
                <w:szCs w:val="22"/>
              </w:rPr>
            </w:pPr>
            <w:r w:rsidRPr="5C516CCC">
              <w:rPr>
                <w:sz w:val="22"/>
                <w:szCs w:val="22"/>
              </w:rPr>
              <w:t>$345,076.20</w:t>
            </w:r>
          </w:p>
        </w:tc>
      </w:tr>
      <w:tr w14:paraId="33BEF584" w14:textId="77777777" w:rsidTr="5C516CCC">
        <w:tblPrEx>
          <w:tblW w:w="9800" w:type="dxa"/>
          <w:tblLayout w:type="fixed"/>
          <w:tblLook w:val="0680"/>
        </w:tblPrEx>
        <w:trPr>
          <w:trHeight w:val="945"/>
        </w:trPr>
        <w:tc>
          <w:tcPr>
            <w:tcW w:w="134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638B37EC" w:rsidRPr="004215A2" w:rsidP="5C516CCC" w14:paraId="1C490ADA" w14:textId="1F9133E7">
            <w:pPr>
              <w:rPr>
                <w:sz w:val="22"/>
                <w:szCs w:val="22"/>
              </w:rPr>
            </w:pPr>
            <w:r w:rsidRPr="5C516CCC">
              <w:rPr>
                <w:color w:val="000000" w:themeColor="text1"/>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45B70EC0" w14:textId="3D699A57">
            <w:pPr>
              <w:jc w:val="center"/>
              <w:rPr>
                <w:sz w:val="22"/>
                <w:szCs w:val="22"/>
              </w:rPr>
            </w:pPr>
            <w:r w:rsidRPr="5C516CCC">
              <w:rPr>
                <w:sz w:val="22"/>
                <w:szCs w:val="22"/>
              </w:rPr>
              <w:t xml:space="preserve">Occupational Safety and Health Specialist </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2ED66F3F" w14:textId="613ABC9B">
            <w:pPr>
              <w:jc w:val="center"/>
              <w:rPr>
                <w:sz w:val="22"/>
                <w:szCs w:val="22"/>
              </w:rPr>
            </w:pPr>
            <w:r w:rsidRPr="5C516CCC">
              <w:rPr>
                <w:sz w:val="22"/>
                <w:szCs w:val="22"/>
              </w:rPr>
              <w:t>306</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6ABE834D" w14:textId="200947A8">
            <w:pPr>
              <w:jc w:val="center"/>
              <w:rPr>
                <w:sz w:val="22"/>
                <w:szCs w:val="22"/>
              </w:rPr>
            </w:pPr>
            <w:r w:rsidRPr="5C516CCC">
              <w:rPr>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17CD176D" w14:textId="4907872D">
            <w:pPr>
              <w:jc w:val="center"/>
              <w:rPr>
                <w:sz w:val="22"/>
                <w:szCs w:val="22"/>
              </w:rPr>
            </w:pPr>
            <w:r w:rsidRPr="5C516CCC">
              <w:rPr>
                <w:sz w:val="22"/>
                <w:szCs w:val="22"/>
              </w:rPr>
              <w:t>306</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7FB51A42" w14:textId="118B9FC1">
            <w:pPr>
              <w:jc w:val="center"/>
              <w:rPr>
                <w:sz w:val="22"/>
                <w:szCs w:val="22"/>
              </w:rPr>
            </w:pPr>
            <w:r w:rsidRPr="5C516CCC">
              <w:rPr>
                <w:sz w:val="22"/>
                <w:szCs w:val="22"/>
              </w:rPr>
              <w:t>2</w:t>
            </w:r>
          </w:p>
        </w:tc>
        <w:tc>
          <w:tcPr>
            <w:tcW w:w="81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02CEDE2E" w14:textId="6012968A">
            <w:pPr>
              <w:jc w:val="center"/>
              <w:rPr>
                <w:sz w:val="22"/>
                <w:szCs w:val="22"/>
              </w:rPr>
            </w:pPr>
            <w:r w:rsidRPr="5C516CCC">
              <w:rPr>
                <w:sz w:val="22"/>
                <w:szCs w:val="22"/>
              </w:rPr>
              <w:t>612</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26BDED33" w14:textId="31C49465">
            <w:pPr>
              <w:jc w:val="center"/>
              <w:rPr>
                <w:sz w:val="22"/>
                <w:szCs w:val="22"/>
              </w:rPr>
            </w:pPr>
            <w:r w:rsidRPr="5C516CCC">
              <w:rPr>
                <w:sz w:val="22"/>
                <w:szCs w:val="22"/>
              </w:rPr>
              <w:t>$53.70</w:t>
            </w:r>
          </w:p>
        </w:tc>
        <w:tc>
          <w:tcPr>
            <w:tcW w:w="1350" w:type="dxa"/>
            <w:tcBorders>
              <w:top w:val="single" w:sz="4" w:space="0" w:color="auto"/>
              <w:left w:val="single" w:sz="4" w:space="0" w:color="auto"/>
              <w:bottom w:val="single" w:sz="4" w:space="0" w:color="auto"/>
              <w:right w:val="single" w:sz="8" w:space="0" w:color="auto"/>
            </w:tcBorders>
            <w:shd w:val="clear" w:color="auto" w:fill="B4C6E7"/>
            <w:tcMar>
              <w:top w:w="15" w:type="dxa"/>
              <w:left w:w="15" w:type="dxa"/>
              <w:right w:w="15" w:type="dxa"/>
            </w:tcMar>
            <w:vAlign w:val="center"/>
          </w:tcPr>
          <w:p w:rsidR="638B37EC" w:rsidRPr="004215A2" w:rsidP="00D91F68" w14:paraId="27D74C8F" w14:textId="3C231293">
            <w:pPr>
              <w:jc w:val="center"/>
              <w:rPr>
                <w:sz w:val="22"/>
                <w:szCs w:val="22"/>
              </w:rPr>
            </w:pPr>
            <w:r w:rsidRPr="5C516CCC">
              <w:rPr>
                <w:sz w:val="22"/>
                <w:szCs w:val="22"/>
              </w:rPr>
              <w:t>$32,864.40</w:t>
            </w:r>
          </w:p>
        </w:tc>
      </w:tr>
      <w:tr w14:paraId="6E9B8382" w14:textId="77777777" w:rsidTr="5C516CCC">
        <w:tblPrEx>
          <w:tblW w:w="9800" w:type="dxa"/>
          <w:tblLayout w:type="fixed"/>
          <w:tblLook w:val="0680"/>
        </w:tblPrEx>
        <w:trPr>
          <w:trHeight w:val="330"/>
        </w:trPr>
        <w:tc>
          <w:tcPr>
            <w:tcW w:w="1340" w:type="dxa"/>
            <w:tcBorders>
              <w:top w:val="single" w:sz="4"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5C516CCC" w14:paraId="5E14070A" w14:textId="4C5D796F">
            <w:pPr>
              <w:rPr>
                <w:b/>
                <w:bCs/>
                <w:color w:val="000000" w:themeColor="text1"/>
                <w:sz w:val="22"/>
                <w:szCs w:val="22"/>
              </w:rPr>
            </w:pPr>
            <w:r w:rsidRPr="5C516CCC">
              <w:rPr>
                <w:b/>
                <w:bCs/>
                <w:color w:val="000000" w:themeColor="text1"/>
                <w:sz w:val="22"/>
                <w:szCs w:val="22"/>
              </w:rPr>
              <w:t>Subtotal</w:t>
            </w:r>
          </w:p>
        </w:tc>
        <w:tc>
          <w:tcPr>
            <w:tcW w:w="126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442C925D" w14:textId="7DE72E53">
            <w:pPr>
              <w:jc w:val="center"/>
              <w:rPr>
                <w:sz w:val="22"/>
                <w:szCs w:val="22"/>
              </w:rPr>
            </w:pPr>
            <w:r w:rsidRPr="5C516CCC">
              <w:rPr>
                <w:sz w:val="22"/>
                <w:szCs w:val="22"/>
              </w:rPr>
              <w:t xml:space="preserve"> ---</w:t>
            </w:r>
          </w:p>
        </w:tc>
        <w:tc>
          <w:tcPr>
            <w:tcW w:w="117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2EF6836A" w14:textId="06C0CE97">
            <w:pPr>
              <w:jc w:val="center"/>
              <w:rPr>
                <w:sz w:val="22"/>
                <w:szCs w:val="22"/>
              </w:rPr>
            </w:pPr>
            <w:r w:rsidRPr="5C516CCC">
              <w:rPr>
                <w:sz w:val="22"/>
                <w:szCs w:val="22"/>
              </w:rPr>
              <w:t xml:space="preserve"> ---</w:t>
            </w:r>
          </w:p>
        </w:tc>
        <w:tc>
          <w:tcPr>
            <w:tcW w:w="108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00E93AB7" w14:textId="5DD6CA1F">
            <w:pPr>
              <w:jc w:val="center"/>
              <w:rPr>
                <w:sz w:val="22"/>
                <w:szCs w:val="22"/>
              </w:rPr>
            </w:pPr>
            <w:r w:rsidRPr="5C516CCC">
              <w:rPr>
                <w:sz w:val="22"/>
                <w:szCs w:val="22"/>
              </w:rPr>
              <w:t xml:space="preserve"> ---</w:t>
            </w:r>
          </w:p>
        </w:tc>
        <w:tc>
          <w:tcPr>
            <w:tcW w:w="99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1C1EC385" w14:textId="2A431B9F">
            <w:pPr>
              <w:jc w:val="center"/>
              <w:rPr>
                <w:color w:val="000000" w:themeColor="text1"/>
                <w:sz w:val="22"/>
                <w:szCs w:val="22"/>
              </w:rPr>
            </w:pPr>
            <w:r w:rsidRPr="5C516CCC">
              <w:rPr>
                <w:color w:val="000000" w:themeColor="text1"/>
                <w:sz w:val="22"/>
                <w:szCs w:val="22"/>
              </w:rPr>
              <w:t>1,377</w:t>
            </w:r>
          </w:p>
        </w:tc>
        <w:tc>
          <w:tcPr>
            <w:tcW w:w="108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720F3D92" w14:textId="14B995AA">
            <w:pPr>
              <w:jc w:val="center"/>
              <w:rPr>
                <w:sz w:val="22"/>
                <w:szCs w:val="22"/>
              </w:rPr>
            </w:pPr>
            <w:r w:rsidRPr="5C516CCC">
              <w:rPr>
                <w:sz w:val="22"/>
                <w:szCs w:val="22"/>
              </w:rPr>
              <w:t xml:space="preserve"> ---</w:t>
            </w:r>
          </w:p>
        </w:tc>
        <w:tc>
          <w:tcPr>
            <w:tcW w:w="81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4D9EDC82" w14:textId="2A00AD40">
            <w:pPr>
              <w:jc w:val="center"/>
              <w:rPr>
                <w:sz w:val="22"/>
                <w:szCs w:val="22"/>
              </w:rPr>
            </w:pPr>
            <w:r w:rsidRPr="5C516CCC">
              <w:rPr>
                <w:sz w:val="22"/>
                <w:szCs w:val="22"/>
              </w:rPr>
              <w:t>7,038</w:t>
            </w:r>
          </w:p>
        </w:tc>
        <w:tc>
          <w:tcPr>
            <w:tcW w:w="72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21F1C766" w14:textId="7F82C1F8">
            <w:pPr>
              <w:jc w:val="center"/>
              <w:rPr>
                <w:sz w:val="22"/>
                <w:szCs w:val="22"/>
              </w:rPr>
            </w:pPr>
            <w:r w:rsidRPr="5C516CCC">
              <w:rPr>
                <w:sz w:val="22"/>
                <w:szCs w:val="22"/>
              </w:rPr>
              <w:t xml:space="preserve"> ---</w:t>
            </w:r>
          </w:p>
        </w:tc>
        <w:tc>
          <w:tcPr>
            <w:tcW w:w="1350" w:type="dxa"/>
            <w:tcBorders>
              <w:top w:val="single" w:sz="4" w:space="0" w:color="auto"/>
              <w:left w:val="single" w:sz="4"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rsidR="638B37EC" w:rsidRPr="004215A2" w:rsidP="00D91F68" w14:paraId="4D21FCA8" w14:textId="18171F0A">
            <w:pPr>
              <w:jc w:val="center"/>
              <w:rPr>
                <w:sz w:val="22"/>
                <w:szCs w:val="22"/>
              </w:rPr>
            </w:pPr>
            <w:r w:rsidRPr="5C516CCC">
              <w:rPr>
                <w:sz w:val="22"/>
                <w:szCs w:val="22"/>
              </w:rPr>
              <w:t>$377,940.60</w:t>
            </w:r>
          </w:p>
        </w:tc>
      </w:tr>
      <w:tr w14:paraId="6AFD9A6F" w14:textId="77777777" w:rsidTr="5C516CCC">
        <w:tblPrEx>
          <w:tblW w:w="9800" w:type="dxa"/>
          <w:tblLayout w:type="fixed"/>
          <w:tblLook w:val="0680"/>
        </w:tblPrEx>
        <w:trPr>
          <w:trHeight w:val="960"/>
        </w:trPr>
        <w:tc>
          <w:tcPr>
            <w:tcW w:w="1340" w:type="dxa"/>
            <w:tcBorders>
              <w:top w:val="single" w:sz="8" w:space="0" w:color="auto"/>
              <w:left w:val="single" w:sz="8" w:space="0" w:color="auto"/>
              <w:bottom w:val="single" w:sz="8" w:space="0" w:color="auto"/>
              <w:right w:val="single" w:sz="4" w:space="0" w:color="auto"/>
            </w:tcBorders>
            <w:tcMar>
              <w:top w:w="15" w:type="dxa"/>
              <w:left w:w="15" w:type="dxa"/>
              <w:right w:w="15" w:type="dxa"/>
            </w:tcMar>
            <w:vAlign w:val="center"/>
          </w:tcPr>
          <w:p w:rsidR="638B37EC" w:rsidRPr="004215A2" w:rsidP="5C516CCC" w14:paraId="116A65A7" w14:textId="7C0E16CA">
            <w:pPr>
              <w:rPr>
                <w:sz w:val="22"/>
                <w:szCs w:val="22"/>
              </w:rPr>
            </w:pPr>
            <w:r w:rsidRPr="5C516CCC">
              <w:rPr>
                <w:color w:val="000000" w:themeColor="text1"/>
                <w:sz w:val="22"/>
                <w:szCs w:val="22"/>
              </w:rPr>
              <w:t xml:space="preserve">16) Medical Surveillance  </w:t>
            </w:r>
          </w:p>
        </w:tc>
        <w:tc>
          <w:tcPr>
            <w:tcW w:w="126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4215A2" w:rsidP="00D91F68" w14:paraId="53CCF788" w14:textId="1C5E44D6">
            <w:pPr>
              <w:jc w:val="center"/>
              <w:rPr>
                <w:sz w:val="22"/>
                <w:szCs w:val="22"/>
              </w:rPr>
            </w:pPr>
            <w:r w:rsidRPr="5C516CCC">
              <w:rPr>
                <w:sz w:val="22"/>
                <w:szCs w:val="22"/>
              </w:rPr>
              <w:t xml:space="preserve">Occupational Safety and Health Specialist </w:t>
            </w:r>
          </w:p>
        </w:tc>
        <w:tc>
          <w:tcPr>
            <w:tcW w:w="117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4215A2" w:rsidP="00D91F68" w14:paraId="1CBBE104" w14:textId="53A4C1A4">
            <w:pPr>
              <w:jc w:val="center"/>
              <w:rPr>
                <w:sz w:val="22"/>
                <w:szCs w:val="22"/>
              </w:rPr>
            </w:pPr>
            <w:r w:rsidRPr="5C516CCC">
              <w:rPr>
                <w:sz w:val="22"/>
                <w:szCs w:val="22"/>
              </w:rPr>
              <w:t>13,766</w:t>
            </w:r>
          </w:p>
        </w:tc>
        <w:tc>
          <w:tcPr>
            <w:tcW w:w="108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4215A2" w:rsidP="00D91F68" w14:paraId="6A46BFB4" w14:textId="44075B13">
            <w:pPr>
              <w:jc w:val="center"/>
              <w:rPr>
                <w:sz w:val="22"/>
                <w:szCs w:val="22"/>
              </w:rPr>
            </w:pPr>
            <w:r w:rsidRPr="5C516CCC">
              <w:rPr>
                <w:sz w:val="22"/>
                <w:szCs w:val="22"/>
              </w:rPr>
              <w:t>1</w:t>
            </w:r>
          </w:p>
        </w:tc>
        <w:tc>
          <w:tcPr>
            <w:tcW w:w="990" w:type="dxa"/>
            <w:tcBorders>
              <w:top w:val="single" w:sz="8" w:space="0" w:color="auto"/>
              <w:left w:val="single" w:sz="4" w:space="0" w:color="auto"/>
              <w:bottom w:val="single" w:sz="8" w:space="0" w:color="auto"/>
              <w:right w:val="single" w:sz="4" w:space="0" w:color="auto"/>
            </w:tcBorders>
            <w:shd w:val="clear" w:color="auto" w:fill="B4C6E7"/>
            <w:tcMar>
              <w:top w:w="15" w:type="dxa"/>
              <w:left w:w="15" w:type="dxa"/>
              <w:right w:w="15" w:type="dxa"/>
            </w:tcMar>
            <w:vAlign w:val="center"/>
          </w:tcPr>
          <w:p w:rsidR="638B37EC" w:rsidRPr="004215A2" w:rsidP="00D91F68" w14:paraId="3B30DAC0" w14:textId="7CA32650">
            <w:pPr>
              <w:jc w:val="center"/>
              <w:rPr>
                <w:sz w:val="22"/>
                <w:szCs w:val="22"/>
              </w:rPr>
            </w:pPr>
            <w:r w:rsidRPr="5C516CCC">
              <w:rPr>
                <w:sz w:val="22"/>
                <w:szCs w:val="22"/>
              </w:rPr>
              <w:t>13,766</w:t>
            </w:r>
          </w:p>
        </w:tc>
        <w:tc>
          <w:tcPr>
            <w:tcW w:w="108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4215A2" w:rsidP="00D91F68" w14:paraId="2167E820" w14:textId="4DC777D4">
            <w:pPr>
              <w:jc w:val="center"/>
              <w:rPr>
                <w:sz w:val="22"/>
                <w:szCs w:val="22"/>
              </w:rPr>
            </w:pPr>
            <w:r w:rsidRPr="5C516CCC">
              <w:rPr>
                <w:sz w:val="22"/>
                <w:szCs w:val="22"/>
              </w:rPr>
              <w:t>1</w:t>
            </w:r>
            <w:r w:rsidRPr="5C516CCC" w:rsidR="46AD29BA">
              <w:rPr>
                <w:sz w:val="22"/>
                <w:szCs w:val="22"/>
              </w:rPr>
              <w:t>15/60</w:t>
            </w:r>
          </w:p>
        </w:tc>
        <w:tc>
          <w:tcPr>
            <w:tcW w:w="810" w:type="dxa"/>
            <w:tcBorders>
              <w:top w:val="single" w:sz="8" w:space="0" w:color="auto"/>
              <w:left w:val="single" w:sz="4" w:space="0" w:color="auto"/>
              <w:bottom w:val="single" w:sz="8" w:space="0" w:color="auto"/>
              <w:right w:val="single" w:sz="4" w:space="0" w:color="auto"/>
            </w:tcBorders>
            <w:shd w:val="clear" w:color="auto" w:fill="B4C6E7"/>
            <w:tcMar>
              <w:top w:w="15" w:type="dxa"/>
              <w:left w:w="15" w:type="dxa"/>
              <w:right w:w="15" w:type="dxa"/>
            </w:tcMar>
            <w:vAlign w:val="center"/>
          </w:tcPr>
          <w:p w:rsidR="638B37EC" w:rsidRPr="004215A2" w:rsidP="00D91F68" w14:paraId="2B625279" w14:textId="74427739">
            <w:pPr>
              <w:jc w:val="center"/>
              <w:rPr>
                <w:sz w:val="22"/>
                <w:szCs w:val="22"/>
              </w:rPr>
            </w:pPr>
            <w:r w:rsidRPr="5C516CCC">
              <w:rPr>
                <w:sz w:val="22"/>
                <w:szCs w:val="22"/>
              </w:rPr>
              <w:t>26,385</w:t>
            </w:r>
          </w:p>
        </w:tc>
        <w:tc>
          <w:tcPr>
            <w:tcW w:w="72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4215A2" w:rsidP="00D91F68" w14:paraId="556F221E" w14:textId="50F222A9">
            <w:pPr>
              <w:jc w:val="center"/>
              <w:rPr>
                <w:sz w:val="22"/>
                <w:szCs w:val="22"/>
              </w:rPr>
            </w:pPr>
            <w:r w:rsidRPr="5C516CCC">
              <w:rPr>
                <w:sz w:val="22"/>
                <w:szCs w:val="22"/>
              </w:rPr>
              <w:t>$53.70</w:t>
            </w:r>
          </w:p>
        </w:tc>
        <w:tc>
          <w:tcPr>
            <w:tcW w:w="1350" w:type="dxa"/>
            <w:tcBorders>
              <w:top w:val="single" w:sz="8" w:space="0" w:color="auto"/>
              <w:left w:val="single" w:sz="4" w:space="0" w:color="auto"/>
              <w:bottom w:val="single" w:sz="8" w:space="0" w:color="auto"/>
              <w:right w:val="single" w:sz="8" w:space="0" w:color="auto"/>
            </w:tcBorders>
            <w:shd w:val="clear" w:color="auto" w:fill="B4C6E7"/>
            <w:tcMar>
              <w:top w:w="15" w:type="dxa"/>
              <w:left w:w="15" w:type="dxa"/>
              <w:right w:w="15" w:type="dxa"/>
            </w:tcMar>
            <w:vAlign w:val="center"/>
          </w:tcPr>
          <w:p w:rsidR="638B37EC" w:rsidRPr="004215A2" w:rsidP="00D91F68" w14:paraId="2A0AC75B" w14:textId="6CE51EC6">
            <w:pPr>
              <w:jc w:val="center"/>
              <w:rPr>
                <w:sz w:val="22"/>
                <w:szCs w:val="22"/>
              </w:rPr>
            </w:pPr>
            <w:r w:rsidRPr="5C516CCC">
              <w:rPr>
                <w:sz w:val="22"/>
                <w:szCs w:val="22"/>
              </w:rPr>
              <w:t>$1,416,874.50</w:t>
            </w:r>
          </w:p>
        </w:tc>
      </w:tr>
      <w:tr w14:paraId="24817E42" w14:textId="77777777" w:rsidTr="5C516CCC">
        <w:tblPrEx>
          <w:tblW w:w="9800" w:type="dxa"/>
          <w:tblLayout w:type="fixed"/>
          <w:tblLook w:val="0680"/>
        </w:tblPrEx>
        <w:trPr>
          <w:trHeight w:val="105"/>
        </w:trPr>
        <w:tc>
          <w:tcPr>
            <w:tcW w:w="1340"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5C516CCC" w14:paraId="5A713425" w14:textId="25DA3F88">
            <w:r w:rsidRPr="5C516CCC">
              <w:rPr>
                <w:color w:val="000000" w:themeColor="text1"/>
                <w:sz w:val="24"/>
                <w:szCs w:val="24"/>
              </w:rPr>
              <w:t xml:space="preserve"> </w:t>
            </w:r>
          </w:p>
        </w:tc>
        <w:tc>
          <w:tcPr>
            <w:tcW w:w="126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5EE24593" w14:textId="70448AE4">
            <w:pPr>
              <w:jc w:val="center"/>
              <w:rPr>
                <w:sz w:val="24"/>
                <w:szCs w:val="24"/>
              </w:rPr>
            </w:pPr>
            <w:r w:rsidRPr="5C516CCC">
              <w:rPr>
                <w:sz w:val="24"/>
                <w:szCs w:val="24"/>
              </w:rPr>
              <w:t xml:space="preserve"> </w:t>
            </w:r>
          </w:p>
        </w:tc>
        <w:tc>
          <w:tcPr>
            <w:tcW w:w="117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4BB5EF81" w14:textId="72EAF880">
            <w:pPr>
              <w:jc w:val="center"/>
              <w:rPr>
                <w:sz w:val="24"/>
                <w:szCs w:val="24"/>
              </w:rPr>
            </w:pPr>
            <w:r w:rsidRPr="5C516CCC">
              <w:rPr>
                <w:sz w:val="24"/>
                <w:szCs w:val="24"/>
              </w:rPr>
              <w:t xml:space="preserve"> </w:t>
            </w:r>
          </w:p>
        </w:tc>
        <w:tc>
          <w:tcPr>
            <w:tcW w:w="10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0A1BFC89" w14:textId="67495583">
            <w:pPr>
              <w:jc w:val="center"/>
              <w:rPr>
                <w:sz w:val="24"/>
                <w:szCs w:val="24"/>
              </w:rPr>
            </w:pPr>
            <w:r w:rsidRPr="5C516CCC">
              <w:rPr>
                <w:sz w:val="24"/>
                <w:szCs w:val="24"/>
              </w:rPr>
              <w:t xml:space="preserve"> </w:t>
            </w:r>
          </w:p>
        </w:tc>
        <w:tc>
          <w:tcPr>
            <w:tcW w:w="99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03F70D9A" w14:textId="002F94E1">
            <w:pPr>
              <w:jc w:val="center"/>
              <w:rPr>
                <w:color w:val="000000" w:themeColor="text1"/>
                <w:sz w:val="24"/>
                <w:szCs w:val="24"/>
              </w:rPr>
            </w:pPr>
            <w:r w:rsidRPr="5C516CCC">
              <w:rPr>
                <w:color w:val="000000" w:themeColor="text1"/>
                <w:sz w:val="24"/>
                <w:szCs w:val="24"/>
              </w:rPr>
              <w:t xml:space="preserve"> </w:t>
            </w:r>
          </w:p>
        </w:tc>
        <w:tc>
          <w:tcPr>
            <w:tcW w:w="10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114F5037" w14:textId="1F051A1C">
            <w:pPr>
              <w:jc w:val="center"/>
              <w:rPr>
                <w:sz w:val="24"/>
                <w:szCs w:val="24"/>
              </w:rPr>
            </w:pPr>
            <w:r w:rsidRPr="5C516CCC">
              <w:rPr>
                <w:sz w:val="24"/>
                <w:szCs w:val="24"/>
              </w:rPr>
              <w:t xml:space="preserve"> </w:t>
            </w:r>
          </w:p>
        </w:tc>
        <w:tc>
          <w:tcPr>
            <w:tcW w:w="81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09043DFC" w14:textId="7B4E662F">
            <w:pPr>
              <w:jc w:val="center"/>
              <w:rPr>
                <w:sz w:val="24"/>
                <w:szCs w:val="24"/>
              </w:rPr>
            </w:pPr>
            <w:r w:rsidRPr="5C516CCC">
              <w:rPr>
                <w:sz w:val="24"/>
                <w:szCs w:val="24"/>
              </w:rPr>
              <w:t xml:space="preserve"> </w:t>
            </w:r>
          </w:p>
        </w:tc>
        <w:tc>
          <w:tcPr>
            <w:tcW w:w="72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63C4EC1A" w14:textId="261AF795">
            <w:pPr>
              <w:jc w:val="center"/>
              <w:rPr>
                <w:sz w:val="24"/>
                <w:szCs w:val="24"/>
              </w:rPr>
            </w:pPr>
            <w:r w:rsidRPr="5C516CCC">
              <w:rPr>
                <w:sz w:val="24"/>
                <w:szCs w:val="24"/>
              </w:rPr>
              <w:t xml:space="preserve"> </w:t>
            </w:r>
          </w:p>
        </w:tc>
        <w:tc>
          <w:tcPr>
            <w:tcW w:w="1350"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rsidR="638B37EC" w:rsidP="00D91F68" w14:paraId="1D822783" w14:textId="5068E0ED">
            <w:pPr>
              <w:jc w:val="center"/>
              <w:rPr>
                <w:sz w:val="24"/>
                <w:szCs w:val="24"/>
              </w:rPr>
            </w:pPr>
            <w:r w:rsidRPr="5C516CCC">
              <w:rPr>
                <w:sz w:val="24"/>
                <w:szCs w:val="24"/>
              </w:rPr>
              <w:t xml:space="preserve"> </w:t>
            </w:r>
          </w:p>
        </w:tc>
      </w:tr>
      <w:tr w14:paraId="3059ADFC" w14:textId="77777777" w:rsidTr="5C516CCC">
        <w:tblPrEx>
          <w:tblW w:w="9800" w:type="dxa"/>
          <w:tblLayout w:type="fixed"/>
          <w:tblLook w:val="0680"/>
        </w:tblPrEx>
        <w:trPr>
          <w:trHeight w:val="960"/>
        </w:trPr>
        <w:tc>
          <w:tcPr>
            <w:tcW w:w="1340" w:type="dxa"/>
            <w:tcBorders>
              <w:top w:val="single" w:sz="8" w:space="0" w:color="auto"/>
              <w:left w:val="single" w:sz="8" w:space="0" w:color="auto"/>
              <w:bottom w:val="single" w:sz="8" w:space="0" w:color="auto"/>
              <w:right w:val="single" w:sz="4" w:space="0" w:color="auto"/>
            </w:tcBorders>
            <w:tcMar>
              <w:top w:w="15" w:type="dxa"/>
              <w:left w:w="15" w:type="dxa"/>
              <w:right w:w="15" w:type="dxa"/>
            </w:tcMar>
            <w:vAlign w:val="center"/>
          </w:tcPr>
          <w:p w:rsidR="638B37EC" w:rsidRPr="004215A2" w:rsidP="5C516CCC" w14:paraId="7412C0DB" w14:textId="088502DA">
            <w:pPr>
              <w:rPr>
                <w:sz w:val="22"/>
                <w:szCs w:val="22"/>
              </w:rPr>
            </w:pPr>
            <w:r w:rsidRPr="5C516CCC">
              <w:rPr>
                <w:color w:val="000000" w:themeColor="text1"/>
                <w:sz w:val="22"/>
                <w:szCs w:val="22"/>
              </w:rPr>
              <w:t xml:space="preserve">17) Decontamination </w:t>
            </w:r>
          </w:p>
        </w:tc>
        <w:tc>
          <w:tcPr>
            <w:tcW w:w="126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4215A2" w:rsidP="00D91F68" w14:paraId="77E31340" w14:textId="6402D17B">
            <w:pPr>
              <w:jc w:val="center"/>
              <w:rPr>
                <w:sz w:val="22"/>
                <w:szCs w:val="22"/>
              </w:rPr>
            </w:pPr>
            <w:r w:rsidRPr="5C516CCC">
              <w:rPr>
                <w:sz w:val="22"/>
                <w:szCs w:val="22"/>
              </w:rPr>
              <w:t xml:space="preserve">Occupational Safety and Health Specialist </w:t>
            </w:r>
          </w:p>
        </w:tc>
        <w:tc>
          <w:tcPr>
            <w:tcW w:w="117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4215A2" w:rsidP="00D91F68" w14:paraId="0929115B" w14:textId="5AF07BB7">
            <w:pPr>
              <w:jc w:val="center"/>
              <w:rPr>
                <w:sz w:val="22"/>
                <w:szCs w:val="22"/>
              </w:rPr>
            </w:pPr>
            <w:r w:rsidRPr="5C516CCC">
              <w:rPr>
                <w:sz w:val="22"/>
                <w:szCs w:val="22"/>
              </w:rPr>
              <w:t>1,071</w:t>
            </w:r>
          </w:p>
        </w:tc>
        <w:tc>
          <w:tcPr>
            <w:tcW w:w="108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4215A2" w:rsidP="00D91F68" w14:paraId="01C16416" w14:textId="2423F597">
            <w:pPr>
              <w:jc w:val="center"/>
              <w:rPr>
                <w:sz w:val="22"/>
                <w:szCs w:val="22"/>
              </w:rPr>
            </w:pPr>
            <w:r w:rsidRPr="5C516CCC">
              <w:rPr>
                <w:sz w:val="22"/>
                <w:szCs w:val="22"/>
              </w:rPr>
              <w:t>1</w:t>
            </w:r>
          </w:p>
        </w:tc>
        <w:tc>
          <w:tcPr>
            <w:tcW w:w="990" w:type="dxa"/>
            <w:tcBorders>
              <w:top w:val="single" w:sz="8" w:space="0" w:color="auto"/>
              <w:left w:val="single" w:sz="4" w:space="0" w:color="auto"/>
              <w:bottom w:val="single" w:sz="8" w:space="0" w:color="auto"/>
              <w:right w:val="single" w:sz="4" w:space="0" w:color="auto"/>
            </w:tcBorders>
            <w:shd w:val="clear" w:color="auto" w:fill="B4C6E7"/>
            <w:tcMar>
              <w:top w:w="15" w:type="dxa"/>
              <w:left w:w="15" w:type="dxa"/>
              <w:right w:w="15" w:type="dxa"/>
            </w:tcMar>
            <w:vAlign w:val="center"/>
          </w:tcPr>
          <w:p w:rsidR="638B37EC" w:rsidRPr="004215A2" w:rsidP="00D91F68" w14:paraId="4B4D69C1" w14:textId="33478A63">
            <w:pPr>
              <w:jc w:val="center"/>
              <w:rPr>
                <w:sz w:val="22"/>
                <w:szCs w:val="22"/>
              </w:rPr>
            </w:pPr>
            <w:r w:rsidRPr="5C516CCC">
              <w:rPr>
                <w:sz w:val="22"/>
                <w:szCs w:val="22"/>
              </w:rPr>
              <w:t>1,071</w:t>
            </w:r>
          </w:p>
        </w:tc>
        <w:tc>
          <w:tcPr>
            <w:tcW w:w="108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4215A2" w:rsidP="00D91F68" w14:paraId="66C86C69" w14:textId="1338D98A">
            <w:pPr>
              <w:jc w:val="center"/>
              <w:rPr>
                <w:sz w:val="22"/>
                <w:szCs w:val="22"/>
              </w:rPr>
            </w:pPr>
            <w:r w:rsidRPr="5C516CCC">
              <w:rPr>
                <w:sz w:val="22"/>
                <w:szCs w:val="22"/>
              </w:rPr>
              <w:t>6</w:t>
            </w:r>
          </w:p>
        </w:tc>
        <w:tc>
          <w:tcPr>
            <w:tcW w:w="810" w:type="dxa"/>
            <w:tcBorders>
              <w:top w:val="single" w:sz="8" w:space="0" w:color="auto"/>
              <w:left w:val="single" w:sz="4" w:space="0" w:color="auto"/>
              <w:bottom w:val="single" w:sz="8" w:space="0" w:color="auto"/>
              <w:right w:val="single" w:sz="4" w:space="0" w:color="auto"/>
            </w:tcBorders>
            <w:shd w:val="clear" w:color="auto" w:fill="B4C6E7"/>
            <w:tcMar>
              <w:top w:w="15" w:type="dxa"/>
              <w:left w:w="15" w:type="dxa"/>
              <w:right w:w="15" w:type="dxa"/>
            </w:tcMar>
            <w:vAlign w:val="center"/>
          </w:tcPr>
          <w:p w:rsidR="638B37EC" w:rsidRPr="004215A2" w:rsidP="00D91F68" w14:paraId="7234E91A" w14:textId="56C82903">
            <w:pPr>
              <w:jc w:val="center"/>
              <w:rPr>
                <w:sz w:val="22"/>
                <w:szCs w:val="22"/>
              </w:rPr>
            </w:pPr>
            <w:r w:rsidRPr="5C516CCC">
              <w:rPr>
                <w:sz w:val="22"/>
                <w:szCs w:val="22"/>
              </w:rPr>
              <w:t>6,426</w:t>
            </w:r>
          </w:p>
        </w:tc>
        <w:tc>
          <w:tcPr>
            <w:tcW w:w="72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4215A2" w:rsidP="00D91F68" w14:paraId="6F27D3CA" w14:textId="6C7114AF">
            <w:pPr>
              <w:jc w:val="center"/>
              <w:rPr>
                <w:sz w:val="22"/>
                <w:szCs w:val="22"/>
              </w:rPr>
            </w:pPr>
            <w:r w:rsidRPr="5C516CCC">
              <w:rPr>
                <w:sz w:val="22"/>
                <w:szCs w:val="22"/>
              </w:rPr>
              <w:t>$53.70</w:t>
            </w:r>
          </w:p>
        </w:tc>
        <w:tc>
          <w:tcPr>
            <w:tcW w:w="1350" w:type="dxa"/>
            <w:tcBorders>
              <w:top w:val="single" w:sz="8" w:space="0" w:color="auto"/>
              <w:left w:val="single" w:sz="4" w:space="0" w:color="auto"/>
              <w:bottom w:val="single" w:sz="8" w:space="0" w:color="auto"/>
              <w:right w:val="single" w:sz="8" w:space="0" w:color="auto"/>
            </w:tcBorders>
            <w:shd w:val="clear" w:color="auto" w:fill="B4C6E7"/>
            <w:tcMar>
              <w:top w:w="15" w:type="dxa"/>
              <w:left w:w="15" w:type="dxa"/>
              <w:right w:w="15" w:type="dxa"/>
            </w:tcMar>
            <w:vAlign w:val="center"/>
          </w:tcPr>
          <w:p w:rsidR="638B37EC" w:rsidRPr="004215A2" w:rsidP="00D91F68" w14:paraId="0D5D1D4C" w14:textId="19AB8454">
            <w:pPr>
              <w:jc w:val="center"/>
              <w:rPr>
                <w:sz w:val="22"/>
                <w:szCs w:val="22"/>
              </w:rPr>
            </w:pPr>
            <w:r w:rsidRPr="5C516CCC">
              <w:rPr>
                <w:sz w:val="22"/>
                <w:szCs w:val="22"/>
              </w:rPr>
              <w:t>$345,076.20</w:t>
            </w:r>
          </w:p>
        </w:tc>
      </w:tr>
      <w:tr w14:paraId="2B95F07F" w14:textId="77777777" w:rsidTr="5C516CCC">
        <w:tblPrEx>
          <w:tblW w:w="9800" w:type="dxa"/>
          <w:tblLayout w:type="fixed"/>
          <w:tblLook w:val="0680"/>
        </w:tblPrEx>
        <w:trPr>
          <w:trHeight w:val="105"/>
        </w:trPr>
        <w:tc>
          <w:tcPr>
            <w:tcW w:w="1340"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5C516CCC" w14:paraId="15C88F42" w14:textId="76ECA57B">
            <w:pPr>
              <w:rPr>
                <w:sz w:val="22"/>
                <w:szCs w:val="22"/>
              </w:rPr>
            </w:pPr>
            <w:r w:rsidRPr="5C516CCC">
              <w:rPr>
                <w:color w:val="000000" w:themeColor="text1"/>
                <w:sz w:val="22"/>
                <w:szCs w:val="22"/>
              </w:rPr>
              <w:t xml:space="preserve"> </w:t>
            </w:r>
          </w:p>
        </w:tc>
        <w:tc>
          <w:tcPr>
            <w:tcW w:w="126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0776E219" w14:textId="64F049AD">
            <w:pPr>
              <w:jc w:val="center"/>
              <w:rPr>
                <w:sz w:val="22"/>
                <w:szCs w:val="22"/>
              </w:rPr>
            </w:pPr>
            <w:r w:rsidRPr="5C516CCC">
              <w:rPr>
                <w:sz w:val="22"/>
                <w:szCs w:val="22"/>
              </w:rPr>
              <w:t xml:space="preserve"> </w:t>
            </w:r>
          </w:p>
        </w:tc>
        <w:tc>
          <w:tcPr>
            <w:tcW w:w="117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0F041D27" w14:textId="6374F77D">
            <w:pPr>
              <w:jc w:val="center"/>
              <w:rPr>
                <w:sz w:val="22"/>
                <w:szCs w:val="22"/>
              </w:rPr>
            </w:pPr>
            <w:r w:rsidRPr="5C516CCC">
              <w:rPr>
                <w:sz w:val="22"/>
                <w:szCs w:val="22"/>
              </w:rPr>
              <w:t xml:space="preserve"> </w:t>
            </w:r>
          </w:p>
        </w:tc>
        <w:tc>
          <w:tcPr>
            <w:tcW w:w="10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7195794E" w14:textId="796FBDEC">
            <w:pPr>
              <w:jc w:val="center"/>
              <w:rPr>
                <w:sz w:val="22"/>
                <w:szCs w:val="22"/>
              </w:rPr>
            </w:pPr>
            <w:r w:rsidRPr="5C516CCC">
              <w:rPr>
                <w:sz w:val="22"/>
                <w:szCs w:val="22"/>
              </w:rPr>
              <w:t xml:space="preserve"> </w:t>
            </w:r>
          </w:p>
        </w:tc>
        <w:tc>
          <w:tcPr>
            <w:tcW w:w="99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60A8AD7B" w14:textId="456E672A">
            <w:pPr>
              <w:jc w:val="center"/>
              <w:rPr>
                <w:color w:val="000000" w:themeColor="text1"/>
                <w:sz w:val="22"/>
                <w:szCs w:val="22"/>
              </w:rPr>
            </w:pPr>
            <w:r w:rsidRPr="5C516CCC">
              <w:rPr>
                <w:color w:val="000000" w:themeColor="text1"/>
                <w:sz w:val="22"/>
                <w:szCs w:val="22"/>
              </w:rPr>
              <w:t xml:space="preserve"> </w:t>
            </w:r>
          </w:p>
        </w:tc>
        <w:tc>
          <w:tcPr>
            <w:tcW w:w="10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0BA038DC" w14:textId="4C3D5539">
            <w:pPr>
              <w:jc w:val="center"/>
              <w:rPr>
                <w:sz w:val="22"/>
                <w:szCs w:val="22"/>
              </w:rPr>
            </w:pPr>
            <w:r w:rsidRPr="5C516CCC">
              <w:rPr>
                <w:sz w:val="22"/>
                <w:szCs w:val="22"/>
              </w:rPr>
              <w:t xml:space="preserve"> </w:t>
            </w:r>
          </w:p>
        </w:tc>
        <w:tc>
          <w:tcPr>
            <w:tcW w:w="81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3CE99657" w14:textId="1C38BBCE">
            <w:pPr>
              <w:jc w:val="center"/>
              <w:rPr>
                <w:sz w:val="22"/>
                <w:szCs w:val="22"/>
              </w:rPr>
            </w:pPr>
            <w:r w:rsidRPr="5C516CCC">
              <w:rPr>
                <w:sz w:val="22"/>
                <w:szCs w:val="22"/>
              </w:rPr>
              <w:t xml:space="preserve"> </w:t>
            </w:r>
          </w:p>
        </w:tc>
        <w:tc>
          <w:tcPr>
            <w:tcW w:w="72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437C8989" w14:textId="2FB7DE8E">
            <w:pPr>
              <w:jc w:val="center"/>
              <w:rPr>
                <w:sz w:val="22"/>
                <w:szCs w:val="22"/>
              </w:rPr>
            </w:pPr>
            <w:r w:rsidRPr="5C516CCC">
              <w:rPr>
                <w:sz w:val="22"/>
                <w:szCs w:val="22"/>
              </w:rPr>
              <w:t xml:space="preserve"> </w:t>
            </w:r>
          </w:p>
        </w:tc>
        <w:tc>
          <w:tcPr>
            <w:tcW w:w="1350"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rsidR="638B37EC" w:rsidRPr="004215A2" w:rsidP="00D91F68" w14:paraId="5016E91D" w14:textId="5D32B844">
            <w:pPr>
              <w:jc w:val="center"/>
              <w:rPr>
                <w:sz w:val="22"/>
                <w:szCs w:val="22"/>
              </w:rPr>
            </w:pPr>
            <w:r w:rsidRPr="5C516CCC">
              <w:rPr>
                <w:sz w:val="22"/>
                <w:szCs w:val="22"/>
              </w:rPr>
              <w:t xml:space="preserve"> </w:t>
            </w:r>
          </w:p>
        </w:tc>
      </w:tr>
      <w:tr w14:paraId="4B9BF2A1" w14:textId="77777777" w:rsidTr="5C516CCC">
        <w:tblPrEx>
          <w:tblW w:w="9800" w:type="dxa"/>
          <w:tblLayout w:type="fixed"/>
          <w:tblLook w:val="0680"/>
        </w:tblPrEx>
        <w:trPr>
          <w:trHeight w:val="960"/>
        </w:trPr>
        <w:tc>
          <w:tcPr>
            <w:tcW w:w="1340" w:type="dxa"/>
            <w:tcBorders>
              <w:top w:val="single" w:sz="8" w:space="0" w:color="auto"/>
              <w:left w:val="single" w:sz="8" w:space="0" w:color="auto"/>
              <w:bottom w:val="single" w:sz="8" w:space="0" w:color="auto"/>
              <w:right w:val="single" w:sz="4" w:space="0" w:color="auto"/>
            </w:tcBorders>
            <w:tcMar>
              <w:top w:w="15" w:type="dxa"/>
              <w:left w:w="15" w:type="dxa"/>
              <w:right w:w="15" w:type="dxa"/>
            </w:tcMar>
            <w:vAlign w:val="center"/>
          </w:tcPr>
          <w:p w:rsidR="638B37EC" w:rsidRPr="004215A2" w:rsidP="5C516CCC" w14:paraId="18409705" w14:textId="58C8874E">
            <w:pPr>
              <w:rPr>
                <w:sz w:val="22"/>
                <w:szCs w:val="22"/>
              </w:rPr>
            </w:pPr>
            <w:r w:rsidRPr="5C516CCC">
              <w:rPr>
                <w:color w:val="000000" w:themeColor="text1"/>
                <w:sz w:val="22"/>
                <w:szCs w:val="22"/>
              </w:rPr>
              <w:t xml:space="preserve">18) New Technology </w:t>
            </w:r>
          </w:p>
        </w:tc>
        <w:tc>
          <w:tcPr>
            <w:tcW w:w="126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4215A2" w:rsidP="00D91F68" w14:paraId="632D5FED" w14:textId="157CA8FE">
            <w:pPr>
              <w:jc w:val="center"/>
              <w:rPr>
                <w:sz w:val="22"/>
                <w:szCs w:val="22"/>
              </w:rPr>
            </w:pPr>
            <w:r w:rsidRPr="5C516CCC">
              <w:rPr>
                <w:sz w:val="22"/>
                <w:szCs w:val="22"/>
              </w:rPr>
              <w:t xml:space="preserve">Occupational Safety and Health Specialist </w:t>
            </w:r>
          </w:p>
        </w:tc>
        <w:tc>
          <w:tcPr>
            <w:tcW w:w="117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4215A2" w:rsidP="00D91F68" w14:paraId="429F42C6" w14:textId="477D5B9A">
            <w:pPr>
              <w:jc w:val="center"/>
              <w:rPr>
                <w:sz w:val="22"/>
                <w:szCs w:val="22"/>
              </w:rPr>
            </w:pPr>
            <w:r w:rsidRPr="5C516CCC">
              <w:rPr>
                <w:sz w:val="22"/>
                <w:szCs w:val="22"/>
              </w:rPr>
              <w:t>1,071</w:t>
            </w:r>
          </w:p>
        </w:tc>
        <w:tc>
          <w:tcPr>
            <w:tcW w:w="108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4215A2" w:rsidP="00D91F68" w14:paraId="59F03BA1" w14:textId="52B551F9">
            <w:pPr>
              <w:jc w:val="center"/>
              <w:rPr>
                <w:sz w:val="22"/>
                <w:szCs w:val="22"/>
              </w:rPr>
            </w:pPr>
            <w:r w:rsidRPr="5C516CCC">
              <w:rPr>
                <w:sz w:val="22"/>
                <w:szCs w:val="22"/>
              </w:rPr>
              <w:t>1</w:t>
            </w:r>
          </w:p>
        </w:tc>
        <w:tc>
          <w:tcPr>
            <w:tcW w:w="990" w:type="dxa"/>
            <w:tcBorders>
              <w:top w:val="single" w:sz="8" w:space="0" w:color="auto"/>
              <w:left w:val="single" w:sz="4" w:space="0" w:color="auto"/>
              <w:bottom w:val="single" w:sz="8" w:space="0" w:color="auto"/>
              <w:right w:val="single" w:sz="4" w:space="0" w:color="auto"/>
            </w:tcBorders>
            <w:shd w:val="clear" w:color="auto" w:fill="B4C6E7"/>
            <w:tcMar>
              <w:top w:w="15" w:type="dxa"/>
              <w:left w:w="15" w:type="dxa"/>
              <w:right w:w="15" w:type="dxa"/>
            </w:tcMar>
            <w:vAlign w:val="center"/>
          </w:tcPr>
          <w:p w:rsidR="638B37EC" w:rsidRPr="004215A2" w:rsidP="00D91F68" w14:paraId="19EF821A" w14:textId="4B5CA5DE">
            <w:pPr>
              <w:jc w:val="center"/>
              <w:rPr>
                <w:sz w:val="22"/>
                <w:szCs w:val="22"/>
              </w:rPr>
            </w:pPr>
            <w:r w:rsidRPr="5C516CCC">
              <w:rPr>
                <w:sz w:val="22"/>
                <w:szCs w:val="22"/>
              </w:rPr>
              <w:t>1,071</w:t>
            </w:r>
          </w:p>
        </w:tc>
        <w:tc>
          <w:tcPr>
            <w:tcW w:w="108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4215A2" w:rsidP="00D91F68" w14:paraId="15FBB324" w14:textId="143B2BED">
            <w:pPr>
              <w:jc w:val="center"/>
              <w:rPr>
                <w:sz w:val="22"/>
                <w:szCs w:val="22"/>
              </w:rPr>
            </w:pPr>
            <w:r w:rsidRPr="5C516CCC">
              <w:rPr>
                <w:sz w:val="22"/>
                <w:szCs w:val="22"/>
              </w:rPr>
              <w:t>6</w:t>
            </w:r>
          </w:p>
        </w:tc>
        <w:tc>
          <w:tcPr>
            <w:tcW w:w="810" w:type="dxa"/>
            <w:tcBorders>
              <w:top w:val="single" w:sz="8" w:space="0" w:color="auto"/>
              <w:left w:val="single" w:sz="4" w:space="0" w:color="auto"/>
              <w:bottom w:val="single" w:sz="8" w:space="0" w:color="auto"/>
              <w:right w:val="single" w:sz="4" w:space="0" w:color="auto"/>
            </w:tcBorders>
            <w:shd w:val="clear" w:color="auto" w:fill="B4C6E7"/>
            <w:tcMar>
              <w:top w:w="15" w:type="dxa"/>
              <w:left w:w="15" w:type="dxa"/>
              <w:right w:w="15" w:type="dxa"/>
            </w:tcMar>
            <w:vAlign w:val="center"/>
          </w:tcPr>
          <w:p w:rsidR="638B37EC" w:rsidRPr="004215A2" w:rsidP="00D91F68" w14:paraId="01AC0B03" w14:textId="2F5CB4EC">
            <w:pPr>
              <w:jc w:val="center"/>
              <w:rPr>
                <w:sz w:val="22"/>
                <w:szCs w:val="22"/>
              </w:rPr>
            </w:pPr>
            <w:r w:rsidRPr="5C516CCC">
              <w:rPr>
                <w:sz w:val="22"/>
                <w:szCs w:val="22"/>
              </w:rPr>
              <w:t>6,426</w:t>
            </w:r>
          </w:p>
        </w:tc>
        <w:tc>
          <w:tcPr>
            <w:tcW w:w="72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rsidR="638B37EC" w:rsidRPr="004215A2" w:rsidP="00D91F68" w14:paraId="60DDC13A" w14:textId="28F5A399">
            <w:pPr>
              <w:jc w:val="center"/>
              <w:rPr>
                <w:sz w:val="22"/>
                <w:szCs w:val="22"/>
              </w:rPr>
            </w:pPr>
            <w:r w:rsidRPr="5C516CCC">
              <w:rPr>
                <w:sz w:val="22"/>
                <w:szCs w:val="22"/>
              </w:rPr>
              <w:t>$53.70</w:t>
            </w:r>
          </w:p>
        </w:tc>
        <w:tc>
          <w:tcPr>
            <w:tcW w:w="1350" w:type="dxa"/>
            <w:tcBorders>
              <w:top w:val="single" w:sz="8" w:space="0" w:color="auto"/>
              <w:left w:val="single" w:sz="4" w:space="0" w:color="auto"/>
              <w:bottom w:val="single" w:sz="8" w:space="0" w:color="auto"/>
              <w:right w:val="single" w:sz="8" w:space="0" w:color="auto"/>
            </w:tcBorders>
            <w:shd w:val="clear" w:color="auto" w:fill="B4C6E7"/>
            <w:tcMar>
              <w:top w:w="15" w:type="dxa"/>
              <w:left w:w="15" w:type="dxa"/>
              <w:right w:w="15" w:type="dxa"/>
            </w:tcMar>
            <w:vAlign w:val="center"/>
          </w:tcPr>
          <w:p w:rsidR="638B37EC" w:rsidRPr="004215A2" w:rsidP="00D91F68" w14:paraId="4147B3A1" w14:textId="652C0E39">
            <w:pPr>
              <w:jc w:val="center"/>
              <w:rPr>
                <w:sz w:val="22"/>
                <w:szCs w:val="22"/>
              </w:rPr>
            </w:pPr>
            <w:r w:rsidRPr="5C516CCC">
              <w:rPr>
                <w:sz w:val="22"/>
                <w:szCs w:val="22"/>
              </w:rPr>
              <w:t>$345,076.20</w:t>
            </w:r>
          </w:p>
        </w:tc>
      </w:tr>
      <w:tr w14:paraId="605B5500" w14:textId="77777777" w:rsidTr="5C516CCC">
        <w:tblPrEx>
          <w:tblW w:w="9800" w:type="dxa"/>
          <w:tblLayout w:type="fixed"/>
          <w:tblLook w:val="0680"/>
        </w:tblPrEx>
        <w:trPr>
          <w:trHeight w:val="315"/>
        </w:trPr>
        <w:tc>
          <w:tcPr>
            <w:tcW w:w="1340" w:type="dxa"/>
            <w:tcBorders>
              <w:top w:val="single" w:sz="8" w:space="0" w:color="auto"/>
              <w:left w:val="single" w:sz="8" w:space="0" w:color="auto"/>
              <w:bottom w:val="nil"/>
              <w:right w:val="single" w:sz="4" w:space="0" w:color="auto"/>
            </w:tcBorders>
            <w:tcMar>
              <w:top w:w="15" w:type="dxa"/>
              <w:left w:w="15" w:type="dxa"/>
              <w:right w:w="15" w:type="dxa"/>
            </w:tcMar>
            <w:vAlign w:val="center"/>
          </w:tcPr>
          <w:p w:rsidR="638B37EC" w:rsidRPr="004215A2" w:rsidP="5C516CCC" w14:paraId="68DD249F" w14:textId="34CF1C42">
            <w:pPr>
              <w:rPr>
                <w:sz w:val="22"/>
                <w:szCs w:val="22"/>
              </w:rPr>
            </w:pPr>
            <w:r w:rsidRPr="5C516CCC">
              <w:rPr>
                <w:color w:val="000000" w:themeColor="text1"/>
                <w:sz w:val="22"/>
                <w:szCs w:val="22"/>
              </w:rPr>
              <w:t xml:space="preserve"> </w:t>
            </w:r>
          </w:p>
        </w:tc>
        <w:tc>
          <w:tcPr>
            <w:tcW w:w="1260" w:type="dxa"/>
            <w:tcBorders>
              <w:top w:val="single" w:sz="8" w:space="0" w:color="auto"/>
              <w:left w:val="single" w:sz="4" w:space="0" w:color="auto"/>
              <w:bottom w:val="nil"/>
              <w:right w:val="single" w:sz="4" w:space="0" w:color="auto"/>
            </w:tcBorders>
            <w:tcMar>
              <w:top w:w="15" w:type="dxa"/>
              <w:left w:w="15" w:type="dxa"/>
              <w:right w:w="15" w:type="dxa"/>
            </w:tcMar>
            <w:vAlign w:val="center"/>
          </w:tcPr>
          <w:p w:rsidR="638B37EC" w:rsidRPr="004215A2" w:rsidP="00D91F68" w14:paraId="50CC454E" w14:textId="2366F2A0">
            <w:pPr>
              <w:jc w:val="center"/>
              <w:rPr>
                <w:sz w:val="22"/>
                <w:szCs w:val="22"/>
              </w:rPr>
            </w:pPr>
            <w:r w:rsidRPr="5C516CCC">
              <w:rPr>
                <w:sz w:val="22"/>
                <w:szCs w:val="22"/>
              </w:rPr>
              <w:t xml:space="preserve"> </w:t>
            </w:r>
          </w:p>
        </w:tc>
        <w:tc>
          <w:tcPr>
            <w:tcW w:w="1170" w:type="dxa"/>
            <w:tcBorders>
              <w:top w:val="single" w:sz="8" w:space="0" w:color="auto"/>
              <w:left w:val="single" w:sz="4" w:space="0" w:color="auto"/>
              <w:bottom w:val="nil"/>
              <w:right w:val="single" w:sz="4" w:space="0" w:color="auto"/>
            </w:tcBorders>
            <w:tcMar>
              <w:top w:w="15" w:type="dxa"/>
              <w:left w:w="15" w:type="dxa"/>
              <w:right w:w="15" w:type="dxa"/>
            </w:tcMar>
            <w:vAlign w:val="center"/>
          </w:tcPr>
          <w:p w:rsidR="638B37EC" w:rsidRPr="004215A2" w:rsidP="00D91F68" w14:paraId="106F0D7F" w14:textId="04D1912C">
            <w:pPr>
              <w:jc w:val="center"/>
              <w:rPr>
                <w:sz w:val="22"/>
                <w:szCs w:val="22"/>
              </w:rPr>
            </w:pPr>
            <w:r w:rsidRPr="5C516CCC">
              <w:rPr>
                <w:sz w:val="22"/>
                <w:szCs w:val="22"/>
              </w:rPr>
              <w:t xml:space="preserve"> </w:t>
            </w:r>
          </w:p>
        </w:tc>
        <w:tc>
          <w:tcPr>
            <w:tcW w:w="1080" w:type="dxa"/>
            <w:tcBorders>
              <w:top w:val="single" w:sz="8" w:space="0" w:color="auto"/>
              <w:left w:val="single" w:sz="4" w:space="0" w:color="auto"/>
              <w:bottom w:val="nil"/>
              <w:right w:val="single" w:sz="4" w:space="0" w:color="auto"/>
            </w:tcBorders>
            <w:tcMar>
              <w:top w:w="15" w:type="dxa"/>
              <w:left w:w="15" w:type="dxa"/>
              <w:right w:w="15" w:type="dxa"/>
            </w:tcMar>
            <w:vAlign w:val="center"/>
          </w:tcPr>
          <w:p w:rsidR="638B37EC" w:rsidRPr="004215A2" w:rsidP="00D91F68" w14:paraId="079C184F" w14:textId="332C196D">
            <w:pPr>
              <w:jc w:val="center"/>
              <w:rPr>
                <w:sz w:val="22"/>
                <w:szCs w:val="22"/>
              </w:rPr>
            </w:pPr>
            <w:r w:rsidRPr="5C516CCC">
              <w:rPr>
                <w:sz w:val="22"/>
                <w:szCs w:val="22"/>
              </w:rPr>
              <w:t xml:space="preserve"> </w:t>
            </w:r>
          </w:p>
        </w:tc>
        <w:tc>
          <w:tcPr>
            <w:tcW w:w="990" w:type="dxa"/>
            <w:tcBorders>
              <w:top w:val="single" w:sz="8" w:space="0" w:color="auto"/>
              <w:left w:val="single" w:sz="4" w:space="0" w:color="auto"/>
              <w:bottom w:val="nil"/>
              <w:right w:val="single" w:sz="4" w:space="0" w:color="auto"/>
            </w:tcBorders>
            <w:shd w:val="clear" w:color="auto" w:fill="B4C6E7"/>
            <w:tcMar>
              <w:top w:w="15" w:type="dxa"/>
              <w:left w:w="15" w:type="dxa"/>
              <w:right w:w="15" w:type="dxa"/>
            </w:tcMar>
            <w:vAlign w:val="center"/>
          </w:tcPr>
          <w:p w:rsidR="638B37EC" w:rsidRPr="004215A2" w:rsidP="00D91F68" w14:paraId="152EC7B0" w14:textId="31D28A17">
            <w:pPr>
              <w:jc w:val="center"/>
              <w:rPr>
                <w:sz w:val="22"/>
                <w:szCs w:val="22"/>
              </w:rPr>
            </w:pPr>
            <w:r w:rsidRPr="5C516CCC">
              <w:rPr>
                <w:sz w:val="22"/>
                <w:szCs w:val="22"/>
              </w:rPr>
              <w:t xml:space="preserve"> </w:t>
            </w:r>
          </w:p>
        </w:tc>
        <w:tc>
          <w:tcPr>
            <w:tcW w:w="1080" w:type="dxa"/>
            <w:tcBorders>
              <w:top w:val="single" w:sz="8" w:space="0" w:color="auto"/>
              <w:left w:val="single" w:sz="4" w:space="0" w:color="auto"/>
              <w:bottom w:val="nil"/>
              <w:right w:val="single" w:sz="4" w:space="0" w:color="auto"/>
            </w:tcBorders>
            <w:tcMar>
              <w:top w:w="15" w:type="dxa"/>
              <w:left w:w="15" w:type="dxa"/>
              <w:right w:w="15" w:type="dxa"/>
            </w:tcMar>
            <w:vAlign w:val="center"/>
          </w:tcPr>
          <w:p w:rsidR="638B37EC" w:rsidRPr="004215A2" w:rsidP="00D91F68" w14:paraId="6D6998E8" w14:textId="27D1D2C1">
            <w:pPr>
              <w:jc w:val="center"/>
              <w:rPr>
                <w:sz w:val="22"/>
                <w:szCs w:val="22"/>
              </w:rPr>
            </w:pPr>
            <w:r w:rsidRPr="5C516CCC">
              <w:rPr>
                <w:sz w:val="22"/>
                <w:szCs w:val="22"/>
              </w:rPr>
              <w:t xml:space="preserve"> </w:t>
            </w:r>
          </w:p>
        </w:tc>
        <w:tc>
          <w:tcPr>
            <w:tcW w:w="810" w:type="dxa"/>
            <w:tcBorders>
              <w:top w:val="single" w:sz="8" w:space="0" w:color="auto"/>
              <w:left w:val="single" w:sz="4" w:space="0" w:color="auto"/>
              <w:bottom w:val="nil"/>
              <w:right w:val="single" w:sz="4" w:space="0" w:color="auto"/>
            </w:tcBorders>
            <w:shd w:val="clear" w:color="auto" w:fill="B4C6E7"/>
            <w:tcMar>
              <w:top w:w="15" w:type="dxa"/>
              <w:left w:w="15" w:type="dxa"/>
              <w:right w:w="15" w:type="dxa"/>
            </w:tcMar>
            <w:vAlign w:val="center"/>
          </w:tcPr>
          <w:p w:rsidR="638B37EC" w:rsidRPr="004215A2" w:rsidP="00D91F68" w14:paraId="60959FCD" w14:textId="63B89853">
            <w:pPr>
              <w:jc w:val="center"/>
              <w:rPr>
                <w:sz w:val="22"/>
                <w:szCs w:val="22"/>
              </w:rPr>
            </w:pPr>
            <w:r w:rsidRPr="5C516CCC">
              <w:rPr>
                <w:sz w:val="22"/>
                <w:szCs w:val="22"/>
              </w:rPr>
              <w:t xml:space="preserve"> </w:t>
            </w:r>
          </w:p>
        </w:tc>
        <w:tc>
          <w:tcPr>
            <w:tcW w:w="720" w:type="dxa"/>
            <w:tcBorders>
              <w:top w:val="single" w:sz="8" w:space="0" w:color="auto"/>
              <w:left w:val="single" w:sz="4" w:space="0" w:color="auto"/>
              <w:bottom w:val="nil"/>
              <w:right w:val="single" w:sz="4" w:space="0" w:color="auto"/>
            </w:tcBorders>
            <w:tcMar>
              <w:top w:w="15" w:type="dxa"/>
              <w:left w:w="15" w:type="dxa"/>
              <w:right w:w="15" w:type="dxa"/>
            </w:tcMar>
            <w:vAlign w:val="center"/>
          </w:tcPr>
          <w:p w:rsidR="638B37EC" w:rsidRPr="004215A2" w:rsidP="00D91F68" w14:paraId="09BAA443" w14:textId="10B19C13">
            <w:pPr>
              <w:jc w:val="center"/>
              <w:rPr>
                <w:sz w:val="22"/>
                <w:szCs w:val="22"/>
              </w:rPr>
            </w:pPr>
            <w:r w:rsidRPr="5C516CCC">
              <w:rPr>
                <w:sz w:val="22"/>
                <w:szCs w:val="22"/>
              </w:rPr>
              <w:t xml:space="preserve"> </w:t>
            </w:r>
          </w:p>
        </w:tc>
        <w:tc>
          <w:tcPr>
            <w:tcW w:w="1350" w:type="dxa"/>
            <w:tcBorders>
              <w:top w:val="single" w:sz="8" w:space="0" w:color="auto"/>
              <w:left w:val="single" w:sz="4" w:space="0" w:color="auto"/>
              <w:bottom w:val="nil"/>
              <w:right w:val="single" w:sz="8" w:space="0" w:color="auto"/>
            </w:tcBorders>
            <w:shd w:val="clear" w:color="auto" w:fill="B4C6E7"/>
            <w:tcMar>
              <w:top w:w="15" w:type="dxa"/>
              <w:left w:w="15" w:type="dxa"/>
              <w:right w:w="15" w:type="dxa"/>
            </w:tcMar>
            <w:vAlign w:val="center"/>
          </w:tcPr>
          <w:p w:rsidR="638B37EC" w:rsidRPr="004215A2" w:rsidP="00D91F68" w14:paraId="6638FD8F" w14:textId="7D42E2D8">
            <w:pPr>
              <w:jc w:val="center"/>
              <w:rPr>
                <w:sz w:val="22"/>
                <w:szCs w:val="22"/>
              </w:rPr>
            </w:pPr>
            <w:r w:rsidRPr="5C516CCC">
              <w:rPr>
                <w:sz w:val="22"/>
                <w:szCs w:val="22"/>
              </w:rPr>
              <w:t xml:space="preserve"> </w:t>
            </w:r>
          </w:p>
        </w:tc>
      </w:tr>
      <w:tr w14:paraId="5C482BEF" w14:textId="77777777" w:rsidTr="5C516CCC">
        <w:tblPrEx>
          <w:tblW w:w="9800" w:type="dxa"/>
          <w:tblLayout w:type="fixed"/>
          <w:tblLook w:val="0680"/>
        </w:tblPrEx>
        <w:trPr>
          <w:trHeight w:val="945"/>
        </w:trPr>
        <w:tc>
          <w:tcPr>
            <w:tcW w:w="1340" w:type="dxa"/>
            <w:tcBorders>
              <w:top w:val="nil"/>
              <w:left w:val="single" w:sz="8" w:space="0" w:color="auto"/>
              <w:bottom w:val="single" w:sz="4" w:space="0" w:color="auto"/>
              <w:right w:val="single" w:sz="4" w:space="0" w:color="auto"/>
            </w:tcBorders>
            <w:tcMar>
              <w:top w:w="15" w:type="dxa"/>
              <w:left w:w="15" w:type="dxa"/>
              <w:right w:w="15" w:type="dxa"/>
            </w:tcMar>
            <w:vAlign w:val="center"/>
          </w:tcPr>
          <w:p w:rsidR="638B37EC" w:rsidRPr="004215A2" w:rsidP="5C516CCC" w14:paraId="3CB50433" w14:textId="758C21F9">
            <w:pPr>
              <w:rPr>
                <w:sz w:val="22"/>
                <w:szCs w:val="22"/>
              </w:rPr>
            </w:pPr>
            <w:r w:rsidRPr="5C516CCC">
              <w:rPr>
                <w:color w:val="000000" w:themeColor="text1"/>
                <w:sz w:val="22"/>
                <w:szCs w:val="22"/>
              </w:rPr>
              <w:t xml:space="preserve">19) Material Handling  </w:t>
            </w:r>
          </w:p>
        </w:tc>
        <w:tc>
          <w:tcPr>
            <w:tcW w:w="126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7C77C196" w14:textId="6090177F">
            <w:pPr>
              <w:jc w:val="center"/>
              <w:rPr>
                <w:sz w:val="22"/>
                <w:szCs w:val="22"/>
              </w:rPr>
            </w:pPr>
            <w:r w:rsidRPr="5C516CCC">
              <w:rPr>
                <w:sz w:val="22"/>
                <w:szCs w:val="22"/>
              </w:rPr>
              <w:t xml:space="preserve">Occupational Safety and Health Specialist </w:t>
            </w:r>
          </w:p>
        </w:tc>
        <w:tc>
          <w:tcPr>
            <w:tcW w:w="117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4352969C" w14:textId="29A95D21">
            <w:pPr>
              <w:jc w:val="center"/>
              <w:rPr>
                <w:sz w:val="22"/>
                <w:szCs w:val="22"/>
              </w:rPr>
            </w:pPr>
            <w:r w:rsidRPr="5C516CCC">
              <w:rPr>
                <w:sz w:val="22"/>
                <w:szCs w:val="22"/>
              </w:rPr>
              <w:t>1,071</w:t>
            </w:r>
          </w:p>
        </w:tc>
        <w:tc>
          <w:tcPr>
            <w:tcW w:w="108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436EC050" w14:textId="630BFEAB">
            <w:pPr>
              <w:jc w:val="center"/>
              <w:rPr>
                <w:sz w:val="22"/>
                <w:szCs w:val="22"/>
              </w:rPr>
            </w:pPr>
            <w:r w:rsidRPr="5C516CCC">
              <w:rPr>
                <w:sz w:val="22"/>
                <w:szCs w:val="22"/>
              </w:rPr>
              <w:t>1</w:t>
            </w:r>
          </w:p>
        </w:tc>
        <w:tc>
          <w:tcPr>
            <w:tcW w:w="990" w:type="dxa"/>
            <w:tcBorders>
              <w:top w:val="nil"/>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2CE06A6B" w14:textId="1C1AB206">
            <w:pPr>
              <w:jc w:val="center"/>
              <w:rPr>
                <w:sz w:val="22"/>
                <w:szCs w:val="22"/>
              </w:rPr>
            </w:pPr>
            <w:r w:rsidRPr="5C516CCC">
              <w:rPr>
                <w:sz w:val="22"/>
                <w:szCs w:val="22"/>
              </w:rPr>
              <w:t>1,071</w:t>
            </w:r>
          </w:p>
        </w:tc>
        <w:tc>
          <w:tcPr>
            <w:tcW w:w="108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7CDC55CE" w14:textId="72BB5C8F">
            <w:pPr>
              <w:jc w:val="center"/>
              <w:rPr>
                <w:sz w:val="22"/>
                <w:szCs w:val="22"/>
              </w:rPr>
            </w:pPr>
            <w:r w:rsidRPr="5C516CCC">
              <w:rPr>
                <w:sz w:val="22"/>
                <w:szCs w:val="22"/>
              </w:rPr>
              <w:t>6</w:t>
            </w:r>
          </w:p>
        </w:tc>
        <w:tc>
          <w:tcPr>
            <w:tcW w:w="810" w:type="dxa"/>
            <w:tcBorders>
              <w:top w:val="nil"/>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6C01AE24" w14:textId="13D9BBE9">
            <w:pPr>
              <w:jc w:val="center"/>
              <w:rPr>
                <w:sz w:val="22"/>
                <w:szCs w:val="22"/>
              </w:rPr>
            </w:pPr>
            <w:r w:rsidRPr="5C516CCC">
              <w:rPr>
                <w:sz w:val="22"/>
                <w:szCs w:val="22"/>
              </w:rPr>
              <w:t>6,426</w:t>
            </w:r>
          </w:p>
        </w:tc>
        <w:tc>
          <w:tcPr>
            <w:tcW w:w="72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17D0D424" w14:textId="6DCC9FB9">
            <w:pPr>
              <w:jc w:val="center"/>
              <w:rPr>
                <w:sz w:val="22"/>
                <w:szCs w:val="22"/>
              </w:rPr>
            </w:pPr>
            <w:r w:rsidRPr="5C516CCC">
              <w:rPr>
                <w:sz w:val="22"/>
                <w:szCs w:val="22"/>
              </w:rPr>
              <w:t>$53.70</w:t>
            </w:r>
          </w:p>
        </w:tc>
        <w:tc>
          <w:tcPr>
            <w:tcW w:w="1350" w:type="dxa"/>
            <w:tcBorders>
              <w:top w:val="nil"/>
              <w:left w:val="single" w:sz="4" w:space="0" w:color="auto"/>
              <w:bottom w:val="single" w:sz="4" w:space="0" w:color="auto"/>
              <w:right w:val="single" w:sz="8" w:space="0" w:color="auto"/>
            </w:tcBorders>
            <w:shd w:val="clear" w:color="auto" w:fill="B4C6E7"/>
            <w:tcMar>
              <w:top w:w="15" w:type="dxa"/>
              <w:left w:w="15" w:type="dxa"/>
              <w:right w:w="15" w:type="dxa"/>
            </w:tcMar>
            <w:vAlign w:val="center"/>
          </w:tcPr>
          <w:p w:rsidR="638B37EC" w:rsidRPr="004215A2" w:rsidP="00D91F68" w14:paraId="3AD74F14" w14:textId="2EA4F48C">
            <w:pPr>
              <w:jc w:val="center"/>
              <w:rPr>
                <w:sz w:val="22"/>
                <w:szCs w:val="22"/>
              </w:rPr>
            </w:pPr>
            <w:r w:rsidRPr="5C516CCC">
              <w:rPr>
                <w:sz w:val="22"/>
                <w:szCs w:val="22"/>
              </w:rPr>
              <w:t>$345,076.20</w:t>
            </w:r>
          </w:p>
        </w:tc>
      </w:tr>
      <w:tr w14:paraId="6742E7B6" w14:textId="77777777" w:rsidTr="5C516CCC">
        <w:tblPrEx>
          <w:tblW w:w="9800" w:type="dxa"/>
          <w:tblLayout w:type="fixed"/>
          <w:tblLook w:val="0680"/>
        </w:tblPrEx>
        <w:trPr>
          <w:trHeight w:val="945"/>
        </w:trPr>
        <w:tc>
          <w:tcPr>
            <w:tcW w:w="134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638B37EC" w:rsidRPr="004215A2" w:rsidP="5C516CCC" w14:paraId="19A257AF" w14:textId="3F30A95C">
            <w:pPr>
              <w:rPr>
                <w:sz w:val="22"/>
                <w:szCs w:val="22"/>
              </w:rPr>
            </w:pPr>
            <w:r w:rsidRPr="5C516CCC">
              <w:rPr>
                <w:color w:val="000000" w:themeColor="text1"/>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72677B4F" w14:textId="4C87E054">
            <w:pPr>
              <w:jc w:val="center"/>
              <w:rPr>
                <w:sz w:val="22"/>
                <w:szCs w:val="22"/>
              </w:rPr>
            </w:pPr>
            <w:r w:rsidRPr="5C516CCC">
              <w:rPr>
                <w:sz w:val="22"/>
                <w:szCs w:val="22"/>
              </w:rPr>
              <w:t xml:space="preserve">Occupational Safety and Health Specialist </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229372F7" w14:textId="2851E33B">
            <w:pPr>
              <w:jc w:val="center"/>
              <w:rPr>
                <w:sz w:val="22"/>
                <w:szCs w:val="22"/>
              </w:rPr>
            </w:pPr>
            <w:r w:rsidRPr="5C516CCC">
              <w:rPr>
                <w:sz w:val="22"/>
                <w:szCs w:val="22"/>
              </w:rPr>
              <w:t>306</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320BB456" w14:textId="7BCB7770">
            <w:pPr>
              <w:jc w:val="center"/>
              <w:rPr>
                <w:sz w:val="22"/>
                <w:szCs w:val="22"/>
              </w:rPr>
            </w:pPr>
            <w:r w:rsidRPr="5C516CCC">
              <w:rPr>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05F1F43B" w14:textId="75D6B24E">
            <w:pPr>
              <w:jc w:val="center"/>
              <w:rPr>
                <w:sz w:val="22"/>
                <w:szCs w:val="22"/>
              </w:rPr>
            </w:pPr>
            <w:r w:rsidRPr="5C516CCC">
              <w:rPr>
                <w:sz w:val="22"/>
                <w:szCs w:val="22"/>
              </w:rPr>
              <w:t>306</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29B62059" w14:textId="0577D7B8">
            <w:pPr>
              <w:jc w:val="center"/>
              <w:rPr>
                <w:sz w:val="22"/>
                <w:szCs w:val="22"/>
              </w:rPr>
            </w:pPr>
            <w:r w:rsidRPr="5C516CCC">
              <w:rPr>
                <w:sz w:val="22"/>
                <w:szCs w:val="22"/>
              </w:rPr>
              <w:t>2</w:t>
            </w:r>
          </w:p>
        </w:tc>
        <w:tc>
          <w:tcPr>
            <w:tcW w:w="81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4DA8B89B" w14:textId="451D2A0C">
            <w:pPr>
              <w:jc w:val="center"/>
              <w:rPr>
                <w:sz w:val="22"/>
                <w:szCs w:val="22"/>
              </w:rPr>
            </w:pPr>
            <w:r w:rsidRPr="5C516CCC">
              <w:rPr>
                <w:sz w:val="22"/>
                <w:szCs w:val="22"/>
              </w:rPr>
              <w:t>612</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4136C5CA" w14:textId="4CECE7CF">
            <w:pPr>
              <w:jc w:val="center"/>
              <w:rPr>
                <w:sz w:val="22"/>
                <w:szCs w:val="22"/>
              </w:rPr>
            </w:pPr>
            <w:r w:rsidRPr="5C516CCC">
              <w:rPr>
                <w:sz w:val="22"/>
                <w:szCs w:val="22"/>
              </w:rPr>
              <w:t>$53.70</w:t>
            </w:r>
          </w:p>
        </w:tc>
        <w:tc>
          <w:tcPr>
            <w:tcW w:w="1350" w:type="dxa"/>
            <w:tcBorders>
              <w:top w:val="single" w:sz="4" w:space="0" w:color="auto"/>
              <w:left w:val="single" w:sz="4" w:space="0" w:color="auto"/>
              <w:bottom w:val="single" w:sz="4" w:space="0" w:color="auto"/>
              <w:right w:val="single" w:sz="8" w:space="0" w:color="auto"/>
            </w:tcBorders>
            <w:shd w:val="clear" w:color="auto" w:fill="B4C6E7"/>
            <w:tcMar>
              <w:top w:w="15" w:type="dxa"/>
              <w:left w:w="15" w:type="dxa"/>
              <w:right w:w="15" w:type="dxa"/>
            </w:tcMar>
            <w:vAlign w:val="center"/>
          </w:tcPr>
          <w:p w:rsidR="638B37EC" w:rsidRPr="004215A2" w:rsidP="00D91F68" w14:paraId="558883D0" w14:textId="332BEC61">
            <w:pPr>
              <w:jc w:val="center"/>
              <w:rPr>
                <w:sz w:val="22"/>
                <w:szCs w:val="22"/>
              </w:rPr>
            </w:pPr>
            <w:r w:rsidRPr="5C516CCC">
              <w:rPr>
                <w:sz w:val="22"/>
                <w:szCs w:val="22"/>
              </w:rPr>
              <w:t>$32,864.40</w:t>
            </w:r>
          </w:p>
        </w:tc>
      </w:tr>
      <w:tr w14:paraId="7BD9E281" w14:textId="77777777" w:rsidTr="5C516CCC">
        <w:tblPrEx>
          <w:tblW w:w="9800" w:type="dxa"/>
          <w:tblLayout w:type="fixed"/>
          <w:tblLook w:val="0680"/>
        </w:tblPrEx>
        <w:trPr>
          <w:trHeight w:val="330"/>
        </w:trPr>
        <w:tc>
          <w:tcPr>
            <w:tcW w:w="1340" w:type="dxa"/>
            <w:tcBorders>
              <w:top w:val="single" w:sz="4"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5C516CCC" w14:paraId="72591C6D" w14:textId="5BC4AAB9">
            <w:pPr>
              <w:rPr>
                <w:b/>
                <w:bCs/>
                <w:color w:val="000000" w:themeColor="text1"/>
                <w:sz w:val="22"/>
                <w:szCs w:val="22"/>
              </w:rPr>
            </w:pPr>
            <w:r w:rsidRPr="5C516CCC">
              <w:rPr>
                <w:b/>
                <w:bCs/>
                <w:color w:val="000000" w:themeColor="text1"/>
                <w:sz w:val="22"/>
                <w:szCs w:val="22"/>
              </w:rPr>
              <w:t>Subtotal</w:t>
            </w:r>
          </w:p>
        </w:tc>
        <w:tc>
          <w:tcPr>
            <w:tcW w:w="126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3E645703" w14:textId="3B12CC7D">
            <w:pPr>
              <w:jc w:val="center"/>
              <w:rPr>
                <w:sz w:val="22"/>
                <w:szCs w:val="22"/>
              </w:rPr>
            </w:pPr>
            <w:r w:rsidRPr="5C516CCC">
              <w:rPr>
                <w:sz w:val="22"/>
                <w:szCs w:val="22"/>
              </w:rPr>
              <w:t xml:space="preserve"> ---</w:t>
            </w:r>
          </w:p>
        </w:tc>
        <w:tc>
          <w:tcPr>
            <w:tcW w:w="117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468EAB51" w14:textId="5B2369F2">
            <w:pPr>
              <w:jc w:val="center"/>
              <w:rPr>
                <w:sz w:val="22"/>
                <w:szCs w:val="22"/>
              </w:rPr>
            </w:pPr>
            <w:r w:rsidRPr="5C516CCC">
              <w:rPr>
                <w:sz w:val="22"/>
                <w:szCs w:val="22"/>
              </w:rPr>
              <w:t xml:space="preserve"> ---</w:t>
            </w:r>
          </w:p>
        </w:tc>
        <w:tc>
          <w:tcPr>
            <w:tcW w:w="108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613BA3A1" w14:textId="48D0B31E">
            <w:pPr>
              <w:jc w:val="center"/>
              <w:rPr>
                <w:sz w:val="22"/>
                <w:szCs w:val="22"/>
              </w:rPr>
            </w:pPr>
            <w:r w:rsidRPr="5C516CCC">
              <w:rPr>
                <w:sz w:val="22"/>
                <w:szCs w:val="22"/>
              </w:rPr>
              <w:t xml:space="preserve"> ---</w:t>
            </w:r>
          </w:p>
        </w:tc>
        <w:tc>
          <w:tcPr>
            <w:tcW w:w="99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336D0EC7" w14:textId="3910839E">
            <w:pPr>
              <w:jc w:val="center"/>
              <w:rPr>
                <w:color w:val="000000" w:themeColor="text1"/>
                <w:sz w:val="22"/>
                <w:szCs w:val="22"/>
              </w:rPr>
            </w:pPr>
            <w:r w:rsidRPr="5C516CCC">
              <w:rPr>
                <w:color w:val="000000" w:themeColor="text1"/>
                <w:sz w:val="22"/>
                <w:szCs w:val="22"/>
              </w:rPr>
              <w:t>1,377</w:t>
            </w:r>
          </w:p>
        </w:tc>
        <w:tc>
          <w:tcPr>
            <w:tcW w:w="108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274870A3" w14:textId="4A06F03B">
            <w:pPr>
              <w:jc w:val="center"/>
              <w:rPr>
                <w:sz w:val="22"/>
                <w:szCs w:val="22"/>
              </w:rPr>
            </w:pPr>
            <w:r w:rsidRPr="5C516CCC">
              <w:rPr>
                <w:sz w:val="22"/>
                <w:szCs w:val="22"/>
              </w:rPr>
              <w:t xml:space="preserve"> ---</w:t>
            </w:r>
          </w:p>
        </w:tc>
        <w:tc>
          <w:tcPr>
            <w:tcW w:w="81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2F38D71D" w14:textId="210769D3">
            <w:pPr>
              <w:jc w:val="center"/>
              <w:rPr>
                <w:sz w:val="22"/>
                <w:szCs w:val="22"/>
              </w:rPr>
            </w:pPr>
            <w:r w:rsidRPr="5C516CCC">
              <w:rPr>
                <w:sz w:val="22"/>
                <w:szCs w:val="22"/>
              </w:rPr>
              <w:t>7,038</w:t>
            </w:r>
          </w:p>
        </w:tc>
        <w:tc>
          <w:tcPr>
            <w:tcW w:w="72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5171AD7B" w14:textId="4A3C617C">
            <w:pPr>
              <w:jc w:val="center"/>
              <w:rPr>
                <w:sz w:val="22"/>
                <w:szCs w:val="22"/>
              </w:rPr>
            </w:pPr>
            <w:r w:rsidRPr="5C516CCC">
              <w:rPr>
                <w:sz w:val="22"/>
                <w:szCs w:val="22"/>
              </w:rPr>
              <w:t xml:space="preserve"> ---</w:t>
            </w:r>
          </w:p>
        </w:tc>
        <w:tc>
          <w:tcPr>
            <w:tcW w:w="1350" w:type="dxa"/>
            <w:tcBorders>
              <w:top w:val="single" w:sz="4" w:space="0" w:color="auto"/>
              <w:left w:val="single" w:sz="4"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rsidR="638B37EC" w:rsidRPr="004215A2" w:rsidP="00D91F68" w14:paraId="5005EAF8" w14:textId="55AB02DE">
            <w:pPr>
              <w:jc w:val="center"/>
              <w:rPr>
                <w:sz w:val="22"/>
                <w:szCs w:val="22"/>
              </w:rPr>
            </w:pPr>
            <w:r w:rsidRPr="5C516CCC">
              <w:rPr>
                <w:sz w:val="22"/>
                <w:szCs w:val="22"/>
              </w:rPr>
              <w:t>$377,940.60</w:t>
            </w:r>
          </w:p>
        </w:tc>
      </w:tr>
      <w:tr w14:paraId="09E53A2B" w14:textId="77777777" w:rsidTr="5C516CCC">
        <w:tblPrEx>
          <w:tblW w:w="9800" w:type="dxa"/>
          <w:tblLayout w:type="fixed"/>
          <w:tblLook w:val="0680"/>
        </w:tblPrEx>
        <w:trPr>
          <w:trHeight w:val="945"/>
        </w:trPr>
        <w:tc>
          <w:tcPr>
            <w:tcW w:w="1340"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center"/>
          </w:tcPr>
          <w:p w:rsidR="638B37EC" w:rsidRPr="004215A2" w:rsidP="5C516CCC" w14:paraId="20A70774" w14:textId="27160DEC">
            <w:pPr>
              <w:rPr>
                <w:sz w:val="22"/>
                <w:szCs w:val="22"/>
              </w:rPr>
            </w:pPr>
            <w:r w:rsidRPr="5C516CCC">
              <w:rPr>
                <w:color w:val="000000" w:themeColor="text1"/>
                <w:sz w:val="22"/>
                <w:szCs w:val="22"/>
              </w:rPr>
              <w:t xml:space="preserve">20) Certification of Training </w:t>
            </w:r>
          </w:p>
        </w:tc>
        <w:tc>
          <w:tcPr>
            <w:tcW w:w="126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20E5C51A" w14:textId="09D50A4E">
            <w:pPr>
              <w:jc w:val="center"/>
              <w:rPr>
                <w:sz w:val="22"/>
                <w:szCs w:val="22"/>
              </w:rPr>
            </w:pPr>
            <w:r w:rsidRPr="5C516CCC">
              <w:rPr>
                <w:sz w:val="22"/>
                <w:szCs w:val="22"/>
              </w:rPr>
              <w:t xml:space="preserve">Occupational Safety and Health Specialist </w:t>
            </w:r>
          </w:p>
        </w:tc>
        <w:tc>
          <w:tcPr>
            <w:tcW w:w="117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5AB958EC" w14:textId="5B98F34F">
            <w:pPr>
              <w:jc w:val="center"/>
              <w:rPr>
                <w:sz w:val="22"/>
                <w:szCs w:val="22"/>
              </w:rPr>
            </w:pPr>
            <w:r w:rsidRPr="5C516CCC">
              <w:rPr>
                <w:sz w:val="22"/>
                <w:szCs w:val="22"/>
              </w:rPr>
              <w:t>45,885</w:t>
            </w:r>
          </w:p>
        </w:tc>
        <w:tc>
          <w:tcPr>
            <w:tcW w:w="108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6D15A841" w14:textId="644978EB">
            <w:pPr>
              <w:jc w:val="center"/>
              <w:rPr>
                <w:sz w:val="22"/>
                <w:szCs w:val="22"/>
              </w:rPr>
            </w:pPr>
            <w:r w:rsidRPr="5C516CCC">
              <w:rPr>
                <w:sz w:val="22"/>
                <w:szCs w:val="22"/>
              </w:rPr>
              <w:t>1</w:t>
            </w:r>
          </w:p>
        </w:tc>
        <w:tc>
          <w:tcPr>
            <w:tcW w:w="990" w:type="dxa"/>
            <w:tcBorders>
              <w:top w:val="single" w:sz="8"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37CBE8AD" w14:textId="67968ADB">
            <w:pPr>
              <w:jc w:val="center"/>
              <w:rPr>
                <w:sz w:val="22"/>
                <w:szCs w:val="22"/>
              </w:rPr>
            </w:pPr>
            <w:r w:rsidRPr="5C516CCC">
              <w:rPr>
                <w:sz w:val="22"/>
                <w:szCs w:val="22"/>
              </w:rPr>
              <w:t>45,885</w:t>
            </w:r>
          </w:p>
        </w:tc>
        <w:tc>
          <w:tcPr>
            <w:tcW w:w="108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06327069" w:rsidRPr="004215A2" w:rsidP="00D91F68" w14:paraId="64A1D7EC" w14:textId="556D4E9F">
            <w:pPr>
              <w:jc w:val="center"/>
              <w:rPr>
                <w:sz w:val="22"/>
                <w:szCs w:val="22"/>
              </w:rPr>
            </w:pPr>
            <w:r w:rsidRPr="5C516CCC">
              <w:rPr>
                <w:sz w:val="22"/>
                <w:szCs w:val="22"/>
              </w:rPr>
              <w:t>1/60</w:t>
            </w:r>
          </w:p>
        </w:tc>
        <w:tc>
          <w:tcPr>
            <w:tcW w:w="810" w:type="dxa"/>
            <w:tcBorders>
              <w:top w:val="single" w:sz="8"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17F7A682" w14:textId="74132F4B">
            <w:pPr>
              <w:jc w:val="center"/>
              <w:rPr>
                <w:sz w:val="22"/>
                <w:szCs w:val="22"/>
              </w:rPr>
            </w:pPr>
            <w:r w:rsidRPr="5C516CCC">
              <w:rPr>
                <w:sz w:val="22"/>
                <w:szCs w:val="22"/>
              </w:rPr>
              <w:t>765</w:t>
            </w:r>
          </w:p>
        </w:tc>
        <w:tc>
          <w:tcPr>
            <w:tcW w:w="72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42B71308" w14:textId="0F10CD08">
            <w:pPr>
              <w:jc w:val="center"/>
              <w:rPr>
                <w:sz w:val="22"/>
                <w:szCs w:val="22"/>
              </w:rPr>
            </w:pPr>
            <w:r w:rsidRPr="5C516CCC">
              <w:rPr>
                <w:sz w:val="22"/>
                <w:szCs w:val="22"/>
              </w:rPr>
              <w:t>$53.70</w:t>
            </w:r>
          </w:p>
        </w:tc>
        <w:tc>
          <w:tcPr>
            <w:tcW w:w="1350" w:type="dxa"/>
            <w:tcBorders>
              <w:top w:val="single" w:sz="8" w:space="0" w:color="auto"/>
              <w:left w:val="single" w:sz="4" w:space="0" w:color="auto"/>
              <w:bottom w:val="single" w:sz="4" w:space="0" w:color="auto"/>
              <w:right w:val="single" w:sz="8" w:space="0" w:color="auto"/>
            </w:tcBorders>
            <w:shd w:val="clear" w:color="auto" w:fill="B4C6E7"/>
            <w:tcMar>
              <w:top w:w="15" w:type="dxa"/>
              <w:left w:w="15" w:type="dxa"/>
              <w:right w:w="15" w:type="dxa"/>
            </w:tcMar>
            <w:vAlign w:val="center"/>
          </w:tcPr>
          <w:p w:rsidR="638B37EC" w:rsidRPr="004215A2" w:rsidP="00D91F68" w14:paraId="6A81DDFA" w14:textId="0C9C6BD5">
            <w:pPr>
              <w:jc w:val="center"/>
              <w:rPr>
                <w:sz w:val="22"/>
                <w:szCs w:val="22"/>
              </w:rPr>
            </w:pPr>
            <w:r w:rsidRPr="5C516CCC">
              <w:rPr>
                <w:sz w:val="22"/>
                <w:szCs w:val="22"/>
              </w:rPr>
              <w:t>$41,080.50</w:t>
            </w:r>
          </w:p>
        </w:tc>
      </w:tr>
      <w:tr w14:paraId="645BA92D" w14:textId="77777777" w:rsidTr="5C516CCC">
        <w:tblPrEx>
          <w:tblW w:w="9800" w:type="dxa"/>
          <w:tblLayout w:type="fixed"/>
          <w:tblLook w:val="0680"/>
        </w:tblPrEx>
        <w:trPr>
          <w:trHeight w:val="945"/>
        </w:trPr>
        <w:tc>
          <w:tcPr>
            <w:tcW w:w="134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638B37EC" w:rsidRPr="004215A2" w:rsidP="5C516CCC" w14:paraId="443C65D5" w14:textId="23D9EFDD">
            <w:pPr>
              <w:rPr>
                <w:sz w:val="22"/>
                <w:szCs w:val="22"/>
              </w:rPr>
            </w:pPr>
            <w:r w:rsidRPr="5C516CCC">
              <w:rPr>
                <w:color w:val="000000" w:themeColor="text1"/>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57520993" w14:textId="34ACB229">
            <w:pPr>
              <w:jc w:val="center"/>
              <w:rPr>
                <w:sz w:val="22"/>
                <w:szCs w:val="22"/>
              </w:rPr>
            </w:pPr>
            <w:r w:rsidRPr="5C516CCC">
              <w:rPr>
                <w:sz w:val="22"/>
                <w:szCs w:val="22"/>
              </w:rPr>
              <w:t xml:space="preserve">Occupational Safety and Health Specialist </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6A3B0F98" w14:textId="3C1847C7">
            <w:pPr>
              <w:jc w:val="center"/>
              <w:rPr>
                <w:sz w:val="22"/>
                <w:szCs w:val="22"/>
              </w:rPr>
            </w:pPr>
            <w:r w:rsidRPr="5C516CCC">
              <w:rPr>
                <w:sz w:val="22"/>
                <w:szCs w:val="22"/>
              </w:rPr>
              <w:t>4,589</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37D2B20F" w14:textId="61441699">
            <w:pPr>
              <w:jc w:val="center"/>
              <w:rPr>
                <w:sz w:val="22"/>
                <w:szCs w:val="22"/>
              </w:rPr>
            </w:pPr>
            <w:r w:rsidRPr="5C516CCC">
              <w:rPr>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00418932" w14:textId="6AFC38C5">
            <w:pPr>
              <w:jc w:val="center"/>
              <w:rPr>
                <w:sz w:val="22"/>
                <w:szCs w:val="22"/>
              </w:rPr>
            </w:pPr>
            <w:r w:rsidRPr="5C516CCC">
              <w:rPr>
                <w:sz w:val="22"/>
                <w:szCs w:val="22"/>
              </w:rPr>
              <w:t>4,589</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D8197DE" w:rsidRPr="004215A2" w:rsidP="00D91F68" w14:paraId="4580BB1E" w14:textId="3B9B91DD">
            <w:pPr>
              <w:jc w:val="center"/>
              <w:rPr>
                <w:sz w:val="22"/>
                <w:szCs w:val="22"/>
              </w:rPr>
            </w:pPr>
            <w:r w:rsidRPr="5C516CCC">
              <w:rPr>
                <w:sz w:val="22"/>
                <w:szCs w:val="22"/>
              </w:rPr>
              <w:t>3/60</w:t>
            </w:r>
          </w:p>
        </w:tc>
        <w:tc>
          <w:tcPr>
            <w:tcW w:w="81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189E0136" w14:textId="29E994EF">
            <w:pPr>
              <w:jc w:val="center"/>
              <w:rPr>
                <w:sz w:val="22"/>
                <w:szCs w:val="22"/>
              </w:rPr>
            </w:pPr>
            <w:r w:rsidRPr="5C516CCC">
              <w:rPr>
                <w:sz w:val="22"/>
                <w:szCs w:val="22"/>
              </w:rPr>
              <w:t>229</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7B752FB2" w14:textId="77AC352A">
            <w:pPr>
              <w:jc w:val="center"/>
              <w:rPr>
                <w:sz w:val="22"/>
                <w:szCs w:val="22"/>
              </w:rPr>
            </w:pPr>
            <w:r w:rsidRPr="5C516CCC">
              <w:rPr>
                <w:sz w:val="22"/>
                <w:szCs w:val="22"/>
              </w:rPr>
              <w:t>$53.70</w:t>
            </w:r>
          </w:p>
        </w:tc>
        <w:tc>
          <w:tcPr>
            <w:tcW w:w="1350" w:type="dxa"/>
            <w:tcBorders>
              <w:top w:val="single" w:sz="4" w:space="0" w:color="auto"/>
              <w:left w:val="single" w:sz="4" w:space="0" w:color="auto"/>
              <w:bottom w:val="single" w:sz="4" w:space="0" w:color="auto"/>
              <w:right w:val="single" w:sz="8" w:space="0" w:color="auto"/>
            </w:tcBorders>
            <w:shd w:val="clear" w:color="auto" w:fill="B4C6E7"/>
            <w:tcMar>
              <w:top w:w="15" w:type="dxa"/>
              <w:left w:w="15" w:type="dxa"/>
              <w:right w:w="15" w:type="dxa"/>
            </w:tcMar>
            <w:vAlign w:val="center"/>
          </w:tcPr>
          <w:p w:rsidR="638B37EC" w:rsidRPr="004215A2" w:rsidP="00D91F68" w14:paraId="0CD8EB44" w14:textId="4160A661">
            <w:pPr>
              <w:jc w:val="center"/>
              <w:rPr>
                <w:sz w:val="22"/>
                <w:szCs w:val="22"/>
              </w:rPr>
            </w:pPr>
            <w:r w:rsidRPr="5C516CCC">
              <w:rPr>
                <w:sz w:val="22"/>
                <w:szCs w:val="22"/>
              </w:rPr>
              <w:t>$12,297.30</w:t>
            </w:r>
          </w:p>
        </w:tc>
      </w:tr>
      <w:tr w14:paraId="7B1DF92D" w14:textId="77777777" w:rsidTr="5C516CCC">
        <w:tblPrEx>
          <w:tblW w:w="9800" w:type="dxa"/>
          <w:tblLayout w:type="fixed"/>
          <w:tblLook w:val="0680"/>
        </w:tblPrEx>
        <w:trPr>
          <w:trHeight w:val="330"/>
        </w:trPr>
        <w:tc>
          <w:tcPr>
            <w:tcW w:w="1340" w:type="dxa"/>
            <w:tcBorders>
              <w:top w:val="single" w:sz="4"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5C516CCC" w14:paraId="43A22A40" w14:textId="507D5DC4">
            <w:pPr>
              <w:rPr>
                <w:b/>
                <w:bCs/>
                <w:color w:val="000000" w:themeColor="text1"/>
                <w:sz w:val="22"/>
                <w:szCs w:val="22"/>
              </w:rPr>
            </w:pPr>
            <w:r w:rsidRPr="5C516CCC">
              <w:rPr>
                <w:b/>
                <w:bCs/>
                <w:color w:val="000000" w:themeColor="text1"/>
                <w:sz w:val="22"/>
                <w:szCs w:val="22"/>
              </w:rPr>
              <w:t>Subtotal</w:t>
            </w:r>
          </w:p>
        </w:tc>
        <w:tc>
          <w:tcPr>
            <w:tcW w:w="126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177A81F3" w14:textId="33E93894">
            <w:pPr>
              <w:jc w:val="center"/>
              <w:rPr>
                <w:sz w:val="22"/>
                <w:szCs w:val="22"/>
              </w:rPr>
            </w:pPr>
            <w:r w:rsidRPr="5C516CCC">
              <w:rPr>
                <w:sz w:val="22"/>
                <w:szCs w:val="22"/>
              </w:rPr>
              <w:t xml:space="preserve"> ---</w:t>
            </w:r>
          </w:p>
        </w:tc>
        <w:tc>
          <w:tcPr>
            <w:tcW w:w="117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44CC68DB" w14:textId="29FAB96B">
            <w:pPr>
              <w:jc w:val="center"/>
              <w:rPr>
                <w:sz w:val="22"/>
                <w:szCs w:val="22"/>
              </w:rPr>
            </w:pPr>
            <w:r w:rsidRPr="5C516CCC">
              <w:rPr>
                <w:sz w:val="22"/>
                <w:szCs w:val="22"/>
              </w:rPr>
              <w:t xml:space="preserve"> ---</w:t>
            </w:r>
          </w:p>
        </w:tc>
        <w:tc>
          <w:tcPr>
            <w:tcW w:w="108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46FC90F6" w14:textId="7FF6E66E">
            <w:pPr>
              <w:jc w:val="center"/>
              <w:rPr>
                <w:sz w:val="22"/>
                <w:szCs w:val="22"/>
              </w:rPr>
            </w:pPr>
            <w:r w:rsidRPr="5C516CCC">
              <w:rPr>
                <w:sz w:val="22"/>
                <w:szCs w:val="22"/>
              </w:rPr>
              <w:t xml:space="preserve"> ---</w:t>
            </w:r>
          </w:p>
        </w:tc>
        <w:tc>
          <w:tcPr>
            <w:tcW w:w="99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7B150323" w14:textId="69B6B836">
            <w:pPr>
              <w:jc w:val="center"/>
              <w:rPr>
                <w:color w:val="000000" w:themeColor="text1"/>
                <w:sz w:val="22"/>
                <w:szCs w:val="22"/>
              </w:rPr>
            </w:pPr>
            <w:r w:rsidRPr="5C516CCC">
              <w:rPr>
                <w:color w:val="000000" w:themeColor="text1"/>
                <w:sz w:val="22"/>
                <w:szCs w:val="22"/>
              </w:rPr>
              <w:t>50,474</w:t>
            </w:r>
          </w:p>
        </w:tc>
        <w:tc>
          <w:tcPr>
            <w:tcW w:w="108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16C95AE9" w14:textId="4896655E">
            <w:pPr>
              <w:jc w:val="center"/>
              <w:rPr>
                <w:sz w:val="22"/>
                <w:szCs w:val="22"/>
              </w:rPr>
            </w:pPr>
            <w:r w:rsidRPr="5C516CCC">
              <w:rPr>
                <w:sz w:val="22"/>
                <w:szCs w:val="22"/>
              </w:rPr>
              <w:t xml:space="preserve"> ---</w:t>
            </w:r>
          </w:p>
        </w:tc>
        <w:tc>
          <w:tcPr>
            <w:tcW w:w="81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7ED4ED63" w14:textId="70D6B1D0">
            <w:pPr>
              <w:jc w:val="center"/>
              <w:rPr>
                <w:sz w:val="22"/>
                <w:szCs w:val="22"/>
              </w:rPr>
            </w:pPr>
            <w:r w:rsidRPr="5C516CCC">
              <w:rPr>
                <w:sz w:val="22"/>
                <w:szCs w:val="22"/>
              </w:rPr>
              <w:t>994</w:t>
            </w:r>
          </w:p>
        </w:tc>
        <w:tc>
          <w:tcPr>
            <w:tcW w:w="72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3CA451A8" w14:textId="31970A0F">
            <w:pPr>
              <w:jc w:val="center"/>
              <w:rPr>
                <w:sz w:val="22"/>
                <w:szCs w:val="22"/>
              </w:rPr>
            </w:pPr>
            <w:r w:rsidRPr="5C516CCC">
              <w:rPr>
                <w:sz w:val="22"/>
                <w:szCs w:val="22"/>
              </w:rPr>
              <w:t xml:space="preserve"> ---</w:t>
            </w:r>
          </w:p>
        </w:tc>
        <w:tc>
          <w:tcPr>
            <w:tcW w:w="1350" w:type="dxa"/>
            <w:tcBorders>
              <w:top w:val="single" w:sz="4" w:space="0" w:color="auto"/>
              <w:left w:val="single" w:sz="4"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rsidR="638B37EC" w:rsidRPr="004215A2" w:rsidP="00D91F68" w14:paraId="55FC26EB" w14:textId="157AFA89">
            <w:pPr>
              <w:jc w:val="center"/>
              <w:rPr>
                <w:sz w:val="22"/>
                <w:szCs w:val="22"/>
              </w:rPr>
            </w:pPr>
            <w:r w:rsidRPr="5C516CCC">
              <w:rPr>
                <w:sz w:val="22"/>
                <w:szCs w:val="22"/>
              </w:rPr>
              <w:t>$53,377.80</w:t>
            </w:r>
          </w:p>
        </w:tc>
      </w:tr>
      <w:tr w14:paraId="64E5DBF7" w14:textId="77777777" w:rsidTr="5C516CCC">
        <w:tblPrEx>
          <w:tblW w:w="9800" w:type="dxa"/>
          <w:tblLayout w:type="fixed"/>
          <w:tblLook w:val="0680"/>
        </w:tblPrEx>
        <w:trPr>
          <w:trHeight w:val="330"/>
        </w:trPr>
        <w:tc>
          <w:tcPr>
            <w:tcW w:w="1340" w:type="dxa"/>
            <w:tcBorders>
              <w:top w:val="single" w:sz="4" w:space="0" w:color="auto"/>
              <w:left w:val="single" w:sz="8" w:space="0" w:color="auto"/>
              <w:bottom w:val="nil"/>
              <w:right w:val="single" w:sz="4" w:space="0" w:color="auto"/>
            </w:tcBorders>
            <w:shd w:val="clear" w:color="auto" w:fill="E2EFDA"/>
            <w:tcMar>
              <w:top w:w="15" w:type="dxa"/>
              <w:left w:w="15" w:type="dxa"/>
              <w:right w:w="15" w:type="dxa"/>
            </w:tcMar>
            <w:vAlign w:val="center"/>
          </w:tcPr>
          <w:p w:rsidR="638B37EC" w:rsidRPr="004215A2" w:rsidP="5C516CCC" w14:paraId="78CB7AD7" w14:textId="1EB8B7EE">
            <w:pPr>
              <w:rPr>
                <w:b/>
                <w:bCs/>
                <w:color w:val="000000" w:themeColor="text1"/>
                <w:sz w:val="22"/>
                <w:szCs w:val="22"/>
              </w:rPr>
            </w:pPr>
            <w:r w:rsidRPr="5C516CCC">
              <w:rPr>
                <w:b/>
                <w:bCs/>
                <w:color w:val="000000" w:themeColor="text1"/>
                <w:sz w:val="22"/>
                <w:szCs w:val="22"/>
              </w:rPr>
              <w:t>Section Subtotal</w:t>
            </w:r>
          </w:p>
        </w:tc>
        <w:tc>
          <w:tcPr>
            <w:tcW w:w="1260" w:type="dxa"/>
            <w:tcBorders>
              <w:top w:val="single" w:sz="4" w:space="0" w:color="auto"/>
              <w:left w:val="single" w:sz="4" w:space="0" w:color="auto"/>
              <w:bottom w:val="nil"/>
              <w:right w:val="single" w:sz="4" w:space="0" w:color="auto"/>
            </w:tcBorders>
            <w:shd w:val="clear" w:color="auto" w:fill="E2EFDA"/>
            <w:tcMar>
              <w:top w:w="15" w:type="dxa"/>
              <w:left w:w="15" w:type="dxa"/>
              <w:right w:w="15" w:type="dxa"/>
            </w:tcMar>
            <w:vAlign w:val="center"/>
          </w:tcPr>
          <w:p w:rsidR="638B37EC" w:rsidRPr="004215A2" w:rsidP="00D91F68" w14:paraId="070D142D" w14:textId="6624AEE9">
            <w:pPr>
              <w:jc w:val="center"/>
              <w:rPr>
                <w:sz w:val="22"/>
                <w:szCs w:val="22"/>
              </w:rPr>
            </w:pPr>
            <w:r w:rsidRPr="5C516CCC">
              <w:rPr>
                <w:sz w:val="22"/>
                <w:szCs w:val="22"/>
              </w:rPr>
              <w:t xml:space="preserve"> ---</w:t>
            </w:r>
          </w:p>
        </w:tc>
        <w:tc>
          <w:tcPr>
            <w:tcW w:w="1170" w:type="dxa"/>
            <w:tcBorders>
              <w:top w:val="single" w:sz="4" w:space="0" w:color="auto"/>
              <w:left w:val="single" w:sz="4" w:space="0" w:color="auto"/>
              <w:bottom w:val="nil"/>
              <w:right w:val="single" w:sz="4" w:space="0" w:color="auto"/>
            </w:tcBorders>
            <w:shd w:val="clear" w:color="auto" w:fill="E2EFDA"/>
            <w:tcMar>
              <w:top w:w="15" w:type="dxa"/>
              <w:left w:w="15" w:type="dxa"/>
              <w:right w:w="15" w:type="dxa"/>
            </w:tcMar>
            <w:vAlign w:val="center"/>
          </w:tcPr>
          <w:p w:rsidR="638B37EC" w:rsidRPr="004215A2" w:rsidP="00D91F68" w14:paraId="671FCE62" w14:textId="705F9B1D">
            <w:pPr>
              <w:jc w:val="center"/>
              <w:rPr>
                <w:sz w:val="22"/>
                <w:szCs w:val="22"/>
              </w:rPr>
            </w:pPr>
            <w:r w:rsidRPr="5C516CCC">
              <w:rPr>
                <w:sz w:val="22"/>
                <w:szCs w:val="22"/>
              </w:rPr>
              <w:t xml:space="preserve"> ---</w:t>
            </w:r>
          </w:p>
        </w:tc>
        <w:tc>
          <w:tcPr>
            <w:tcW w:w="1080" w:type="dxa"/>
            <w:tcBorders>
              <w:top w:val="single" w:sz="4" w:space="0" w:color="auto"/>
              <w:left w:val="single" w:sz="4" w:space="0" w:color="auto"/>
              <w:bottom w:val="nil"/>
              <w:right w:val="single" w:sz="4" w:space="0" w:color="auto"/>
            </w:tcBorders>
            <w:shd w:val="clear" w:color="auto" w:fill="E2EFDA"/>
            <w:tcMar>
              <w:top w:w="15" w:type="dxa"/>
              <w:left w:w="15" w:type="dxa"/>
              <w:right w:w="15" w:type="dxa"/>
            </w:tcMar>
            <w:vAlign w:val="center"/>
          </w:tcPr>
          <w:p w:rsidR="638B37EC" w:rsidRPr="004215A2" w:rsidP="00D91F68" w14:paraId="6AE94F08" w14:textId="6F11CDDE">
            <w:pPr>
              <w:jc w:val="center"/>
              <w:rPr>
                <w:sz w:val="22"/>
                <w:szCs w:val="22"/>
              </w:rPr>
            </w:pPr>
            <w:r w:rsidRPr="5C516CCC">
              <w:rPr>
                <w:sz w:val="22"/>
                <w:szCs w:val="22"/>
              </w:rPr>
              <w:t xml:space="preserve"> ---</w:t>
            </w:r>
          </w:p>
        </w:tc>
        <w:tc>
          <w:tcPr>
            <w:tcW w:w="990" w:type="dxa"/>
            <w:tcBorders>
              <w:top w:val="single" w:sz="4" w:space="0" w:color="auto"/>
              <w:left w:val="single" w:sz="4" w:space="0" w:color="auto"/>
              <w:bottom w:val="nil"/>
              <w:right w:val="single" w:sz="4" w:space="0" w:color="auto"/>
            </w:tcBorders>
            <w:shd w:val="clear" w:color="auto" w:fill="E2EFDA"/>
            <w:tcMar>
              <w:top w:w="15" w:type="dxa"/>
              <w:left w:w="15" w:type="dxa"/>
              <w:right w:w="15" w:type="dxa"/>
            </w:tcMar>
            <w:vAlign w:val="center"/>
          </w:tcPr>
          <w:p w:rsidR="638B37EC" w:rsidRPr="004215A2" w:rsidP="00D91F68" w14:paraId="0B24A775" w14:textId="49F707BA">
            <w:pPr>
              <w:jc w:val="center"/>
              <w:rPr>
                <w:color w:val="000000" w:themeColor="text1"/>
                <w:sz w:val="22"/>
                <w:szCs w:val="22"/>
              </w:rPr>
            </w:pPr>
            <w:r w:rsidRPr="5C516CCC">
              <w:rPr>
                <w:color w:val="000000" w:themeColor="text1"/>
                <w:sz w:val="22"/>
                <w:szCs w:val="22"/>
              </w:rPr>
              <w:t>70,513</w:t>
            </w:r>
          </w:p>
        </w:tc>
        <w:tc>
          <w:tcPr>
            <w:tcW w:w="1080" w:type="dxa"/>
            <w:tcBorders>
              <w:top w:val="single" w:sz="4" w:space="0" w:color="auto"/>
              <w:left w:val="single" w:sz="4" w:space="0" w:color="auto"/>
              <w:bottom w:val="nil"/>
              <w:right w:val="single" w:sz="4" w:space="0" w:color="auto"/>
            </w:tcBorders>
            <w:shd w:val="clear" w:color="auto" w:fill="E2EFDA"/>
            <w:tcMar>
              <w:top w:w="15" w:type="dxa"/>
              <w:left w:w="15" w:type="dxa"/>
              <w:right w:w="15" w:type="dxa"/>
            </w:tcMar>
            <w:vAlign w:val="center"/>
          </w:tcPr>
          <w:p w:rsidR="638B37EC" w:rsidRPr="004215A2" w:rsidP="00D91F68" w14:paraId="747AA868" w14:textId="2F1A8925">
            <w:pPr>
              <w:jc w:val="center"/>
              <w:rPr>
                <w:sz w:val="22"/>
                <w:szCs w:val="22"/>
              </w:rPr>
            </w:pPr>
            <w:r w:rsidRPr="5C516CCC">
              <w:rPr>
                <w:sz w:val="22"/>
                <w:szCs w:val="22"/>
              </w:rPr>
              <w:t xml:space="preserve"> ---</w:t>
            </w:r>
          </w:p>
        </w:tc>
        <w:tc>
          <w:tcPr>
            <w:tcW w:w="810" w:type="dxa"/>
            <w:tcBorders>
              <w:top w:val="single" w:sz="4" w:space="0" w:color="auto"/>
              <w:left w:val="single" w:sz="4" w:space="0" w:color="auto"/>
              <w:bottom w:val="nil"/>
              <w:right w:val="single" w:sz="4" w:space="0" w:color="auto"/>
            </w:tcBorders>
            <w:shd w:val="clear" w:color="auto" w:fill="E2EFDA"/>
            <w:tcMar>
              <w:top w:w="15" w:type="dxa"/>
              <w:left w:w="15" w:type="dxa"/>
              <w:right w:w="15" w:type="dxa"/>
            </w:tcMar>
            <w:vAlign w:val="center"/>
          </w:tcPr>
          <w:p w:rsidR="638B37EC" w:rsidRPr="004215A2" w:rsidP="00D91F68" w14:paraId="61670537" w14:textId="44795575">
            <w:pPr>
              <w:jc w:val="center"/>
              <w:rPr>
                <w:color w:val="000000" w:themeColor="text1"/>
                <w:sz w:val="22"/>
                <w:szCs w:val="22"/>
              </w:rPr>
            </w:pPr>
            <w:r w:rsidRPr="5C516CCC">
              <w:rPr>
                <w:color w:val="000000" w:themeColor="text1"/>
                <w:sz w:val="22"/>
                <w:szCs w:val="22"/>
              </w:rPr>
              <w:t>61,345</w:t>
            </w:r>
          </w:p>
        </w:tc>
        <w:tc>
          <w:tcPr>
            <w:tcW w:w="720" w:type="dxa"/>
            <w:tcBorders>
              <w:top w:val="single" w:sz="4" w:space="0" w:color="auto"/>
              <w:left w:val="single" w:sz="4" w:space="0" w:color="auto"/>
              <w:bottom w:val="nil"/>
              <w:right w:val="single" w:sz="4" w:space="0" w:color="auto"/>
            </w:tcBorders>
            <w:shd w:val="clear" w:color="auto" w:fill="E2EFDA"/>
            <w:tcMar>
              <w:top w:w="15" w:type="dxa"/>
              <w:left w:w="15" w:type="dxa"/>
              <w:right w:w="15" w:type="dxa"/>
            </w:tcMar>
            <w:vAlign w:val="center"/>
          </w:tcPr>
          <w:p w:rsidR="638B37EC" w:rsidRPr="004215A2" w:rsidP="00D91F68" w14:paraId="33B0E3CB" w14:textId="0147C1B8">
            <w:pPr>
              <w:jc w:val="center"/>
              <w:rPr>
                <w:sz w:val="22"/>
                <w:szCs w:val="22"/>
              </w:rPr>
            </w:pPr>
            <w:r w:rsidRPr="5C516CCC">
              <w:rPr>
                <w:sz w:val="22"/>
                <w:szCs w:val="22"/>
              </w:rPr>
              <w:t xml:space="preserve"> ---</w:t>
            </w:r>
          </w:p>
        </w:tc>
        <w:tc>
          <w:tcPr>
            <w:tcW w:w="1350" w:type="dxa"/>
            <w:tcBorders>
              <w:top w:val="single" w:sz="4" w:space="0" w:color="auto"/>
              <w:left w:val="single" w:sz="4" w:space="0" w:color="auto"/>
              <w:bottom w:val="nil"/>
              <w:right w:val="single" w:sz="4" w:space="0" w:color="auto"/>
            </w:tcBorders>
            <w:shd w:val="clear" w:color="auto" w:fill="E2EFDA"/>
            <w:tcMar>
              <w:top w:w="15" w:type="dxa"/>
              <w:left w:w="15" w:type="dxa"/>
              <w:right w:w="15" w:type="dxa"/>
            </w:tcMar>
            <w:vAlign w:val="center"/>
          </w:tcPr>
          <w:p w:rsidR="638B37EC" w:rsidRPr="004215A2" w:rsidP="00D91F68" w14:paraId="372C29E1" w14:textId="4AB791DF">
            <w:pPr>
              <w:jc w:val="center"/>
              <w:rPr>
                <w:color w:val="000000" w:themeColor="text1"/>
                <w:sz w:val="22"/>
                <w:szCs w:val="22"/>
              </w:rPr>
            </w:pPr>
            <w:r w:rsidRPr="5C516CCC">
              <w:rPr>
                <w:color w:val="000000" w:themeColor="text1"/>
                <w:sz w:val="22"/>
                <w:szCs w:val="22"/>
              </w:rPr>
              <w:t>3,294,226.50</w:t>
            </w:r>
          </w:p>
        </w:tc>
      </w:tr>
      <w:tr w14:paraId="09DB812D" w14:textId="77777777" w:rsidTr="5C516CCC">
        <w:tblPrEx>
          <w:tblW w:w="9800" w:type="dxa"/>
          <w:tblLayout w:type="fixed"/>
          <w:tblLook w:val="0680"/>
        </w:tblPrEx>
        <w:trPr>
          <w:trHeight w:val="105"/>
        </w:trPr>
        <w:tc>
          <w:tcPr>
            <w:tcW w:w="9800" w:type="dxa"/>
            <w:gridSpan w:val="9"/>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tcMar>
              <w:top w:w="15" w:type="dxa"/>
              <w:left w:w="15" w:type="dxa"/>
              <w:right w:w="15" w:type="dxa"/>
            </w:tcMar>
            <w:vAlign w:val="center"/>
          </w:tcPr>
          <w:p w:rsidR="638B37EC" w:rsidP="00D91F68" w14:paraId="7B5E6F93" w14:textId="37691822">
            <w:pPr>
              <w:jc w:val="center"/>
              <w:rPr>
                <w:b/>
                <w:bCs/>
                <w:color w:val="000000" w:themeColor="text1"/>
                <w:sz w:val="24"/>
                <w:szCs w:val="24"/>
              </w:rPr>
            </w:pPr>
            <w:r w:rsidRPr="5C516CCC">
              <w:rPr>
                <w:b/>
                <w:bCs/>
                <w:color w:val="000000" w:themeColor="text1"/>
                <w:sz w:val="24"/>
                <w:szCs w:val="24"/>
              </w:rPr>
              <w:t xml:space="preserve"> </w:t>
            </w:r>
          </w:p>
        </w:tc>
      </w:tr>
      <w:tr w14:paraId="38EF65AC" w14:textId="77777777" w:rsidTr="5C516CCC">
        <w:tblPrEx>
          <w:tblW w:w="9800" w:type="dxa"/>
          <w:tblLayout w:type="fixed"/>
          <w:tblLook w:val="0680"/>
        </w:tblPrEx>
        <w:trPr>
          <w:trHeight w:val="315"/>
        </w:trPr>
        <w:tc>
          <w:tcPr>
            <w:tcW w:w="9800" w:type="dxa"/>
            <w:gridSpan w:val="9"/>
            <w:tcBorders>
              <w:top w:val="single" w:sz="4" w:space="0" w:color="auto"/>
              <w:left w:val="single" w:sz="8" w:space="0" w:color="auto"/>
              <w:bottom w:val="single" w:sz="4" w:space="0" w:color="auto"/>
              <w:right w:val="single" w:sz="8" w:space="0" w:color="000000" w:themeColor="text1"/>
            </w:tcBorders>
            <w:shd w:val="clear" w:color="auto" w:fill="C6E0B4"/>
            <w:tcMar>
              <w:top w:w="15" w:type="dxa"/>
              <w:left w:w="15" w:type="dxa"/>
              <w:right w:w="15" w:type="dxa"/>
            </w:tcMar>
            <w:vAlign w:val="center"/>
          </w:tcPr>
          <w:p w:rsidR="638B37EC" w:rsidP="5C516CCC" w14:paraId="20F05C60" w14:textId="5180F532">
            <w:r w:rsidRPr="5C516CCC">
              <w:rPr>
                <w:b/>
                <w:bCs/>
                <w:color w:val="000000" w:themeColor="text1"/>
                <w:sz w:val="24"/>
                <w:szCs w:val="24"/>
              </w:rPr>
              <w:t xml:space="preserve">C) Type 3 </w:t>
            </w:r>
            <w:r w:rsidRPr="5C516CCC">
              <w:rPr>
                <w:b/>
                <w:bCs/>
                <w:color w:val="000000" w:themeColor="text1"/>
                <w:sz w:val="24"/>
                <w:szCs w:val="24"/>
              </w:rPr>
              <w:t>Emergency Response Workers</w:t>
            </w:r>
            <w:r w:rsidRPr="5C516CCC">
              <w:rPr>
                <w:color w:val="000000" w:themeColor="text1"/>
                <w:sz w:val="24"/>
                <w:szCs w:val="24"/>
              </w:rPr>
              <w:t xml:space="preserve"> </w:t>
            </w:r>
          </w:p>
        </w:tc>
      </w:tr>
      <w:tr w14:paraId="690831B0" w14:textId="77777777" w:rsidTr="5C516CCC">
        <w:tblPrEx>
          <w:tblW w:w="9800" w:type="dxa"/>
          <w:tblLayout w:type="fixed"/>
          <w:tblLook w:val="0680"/>
        </w:tblPrEx>
        <w:trPr>
          <w:trHeight w:val="960"/>
        </w:trPr>
        <w:tc>
          <w:tcPr>
            <w:tcW w:w="1340" w:type="dxa"/>
            <w:tcBorders>
              <w:top w:val="single" w:sz="4" w:space="0" w:color="auto"/>
              <w:left w:val="single" w:sz="8" w:space="0" w:color="auto"/>
              <w:bottom w:val="single" w:sz="4" w:space="0" w:color="auto"/>
              <w:right w:val="single" w:sz="4" w:space="0" w:color="000000" w:themeColor="text1"/>
            </w:tcBorders>
            <w:tcMar>
              <w:top w:w="15" w:type="dxa"/>
              <w:left w:w="15" w:type="dxa"/>
              <w:right w:w="15" w:type="dxa"/>
            </w:tcMar>
            <w:vAlign w:val="center"/>
          </w:tcPr>
          <w:p w:rsidR="638B37EC" w:rsidRPr="004215A2" w:rsidP="5C516CCC" w14:paraId="11EF9AD7" w14:textId="63721198">
            <w:pPr>
              <w:rPr>
                <w:sz w:val="22"/>
                <w:szCs w:val="22"/>
              </w:rPr>
            </w:pPr>
            <w:r w:rsidRPr="5C516CCC">
              <w:rPr>
                <w:color w:val="000000" w:themeColor="text1"/>
                <w:sz w:val="22"/>
                <w:szCs w:val="22"/>
              </w:rPr>
              <w:t xml:space="preserve">21) Emergency Response Plan </w:t>
            </w:r>
          </w:p>
        </w:tc>
        <w:tc>
          <w:tcPr>
            <w:tcW w:w="126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6E55B70C" w14:textId="78CC46E0">
            <w:pPr>
              <w:jc w:val="center"/>
              <w:rPr>
                <w:sz w:val="22"/>
                <w:szCs w:val="22"/>
              </w:rPr>
            </w:pPr>
            <w:r w:rsidRPr="5C516CCC">
              <w:rPr>
                <w:sz w:val="22"/>
                <w:szCs w:val="22"/>
              </w:rPr>
              <w:t xml:space="preserve">Occupational Safety and Health Specialist </w:t>
            </w:r>
          </w:p>
        </w:tc>
        <w:tc>
          <w:tcPr>
            <w:tcW w:w="117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03A31D5D" w14:textId="22ABDD57">
            <w:pPr>
              <w:jc w:val="center"/>
              <w:rPr>
                <w:sz w:val="22"/>
                <w:szCs w:val="22"/>
              </w:rPr>
            </w:pPr>
            <w:r w:rsidRPr="5C516CCC">
              <w:rPr>
                <w:sz w:val="22"/>
                <w:szCs w:val="22"/>
              </w:rPr>
              <w:t>1,359</w:t>
            </w:r>
          </w:p>
        </w:tc>
        <w:tc>
          <w:tcPr>
            <w:tcW w:w="108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39799DE5" w14:textId="4C2A2E92">
            <w:pPr>
              <w:jc w:val="center"/>
              <w:rPr>
                <w:sz w:val="22"/>
                <w:szCs w:val="22"/>
              </w:rPr>
            </w:pPr>
            <w:r w:rsidRPr="5C516CCC">
              <w:rPr>
                <w:sz w:val="22"/>
                <w:szCs w:val="22"/>
              </w:rPr>
              <w:t>1</w:t>
            </w:r>
          </w:p>
        </w:tc>
        <w:tc>
          <w:tcPr>
            <w:tcW w:w="990" w:type="dxa"/>
            <w:tcBorders>
              <w:top w:val="nil"/>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14FDAA91" w14:textId="77CDB204">
            <w:pPr>
              <w:jc w:val="center"/>
              <w:rPr>
                <w:sz w:val="22"/>
                <w:szCs w:val="22"/>
              </w:rPr>
            </w:pPr>
            <w:r w:rsidRPr="5C516CCC">
              <w:rPr>
                <w:sz w:val="22"/>
                <w:szCs w:val="22"/>
              </w:rPr>
              <w:t>1,359</w:t>
            </w:r>
          </w:p>
        </w:tc>
        <w:tc>
          <w:tcPr>
            <w:tcW w:w="108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7A50998F" w14:textId="516014E5">
            <w:pPr>
              <w:jc w:val="center"/>
              <w:rPr>
                <w:sz w:val="22"/>
                <w:szCs w:val="22"/>
              </w:rPr>
            </w:pPr>
            <w:r w:rsidRPr="5C516CCC">
              <w:rPr>
                <w:sz w:val="22"/>
                <w:szCs w:val="22"/>
              </w:rPr>
              <w:t>8</w:t>
            </w:r>
          </w:p>
        </w:tc>
        <w:tc>
          <w:tcPr>
            <w:tcW w:w="810" w:type="dxa"/>
            <w:tcBorders>
              <w:top w:val="nil"/>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259AFD6F" w14:textId="50E1165A">
            <w:pPr>
              <w:jc w:val="center"/>
              <w:rPr>
                <w:sz w:val="22"/>
                <w:szCs w:val="22"/>
              </w:rPr>
            </w:pPr>
            <w:r w:rsidRPr="5C516CCC">
              <w:rPr>
                <w:sz w:val="22"/>
                <w:szCs w:val="22"/>
              </w:rPr>
              <w:t>10,872</w:t>
            </w:r>
          </w:p>
        </w:tc>
        <w:tc>
          <w:tcPr>
            <w:tcW w:w="72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662A7FCF" w14:textId="7C09174F">
            <w:pPr>
              <w:jc w:val="center"/>
              <w:rPr>
                <w:sz w:val="22"/>
                <w:szCs w:val="22"/>
              </w:rPr>
            </w:pPr>
            <w:r w:rsidRPr="5C516CCC">
              <w:rPr>
                <w:sz w:val="22"/>
                <w:szCs w:val="22"/>
              </w:rPr>
              <w:t>$53.70</w:t>
            </w:r>
          </w:p>
        </w:tc>
        <w:tc>
          <w:tcPr>
            <w:tcW w:w="1350" w:type="dxa"/>
            <w:tcBorders>
              <w:top w:val="nil"/>
              <w:left w:val="single" w:sz="4" w:space="0" w:color="auto"/>
              <w:bottom w:val="single" w:sz="4" w:space="0" w:color="auto"/>
              <w:right w:val="single" w:sz="8" w:space="0" w:color="000000" w:themeColor="text1"/>
            </w:tcBorders>
            <w:shd w:val="clear" w:color="auto" w:fill="B4C6E7"/>
            <w:tcMar>
              <w:top w:w="15" w:type="dxa"/>
              <w:left w:w="15" w:type="dxa"/>
              <w:right w:w="15" w:type="dxa"/>
            </w:tcMar>
            <w:vAlign w:val="center"/>
          </w:tcPr>
          <w:p w:rsidR="638B37EC" w:rsidRPr="004215A2" w:rsidP="00D91F68" w14:paraId="2A47D173" w14:textId="22BB048D">
            <w:pPr>
              <w:jc w:val="center"/>
              <w:rPr>
                <w:sz w:val="22"/>
                <w:szCs w:val="22"/>
              </w:rPr>
            </w:pPr>
            <w:r w:rsidRPr="5C516CCC">
              <w:rPr>
                <w:sz w:val="22"/>
                <w:szCs w:val="22"/>
              </w:rPr>
              <w:t>$583,826.40</w:t>
            </w:r>
          </w:p>
        </w:tc>
      </w:tr>
      <w:tr w14:paraId="50116204" w14:textId="77777777" w:rsidTr="5C516CCC">
        <w:tblPrEx>
          <w:tblW w:w="9800" w:type="dxa"/>
          <w:tblLayout w:type="fixed"/>
          <w:tblLook w:val="0680"/>
        </w:tblPrEx>
        <w:trPr>
          <w:trHeight w:val="105"/>
        </w:trPr>
        <w:tc>
          <w:tcPr>
            <w:tcW w:w="1340"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5C516CCC" w14:paraId="351AE80C" w14:textId="43A84712">
            <w:pPr>
              <w:rPr>
                <w:sz w:val="22"/>
                <w:szCs w:val="22"/>
              </w:rPr>
            </w:pPr>
            <w:r w:rsidRPr="5C516CCC">
              <w:rPr>
                <w:color w:val="000000" w:themeColor="text1"/>
                <w:sz w:val="22"/>
                <w:szCs w:val="22"/>
              </w:rPr>
              <w:t xml:space="preserve"> </w:t>
            </w:r>
          </w:p>
        </w:tc>
        <w:tc>
          <w:tcPr>
            <w:tcW w:w="126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0ED7E181" w14:textId="5EEFAE04">
            <w:pPr>
              <w:jc w:val="center"/>
              <w:rPr>
                <w:sz w:val="22"/>
                <w:szCs w:val="22"/>
              </w:rPr>
            </w:pPr>
            <w:r w:rsidRPr="5C516CCC">
              <w:rPr>
                <w:sz w:val="22"/>
                <w:szCs w:val="22"/>
              </w:rPr>
              <w:t xml:space="preserve"> </w:t>
            </w:r>
          </w:p>
        </w:tc>
        <w:tc>
          <w:tcPr>
            <w:tcW w:w="117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4CE43088" w14:textId="3C5C0A59">
            <w:pPr>
              <w:jc w:val="center"/>
              <w:rPr>
                <w:sz w:val="22"/>
                <w:szCs w:val="22"/>
              </w:rPr>
            </w:pPr>
            <w:r w:rsidRPr="5C516CCC">
              <w:rPr>
                <w:sz w:val="22"/>
                <w:szCs w:val="22"/>
              </w:rPr>
              <w:t xml:space="preserve"> </w:t>
            </w:r>
          </w:p>
        </w:tc>
        <w:tc>
          <w:tcPr>
            <w:tcW w:w="10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7603BCA7" w14:textId="4CB9F624">
            <w:pPr>
              <w:jc w:val="center"/>
              <w:rPr>
                <w:sz w:val="22"/>
                <w:szCs w:val="22"/>
              </w:rPr>
            </w:pPr>
            <w:r w:rsidRPr="5C516CCC">
              <w:rPr>
                <w:sz w:val="22"/>
                <w:szCs w:val="22"/>
              </w:rPr>
              <w:t xml:space="preserve"> </w:t>
            </w:r>
          </w:p>
        </w:tc>
        <w:tc>
          <w:tcPr>
            <w:tcW w:w="99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501F7D6C" w14:textId="3C8F80F7">
            <w:pPr>
              <w:jc w:val="center"/>
              <w:rPr>
                <w:color w:val="000000" w:themeColor="text1"/>
                <w:sz w:val="22"/>
                <w:szCs w:val="22"/>
              </w:rPr>
            </w:pPr>
            <w:r w:rsidRPr="5C516CCC">
              <w:rPr>
                <w:color w:val="000000" w:themeColor="text1"/>
                <w:sz w:val="22"/>
                <w:szCs w:val="22"/>
              </w:rPr>
              <w:t xml:space="preserve"> </w:t>
            </w:r>
          </w:p>
        </w:tc>
        <w:tc>
          <w:tcPr>
            <w:tcW w:w="10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51F71A42" w14:textId="1FED6D0C">
            <w:pPr>
              <w:jc w:val="center"/>
              <w:rPr>
                <w:sz w:val="22"/>
                <w:szCs w:val="22"/>
              </w:rPr>
            </w:pPr>
            <w:r w:rsidRPr="5C516CCC">
              <w:rPr>
                <w:sz w:val="22"/>
                <w:szCs w:val="22"/>
              </w:rPr>
              <w:t xml:space="preserve"> </w:t>
            </w:r>
          </w:p>
        </w:tc>
        <w:tc>
          <w:tcPr>
            <w:tcW w:w="81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2462E00C" w14:textId="66ED63DC">
            <w:pPr>
              <w:jc w:val="center"/>
              <w:rPr>
                <w:sz w:val="22"/>
                <w:szCs w:val="22"/>
              </w:rPr>
            </w:pPr>
            <w:r w:rsidRPr="5C516CCC">
              <w:rPr>
                <w:sz w:val="22"/>
                <w:szCs w:val="22"/>
              </w:rPr>
              <w:t xml:space="preserve"> </w:t>
            </w:r>
          </w:p>
        </w:tc>
        <w:tc>
          <w:tcPr>
            <w:tcW w:w="72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306774E6" w14:textId="18AE4945">
            <w:pPr>
              <w:jc w:val="center"/>
              <w:rPr>
                <w:sz w:val="22"/>
                <w:szCs w:val="22"/>
              </w:rPr>
            </w:pPr>
            <w:r w:rsidRPr="5C516CCC">
              <w:rPr>
                <w:sz w:val="22"/>
                <w:szCs w:val="22"/>
              </w:rPr>
              <w:t xml:space="preserve"> </w:t>
            </w:r>
          </w:p>
        </w:tc>
        <w:tc>
          <w:tcPr>
            <w:tcW w:w="1350"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rsidR="638B37EC" w:rsidRPr="004215A2" w:rsidP="00D91F68" w14:paraId="32D7AFBE" w14:textId="5CBEFB7D">
            <w:pPr>
              <w:jc w:val="center"/>
              <w:rPr>
                <w:sz w:val="22"/>
                <w:szCs w:val="22"/>
              </w:rPr>
            </w:pPr>
            <w:r w:rsidRPr="5C516CCC">
              <w:rPr>
                <w:sz w:val="22"/>
                <w:szCs w:val="22"/>
              </w:rPr>
              <w:t xml:space="preserve"> </w:t>
            </w:r>
          </w:p>
        </w:tc>
      </w:tr>
      <w:tr w14:paraId="4378BAF5" w14:textId="77777777" w:rsidTr="5C516CCC">
        <w:tblPrEx>
          <w:tblW w:w="9800" w:type="dxa"/>
          <w:tblLayout w:type="fixed"/>
          <w:tblLook w:val="0680"/>
        </w:tblPrEx>
        <w:trPr>
          <w:trHeight w:val="960"/>
        </w:trPr>
        <w:tc>
          <w:tcPr>
            <w:tcW w:w="1340" w:type="dxa"/>
            <w:tcBorders>
              <w:top w:val="single" w:sz="4" w:space="0" w:color="auto"/>
              <w:left w:val="single" w:sz="8" w:space="0" w:color="auto"/>
              <w:bottom w:val="nil"/>
              <w:right w:val="single" w:sz="4" w:space="0" w:color="auto"/>
            </w:tcBorders>
            <w:tcMar>
              <w:top w:w="15" w:type="dxa"/>
              <w:left w:w="15" w:type="dxa"/>
              <w:right w:w="15" w:type="dxa"/>
            </w:tcMar>
            <w:vAlign w:val="center"/>
          </w:tcPr>
          <w:p w:rsidR="638B37EC" w:rsidRPr="004215A2" w:rsidP="5C516CCC" w14:paraId="6136CE6E" w14:textId="22AA4CA5">
            <w:pPr>
              <w:rPr>
                <w:sz w:val="22"/>
                <w:szCs w:val="22"/>
              </w:rPr>
            </w:pPr>
            <w:r w:rsidRPr="5C516CCC">
              <w:rPr>
                <w:color w:val="000000" w:themeColor="text1"/>
                <w:sz w:val="22"/>
                <w:szCs w:val="22"/>
              </w:rPr>
              <w:t xml:space="preserve">22) First Responders Training  </w:t>
            </w:r>
          </w:p>
        </w:tc>
        <w:tc>
          <w:tcPr>
            <w:tcW w:w="1260" w:type="dxa"/>
            <w:tcBorders>
              <w:top w:val="single" w:sz="4" w:space="0" w:color="auto"/>
              <w:left w:val="single" w:sz="4" w:space="0" w:color="auto"/>
              <w:bottom w:val="nil"/>
              <w:right w:val="single" w:sz="4" w:space="0" w:color="auto"/>
            </w:tcBorders>
            <w:tcMar>
              <w:top w:w="15" w:type="dxa"/>
              <w:left w:w="15" w:type="dxa"/>
              <w:right w:w="15" w:type="dxa"/>
            </w:tcMar>
            <w:vAlign w:val="center"/>
          </w:tcPr>
          <w:p w:rsidR="638B37EC" w:rsidRPr="004215A2" w:rsidP="00D91F68" w14:paraId="4AE90367" w14:textId="54982BF5">
            <w:pPr>
              <w:jc w:val="center"/>
              <w:rPr>
                <w:sz w:val="22"/>
                <w:szCs w:val="22"/>
              </w:rPr>
            </w:pPr>
            <w:r w:rsidRPr="5C516CCC">
              <w:rPr>
                <w:sz w:val="22"/>
                <w:szCs w:val="22"/>
              </w:rPr>
              <w:t xml:space="preserve">Occupational Safety and Health Specialist </w:t>
            </w:r>
          </w:p>
        </w:tc>
        <w:tc>
          <w:tcPr>
            <w:tcW w:w="1170" w:type="dxa"/>
            <w:tcBorders>
              <w:top w:val="single" w:sz="4" w:space="0" w:color="auto"/>
              <w:left w:val="single" w:sz="4" w:space="0" w:color="auto"/>
              <w:bottom w:val="nil"/>
              <w:right w:val="single" w:sz="4" w:space="0" w:color="auto"/>
            </w:tcBorders>
            <w:tcMar>
              <w:top w:w="15" w:type="dxa"/>
              <w:left w:w="15" w:type="dxa"/>
              <w:right w:w="15" w:type="dxa"/>
            </w:tcMar>
            <w:vAlign w:val="center"/>
          </w:tcPr>
          <w:p w:rsidR="638B37EC" w:rsidRPr="004215A2" w:rsidP="00D91F68" w14:paraId="2AFA915A" w14:textId="4963767C">
            <w:pPr>
              <w:jc w:val="center"/>
              <w:rPr>
                <w:sz w:val="22"/>
                <w:szCs w:val="22"/>
              </w:rPr>
            </w:pPr>
            <w:r w:rsidRPr="5C516CCC">
              <w:rPr>
                <w:sz w:val="22"/>
                <w:szCs w:val="22"/>
              </w:rPr>
              <w:t>0</w:t>
            </w:r>
          </w:p>
        </w:tc>
        <w:tc>
          <w:tcPr>
            <w:tcW w:w="1080" w:type="dxa"/>
            <w:tcBorders>
              <w:top w:val="single" w:sz="4" w:space="0" w:color="auto"/>
              <w:left w:val="single" w:sz="4" w:space="0" w:color="auto"/>
              <w:bottom w:val="nil"/>
              <w:right w:val="single" w:sz="4" w:space="0" w:color="auto"/>
            </w:tcBorders>
            <w:tcMar>
              <w:top w:w="15" w:type="dxa"/>
              <w:left w:w="15" w:type="dxa"/>
              <w:right w:w="15" w:type="dxa"/>
            </w:tcMar>
            <w:vAlign w:val="center"/>
          </w:tcPr>
          <w:p w:rsidR="638B37EC" w:rsidRPr="004215A2" w:rsidP="00D91F68" w14:paraId="6C22C05B" w14:textId="2856C3E9">
            <w:pPr>
              <w:jc w:val="center"/>
              <w:rPr>
                <w:sz w:val="22"/>
                <w:szCs w:val="22"/>
              </w:rPr>
            </w:pPr>
            <w:r w:rsidRPr="5C516CCC">
              <w:rPr>
                <w:sz w:val="22"/>
                <w:szCs w:val="22"/>
              </w:rPr>
              <w:t>0</w:t>
            </w:r>
          </w:p>
        </w:tc>
        <w:tc>
          <w:tcPr>
            <w:tcW w:w="990" w:type="dxa"/>
            <w:tcBorders>
              <w:top w:val="single" w:sz="4" w:space="0" w:color="auto"/>
              <w:left w:val="single" w:sz="4" w:space="0" w:color="auto"/>
              <w:bottom w:val="nil"/>
              <w:right w:val="single" w:sz="4" w:space="0" w:color="auto"/>
            </w:tcBorders>
            <w:shd w:val="clear" w:color="auto" w:fill="B4C6E7"/>
            <w:tcMar>
              <w:top w:w="15" w:type="dxa"/>
              <w:left w:w="15" w:type="dxa"/>
              <w:right w:w="15" w:type="dxa"/>
            </w:tcMar>
            <w:vAlign w:val="center"/>
          </w:tcPr>
          <w:p w:rsidR="638B37EC" w:rsidRPr="004215A2" w:rsidP="00D91F68" w14:paraId="070EB826" w14:textId="5EC5E197">
            <w:pPr>
              <w:jc w:val="center"/>
              <w:rPr>
                <w:sz w:val="22"/>
                <w:szCs w:val="22"/>
              </w:rPr>
            </w:pPr>
            <w:r w:rsidRPr="5C516CCC">
              <w:rPr>
                <w:sz w:val="22"/>
                <w:szCs w:val="22"/>
              </w:rPr>
              <w:t>0</w:t>
            </w:r>
          </w:p>
        </w:tc>
        <w:tc>
          <w:tcPr>
            <w:tcW w:w="1080" w:type="dxa"/>
            <w:tcBorders>
              <w:top w:val="single" w:sz="4" w:space="0" w:color="auto"/>
              <w:left w:val="single" w:sz="4" w:space="0" w:color="auto"/>
              <w:bottom w:val="nil"/>
              <w:right w:val="single" w:sz="4" w:space="0" w:color="auto"/>
            </w:tcBorders>
            <w:tcMar>
              <w:top w:w="15" w:type="dxa"/>
              <w:left w:w="15" w:type="dxa"/>
              <w:right w:w="15" w:type="dxa"/>
            </w:tcMar>
            <w:vAlign w:val="center"/>
          </w:tcPr>
          <w:p w:rsidR="638B37EC" w:rsidRPr="004215A2" w:rsidP="00D91F68" w14:paraId="7CB2D73A" w14:textId="15EEFBBF">
            <w:pPr>
              <w:jc w:val="center"/>
              <w:rPr>
                <w:sz w:val="22"/>
                <w:szCs w:val="22"/>
              </w:rPr>
            </w:pPr>
            <w:r w:rsidRPr="5C516CCC">
              <w:rPr>
                <w:sz w:val="22"/>
                <w:szCs w:val="22"/>
              </w:rPr>
              <w:t>0</w:t>
            </w:r>
          </w:p>
        </w:tc>
        <w:tc>
          <w:tcPr>
            <w:tcW w:w="810" w:type="dxa"/>
            <w:tcBorders>
              <w:top w:val="single" w:sz="4" w:space="0" w:color="auto"/>
              <w:left w:val="single" w:sz="4" w:space="0" w:color="auto"/>
              <w:bottom w:val="nil"/>
              <w:right w:val="single" w:sz="4" w:space="0" w:color="auto"/>
            </w:tcBorders>
            <w:shd w:val="clear" w:color="auto" w:fill="B4C6E7"/>
            <w:tcMar>
              <w:top w:w="15" w:type="dxa"/>
              <w:left w:w="15" w:type="dxa"/>
              <w:right w:w="15" w:type="dxa"/>
            </w:tcMar>
            <w:vAlign w:val="center"/>
          </w:tcPr>
          <w:p w:rsidR="638B37EC" w:rsidRPr="004215A2" w:rsidP="00D91F68" w14:paraId="6B1746A3" w14:textId="44204409">
            <w:pPr>
              <w:jc w:val="center"/>
              <w:rPr>
                <w:sz w:val="22"/>
                <w:szCs w:val="22"/>
              </w:rPr>
            </w:pPr>
            <w:r w:rsidRPr="5C516CCC">
              <w:rPr>
                <w:sz w:val="22"/>
                <w:szCs w:val="22"/>
              </w:rPr>
              <w:t>0</w:t>
            </w:r>
          </w:p>
        </w:tc>
        <w:tc>
          <w:tcPr>
            <w:tcW w:w="720" w:type="dxa"/>
            <w:tcBorders>
              <w:top w:val="single" w:sz="4" w:space="0" w:color="auto"/>
              <w:left w:val="single" w:sz="4" w:space="0" w:color="auto"/>
              <w:bottom w:val="nil"/>
              <w:right w:val="single" w:sz="4" w:space="0" w:color="auto"/>
            </w:tcBorders>
            <w:tcMar>
              <w:top w:w="15" w:type="dxa"/>
              <w:left w:w="15" w:type="dxa"/>
              <w:right w:w="15" w:type="dxa"/>
            </w:tcMar>
            <w:vAlign w:val="center"/>
          </w:tcPr>
          <w:p w:rsidR="638B37EC" w:rsidRPr="004215A2" w:rsidP="00D91F68" w14:paraId="336B7D73" w14:textId="4A2623C8">
            <w:pPr>
              <w:jc w:val="center"/>
              <w:rPr>
                <w:sz w:val="22"/>
                <w:szCs w:val="22"/>
              </w:rPr>
            </w:pPr>
            <w:r w:rsidRPr="5C516CCC">
              <w:rPr>
                <w:sz w:val="22"/>
                <w:szCs w:val="22"/>
              </w:rPr>
              <w:t>$53.70</w:t>
            </w:r>
          </w:p>
        </w:tc>
        <w:tc>
          <w:tcPr>
            <w:tcW w:w="1350" w:type="dxa"/>
            <w:tcBorders>
              <w:top w:val="single" w:sz="4" w:space="0" w:color="auto"/>
              <w:left w:val="single" w:sz="4" w:space="0" w:color="auto"/>
              <w:bottom w:val="nil"/>
              <w:right w:val="single" w:sz="8" w:space="0" w:color="auto"/>
            </w:tcBorders>
            <w:shd w:val="clear" w:color="auto" w:fill="B4C6E7"/>
            <w:tcMar>
              <w:top w:w="15" w:type="dxa"/>
              <w:left w:w="15" w:type="dxa"/>
              <w:right w:w="15" w:type="dxa"/>
            </w:tcMar>
            <w:vAlign w:val="center"/>
          </w:tcPr>
          <w:p w:rsidR="638B37EC" w:rsidRPr="004215A2" w:rsidP="00D91F68" w14:paraId="1E966E25" w14:textId="64650EF3">
            <w:pPr>
              <w:jc w:val="center"/>
              <w:rPr>
                <w:sz w:val="22"/>
                <w:szCs w:val="22"/>
              </w:rPr>
            </w:pPr>
            <w:r w:rsidRPr="5C516CCC">
              <w:rPr>
                <w:sz w:val="22"/>
                <w:szCs w:val="22"/>
              </w:rPr>
              <w:t>$0.00</w:t>
            </w:r>
          </w:p>
        </w:tc>
      </w:tr>
      <w:tr w14:paraId="619C59E6" w14:textId="77777777" w:rsidTr="5C516CCC">
        <w:tblPrEx>
          <w:tblW w:w="9800" w:type="dxa"/>
          <w:tblLayout w:type="fixed"/>
          <w:tblLook w:val="0680"/>
        </w:tblPrEx>
        <w:trPr>
          <w:trHeight w:val="105"/>
        </w:trPr>
        <w:tc>
          <w:tcPr>
            <w:tcW w:w="1340"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5C516CCC" w14:paraId="1646D3F0" w14:textId="29D6ED6A">
            <w:pPr>
              <w:rPr>
                <w:sz w:val="22"/>
                <w:szCs w:val="22"/>
              </w:rPr>
            </w:pPr>
            <w:r w:rsidRPr="5C516CCC">
              <w:rPr>
                <w:color w:val="000000" w:themeColor="text1"/>
                <w:sz w:val="22"/>
                <w:szCs w:val="22"/>
              </w:rPr>
              <w:t xml:space="preserve"> </w:t>
            </w:r>
          </w:p>
        </w:tc>
        <w:tc>
          <w:tcPr>
            <w:tcW w:w="126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0D964A9C" w14:textId="180B43C2">
            <w:pPr>
              <w:jc w:val="center"/>
              <w:rPr>
                <w:sz w:val="22"/>
                <w:szCs w:val="22"/>
              </w:rPr>
            </w:pPr>
            <w:r w:rsidRPr="5C516CCC">
              <w:rPr>
                <w:sz w:val="22"/>
                <w:szCs w:val="22"/>
              </w:rPr>
              <w:t xml:space="preserve"> </w:t>
            </w:r>
          </w:p>
        </w:tc>
        <w:tc>
          <w:tcPr>
            <w:tcW w:w="117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4DA5BDF9" w14:textId="63345707">
            <w:pPr>
              <w:jc w:val="center"/>
              <w:rPr>
                <w:sz w:val="22"/>
                <w:szCs w:val="22"/>
              </w:rPr>
            </w:pPr>
            <w:r w:rsidRPr="5C516CCC">
              <w:rPr>
                <w:sz w:val="22"/>
                <w:szCs w:val="22"/>
              </w:rPr>
              <w:t xml:space="preserve"> </w:t>
            </w:r>
          </w:p>
        </w:tc>
        <w:tc>
          <w:tcPr>
            <w:tcW w:w="10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51BCCE86" w14:textId="1BF79D57">
            <w:pPr>
              <w:jc w:val="center"/>
              <w:rPr>
                <w:sz w:val="22"/>
                <w:szCs w:val="22"/>
              </w:rPr>
            </w:pPr>
            <w:r w:rsidRPr="5C516CCC">
              <w:rPr>
                <w:sz w:val="22"/>
                <w:szCs w:val="22"/>
              </w:rPr>
              <w:t xml:space="preserve"> </w:t>
            </w:r>
          </w:p>
        </w:tc>
        <w:tc>
          <w:tcPr>
            <w:tcW w:w="99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52FB6FD1" w14:textId="26D98DCF">
            <w:pPr>
              <w:jc w:val="center"/>
              <w:rPr>
                <w:color w:val="000000" w:themeColor="text1"/>
                <w:sz w:val="22"/>
                <w:szCs w:val="22"/>
              </w:rPr>
            </w:pPr>
            <w:r w:rsidRPr="5C516CCC">
              <w:rPr>
                <w:color w:val="000000" w:themeColor="text1"/>
                <w:sz w:val="22"/>
                <w:szCs w:val="22"/>
              </w:rPr>
              <w:t xml:space="preserve"> </w:t>
            </w:r>
          </w:p>
        </w:tc>
        <w:tc>
          <w:tcPr>
            <w:tcW w:w="10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059AE313" w14:textId="43A98FD5">
            <w:pPr>
              <w:jc w:val="center"/>
              <w:rPr>
                <w:sz w:val="22"/>
                <w:szCs w:val="22"/>
              </w:rPr>
            </w:pPr>
            <w:r w:rsidRPr="5C516CCC">
              <w:rPr>
                <w:sz w:val="22"/>
                <w:szCs w:val="22"/>
              </w:rPr>
              <w:t xml:space="preserve"> </w:t>
            </w:r>
          </w:p>
        </w:tc>
        <w:tc>
          <w:tcPr>
            <w:tcW w:w="81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36EA3B24" w14:textId="4C7E0814">
            <w:pPr>
              <w:jc w:val="center"/>
              <w:rPr>
                <w:sz w:val="22"/>
                <w:szCs w:val="22"/>
              </w:rPr>
            </w:pPr>
            <w:r w:rsidRPr="5C516CCC">
              <w:rPr>
                <w:sz w:val="22"/>
                <w:szCs w:val="22"/>
              </w:rPr>
              <w:t xml:space="preserve"> </w:t>
            </w:r>
          </w:p>
        </w:tc>
        <w:tc>
          <w:tcPr>
            <w:tcW w:w="72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1C491DB7" w14:textId="1E2CE201">
            <w:pPr>
              <w:jc w:val="center"/>
              <w:rPr>
                <w:sz w:val="22"/>
                <w:szCs w:val="22"/>
              </w:rPr>
            </w:pPr>
            <w:r w:rsidRPr="5C516CCC">
              <w:rPr>
                <w:sz w:val="22"/>
                <w:szCs w:val="22"/>
              </w:rPr>
              <w:t xml:space="preserve"> </w:t>
            </w:r>
          </w:p>
        </w:tc>
        <w:tc>
          <w:tcPr>
            <w:tcW w:w="1350"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rsidR="638B37EC" w:rsidRPr="004215A2" w:rsidP="00D91F68" w14:paraId="24CF710F" w14:textId="5ADA8AA0">
            <w:pPr>
              <w:jc w:val="center"/>
              <w:rPr>
                <w:sz w:val="22"/>
                <w:szCs w:val="22"/>
              </w:rPr>
            </w:pPr>
            <w:r w:rsidRPr="5C516CCC">
              <w:rPr>
                <w:sz w:val="22"/>
                <w:szCs w:val="22"/>
              </w:rPr>
              <w:t xml:space="preserve"> </w:t>
            </w:r>
          </w:p>
        </w:tc>
      </w:tr>
      <w:tr w14:paraId="5378FAE3" w14:textId="77777777" w:rsidTr="5C516CCC">
        <w:tblPrEx>
          <w:tblW w:w="9800" w:type="dxa"/>
          <w:tblLayout w:type="fixed"/>
          <w:tblLook w:val="0680"/>
        </w:tblPrEx>
        <w:trPr>
          <w:trHeight w:val="945"/>
        </w:trPr>
        <w:tc>
          <w:tcPr>
            <w:tcW w:w="1340"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center"/>
          </w:tcPr>
          <w:p w:rsidR="638B37EC" w:rsidRPr="004215A2" w:rsidP="5C516CCC" w14:paraId="0A1FE805" w14:textId="0CBF6E18">
            <w:pPr>
              <w:rPr>
                <w:sz w:val="22"/>
                <w:szCs w:val="22"/>
              </w:rPr>
            </w:pPr>
            <w:r w:rsidRPr="5C516CCC">
              <w:rPr>
                <w:color w:val="000000" w:themeColor="text1"/>
                <w:sz w:val="22"/>
                <w:szCs w:val="22"/>
              </w:rPr>
              <w:t xml:space="preserve">23) First Responder Certification </w:t>
            </w:r>
          </w:p>
        </w:tc>
        <w:tc>
          <w:tcPr>
            <w:tcW w:w="126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3A6BD2B0" w14:textId="2B0D32B0">
            <w:pPr>
              <w:jc w:val="center"/>
              <w:rPr>
                <w:sz w:val="22"/>
                <w:szCs w:val="22"/>
              </w:rPr>
            </w:pPr>
            <w:r w:rsidRPr="5C516CCC">
              <w:rPr>
                <w:sz w:val="22"/>
                <w:szCs w:val="22"/>
              </w:rPr>
              <w:t xml:space="preserve">Occupational Safety and Health Specialist </w:t>
            </w:r>
          </w:p>
        </w:tc>
        <w:tc>
          <w:tcPr>
            <w:tcW w:w="117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7FC9302A" w14:textId="194E146D">
            <w:pPr>
              <w:jc w:val="center"/>
              <w:rPr>
                <w:sz w:val="22"/>
                <w:szCs w:val="22"/>
              </w:rPr>
            </w:pPr>
            <w:r w:rsidRPr="5C516CCC">
              <w:rPr>
                <w:sz w:val="22"/>
                <w:szCs w:val="22"/>
              </w:rPr>
              <w:t>354,371</w:t>
            </w:r>
          </w:p>
        </w:tc>
        <w:tc>
          <w:tcPr>
            <w:tcW w:w="108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066DF709" w14:textId="0EE161C5">
            <w:pPr>
              <w:jc w:val="center"/>
              <w:rPr>
                <w:sz w:val="22"/>
                <w:szCs w:val="22"/>
              </w:rPr>
            </w:pPr>
            <w:r w:rsidRPr="5C516CCC">
              <w:rPr>
                <w:sz w:val="22"/>
                <w:szCs w:val="22"/>
              </w:rPr>
              <w:t>1</w:t>
            </w:r>
          </w:p>
        </w:tc>
        <w:tc>
          <w:tcPr>
            <w:tcW w:w="990" w:type="dxa"/>
            <w:tcBorders>
              <w:top w:val="single" w:sz="8"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7E37EF92" w14:textId="1390B454">
            <w:pPr>
              <w:jc w:val="center"/>
              <w:rPr>
                <w:sz w:val="22"/>
                <w:szCs w:val="22"/>
              </w:rPr>
            </w:pPr>
            <w:r w:rsidRPr="5C516CCC">
              <w:rPr>
                <w:sz w:val="22"/>
                <w:szCs w:val="22"/>
              </w:rPr>
              <w:t>354,371</w:t>
            </w:r>
          </w:p>
        </w:tc>
        <w:tc>
          <w:tcPr>
            <w:tcW w:w="108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7E16D84D" w:rsidRPr="004215A2" w:rsidP="00D91F68" w14:paraId="2DA6189C" w14:textId="242581D2">
            <w:pPr>
              <w:jc w:val="center"/>
              <w:rPr>
                <w:sz w:val="22"/>
                <w:szCs w:val="22"/>
              </w:rPr>
            </w:pPr>
            <w:r w:rsidRPr="5C516CCC">
              <w:rPr>
                <w:sz w:val="22"/>
                <w:szCs w:val="22"/>
              </w:rPr>
              <w:t>1/60</w:t>
            </w:r>
          </w:p>
        </w:tc>
        <w:tc>
          <w:tcPr>
            <w:tcW w:w="810" w:type="dxa"/>
            <w:tcBorders>
              <w:top w:val="single" w:sz="8"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328DD929" w14:textId="145359CB">
            <w:pPr>
              <w:jc w:val="center"/>
              <w:rPr>
                <w:sz w:val="22"/>
                <w:szCs w:val="22"/>
              </w:rPr>
            </w:pPr>
            <w:r w:rsidRPr="5C516CCC">
              <w:rPr>
                <w:sz w:val="22"/>
                <w:szCs w:val="22"/>
              </w:rPr>
              <w:t>5,906</w:t>
            </w:r>
          </w:p>
        </w:tc>
        <w:tc>
          <w:tcPr>
            <w:tcW w:w="72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2910C201" w14:textId="6DAFBB0E">
            <w:pPr>
              <w:jc w:val="center"/>
              <w:rPr>
                <w:sz w:val="22"/>
                <w:szCs w:val="22"/>
              </w:rPr>
            </w:pPr>
            <w:r w:rsidRPr="5C516CCC">
              <w:rPr>
                <w:sz w:val="22"/>
                <w:szCs w:val="22"/>
              </w:rPr>
              <w:t>$53.70</w:t>
            </w:r>
          </w:p>
        </w:tc>
        <w:tc>
          <w:tcPr>
            <w:tcW w:w="1350" w:type="dxa"/>
            <w:tcBorders>
              <w:top w:val="single" w:sz="8" w:space="0" w:color="auto"/>
              <w:left w:val="single" w:sz="4" w:space="0" w:color="auto"/>
              <w:bottom w:val="single" w:sz="4" w:space="0" w:color="auto"/>
              <w:right w:val="single" w:sz="8" w:space="0" w:color="auto"/>
            </w:tcBorders>
            <w:shd w:val="clear" w:color="auto" w:fill="B4C6E7"/>
            <w:tcMar>
              <w:top w:w="15" w:type="dxa"/>
              <w:left w:w="15" w:type="dxa"/>
              <w:right w:w="15" w:type="dxa"/>
            </w:tcMar>
            <w:vAlign w:val="center"/>
          </w:tcPr>
          <w:p w:rsidR="638B37EC" w:rsidRPr="004215A2" w:rsidP="00D91F68" w14:paraId="176DE99B" w14:textId="70041E7C">
            <w:pPr>
              <w:jc w:val="center"/>
              <w:rPr>
                <w:sz w:val="22"/>
                <w:szCs w:val="22"/>
              </w:rPr>
            </w:pPr>
            <w:r w:rsidRPr="5C516CCC">
              <w:rPr>
                <w:sz w:val="22"/>
                <w:szCs w:val="22"/>
              </w:rPr>
              <w:t>$317,152.20</w:t>
            </w:r>
          </w:p>
        </w:tc>
      </w:tr>
      <w:tr w14:paraId="3180BD07" w14:textId="77777777" w:rsidTr="5C516CCC">
        <w:tblPrEx>
          <w:tblW w:w="9800" w:type="dxa"/>
          <w:tblLayout w:type="fixed"/>
          <w:tblLook w:val="0680"/>
        </w:tblPrEx>
        <w:trPr>
          <w:trHeight w:val="945"/>
        </w:trPr>
        <w:tc>
          <w:tcPr>
            <w:tcW w:w="1340" w:type="dxa"/>
            <w:tcBorders>
              <w:top w:val="single" w:sz="4" w:space="0" w:color="auto"/>
              <w:left w:val="single" w:sz="8" w:space="0" w:color="auto"/>
              <w:bottom w:val="nil"/>
              <w:right w:val="nil"/>
            </w:tcBorders>
            <w:tcMar>
              <w:top w:w="15" w:type="dxa"/>
              <w:left w:w="15" w:type="dxa"/>
              <w:right w:w="15" w:type="dxa"/>
            </w:tcMar>
            <w:vAlign w:val="center"/>
          </w:tcPr>
          <w:p w:rsidR="638B37EC" w:rsidRPr="004215A2" w:rsidP="5C516CCC" w14:paraId="52542347" w14:textId="498A2BF1">
            <w:pPr>
              <w:rPr>
                <w:sz w:val="22"/>
                <w:szCs w:val="22"/>
              </w:rPr>
            </w:pPr>
            <w:r w:rsidRPr="5C516CCC">
              <w:rPr>
                <w:rFonts w:ascii="Calibri" w:eastAsia="Calibri" w:hAnsi="Calibri" w:cs="Calibri"/>
                <w:color w:val="000000" w:themeColor="text1"/>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47BAB36E" w14:textId="25532C8E">
            <w:pPr>
              <w:jc w:val="center"/>
              <w:rPr>
                <w:sz w:val="22"/>
                <w:szCs w:val="22"/>
              </w:rPr>
            </w:pPr>
            <w:r w:rsidRPr="5C516CCC">
              <w:rPr>
                <w:sz w:val="22"/>
                <w:szCs w:val="22"/>
              </w:rPr>
              <w:t xml:space="preserve">Occupational Safety and Health Specialist </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6A653EEB" w14:textId="6C256707">
            <w:pPr>
              <w:jc w:val="center"/>
              <w:rPr>
                <w:sz w:val="22"/>
                <w:szCs w:val="22"/>
              </w:rPr>
            </w:pPr>
            <w:r w:rsidRPr="5C516CCC">
              <w:rPr>
                <w:sz w:val="22"/>
                <w:szCs w:val="22"/>
              </w:rPr>
              <w:t>35,347</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174F6235" w14:textId="2656B042">
            <w:pPr>
              <w:jc w:val="center"/>
              <w:rPr>
                <w:sz w:val="22"/>
                <w:szCs w:val="22"/>
              </w:rPr>
            </w:pPr>
            <w:r w:rsidRPr="5C516CCC">
              <w:rPr>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6642098C" w14:textId="67E520AD">
            <w:pPr>
              <w:jc w:val="center"/>
              <w:rPr>
                <w:sz w:val="22"/>
                <w:szCs w:val="22"/>
              </w:rPr>
            </w:pPr>
            <w:r w:rsidRPr="5C516CCC">
              <w:rPr>
                <w:sz w:val="22"/>
                <w:szCs w:val="22"/>
              </w:rPr>
              <w:t>35,347</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B2FA843" w:rsidRPr="004215A2" w:rsidP="00D91F68" w14:paraId="38AE387D" w14:textId="79373674">
            <w:pPr>
              <w:jc w:val="center"/>
              <w:rPr>
                <w:sz w:val="22"/>
                <w:szCs w:val="22"/>
              </w:rPr>
            </w:pPr>
            <w:r w:rsidRPr="5C516CCC">
              <w:rPr>
                <w:sz w:val="22"/>
                <w:szCs w:val="22"/>
              </w:rPr>
              <w:t>3/60</w:t>
            </w:r>
          </w:p>
        </w:tc>
        <w:tc>
          <w:tcPr>
            <w:tcW w:w="81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7E5D690C" w14:textId="717A5A3C">
            <w:pPr>
              <w:jc w:val="center"/>
              <w:rPr>
                <w:sz w:val="22"/>
                <w:szCs w:val="22"/>
              </w:rPr>
            </w:pPr>
            <w:r w:rsidRPr="5C516CCC">
              <w:rPr>
                <w:sz w:val="22"/>
                <w:szCs w:val="22"/>
              </w:rPr>
              <w:t>1,767</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23EC83D6" w14:textId="467398D6">
            <w:pPr>
              <w:jc w:val="center"/>
              <w:rPr>
                <w:sz w:val="22"/>
                <w:szCs w:val="22"/>
              </w:rPr>
            </w:pPr>
            <w:r w:rsidRPr="5C516CCC">
              <w:rPr>
                <w:sz w:val="22"/>
                <w:szCs w:val="22"/>
              </w:rPr>
              <w:t>$53.70</w:t>
            </w:r>
          </w:p>
        </w:tc>
        <w:tc>
          <w:tcPr>
            <w:tcW w:w="1350" w:type="dxa"/>
            <w:tcBorders>
              <w:top w:val="single" w:sz="4" w:space="0" w:color="auto"/>
              <w:left w:val="single" w:sz="4" w:space="0" w:color="auto"/>
              <w:bottom w:val="single" w:sz="4" w:space="0" w:color="auto"/>
              <w:right w:val="single" w:sz="8" w:space="0" w:color="auto"/>
            </w:tcBorders>
            <w:shd w:val="clear" w:color="auto" w:fill="B4C6E7"/>
            <w:tcMar>
              <w:top w:w="15" w:type="dxa"/>
              <w:left w:w="15" w:type="dxa"/>
              <w:right w:w="15" w:type="dxa"/>
            </w:tcMar>
            <w:vAlign w:val="center"/>
          </w:tcPr>
          <w:p w:rsidR="638B37EC" w:rsidRPr="004215A2" w:rsidP="00D91F68" w14:paraId="2977AA13" w14:textId="22138EA3">
            <w:pPr>
              <w:jc w:val="center"/>
              <w:rPr>
                <w:sz w:val="22"/>
                <w:szCs w:val="22"/>
              </w:rPr>
            </w:pPr>
            <w:r w:rsidRPr="5C516CCC">
              <w:rPr>
                <w:sz w:val="22"/>
                <w:szCs w:val="22"/>
              </w:rPr>
              <w:t>$94,887.90</w:t>
            </w:r>
          </w:p>
        </w:tc>
      </w:tr>
      <w:tr w14:paraId="32656BA1" w14:textId="77777777" w:rsidTr="5C516CCC">
        <w:tblPrEx>
          <w:tblW w:w="9800" w:type="dxa"/>
          <w:tblLayout w:type="fixed"/>
          <w:tblLook w:val="0680"/>
        </w:tblPrEx>
        <w:trPr>
          <w:trHeight w:val="330"/>
        </w:trPr>
        <w:tc>
          <w:tcPr>
            <w:tcW w:w="1340" w:type="dxa"/>
            <w:tcBorders>
              <w:top w:val="single" w:sz="4"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5C516CCC" w14:paraId="73027833" w14:textId="680C5E36">
            <w:pPr>
              <w:rPr>
                <w:b/>
                <w:bCs/>
                <w:color w:val="000000" w:themeColor="text1"/>
                <w:sz w:val="22"/>
                <w:szCs w:val="22"/>
              </w:rPr>
            </w:pPr>
            <w:r w:rsidRPr="5C516CCC">
              <w:rPr>
                <w:b/>
                <w:bCs/>
                <w:color w:val="000000" w:themeColor="text1"/>
                <w:sz w:val="22"/>
                <w:szCs w:val="22"/>
              </w:rPr>
              <w:t>Subtotal</w:t>
            </w:r>
          </w:p>
        </w:tc>
        <w:tc>
          <w:tcPr>
            <w:tcW w:w="126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3F9736E9" w14:textId="380BD6A0">
            <w:pPr>
              <w:jc w:val="center"/>
              <w:rPr>
                <w:sz w:val="22"/>
                <w:szCs w:val="22"/>
              </w:rPr>
            </w:pPr>
            <w:r w:rsidRPr="5C516CCC">
              <w:rPr>
                <w:sz w:val="22"/>
                <w:szCs w:val="22"/>
              </w:rPr>
              <w:t xml:space="preserve"> ---</w:t>
            </w:r>
          </w:p>
        </w:tc>
        <w:tc>
          <w:tcPr>
            <w:tcW w:w="117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77C5A81D" w14:textId="0507F25A">
            <w:pPr>
              <w:jc w:val="center"/>
              <w:rPr>
                <w:sz w:val="22"/>
                <w:szCs w:val="22"/>
              </w:rPr>
            </w:pPr>
            <w:r w:rsidRPr="5C516CCC">
              <w:rPr>
                <w:sz w:val="22"/>
                <w:szCs w:val="22"/>
              </w:rPr>
              <w:t xml:space="preserve"> ---</w:t>
            </w:r>
          </w:p>
        </w:tc>
        <w:tc>
          <w:tcPr>
            <w:tcW w:w="108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29D30BDD" w14:textId="5B8505F1">
            <w:pPr>
              <w:jc w:val="center"/>
              <w:rPr>
                <w:sz w:val="22"/>
                <w:szCs w:val="22"/>
              </w:rPr>
            </w:pPr>
            <w:r w:rsidRPr="5C516CCC">
              <w:rPr>
                <w:sz w:val="22"/>
                <w:szCs w:val="22"/>
              </w:rPr>
              <w:t xml:space="preserve"> ---</w:t>
            </w:r>
          </w:p>
        </w:tc>
        <w:tc>
          <w:tcPr>
            <w:tcW w:w="99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2A51C093" w14:textId="47870FBA">
            <w:pPr>
              <w:jc w:val="center"/>
              <w:rPr>
                <w:color w:val="000000" w:themeColor="text1"/>
                <w:sz w:val="22"/>
                <w:szCs w:val="22"/>
              </w:rPr>
            </w:pPr>
            <w:r w:rsidRPr="5C516CCC">
              <w:rPr>
                <w:color w:val="000000" w:themeColor="text1"/>
                <w:sz w:val="22"/>
                <w:szCs w:val="22"/>
              </w:rPr>
              <w:t>389,718</w:t>
            </w:r>
          </w:p>
        </w:tc>
        <w:tc>
          <w:tcPr>
            <w:tcW w:w="108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0513AA65" w14:textId="6FD736EB">
            <w:pPr>
              <w:jc w:val="center"/>
              <w:rPr>
                <w:sz w:val="22"/>
                <w:szCs w:val="22"/>
              </w:rPr>
            </w:pPr>
            <w:r w:rsidRPr="5C516CCC">
              <w:rPr>
                <w:sz w:val="22"/>
                <w:szCs w:val="22"/>
              </w:rPr>
              <w:t xml:space="preserve"> ---</w:t>
            </w:r>
          </w:p>
        </w:tc>
        <w:tc>
          <w:tcPr>
            <w:tcW w:w="81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3F546044" w14:textId="25E10DB3">
            <w:pPr>
              <w:jc w:val="center"/>
              <w:rPr>
                <w:sz w:val="22"/>
                <w:szCs w:val="22"/>
              </w:rPr>
            </w:pPr>
            <w:r w:rsidRPr="5C516CCC">
              <w:rPr>
                <w:sz w:val="22"/>
                <w:szCs w:val="22"/>
              </w:rPr>
              <w:t>7,673</w:t>
            </w:r>
          </w:p>
        </w:tc>
        <w:tc>
          <w:tcPr>
            <w:tcW w:w="72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5E2A14C9" w14:textId="73FA619B">
            <w:pPr>
              <w:jc w:val="center"/>
              <w:rPr>
                <w:sz w:val="22"/>
                <w:szCs w:val="22"/>
              </w:rPr>
            </w:pPr>
            <w:r w:rsidRPr="5C516CCC">
              <w:rPr>
                <w:sz w:val="22"/>
                <w:szCs w:val="22"/>
              </w:rPr>
              <w:t xml:space="preserve"> ---</w:t>
            </w:r>
          </w:p>
        </w:tc>
        <w:tc>
          <w:tcPr>
            <w:tcW w:w="1350" w:type="dxa"/>
            <w:tcBorders>
              <w:top w:val="single" w:sz="4" w:space="0" w:color="auto"/>
              <w:left w:val="single" w:sz="4"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rsidR="638B37EC" w:rsidRPr="004215A2" w:rsidP="00D91F68" w14:paraId="6545263E" w14:textId="4A9252BB">
            <w:pPr>
              <w:jc w:val="center"/>
              <w:rPr>
                <w:sz w:val="22"/>
                <w:szCs w:val="22"/>
              </w:rPr>
            </w:pPr>
            <w:r w:rsidRPr="5C516CCC">
              <w:rPr>
                <w:sz w:val="22"/>
                <w:szCs w:val="22"/>
              </w:rPr>
              <w:t>$412,040.10</w:t>
            </w:r>
          </w:p>
        </w:tc>
      </w:tr>
      <w:tr w14:paraId="0C2AF620" w14:textId="77777777" w:rsidTr="5C516CCC">
        <w:tblPrEx>
          <w:tblW w:w="9800" w:type="dxa"/>
          <w:tblLayout w:type="fixed"/>
          <w:tblLook w:val="0680"/>
        </w:tblPrEx>
        <w:trPr>
          <w:trHeight w:val="945"/>
        </w:trPr>
        <w:tc>
          <w:tcPr>
            <w:tcW w:w="134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638B37EC" w:rsidRPr="004215A2" w:rsidP="5C516CCC" w14:paraId="12712293" w14:textId="46B5F378">
            <w:pPr>
              <w:rPr>
                <w:sz w:val="22"/>
                <w:szCs w:val="22"/>
              </w:rPr>
            </w:pPr>
            <w:r w:rsidRPr="5C516CCC">
              <w:rPr>
                <w:color w:val="000000" w:themeColor="text1"/>
                <w:sz w:val="22"/>
                <w:szCs w:val="22"/>
              </w:rPr>
              <w:t xml:space="preserve">24) Hazardous material </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48D0DDCE" w14:textId="69A94473">
            <w:pPr>
              <w:jc w:val="center"/>
              <w:rPr>
                <w:sz w:val="22"/>
                <w:szCs w:val="22"/>
              </w:rPr>
            </w:pPr>
            <w:r w:rsidRPr="5C516CCC">
              <w:rPr>
                <w:sz w:val="22"/>
                <w:szCs w:val="22"/>
              </w:rPr>
              <w:t xml:space="preserve">Occupational Safety and Health Specialist </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0F68FE18" w14:textId="4FE5224D">
            <w:pPr>
              <w:jc w:val="center"/>
              <w:rPr>
                <w:sz w:val="22"/>
                <w:szCs w:val="22"/>
              </w:rPr>
            </w:pPr>
            <w:r w:rsidRPr="5C516CCC">
              <w:rPr>
                <w:sz w:val="22"/>
                <w:szCs w:val="22"/>
              </w:rPr>
              <w:t>25,390</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6E38EC4E" w14:textId="0A1E3D18">
            <w:pPr>
              <w:jc w:val="center"/>
              <w:rPr>
                <w:sz w:val="22"/>
                <w:szCs w:val="22"/>
              </w:rPr>
            </w:pPr>
            <w:r w:rsidRPr="5C516CCC">
              <w:rPr>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62816A17" w14:textId="43F69580">
            <w:pPr>
              <w:jc w:val="center"/>
              <w:rPr>
                <w:sz w:val="22"/>
                <w:szCs w:val="22"/>
              </w:rPr>
            </w:pPr>
            <w:r w:rsidRPr="5C516CCC">
              <w:rPr>
                <w:sz w:val="22"/>
                <w:szCs w:val="22"/>
              </w:rPr>
              <w:t>25,390</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B89FDF6" w:rsidRPr="004215A2" w:rsidP="00D91F68" w14:paraId="5A422189" w14:textId="37C21428">
            <w:pPr>
              <w:jc w:val="center"/>
              <w:rPr>
                <w:sz w:val="22"/>
                <w:szCs w:val="22"/>
              </w:rPr>
            </w:pPr>
            <w:r w:rsidRPr="5C516CCC">
              <w:rPr>
                <w:sz w:val="22"/>
                <w:szCs w:val="22"/>
              </w:rPr>
              <w:t>1/60</w:t>
            </w:r>
          </w:p>
        </w:tc>
        <w:tc>
          <w:tcPr>
            <w:tcW w:w="81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656F7CFA" w14:textId="4BFEB099">
            <w:pPr>
              <w:jc w:val="center"/>
              <w:rPr>
                <w:sz w:val="22"/>
                <w:szCs w:val="22"/>
              </w:rPr>
            </w:pPr>
            <w:r w:rsidRPr="5C516CCC">
              <w:rPr>
                <w:sz w:val="22"/>
                <w:szCs w:val="22"/>
              </w:rPr>
              <w:t>423</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0CECD5E5" w14:textId="6CC1EC34">
            <w:pPr>
              <w:jc w:val="center"/>
              <w:rPr>
                <w:sz w:val="22"/>
                <w:szCs w:val="22"/>
              </w:rPr>
            </w:pPr>
            <w:r w:rsidRPr="5C516CCC">
              <w:rPr>
                <w:sz w:val="22"/>
                <w:szCs w:val="22"/>
              </w:rPr>
              <w:t>$53.70</w:t>
            </w:r>
          </w:p>
        </w:tc>
        <w:tc>
          <w:tcPr>
            <w:tcW w:w="1350" w:type="dxa"/>
            <w:tcBorders>
              <w:top w:val="single" w:sz="4" w:space="0" w:color="auto"/>
              <w:left w:val="single" w:sz="4" w:space="0" w:color="auto"/>
              <w:bottom w:val="single" w:sz="4" w:space="0" w:color="auto"/>
              <w:right w:val="single" w:sz="8" w:space="0" w:color="auto"/>
            </w:tcBorders>
            <w:shd w:val="clear" w:color="auto" w:fill="B4C6E7"/>
            <w:tcMar>
              <w:top w:w="15" w:type="dxa"/>
              <w:left w:w="15" w:type="dxa"/>
              <w:right w:w="15" w:type="dxa"/>
            </w:tcMar>
            <w:vAlign w:val="center"/>
          </w:tcPr>
          <w:p w:rsidR="638B37EC" w:rsidRPr="004215A2" w:rsidP="00D91F68" w14:paraId="5E339E96" w14:textId="27D060A8">
            <w:pPr>
              <w:jc w:val="center"/>
              <w:rPr>
                <w:sz w:val="22"/>
                <w:szCs w:val="22"/>
              </w:rPr>
            </w:pPr>
            <w:r w:rsidRPr="5C516CCC">
              <w:rPr>
                <w:sz w:val="22"/>
                <w:szCs w:val="22"/>
              </w:rPr>
              <w:t>$22,715.10</w:t>
            </w:r>
          </w:p>
        </w:tc>
      </w:tr>
      <w:tr w14:paraId="663746B1" w14:textId="77777777" w:rsidTr="5C516CCC">
        <w:tblPrEx>
          <w:tblW w:w="9800" w:type="dxa"/>
          <w:tblLayout w:type="fixed"/>
          <w:tblLook w:val="0680"/>
        </w:tblPrEx>
        <w:trPr>
          <w:trHeight w:val="945"/>
        </w:trPr>
        <w:tc>
          <w:tcPr>
            <w:tcW w:w="134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638B37EC" w:rsidP="5C516CCC" w14:paraId="50AE6592" w14:textId="2761AD2C">
            <w:r w:rsidRPr="5C516CCC">
              <w:rPr>
                <w:color w:val="000000" w:themeColor="text1"/>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7E0E9902" w14:textId="05588176">
            <w:pPr>
              <w:jc w:val="center"/>
              <w:rPr>
                <w:sz w:val="22"/>
                <w:szCs w:val="22"/>
              </w:rPr>
            </w:pPr>
            <w:r w:rsidRPr="5C516CCC">
              <w:rPr>
                <w:sz w:val="22"/>
                <w:szCs w:val="22"/>
              </w:rPr>
              <w:t xml:space="preserve">Occupational Safety and Health Specialist </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24F6CFBF" w14:textId="5C0ECB25">
            <w:pPr>
              <w:jc w:val="center"/>
              <w:rPr>
                <w:sz w:val="22"/>
                <w:szCs w:val="22"/>
              </w:rPr>
            </w:pPr>
            <w:r w:rsidRPr="5C516CCC">
              <w:rPr>
                <w:sz w:val="22"/>
                <w:szCs w:val="22"/>
              </w:rPr>
              <w:t>2,539</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2D0CA61D" w14:textId="7CA2CECD">
            <w:pPr>
              <w:jc w:val="center"/>
              <w:rPr>
                <w:sz w:val="22"/>
                <w:szCs w:val="22"/>
              </w:rPr>
            </w:pPr>
            <w:r w:rsidRPr="5C516CCC">
              <w:rPr>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6A1334A6" w14:textId="4B31E402">
            <w:pPr>
              <w:jc w:val="center"/>
              <w:rPr>
                <w:sz w:val="22"/>
                <w:szCs w:val="22"/>
              </w:rPr>
            </w:pPr>
            <w:r w:rsidRPr="5C516CCC">
              <w:rPr>
                <w:sz w:val="22"/>
                <w:szCs w:val="22"/>
              </w:rPr>
              <w:t>2,539</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225628E8" w:rsidRPr="004215A2" w:rsidP="00D91F68" w14:paraId="4B299E4C" w14:textId="6C6D91A4">
            <w:pPr>
              <w:jc w:val="center"/>
              <w:rPr>
                <w:sz w:val="22"/>
                <w:szCs w:val="22"/>
              </w:rPr>
            </w:pPr>
            <w:r w:rsidRPr="5C516CCC">
              <w:rPr>
                <w:sz w:val="22"/>
                <w:szCs w:val="22"/>
              </w:rPr>
              <w:t>3/60</w:t>
            </w:r>
          </w:p>
        </w:tc>
        <w:tc>
          <w:tcPr>
            <w:tcW w:w="81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5C91291B" w14:textId="124712FD">
            <w:pPr>
              <w:jc w:val="center"/>
              <w:rPr>
                <w:sz w:val="22"/>
                <w:szCs w:val="22"/>
              </w:rPr>
            </w:pPr>
            <w:r w:rsidRPr="5C516CCC">
              <w:rPr>
                <w:sz w:val="22"/>
                <w:szCs w:val="22"/>
              </w:rPr>
              <w:t>127</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5E935101" w14:textId="267D6F98">
            <w:pPr>
              <w:jc w:val="center"/>
              <w:rPr>
                <w:sz w:val="22"/>
                <w:szCs w:val="22"/>
              </w:rPr>
            </w:pPr>
            <w:r w:rsidRPr="5C516CCC">
              <w:rPr>
                <w:sz w:val="22"/>
                <w:szCs w:val="22"/>
              </w:rPr>
              <w:t>$53.70</w:t>
            </w:r>
          </w:p>
        </w:tc>
        <w:tc>
          <w:tcPr>
            <w:tcW w:w="1350" w:type="dxa"/>
            <w:tcBorders>
              <w:top w:val="single" w:sz="4" w:space="0" w:color="auto"/>
              <w:left w:val="single" w:sz="4" w:space="0" w:color="auto"/>
              <w:bottom w:val="single" w:sz="4" w:space="0" w:color="auto"/>
              <w:right w:val="single" w:sz="8" w:space="0" w:color="auto"/>
            </w:tcBorders>
            <w:shd w:val="clear" w:color="auto" w:fill="B4C6E7"/>
            <w:tcMar>
              <w:top w:w="15" w:type="dxa"/>
              <w:left w:w="15" w:type="dxa"/>
              <w:right w:w="15" w:type="dxa"/>
            </w:tcMar>
            <w:vAlign w:val="center"/>
          </w:tcPr>
          <w:p w:rsidR="638B37EC" w:rsidRPr="004215A2" w:rsidP="00D91F68" w14:paraId="0C2C420F" w14:textId="6E1C277F">
            <w:pPr>
              <w:jc w:val="center"/>
              <w:rPr>
                <w:sz w:val="22"/>
                <w:szCs w:val="22"/>
              </w:rPr>
            </w:pPr>
            <w:r w:rsidRPr="5C516CCC">
              <w:rPr>
                <w:sz w:val="22"/>
                <w:szCs w:val="22"/>
              </w:rPr>
              <w:t>$6,819.90</w:t>
            </w:r>
          </w:p>
        </w:tc>
      </w:tr>
      <w:tr w14:paraId="6F5A460A" w14:textId="77777777" w:rsidTr="5C516CCC">
        <w:tblPrEx>
          <w:tblW w:w="9800" w:type="dxa"/>
          <w:tblLayout w:type="fixed"/>
          <w:tblLook w:val="0680"/>
        </w:tblPrEx>
        <w:trPr>
          <w:trHeight w:val="330"/>
        </w:trPr>
        <w:tc>
          <w:tcPr>
            <w:tcW w:w="1340" w:type="dxa"/>
            <w:tcBorders>
              <w:top w:val="single" w:sz="4"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5C516CCC" w14:paraId="1C8FC7C8" w14:textId="3B8A2CA2">
            <w:pPr>
              <w:rPr>
                <w:b/>
                <w:bCs/>
                <w:color w:val="000000" w:themeColor="text1"/>
                <w:sz w:val="22"/>
                <w:szCs w:val="22"/>
              </w:rPr>
            </w:pPr>
            <w:r w:rsidRPr="5C516CCC">
              <w:rPr>
                <w:b/>
                <w:bCs/>
                <w:color w:val="000000" w:themeColor="text1"/>
                <w:sz w:val="22"/>
                <w:szCs w:val="22"/>
              </w:rPr>
              <w:t>Subtotal</w:t>
            </w:r>
          </w:p>
        </w:tc>
        <w:tc>
          <w:tcPr>
            <w:tcW w:w="126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197D2B90" w14:textId="7A99D90C">
            <w:pPr>
              <w:jc w:val="center"/>
              <w:rPr>
                <w:sz w:val="22"/>
                <w:szCs w:val="22"/>
              </w:rPr>
            </w:pPr>
            <w:r w:rsidRPr="5C516CCC">
              <w:rPr>
                <w:sz w:val="22"/>
                <w:szCs w:val="22"/>
              </w:rPr>
              <w:t xml:space="preserve"> ---</w:t>
            </w:r>
          </w:p>
        </w:tc>
        <w:tc>
          <w:tcPr>
            <w:tcW w:w="117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458D6FBE" w14:textId="6CA5BCE1">
            <w:pPr>
              <w:jc w:val="center"/>
              <w:rPr>
                <w:sz w:val="22"/>
                <w:szCs w:val="22"/>
              </w:rPr>
            </w:pPr>
            <w:r w:rsidRPr="5C516CCC">
              <w:rPr>
                <w:sz w:val="22"/>
                <w:szCs w:val="22"/>
              </w:rPr>
              <w:t xml:space="preserve"> ---</w:t>
            </w:r>
          </w:p>
        </w:tc>
        <w:tc>
          <w:tcPr>
            <w:tcW w:w="108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315BE82B" w14:textId="4839230D">
            <w:pPr>
              <w:jc w:val="center"/>
              <w:rPr>
                <w:sz w:val="22"/>
                <w:szCs w:val="22"/>
              </w:rPr>
            </w:pPr>
            <w:r w:rsidRPr="5C516CCC">
              <w:rPr>
                <w:sz w:val="22"/>
                <w:szCs w:val="22"/>
              </w:rPr>
              <w:t xml:space="preserve"> ---</w:t>
            </w:r>
          </w:p>
        </w:tc>
        <w:tc>
          <w:tcPr>
            <w:tcW w:w="99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52B6D6A7" w14:textId="6C1B31C0">
            <w:pPr>
              <w:jc w:val="center"/>
              <w:rPr>
                <w:color w:val="000000" w:themeColor="text1"/>
                <w:sz w:val="22"/>
                <w:szCs w:val="22"/>
              </w:rPr>
            </w:pPr>
            <w:r w:rsidRPr="5C516CCC">
              <w:rPr>
                <w:color w:val="000000" w:themeColor="text1"/>
                <w:sz w:val="22"/>
                <w:szCs w:val="22"/>
              </w:rPr>
              <w:t>27,929</w:t>
            </w:r>
          </w:p>
        </w:tc>
        <w:tc>
          <w:tcPr>
            <w:tcW w:w="108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18AC2F04" w14:textId="6DDEDDBE">
            <w:pPr>
              <w:jc w:val="center"/>
              <w:rPr>
                <w:sz w:val="22"/>
                <w:szCs w:val="22"/>
              </w:rPr>
            </w:pPr>
            <w:r w:rsidRPr="5C516CCC">
              <w:rPr>
                <w:sz w:val="22"/>
                <w:szCs w:val="22"/>
              </w:rPr>
              <w:t xml:space="preserve"> ---</w:t>
            </w:r>
          </w:p>
        </w:tc>
        <w:tc>
          <w:tcPr>
            <w:tcW w:w="81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3D7C69AA" w14:textId="34BBEBC2">
            <w:pPr>
              <w:jc w:val="center"/>
              <w:rPr>
                <w:sz w:val="22"/>
                <w:szCs w:val="22"/>
              </w:rPr>
            </w:pPr>
            <w:r w:rsidRPr="5C516CCC">
              <w:rPr>
                <w:sz w:val="22"/>
                <w:szCs w:val="22"/>
              </w:rPr>
              <w:t>550</w:t>
            </w:r>
          </w:p>
        </w:tc>
        <w:tc>
          <w:tcPr>
            <w:tcW w:w="72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6D6B0069" w14:textId="0DDF0576">
            <w:pPr>
              <w:jc w:val="center"/>
              <w:rPr>
                <w:sz w:val="22"/>
                <w:szCs w:val="22"/>
              </w:rPr>
            </w:pPr>
            <w:r w:rsidRPr="5C516CCC">
              <w:rPr>
                <w:sz w:val="22"/>
                <w:szCs w:val="22"/>
              </w:rPr>
              <w:t xml:space="preserve"> ---</w:t>
            </w:r>
          </w:p>
        </w:tc>
        <w:tc>
          <w:tcPr>
            <w:tcW w:w="1350" w:type="dxa"/>
            <w:tcBorders>
              <w:top w:val="single" w:sz="4" w:space="0" w:color="auto"/>
              <w:left w:val="single" w:sz="4"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rsidR="638B37EC" w:rsidRPr="004215A2" w:rsidP="00D91F68" w14:paraId="0DF27893" w14:textId="3AC86600">
            <w:pPr>
              <w:jc w:val="center"/>
              <w:rPr>
                <w:sz w:val="22"/>
                <w:szCs w:val="22"/>
              </w:rPr>
            </w:pPr>
            <w:r w:rsidRPr="5C516CCC">
              <w:rPr>
                <w:sz w:val="22"/>
                <w:szCs w:val="22"/>
              </w:rPr>
              <w:t>$29,535.00</w:t>
            </w:r>
          </w:p>
        </w:tc>
      </w:tr>
      <w:tr w14:paraId="4B1AAE85" w14:textId="77777777" w:rsidTr="5C516CCC">
        <w:tblPrEx>
          <w:tblW w:w="9800" w:type="dxa"/>
          <w:tblLayout w:type="fixed"/>
          <w:tblLook w:val="0680"/>
        </w:tblPrEx>
        <w:trPr>
          <w:trHeight w:val="960"/>
        </w:trPr>
        <w:tc>
          <w:tcPr>
            <w:tcW w:w="134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638B37EC" w:rsidRPr="004215A2" w:rsidP="5C516CCC" w14:paraId="4CB74718" w14:textId="29EEB46E">
            <w:pPr>
              <w:rPr>
                <w:sz w:val="22"/>
                <w:szCs w:val="22"/>
              </w:rPr>
            </w:pPr>
            <w:r w:rsidRPr="5C516CCC">
              <w:rPr>
                <w:color w:val="000000" w:themeColor="text1"/>
                <w:sz w:val="22"/>
                <w:szCs w:val="22"/>
              </w:rPr>
              <w:t xml:space="preserve">25) Refresher Training </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050070C2" w14:textId="54CA7C87">
            <w:pPr>
              <w:jc w:val="center"/>
              <w:rPr>
                <w:sz w:val="22"/>
                <w:szCs w:val="22"/>
              </w:rPr>
            </w:pPr>
            <w:r w:rsidRPr="5C516CCC">
              <w:rPr>
                <w:sz w:val="22"/>
                <w:szCs w:val="22"/>
              </w:rPr>
              <w:t xml:space="preserve">Occupational Safety and Health Specialist </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17E0495D" w14:textId="000C7A01">
            <w:pPr>
              <w:jc w:val="center"/>
              <w:rPr>
                <w:sz w:val="22"/>
                <w:szCs w:val="22"/>
              </w:rPr>
            </w:pPr>
            <w:r w:rsidRPr="5C516CCC">
              <w:rPr>
                <w:sz w:val="22"/>
                <w:szCs w:val="22"/>
              </w:rPr>
              <w:t>0</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707E8350" w14:textId="01725D57">
            <w:pPr>
              <w:jc w:val="center"/>
              <w:rPr>
                <w:sz w:val="22"/>
                <w:szCs w:val="22"/>
              </w:rPr>
            </w:pPr>
            <w:r w:rsidRPr="5C516CCC">
              <w:rPr>
                <w:sz w:val="22"/>
                <w:szCs w:val="22"/>
              </w:rPr>
              <w:t>0</w:t>
            </w:r>
          </w:p>
        </w:tc>
        <w:tc>
          <w:tcPr>
            <w:tcW w:w="99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31AF98DD" w14:textId="4BA1E5B1">
            <w:pPr>
              <w:jc w:val="center"/>
              <w:rPr>
                <w:sz w:val="22"/>
                <w:szCs w:val="22"/>
              </w:rPr>
            </w:pPr>
            <w:r w:rsidRPr="5C516CCC">
              <w:rPr>
                <w:sz w:val="22"/>
                <w:szCs w:val="22"/>
              </w:rPr>
              <w:t>0</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740B64D0" w14:textId="6B6B087D">
            <w:pPr>
              <w:jc w:val="center"/>
              <w:rPr>
                <w:sz w:val="22"/>
                <w:szCs w:val="22"/>
              </w:rPr>
            </w:pPr>
            <w:r w:rsidRPr="5C516CCC">
              <w:rPr>
                <w:sz w:val="22"/>
                <w:szCs w:val="22"/>
              </w:rPr>
              <w:t>0</w:t>
            </w:r>
          </w:p>
        </w:tc>
        <w:tc>
          <w:tcPr>
            <w:tcW w:w="81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106653C7" w14:textId="2AE964C0">
            <w:pPr>
              <w:jc w:val="center"/>
              <w:rPr>
                <w:sz w:val="22"/>
                <w:szCs w:val="22"/>
              </w:rPr>
            </w:pPr>
            <w:r w:rsidRPr="5C516CCC">
              <w:rPr>
                <w:sz w:val="22"/>
                <w:szCs w:val="22"/>
              </w:rPr>
              <w:t>0</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077F9D03" w14:textId="7F6E30D6">
            <w:pPr>
              <w:jc w:val="center"/>
              <w:rPr>
                <w:sz w:val="22"/>
                <w:szCs w:val="22"/>
              </w:rPr>
            </w:pPr>
            <w:r w:rsidRPr="5C516CCC">
              <w:rPr>
                <w:sz w:val="22"/>
                <w:szCs w:val="22"/>
              </w:rPr>
              <w:t>$53.70</w:t>
            </w:r>
          </w:p>
        </w:tc>
        <w:tc>
          <w:tcPr>
            <w:tcW w:w="1350" w:type="dxa"/>
            <w:tcBorders>
              <w:top w:val="single" w:sz="4" w:space="0" w:color="auto"/>
              <w:left w:val="single" w:sz="4" w:space="0" w:color="auto"/>
              <w:bottom w:val="single" w:sz="4" w:space="0" w:color="auto"/>
              <w:right w:val="single" w:sz="8" w:space="0" w:color="auto"/>
            </w:tcBorders>
            <w:shd w:val="clear" w:color="auto" w:fill="B4C6E7"/>
            <w:tcMar>
              <w:top w:w="15" w:type="dxa"/>
              <w:left w:w="15" w:type="dxa"/>
              <w:right w:w="15" w:type="dxa"/>
            </w:tcMar>
            <w:vAlign w:val="center"/>
          </w:tcPr>
          <w:p w:rsidR="638B37EC" w:rsidRPr="004215A2" w:rsidP="00D91F68" w14:paraId="45CB5C78" w14:textId="2492F304">
            <w:pPr>
              <w:jc w:val="center"/>
              <w:rPr>
                <w:sz w:val="22"/>
                <w:szCs w:val="22"/>
              </w:rPr>
            </w:pPr>
            <w:r w:rsidRPr="5C516CCC">
              <w:rPr>
                <w:sz w:val="22"/>
                <w:szCs w:val="22"/>
              </w:rPr>
              <w:t>$0.00</w:t>
            </w:r>
          </w:p>
        </w:tc>
      </w:tr>
      <w:tr w14:paraId="19B2297C" w14:textId="77777777" w:rsidTr="5C516CCC">
        <w:tblPrEx>
          <w:tblW w:w="9800" w:type="dxa"/>
          <w:tblLayout w:type="fixed"/>
          <w:tblLook w:val="0680"/>
        </w:tblPrEx>
        <w:trPr>
          <w:trHeight w:val="105"/>
        </w:trPr>
        <w:tc>
          <w:tcPr>
            <w:tcW w:w="1340"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5C516CCC" w14:paraId="05C604FF" w14:textId="0371F895">
            <w:pPr>
              <w:rPr>
                <w:sz w:val="22"/>
                <w:szCs w:val="22"/>
              </w:rPr>
            </w:pPr>
            <w:r w:rsidRPr="5C516CCC">
              <w:rPr>
                <w:color w:val="000000" w:themeColor="text1"/>
                <w:sz w:val="22"/>
                <w:szCs w:val="22"/>
              </w:rPr>
              <w:t xml:space="preserve"> </w:t>
            </w:r>
          </w:p>
        </w:tc>
        <w:tc>
          <w:tcPr>
            <w:tcW w:w="126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0F74AA08" w14:textId="6D736951">
            <w:pPr>
              <w:jc w:val="center"/>
              <w:rPr>
                <w:sz w:val="22"/>
                <w:szCs w:val="22"/>
              </w:rPr>
            </w:pPr>
            <w:r w:rsidRPr="5C516CCC">
              <w:rPr>
                <w:sz w:val="22"/>
                <w:szCs w:val="22"/>
              </w:rPr>
              <w:t xml:space="preserve"> </w:t>
            </w:r>
          </w:p>
        </w:tc>
        <w:tc>
          <w:tcPr>
            <w:tcW w:w="117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15D501EC" w14:textId="6165D494">
            <w:pPr>
              <w:jc w:val="center"/>
              <w:rPr>
                <w:sz w:val="22"/>
                <w:szCs w:val="22"/>
              </w:rPr>
            </w:pPr>
            <w:r w:rsidRPr="5C516CCC">
              <w:rPr>
                <w:sz w:val="22"/>
                <w:szCs w:val="22"/>
              </w:rPr>
              <w:t xml:space="preserve"> </w:t>
            </w:r>
          </w:p>
        </w:tc>
        <w:tc>
          <w:tcPr>
            <w:tcW w:w="10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47721959" w14:textId="02C21954">
            <w:pPr>
              <w:jc w:val="center"/>
              <w:rPr>
                <w:sz w:val="22"/>
                <w:szCs w:val="22"/>
              </w:rPr>
            </w:pPr>
            <w:r w:rsidRPr="5C516CCC">
              <w:rPr>
                <w:sz w:val="22"/>
                <w:szCs w:val="22"/>
              </w:rPr>
              <w:t xml:space="preserve"> </w:t>
            </w:r>
          </w:p>
        </w:tc>
        <w:tc>
          <w:tcPr>
            <w:tcW w:w="99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3F0AD3EA" w14:textId="3BB9A8CF">
            <w:pPr>
              <w:jc w:val="center"/>
              <w:rPr>
                <w:color w:val="000000" w:themeColor="text1"/>
                <w:sz w:val="22"/>
                <w:szCs w:val="22"/>
              </w:rPr>
            </w:pPr>
            <w:r w:rsidRPr="5C516CCC">
              <w:rPr>
                <w:color w:val="000000" w:themeColor="text1"/>
                <w:sz w:val="22"/>
                <w:szCs w:val="22"/>
              </w:rPr>
              <w:t xml:space="preserve"> </w:t>
            </w:r>
          </w:p>
        </w:tc>
        <w:tc>
          <w:tcPr>
            <w:tcW w:w="10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13BAE8C2" w14:textId="5F460D3D">
            <w:pPr>
              <w:jc w:val="center"/>
              <w:rPr>
                <w:sz w:val="22"/>
                <w:szCs w:val="22"/>
              </w:rPr>
            </w:pPr>
            <w:r w:rsidRPr="5C516CCC">
              <w:rPr>
                <w:sz w:val="22"/>
                <w:szCs w:val="22"/>
              </w:rPr>
              <w:t xml:space="preserve"> </w:t>
            </w:r>
          </w:p>
        </w:tc>
        <w:tc>
          <w:tcPr>
            <w:tcW w:w="81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24289CE9" w14:textId="0369A315">
            <w:pPr>
              <w:jc w:val="center"/>
              <w:rPr>
                <w:sz w:val="22"/>
                <w:szCs w:val="22"/>
              </w:rPr>
            </w:pPr>
            <w:r w:rsidRPr="5C516CCC">
              <w:rPr>
                <w:sz w:val="22"/>
                <w:szCs w:val="22"/>
              </w:rPr>
              <w:t xml:space="preserve"> </w:t>
            </w:r>
          </w:p>
        </w:tc>
        <w:tc>
          <w:tcPr>
            <w:tcW w:w="72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17907D2B" w14:textId="1C39B02D">
            <w:pPr>
              <w:jc w:val="center"/>
              <w:rPr>
                <w:sz w:val="22"/>
                <w:szCs w:val="22"/>
              </w:rPr>
            </w:pPr>
            <w:r w:rsidRPr="5C516CCC">
              <w:rPr>
                <w:sz w:val="22"/>
                <w:szCs w:val="22"/>
              </w:rPr>
              <w:t xml:space="preserve"> </w:t>
            </w:r>
          </w:p>
        </w:tc>
        <w:tc>
          <w:tcPr>
            <w:tcW w:w="1350"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rsidR="638B37EC" w:rsidRPr="004215A2" w:rsidP="00D91F68" w14:paraId="0BE0E003" w14:textId="0D0DF808">
            <w:pPr>
              <w:jc w:val="center"/>
              <w:rPr>
                <w:sz w:val="22"/>
                <w:szCs w:val="22"/>
              </w:rPr>
            </w:pPr>
            <w:r w:rsidRPr="5C516CCC">
              <w:rPr>
                <w:sz w:val="22"/>
                <w:szCs w:val="22"/>
              </w:rPr>
              <w:t xml:space="preserve"> </w:t>
            </w:r>
          </w:p>
        </w:tc>
      </w:tr>
      <w:tr w14:paraId="1FD6199B" w14:textId="77777777" w:rsidTr="5C516CCC">
        <w:tblPrEx>
          <w:tblW w:w="9800" w:type="dxa"/>
          <w:tblLayout w:type="fixed"/>
          <w:tblLook w:val="0680"/>
        </w:tblPrEx>
        <w:trPr>
          <w:trHeight w:val="960"/>
        </w:trPr>
        <w:tc>
          <w:tcPr>
            <w:tcW w:w="134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638B37EC" w:rsidRPr="004215A2" w:rsidP="5C516CCC" w14:paraId="5286D524" w14:textId="6AEAEB94">
            <w:pPr>
              <w:rPr>
                <w:sz w:val="22"/>
                <w:szCs w:val="22"/>
              </w:rPr>
            </w:pPr>
            <w:r w:rsidRPr="5C516CCC">
              <w:rPr>
                <w:color w:val="000000" w:themeColor="text1"/>
                <w:sz w:val="22"/>
                <w:szCs w:val="22"/>
              </w:rPr>
              <w:t xml:space="preserve">26) Statement of Competency </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2B3ACE3C" w14:textId="60DA9F64">
            <w:pPr>
              <w:jc w:val="center"/>
              <w:rPr>
                <w:sz w:val="22"/>
                <w:szCs w:val="22"/>
              </w:rPr>
            </w:pPr>
            <w:r w:rsidRPr="5C516CCC">
              <w:rPr>
                <w:sz w:val="22"/>
                <w:szCs w:val="22"/>
              </w:rPr>
              <w:t xml:space="preserve">Occupational Safety and Health Specialist </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5C4840FE" w14:textId="22327628">
            <w:pPr>
              <w:jc w:val="center"/>
              <w:rPr>
                <w:sz w:val="22"/>
                <w:szCs w:val="22"/>
              </w:rPr>
            </w:pPr>
            <w:r w:rsidRPr="5C516CCC">
              <w:rPr>
                <w:sz w:val="22"/>
                <w:szCs w:val="22"/>
              </w:rPr>
              <w:t>864,320</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4918F595" w14:textId="15E52CBD">
            <w:pPr>
              <w:jc w:val="center"/>
              <w:rPr>
                <w:sz w:val="22"/>
                <w:szCs w:val="22"/>
              </w:rPr>
            </w:pPr>
            <w:r w:rsidRPr="5C516CCC">
              <w:rPr>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29AF4E21" w14:textId="47FC65C8">
            <w:pPr>
              <w:jc w:val="center"/>
              <w:rPr>
                <w:sz w:val="22"/>
                <w:szCs w:val="22"/>
              </w:rPr>
            </w:pPr>
            <w:r w:rsidRPr="5C516CCC">
              <w:rPr>
                <w:sz w:val="22"/>
                <w:szCs w:val="22"/>
              </w:rPr>
              <w:t>864,320</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786E6A4" w:rsidRPr="004215A2" w:rsidP="00D91F68" w14:paraId="0045D03C" w14:textId="6902335E">
            <w:pPr>
              <w:jc w:val="center"/>
              <w:rPr>
                <w:sz w:val="22"/>
                <w:szCs w:val="22"/>
              </w:rPr>
            </w:pPr>
            <w:r w:rsidRPr="5C516CCC">
              <w:rPr>
                <w:sz w:val="22"/>
                <w:szCs w:val="22"/>
              </w:rPr>
              <w:t>10/60</w:t>
            </w:r>
          </w:p>
        </w:tc>
        <w:tc>
          <w:tcPr>
            <w:tcW w:w="81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3FE16F5B" w14:textId="7988234D">
            <w:pPr>
              <w:jc w:val="center"/>
              <w:rPr>
                <w:sz w:val="22"/>
                <w:szCs w:val="22"/>
              </w:rPr>
            </w:pPr>
            <w:r w:rsidRPr="5C516CCC">
              <w:rPr>
                <w:sz w:val="22"/>
                <w:szCs w:val="22"/>
              </w:rPr>
              <w:t>144,053</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1F9374EF" w14:textId="3EFA3CEA">
            <w:pPr>
              <w:jc w:val="center"/>
              <w:rPr>
                <w:sz w:val="22"/>
                <w:szCs w:val="22"/>
              </w:rPr>
            </w:pPr>
            <w:r w:rsidRPr="5C516CCC">
              <w:rPr>
                <w:sz w:val="22"/>
                <w:szCs w:val="22"/>
              </w:rPr>
              <w:t>$53.70</w:t>
            </w:r>
          </w:p>
        </w:tc>
        <w:tc>
          <w:tcPr>
            <w:tcW w:w="1350" w:type="dxa"/>
            <w:tcBorders>
              <w:top w:val="single" w:sz="4" w:space="0" w:color="auto"/>
              <w:left w:val="single" w:sz="4" w:space="0" w:color="auto"/>
              <w:bottom w:val="single" w:sz="4" w:space="0" w:color="auto"/>
              <w:right w:val="single" w:sz="8" w:space="0" w:color="auto"/>
            </w:tcBorders>
            <w:shd w:val="clear" w:color="auto" w:fill="B4C6E7"/>
            <w:tcMar>
              <w:top w:w="15" w:type="dxa"/>
              <w:left w:w="15" w:type="dxa"/>
              <w:right w:w="15" w:type="dxa"/>
            </w:tcMar>
            <w:vAlign w:val="center"/>
          </w:tcPr>
          <w:p w:rsidR="638B37EC" w:rsidRPr="004215A2" w:rsidP="00D91F68" w14:paraId="4C9E3737" w14:textId="16AD3C5D">
            <w:pPr>
              <w:jc w:val="center"/>
              <w:rPr>
                <w:sz w:val="22"/>
                <w:szCs w:val="22"/>
              </w:rPr>
            </w:pPr>
            <w:r w:rsidRPr="5C516CCC">
              <w:rPr>
                <w:sz w:val="22"/>
                <w:szCs w:val="22"/>
              </w:rPr>
              <w:t>$7,735,664.00</w:t>
            </w:r>
          </w:p>
        </w:tc>
      </w:tr>
      <w:tr w14:paraId="135C612B" w14:textId="77777777" w:rsidTr="5C516CCC">
        <w:tblPrEx>
          <w:tblW w:w="9800" w:type="dxa"/>
          <w:tblLayout w:type="fixed"/>
          <w:tblLook w:val="0680"/>
        </w:tblPrEx>
        <w:trPr>
          <w:trHeight w:val="105"/>
        </w:trPr>
        <w:tc>
          <w:tcPr>
            <w:tcW w:w="1340"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5C516CCC" w14:paraId="6BF9C7D8" w14:textId="3FAFF677">
            <w:pPr>
              <w:rPr>
                <w:sz w:val="22"/>
                <w:szCs w:val="22"/>
              </w:rPr>
            </w:pPr>
            <w:r w:rsidRPr="5C516CCC">
              <w:rPr>
                <w:color w:val="000000" w:themeColor="text1"/>
                <w:sz w:val="22"/>
                <w:szCs w:val="22"/>
              </w:rPr>
              <w:t xml:space="preserve"> </w:t>
            </w:r>
          </w:p>
        </w:tc>
        <w:tc>
          <w:tcPr>
            <w:tcW w:w="126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6CD29807" w14:textId="55966A5E">
            <w:pPr>
              <w:jc w:val="center"/>
              <w:rPr>
                <w:sz w:val="22"/>
                <w:szCs w:val="22"/>
              </w:rPr>
            </w:pPr>
            <w:r w:rsidRPr="5C516CCC">
              <w:rPr>
                <w:sz w:val="22"/>
                <w:szCs w:val="22"/>
              </w:rPr>
              <w:t xml:space="preserve"> </w:t>
            </w:r>
          </w:p>
        </w:tc>
        <w:tc>
          <w:tcPr>
            <w:tcW w:w="117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5197641A" w14:textId="524BAC54">
            <w:pPr>
              <w:jc w:val="center"/>
              <w:rPr>
                <w:sz w:val="22"/>
                <w:szCs w:val="22"/>
              </w:rPr>
            </w:pPr>
            <w:r w:rsidRPr="5C516CCC">
              <w:rPr>
                <w:sz w:val="22"/>
                <w:szCs w:val="22"/>
              </w:rPr>
              <w:t xml:space="preserve"> </w:t>
            </w:r>
          </w:p>
        </w:tc>
        <w:tc>
          <w:tcPr>
            <w:tcW w:w="10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1F09EAC3" w14:textId="00493671">
            <w:pPr>
              <w:jc w:val="center"/>
              <w:rPr>
                <w:sz w:val="22"/>
                <w:szCs w:val="22"/>
              </w:rPr>
            </w:pPr>
            <w:r w:rsidRPr="5C516CCC">
              <w:rPr>
                <w:sz w:val="22"/>
                <w:szCs w:val="22"/>
              </w:rPr>
              <w:t xml:space="preserve"> </w:t>
            </w:r>
          </w:p>
        </w:tc>
        <w:tc>
          <w:tcPr>
            <w:tcW w:w="99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5192AF41" w14:textId="3720875F">
            <w:pPr>
              <w:jc w:val="center"/>
              <w:rPr>
                <w:color w:val="000000" w:themeColor="text1"/>
                <w:sz w:val="22"/>
                <w:szCs w:val="22"/>
              </w:rPr>
            </w:pPr>
            <w:r w:rsidRPr="5C516CCC">
              <w:rPr>
                <w:color w:val="000000" w:themeColor="text1"/>
                <w:sz w:val="22"/>
                <w:szCs w:val="22"/>
              </w:rPr>
              <w:t xml:space="preserve"> </w:t>
            </w:r>
          </w:p>
        </w:tc>
        <w:tc>
          <w:tcPr>
            <w:tcW w:w="10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5448A4A2" w14:textId="058C4989">
            <w:pPr>
              <w:jc w:val="center"/>
              <w:rPr>
                <w:sz w:val="22"/>
                <w:szCs w:val="22"/>
              </w:rPr>
            </w:pPr>
            <w:r w:rsidRPr="5C516CCC">
              <w:rPr>
                <w:sz w:val="22"/>
                <w:szCs w:val="22"/>
              </w:rPr>
              <w:t xml:space="preserve"> </w:t>
            </w:r>
          </w:p>
        </w:tc>
        <w:tc>
          <w:tcPr>
            <w:tcW w:w="81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08FC3431" w14:textId="73E3FE2C">
            <w:pPr>
              <w:jc w:val="center"/>
              <w:rPr>
                <w:sz w:val="22"/>
                <w:szCs w:val="22"/>
              </w:rPr>
            </w:pPr>
            <w:r w:rsidRPr="5C516CCC">
              <w:rPr>
                <w:sz w:val="22"/>
                <w:szCs w:val="22"/>
              </w:rPr>
              <w:t xml:space="preserve"> </w:t>
            </w:r>
          </w:p>
        </w:tc>
        <w:tc>
          <w:tcPr>
            <w:tcW w:w="72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63304017" w14:textId="66F6E479">
            <w:pPr>
              <w:jc w:val="center"/>
              <w:rPr>
                <w:sz w:val="22"/>
                <w:szCs w:val="22"/>
              </w:rPr>
            </w:pPr>
            <w:r w:rsidRPr="5C516CCC">
              <w:rPr>
                <w:sz w:val="22"/>
                <w:szCs w:val="22"/>
              </w:rPr>
              <w:t xml:space="preserve"> </w:t>
            </w:r>
          </w:p>
        </w:tc>
        <w:tc>
          <w:tcPr>
            <w:tcW w:w="1350"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rsidR="638B37EC" w:rsidRPr="004215A2" w:rsidP="00D91F68" w14:paraId="359354BD" w14:textId="29BBE759">
            <w:pPr>
              <w:jc w:val="center"/>
              <w:rPr>
                <w:sz w:val="22"/>
                <w:szCs w:val="22"/>
              </w:rPr>
            </w:pPr>
            <w:r w:rsidRPr="5C516CCC">
              <w:rPr>
                <w:sz w:val="22"/>
                <w:szCs w:val="22"/>
              </w:rPr>
              <w:t xml:space="preserve"> </w:t>
            </w:r>
          </w:p>
        </w:tc>
      </w:tr>
      <w:tr w14:paraId="2E8EEB44" w14:textId="77777777" w:rsidTr="5C516CCC">
        <w:tblPrEx>
          <w:tblW w:w="9800" w:type="dxa"/>
          <w:tblLayout w:type="fixed"/>
          <w:tblLook w:val="0680"/>
        </w:tblPrEx>
        <w:trPr>
          <w:trHeight w:val="960"/>
        </w:trPr>
        <w:tc>
          <w:tcPr>
            <w:tcW w:w="134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638B37EC" w:rsidRPr="004215A2" w:rsidP="5C516CCC" w14:paraId="4F2ED3FE" w14:textId="4F74CD0B">
            <w:pPr>
              <w:rPr>
                <w:sz w:val="22"/>
                <w:szCs w:val="22"/>
              </w:rPr>
            </w:pPr>
            <w:r w:rsidRPr="5C516CCC">
              <w:rPr>
                <w:color w:val="000000" w:themeColor="text1"/>
                <w:sz w:val="22"/>
                <w:szCs w:val="22"/>
              </w:rPr>
              <w:t xml:space="preserve">27) Baseline Physical exams </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3691945C" w14:textId="7025B60D">
            <w:pPr>
              <w:jc w:val="center"/>
              <w:rPr>
                <w:sz w:val="22"/>
                <w:szCs w:val="22"/>
              </w:rPr>
            </w:pPr>
            <w:r w:rsidRPr="5C516CCC">
              <w:rPr>
                <w:sz w:val="22"/>
                <w:szCs w:val="22"/>
              </w:rPr>
              <w:t xml:space="preserve">Occupational Safety and Health Specialist </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0F03E75A" w14:textId="593082A2">
            <w:pPr>
              <w:jc w:val="center"/>
              <w:rPr>
                <w:sz w:val="22"/>
                <w:szCs w:val="22"/>
              </w:rPr>
            </w:pPr>
            <w:r w:rsidRPr="5C516CCC">
              <w:rPr>
                <w:sz w:val="22"/>
                <w:szCs w:val="22"/>
              </w:rPr>
              <w:t>3,000</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25259E80" w14:textId="55F739CF">
            <w:pPr>
              <w:jc w:val="center"/>
              <w:rPr>
                <w:sz w:val="22"/>
                <w:szCs w:val="22"/>
              </w:rPr>
            </w:pPr>
            <w:r w:rsidRPr="5C516CCC">
              <w:rPr>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6FCB6215" w14:textId="0364432A">
            <w:pPr>
              <w:jc w:val="center"/>
              <w:rPr>
                <w:sz w:val="22"/>
                <w:szCs w:val="22"/>
              </w:rPr>
            </w:pPr>
            <w:r w:rsidRPr="5C516CCC">
              <w:rPr>
                <w:sz w:val="22"/>
                <w:szCs w:val="22"/>
              </w:rPr>
              <w:t>3,000</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318CE80" w:rsidRPr="004215A2" w:rsidP="00D91F68" w14:paraId="00966B66" w14:textId="40C33824">
            <w:pPr>
              <w:jc w:val="center"/>
              <w:rPr>
                <w:sz w:val="22"/>
                <w:szCs w:val="22"/>
              </w:rPr>
            </w:pPr>
            <w:r w:rsidRPr="5C516CCC">
              <w:rPr>
                <w:sz w:val="22"/>
                <w:szCs w:val="22"/>
              </w:rPr>
              <w:t>115/60</w:t>
            </w:r>
          </w:p>
        </w:tc>
        <w:tc>
          <w:tcPr>
            <w:tcW w:w="81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4EF889A2" w14:textId="6D7A451C">
            <w:pPr>
              <w:jc w:val="center"/>
              <w:rPr>
                <w:sz w:val="22"/>
                <w:szCs w:val="22"/>
              </w:rPr>
            </w:pPr>
            <w:r w:rsidRPr="5C516CCC">
              <w:rPr>
                <w:sz w:val="22"/>
                <w:szCs w:val="22"/>
              </w:rPr>
              <w:t>5,750</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36ADED49" w14:textId="56D2821D">
            <w:pPr>
              <w:jc w:val="center"/>
              <w:rPr>
                <w:sz w:val="22"/>
                <w:szCs w:val="22"/>
              </w:rPr>
            </w:pPr>
            <w:r w:rsidRPr="5C516CCC">
              <w:rPr>
                <w:sz w:val="22"/>
                <w:szCs w:val="22"/>
              </w:rPr>
              <w:t>$53.70</w:t>
            </w:r>
          </w:p>
        </w:tc>
        <w:tc>
          <w:tcPr>
            <w:tcW w:w="1350" w:type="dxa"/>
            <w:tcBorders>
              <w:top w:val="single" w:sz="4" w:space="0" w:color="auto"/>
              <w:left w:val="single" w:sz="4" w:space="0" w:color="auto"/>
              <w:bottom w:val="single" w:sz="4" w:space="0" w:color="auto"/>
              <w:right w:val="single" w:sz="8" w:space="0" w:color="auto"/>
            </w:tcBorders>
            <w:shd w:val="clear" w:color="auto" w:fill="B4C6E7"/>
            <w:tcMar>
              <w:top w:w="15" w:type="dxa"/>
              <w:left w:w="15" w:type="dxa"/>
              <w:right w:w="15" w:type="dxa"/>
            </w:tcMar>
            <w:vAlign w:val="center"/>
          </w:tcPr>
          <w:p w:rsidR="638B37EC" w:rsidRPr="004215A2" w:rsidP="00D91F68" w14:paraId="13BAFCF0" w14:textId="28049FBF">
            <w:pPr>
              <w:jc w:val="center"/>
              <w:rPr>
                <w:sz w:val="22"/>
                <w:szCs w:val="22"/>
              </w:rPr>
            </w:pPr>
            <w:r w:rsidRPr="5C516CCC">
              <w:rPr>
                <w:sz w:val="22"/>
                <w:szCs w:val="22"/>
              </w:rPr>
              <w:t>$308,775.00</w:t>
            </w:r>
          </w:p>
        </w:tc>
      </w:tr>
      <w:tr w14:paraId="78202D8B" w14:textId="77777777" w:rsidTr="5C516CCC">
        <w:tblPrEx>
          <w:tblW w:w="9800" w:type="dxa"/>
          <w:tblLayout w:type="fixed"/>
          <w:tblLook w:val="0680"/>
        </w:tblPrEx>
        <w:trPr>
          <w:trHeight w:val="105"/>
        </w:trPr>
        <w:tc>
          <w:tcPr>
            <w:tcW w:w="1340"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5C516CCC" w14:paraId="6986CDDD" w14:textId="02B234B1">
            <w:pPr>
              <w:rPr>
                <w:sz w:val="22"/>
                <w:szCs w:val="22"/>
              </w:rPr>
            </w:pPr>
            <w:r w:rsidRPr="5C516CCC">
              <w:rPr>
                <w:color w:val="000000" w:themeColor="text1"/>
                <w:sz w:val="22"/>
                <w:szCs w:val="22"/>
              </w:rPr>
              <w:t xml:space="preserve"> </w:t>
            </w:r>
          </w:p>
        </w:tc>
        <w:tc>
          <w:tcPr>
            <w:tcW w:w="126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14989DE9" w14:textId="1E9FA284">
            <w:pPr>
              <w:jc w:val="center"/>
              <w:rPr>
                <w:sz w:val="22"/>
                <w:szCs w:val="22"/>
              </w:rPr>
            </w:pPr>
            <w:r w:rsidRPr="5C516CCC">
              <w:rPr>
                <w:sz w:val="22"/>
                <w:szCs w:val="22"/>
              </w:rPr>
              <w:t xml:space="preserve"> </w:t>
            </w:r>
          </w:p>
        </w:tc>
        <w:tc>
          <w:tcPr>
            <w:tcW w:w="117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0E73964C" w14:textId="66A491C4">
            <w:pPr>
              <w:jc w:val="center"/>
              <w:rPr>
                <w:sz w:val="22"/>
                <w:szCs w:val="22"/>
              </w:rPr>
            </w:pPr>
            <w:r w:rsidRPr="5C516CCC">
              <w:rPr>
                <w:sz w:val="22"/>
                <w:szCs w:val="22"/>
              </w:rPr>
              <w:t xml:space="preserve"> </w:t>
            </w:r>
          </w:p>
        </w:tc>
        <w:tc>
          <w:tcPr>
            <w:tcW w:w="10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5B059888" w14:textId="1BA601BD">
            <w:pPr>
              <w:jc w:val="center"/>
              <w:rPr>
                <w:sz w:val="22"/>
                <w:szCs w:val="22"/>
              </w:rPr>
            </w:pPr>
            <w:r w:rsidRPr="5C516CCC">
              <w:rPr>
                <w:sz w:val="22"/>
                <w:szCs w:val="22"/>
              </w:rPr>
              <w:t xml:space="preserve"> </w:t>
            </w:r>
          </w:p>
        </w:tc>
        <w:tc>
          <w:tcPr>
            <w:tcW w:w="99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3DFEB731" w14:textId="3561D327">
            <w:pPr>
              <w:jc w:val="center"/>
              <w:rPr>
                <w:color w:val="000000" w:themeColor="text1"/>
                <w:sz w:val="22"/>
                <w:szCs w:val="22"/>
              </w:rPr>
            </w:pPr>
            <w:r w:rsidRPr="5C516CCC">
              <w:rPr>
                <w:color w:val="000000" w:themeColor="text1"/>
                <w:sz w:val="22"/>
                <w:szCs w:val="22"/>
              </w:rPr>
              <w:t xml:space="preserve"> </w:t>
            </w:r>
          </w:p>
        </w:tc>
        <w:tc>
          <w:tcPr>
            <w:tcW w:w="10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0DFE896B" w14:textId="2242B2E1">
            <w:pPr>
              <w:jc w:val="center"/>
              <w:rPr>
                <w:sz w:val="22"/>
                <w:szCs w:val="22"/>
              </w:rPr>
            </w:pPr>
            <w:r w:rsidRPr="5C516CCC">
              <w:rPr>
                <w:sz w:val="22"/>
                <w:szCs w:val="22"/>
              </w:rPr>
              <w:t xml:space="preserve"> </w:t>
            </w:r>
          </w:p>
        </w:tc>
        <w:tc>
          <w:tcPr>
            <w:tcW w:w="81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21A1B8F9" w14:textId="29D5B927">
            <w:pPr>
              <w:jc w:val="center"/>
              <w:rPr>
                <w:sz w:val="22"/>
                <w:szCs w:val="22"/>
              </w:rPr>
            </w:pPr>
            <w:r w:rsidRPr="5C516CCC">
              <w:rPr>
                <w:sz w:val="22"/>
                <w:szCs w:val="22"/>
              </w:rPr>
              <w:t xml:space="preserve"> </w:t>
            </w:r>
          </w:p>
        </w:tc>
        <w:tc>
          <w:tcPr>
            <w:tcW w:w="72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RPr="004215A2" w:rsidP="00D91F68" w14:paraId="567FEF3D" w14:textId="60E7138B">
            <w:pPr>
              <w:jc w:val="center"/>
              <w:rPr>
                <w:sz w:val="22"/>
                <w:szCs w:val="22"/>
              </w:rPr>
            </w:pPr>
            <w:r w:rsidRPr="5C516CCC">
              <w:rPr>
                <w:sz w:val="22"/>
                <w:szCs w:val="22"/>
              </w:rPr>
              <w:t xml:space="preserve"> </w:t>
            </w:r>
          </w:p>
        </w:tc>
        <w:tc>
          <w:tcPr>
            <w:tcW w:w="1350"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rsidR="638B37EC" w:rsidRPr="004215A2" w:rsidP="00D91F68" w14:paraId="157B1E04" w14:textId="4B2FCAEB">
            <w:pPr>
              <w:jc w:val="center"/>
              <w:rPr>
                <w:sz w:val="22"/>
                <w:szCs w:val="22"/>
              </w:rPr>
            </w:pPr>
            <w:r w:rsidRPr="5C516CCC">
              <w:rPr>
                <w:sz w:val="22"/>
                <w:szCs w:val="22"/>
              </w:rPr>
              <w:t xml:space="preserve"> </w:t>
            </w:r>
          </w:p>
        </w:tc>
      </w:tr>
      <w:tr w14:paraId="46070521" w14:textId="77777777" w:rsidTr="5C516CCC">
        <w:tblPrEx>
          <w:tblW w:w="9800" w:type="dxa"/>
          <w:tblLayout w:type="fixed"/>
          <w:tblLook w:val="0680"/>
        </w:tblPrEx>
        <w:trPr>
          <w:trHeight w:val="960"/>
        </w:trPr>
        <w:tc>
          <w:tcPr>
            <w:tcW w:w="134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638B37EC" w:rsidRPr="004215A2" w:rsidP="5C516CCC" w14:paraId="112F16E6" w14:textId="2BF00A96">
            <w:pPr>
              <w:rPr>
                <w:sz w:val="22"/>
                <w:szCs w:val="22"/>
              </w:rPr>
            </w:pPr>
            <w:r w:rsidRPr="5C516CCC">
              <w:rPr>
                <w:color w:val="000000" w:themeColor="text1"/>
                <w:sz w:val="22"/>
                <w:szCs w:val="22"/>
              </w:rPr>
              <w:t xml:space="preserve">28) Disclosure of Written safety &amp; health program </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1CEF54FB" w14:textId="1988F55F">
            <w:pPr>
              <w:jc w:val="center"/>
              <w:rPr>
                <w:sz w:val="22"/>
                <w:szCs w:val="22"/>
              </w:rPr>
            </w:pPr>
            <w:r w:rsidRPr="5C516CCC">
              <w:rPr>
                <w:sz w:val="22"/>
                <w:szCs w:val="22"/>
              </w:rPr>
              <w:t xml:space="preserve">Occupational Safety and Health Specialist </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7EFF981D" w14:textId="7847EDD4">
            <w:pPr>
              <w:jc w:val="center"/>
              <w:rPr>
                <w:sz w:val="22"/>
                <w:szCs w:val="22"/>
              </w:rPr>
            </w:pPr>
            <w:r w:rsidRPr="5C516CCC">
              <w:rPr>
                <w:sz w:val="22"/>
                <w:szCs w:val="22"/>
              </w:rPr>
              <w:t>0</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0576DC9B" w14:textId="719B23D3">
            <w:pPr>
              <w:jc w:val="center"/>
              <w:rPr>
                <w:sz w:val="22"/>
                <w:szCs w:val="22"/>
              </w:rPr>
            </w:pPr>
            <w:r w:rsidRPr="5C516CCC">
              <w:rPr>
                <w:sz w:val="22"/>
                <w:szCs w:val="22"/>
              </w:rPr>
              <w:t>0</w:t>
            </w:r>
          </w:p>
        </w:tc>
        <w:tc>
          <w:tcPr>
            <w:tcW w:w="99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3B9350F6" w14:textId="07F1C3F3">
            <w:pPr>
              <w:jc w:val="center"/>
              <w:rPr>
                <w:sz w:val="22"/>
                <w:szCs w:val="22"/>
              </w:rPr>
            </w:pPr>
            <w:r w:rsidRPr="5C516CCC">
              <w:rPr>
                <w:sz w:val="22"/>
                <w:szCs w:val="22"/>
              </w:rPr>
              <w:t>0</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3FAB2958" w14:textId="2C14D637">
            <w:pPr>
              <w:jc w:val="center"/>
              <w:rPr>
                <w:sz w:val="22"/>
                <w:szCs w:val="22"/>
              </w:rPr>
            </w:pPr>
            <w:r w:rsidRPr="5C516CCC">
              <w:rPr>
                <w:sz w:val="22"/>
                <w:szCs w:val="22"/>
              </w:rPr>
              <w:t>0</w:t>
            </w:r>
          </w:p>
        </w:tc>
        <w:tc>
          <w:tcPr>
            <w:tcW w:w="810"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rsidR="638B37EC" w:rsidRPr="004215A2" w:rsidP="00D91F68" w14:paraId="0A8B0BB9" w14:textId="47D6702F">
            <w:pPr>
              <w:jc w:val="center"/>
              <w:rPr>
                <w:sz w:val="22"/>
                <w:szCs w:val="22"/>
              </w:rPr>
            </w:pPr>
            <w:r w:rsidRPr="5C516CCC">
              <w:rPr>
                <w:sz w:val="22"/>
                <w:szCs w:val="22"/>
              </w:rPr>
              <w:t>0</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38B37EC" w:rsidRPr="004215A2" w:rsidP="00D91F68" w14:paraId="30E67D57" w14:textId="13A45153">
            <w:pPr>
              <w:jc w:val="center"/>
              <w:rPr>
                <w:sz w:val="22"/>
                <w:szCs w:val="22"/>
              </w:rPr>
            </w:pPr>
            <w:r w:rsidRPr="5C516CCC">
              <w:rPr>
                <w:sz w:val="22"/>
                <w:szCs w:val="22"/>
              </w:rPr>
              <w:t>$53.70</w:t>
            </w:r>
          </w:p>
        </w:tc>
        <w:tc>
          <w:tcPr>
            <w:tcW w:w="1350" w:type="dxa"/>
            <w:tcBorders>
              <w:top w:val="single" w:sz="4" w:space="0" w:color="auto"/>
              <w:left w:val="single" w:sz="4" w:space="0" w:color="auto"/>
              <w:bottom w:val="single" w:sz="4" w:space="0" w:color="auto"/>
              <w:right w:val="single" w:sz="8" w:space="0" w:color="auto"/>
            </w:tcBorders>
            <w:shd w:val="clear" w:color="auto" w:fill="B4C6E7"/>
            <w:tcMar>
              <w:top w:w="15" w:type="dxa"/>
              <w:left w:w="15" w:type="dxa"/>
              <w:right w:w="15" w:type="dxa"/>
            </w:tcMar>
            <w:vAlign w:val="center"/>
          </w:tcPr>
          <w:p w:rsidR="638B37EC" w:rsidRPr="004215A2" w:rsidP="00D91F68" w14:paraId="20224C26" w14:textId="6B5C6BB1">
            <w:pPr>
              <w:jc w:val="center"/>
              <w:rPr>
                <w:sz w:val="22"/>
                <w:szCs w:val="22"/>
              </w:rPr>
            </w:pPr>
            <w:r w:rsidRPr="5C516CCC">
              <w:rPr>
                <w:sz w:val="22"/>
                <w:szCs w:val="22"/>
              </w:rPr>
              <w:t>$0.00</w:t>
            </w:r>
          </w:p>
        </w:tc>
      </w:tr>
      <w:tr w14:paraId="7DA8AC87" w14:textId="77777777" w:rsidTr="5C516CCC">
        <w:tblPrEx>
          <w:tblW w:w="9800" w:type="dxa"/>
          <w:tblLayout w:type="fixed"/>
          <w:tblLook w:val="0680"/>
        </w:tblPrEx>
        <w:trPr>
          <w:trHeight w:val="105"/>
        </w:trPr>
        <w:tc>
          <w:tcPr>
            <w:tcW w:w="1340"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5C516CCC" w14:paraId="35D4D510" w14:textId="6B9A4E4E">
            <w:r w:rsidRPr="5C516CCC">
              <w:rPr>
                <w:color w:val="000000" w:themeColor="text1"/>
                <w:sz w:val="24"/>
                <w:szCs w:val="24"/>
              </w:rPr>
              <w:t xml:space="preserve"> </w:t>
            </w:r>
          </w:p>
        </w:tc>
        <w:tc>
          <w:tcPr>
            <w:tcW w:w="126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170D522F" w14:textId="085437D8">
            <w:pPr>
              <w:jc w:val="center"/>
              <w:rPr>
                <w:sz w:val="24"/>
                <w:szCs w:val="24"/>
              </w:rPr>
            </w:pPr>
            <w:r w:rsidRPr="5C516CCC">
              <w:rPr>
                <w:sz w:val="24"/>
                <w:szCs w:val="24"/>
              </w:rPr>
              <w:t xml:space="preserve"> </w:t>
            </w:r>
          </w:p>
        </w:tc>
        <w:tc>
          <w:tcPr>
            <w:tcW w:w="117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3A348034" w14:textId="027EBA67">
            <w:pPr>
              <w:jc w:val="center"/>
              <w:rPr>
                <w:sz w:val="24"/>
                <w:szCs w:val="24"/>
              </w:rPr>
            </w:pPr>
            <w:r w:rsidRPr="5C516CCC">
              <w:rPr>
                <w:sz w:val="24"/>
                <w:szCs w:val="24"/>
              </w:rPr>
              <w:t xml:space="preserve"> </w:t>
            </w:r>
          </w:p>
        </w:tc>
        <w:tc>
          <w:tcPr>
            <w:tcW w:w="10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267E8347" w14:textId="3BD92C69">
            <w:pPr>
              <w:jc w:val="center"/>
              <w:rPr>
                <w:sz w:val="24"/>
                <w:szCs w:val="24"/>
              </w:rPr>
            </w:pPr>
            <w:r w:rsidRPr="5C516CCC">
              <w:rPr>
                <w:sz w:val="24"/>
                <w:szCs w:val="24"/>
              </w:rPr>
              <w:t xml:space="preserve"> </w:t>
            </w:r>
          </w:p>
        </w:tc>
        <w:tc>
          <w:tcPr>
            <w:tcW w:w="99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736377AB" w14:textId="55AB97CE">
            <w:pPr>
              <w:jc w:val="center"/>
              <w:rPr>
                <w:color w:val="000000" w:themeColor="text1"/>
                <w:sz w:val="24"/>
                <w:szCs w:val="24"/>
              </w:rPr>
            </w:pPr>
            <w:r w:rsidRPr="5C516CCC">
              <w:rPr>
                <w:color w:val="000000" w:themeColor="text1"/>
                <w:sz w:val="24"/>
                <w:szCs w:val="24"/>
              </w:rPr>
              <w:t xml:space="preserve"> </w:t>
            </w:r>
          </w:p>
        </w:tc>
        <w:tc>
          <w:tcPr>
            <w:tcW w:w="10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4D7D955A" w14:textId="600C9C6C">
            <w:pPr>
              <w:jc w:val="center"/>
              <w:rPr>
                <w:sz w:val="24"/>
                <w:szCs w:val="24"/>
              </w:rPr>
            </w:pPr>
            <w:r w:rsidRPr="5C516CCC">
              <w:rPr>
                <w:sz w:val="24"/>
                <w:szCs w:val="24"/>
              </w:rPr>
              <w:t xml:space="preserve"> </w:t>
            </w:r>
          </w:p>
        </w:tc>
        <w:tc>
          <w:tcPr>
            <w:tcW w:w="81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60DD107C" w14:textId="5B0E196C">
            <w:pPr>
              <w:jc w:val="center"/>
              <w:rPr>
                <w:sz w:val="24"/>
                <w:szCs w:val="24"/>
              </w:rPr>
            </w:pPr>
            <w:r w:rsidRPr="5C516CCC">
              <w:rPr>
                <w:sz w:val="24"/>
                <w:szCs w:val="24"/>
              </w:rPr>
              <w:t xml:space="preserve"> </w:t>
            </w:r>
          </w:p>
        </w:tc>
        <w:tc>
          <w:tcPr>
            <w:tcW w:w="72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rsidR="638B37EC" w:rsidP="00D91F68" w14:paraId="4DABE947" w14:textId="61CE1CC7">
            <w:pPr>
              <w:jc w:val="center"/>
              <w:rPr>
                <w:sz w:val="24"/>
                <w:szCs w:val="24"/>
              </w:rPr>
            </w:pPr>
            <w:r w:rsidRPr="5C516CCC">
              <w:rPr>
                <w:sz w:val="24"/>
                <w:szCs w:val="24"/>
              </w:rPr>
              <w:t xml:space="preserve"> </w:t>
            </w:r>
          </w:p>
        </w:tc>
        <w:tc>
          <w:tcPr>
            <w:tcW w:w="1350"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rsidR="638B37EC" w:rsidP="00D91F68" w14:paraId="5FFD7ECC" w14:textId="5A7608F2">
            <w:pPr>
              <w:jc w:val="center"/>
              <w:rPr>
                <w:sz w:val="24"/>
                <w:szCs w:val="24"/>
              </w:rPr>
            </w:pPr>
            <w:r w:rsidRPr="5C516CCC">
              <w:rPr>
                <w:sz w:val="24"/>
                <w:szCs w:val="24"/>
              </w:rPr>
              <w:t xml:space="preserve"> </w:t>
            </w:r>
          </w:p>
        </w:tc>
      </w:tr>
      <w:tr w14:paraId="5F0629C9" w14:textId="77777777" w:rsidTr="5C516CCC">
        <w:tblPrEx>
          <w:tblW w:w="9800" w:type="dxa"/>
          <w:tblLayout w:type="fixed"/>
          <w:tblLook w:val="0680"/>
        </w:tblPrEx>
        <w:trPr>
          <w:trHeight w:val="330"/>
        </w:trPr>
        <w:tc>
          <w:tcPr>
            <w:tcW w:w="1340" w:type="dxa"/>
            <w:tcBorders>
              <w:top w:val="single" w:sz="4" w:space="0" w:color="auto"/>
              <w:left w:val="single" w:sz="8" w:space="0" w:color="auto"/>
              <w:bottom w:val="nil"/>
              <w:right w:val="single" w:sz="4" w:space="0" w:color="auto"/>
            </w:tcBorders>
            <w:shd w:val="clear" w:color="auto" w:fill="E2EFDA"/>
            <w:tcMar>
              <w:top w:w="15" w:type="dxa"/>
              <w:left w:w="15" w:type="dxa"/>
              <w:right w:w="15" w:type="dxa"/>
            </w:tcMar>
            <w:vAlign w:val="center"/>
          </w:tcPr>
          <w:p w:rsidR="638B37EC" w:rsidRPr="004215A2" w:rsidP="5C516CCC" w14:paraId="7CD60479" w14:textId="021AF7F4">
            <w:pPr>
              <w:rPr>
                <w:b/>
                <w:bCs/>
                <w:color w:val="000000" w:themeColor="text1"/>
                <w:sz w:val="22"/>
                <w:szCs w:val="22"/>
              </w:rPr>
            </w:pPr>
            <w:r w:rsidRPr="5C516CCC">
              <w:rPr>
                <w:b/>
                <w:bCs/>
                <w:color w:val="000000" w:themeColor="text1"/>
                <w:sz w:val="22"/>
                <w:szCs w:val="22"/>
              </w:rPr>
              <w:t>Section Subtotal</w:t>
            </w:r>
          </w:p>
        </w:tc>
        <w:tc>
          <w:tcPr>
            <w:tcW w:w="1260" w:type="dxa"/>
            <w:tcBorders>
              <w:top w:val="single" w:sz="4" w:space="0" w:color="auto"/>
              <w:left w:val="single" w:sz="4" w:space="0" w:color="auto"/>
              <w:bottom w:val="nil"/>
              <w:right w:val="single" w:sz="4" w:space="0" w:color="auto"/>
            </w:tcBorders>
            <w:shd w:val="clear" w:color="auto" w:fill="E2EFDA"/>
            <w:tcMar>
              <w:top w:w="15" w:type="dxa"/>
              <w:left w:w="15" w:type="dxa"/>
              <w:right w:w="15" w:type="dxa"/>
            </w:tcMar>
            <w:vAlign w:val="center"/>
          </w:tcPr>
          <w:p w:rsidR="638B37EC" w:rsidRPr="004215A2" w:rsidP="00D91F68" w14:paraId="52C931AA" w14:textId="7348CFAD">
            <w:pPr>
              <w:jc w:val="center"/>
              <w:rPr>
                <w:sz w:val="22"/>
                <w:szCs w:val="22"/>
              </w:rPr>
            </w:pPr>
            <w:r w:rsidRPr="5C516CCC">
              <w:rPr>
                <w:sz w:val="22"/>
                <w:szCs w:val="22"/>
              </w:rPr>
              <w:t xml:space="preserve"> ---</w:t>
            </w:r>
          </w:p>
        </w:tc>
        <w:tc>
          <w:tcPr>
            <w:tcW w:w="1170" w:type="dxa"/>
            <w:tcBorders>
              <w:top w:val="single" w:sz="4" w:space="0" w:color="auto"/>
              <w:left w:val="single" w:sz="4" w:space="0" w:color="auto"/>
              <w:bottom w:val="nil"/>
              <w:right w:val="single" w:sz="4" w:space="0" w:color="auto"/>
            </w:tcBorders>
            <w:shd w:val="clear" w:color="auto" w:fill="E2EFDA"/>
            <w:tcMar>
              <w:top w:w="15" w:type="dxa"/>
              <w:left w:w="15" w:type="dxa"/>
              <w:right w:w="15" w:type="dxa"/>
            </w:tcMar>
            <w:vAlign w:val="center"/>
          </w:tcPr>
          <w:p w:rsidR="638B37EC" w:rsidRPr="004215A2" w:rsidP="00D91F68" w14:paraId="6169C8EF" w14:textId="10682C20">
            <w:pPr>
              <w:jc w:val="center"/>
              <w:rPr>
                <w:sz w:val="22"/>
                <w:szCs w:val="22"/>
              </w:rPr>
            </w:pPr>
            <w:r w:rsidRPr="5C516CCC">
              <w:rPr>
                <w:sz w:val="22"/>
                <w:szCs w:val="22"/>
              </w:rPr>
              <w:t xml:space="preserve"> ---</w:t>
            </w:r>
          </w:p>
        </w:tc>
        <w:tc>
          <w:tcPr>
            <w:tcW w:w="1080" w:type="dxa"/>
            <w:tcBorders>
              <w:top w:val="single" w:sz="4" w:space="0" w:color="auto"/>
              <w:left w:val="single" w:sz="4" w:space="0" w:color="auto"/>
              <w:bottom w:val="nil"/>
              <w:right w:val="single" w:sz="4" w:space="0" w:color="auto"/>
            </w:tcBorders>
            <w:shd w:val="clear" w:color="auto" w:fill="E2EFDA"/>
            <w:tcMar>
              <w:top w:w="15" w:type="dxa"/>
              <w:left w:w="15" w:type="dxa"/>
              <w:right w:w="15" w:type="dxa"/>
            </w:tcMar>
            <w:vAlign w:val="center"/>
          </w:tcPr>
          <w:p w:rsidR="638B37EC" w:rsidRPr="004215A2" w:rsidP="00D91F68" w14:paraId="2B71F0B6" w14:textId="2EA5BD63">
            <w:pPr>
              <w:jc w:val="center"/>
              <w:rPr>
                <w:sz w:val="22"/>
                <w:szCs w:val="22"/>
              </w:rPr>
            </w:pPr>
            <w:r w:rsidRPr="5C516CCC">
              <w:rPr>
                <w:sz w:val="22"/>
                <w:szCs w:val="22"/>
              </w:rPr>
              <w:t xml:space="preserve"> ---</w:t>
            </w:r>
          </w:p>
        </w:tc>
        <w:tc>
          <w:tcPr>
            <w:tcW w:w="990" w:type="dxa"/>
            <w:tcBorders>
              <w:top w:val="single" w:sz="4" w:space="0" w:color="auto"/>
              <w:left w:val="single" w:sz="4" w:space="0" w:color="auto"/>
              <w:bottom w:val="nil"/>
              <w:right w:val="single" w:sz="4" w:space="0" w:color="auto"/>
            </w:tcBorders>
            <w:shd w:val="clear" w:color="auto" w:fill="E2EFDA"/>
            <w:tcMar>
              <w:top w:w="15" w:type="dxa"/>
              <w:left w:w="15" w:type="dxa"/>
              <w:right w:w="15" w:type="dxa"/>
            </w:tcMar>
            <w:vAlign w:val="center"/>
          </w:tcPr>
          <w:p w:rsidR="638B37EC" w:rsidRPr="004215A2" w:rsidP="00D91F68" w14:paraId="2529B7F2" w14:textId="2484A4D6">
            <w:pPr>
              <w:jc w:val="center"/>
              <w:rPr>
                <w:color w:val="000000" w:themeColor="text1"/>
                <w:sz w:val="22"/>
                <w:szCs w:val="22"/>
              </w:rPr>
            </w:pPr>
            <w:r w:rsidRPr="5C516CCC">
              <w:rPr>
                <w:color w:val="000000" w:themeColor="text1"/>
                <w:sz w:val="22"/>
                <w:szCs w:val="22"/>
              </w:rPr>
              <w:t>1,286,326</w:t>
            </w:r>
          </w:p>
        </w:tc>
        <w:tc>
          <w:tcPr>
            <w:tcW w:w="1080" w:type="dxa"/>
            <w:tcBorders>
              <w:top w:val="single" w:sz="4" w:space="0" w:color="auto"/>
              <w:left w:val="single" w:sz="4" w:space="0" w:color="auto"/>
              <w:bottom w:val="nil"/>
              <w:right w:val="single" w:sz="4" w:space="0" w:color="auto"/>
            </w:tcBorders>
            <w:shd w:val="clear" w:color="auto" w:fill="E2EFDA"/>
            <w:tcMar>
              <w:top w:w="15" w:type="dxa"/>
              <w:left w:w="15" w:type="dxa"/>
              <w:right w:w="15" w:type="dxa"/>
            </w:tcMar>
            <w:vAlign w:val="center"/>
          </w:tcPr>
          <w:p w:rsidR="638B37EC" w:rsidRPr="004215A2" w:rsidP="00D91F68" w14:paraId="48CBC7F7" w14:textId="4364190B">
            <w:pPr>
              <w:jc w:val="center"/>
              <w:rPr>
                <w:sz w:val="22"/>
                <w:szCs w:val="22"/>
              </w:rPr>
            </w:pPr>
            <w:r w:rsidRPr="5C516CCC">
              <w:rPr>
                <w:sz w:val="22"/>
                <w:szCs w:val="22"/>
              </w:rPr>
              <w:t xml:space="preserve"> ---</w:t>
            </w:r>
          </w:p>
        </w:tc>
        <w:tc>
          <w:tcPr>
            <w:tcW w:w="810" w:type="dxa"/>
            <w:tcBorders>
              <w:top w:val="single" w:sz="4" w:space="0" w:color="auto"/>
              <w:left w:val="single" w:sz="4" w:space="0" w:color="auto"/>
              <w:bottom w:val="nil"/>
              <w:right w:val="single" w:sz="4" w:space="0" w:color="auto"/>
            </w:tcBorders>
            <w:shd w:val="clear" w:color="auto" w:fill="E2EFDA"/>
            <w:tcMar>
              <w:top w:w="15" w:type="dxa"/>
              <w:left w:w="15" w:type="dxa"/>
              <w:right w:w="15" w:type="dxa"/>
            </w:tcMar>
            <w:vAlign w:val="center"/>
          </w:tcPr>
          <w:p w:rsidR="638B37EC" w:rsidRPr="004215A2" w:rsidP="00D91F68" w14:paraId="55E55D9B" w14:textId="4DF470BB">
            <w:pPr>
              <w:jc w:val="center"/>
              <w:rPr>
                <w:color w:val="000000" w:themeColor="text1"/>
                <w:sz w:val="22"/>
                <w:szCs w:val="22"/>
              </w:rPr>
            </w:pPr>
            <w:r w:rsidRPr="5C516CCC">
              <w:rPr>
                <w:color w:val="000000" w:themeColor="text1"/>
                <w:sz w:val="22"/>
                <w:szCs w:val="22"/>
              </w:rPr>
              <w:t>168,898</w:t>
            </w:r>
          </w:p>
        </w:tc>
        <w:tc>
          <w:tcPr>
            <w:tcW w:w="720" w:type="dxa"/>
            <w:tcBorders>
              <w:top w:val="single" w:sz="4" w:space="0" w:color="auto"/>
              <w:left w:val="single" w:sz="4" w:space="0" w:color="auto"/>
              <w:bottom w:val="nil"/>
              <w:right w:val="single" w:sz="4" w:space="0" w:color="auto"/>
            </w:tcBorders>
            <w:shd w:val="clear" w:color="auto" w:fill="E2EFDA"/>
            <w:tcMar>
              <w:top w:w="15" w:type="dxa"/>
              <w:left w:w="15" w:type="dxa"/>
              <w:right w:w="15" w:type="dxa"/>
            </w:tcMar>
            <w:vAlign w:val="center"/>
          </w:tcPr>
          <w:p w:rsidR="638B37EC" w:rsidRPr="004215A2" w:rsidP="00D91F68" w14:paraId="74A973EE" w14:textId="66B6505A">
            <w:pPr>
              <w:jc w:val="center"/>
              <w:rPr>
                <w:sz w:val="22"/>
                <w:szCs w:val="22"/>
              </w:rPr>
            </w:pPr>
            <w:r w:rsidRPr="5C516CCC">
              <w:rPr>
                <w:sz w:val="22"/>
                <w:szCs w:val="22"/>
              </w:rPr>
              <w:t xml:space="preserve"> ---</w:t>
            </w:r>
          </w:p>
        </w:tc>
        <w:tc>
          <w:tcPr>
            <w:tcW w:w="1350" w:type="dxa"/>
            <w:tcBorders>
              <w:top w:val="single" w:sz="4" w:space="0" w:color="auto"/>
              <w:left w:val="single" w:sz="4" w:space="0" w:color="auto"/>
              <w:bottom w:val="nil"/>
              <w:right w:val="single" w:sz="4" w:space="0" w:color="auto"/>
            </w:tcBorders>
            <w:shd w:val="clear" w:color="auto" w:fill="E2EFDA"/>
            <w:tcMar>
              <w:top w:w="15" w:type="dxa"/>
              <w:left w:w="15" w:type="dxa"/>
              <w:right w:w="15" w:type="dxa"/>
            </w:tcMar>
            <w:vAlign w:val="center"/>
          </w:tcPr>
          <w:p w:rsidR="638B37EC" w:rsidRPr="004215A2" w:rsidP="00D91F68" w14:paraId="657601B1" w14:textId="3AD73D88">
            <w:pPr>
              <w:jc w:val="center"/>
              <w:rPr>
                <w:color w:val="000000" w:themeColor="text1"/>
                <w:sz w:val="22"/>
                <w:szCs w:val="22"/>
              </w:rPr>
            </w:pPr>
            <w:r w:rsidRPr="5C516CCC">
              <w:rPr>
                <w:color w:val="000000" w:themeColor="text1"/>
                <w:sz w:val="22"/>
                <w:szCs w:val="22"/>
              </w:rPr>
              <w:t>9,069,840.50</w:t>
            </w:r>
          </w:p>
        </w:tc>
      </w:tr>
      <w:tr w14:paraId="25A6540E" w14:textId="77777777" w:rsidTr="5C516CCC">
        <w:tblPrEx>
          <w:tblW w:w="9800" w:type="dxa"/>
          <w:tblLayout w:type="fixed"/>
          <w:tblLook w:val="0680"/>
        </w:tblPrEx>
        <w:trPr>
          <w:trHeight w:val="105"/>
        </w:trPr>
        <w:tc>
          <w:tcPr>
            <w:tcW w:w="9800" w:type="dxa"/>
            <w:gridSpan w:val="9"/>
            <w:tcBorders>
              <w:top w:val="single" w:sz="8" w:space="0" w:color="auto"/>
              <w:left w:val="single" w:sz="8" w:space="0" w:color="auto"/>
              <w:bottom w:val="single" w:sz="8" w:space="0" w:color="auto"/>
              <w:right w:val="single" w:sz="8" w:space="0" w:color="000000" w:themeColor="text1"/>
            </w:tcBorders>
            <w:shd w:val="clear" w:color="auto" w:fill="BFBFBF" w:themeFill="background1" w:themeFillShade="BF"/>
            <w:tcMar>
              <w:top w:w="15" w:type="dxa"/>
              <w:left w:w="15" w:type="dxa"/>
              <w:right w:w="15" w:type="dxa"/>
            </w:tcMar>
            <w:vAlign w:val="center"/>
          </w:tcPr>
          <w:p w:rsidR="638B37EC" w:rsidP="00D91F68" w14:paraId="4AED392B" w14:textId="27B44A2D">
            <w:pPr>
              <w:jc w:val="center"/>
              <w:rPr>
                <w:color w:val="000000" w:themeColor="text1"/>
                <w:sz w:val="24"/>
                <w:szCs w:val="24"/>
              </w:rPr>
            </w:pPr>
            <w:r w:rsidRPr="5C516CCC">
              <w:rPr>
                <w:color w:val="000000" w:themeColor="text1"/>
                <w:sz w:val="24"/>
                <w:szCs w:val="24"/>
              </w:rPr>
              <w:t xml:space="preserve"> </w:t>
            </w:r>
          </w:p>
        </w:tc>
      </w:tr>
      <w:tr w14:paraId="6794303A" w14:textId="77777777" w:rsidTr="00CB7A14">
        <w:tblPrEx>
          <w:tblW w:w="9800" w:type="dxa"/>
          <w:tblLayout w:type="fixed"/>
          <w:tblLook w:val="0680"/>
        </w:tblPrEx>
        <w:trPr>
          <w:trHeight w:val="315"/>
        </w:trPr>
        <w:tc>
          <w:tcPr>
            <w:tcW w:w="1340" w:type="dxa"/>
            <w:tcBorders>
              <w:top w:val="single" w:sz="4" w:space="0" w:color="auto"/>
              <w:left w:val="single" w:sz="8" w:space="0" w:color="auto"/>
              <w:bottom w:val="single" w:sz="8" w:space="0" w:color="auto"/>
              <w:right w:val="single" w:sz="4" w:space="0" w:color="000000" w:themeColor="text1"/>
            </w:tcBorders>
            <w:shd w:val="clear" w:color="auto" w:fill="B4C6E7"/>
            <w:tcMar>
              <w:top w:w="15" w:type="dxa"/>
              <w:left w:w="15" w:type="dxa"/>
              <w:right w:w="15" w:type="dxa"/>
            </w:tcMar>
            <w:vAlign w:val="center"/>
          </w:tcPr>
          <w:p w:rsidR="638B37EC" w:rsidRPr="0025349E" w:rsidP="5C516CCC" w14:paraId="58A4850D" w14:textId="244D4AB8">
            <w:pPr>
              <w:jc w:val="center"/>
              <w:rPr>
                <w:b/>
                <w:bCs/>
                <w:sz w:val="22"/>
                <w:szCs w:val="22"/>
              </w:rPr>
            </w:pPr>
            <w:r w:rsidRPr="5C516CCC">
              <w:rPr>
                <w:b/>
                <w:bCs/>
                <w:sz w:val="22"/>
                <w:szCs w:val="22"/>
              </w:rPr>
              <w:t>Grand Total</w:t>
            </w:r>
          </w:p>
        </w:tc>
        <w:tc>
          <w:tcPr>
            <w:tcW w:w="1260" w:type="dxa"/>
            <w:tcBorders>
              <w:top w:val="single" w:sz="4" w:space="0" w:color="auto"/>
              <w:left w:val="single" w:sz="4" w:space="0" w:color="auto"/>
              <w:bottom w:val="single" w:sz="8" w:space="0" w:color="auto"/>
              <w:right w:val="single" w:sz="4" w:space="0" w:color="auto"/>
            </w:tcBorders>
            <w:shd w:val="clear" w:color="auto" w:fill="000000" w:themeFill="text1"/>
            <w:tcMar>
              <w:top w:w="15" w:type="dxa"/>
              <w:left w:w="15" w:type="dxa"/>
              <w:right w:w="15" w:type="dxa"/>
            </w:tcMar>
            <w:vAlign w:val="center"/>
          </w:tcPr>
          <w:p w:rsidR="638B37EC" w:rsidRPr="0025349E" w:rsidP="5C516CCC" w14:paraId="7016E7C1" w14:textId="66BA0710">
            <w:pPr>
              <w:jc w:val="center"/>
              <w:rPr>
                <w:b/>
                <w:bCs/>
                <w:sz w:val="22"/>
                <w:szCs w:val="22"/>
              </w:rPr>
            </w:pPr>
          </w:p>
        </w:tc>
        <w:tc>
          <w:tcPr>
            <w:tcW w:w="1170" w:type="dxa"/>
            <w:tcBorders>
              <w:top w:val="single" w:sz="4" w:space="0" w:color="auto"/>
              <w:left w:val="single" w:sz="4" w:space="0" w:color="auto"/>
              <w:bottom w:val="single" w:sz="8" w:space="0" w:color="auto"/>
              <w:right w:val="single" w:sz="4" w:space="0" w:color="auto"/>
            </w:tcBorders>
            <w:shd w:val="clear" w:color="auto" w:fill="B4C6E7"/>
            <w:tcMar>
              <w:top w:w="15" w:type="dxa"/>
              <w:left w:w="15" w:type="dxa"/>
              <w:right w:w="15" w:type="dxa"/>
            </w:tcMar>
            <w:vAlign w:val="center"/>
          </w:tcPr>
          <w:p w:rsidR="638B37EC" w:rsidRPr="0025349E" w:rsidP="5C516CCC" w14:paraId="205CF1E6" w14:textId="3F455F02">
            <w:pPr>
              <w:jc w:val="center"/>
              <w:rPr>
                <w:b/>
                <w:bCs/>
                <w:sz w:val="22"/>
                <w:szCs w:val="22"/>
              </w:rPr>
            </w:pPr>
            <w:r w:rsidRPr="00CB7A14">
              <w:rPr>
                <w:b/>
                <w:bCs/>
                <w:sz w:val="22"/>
                <w:szCs w:val="22"/>
              </w:rPr>
              <w:t>27,186</w:t>
            </w:r>
            <w:r>
              <w:rPr>
                <w:b/>
                <w:bCs/>
                <w:sz w:val="22"/>
                <w:szCs w:val="22"/>
              </w:rPr>
              <w:t>*</w:t>
            </w:r>
          </w:p>
        </w:tc>
        <w:tc>
          <w:tcPr>
            <w:tcW w:w="1080" w:type="dxa"/>
            <w:tcBorders>
              <w:top w:val="single" w:sz="4" w:space="0" w:color="auto"/>
              <w:left w:val="single" w:sz="4" w:space="0" w:color="auto"/>
              <w:bottom w:val="single" w:sz="8" w:space="0" w:color="auto"/>
              <w:right w:val="single" w:sz="4" w:space="0" w:color="auto"/>
            </w:tcBorders>
            <w:shd w:val="clear" w:color="auto" w:fill="000000" w:themeFill="text1"/>
            <w:tcMar>
              <w:top w:w="15" w:type="dxa"/>
              <w:left w:w="15" w:type="dxa"/>
              <w:right w:w="15" w:type="dxa"/>
            </w:tcMar>
            <w:vAlign w:val="center"/>
          </w:tcPr>
          <w:p w:rsidR="638B37EC" w:rsidRPr="0025349E" w:rsidP="5C516CCC" w14:paraId="0DB0B1E8" w14:textId="6769F3C7">
            <w:pPr>
              <w:jc w:val="center"/>
              <w:rPr>
                <w:b/>
                <w:bCs/>
                <w:sz w:val="22"/>
                <w:szCs w:val="22"/>
              </w:rPr>
            </w:pPr>
            <w:r w:rsidRPr="5C516CCC">
              <w:rPr>
                <w:b/>
                <w:bCs/>
                <w:sz w:val="22"/>
                <w:szCs w:val="22"/>
              </w:rPr>
              <w:t xml:space="preserve"> </w:t>
            </w:r>
          </w:p>
        </w:tc>
        <w:tc>
          <w:tcPr>
            <w:tcW w:w="990" w:type="dxa"/>
            <w:tcBorders>
              <w:top w:val="single" w:sz="4" w:space="0" w:color="auto"/>
              <w:left w:val="single" w:sz="4" w:space="0" w:color="auto"/>
              <w:bottom w:val="single" w:sz="8" w:space="0" w:color="auto"/>
              <w:right w:val="single" w:sz="4" w:space="0" w:color="auto"/>
            </w:tcBorders>
            <w:shd w:val="clear" w:color="auto" w:fill="B4C6E7"/>
            <w:tcMar>
              <w:top w:w="15" w:type="dxa"/>
              <w:left w:w="15" w:type="dxa"/>
              <w:right w:w="15" w:type="dxa"/>
            </w:tcMar>
            <w:vAlign w:val="center"/>
          </w:tcPr>
          <w:p w:rsidR="638B37EC" w:rsidRPr="0025349E" w:rsidP="5C516CCC" w14:paraId="0BF851EA" w14:textId="0ED074C7">
            <w:pPr>
              <w:jc w:val="center"/>
              <w:rPr>
                <w:b/>
                <w:bCs/>
                <w:sz w:val="22"/>
                <w:szCs w:val="22"/>
              </w:rPr>
            </w:pPr>
            <w:r w:rsidRPr="5C516CCC">
              <w:rPr>
                <w:b/>
                <w:bCs/>
                <w:sz w:val="22"/>
                <w:szCs w:val="22"/>
              </w:rPr>
              <w:t>1,399,634</w:t>
            </w:r>
          </w:p>
        </w:tc>
        <w:tc>
          <w:tcPr>
            <w:tcW w:w="1080" w:type="dxa"/>
            <w:tcBorders>
              <w:top w:val="single" w:sz="4" w:space="0" w:color="auto"/>
              <w:left w:val="single" w:sz="4" w:space="0" w:color="auto"/>
              <w:bottom w:val="single" w:sz="8" w:space="0" w:color="auto"/>
              <w:right w:val="single" w:sz="4" w:space="0" w:color="auto"/>
            </w:tcBorders>
            <w:shd w:val="clear" w:color="auto" w:fill="000000" w:themeFill="text1"/>
            <w:tcMar>
              <w:top w:w="15" w:type="dxa"/>
              <w:left w:w="15" w:type="dxa"/>
              <w:right w:w="15" w:type="dxa"/>
            </w:tcMar>
            <w:vAlign w:val="center"/>
          </w:tcPr>
          <w:p w:rsidR="638B37EC" w:rsidRPr="0025349E" w:rsidP="5C516CCC" w14:paraId="4F54D9A3" w14:textId="4DF4F89C">
            <w:pPr>
              <w:jc w:val="center"/>
              <w:rPr>
                <w:b/>
                <w:bCs/>
                <w:sz w:val="22"/>
                <w:szCs w:val="22"/>
              </w:rPr>
            </w:pPr>
          </w:p>
        </w:tc>
        <w:tc>
          <w:tcPr>
            <w:tcW w:w="810" w:type="dxa"/>
            <w:tcBorders>
              <w:top w:val="single" w:sz="4" w:space="0" w:color="auto"/>
              <w:left w:val="single" w:sz="4" w:space="0" w:color="auto"/>
              <w:bottom w:val="single" w:sz="8" w:space="0" w:color="auto"/>
              <w:right w:val="single" w:sz="4" w:space="0" w:color="auto"/>
            </w:tcBorders>
            <w:shd w:val="clear" w:color="auto" w:fill="B4C6E7"/>
            <w:tcMar>
              <w:top w:w="15" w:type="dxa"/>
              <w:left w:w="15" w:type="dxa"/>
              <w:right w:w="15" w:type="dxa"/>
            </w:tcMar>
            <w:vAlign w:val="center"/>
          </w:tcPr>
          <w:p w:rsidR="638B37EC" w:rsidRPr="0025349E" w:rsidP="5C516CCC" w14:paraId="3D842EE7" w14:textId="300C36AF">
            <w:pPr>
              <w:jc w:val="center"/>
              <w:rPr>
                <w:b/>
                <w:bCs/>
                <w:sz w:val="22"/>
                <w:szCs w:val="22"/>
              </w:rPr>
            </w:pPr>
            <w:r w:rsidRPr="5C516CCC">
              <w:rPr>
                <w:b/>
                <w:bCs/>
                <w:sz w:val="22"/>
                <w:szCs w:val="22"/>
              </w:rPr>
              <w:t>251,002</w:t>
            </w:r>
          </w:p>
        </w:tc>
        <w:tc>
          <w:tcPr>
            <w:tcW w:w="720" w:type="dxa"/>
            <w:tcBorders>
              <w:top w:val="single" w:sz="4" w:space="0" w:color="auto"/>
              <w:left w:val="single" w:sz="4" w:space="0" w:color="auto"/>
              <w:bottom w:val="single" w:sz="8" w:space="0" w:color="auto"/>
              <w:right w:val="single" w:sz="4" w:space="0" w:color="auto"/>
            </w:tcBorders>
            <w:shd w:val="clear" w:color="auto" w:fill="000000" w:themeFill="text1"/>
            <w:tcMar>
              <w:top w:w="15" w:type="dxa"/>
              <w:left w:w="15" w:type="dxa"/>
              <w:right w:w="15" w:type="dxa"/>
            </w:tcMar>
            <w:vAlign w:val="center"/>
          </w:tcPr>
          <w:p w:rsidR="638B37EC" w:rsidRPr="0025349E" w:rsidP="5C516CCC" w14:paraId="26FED355" w14:textId="49F24732">
            <w:pPr>
              <w:jc w:val="center"/>
              <w:rPr>
                <w:b/>
                <w:bCs/>
                <w:sz w:val="22"/>
                <w:szCs w:val="22"/>
              </w:rPr>
            </w:pPr>
          </w:p>
        </w:tc>
        <w:tc>
          <w:tcPr>
            <w:tcW w:w="1350" w:type="dxa"/>
            <w:tcBorders>
              <w:top w:val="single" w:sz="4" w:space="0" w:color="auto"/>
              <w:left w:val="single" w:sz="4" w:space="0" w:color="auto"/>
              <w:bottom w:val="single" w:sz="8" w:space="0" w:color="auto"/>
              <w:right w:val="single" w:sz="4" w:space="0" w:color="000000" w:themeColor="text1"/>
            </w:tcBorders>
            <w:shd w:val="clear" w:color="auto" w:fill="B4C6E7"/>
            <w:tcMar>
              <w:top w:w="15" w:type="dxa"/>
              <w:left w:w="15" w:type="dxa"/>
              <w:right w:w="15" w:type="dxa"/>
            </w:tcMar>
            <w:vAlign w:val="center"/>
          </w:tcPr>
          <w:p w:rsidR="638B37EC" w:rsidRPr="0025349E" w:rsidP="5C516CCC" w14:paraId="3F1089F9" w14:textId="04866BC4">
            <w:pPr>
              <w:jc w:val="center"/>
              <w:rPr>
                <w:b/>
                <w:bCs/>
                <w:sz w:val="22"/>
                <w:szCs w:val="22"/>
              </w:rPr>
            </w:pPr>
            <w:r w:rsidRPr="5C516CCC">
              <w:rPr>
                <w:b/>
                <w:bCs/>
                <w:sz w:val="22"/>
                <w:szCs w:val="22"/>
              </w:rPr>
              <w:t>$13,478,807</w:t>
            </w:r>
            <w:r w:rsidRPr="5C516CCC" w:rsidR="748DC023">
              <w:rPr>
                <w:b/>
                <w:bCs/>
                <w:sz w:val="22"/>
                <w:szCs w:val="22"/>
              </w:rPr>
              <w:t xml:space="preserve"> (rounded)</w:t>
            </w:r>
          </w:p>
        </w:tc>
      </w:tr>
    </w:tbl>
    <w:p w:rsidR="638B37EC" w:rsidP="638B37EC" w14:paraId="3E74AC31" w14:textId="14FB79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w:t>
      </w:r>
      <w:r>
        <w:rPr>
          <w:rFonts w:ascii="Times New Roman" w:eastAsia="Times New Roman" w:hAnsi="Times New Roman" w:cs="Times New Roman"/>
          <w:sz w:val="24"/>
          <w:szCs w:val="24"/>
        </w:rPr>
        <w:t>cululative</w:t>
      </w:r>
    </w:p>
    <w:p w:rsidR="638B37EC" w14:paraId="4F922035" w14:textId="33933E6C">
      <w:r>
        <w:br w:type="page"/>
      </w:r>
    </w:p>
    <w:p w:rsidR="00BF576C" w:rsidRPr="00723CBD" w:rsidP="00BF576C" w14:paraId="1A3A0087" w14:textId="77777777">
      <w:pPr>
        <w:widowControl w:val="0"/>
        <w:tabs>
          <w:tab w:val="left" w:pos="180"/>
        </w:tabs>
        <w:autoSpaceDE w:val="0"/>
        <w:autoSpaceDN w:val="0"/>
        <w:adjustRightInd w:val="0"/>
        <w:spacing w:after="0" w:line="240" w:lineRule="auto"/>
        <w:rPr>
          <w:rFonts w:ascii="Times New Roman" w:eastAsia="Times New Roman" w:hAnsi="Times New Roman" w:cs="Times New Roman"/>
          <w:b/>
          <w:bCs/>
          <w:sz w:val="24"/>
          <w:szCs w:val="24"/>
        </w:rPr>
      </w:pPr>
    </w:p>
    <w:p w:rsidR="00BF576C" w:rsidRPr="00723CBD" w:rsidP="00D91F68" w14:paraId="3E32EE5F" w14:textId="69A92B29">
      <w:pPr>
        <w:pStyle w:val="ListParagraph"/>
        <w:widowControl w:val="0"/>
        <w:numPr>
          <w:ilvl w:val="0"/>
          <w:numId w:val="13"/>
        </w:numPr>
        <w:tabs>
          <w:tab w:val="left" w:pos="180"/>
        </w:tabs>
        <w:autoSpaceDE w:val="0"/>
        <w:autoSpaceDN w:val="0"/>
        <w:adjustRightInd w:val="0"/>
        <w:spacing w:after="0" w:line="240" w:lineRule="auto"/>
        <w:rPr>
          <w:rFonts w:ascii="Times New Roman" w:eastAsia="Times New Roman" w:hAnsi="Times New Roman" w:cs="Times New Roman"/>
          <w:b/>
          <w:bCs/>
          <w:sz w:val="24"/>
          <w:szCs w:val="24"/>
        </w:rPr>
      </w:pPr>
      <w:r w:rsidRPr="638B37EC">
        <w:rPr>
          <w:rFonts w:ascii="Times New Roman" w:eastAsia="Times New Roman" w:hAnsi="Times New Roman" w:cs="Times New Roman"/>
          <w:b/>
          <w:bCs/>
          <w:sz w:val="24"/>
          <w:szCs w:val="24"/>
        </w:rPr>
        <w:t>Provide an estimate of the total annual cost burden to respondents or recordkeepers resulting from the collection of information.  (Do not include the cost of any hour burden shown in Items 12 and 14).</w:t>
      </w:r>
    </w:p>
    <w:p w:rsidR="00BF576C" w:rsidRPr="00723CBD" w:rsidP="00BF576C" w14:paraId="42EF763F"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BF576C" w:rsidRPr="00723CBD" w:rsidP="00BF576C" w14:paraId="77983084" w14:textId="052D352E">
      <w:pPr>
        <w:widowControl w:val="0"/>
        <w:numPr>
          <w:ilvl w:val="0"/>
          <w:numId w:val="11"/>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466994E">
        <w:rPr>
          <w:rFonts w:ascii="Times New Roman" w:eastAsia="Times New Roman" w:hAnsi="Times New Roman" w:cs="Times New Roman"/>
          <w:b/>
          <w:bCs/>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w:t>
      </w:r>
      <w:r w:rsidRPr="0466994E">
        <w:rPr>
          <w:rFonts w:ascii="Times New Roman" w:eastAsia="Times New Roman" w:hAnsi="Times New Roman" w:cs="Times New Roman"/>
          <w:b/>
          <w:bCs/>
          <w:sz w:val="24"/>
          <w:szCs w:val="24"/>
        </w:rPr>
        <w:t>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F576C" w:rsidRPr="00723CBD" w:rsidP="00BF576C" w14:paraId="248A2BCB"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BF576C" w:rsidRPr="00847DE3" w14:paraId="2C4BAC10" w14:textId="6179C840">
      <w:pPr>
        <w:widowControl w:val="0"/>
        <w:numPr>
          <w:ilvl w:val="0"/>
          <w:numId w:val="11"/>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847DE3">
        <w:rPr>
          <w:rFonts w:ascii="Times New Roman" w:eastAsia="Times New Roman" w:hAnsi="Times New Roman" w:cs="Times New Roman"/>
          <w:b/>
          <w:b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w:t>
      </w:r>
      <w:r w:rsidRPr="00847DE3">
        <w:rPr>
          <w:rFonts w:ascii="Times New Roman" w:eastAsia="Times New Roman" w:hAnsi="Times New Roman" w:cs="Times New Roman"/>
          <w:b/>
          <w:bCs/>
          <w:sz w:val="24"/>
          <w:szCs w:val="24"/>
        </w:rPr>
        <w:t>taining the information collection, as appropriate.</w:t>
      </w:r>
    </w:p>
    <w:p w:rsidR="00BF576C" w:rsidRPr="00723CBD" w:rsidP="00BF576C" w14:paraId="6E14B6B4" w14:textId="77777777">
      <w:pPr>
        <w:widowControl w:val="0"/>
        <w:tabs>
          <w:tab w:val="left" w:pos="1440"/>
        </w:tabs>
        <w:autoSpaceDE w:val="0"/>
        <w:autoSpaceDN w:val="0"/>
        <w:adjustRightInd w:val="0"/>
        <w:spacing w:after="0" w:line="240" w:lineRule="auto"/>
        <w:ind w:left="720"/>
        <w:rPr>
          <w:rFonts w:ascii="Times New Roman" w:eastAsia="Times New Roman" w:hAnsi="Times New Roman" w:cs="Times New Roman"/>
          <w:b/>
          <w:bCs/>
          <w:sz w:val="24"/>
          <w:szCs w:val="24"/>
        </w:rPr>
      </w:pPr>
    </w:p>
    <w:p w:rsidR="00BF576C" w:rsidRPr="00723CBD" w:rsidP="00BF576C" w14:paraId="2BB20FE0" w14:textId="77777777">
      <w:pPr>
        <w:widowControl w:val="0"/>
        <w:numPr>
          <w:ilvl w:val="0"/>
          <w:numId w:val="11"/>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723CBD">
        <w:rPr>
          <w:rFonts w:ascii="Times New Roman" w:eastAsia="Times New Roman" w:hAnsi="Times New Roman" w:cs="Times New Roman"/>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F576C" w:rsidRPr="00723CBD" w:rsidP="00BF576C" w14:paraId="6917E135"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p>
    <w:p w:rsidR="00BF576C" w:rsidRPr="00F45D26" w:rsidP="638B37EC" w14:paraId="2220984F" w14:textId="48ABBC23">
      <w:pPr>
        <w:autoSpaceDE w:val="0"/>
        <w:autoSpaceDN w:val="0"/>
        <w:adjustRightInd w:val="0"/>
        <w:spacing w:after="0" w:line="240" w:lineRule="auto"/>
        <w:rPr>
          <w:rFonts w:ascii="Times New Roman" w:eastAsia="Times New Roman" w:hAnsi="Times New Roman" w:cs="Times New Roman"/>
          <w:b/>
          <w:bCs/>
          <w:sz w:val="24"/>
          <w:szCs w:val="24"/>
        </w:rPr>
      </w:pPr>
      <w:r w:rsidRPr="00F45D26">
        <w:rPr>
          <w:rFonts w:ascii="Times New Roman" w:eastAsia="Times New Roman" w:hAnsi="Times New Roman" w:cs="Times New Roman"/>
          <w:b/>
          <w:bCs/>
          <w:sz w:val="24"/>
          <w:szCs w:val="24"/>
        </w:rPr>
        <w:t>Cost Determinations</w:t>
      </w:r>
    </w:p>
    <w:p w:rsidR="009A1543" w:rsidRPr="00F45D26" w:rsidP="638B37EC" w14:paraId="3D7A7E35"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9A1543" w:rsidRPr="00F45D26" w:rsidP="638B37EC" w14:paraId="6FB915C8" w14:textId="506B9E8E">
      <w:pPr>
        <w:autoSpaceDE w:val="0"/>
        <w:autoSpaceDN w:val="0"/>
        <w:adjustRightInd w:val="0"/>
        <w:spacing w:after="0" w:line="240" w:lineRule="auto"/>
        <w:rPr>
          <w:rFonts w:ascii="Times New Roman" w:eastAsia="Times New Roman" w:hAnsi="Times New Roman" w:cs="Times New Roman"/>
          <w:b/>
          <w:bCs/>
          <w:sz w:val="24"/>
          <w:szCs w:val="24"/>
        </w:rPr>
      </w:pPr>
      <w:r w:rsidRPr="00F45D26">
        <w:rPr>
          <w:rFonts w:ascii="Times New Roman" w:eastAsia="Times New Roman" w:hAnsi="Times New Roman" w:cs="Times New Roman"/>
          <w:b/>
          <w:bCs/>
          <w:sz w:val="24"/>
          <w:szCs w:val="24"/>
        </w:rPr>
        <w:t>Medical Exams</w:t>
      </w:r>
    </w:p>
    <w:p w:rsidR="00BF576C" w:rsidRPr="00723CBD" w:rsidP="00BF576C" w14:paraId="5427B07A" w14:textId="284FB811">
      <w:pPr>
        <w:autoSpaceDE w:val="0"/>
        <w:autoSpaceDN w:val="0"/>
        <w:adjustRightInd w:val="0"/>
        <w:spacing w:after="0" w:line="240" w:lineRule="auto"/>
        <w:rPr>
          <w:rFonts w:ascii="Times New Roman" w:eastAsia="Times New Roman" w:hAnsi="Times New Roman" w:cs="Times New Roman"/>
          <w:sz w:val="24"/>
          <w:szCs w:val="24"/>
        </w:rPr>
      </w:pPr>
      <w:r w:rsidRPr="638B37EC">
        <w:rPr>
          <w:rFonts w:ascii="Times New Roman" w:eastAsia="Times New Roman" w:hAnsi="Times New Roman" w:cs="Times New Roman"/>
          <w:sz w:val="24"/>
          <w:szCs w:val="24"/>
        </w:rPr>
        <w:t>Medical exams cost $1</w:t>
      </w:r>
      <w:r w:rsidRPr="638B37EC" w:rsidR="1742346A">
        <w:rPr>
          <w:rFonts w:ascii="Times New Roman" w:eastAsia="Times New Roman" w:hAnsi="Times New Roman" w:cs="Times New Roman"/>
          <w:sz w:val="24"/>
          <w:szCs w:val="24"/>
        </w:rPr>
        <w:t>93</w:t>
      </w:r>
      <w:r w:rsidRPr="638B37EC">
        <w:rPr>
          <w:rFonts w:ascii="Times New Roman" w:eastAsia="Times New Roman" w:hAnsi="Times New Roman" w:cs="Times New Roman"/>
          <w:sz w:val="24"/>
          <w:szCs w:val="24"/>
        </w:rPr>
        <w:t xml:space="preserve"> each. OSHA estimates that </w:t>
      </w:r>
      <w:r w:rsidRPr="638B37EC" w:rsidR="37EFC1D1">
        <w:rPr>
          <w:rFonts w:ascii="Times New Roman" w:eastAsia="Times New Roman" w:hAnsi="Times New Roman" w:cs="Times New Roman"/>
          <w:sz w:val="24"/>
          <w:szCs w:val="24"/>
        </w:rPr>
        <w:t xml:space="preserve">all </w:t>
      </w:r>
      <w:r w:rsidRPr="638B37EC">
        <w:rPr>
          <w:rFonts w:ascii="Times New Roman" w:eastAsia="Times New Roman" w:hAnsi="Times New Roman" w:cs="Times New Roman"/>
          <w:sz w:val="24"/>
          <w:szCs w:val="24"/>
        </w:rPr>
        <w:t xml:space="preserve">workers will receive annual medical exams. </w:t>
      </w:r>
    </w:p>
    <w:p w:rsidR="00BF576C" w:rsidRPr="00723CBD" w:rsidP="00BF576C" w14:paraId="11AA2CB0"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554E9B" w14:paraId="488112C9" w14:textId="32E5DE7B">
      <w:pPr>
        <w:autoSpaceDE w:val="0"/>
        <w:autoSpaceDN w:val="0"/>
        <w:adjustRightInd w:val="0"/>
        <w:spacing w:after="0" w:line="240" w:lineRule="auto"/>
        <w:ind w:firstLine="720"/>
        <w:rPr>
          <w:rFonts w:ascii="Times New Roman" w:eastAsia="Times New Roman" w:hAnsi="Times New Roman" w:cs="Times New Roman"/>
          <w:sz w:val="24"/>
          <w:szCs w:val="24"/>
        </w:rPr>
      </w:pPr>
      <w:r w:rsidRPr="638B37EC">
        <w:rPr>
          <w:rFonts w:ascii="Times New Roman" w:eastAsia="Times New Roman" w:hAnsi="Times New Roman" w:cs="Times New Roman"/>
          <w:b/>
          <w:bCs/>
          <w:sz w:val="24"/>
          <w:szCs w:val="24"/>
        </w:rPr>
        <w:t>TYPE 1</w:t>
      </w:r>
      <w:r w:rsidRPr="638B37EC">
        <w:rPr>
          <w:rFonts w:ascii="Times New Roman" w:eastAsia="Times New Roman" w:hAnsi="Times New Roman" w:cs="Times New Roman"/>
          <w:sz w:val="24"/>
          <w:szCs w:val="24"/>
        </w:rPr>
        <w:t xml:space="preserve">: </w:t>
      </w:r>
      <w:r w:rsidRPr="638B37EC" w:rsidR="0020563C">
        <w:rPr>
          <w:rFonts w:ascii="Times New Roman" w:eastAsia="Times New Roman" w:hAnsi="Times New Roman" w:cs="Times New Roman"/>
          <w:sz w:val="24"/>
          <w:szCs w:val="24"/>
        </w:rPr>
        <w:t>2,76</w:t>
      </w:r>
      <w:r w:rsidRPr="638B37EC" w:rsidR="00383C82">
        <w:rPr>
          <w:rFonts w:ascii="Times New Roman" w:eastAsia="Times New Roman" w:hAnsi="Times New Roman" w:cs="Times New Roman"/>
          <w:sz w:val="24"/>
          <w:szCs w:val="24"/>
        </w:rPr>
        <w:t>5</w:t>
      </w:r>
      <w:r w:rsidRPr="638B37EC" w:rsidR="00D64E36">
        <w:rPr>
          <w:rFonts w:ascii="Times New Roman" w:eastAsia="Times New Roman" w:hAnsi="Times New Roman" w:cs="Times New Roman"/>
          <w:sz w:val="24"/>
          <w:szCs w:val="24"/>
        </w:rPr>
        <w:t xml:space="preserve"> workers</w:t>
      </w:r>
      <w:r w:rsidRPr="638B37EC" w:rsidR="7E2CC651">
        <w:rPr>
          <w:rFonts w:ascii="Times New Roman" w:eastAsia="Times New Roman" w:hAnsi="Times New Roman" w:cs="Times New Roman"/>
          <w:sz w:val="24"/>
          <w:szCs w:val="24"/>
        </w:rPr>
        <w:t xml:space="preserve"> (25% of the 11,060 total workers)</w:t>
      </w:r>
    </w:p>
    <w:p w:rsidR="00BF576C" w:rsidRPr="00723CBD" w:rsidP="00D64E36" w14:paraId="1ABA815D" w14:textId="6338B153">
      <w:pPr>
        <w:autoSpaceDE w:val="0"/>
        <w:autoSpaceDN w:val="0"/>
        <w:adjustRightInd w:val="0"/>
        <w:spacing w:after="0" w:line="240" w:lineRule="auto"/>
        <w:ind w:firstLine="720"/>
        <w:rPr>
          <w:rFonts w:ascii="Times New Roman" w:eastAsia="Times New Roman" w:hAnsi="Times New Roman" w:cs="Times New Roman"/>
          <w:sz w:val="24"/>
          <w:szCs w:val="24"/>
        </w:rPr>
      </w:pPr>
      <w:r w:rsidRPr="638B37EC">
        <w:rPr>
          <w:rFonts w:ascii="Times New Roman" w:eastAsia="Times New Roman" w:hAnsi="Times New Roman" w:cs="Times New Roman"/>
          <w:b/>
          <w:bCs/>
          <w:sz w:val="24"/>
          <w:szCs w:val="24"/>
        </w:rPr>
        <w:t>TYPE 2</w:t>
      </w:r>
      <w:r w:rsidRPr="638B37EC">
        <w:rPr>
          <w:rFonts w:ascii="Times New Roman" w:eastAsia="Times New Roman" w:hAnsi="Times New Roman" w:cs="Times New Roman"/>
          <w:sz w:val="24"/>
          <w:szCs w:val="24"/>
        </w:rPr>
        <w:t xml:space="preserve">: </w:t>
      </w:r>
      <w:r w:rsidRPr="638B37EC" w:rsidR="0020563C">
        <w:rPr>
          <w:rFonts w:ascii="Times New Roman" w:eastAsia="Times New Roman" w:hAnsi="Times New Roman" w:cs="Times New Roman"/>
          <w:sz w:val="24"/>
          <w:szCs w:val="24"/>
        </w:rPr>
        <w:t>13,766</w:t>
      </w:r>
      <w:r w:rsidRPr="638B37EC" w:rsidR="00D64E36">
        <w:rPr>
          <w:rFonts w:ascii="Times New Roman" w:eastAsia="Times New Roman" w:hAnsi="Times New Roman" w:cs="Times New Roman"/>
          <w:sz w:val="24"/>
          <w:szCs w:val="24"/>
        </w:rPr>
        <w:t xml:space="preserve"> workers</w:t>
      </w:r>
      <w:r w:rsidRPr="638B37EC" w:rsidR="501632EC">
        <w:rPr>
          <w:rFonts w:ascii="Times New Roman" w:eastAsia="Times New Roman" w:hAnsi="Times New Roman" w:cs="Times New Roman"/>
          <w:sz w:val="24"/>
          <w:szCs w:val="24"/>
        </w:rPr>
        <w:t xml:space="preserve"> (30% of the 45,885 total workers)</w:t>
      </w:r>
    </w:p>
    <w:p w:rsidR="00BF576C" w:rsidP="638B37EC" w14:paraId="7CDFD3CF" w14:textId="0600B918">
      <w:pPr>
        <w:spacing w:after="0" w:line="240" w:lineRule="auto"/>
        <w:ind w:firstLine="720"/>
        <w:rPr>
          <w:rFonts w:ascii="Times New Roman" w:eastAsia="Times New Roman" w:hAnsi="Times New Roman" w:cs="Times New Roman"/>
          <w:sz w:val="24"/>
          <w:szCs w:val="24"/>
        </w:rPr>
      </w:pPr>
      <w:r w:rsidRPr="638B37EC">
        <w:rPr>
          <w:rFonts w:ascii="Times New Roman" w:eastAsia="Times New Roman" w:hAnsi="Times New Roman" w:cs="Times New Roman"/>
          <w:b/>
          <w:bCs/>
          <w:sz w:val="24"/>
          <w:szCs w:val="24"/>
        </w:rPr>
        <w:t>TYPE 3</w:t>
      </w:r>
      <w:r w:rsidRPr="638B37EC">
        <w:rPr>
          <w:rFonts w:ascii="Times New Roman" w:eastAsia="Times New Roman" w:hAnsi="Times New Roman" w:cs="Times New Roman"/>
          <w:sz w:val="24"/>
          <w:szCs w:val="24"/>
        </w:rPr>
        <w:t xml:space="preserve">: </w:t>
      </w:r>
      <w:r w:rsidRPr="638B37EC" w:rsidR="00DF54F4">
        <w:rPr>
          <w:rFonts w:ascii="Times New Roman" w:eastAsia="Times New Roman" w:hAnsi="Times New Roman" w:cs="Times New Roman"/>
          <w:sz w:val="24"/>
          <w:szCs w:val="24"/>
        </w:rPr>
        <w:t>3</w:t>
      </w:r>
      <w:r w:rsidRPr="638B37EC" w:rsidR="00260A25">
        <w:rPr>
          <w:rFonts w:ascii="Times New Roman" w:eastAsia="Times New Roman" w:hAnsi="Times New Roman" w:cs="Times New Roman"/>
          <w:sz w:val="24"/>
          <w:szCs w:val="24"/>
        </w:rPr>
        <w:t>,</w:t>
      </w:r>
      <w:r w:rsidRPr="638B37EC" w:rsidR="00DF54F4">
        <w:rPr>
          <w:rFonts w:ascii="Times New Roman" w:eastAsia="Times New Roman" w:hAnsi="Times New Roman" w:cs="Times New Roman"/>
          <w:sz w:val="24"/>
          <w:szCs w:val="24"/>
        </w:rPr>
        <w:t xml:space="preserve">000 </w:t>
      </w:r>
      <w:r w:rsidRPr="638B37EC">
        <w:rPr>
          <w:rFonts w:ascii="Times New Roman" w:eastAsia="Times New Roman" w:hAnsi="Times New Roman" w:cs="Times New Roman"/>
          <w:sz w:val="24"/>
          <w:szCs w:val="24"/>
        </w:rPr>
        <w:t>HAZMAT workers</w:t>
      </w:r>
    </w:p>
    <w:p w:rsidR="00BF576C" w:rsidRPr="00723CBD" w:rsidP="00583A2C" w14:paraId="558571CB" w14:textId="77777777">
      <w:pPr>
        <w:autoSpaceDE w:val="0"/>
        <w:autoSpaceDN w:val="0"/>
        <w:adjustRightInd w:val="0"/>
        <w:spacing w:after="0" w:line="240" w:lineRule="auto"/>
        <w:ind w:firstLine="720"/>
        <w:rPr>
          <w:rFonts w:ascii="Times New Roman" w:eastAsia="Times New Roman" w:hAnsi="Times New Roman" w:cs="Times New Roman"/>
          <w:sz w:val="24"/>
          <w:szCs w:val="24"/>
        </w:rPr>
      </w:pPr>
      <w:r w:rsidRPr="00723CBD">
        <w:rPr>
          <w:rFonts w:ascii="Times New Roman" w:eastAsia="Times New Roman" w:hAnsi="Times New Roman" w:cs="Times New Roman"/>
          <w:sz w:val="24"/>
          <w:szCs w:val="24"/>
        </w:rPr>
        <w:t xml:space="preserve"> </w:t>
      </w:r>
    </w:p>
    <w:p w:rsidR="00BF576C" w:rsidRPr="00723CBD" w:rsidP="00384C34" w14:paraId="7B6B65D7" w14:textId="26435CA0">
      <w:pPr>
        <w:autoSpaceDE w:val="0"/>
        <w:autoSpaceDN w:val="0"/>
        <w:adjustRightInd w:val="0"/>
        <w:spacing w:after="0" w:line="240" w:lineRule="auto"/>
        <w:rPr>
          <w:rFonts w:ascii="Times New Roman" w:eastAsia="Times New Roman" w:hAnsi="Times New Roman" w:cs="Times New Roman"/>
          <w:sz w:val="24"/>
          <w:szCs w:val="24"/>
        </w:rPr>
      </w:pPr>
      <w:r w:rsidRPr="638B37EC">
        <w:rPr>
          <w:rFonts w:ascii="Times New Roman" w:eastAsia="Times New Roman" w:hAnsi="Times New Roman" w:cs="Times New Roman"/>
          <w:sz w:val="24"/>
          <w:szCs w:val="24"/>
        </w:rPr>
        <w:t xml:space="preserve">  </w:t>
      </w:r>
      <w:r w:rsidRPr="00D91F68">
        <w:rPr>
          <w:rFonts w:ascii="Times New Roman" w:eastAsia="Times New Roman" w:hAnsi="Times New Roman" w:cs="Times New Roman"/>
          <w:b/>
          <w:bCs/>
          <w:sz w:val="24"/>
          <w:szCs w:val="24"/>
        </w:rPr>
        <w:t xml:space="preserve">          Cost: </w:t>
      </w:r>
      <w:r w:rsidRPr="00D91F68" w:rsidR="74A131A6">
        <w:rPr>
          <w:rFonts w:ascii="Times New Roman" w:eastAsia="Times New Roman" w:hAnsi="Times New Roman" w:cs="Times New Roman"/>
          <w:b/>
          <w:bCs/>
          <w:sz w:val="24"/>
          <w:szCs w:val="24"/>
        </w:rPr>
        <w:t>(2,765 + 13,766 + 3,000)</w:t>
      </w:r>
      <w:r w:rsidRPr="00D91F68" w:rsidR="00D64E36">
        <w:rPr>
          <w:rFonts w:ascii="Times New Roman" w:eastAsia="Times New Roman" w:hAnsi="Times New Roman" w:cs="Times New Roman"/>
          <w:b/>
          <w:bCs/>
          <w:sz w:val="24"/>
          <w:szCs w:val="24"/>
        </w:rPr>
        <w:t xml:space="preserve"> </w:t>
      </w:r>
      <w:r w:rsidRPr="00D91F68">
        <w:rPr>
          <w:rFonts w:ascii="Times New Roman" w:eastAsia="Times New Roman" w:hAnsi="Times New Roman" w:cs="Times New Roman"/>
          <w:b/>
          <w:bCs/>
          <w:sz w:val="24"/>
          <w:szCs w:val="24"/>
        </w:rPr>
        <w:t>workers × $</w:t>
      </w:r>
      <w:r w:rsidRPr="00D91F68" w:rsidR="008D3BDF">
        <w:rPr>
          <w:rFonts w:ascii="Times New Roman" w:eastAsia="Times New Roman" w:hAnsi="Times New Roman" w:cs="Times New Roman"/>
          <w:b/>
          <w:bCs/>
          <w:sz w:val="24"/>
          <w:szCs w:val="24"/>
        </w:rPr>
        <w:t>19</w:t>
      </w:r>
      <w:r w:rsidRPr="00D91F68" w:rsidR="00315D87">
        <w:rPr>
          <w:rFonts w:ascii="Times New Roman" w:eastAsia="Times New Roman" w:hAnsi="Times New Roman" w:cs="Times New Roman"/>
          <w:b/>
          <w:bCs/>
          <w:sz w:val="24"/>
          <w:szCs w:val="24"/>
        </w:rPr>
        <w:t>3</w:t>
      </w:r>
      <w:r w:rsidRPr="00D91F68" w:rsidR="629AF25E">
        <w:rPr>
          <w:rFonts w:ascii="Times New Roman" w:eastAsia="Times New Roman" w:hAnsi="Times New Roman" w:cs="Times New Roman"/>
          <w:b/>
          <w:bCs/>
          <w:sz w:val="24"/>
          <w:szCs w:val="24"/>
        </w:rPr>
        <w:t xml:space="preserve"> per </w:t>
      </w:r>
      <w:r w:rsidRPr="00D91F68">
        <w:rPr>
          <w:rFonts w:ascii="Times New Roman" w:eastAsia="Times New Roman" w:hAnsi="Times New Roman" w:cs="Times New Roman"/>
          <w:b/>
          <w:bCs/>
          <w:sz w:val="24"/>
          <w:szCs w:val="24"/>
        </w:rPr>
        <w:t>exam = $</w:t>
      </w:r>
      <w:r w:rsidRPr="00D91F68" w:rsidR="0020563C">
        <w:rPr>
          <w:rFonts w:ascii="Times New Roman" w:eastAsia="Times New Roman" w:hAnsi="Times New Roman" w:cs="Times New Roman"/>
          <w:b/>
          <w:bCs/>
          <w:sz w:val="24"/>
          <w:szCs w:val="24"/>
        </w:rPr>
        <w:t>3,</w:t>
      </w:r>
      <w:r w:rsidRPr="00D91F68" w:rsidR="002A7FF7">
        <w:rPr>
          <w:rFonts w:ascii="Times New Roman" w:eastAsia="Times New Roman" w:hAnsi="Times New Roman" w:cs="Times New Roman"/>
          <w:b/>
          <w:bCs/>
          <w:sz w:val="24"/>
          <w:szCs w:val="24"/>
        </w:rPr>
        <w:t>769,</w:t>
      </w:r>
      <w:r w:rsidRPr="00D91F68" w:rsidR="00BD61D9">
        <w:rPr>
          <w:rFonts w:ascii="Times New Roman" w:eastAsia="Times New Roman" w:hAnsi="Times New Roman" w:cs="Times New Roman"/>
          <w:b/>
          <w:bCs/>
          <w:sz w:val="24"/>
          <w:szCs w:val="24"/>
        </w:rPr>
        <w:t>483</w:t>
      </w:r>
      <w:r w:rsidRPr="00D91F68" w:rsidR="00364C26">
        <w:rPr>
          <w:rFonts w:ascii="Times New Roman" w:eastAsia="Times New Roman" w:hAnsi="Times New Roman" w:cs="Times New Roman"/>
          <w:b/>
          <w:bCs/>
          <w:sz w:val="24"/>
          <w:szCs w:val="24"/>
        </w:rPr>
        <w:t xml:space="preserve"> </w:t>
      </w:r>
    </w:p>
    <w:p w:rsidR="00BF576C" w:rsidRPr="00723CBD" w:rsidP="00BF576C" w14:paraId="622EE2CA" w14:textId="77777777">
      <w:pPr>
        <w:autoSpaceDE w:val="0"/>
        <w:autoSpaceDN w:val="0"/>
        <w:adjustRightInd w:val="0"/>
        <w:spacing w:after="0" w:line="240" w:lineRule="auto"/>
        <w:rPr>
          <w:rFonts w:ascii="Times New Roman" w:eastAsia="Times New Roman" w:hAnsi="Times New Roman" w:cs="Times New Roman"/>
          <w:sz w:val="24"/>
          <w:szCs w:val="24"/>
        </w:rPr>
      </w:pPr>
    </w:p>
    <w:p w:rsidR="000929BA" w:rsidRPr="00723CBD" w:rsidP="00BF576C" w14:paraId="5C8BBD38" w14:textId="0205F5BB">
      <w:pPr>
        <w:autoSpaceDE w:val="0"/>
        <w:autoSpaceDN w:val="0"/>
        <w:adjustRightInd w:val="0"/>
        <w:spacing w:after="0" w:line="240" w:lineRule="auto"/>
        <w:rPr>
          <w:rFonts w:ascii="Times New Roman" w:eastAsia="Times New Roman" w:hAnsi="Times New Roman" w:cs="Times New Roman"/>
          <w:sz w:val="24"/>
          <w:szCs w:val="24"/>
        </w:rPr>
      </w:pPr>
      <w:r w:rsidRPr="0466994E">
        <w:rPr>
          <w:rFonts w:ascii="Times New Roman" w:eastAsia="Times New Roman" w:hAnsi="Times New Roman" w:cs="Times New Roman"/>
          <w:b/>
          <w:bCs/>
          <w:sz w:val="24"/>
          <w:szCs w:val="24"/>
        </w:rPr>
        <w:t xml:space="preserve">14. </w:t>
      </w:r>
      <w:r w:rsidRPr="0466994E" w:rsidR="00BF576C">
        <w:rPr>
          <w:rFonts w:ascii="Times New Roman" w:eastAsia="Times New Roman" w:hAnsi="Times New Roman" w:cs="Times New Roman"/>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929BA" w:rsidRPr="00723CBD" w:rsidP="00BF576C" w14:paraId="0F0EDB02"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466994E" w14:paraId="1B385655" w14:textId="55E1058A">
      <w:pPr>
        <w:autoSpaceDE w:val="0"/>
        <w:autoSpaceDN w:val="0"/>
        <w:adjustRightInd w:val="0"/>
        <w:spacing w:after="0" w:line="240" w:lineRule="auto"/>
        <w:rPr>
          <w:rStyle w:val="normaltextrun"/>
          <w:rFonts w:ascii="Times New Roman" w:eastAsia="Times New Roman" w:hAnsi="Times New Roman" w:cs="Times New Roman"/>
          <w:color w:val="000000" w:themeColor="text1"/>
          <w:sz w:val="24"/>
          <w:szCs w:val="24"/>
        </w:rPr>
      </w:pPr>
      <w:r w:rsidRPr="0466994E">
        <w:rPr>
          <w:rStyle w:val="normaltextrun"/>
          <w:rFonts w:ascii="Times New Roman" w:eastAsia="Times New Roman" w:hAnsi="Times New Roman" w:cs="Times New Roman"/>
          <w:color w:val="000000" w:themeColor="text1"/>
          <w:sz w:val="24"/>
          <w:szCs w:val="24"/>
        </w:rPr>
        <w:t>There are no costs to the Federal government associated with this information collection request. The agency has no annualized costs associated with enforcing the standard. OSHA would only review records in the context of an investigation of a particular employer to determine compliance with the standard. These activities are outside the scope of the PRA (</w:t>
      </w:r>
      <w:r w:rsidRPr="0466994E">
        <w:rPr>
          <w:rStyle w:val="normaltextrun"/>
          <w:rFonts w:ascii="Times New Roman" w:eastAsia="Times New Roman" w:hAnsi="Times New Roman" w:cs="Times New Roman"/>
          <w:i/>
          <w:iCs/>
          <w:color w:val="000000" w:themeColor="text1"/>
          <w:sz w:val="24"/>
          <w:szCs w:val="24"/>
        </w:rPr>
        <w:t xml:space="preserve">See </w:t>
      </w:r>
      <w:r w:rsidRPr="0466994E">
        <w:rPr>
          <w:rStyle w:val="normaltextrun"/>
          <w:rFonts w:ascii="Times New Roman" w:eastAsia="Times New Roman" w:hAnsi="Times New Roman" w:cs="Times New Roman"/>
          <w:color w:val="000000" w:themeColor="text1"/>
          <w:sz w:val="24"/>
          <w:szCs w:val="24"/>
        </w:rPr>
        <w:t>5 CFR 1320.4(a)(2)).</w:t>
      </w:r>
    </w:p>
    <w:p w:rsidR="00BF576C" w:rsidRPr="00723CBD" w:rsidP="00BF576C" w14:paraId="21366018" w14:textId="77777777">
      <w:pPr>
        <w:autoSpaceDE w:val="0"/>
        <w:autoSpaceDN w:val="0"/>
        <w:adjustRightInd w:val="0"/>
        <w:spacing w:after="0" w:line="240" w:lineRule="auto"/>
        <w:rPr>
          <w:rFonts w:ascii="Times New Roman" w:eastAsia="Times New Roman" w:hAnsi="Times New Roman" w:cs="Times New Roman"/>
          <w:sz w:val="24"/>
          <w:szCs w:val="24"/>
        </w:rPr>
      </w:pPr>
    </w:p>
    <w:p w:rsidR="00BF576C" w:rsidRPr="00D91F68" w:rsidP="00D91F68" w14:paraId="3E113A48" w14:textId="450CBEE3">
      <w:pPr>
        <w:tabs>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D91F68">
        <w:rPr>
          <w:rFonts w:ascii="Times New Roman" w:eastAsia="Times New Roman" w:hAnsi="Times New Roman" w:cs="Times New Roman"/>
          <w:b/>
          <w:bCs/>
          <w:sz w:val="24"/>
          <w:szCs w:val="24"/>
        </w:rPr>
        <w:t xml:space="preserve">15.  </w:t>
      </w:r>
      <w:r w:rsidRPr="00D91F68">
        <w:rPr>
          <w:rFonts w:ascii="Times New Roman" w:eastAsia="Times New Roman" w:hAnsi="Times New Roman" w:cs="Times New Roman"/>
          <w:b/>
          <w:bCs/>
          <w:sz w:val="24"/>
          <w:szCs w:val="24"/>
          <w:lang w:val="en-JM"/>
        </w:rPr>
        <w:t>Explain the reasons for any program changes or adjustments.</w:t>
      </w:r>
    </w:p>
    <w:p w:rsidR="00BF576C" w:rsidRPr="00723CBD" w:rsidP="00BF576C" w14:paraId="35F5B386"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20563C" w:rsidRPr="00723CBD" w:rsidP="03B3D0F5" w14:paraId="2DF4ED94" w14:textId="5BE668B5">
      <w:p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638B37EC">
        <w:rPr>
          <w:rFonts w:ascii="Times New Roman" w:eastAsia="Times New Roman" w:hAnsi="Times New Roman" w:cs="Times New Roman"/>
          <w:sz w:val="24"/>
          <w:szCs w:val="24"/>
        </w:rPr>
        <w:t xml:space="preserve">The </w:t>
      </w:r>
      <w:r w:rsidRPr="638B37EC" w:rsidR="47D3EBD2">
        <w:rPr>
          <w:rFonts w:ascii="Times New Roman" w:eastAsia="Times New Roman" w:hAnsi="Times New Roman" w:cs="Times New Roman"/>
          <w:sz w:val="24"/>
          <w:szCs w:val="24"/>
        </w:rPr>
        <w:t>a</w:t>
      </w:r>
      <w:r w:rsidRPr="638B37EC">
        <w:rPr>
          <w:rFonts w:ascii="Times New Roman" w:eastAsia="Times New Roman" w:hAnsi="Times New Roman" w:cs="Times New Roman"/>
          <w:sz w:val="24"/>
          <w:szCs w:val="24"/>
        </w:rPr>
        <w:t xml:space="preserve">gency is requesting an adjustment decrease of </w:t>
      </w:r>
      <w:r w:rsidRPr="638B37EC" w:rsidR="009D0278">
        <w:rPr>
          <w:rFonts w:ascii="Times New Roman" w:eastAsia="Times New Roman" w:hAnsi="Times New Roman" w:cs="Times New Roman"/>
          <w:sz w:val="24"/>
          <w:szCs w:val="24"/>
        </w:rPr>
        <w:t>9,</w:t>
      </w:r>
      <w:r w:rsidRPr="638B37EC" w:rsidR="08186601">
        <w:rPr>
          <w:rFonts w:ascii="Times New Roman" w:eastAsia="Times New Roman" w:hAnsi="Times New Roman" w:cs="Times New Roman"/>
          <w:sz w:val="24"/>
          <w:szCs w:val="24"/>
        </w:rPr>
        <w:t>293</w:t>
      </w:r>
      <w:r w:rsidRPr="638B37EC">
        <w:rPr>
          <w:rFonts w:ascii="Times New Roman" w:eastAsia="Times New Roman" w:hAnsi="Times New Roman" w:cs="Times New Roman"/>
          <w:sz w:val="24"/>
          <w:szCs w:val="24"/>
        </w:rPr>
        <w:t xml:space="preserve"> burden hours from the previous submission (from </w:t>
      </w:r>
      <w:r w:rsidRPr="638B37EC" w:rsidR="003A597B">
        <w:rPr>
          <w:rFonts w:ascii="Times New Roman" w:eastAsia="Times New Roman" w:hAnsi="Times New Roman" w:cs="Times New Roman"/>
          <w:sz w:val="24"/>
          <w:szCs w:val="24"/>
        </w:rPr>
        <w:t>260,295 hours</w:t>
      </w:r>
      <w:r w:rsidRPr="638B37EC">
        <w:rPr>
          <w:rFonts w:ascii="Times New Roman" w:eastAsia="Times New Roman" w:hAnsi="Times New Roman" w:cs="Times New Roman"/>
          <w:sz w:val="24"/>
          <w:szCs w:val="24"/>
        </w:rPr>
        <w:t xml:space="preserve"> to </w:t>
      </w:r>
      <w:r w:rsidRPr="638B37EC" w:rsidR="00835F9F">
        <w:rPr>
          <w:rFonts w:ascii="Times New Roman" w:eastAsia="Times New Roman" w:hAnsi="Times New Roman" w:cs="Times New Roman"/>
          <w:sz w:val="24"/>
          <w:szCs w:val="24"/>
        </w:rPr>
        <w:t>25</w:t>
      </w:r>
      <w:r w:rsidRPr="638B37EC" w:rsidR="162BCBD6">
        <w:rPr>
          <w:rFonts w:ascii="Times New Roman" w:eastAsia="Times New Roman" w:hAnsi="Times New Roman" w:cs="Times New Roman"/>
          <w:sz w:val="24"/>
          <w:szCs w:val="24"/>
        </w:rPr>
        <w:t>1,002</w:t>
      </w:r>
      <w:r w:rsidRPr="638B37EC" w:rsidR="00986563">
        <w:rPr>
          <w:rFonts w:ascii="Times New Roman" w:eastAsia="Times New Roman" w:hAnsi="Times New Roman" w:cs="Times New Roman"/>
          <w:sz w:val="24"/>
          <w:szCs w:val="24"/>
        </w:rPr>
        <w:t xml:space="preserve"> </w:t>
      </w:r>
      <w:r w:rsidRPr="638B37EC">
        <w:rPr>
          <w:rFonts w:ascii="Times New Roman" w:eastAsia="Times New Roman" w:hAnsi="Times New Roman" w:cs="Times New Roman"/>
          <w:sz w:val="24"/>
          <w:szCs w:val="24"/>
        </w:rPr>
        <w:t xml:space="preserve">hours). This adjustment is due, primarily, to a slight decline in the number of emergency response organizations from </w:t>
      </w:r>
      <w:r w:rsidRPr="638B37EC" w:rsidR="009D0278">
        <w:rPr>
          <w:rFonts w:ascii="Times New Roman" w:eastAsia="Times New Roman" w:hAnsi="Times New Roman" w:cs="Times New Roman"/>
          <w:sz w:val="24"/>
          <w:szCs w:val="24"/>
        </w:rPr>
        <w:t>29,727</w:t>
      </w:r>
      <w:r w:rsidRPr="638B37EC">
        <w:rPr>
          <w:rFonts w:ascii="Times New Roman" w:eastAsia="Times New Roman" w:hAnsi="Times New Roman" w:cs="Times New Roman"/>
          <w:sz w:val="24"/>
          <w:szCs w:val="24"/>
        </w:rPr>
        <w:t xml:space="preserve"> to</w:t>
      </w:r>
      <w:r w:rsidRPr="638B37EC" w:rsidR="0004262E">
        <w:rPr>
          <w:rFonts w:ascii="Times New Roman" w:eastAsia="Times New Roman" w:hAnsi="Times New Roman" w:cs="Times New Roman"/>
          <w:sz w:val="24"/>
          <w:szCs w:val="24"/>
        </w:rPr>
        <w:t xml:space="preserve"> 2</w:t>
      </w:r>
      <w:r w:rsidRPr="638B37EC" w:rsidR="009D0278">
        <w:rPr>
          <w:rFonts w:ascii="Times New Roman" w:eastAsia="Times New Roman" w:hAnsi="Times New Roman" w:cs="Times New Roman"/>
          <w:sz w:val="24"/>
          <w:szCs w:val="24"/>
        </w:rPr>
        <w:t>7,186</w:t>
      </w:r>
      <w:r w:rsidRPr="638B37EC" w:rsidR="007F4A5C">
        <w:rPr>
          <w:rFonts w:ascii="Times New Roman" w:eastAsia="Times New Roman" w:hAnsi="Times New Roman" w:cs="Times New Roman"/>
          <w:sz w:val="24"/>
          <w:szCs w:val="24"/>
        </w:rPr>
        <w:t xml:space="preserve">, </w:t>
      </w:r>
      <w:r w:rsidRPr="638B37EC">
        <w:rPr>
          <w:rFonts w:ascii="Times New Roman" w:eastAsia="Times New Roman" w:hAnsi="Times New Roman" w:cs="Times New Roman"/>
          <w:sz w:val="24"/>
          <w:szCs w:val="24"/>
        </w:rPr>
        <w:t>a dec</w:t>
      </w:r>
      <w:r w:rsidRPr="638B37EC" w:rsidR="007F4A5C">
        <w:rPr>
          <w:rFonts w:ascii="Times New Roman" w:eastAsia="Times New Roman" w:hAnsi="Times New Roman" w:cs="Times New Roman"/>
          <w:sz w:val="24"/>
          <w:szCs w:val="24"/>
        </w:rPr>
        <w:t xml:space="preserve">rease </w:t>
      </w:r>
      <w:r w:rsidRPr="638B37EC">
        <w:rPr>
          <w:rFonts w:ascii="Times New Roman" w:eastAsia="Times New Roman" w:hAnsi="Times New Roman" w:cs="Times New Roman"/>
          <w:sz w:val="24"/>
          <w:szCs w:val="24"/>
        </w:rPr>
        <w:t xml:space="preserve">of </w:t>
      </w:r>
      <w:r w:rsidRPr="638B37EC" w:rsidR="00577956">
        <w:rPr>
          <w:rFonts w:ascii="Times New Roman" w:eastAsia="Times New Roman" w:hAnsi="Times New Roman" w:cs="Times New Roman"/>
          <w:sz w:val="24"/>
          <w:szCs w:val="24"/>
        </w:rPr>
        <w:t>2,541</w:t>
      </w:r>
      <w:r w:rsidRPr="638B37EC" w:rsidR="00942150">
        <w:rPr>
          <w:rFonts w:ascii="Times New Roman" w:eastAsia="Times New Roman" w:hAnsi="Times New Roman" w:cs="Times New Roman"/>
          <w:sz w:val="24"/>
          <w:szCs w:val="24"/>
        </w:rPr>
        <w:t xml:space="preserve"> organizations. </w:t>
      </w:r>
      <w:r w:rsidRPr="638B37EC" w:rsidR="00A27ABB">
        <w:rPr>
          <w:rFonts w:ascii="Times New Roman" w:eastAsia="Times New Roman" w:hAnsi="Times New Roman" w:cs="Times New Roman"/>
          <w:sz w:val="24"/>
          <w:szCs w:val="24"/>
        </w:rPr>
        <w:t>There also is a cost adjustment</w:t>
      </w:r>
      <w:r w:rsidRPr="638B37EC" w:rsidR="54D0B107">
        <w:rPr>
          <w:rFonts w:ascii="Times New Roman" w:eastAsia="Times New Roman" w:hAnsi="Times New Roman" w:cs="Times New Roman"/>
          <w:sz w:val="24"/>
          <w:szCs w:val="24"/>
        </w:rPr>
        <w:t xml:space="preserve"> increase of $46</w:t>
      </w:r>
      <w:r w:rsidRPr="638B37EC" w:rsidR="072C9B93">
        <w:rPr>
          <w:rFonts w:ascii="Times New Roman" w:eastAsia="Times New Roman" w:hAnsi="Times New Roman" w:cs="Times New Roman"/>
          <w:sz w:val="24"/>
          <w:szCs w:val="24"/>
        </w:rPr>
        <w:t>9</w:t>
      </w:r>
      <w:r w:rsidRPr="638B37EC" w:rsidR="54D0B107">
        <w:rPr>
          <w:rFonts w:ascii="Times New Roman" w:eastAsia="Times New Roman" w:hAnsi="Times New Roman" w:cs="Times New Roman"/>
          <w:sz w:val="24"/>
          <w:szCs w:val="24"/>
        </w:rPr>
        <w:t>,589</w:t>
      </w:r>
      <w:r w:rsidRPr="638B37EC" w:rsidR="00A27ABB">
        <w:rPr>
          <w:rFonts w:ascii="Times New Roman" w:eastAsia="Times New Roman" w:hAnsi="Times New Roman" w:cs="Times New Roman"/>
          <w:sz w:val="24"/>
          <w:szCs w:val="24"/>
        </w:rPr>
        <w:t xml:space="preserve"> under Item 13 </w:t>
      </w:r>
      <w:r w:rsidRPr="638B37EC" w:rsidR="342323A0">
        <w:rPr>
          <w:rFonts w:ascii="Times New Roman" w:eastAsia="Times New Roman" w:hAnsi="Times New Roman" w:cs="Times New Roman"/>
          <w:sz w:val="24"/>
          <w:szCs w:val="24"/>
        </w:rPr>
        <w:t>(</w:t>
      </w:r>
      <w:r w:rsidRPr="638B37EC" w:rsidR="00A27ABB">
        <w:rPr>
          <w:rFonts w:ascii="Times New Roman" w:eastAsia="Times New Roman" w:hAnsi="Times New Roman" w:cs="Times New Roman"/>
          <w:sz w:val="24"/>
          <w:szCs w:val="24"/>
        </w:rPr>
        <w:t>from $</w:t>
      </w:r>
      <w:r w:rsidRPr="638B37EC" w:rsidR="002B0FAF">
        <w:rPr>
          <w:rFonts w:ascii="Times New Roman" w:eastAsia="Times New Roman" w:hAnsi="Times New Roman" w:cs="Times New Roman"/>
          <w:sz w:val="24"/>
          <w:szCs w:val="24"/>
        </w:rPr>
        <w:t>3,</w:t>
      </w:r>
      <w:r w:rsidRPr="638B37EC" w:rsidR="007D20A2">
        <w:rPr>
          <w:rFonts w:ascii="Times New Roman" w:eastAsia="Times New Roman" w:hAnsi="Times New Roman" w:cs="Times New Roman"/>
          <w:sz w:val="24"/>
          <w:szCs w:val="24"/>
        </w:rPr>
        <w:t>299,894</w:t>
      </w:r>
      <w:r w:rsidRPr="638B37EC" w:rsidR="00A27ABB">
        <w:rPr>
          <w:rFonts w:ascii="Times New Roman" w:eastAsia="Times New Roman" w:hAnsi="Times New Roman" w:cs="Times New Roman"/>
          <w:sz w:val="24"/>
          <w:szCs w:val="24"/>
        </w:rPr>
        <w:t xml:space="preserve"> to $</w:t>
      </w:r>
      <w:r w:rsidRPr="638B37EC" w:rsidR="003A597B">
        <w:rPr>
          <w:rFonts w:ascii="Times New Roman" w:eastAsia="Times New Roman" w:hAnsi="Times New Roman" w:cs="Times New Roman"/>
          <w:sz w:val="24"/>
          <w:szCs w:val="24"/>
        </w:rPr>
        <w:t>3,769,483</w:t>
      </w:r>
      <w:r w:rsidRPr="638B37EC" w:rsidR="3FA73356">
        <w:rPr>
          <w:rFonts w:ascii="Times New Roman" w:eastAsia="Times New Roman" w:hAnsi="Times New Roman" w:cs="Times New Roman"/>
          <w:sz w:val="24"/>
          <w:szCs w:val="24"/>
        </w:rPr>
        <w:t>)</w:t>
      </w:r>
      <w:r w:rsidRPr="638B37EC" w:rsidR="00A27ABB">
        <w:rPr>
          <w:rFonts w:ascii="Times New Roman" w:eastAsia="Times New Roman" w:hAnsi="Times New Roman" w:cs="Times New Roman"/>
          <w:sz w:val="24"/>
          <w:szCs w:val="24"/>
        </w:rPr>
        <w:t xml:space="preserve">. The increase was due to an increase in the </w:t>
      </w:r>
      <w:r w:rsidRPr="638B37EC" w:rsidR="2EAF8808">
        <w:rPr>
          <w:rFonts w:ascii="Times New Roman" w:eastAsia="Times New Roman" w:hAnsi="Times New Roman" w:cs="Times New Roman"/>
          <w:sz w:val="24"/>
          <w:szCs w:val="24"/>
        </w:rPr>
        <w:t xml:space="preserve">individual </w:t>
      </w:r>
      <w:r w:rsidRPr="638B37EC" w:rsidR="003A597B">
        <w:rPr>
          <w:rFonts w:ascii="Times New Roman" w:eastAsia="Times New Roman" w:hAnsi="Times New Roman" w:cs="Times New Roman"/>
          <w:sz w:val="24"/>
          <w:szCs w:val="24"/>
        </w:rPr>
        <w:t>medical exam costs</w:t>
      </w:r>
      <w:r w:rsidRPr="638B37EC" w:rsidR="61986011">
        <w:rPr>
          <w:rFonts w:ascii="Times New Roman" w:eastAsia="Times New Roman" w:hAnsi="Times New Roman" w:cs="Times New Roman"/>
          <w:sz w:val="24"/>
          <w:szCs w:val="24"/>
        </w:rPr>
        <w:t>,</w:t>
      </w:r>
      <w:r w:rsidRPr="638B37EC" w:rsidR="00A27ABB">
        <w:rPr>
          <w:rFonts w:ascii="Times New Roman" w:eastAsia="Times New Roman" w:hAnsi="Times New Roman" w:cs="Times New Roman"/>
          <w:sz w:val="24"/>
          <w:szCs w:val="24"/>
        </w:rPr>
        <w:t xml:space="preserve"> from $16</w:t>
      </w:r>
      <w:r w:rsidRPr="638B37EC" w:rsidR="00E27D2E">
        <w:rPr>
          <w:rFonts w:ascii="Times New Roman" w:eastAsia="Times New Roman" w:hAnsi="Times New Roman" w:cs="Times New Roman"/>
          <w:sz w:val="24"/>
          <w:szCs w:val="24"/>
        </w:rPr>
        <w:t>9</w:t>
      </w:r>
      <w:r w:rsidRPr="638B37EC" w:rsidR="00A27ABB">
        <w:rPr>
          <w:rFonts w:ascii="Times New Roman" w:eastAsia="Times New Roman" w:hAnsi="Times New Roman" w:cs="Times New Roman"/>
          <w:sz w:val="24"/>
          <w:szCs w:val="24"/>
        </w:rPr>
        <w:t xml:space="preserve"> to $1</w:t>
      </w:r>
      <w:r w:rsidRPr="638B37EC" w:rsidR="00E27D2E">
        <w:rPr>
          <w:rFonts w:ascii="Times New Roman" w:eastAsia="Times New Roman" w:hAnsi="Times New Roman" w:cs="Times New Roman"/>
          <w:sz w:val="24"/>
          <w:szCs w:val="24"/>
        </w:rPr>
        <w:t>93</w:t>
      </w:r>
      <w:r w:rsidRPr="638B37EC" w:rsidR="00A27ABB">
        <w:rPr>
          <w:rFonts w:ascii="Times New Roman" w:eastAsia="Times New Roman" w:hAnsi="Times New Roman" w:cs="Times New Roman"/>
          <w:sz w:val="24"/>
          <w:szCs w:val="24"/>
        </w:rPr>
        <w:t>.</w:t>
      </w:r>
      <w:r w:rsidRPr="638B37EC">
        <w:rPr>
          <w:rFonts w:ascii="Times New Roman" w:eastAsia="Times New Roman" w:hAnsi="Times New Roman" w:cs="Times New Roman"/>
          <w:sz w:val="24"/>
          <w:szCs w:val="24"/>
        </w:rPr>
        <w:t xml:space="preserve"> </w:t>
      </w:r>
    </w:p>
    <w:p w:rsidR="00A27ABB" w:rsidRPr="00723CBD" w:rsidP="00A27ABB" w14:paraId="284B0EB3"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rsidR="00BF576C" w:rsidRPr="00723CBD" w:rsidP="00D91F68" w14:paraId="627FAAE3" w14:textId="1F7318F9">
      <w:pPr>
        <w:tabs>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466994E">
        <w:rPr>
          <w:rFonts w:ascii="Times New Roman" w:eastAsia="Times New Roman" w:hAnsi="Times New Roman" w:cs="Times New Roman"/>
          <w:b/>
          <w:bCs/>
          <w:sz w:val="24"/>
          <w:szCs w:val="24"/>
        </w:rPr>
        <w:t xml:space="preserve">16. For </w:t>
      </w:r>
      <w:r w:rsidRPr="0466994E">
        <w:rPr>
          <w:rFonts w:ascii="Times New Roman" w:eastAsia="Times New Roman" w:hAnsi="Times New Roman" w:cs="Times New Roman"/>
          <w:b/>
          <w:bCs/>
          <w:sz w:val="24"/>
          <w:szCs w:val="24"/>
        </w:rPr>
        <w:t>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F576C" w:rsidRPr="00723CBD" w:rsidP="00BF576C" w14:paraId="56CBB9B4"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3B3D0F5" w14:paraId="60A0162A" w14:textId="7F6FBD1E">
      <w:pPr>
        <w:tabs>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3B3D0F5">
        <w:rPr>
          <w:rFonts w:ascii="Times New Roman" w:eastAsia="Times New Roman" w:hAnsi="Times New Roman" w:cs="Times New Roman"/>
          <w:sz w:val="24"/>
          <w:szCs w:val="24"/>
        </w:rPr>
        <w:t xml:space="preserve">The information </w:t>
      </w:r>
      <w:r w:rsidRPr="03B3D0F5" w:rsidR="17E1AB2F">
        <w:rPr>
          <w:rFonts w:ascii="Times New Roman" w:eastAsia="Times New Roman" w:hAnsi="Times New Roman" w:cs="Times New Roman"/>
          <w:sz w:val="24"/>
          <w:szCs w:val="24"/>
        </w:rPr>
        <w:t xml:space="preserve">to be </w:t>
      </w:r>
      <w:r w:rsidRPr="03B3D0F5">
        <w:rPr>
          <w:rFonts w:ascii="Times New Roman" w:eastAsia="Times New Roman" w:hAnsi="Times New Roman" w:cs="Times New Roman"/>
          <w:sz w:val="24"/>
          <w:szCs w:val="24"/>
        </w:rPr>
        <w:t xml:space="preserve">collected under the </w:t>
      </w:r>
      <w:r w:rsidRPr="03B3D0F5" w:rsidR="219DC452">
        <w:rPr>
          <w:rFonts w:ascii="Times New Roman" w:eastAsia="Times New Roman" w:hAnsi="Times New Roman" w:cs="Times New Roman"/>
          <w:sz w:val="24"/>
          <w:szCs w:val="24"/>
        </w:rPr>
        <w:t>s</w:t>
      </w:r>
      <w:r w:rsidRPr="03B3D0F5">
        <w:rPr>
          <w:rFonts w:ascii="Times New Roman" w:eastAsia="Times New Roman" w:hAnsi="Times New Roman" w:cs="Times New Roman"/>
          <w:sz w:val="24"/>
          <w:szCs w:val="24"/>
        </w:rPr>
        <w:t>tandard</w:t>
      </w:r>
      <w:r w:rsidRPr="03B3D0F5" w:rsidR="563FCA95">
        <w:rPr>
          <w:rFonts w:ascii="Times New Roman" w:eastAsia="Times New Roman" w:hAnsi="Times New Roman" w:cs="Times New Roman"/>
          <w:sz w:val="24"/>
          <w:szCs w:val="24"/>
        </w:rPr>
        <w:t xml:space="preserve"> will not have results that will be published for statistical use</w:t>
      </w:r>
      <w:r w:rsidRPr="03B3D0F5">
        <w:rPr>
          <w:rFonts w:ascii="Times New Roman" w:eastAsia="Times New Roman" w:hAnsi="Times New Roman" w:cs="Times New Roman"/>
          <w:sz w:val="24"/>
          <w:szCs w:val="24"/>
        </w:rPr>
        <w:t>.</w:t>
      </w:r>
    </w:p>
    <w:p w:rsidR="00BF576C" w:rsidRPr="00723CBD" w:rsidP="00BF576C" w14:paraId="787F390C"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lang w:val="en-JM"/>
        </w:rPr>
      </w:pPr>
    </w:p>
    <w:p w:rsidR="00BF576C" w:rsidRPr="00723CBD" w:rsidP="00D91F68" w14:paraId="43BC81DD" w14:textId="7CB7143E">
      <w:pPr>
        <w:autoSpaceDE w:val="0"/>
        <w:autoSpaceDN w:val="0"/>
        <w:adjustRightInd w:val="0"/>
        <w:spacing w:after="0" w:line="240" w:lineRule="auto"/>
        <w:rPr>
          <w:rFonts w:ascii="Times New Roman" w:eastAsia="Times New Roman" w:hAnsi="Times New Roman" w:cs="Times New Roman"/>
          <w:b/>
          <w:bCs/>
          <w:sz w:val="24"/>
          <w:szCs w:val="24"/>
        </w:rPr>
      </w:pPr>
      <w:r w:rsidRPr="0466994E">
        <w:rPr>
          <w:rFonts w:ascii="Times New Roman" w:eastAsia="Times New Roman" w:hAnsi="Times New Roman" w:cs="Times New Roman"/>
          <w:b/>
          <w:bCs/>
          <w:sz w:val="24"/>
          <w:szCs w:val="24"/>
        </w:rPr>
        <w:t>17. If seeking approval to not display the expiration date for OMB approval of the information collection, explain the reasons that display would be appropriate.</w:t>
      </w:r>
    </w:p>
    <w:p w:rsidR="00BF576C" w:rsidRPr="00723CBD" w:rsidP="00BF576C" w14:paraId="31CEC2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3B3D0F5" w14:paraId="640A1E5E" w14:textId="40C65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3B3D0F5">
        <w:rPr>
          <w:rFonts w:ascii="Times New Roman" w:eastAsia="Times New Roman" w:hAnsi="Times New Roman" w:cs="Times New Roman"/>
          <w:sz w:val="24"/>
          <w:szCs w:val="24"/>
        </w:rPr>
        <w:t>OSHA lists current valid control numbers in §§</w:t>
      </w:r>
      <w:r w:rsidRPr="03B3D0F5" w:rsidR="61290DF2">
        <w:rPr>
          <w:rFonts w:ascii="Times New Roman" w:eastAsia="Times New Roman" w:hAnsi="Times New Roman" w:cs="Times New Roman"/>
          <w:sz w:val="24"/>
          <w:szCs w:val="24"/>
        </w:rPr>
        <w:t xml:space="preserve"> </w:t>
      </w:r>
      <w:r w:rsidRPr="03B3D0F5">
        <w:rPr>
          <w:rFonts w:ascii="Times New Roman" w:eastAsia="Times New Roman" w:hAnsi="Times New Roman" w:cs="Times New Roman"/>
          <w:sz w:val="24"/>
          <w:szCs w:val="24"/>
        </w:rPr>
        <w:t xml:space="preserve">1910.8, 1915.8, 1917.4, 1918.4, and 1926.5 and publishes the expiration date in the </w:t>
      </w:r>
      <w:r w:rsidRPr="00D91F68">
        <w:rPr>
          <w:rFonts w:ascii="Times New Roman" w:eastAsia="Times New Roman" w:hAnsi="Times New Roman" w:cs="Times New Roman"/>
          <w:i/>
          <w:iCs/>
          <w:sz w:val="24"/>
          <w:szCs w:val="24"/>
        </w:rPr>
        <w:t>Federal Register</w:t>
      </w:r>
      <w:r w:rsidRPr="03B3D0F5">
        <w:rPr>
          <w:rFonts w:ascii="Times New Roman" w:eastAsia="Times New Roman" w:hAnsi="Times New Roman" w:cs="Times New Roman"/>
          <w:sz w:val="24"/>
          <w:szCs w:val="24"/>
        </w:rPr>
        <w:t xml:space="preserve"> notice announcing OMB approval of the information collection requirement (</w:t>
      </w:r>
      <w:r w:rsidRPr="00D91F68">
        <w:rPr>
          <w:rFonts w:ascii="Times New Roman" w:eastAsia="Times New Roman" w:hAnsi="Times New Roman" w:cs="Times New Roman"/>
          <w:i/>
          <w:iCs/>
          <w:sz w:val="24"/>
          <w:szCs w:val="24"/>
        </w:rPr>
        <w:t>See</w:t>
      </w:r>
      <w:r w:rsidRPr="03B3D0F5">
        <w:rPr>
          <w:rFonts w:ascii="Times New Roman" w:eastAsia="Times New Roman" w:hAnsi="Times New Roman" w:cs="Times New Roman"/>
          <w:sz w:val="24"/>
          <w:szCs w:val="24"/>
        </w:rPr>
        <w:t xml:space="preserve"> 5 CFR 1320.3(f)(3)). OSHA believes that this is the most appropriate and accurate mechanism to inform interested parties of these expiration dates.</w:t>
      </w:r>
    </w:p>
    <w:p w:rsidR="00F807AF" w:rsidRPr="00723CBD" w:rsidP="00BF576C" w14:paraId="733BEE1D" w14:textId="77777777">
      <w:pPr>
        <w:autoSpaceDE w:val="0"/>
        <w:autoSpaceDN w:val="0"/>
        <w:adjustRightInd w:val="0"/>
        <w:spacing w:after="0" w:line="240" w:lineRule="auto"/>
        <w:rPr>
          <w:rFonts w:ascii="Times New Roman" w:eastAsia="Times New Roman" w:hAnsi="Times New Roman" w:cs="Times New Roman"/>
          <w:b/>
          <w:sz w:val="24"/>
          <w:szCs w:val="24"/>
        </w:rPr>
      </w:pPr>
    </w:p>
    <w:p w:rsidR="00BF576C" w:rsidRPr="00723CBD" w:rsidP="00D91F68" w14:paraId="5D2AB2F0" w14:textId="15140208">
      <w:pPr>
        <w:autoSpaceDE w:val="0"/>
        <w:autoSpaceDN w:val="0"/>
        <w:adjustRightInd w:val="0"/>
        <w:spacing w:after="0" w:line="240" w:lineRule="auto"/>
        <w:rPr>
          <w:rFonts w:ascii="Times New Roman" w:eastAsia="Times New Roman" w:hAnsi="Times New Roman" w:cs="Times New Roman"/>
          <w:b/>
          <w:bCs/>
          <w:sz w:val="24"/>
          <w:szCs w:val="24"/>
        </w:rPr>
      </w:pPr>
      <w:r w:rsidRPr="0466994E">
        <w:rPr>
          <w:rFonts w:ascii="Times New Roman" w:eastAsia="Times New Roman" w:hAnsi="Times New Roman" w:cs="Times New Roman"/>
          <w:b/>
          <w:bCs/>
          <w:sz w:val="24"/>
          <w:szCs w:val="24"/>
        </w:rPr>
        <w:t>18. Explain each exception to the certification statement.</w:t>
      </w:r>
    </w:p>
    <w:p w:rsidR="00BF576C" w:rsidRPr="00723CBD" w:rsidP="00BF576C" w14:paraId="4A1F8A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3709F2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723CBD">
        <w:rPr>
          <w:rFonts w:ascii="Times New Roman" w:eastAsia="Times New Roman" w:hAnsi="Times New Roman" w:cs="Times New Roman"/>
          <w:sz w:val="24"/>
          <w:szCs w:val="24"/>
        </w:rPr>
        <w:t>OSHA is not requesting an exception to the certification statement.</w:t>
      </w:r>
    </w:p>
    <w:p w:rsidR="00BF576C" w:rsidRPr="00723CBD" w:rsidP="00BF576C" w14:paraId="13B5B21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F576C" w:rsidRPr="00723CBD" w:rsidP="00BF576C" w14:paraId="3C7D041A"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r w:rsidRPr="00723CBD">
        <w:rPr>
          <w:rFonts w:ascii="Times New Roman" w:eastAsia="Times New Roman" w:hAnsi="Times New Roman" w:cs="Times New Roman"/>
          <w:b/>
          <w:sz w:val="24"/>
          <w:szCs w:val="24"/>
        </w:rPr>
        <w:t>B. COLLECTIONS OF INFORMATION EMPLOYING STATISTICAL MEHTODS</w:t>
      </w:r>
    </w:p>
    <w:p w:rsidR="00BF576C" w:rsidRPr="00723CBD" w:rsidP="00BF576C" w14:paraId="23132FB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2E6A3F" w:rsidRPr="00723CBD" w:rsidP="002E6A3F" w14:paraId="413D8014" w14:textId="6B54DB83">
      <w:pPr>
        <w:widowControl w:val="0"/>
        <w:autoSpaceDE w:val="0"/>
        <w:autoSpaceDN w:val="0"/>
        <w:adjustRightInd w:val="0"/>
        <w:spacing w:after="0" w:line="240" w:lineRule="auto"/>
        <w:rPr>
          <w:rFonts w:ascii="Times New Roman" w:eastAsia="Times New Roman" w:hAnsi="Times New Roman" w:cs="Times New Roman"/>
          <w:sz w:val="24"/>
          <w:szCs w:val="24"/>
        </w:rPr>
        <w:sectPr w:rsidSect="00BF576C">
          <w:headerReference w:type="default" r:id="rId11"/>
          <w:footerReference w:type="even" r:id="rId12"/>
          <w:footerReference w:type="default" r:id="rId13"/>
          <w:headerReference w:type="first" r:id="rId14"/>
          <w:pgSz w:w="12240" w:h="15840"/>
          <w:pgMar w:top="720" w:right="1440" w:bottom="1440" w:left="1440" w:header="1440" w:footer="1440" w:gutter="0"/>
          <w:cols w:space="720"/>
          <w:noEndnote/>
          <w:docGrid w:linePitch="272"/>
        </w:sectPr>
      </w:pPr>
      <w:r w:rsidRPr="7038C1FD">
        <w:rPr>
          <w:rFonts w:ascii="Times New Roman" w:eastAsia="Times New Roman" w:hAnsi="Times New Roman" w:cs="Times New Roman"/>
          <w:sz w:val="24"/>
          <w:szCs w:val="24"/>
        </w:rPr>
        <w:t xml:space="preserve">There are no information </w:t>
      </w:r>
      <w:r w:rsidRPr="7038C1FD" w:rsidR="3E719CD8">
        <w:rPr>
          <w:rFonts w:ascii="Times New Roman" w:eastAsia="Times New Roman" w:hAnsi="Times New Roman" w:cs="Times New Roman"/>
          <w:sz w:val="24"/>
          <w:szCs w:val="24"/>
        </w:rPr>
        <w:t xml:space="preserve">collection requirements </w:t>
      </w:r>
      <w:r w:rsidRPr="7038C1FD">
        <w:rPr>
          <w:rFonts w:ascii="Times New Roman" w:eastAsia="Times New Roman" w:hAnsi="Times New Roman" w:cs="Times New Roman"/>
          <w:sz w:val="24"/>
          <w:szCs w:val="24"/>
        </w:rPr>
        <w:t xml:space="preserve">employing statistical methods. </w:t>
      </w:r>
    </w:p>
    <w:p w:rsidR="004815A8" w:rsidRPr="005915BD" w:rsidP="7038C1FD" w14:paraId="6F5DE1BA" w14:textId="0A38D9AF">
      <w:pPr>
        <w:rPr>
          <w:rFonts w:ascii="Times New Roman" w:hAnsi="Times New Roman" w:cs="Times New Roman"/>
          <w:sz w:val="24"/>
          <w:szCs w:val="24"/>
        </w:rPr>
      </w:pPr>
    </w:p>
    <w:sectPr w:rsidSect="00554E9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boto Slab">
    <w:charset w:val="00"/>
    <w:family w:val="auto"/>
    <w:pitch w:val="variable"/>
    <w:sig w:usb0="000004FF" w:usb1="8000405F" w:usb2="00000022"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79EC" w:rsidP="00BF576C" w14:paraId="79DFEF0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B79EC" w14:paraId="1EE1E5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79EC" w14:paraId="2D0C166C" w14:textId="77777777">
    <w:pPr>
      <w:spacing w:line="240" w:lineRule="exact"/>
    </w:pPr>
  </w:p>
  <w:p w:rsidR="007B79EC" w:rsidP="00BF576C" w14:paraId="43C4F1F2" w14:textId="71358410">
    <w:pPr>
      <w:framePr w:wrap="around" w:vAnchor="text" w:hAnchor="margin" w:xAlign="center" w:y="1"/>
      <w:jc w:val="center"/>
    </w:pPr>
    <w:r>
      <w:fldChar w:fldCharType="begin"/>
    </w:r>
    <w:r>
      <w:instrText xml:space="preserve">PAGE </w:instrText>
    </w:r>
    <w:r>
      <w:fldChar w:fldCharType="separate"/>
    </w:r>
    <w:r w:rsidR="000F3BDB">
      <w:rPr>
        <w:noProof/>
      </w:rPr>
      <w:t>1</w:t>
    </w:r>
    <w:r>
      <w:fldChar w:fldCharType="end"/>
    </w:r>
  </w:p>
  <w:p w:rsidR="007B79EC" w14:paraId="75829A0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1739F" w:rsidP="00BF576C" w14:paraId="787167D1" w14:textId="77777777">
      <w:pPr>
        <w:spacing w:after="0" w:line="240" w:lineRule="auto"/>
      </w:pPr>
      <w:r>
        <w:separator/>
      </w:r>
    </w:p>
  </w:footnote>
  <w:footnote w:type="continuationSeparator" w:id="1">
    <w:p w:rsidR="00F1739F" w:rsidP="00BF576C" w14:paraId="31556DC5" w14:textId="77777777">
      <w:pPr>
        <w:spacing w:after="0" w:line="240" w:lineRule="auto"/>
      </w:pPr>
      <w:r>
        <w:continuationSeparator/>
      </w:r>
    </w:p>
  </w:footnote>
  <w:footnote w:type="continuationNotice" w:id="2">
    <w:p w:rsidR="00F1739F" w14:paraId="64519D83" w14:textId="77777777">
      <w:pPr>
        <w:spacing w:after="0" w:line="240" w:lineRule="auto"/>
      </w:pPr>
    </w:p>
  </w:footnote>
  <w:footnote w:id="3">
    <w:p w:rsidR="03B3D0F5" w:rsidP="00D91F68" w14:paraId="28A19D9C" w14:textId="030CFD6E">
      <w:pPr>
        <w:pStyle w:val="FootnoteText"/>
        <w:ind w:firstLine="720"/>
      </w:pPr>
      <w:r w:rsidRPr="03B3D0F5">
        <w:rPr>
          <w:rStyle w:val="FootnoteReference"/>
        </w:rPr>
        <w:footnoteRef/>
      </w:r>
      <w:r w:rsidRPr="03B3D0F5">
        <w:rPr>
          <w:rFonts w:ascii="Times New Roman" w:hAnsi="Times New Roman"/>
          <w:color w:val="000000" w:themeColor="text1"/>
          <w:sz w:val="19"/>
          <w:szCs w:val="19"/>
        </w:rPr>
        <w:t>The purpose of this supporting statement is to analyze and describe the burden hours and costs associated with the provisions of this standard that contain paperwork requirements; it does not provide information or guidance on how to comply with, or how to enforce, the standard.</w:t>
      </w:r>
      <w:r>
        <w:t xml:space="preserve"> </w:t>
      </w:r>
    </w:p>
  </w:footnote>
  <w:footnote w:id="4">
    <w:p w:rsidR="007B79EC" w:rsidRPr="00ED106E" w:rsidP="00BF576C" w14:paraId="7DF5A8C7" w14:textId="2BB63666">
      <w:pPr>
        <w:pStyle w:val="FootnoteText"/>
        <w:rPr>
          <w:rFonts w:ascii="Times New Roman" w:hAnsi="Times New Roman"/>
        </w:rPr>
      </w:pPr>
      <w:r>
        <w:rPr>
          <w:rFonts w:ascii="Times New Roman" w:hAnsi="Times New Roman"/>
        </w:rPr>
        <w:t xml:space="preserve">            </w:t>
      </w:r>
      <w:r w:rsidRPr="00ED106E">
        <w:rPr>
          <w:rStyle w:val="FootnoteReference"/>
          <w:rFonts w:ascii="Times New Roman" w:hAnsi="Times New Roman"/>
          <w:vertAlign w:val="superscript"/>
        </w:rPr>
        <w:footnoteRef/>
      </w:r>
      <w:r w:rsidRPr="00ED106E">
        <w:rPr>
          <w:rFonts w:ascii="Times New Roman" w:hAnsi="Times New Roman"/>
        </w:rPr>
        <w:t xml:space="preserve">Source: U.S. Environmental Protection Agency, Office of Solid Waste and Emergency Response, </w:t>
      </w:r>
      <w:r w:rsidRPr="00ED106E">
        <w:rPr>
          <w:rFonts w:ascii="Times New Roman" w:hAnsi="Times New Roman"/>
          <w:u w:val="single"/>
        </w:rPr>
        <w:t>National Priorities List</w:t>
      </w:r>
      <w:r w:rsidRPr="00ED106E">
        <w:rPr>
          <w:rFonts w:ascii="Times New Roman" w:hAnsi="Times New Roman"/>
        </w:rPr>
        <w:t xml:space="preserve">, as of October 25, </w:t>
      </w:r>
      <w:r w:rsidRPr="00ED106E" w:rsidR="00722F23">
        <w:rPr>
          <w:rFonts w:ascii="Times New Roman" w:hAnsi="Times New Roman"/>
        </w:rPr>
        <w:t>2011,</w:t>
      </w:r>
      <w:r w:rsidRPr="00ED106E">
        <w:rPr>
          <w:rFonts w:ascii="Times New Roman" w:hAnsi="Times New Roman"/>
        </w:rPr>
        <w:t xml:space="preserve">  </w:t>
      </w:r>
      <w:hyperlink r:id="rId1" w:history="1">
        <w:r w:rsidRPr="00ED106E" w:rsidR="004945CB">
          <w:rPr>
            <w:rStyle w:val="Hyperlink"/>
            <w:rFonts w:ascii="Times New Roman" w:hAnsi="Times New Roman" w:cs="Times New Roman"/>
            <w:sz w:val="20"/>
            <w:szCs w:val="20"/>
          </w:rPr>
          <w:t>https://www.epa.gov/superfund/superfund-national-priorities-list-npl(9-21)</w:t>
        </w:r>
      </w:hyperlink>
    </w:p>
    <w:p w:rsidR="004945CB" w:rsidRPr="00ED106E" w:rsidP="00BF576C" w14:paraId="5DD97FF7" w14:textId="71978D21">
      <w:pPr>
        <w:pStyle w:val="FootnoteText"/>
        <w:rPr>
          <w:rFonts w:ascii="Times New Roman" w:hAnsi="Times New Roman"/>
        </w:rPr>
      </w:pPr>
      <w:hyperlink r:id="rId2" w:history="1">
        <w:r w:rsidRPr="006236A2" w:rsidR="004C28D0">
          <w:rPr>
            <w:rFonts w:ascii="Times New Roman" w:hAnsi="Times New Roman" w:eastAsiaTheme="minorHAnsi"/>
            <w:color w:val="0000FF"/>
            <w:u w:val="single"/>
          </w:rPr>
          <w:t>EPA Updates Superfund National Priorities List to Clean Up Pollution and Address Public Health Risks | US EPA</w:t>
        </w:r>
      </w:hyperlink>
      <w:r w:rsidRPr="006236A2" w:rsidR="004C28D0">
        <w:rPr>
          <w:rFonts w:ascii="Times New Roman" w:hAnsi="Times New Roman" w:eastAsiaTheme="minorHAnsi"/>
        </w:rPr>
        <w:t>(10-22)</w:t>
      </w:r>
    </w:p>
    <w:p w:rsidR="007B79EC" w:rsidRPr="00CD22C5" w:rsidP="00BF576C" w14:paraId="5458DC98" w14:textId="77777777">
      <w:pPr>
        <w:pStyle w:val="FootnoteText"/>
        <w:rPr>
          <w:rFonts w:ascii="Times New Roman" w:hAnsi="Times New Roman"/>
        </w:rPr>
      </w:pPr>
    </w:p>
  </w:footnote>
  <w:footnote w:id="5">
    <w:p w:rsidR="007B79EC" w:rsidRPr="0016363D" w:rsidP="00DA7256" w14:paraId="70138842" w14:textId="0851C205">
      <w:pPr>
        <w:spacing w:line="240" w:lineRule="auto"/>
        <w:ind w:firstLine="720"/>
        <w:rPr>
          <w:rFonts w:ascii="Times New Roman" w:hAnsi="Times New Roman" w:cs="Times New Roman"/>
          <w:sz w:val="20"/>
          <w:szCs w:val="20"/>
        </w:rPr>
      </w:pPr>
      <w:r w:rsidRPr="00EA2EAF">
        <w:rPr>
          <w:rStyle w:val="FootnoteReference"/>
          <w:vertAlign w:val="superscript"/>
        </w:rPr>
        <w:footnoteRef/>
      </w:r>
      <w:r w:rsidRPr="007A7736">
        <w:rPr>
          <w:rFonts w:ascii="Times New Roman" w:hAnsi="Times New Roman" w:cs="Times New Roman"/>
          <w:sz w:val="20"/>
          <w:szCs w:val="20"/>
        </w:rPr>
        <w:t xml:space="preserve">Source:  U.S. Environmental Protection Agency, Office of Solid Waste and Emergency Response.  </w:t>
      </w:r>
      <w:r w:rsidRPr="007A7736">
        <w:rPr>
          <w:rFonts w:ascii="Times New Roman" w:hAnsi="Times New Roman" w:cs="Times New Roman"/>
          <w:sz w:val="20"/>
          <w:szCs w:val="20"/>
          <w:u w:val="single"/>
        </w:rPr>
        <w:t>2020 Corrective Action Universe</w:t>
      </w:r>
      <w:r w:rsidRPr="007A7736">
        <w:rPr>
          <w:rFonts w:ascii="Times New Roman" w:hAnsi="Times New Roman" w:cs="Times New Roman"/>
          <w:sz w:val="20"/>
          <w:szCs w:val="20"/>
        </w:rPr>
        <w:t>,</w:t>
      </w:r>
      <w:r w:rsidRPr="007A7736">
        <w:rPr>
          <w:rFonts w:ascii="Times New Roman" w:hAnsi="Times New Roman" w:cs="Times New Roman"/>
          <w:color w:val="E36C0A" w:themeColor="accent6" w:themeShade="BF"/>
          <w:sz w:val="20"/>
          <w:szCs w:val="20"/>
        </w:rPr>
        <w:t xml:space="preserve">  </w:t>
      </w:r>
      <w:r w:rsidRPr="007A7736">
        <w:rPr>
          <w:rFonts w:ascii="Times New Roman" w:hAnsi="Times New Roman" w:cs="Times New Roman"/>
          <w:sz w:val="20"/>
          <w:szCs w:val="20"/>
        </w:rPr>
        <w:t>EPA estimates that Federal facilities comprise approximately 5 percent of a total of 3,7</w:t>
      </w:r>
      <w:r>
        <w:rPr>
          <w:rFonts w:ascii="Times New Roman" w:hAnsi="Times New Roman" w:cs="Times New Roman"/>
          <w:sz w:val="20"/>
          <w:szCs w:val="20"/>
        </w:rPr>
        <w:t>79</w:t>
      </w:r>
      <w:r w:rsidRPr="007A7736">
        <w:rPr>
          <w:rFonts w:ascii="Times New Roman" w:hAnsi="Times New Roman" w:cs="Times New Roman"/>
          <w:sz w:val="20"/>
          <w:szCs w:val="20"/>
        </w:rPr>
        <w:t xml:space="preserve"> facilities that are expected to require corrective action.</w:t>
      </w:r>
      <w:r>
        <w:rPr>
          <w:rFonts w:ascii="Times New Roman" w:hAnsi="Times New Roman" w:cs="Times New Roman"/>
          <w:sz w:val="20"/>
          <w:szCs w:val="20"/>
        </w:rPr>
        <w:t xml:space="preserve"> </w:t>
      </w:r>
      <w:r w:rsidRPr="007A7736">
        <w:rPr>
          <w:rFonts w:ascii="Times New Roman" w:hAnsi="Times New Roman" w:cs="Times New Roman"/>
          <w:sz w:val="20"/>
          <w:szCs w:val="20"/>
        </w:rPr>
        <w:t xml:space="preserve"> </w:t>
      </w:r>
      <w:r w:rsidRPr="00A53503">
        <w:rPr>
          <w:rFonts w:ascii="Times New Roman" w:hAnsi="Times New Roman" w:cs="Times New Roman"/>
          <w:sz w:val="20"/>
          <w:szCs w:val="20"/>
        </w:rPr>
        <w:t>https://www.epa.gov/hw/baselines-resource-conservation-and-recovery-act-rcra-corrective-action-sites#</w:t>
      </w:r>
      <w:r w:rsidRPr="0016363D">
        <w:rPr>
          <w:rFonts w:ascii="Times New Roman" w:hAnsi="Times New Roman" w:cs="Times New Roman"/>
          <w:sz w:val="20"/>
          <w:szCs w:val="20"/>
        </w:rPr>
        <w:t xml:space="preserve">2020 </w:t>
      </w:r>
      <w:r w:rsidRPr="0016363D" w:rsidR="000C3BB0">
        <w:rPr>
          <w:rFonts w:ascii="Times New Roman" w:hAnsi="Times New Roman" w:cs="Times New Roman"/>
          <w:sz w:val="20"/>
          <w:szCs w:val="20"/>
        </w:rPr>
        <w:t xml:space="preserve">   </w:t>
      </w:r>
      <w:hyperlink r:id="rId3" w:anchor="2020" w:history="1">
        <w:r w:rsidRPr="0016363D" w:rsidR="000C3BB0">
          <w:rPr>
            <w:rFonts w:ascii="Times New Roman" w:hAnsi="Times New Roman" w:cs="Times New Roman"/>
            <w:color w:val="0000FF"/>
            <w:sz w:val="20"/>
            <w:szCs w:val="20"/>
            <w:u w:val="single"/>
          </w:rPr>
          <w:t>Baselines for Resource Conservation and Recovery Act (RCRA) Corrective Action Facilities | US EPA</w:t>
        </w:r>
      </w:hyperlink>
      <w:r w:rsidRPr="0016363D" w:rsidR="000C3BB0">
        <w:rPr>
          <w:rFonts w:ascii="Times New Roman" w:hAnsi="Times New Roman" w:cs="Times New Roman"/>
          <w:sz w:val="20"/>
          <w:szCs w:val="20"/>
        </w:rPr>
        <w:t xml:space="preserve"> (10-22)</w:t>
      </w:r>
    </w:p>
    <w:p w:rsidR="00C536D7" w:rsidRPr="00944B79" w:rsidP="00DA7256" w14:paraId="41CC61A3" w14:textId="77777777">
      <w:pPr>
        <w:spacing w:line="240" w:lineRule="auto"/>
        <w:ind w:firstLine="720"/>
        <w:rPr>
          <w:rFonts w:ascii="Times New Roman" w:hAnsi="Times New Roman" w:cs="Times New Roman"/>
          <w:sz w:val="20"/>
          <w:szCs w:val="20"/>
        </w:rPr>
      </w:pPr>
    </w:p>
  </w:footnote>
  <w:footnote w:id="6">
    <w:p w:rsidR="007B79EC" w:rsidRPr="00722F23" w:rsidP="00DA7256" w14:paraId="385F5266" w14:textId="17748A9D">
      <w:pPr>
        <w:spacing w:line="240" w:lineRule="auto"/>
        <w:ind w:firstLine="720"/>
        <w:rPr>
          <w:rStyle w:val="Hyperlink"/>
          <w:rFonts w:ascii="Times New Roman" w:hAnsi="Times New Roman" w:cs="Times New Roman"/>
          <w:sz w:val="20"/>
          <w:szCs w:val="20"/>
        </w:rPr>
      </w:pPr>
      <w:r w:rsidRPr="00722F23">
        <w:rPr>
          <w:rStyle w:val="FootnoteReference"/>
          <w:rFonts w:ascii="Times New Roman" w:hAnsi="Times New Roman" w:cs="Times New Roman"/>
          <w:sz w:val="20"/>
          <w:szCs w:val="20"/>
          <w:vertAlign w:val="superscript"/>
        </w:rPr>
        <w:footnoteRef/>
      </w:r>
      <w:r w:rsidRPr="00722F23">
        <w:rPr>
          <w:rFonts w:ascii="Times New Roman" w:hAnsi="Times New Roman" w:cs="Times New Roman"/>
          <w:sz w:val="20"/>
          <w:szCs w:val="20"/>
        </w:rPr>
        <w:t xml:space="preserve">Source:  U.S. Environmental Protection Agency, Office of Underground Storage Tanks.  </w:t>
      </w:r>
      <w:r w:rsidRPr="00722F23">
        <w:rPr>
          <w:rFonts w:ascii="Times New Roman" w:hAnsi="Times New Roman" w:cs="Times New Roman"/>
          <w:sz w:val="20"/>
          <w:szCs w:val="20"/>
          <w:u w:val="single"/>
        </w:rPr>
        <w:t>FY 2010 Annual Report on the Underground Storage Tank Program</w:t>
      </w:r>
      <w:r w:rsidRPr="00722F23">
        <w:rPr>
          <w:rFonts w:ascii="Times New Roman" w:hAnsi="Times New Roman" w:cs="Times New Roman"/>
          <w:sz w:val="20"/>
          <w:szCs w:val="20"/>
        </w:rPr>
        <w:t>, page 4,</w:t>
      </w:r>
      <w:r w:rsidRPr="006236A2">
        <w:rPr>
          <w:rFonts w:ascii="Times New Roman" w:hAnsi="Times New Roman" w:cs="Times New Roman"/>
        </w:rPr>
        <w:t xml:space="preserve"> </w:t>
      </w:r>
      <w:hyperlink r:id="rId4" w:history="1">
        <w:r w:rsidRPr="00722F23">
          <w:rPr>
            <w:rStyle w:val="Hyperlink"/>
            <w:rFonts w:ascii="Times New Roman" w:hAnsi="Times New Roman" w:cs="Times New Roman"/>
            <w:sz w:val="20"/>
            <w:szCs w:val="20"/>
          </w:rPr>
          <w:t>http://www.epa.gov/oust/pubs/fy10_annual_ust_report_3-11.pdf</w:t>
        </w:r>
      </w:hyperlink>
    </w:p>
    <w:p w:rsidR="00752E06" w:rsidRPr="0016363D" w:rsidP="00DA7256" w14:paraId="02ED4B2A" w14:textId="7A68C96C">
      <w:pPr>
        <w:spacing w:line="240" w:lineRule="auto"/>
        <w:ind w:firstLine="720"/>
        <w:rPr>
          <w:rStyle w:val="Hyperlink"/>
          <w:rFonts w:ascii="Times New Roman" w:hAnsi="Times New Roman" w:cs="Times New Roman"/>
          <w:sz w:val="20"/>
          <w:szCs w:val="20"/>
        </w:rPr>
      </w:pPr>
      <w:hyperlink r:id="rId5" w:history="1">
        <w:r w:rsidRPr="0016363D" w:rsidR="004C28D0">
          <w:rPr>
            <w:rFonts w:ascii="Times New Roman" w:hAnsi="Times New Roman" w:cs="Times New Roman"/>
            <w:color w:val="0000FF"/>
            <w:sz w:val="20"/>
            <w:szCs w:val="20"/>
            <w:u w:val="single"/>
          </w:rPr>
          <w:t>Underground Storage Tanks (USTs) | US EPA</w:t>
        </w:r>
      </w:hyperlink>
      <w:r w:rsidR="0016363D">
        <w:rPr>
          <w:rFonts w:ascii="Times New Roman" w:hAnsi="Times New Roman" w:cs="Times New Roman"/>
          <w:color w:val="0000FF"/>
          <w:sz w:val="20"/>
          <w:szCs w:val="20"/>
          <w:u w:val="single"/>
        </w:rPr>
        <w:t xml:space="preserve"> </w:t>
      </w:r>
      <w:r w:rsidRPr="0016363D" w:rsidR="004C28D0">
        <w:rPr>
          <w:rFonts w:ascii="Times New Roman" w:hAnsi="Times New Roman" w:cs="Times New Roman"/>
          <w:sz w:val="20"/>
          <w:szCs w:val="20"/>
        </w:rPr>
        <w:t>(10-22)</w:t>
      </w:r>
    </w:p>
    <w:p w:rsidR="007B79EC" w:rsidRPr="006236A2" w:rsidP="001A7689" w14:paraId="3BE8E7CD" w14:textId="77777777">
      <w:pPr>
        <w:ind w:firstLine="720"/>
        <w:rPr>
          <w:rFonts w:ascii="Times New Roman" w:hAnsi="Times New Roman" w:cs="Times New Roman"/>
        </w:rPr>
      </w:pPr>
      <w:r w:rsidRPr="00722F23">
        <w:rPr>
          <w:rStyle w:val="Hyperlink"/>
          <w:rFonts w:ascii="Times New Roman" w:hAnsi="Times New Roman" w:cs="Times New Roman"/>
          <w:sz w:val="20"/>
          <w:szCs w:val="20"/>
        </w:rPr>
        <w:t>**https://www.epa.gov/sites/production/files/2014-02/documents/fy10_annual_ust_report_3-11.pdf</w:t>
      </w:r>
    </w:p>
  </w:footnote>
  <w:footnote w:id="7">
    <w:p w:rsidR="004D6A3B" w:rsidRPr="0016363D" w:rsidP="00654866" w14:paraId="1210DD2F" w14:textId="48B09B1D">
      <w:pPr>
        <w:pStyle w:val="FootnoteText"/>
        <w:ind w:firstLine="720"/>
        <w:rPr>
          <w:rFonts w:ascii="Times New Roman" w:hAnsi="Times New Roman"/>
        </w:rPr>
      </w:pPr>
      <w:r w:rsidRPr="00722F23">
        <w:rPr>
          <w:rStyle w:val="FootnoteReference"/>
          <w:rFonts w:ascii="Times New Roman" w:hAnsi="Times New Roman"/>
          <w:vertAlign w:val="superscript"/>
        </w:rPr>
        <w:footnoteRef/>
      </w:r>
      <w:r w:rsidRPr="00722F23">
        <w:rPr>
          <w:rFonts w:ascii="Times New Roman" w:hAnsi="Times New Roman"/>
        </w:rPr>
        <w:t xml:space="preserve">According to the National Fire Protection Association, in 2010, the total number of fire departments was </w:t>
      </w:r>
      <w:r w:rsidRPr="00722F23" w:rsidR="00C73BF5">
        <w:rPr>
          <w:rFonts w:ascii="Times New Roman" w:hAnsi="Times New Roman"/>
        </w:rPr>
        <w:t xml:space="preserve">27,186 </w:t>
      </w:r>
      <w:r w:rsidRPr="00722F23">
        <w:rPr>
          <w:rFonts w:ascii="Times New Roman" w:hAnsi="Times New Roman"/>
        </w:rPr>
        <w:t xml:space="preserve">30,052 and the total number of firefighters was </w:t>
      </w:r>
      <w:r w:rsidRPr="00722F23" w:rsidR="00D43986">
        <w:rPr>
          <w:rFonts w:ascii="Times New Roman" w:hAnsi="Times New Roman"/>
        </w:rPr>
        <w:t>1,0</w:t>
      </w:r>
      <w:r w:rsidRPr="00722F23" w:rsidR="00FA7770">
        <w:rPr>
          <w:rFonts w:ascii="Times New Roman" w:hAnsi="Times New Roman"/>
        </w:rPr>
        <w:t>64,000</w:t>
      </w:r>
      <w:r w:rsidRPr="00722F23" w:rsidR="00D43986">
        <w:rPr>
          <w:rFonts w:ascii="Times New Roman" w:hAnsi="Times New Roman"/>
        </w:rPr>
        <w:t>.</w:t>
      </w:r>
      <w:r w:rsidRPr="00722F23">
        <w:rPr>
          <w:rFonts w:ascii="Times New Roman" w:hAnsi="Times New Roman"/>
        </w:rPr>
        <w:t xml:space="preserve">  Source: </w:t>
      </w:r>
      <w:hyperlink r:id="rId6" w:history="1">
        <w:r w:rsidRPr="00722F23">
          <w:rPr>
            <w:rStyle w:val="Hyperlink"/>
            <w:rFonts w:ascii="Times New Roman" w:hAnsi="Times New Roman" w:cs="Times New Roman"/>
            <w:sz w:val="20"/>
            <w:szCs w:val="20"/>
          </w:rPr>
          <w:t>http://www.nfpa.org/itemDetail.asp?categoryID=955&amp;itemID=23688&amp;URL=Research%20&amp;%20Reports/Fire%20statistics/The%20U.S.%20fire%20service</w:t>
        </w:r>
      </w:hyperlink>
      <w:r w:rsidRPr="00722F23">
        <w:rPr>
          <w:rFonts w:ascii="Times New Roman" w:hAnsi="Times New Roman"/>
        </w:rPr>
        <w:t xml:space="preserve">.  According to BLS, there were 642,190 police officers (SOC 33-3051 and 33-3052) employed in 2010.  Source: May 2014, National Occupational Employment Statistics, </w:t>
      </w:r>
      <w:hyperlink r:id="rId7" w:anchor="33-0000" w:history="1">
        <w:r w:rsidRPr="00722F23">
          <w:rPr>
            <w:rStyle w:val="Hyperlink"/>
            <w:rFonts w:ascii="Times New Roman" w:hAnsi="Times New Roman" w:cs="Times New Roman"/>
            <w:sz w:val="20"/>
            <w:szCs w:val="20"/>
          </w:rPr>
          <w:t>http://www.bls.gov/oes/current/oes_nat.htm#33-0000</w:t>
        </w:r>
      </w:hyperlink>
      <w:r w:rsidRPr="00722F23">
        <w:rPr>
          <w:rFonts w:ascii="Times New Roman" w:hAnsi="Times New Roman"/>
        </w:rPr>
        <w:t xml:space="preserve">.  Therefore, OSHA estimates that there are a total of 1,782,940 </w:t>
      </w:r>
      <w:r w:rsidRPr="00722F23" w:rsidR="0000248A">
        <w:rPr>
          <w:rFonts w:ascii="Times New Roman" w:hAnsi="Times New Roman"/>
        </w:rPr>
        <w:t>1</w:t>
      </w:r>
      <w:r w:rsidRPr="00722F23" w:rsidR="007554D8">
        <w:rPr>
          <w:rFonts w:ascii="Times New Roman" w:hAnsi="Times New Roman"/>
        </w:rPr>
        <w:t>,7</w:t>
      </w:r>
      <w:r w:rsidRPr="00722F23" w:rsidR="00A97A08">
        <w:rPr>
          <w:rFonts w:ascii="Times New Roman" w:hAnsi="Times New Roman"/>
        </w:rPr>
        <w:t>29</w:t>
      </w:r>
      <w:r w:rsidRPr="00722F23" w:rsidR="00007D21">
        <w:rPr>
          <w:rFonts w:ascii="Times New Roman" w:hAnsi="Times New Roman"/>
        </w:rPr>
        <w:t>,380</w:t>
      </w:r>
      <w:r w:rsidRPr="00722F23" w:rsidR="00FE54C5">
        <w:rPr>
          <w:rFonts w:ascii="Times New Roman" w:hAnsi="Times New Roman"/>
        </w:rPr>
        <w:t xml:space="preserve"> </w:t>
      </w:r>
      <w:r w:rsidRPr="00722F23">
        <w:rPr>
          <w:rFonts w:ascii="Times New Roman" w:hAnsi="Times New Roman"/>
        </w:rPr>
        <w:t xml:space="preserve">emergency response employees (1,140,750 </w:t>
      </w:r>
      <w:r w:rsidRPr="00722F23" w:rsidR="00137111">
        <w:rPr>
          <w:rFonts w:ascii="Times New Roman" w:hAnsi="Times New Roman"/>
          <w:sz w:val="24"/>
          <w:szCs w:val="24"/>
        </w:rPr>
        <w:t>1,064,000 firefighters</w:t>
      </w:r>
      <w:r w:rsidRPr="00722F23">
        <w:rPr>
          <w:rFonts w:ascii="Times New Roman" w:hAnsi="Times New Roman"/>
        </w:rPr>
        <w:t xml:space="preserve"> and 642,190</w:t>
      </w:r>
      <w:r w:rsidRPr="00722F23" w:rsidR="008029C6">
        <w:rPr>
          <w:rFonts w:ascii="Times New Roman" w:hAnsi="Times New Roman"/>
        </w:rPr>
        <w:t xml:space="preserve">  </w:t>
      </w:r>
      <w:r w:rsidRPr="00722F23" w:rsidR="00682E57">
        <w:rPr>
          <w:rFonts w:ascii="Times New Roman" w:hAnsi="Times New Roman"/>
        </w:rPr>
        <w:t>6</w:t>
      </w:r>
      <w:r w:rsidRPr="00722F23" w:rsidR="00AF6437">
        <w:rPr>
          <w:rFonts w:ascii="Times New Roman" w:hAnsi="Times New Roman"/>
        </w:rPr>
        <w:t>65,380</w:t>
      </w:r>
      <w:r w:rsidRPr="00722F23">
        <w:rPr>
          <w:rFonts w:ascii="Times New Roman" w:hAnsi="Times New Roman"/>
        </w:rPr>
        <w:t xml:space="preserve"> </w:t>
      </w:r>
      <w:hyperlink r:id="rId8" w:history="1">
        <w:r w:rsidRPr="0016363D" w:rsidR="00654866">
          <w:rPr>
            <w:rFonts w:ascii="Times New Roman" w:hAnsi="Times New Roman" w:eastAsiaTheme="minorHAnsi"/>
            <w:color w:val="0000FF"/>
            <w:u w:val="single"/>
          </w:rPr>
          <w:t>Police and Sheriff's Patrol Officers (bls.gov)</w:t>
        </w:r>
      </w:hyperlink>
      <w:r w:rsidRPr="0016363D" w:rsidR="004D61A3">
        <w:rPr>
          <w:rFonts w:ascii="Times New Roman" w:hAnsi="Times New Roman" w:eastAsiaTheme="minorHAnsi"/>
        </w:rPr>
        <w:t xml:space="preserve"> 10-22</w:t>
      </w:r>
    </w:p>
    <w:p w:rsidR="007B79EC" w:rsidRPr="00722F23" w:rsidP="00BF576C" w14:paraId="43C27D1C" w14:textId="04D59862">
      <w:pPr>
        <w:pStyle w:val="FootnoteText"/>
        <w:ind w:firstLine="720"/>
        <w:rPr>
          <w:rFonts w:ascii="Times New Roman" w:hAnsi="Times New Roman"/>
        </w:rPr>
      </w:pPr>
      <w:r w:rsidRPr="00722F23">
        <w:rPr>
          <w:rFonts w:ascii="Times New Roman" w:hAnsi="Times New Roman"/>
        </w:rPr>
        <w:t xml:space="preserve">** </w:t>
      </w:r>
      <w:hyperlink r:id="rId9" w:history="1">
        <w:r w:rsidRPr="00722F23" w:rsidR="004D61A3">
          <w:rPr>
            <w:rStyle w:val="Hyperlink"/>
            <w:rFonts w:ascii="Times New Roman" w:hAnsi="Times New Roman" w:cs="Times New Roman"/>
            <w:sz w:val="20"/>
            <w:szCs w:val="20"/>
          </w:rPr>
          <w:t>https://www.nfpa.org/News-and-Research/Fire-statistics-and-reports/Fire-statistics/The-fire-service/Administration/US-fire-department-profile</w:t>
        </w:r>
      </w:hyperlink>
      <w:r w:rsidRPr="00722F23">
        <w:rPr>
          <w:rFonts w:ascii="Times New Roman" w:hAnsi="Times New Roman"/>
        </w:rPr>
        <w:t xml:space="preserve"> (fire fighters)</w:t>
      </w:r>
    </w:p>
    <w:p w:rsidR="00287B6C" w:rsidRPr="0016363D" w:rsidP="00BF576C" w14:paraId="260A9AA4" w14:textId="532AF6B7">
      <w:pPr>
        <w:pStyle w:val="FootnoteText"/>
        <w:rPr>
          <w:rFonts w:ascii="Times New Roman" w:hAnsi="Times New Roman" w:eastAsiaTheme="minorHAnsi"/>
        </w:rPr>
      </w:pPr>
      <w:r w:rsidRPr="006236A2">
        <w:rPr>
          <w:rFonts w:ascii="Times New Roman" w:hAnsi="Times New Roman"/>
        </w:rPr>
        <w:t>1`1234567890-</w:t>
      </w:r>
      <w:r w:rsidRPr="006236A2" w:rsidR="00D0145F">
        <w:rPr>
          <w:rFonts w:ascii="Times New Roman" w:hAnsi="Times New Roman"/>
        </w:rPr>
        <w:t xml:space="preserve"> </w:t>
      </w:r>
      <w:hyperlink r:id="rId10" w:anchor=":~:text=The%20majority%20of%20the%20registered%20departments,departments%20are%20located%20in%20U.S.%20territories.&amp;text=The%20majority%20of%20the,located%20in%20U.S.%20territories.&amp;text=of%20the%20registered%20departments,departments%20are%20located%20in" w:history="1">
        <w:r w:rsidRPr="0016363D" w:rsidR="00D0145F">
          <w:rPr>
            <w:rFonts w:ascii="Times New Roman" w:hAnsi="Times New Roman" w:eastAsiaTheme="minorHAnsi"/>
            <w:color w:val="0000FF"/>
            <w:u w:val="single"/>
          </w:rPr>
          <w:t>National Fire Department Registry Quick Facts (fema.gov)</w:t>
        </w:r>
      </w:hyperlink>
      <w:r w:rsidRPr="006236A2" w:rsidR="00D0145F">
        <w:rPr>
          <w:rFonts w:ascii="Times New Roman" w:hAnsi="Times New Roman" w:eastAsiaTheme="minorHAnsi"/>
          <w:sz w:val="22"/>
          <w:szCs w:val="22"/>
        </w:rPr>
        <w:t>(</w:t>
      </w:r>
      <w:r w:rsidRPr="0016363D" w:rsidR="00D0145F">
        <w:rPr>
          <w:rFonts w:ascii="Times New Roman" w:hAnsi="Times New Roman" w:eastAsiaTheme="minorHAnsi"/>
        </w:rPr>
        <w:t>10-22</w:t>
      </w:r>
      <w:r w:rsidRPr="0016363D" w:rsidR="002F6485">
        <w:rPr>
          <w:rFonts w:ascii="Times New Roman" w:hAnsi="Times New Roman" w:eastAsiaTheme="minorHAnsi"/>
        </w:rPr>
        <w:t>)</w:t>
      </w:r>
      <w:r w:rsidRPr="0016363D" w:rsidR="00FB2BF0">
        <w:rPr>
          <w:rFonts w:ascii="Times New Roman" w:hAnsi="Times New Roman" w:eastAsiaTheme="minorHAnsi"/>
        </w:rPr>
        <w:t xml:space="preserve"> USFA</w:t>
      </w:r>
    </w:p>
    <w:p w:rsidR="007B79EC" w:rsidP="00BF576C" w14:paraId="1746765D" w14:textId="671DD191">
      <w:pPr>
        <w:pStyle w:val="FootnoteText"/>
      </w:pPr>
      <w:r w:rsidRPr="006236A2">
        <w:rPr>
          <w:rFonts w:ascii="Times New Roman" w:hAnsi="Times New Roman"/>
        </w:rPr>
        <w:t xml:space="preserve">   </w:t>
      </w:r>
      <w:hyperlink r:id="rId10" w:anchor=":~:text=The%20majority%20of%20the%20registered%20departments,departments%20are%20located%20in%20U.S.%20territories.&amp;text=The%20majori" w:history="1">
        <w:r w:rsidRPr="006236A2" w:rsidR="0006135B">
          <w:rPr>
            <w:rStyle w:val="Hyperlink"/>
            <w:rFonts w:ascii="Times New Roman" w:hAnsi="Times New Roman" w:cs="Times New Roman"/>
            <w:sz w:val="20"/>
            <w:szCs w:val="20"/>
          </w:rPr>
          <w:t>https://apps.usfa.fema.gov/registry/summary#:~:text=The%20majority%20of%20the%20registered%20departments,departments%20are%20located%20in%20U.S.%20territories.&amp;text=The%20majori</w:t>
        </w:r>
      </w:hyperlink>
      <w:r w:rsidR="0006135B">
        <w:t xml:space="preserve">   10-22</w:t>
      </w:r>
    </w:p>
  </w:footnote>
  <w:footnote w:id="8">
    <w:p w:rsidR="162FC5FC" w:rsidRPr="00D91F68" w:rsidP="00D91F68" w14:paraId="0D63956C" w14:textId="5D38C745">
      <w:pPr>
        <w:spacing w:after="0" w:line="240" w:lineRule="auto"/>
        <w:ind w:firstLine="720"/>
        <w:rPr>
          <w:rFonts w:ascii="Times New Roman" w:eastAsia="Times New Roman" w:hAnsi="Times New Roman" w:cs="Times New Roman"/>
          <w:sz w:val="20"/>
          <w:szCs w:val="20"/>
        </w:rPr>
      </w:pPr>
      <w:r w:rsidRPr="162FC5FC">
        <w:rPr>
          <w:rStyle w:val="FootnoteReference"/>
          <w:rFonts w:ascii="Times New Roman" w:eastAsia="Times New Roman" w:hAnsi="Times New Roman" w:cs="Times New Roman"/>
          <w:sz w:val="20"/>
          <w:szCs w:val="20"/>
          <w:vertAlign w:val="superscript"/>
        </w:rPr>
        <w:footnoteRef/>
      </w:r>
      <w:r w:rsidRPr="00D91F68">
        <w:rPr>
          <w:rFonts w:ascii="Times New Roman" w:eastAsia="Times New Roman" w:hAnsi="Times New Roman" w:cs="Times New Roman"/>
          <w:sz w:val="20"/>
          <w:szCs w:val="20"/>
        </w:rPr>
        <w:t xml:space="preserve"> Note that most monitoring is done by automatic machines (monitors) which record the results or by a personal badge worn by workers.</w:t>
      </w:r>
    </w:p>
    <w:p w:rsidR="162FC5FC" w:rsidP="162FC5FC" w14:paraId="64F20BFE" w14:textId="744537F8">
      <w:pPr>
        <w:pStyle w:val="FootnoteText"/>
      </w:pPr>
    </w:p>
  </w:footnote>
  <w:footnote w:id="9">
    <w:p w:rsidR="007B79EC" w:rsidRPr="00944B79" w:rsidP="00476E47" w14:paraId="05378370" w14:textId="4E4B5F3A">
      <w:pPr>
        <w:spacing w:line="240" w:lineRule="auto"/>
        <w:ind w:firstLine="720"/>
        <w:rPr>
          <w:rFonts w:ascii="Times New Roman" w:hAnsi="Times New Roman" w:cs="Times New Roman"/>
          <w:sz w:val="20"/>
          <w:szCs w:val="20"/>
        </w:rPr>
      </w:pPr>
      <w:r w:rsidRPr="00D919EE">
        <w:rPr>
          <w:rStyle w:val="FootnoteReference"/>
          <w:vertAlign w:val="superscript"/>
        </w:rPr>
        <w:footnoteRef/>
      </w:r>
      <w:r w:rsidRPr="638B37EC" w:rsidR="638B37EC">
        <w:rPr>
          <w:rStyle w:val="FootnoteReference"/>
          <w:vertAlign w:val="superscript"/>
        </w:rPr>
        <w:t xml:space="preserve"> </w:t>
      </w:r>
      <w:r w:rsidRPr="00944B79" w:rsidR="638B37EC">
        <w:rPr>
          <w:rFonts w:ascii="Times New Roman" w:hAnsi="Times New Roman" w:cs="Times New Roman"/>
          <w:sz w:val="20"/>
          <w:szCs w:val="20"/>
        </w:rPr>
        <w:t xml:space="preserve">Workers referenced in paragraphs 1910.120(p)(8)(iii)(A), (training for emergency response workers) and paragraph 1910.120(p)(8)(iii)(B) (training employee members of TSD facility emergency response organizations) </w:t>
      </w:r>
      <w:r w:rsidR="638B37EC">
        <w:rPr>
          <w:rFonts w:ascii="Times New Roman" w:hAnsi="Times New Roman" w:cs="Times New Roman"/>
          <w:sz w:val="20"/>
          <w:szCs w:val="20"/>
        </w:rPr>
        <w:t xml:space="preserve">are </w:t>
      </w:r>
      <w:r w:rsidRPr="00944B79" w:rsidR="638B37EC">
        <w:rPr>
          <w:rFonts w:ascii="Times New Roman" w:hAnsi="Times New Roman" w:cs="Times New Roman"/>
          <w:sz w:val="20"/>
          <w:szCs w:val="20"/>
        </w:rPr>
        <w:t>included in</w:t>
      </w:r>
      <w:r w:rsidRPr="638B37EC" w:rsidR="638B37EC">
        <w:rPr>
          <w:rFonts w:ascii="Times New Roman" w:hAnsi="Times New Roman" w:cs="Times New Roman"/>
          <w:sz w:val="20"/>
          <w:szCs w:val="20"/>
        </w:rPr>
        <w:t xml:space="preserve"> the 45,885 TSD workers.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3221" w14:paraId="4FF86F70" w14:textId="45F97159">
    <w:pPr>
      <w:pStyle w:val="Header"/>
    </w:pPr>
  </w:p>
  <w:p w:rsidR="00A65F78" w:rsidP="002B3221" w14:paraId="44B00513" w14:textId="0C6FE09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The Hazardous Waste Operations and Emergency Response Standard </w:t>
    </w:r>
  </w:p>
  <w:p w:rsidR="00A65F78" w:rsidP="002B3221" w14:paraId="3C10BCD0" w14:textId="478FE931">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OMB Control Number:</w:t>
    </w:r>
    <w:r>
      <w:rPr>
        <w:rFonts w:ascii="Times New Roman" w:eastAsia="Times New Roman" w:hAnsi="Times New Roman" w:cs="Times New Roman"/>
        <w:bCs/>
        <w:sz w:val="20"/>
        <w:szCs w:val="20"/>
      </w:rPr>
      <w:t xml:space="preserve"> 1218-0202</w:t>
    </w:r>
  </w:p>
  <w:p w:rsidR="002B3221" w:rsidRPr="002B3221" w:rsidP="002B3221" w14:paraId="7DC2346C" w14:textId="161F9B5E">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OMB </w:t>
    </w:r>
    <w:r>
      <w:rPr>
        <w:rFonts w:ascii="Times New Roman" w:eastAsia="Times New Roman" w:hAnsi="Times New Roman" w:cs="Times New Roman"/>
        <w:bCs/>
        <w:sz w:val="20"/>
        <w:szCs w:val="20"/>
      </w:rPr>
      <w:t xml:space="preserve">Expiration Date: December 31, 2023 </w:t>
    </w:r>
  </w:p>
  <w:p w:rsidR="002B3221" w:rsidRPr="002B3221" w:rsidP="002B3221" w14:paraId="7EB3C7AA" w14:textId="77777777">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
        <w:i/>
        <w:iCs/>
        <w:color w:val="1F4E79"/>
        <w:sz w:val="20"/>
        <w:szCs w:val="20"/>
      </w:rPr>
    </w:pPr>
  </w:p>
  <w:p w:rsidR="002B3221" w14:paraId="0D7E4006" w14:textId="77777777">
    <w:pPr>
      <w:pStyle w:val="Header"/>
    </w:pPr>
  </w:p>
  <w:p w:rsidR="007B79EC" w:rsidRPr="0003167F" w14:paraId="3226780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79EC" w:rsidRPr="008E3A2B" w:rsidP="00BF576C" w14:paraId="2D25DDDE" w14:textId="77777777">
    <w:pPr>
      <w:autoSpaceDE w:val="0"/>
      <w:autoSpaceDN w:val="0"/>
      <w:adjustRightInd w:val="0"/>
      <w:rPr>
        <w:b/>
        <w:bCs/>
      </w:rPr>
    </w:pPr>
    <w:r w:rsidRPr="008E3A2B">
      <w:rPr>
        <w:b/>
        <w:bCs/>
      </w:rPr>
      <w:t xml:space="preserve">U.S. </w:t>
    </w:r>
    <w:r w:rsidRPr="008E3A2B">
      <w:rPr>
        <w:b/>
        <w:bCs/>
      </w:rPr>
      <w:t>Department of Labor</w:t>
    </w:r>
  </w:p>
  <w:p w:rsidR="007B79EC" w:rsidRPr="008E3A2B" w:rsidP="00BF576C" w14:paraId="20BD5C07" w14:textId="77777777">
    <w:pPr>
      <w:autoSpaceDE w:val="0"/>
      <w:autoSpaceDN w:val="0"/>
      <w:adjustRightInd w:val="0"/>
      <w:rPr>
        <w:b/>
        <w:bCs/>
      </w:rPr>
    </w:pPr>
    <w:r w:rsidRPr="008E3A2B">
      <w:rPr>
        <w:b/>
        <w:bCs/>
      </w:rPr>
      <w:t xml:space="preserve">Occupational Safety and Health Administration </w:t>
    </w:r>
  </w:p>
  <w:p w:rsidR="007B79EC" w:rsidRPr="00851908" w:rsidP="00BF576C" w14:paraId="1B802BDF" w14:textId="77777777">
    <w:pPr>
      <w:autoSpaceDE w:val="0"/>
      <w:autoSpaceDN w:val="0"/>
      <w:adjustRightInd w:val="0"/>
      <w:rPr>
        <w:b/>
        <w:bCs/>
        <w:sz w:val="24"/>
        <w:szCs w:val="24"/>
      </w:rPr>
    </w:pPr>
    <w:r w:rsidRPr="008E3A2B">
      <w:rPr>
        <w:b/>
        <w:bCs/>
      </w:rPr>
      <w:t>Preclearance Supporting Statement</w:t>
    </w:r>
    <w:r w:rsidRPr="00851908">
      <w:rPr>
        <w:b/>
        <w:bCs/>
        <w:sz w:val="24"/>
        <w:szCs w:val="24"/>
      </w:rPr>
      <w:t xml:space="preserve">  </w:t>
    </w:r>
  </w:p>
  <w:p w:rsidR="007B79EC" w14:paraId="1F1FCDC0" w14:textId="77777777">
    <w:pPr>
      <w:pStyle w:val="Header"/>
    </w:pPr>
  </w:p>
  <w:p w:rsidR="007B79EC" w14:paraId="2224FA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E8021454"/>
    <w:lvl w:ilvl="0">
      <w:start w:val="0"/>
      <w:numFmt w:val="bullet"/>
      <w:lvlText w:val="*"/>
      <w:lvlJc w:val="left"/>
    </w:lvl>
  </w:abstractNum>
  <w:abstractNum w:abstractNumId="1">
    <w:nsid w:val="0000000D"/>
    <w:multiLevelType w:val="multilevel"/>
    <w:tmpl w:val="00000000"/>
    <w:name w:val="AutoList27"/>
    <w:lvl w:ilvl="0">
      <w:start w:val="1"/>
      <w:numFmt w:val="upperLetter"/>
      <w:lvlText w:val="(%1)"/>
      <w:lvlJc w:val="left"/>
    </w:lvl>
    <w:lvl w:ilvl="1">
      <w:start w:val="1"/>
      <w:numFmt w:val="decimal"/>
      <w:lvlText w:val="·"/>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41836B9"/>
    <w:multiLevelType w:val="hybridMultilevel"/>
    <w:tmpl w:val="0EF2B0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BDC06FC"/>
    <w:multiLevelType w:val="hybridMultilevel"/>
    <w:tmpl w:val="3E5EECC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25B24FAD"/>
    <w:multiLevelType w:val="hybridMultilevel"/>
    <w:tmpl w:val="1902A23E"/>
    <w:lvl w:ilvl="0">
      <w:start w:val="0"/>
      <w:numFmt w:val="bullet"/>
      <w:lvlText w:val=""/>
      <w:lvlJc w:val="left"/>
      <w:pPr>
        <w:tabs>
          <w:tab w:val="num" w:pos="1530"/>
        </w:tabs>
        <w:ind w:left="1530" w:hanging="360"/>
      </w:pPr>
      <w:rPr>
        <w:rFonts w:ascii="Wingdings" w:eastAsia="Times New Roman" w:hAnsi="Wingdings" w:cs="Times New Roman" w:hint="default"/>
      </w:rPr>
    </w:lvl>
    <w:lvl w:ilvl="1" w:tentative="1">
      <w:start w:val="1"/>
      <w:numFmt w:val="bullet"/>
      <w:lvlText w:val="o"/>
      <w:lvlJc w:val="left"/>
      <w:pPr>
        <w:tabs>
          <w:tab w:val="num" w:pos="2250"/>
        </w:tabs>
        <w:ind w:left="2250" w:hanging="360"/>
      </w:pPr>
      <w:rPr>
        <w:rFonts w:ascii="Courier New" w:hAnsi="Courier New" w:cs="Courier New" w:hint="default"/>
      </w:rPr>
    </w:lvl>
    <w:lvl w:ilvl="2" w:tentative="1">
      <w:start w:val="1"/>
      <w:numFmt w:val="bullet"/>
      <w:lvlText w:val=""/>
      <w:lvlJc w:val="left"/>
      <w:pPr>
        <w:tabs>
          <w:tab w:val="num" w:pos="2970"/>
        </w:tabs>
        <w:ind w:left="2970" w:hanging="360"/>
      </w:pPr>
      <w:rPr>
        <w:rFonts w:ascii="Wingdings" w:hAnsi="Wingdings" w:hint="default"/>
      </w:rPr>
    </w:lvl>
    <w:lvl w:ilvl="3" w:tentative="1">
      <w:start w:val="1"/>
      <w:numFmt w:val="bullet"/>
      <w:lvlText w:val=""/>
      <w:lvlJc w:val="left"/>
      <w:pPr>
        <w:tabs>
          <w:tab w:val="num" w:pos="3690"/>
        </w:tabs>
        <w:ind w:left="3690" w:hanging="360"/>
      </w:pPr>
      <w:rPr>
        <w:rFonts w:ascii="Symbol" w:hAnsi="Symbol" w:hint="default"/>
      </w:rPr>
    </w:lvl>
    <w:lvl w:ilvl="4" w:tentative="1">
      <w:start w:val="1"/>
      <w:numFmt w:val="bullet"/>
      <w:lvlText w:val="o"/>
      <w:lvlJc w:val="left"/>
      <w:pPr>
        <w:tabs>
          <w:tab w:val="num" w:pos="4410"/>
        </w:tabs>
        <w:ind w:left="4410" w:hanging="360"/>
      </w:pPr>
      <w:rPr>
        <w:rFonts w:ascii="Courier New" w:hAnsi="Courier New" w:cs="Courier New" w:hint="default"/>
      </w:rPr>
    </w:lvl>
    <w:lvl w:ilvl="5" w:tentative="1">
      <w:start w:val="1"/>
      <w:numFmt w:val="bullet"/>
      <w:lvlText w:val=""/>
      <w:lvlJc w:val="left"/>
      <w:pPr>
        <w:tabs>
          <w:tab w:val="num" w:pos="5130"/>
        </w:tabs>
        <w:ind w:left="5130" w:hanging="360"/>
      </w:pPr>
      <w:rPr>
        <w:rFonts w:ascii="Wingdings" w:hAnsi="Wingdings" w:hint="default"/>
      </w:rPr>
    </w:lvl>
    <w:lvl w:ilvl="6" w:tentative="1">
      <w:start w:val="1"/>
      <w:numFmt w:val="bullet"/>
      <w:lvlText w:val=""/>
      <w:lvlJc w:val="left"/>
      <w:pPr>
        <w:tabs>
          <w:tab w:val="num" w:pos="5850"/>
        </w:tabs>
        <w:ind w:left="5850" w:hanging="360"/>
      </w:pPr>
      <w:rPr>
        <w:rFonts w:ascii="Symbol" w:hAnsi="Symbol" w:hint="default"/>
      </w:rPr>
    </w:lvl>
    <w:lvl w:ilvl="7" w:tentative="1">
      <w:start w:val="1"/>
      <w:numFmt w:val="bullet"/>
      <w:lvlText w:val="o"/>
      <w:lvlJc w:val="left"/>
      <w:pPr>
        <w:tabs>
          <w:tab w:val="num" w:pos="6570"/>
        </w:tabs>
        <w:ind w:left="6570" w:hanging="360"/>
      </w:pPr>
      <w:rPr>
        <w:rFonts w:ascii="Courier New" w:hAnsi="Courier New" w:cs="Courier New" w:hint="default"/>
      </w:rPr>
    </w:lvl>
    <w:lvl w:ilvl="8" w:tentative="1">
      <w:start w:val="1"/>
      <w:numFmt w:val="bullet"/>
      <w:lvlText w:val=""/>
      <w:lvlJc w:val="left"/>
      <w:pPr>
        <w:tabs>
          <w:tab w:val="num" w:pos="7290"/>
        </w:tabs>
        <w:ind w:left="7290" w:hanging="360"/>
      </w:pPr>
      <w:rPr>
        <w:rFonts w:ascii="Wingdings" w:hAnsi="Wingdings" w:hint="default"/>
      </w:rPr>
    </w:lvl>
  </w:abstractNum>
  <w:abstractNum w:abstractNumId="5">
    <w:nsid w:val="2FFA3B74"/>
    <w:multiLevelType w:val="hybridMultilevel"/>
    <w:tmpl w:val="90A0BA12"/>
    <w:lvl w:ilvl="0">
      <w:start w:val="30"/>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7053E14"/>
    <w:multiLevelType w:val="hybridMultilevel"/>
    <w:tmpl w:val="7D3ABC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1F56030"/>
    <w:multiLevelType w:val="hybridMultilevel"/>
    <w:tmpl w:val="CD76CF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7EA3D66"/>
    <w:multiLevelType w:val="singleLevel"/>
    <w:tmpl w:val="7FD45C18"/>
    <w:lvl w:ilvl="0">
      <w:start w:val="8"/>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9">
    <w:nsid w:val="6D7D2315"/>
    <w:multiLevelType w:val="hybridMultilevel"/>
    <w:tmpl w:val="737E2BEC"/>
    <w:lvl w:ilvl="0">
      <w:start w:val="1"/>
      <w:numFmt w:val="decimal"/>
      <w:lvlText w:val="%1."/>
      <w:lvlJc w:val="left"/>
      <w:pPr>
        <w:ind w:left="420" w:hanging="360"/>
      </w:pPr>
      <w:rPr>
        <w:b/>
        <w:bCs/>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0">
    <w:nsid w:val="7A4D2E92"/>
    <w:multiLevelType w:val="hybridMultilevel"/>
    <w:tmpl w:val="C73A868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96060736">
    <w:abstractNumId w:val="8"/>
  </w:num>
  <w:num w:numId="2" w16cid:durableId="1303845958">
    <w:abstractNumId w:val="10"/>
  </w:num>
  <w:num w:numId="3" w16cid:durableId="1506166132">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711151819">
    <w:abstractNumId w:val="0"/>
    <w:lvlOverride w:ilvl="0">
      <w:lvl w:ilvl="0">
        <w:start w:val="0"/>
        <w:numFmt w:val="bullet"/>
        <w:lvlText w:val="·"/>
        <w:legacy w:legacy="1" w:legacySpace="0" w:legacyIndent="450"/>
        <w:lvlJc w:val="left"/>
        <w:pPr>
          <w:ind w:left="1170" w:hanging="450"/>
        </w:pPr>
        <w:rPr>
          <w:rFonts w:ascii="Times New Roman" w:hAnsi="Times New Roman" w:cs="Times New Roman" w:hint="default"/>
        </w:rPr>
      </w:lvl>
    </w:lvlOverride>
  </w:num>
  <w:num w:numId="5" w16cid:durableId="1031225654">
    <w:abstractNumId w:val="4"/>
  </w:num>
  <w:num w:numId="6" w16cid:durableId="660043977">
    <w:abstractNumId w:val="5"/>
  </w:num>
  <w:num w:numId="7" w16cid:durableId="408041100">
    <w:abstractNumId w:val="1"/>
    <w:lvlOverride w:ilvl="0">
      <w:startOverride w:val="4"/>
      <w:lvl w:ilvl="0">
        <w:start w:val="4"/>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8" w16cid:durableId="1279797367">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316154575">
    <w:abstractNumId w:val="3"/>
  </w:num>
  <w:num w:numId="10" w16cid:durableId="873076768">
    <w:abstractNumId w:val="6"/>
  </w:num>
  <w:num w:numId="11" w16cid:durableId="1067386906">
    <w:abstractNumId w:val="2"/>
  </w:num>
  <w:num w:numId="12" w16cid:durableId="512886645">
    <w:abstractNumId w:val="7"/>
  </w:num>
  <w:num w:numId="13" w16cid:durableId="21284295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137"/>
    <w:rsid w:val="00001745"/>
    <w:rsid w:val="0000248A"/>
    <w:rsid w:val="000035D1"/>
    <w:rsid w:val="00007D21"/>
    <w:rsid w:val="000103D1"/>
    <w:rsid w:val="000171CB"/>
    <w:rsid w:val="00021BE2"/>
    <w:rsid w:val="00024914"/>
    <w:rsid w:val="00024CFB"/>
    <w:rsid w:val="000260A0"/>
    <w:rsid w:val="00026437"/>
    <w:rsid w:val="0002752F"/>
    <w:rsid w:val="00030BCF"/>
    <w:rsid w:val="0003167F"/>
    <w:rsid w:val="00031701"/>
    <w:rsid w:val="000334DB"/>
    <w:rsid w:val="00033721"/>
    <w:rsid w:val="00033B65"/>
    <w:rsid w:val="00033C89"/>
    <w:rsid w:val="000345A9"/>
    <w:rsid w:val="00035560"/>
    <w:rsid w:val="000407C7"/>
    <w:rsid w:val="00042589"/>
    <w:rsid w:val="0004262E"/>
    <w:rsid w:val="00046C2B"/>
    <w:rsid w:val="00050098"/>
    <w:rsid w:val="000503CF"/>
    <w:rsid w:val="000507A8"/>
    <w:rsid w:val="00056E21"/>
    <w:rsid w:val="000600CE"/>
    <w:rsid w:val="0006135B"/>
    <w:rsid w:val="000619DD"/>
    <w:rsid w:val="00065CD6"/>
    <w:rsid w:val="0007091E"/>
    <w:rsid w:val="00071251"/>
    <w:rsid w:val="00071E26"/>
    <w:rsid w:val="00072906"/>
    <w:rsid w:val="00073289"/>
    <w:rsid w:val="000747BD"/>
    <w:rsid w:val="00076343"/>
    <w:rsid w:val="0008159C"/>
    <w:rsid w:val="00081785"/>
    <w:rsid w:val="0008332F"/>
    <w:rsid w:val="0008571C"/>
    <w:rsid w:val="00090F83"/>
    <w:rsid w:val="0009198D"/>
    <w:rsid w:val="000929BA"/>
    <w:rsid w:val="00093C2A"/>
    <w:rsid w:val="0009427E"/>
    <w:rsid w:val="00096D82"/>
    <w:rsid w:val="000A3EBC"/>
    <w:rsid w:val="000B5BBD"/>
    <w:rsid w:val="000B5C2A"/>
    <w:rsid w:val="000B7201"/>
    <w:rsid w:val="000C22D2"/>
    <w:rsid w:val="000C33C0"/>
    <w:rsid w:val="000C3BB0"/>
    <w:rsid w:val="000C4858"/>
    <w:rsid w:val="000C647C"/>
    <w:rsid w:val="000D162C"/>
    <w:rsid w:val="000D30ED"/>
    <w:rsid w:val="000D3C11"/>
    <w:rsid w:val="000D61D6"/>
    <w:rsid w:val="000E1202"/>
    <w:rsid w:val="000E13FB"/>
    <w:rsid w:val="000E154F"/>
    <w:rsid w:val="000E3300"/>
    <w:rsid w:val="000E42A2"/>
    <w:rsid w:val="000E6954"/>
    <w:rsid w:val="000E7A2D"/>
    <w:rsid w:val="000F3747"/>
    <w:rsid w:val="000F3BDB"/>
    <w:rsid w:val="000F6822"/>
    <w:rsid w:val="000F6F92"/>
    <w:rsid w:val="000F71FA"/>
    <w:rsid w:val="0010099A"/>
    <w:rsid w:val="00102A3E"/>
    <w:rsid w:val="001041AA"/>
    <w:rsid w:val="001050A8"/>
    <w:rsid w:val="001072B9"/>
    <w:rsid w:val="00107371"/>
    <w:rsid w:val="00107C1F"/>
    <w:rsid w:val="00112675"/>
    <w:rsid w:val="00113DA3"/>
    <w:rsid w:val="00114969"/>
    <w:rsid w:val="001168FD"/>
    <w:rsid w:val="00116D88"/>
    <w:rsid w:val="00123638"/>
    <w:rsid w:val="00124767"/>
    <w:rsid w:val="0013046D"/>
    <w:rsid w:val="001305FD"/>
    <w:rsid w:val="00131B80"/>
    <w:rsid w:val="00132543"/>
    <w:rsid w:val="00137111"/>
    <w:rsid w:val="00142C0E"/>
    <w:rsid w:val="00143403"/>
    <w:rsid w:val="00143A99"/>
    <w:rsid w:val="00146282"/>
    <w:rsid w:val="001467CB"/>
    <w:rsid w:val="00150633"/>
    <w:rsid w:val="00150C0A"/>
    <w:rsid w:val="00150D1F"/>
    <w:rsid w:val="00151CF8"/>
    <w:rsid w:val="001524FE"/>
    <w:rsid w:val="00160D0F"/>
    <w:rsid w:val="0016140E"/>
    <w:rsid w:val="001635FB"/>
    <w:rsid w:val="0016363D"/>
    <w:rsid w:val="00166196"/>
    <w:rsid w:val="001668BF"/>
    <w:rsid w:val="00172B38"/>
    <w:rsid w:val="001740BF"/>
    <w:rsid w:val="00177FA7"/>
    <w:rsid w:val="001804DD"/>
    <w:rsid w:val="0018595A"/>
    <w:rsid w:val="00185999"/>
    <w:rsid w:val="00187BE3"/>
    <w:rsid w:val="00187E13"/>
    <w:rsid w:val="00197CFF"/>
    <w:rsid w:val="001A204C"/>
    <w:rsid w:val="001A20BE"/>
    <w:rsid w:val="001A3122"/>
    <w:rsid w:val="001A379E"/>
    <w:rsid w:val="001A3AD5"/>
    <w:rsid w:val="001A423D"/>
    <w:rsid w:val="001A6898"/>
    <w:rsid w:val="001A7689"/>
    <w:rsid w:val="001B1380"/>
    <w:rsid w:val="001B1DA6"/>
    <w:rsid w:val="001B2D6F"/>
    <w:rsid w:val="001B488F"/>
    <w:rsid w:val="001B7EFF"/>
    <w:rsid w:val="001C0284"/>
    <w:rsid w:val="001C176E"/>
    <w:rsid w:val="001C1A8F"/>
    <w:rsid w:val="001C2137"/>
    <w:rsid w:val="001C510E"/>
    <w:rsid w:val="001C62F1"/>
    <w:rsid w:val="001D077E"/>
    <w:rsid w:val="001D5DD2"/>
    <w:rsid w:val="001D5E2D"/>
    <w:rsid w:val="001D6384"/>
    <w:rsid w:val="001E0E44"/>
    <w:rsid w:val="001E49F7"/>
    <w:rsid w:val="001E4D9E"/>
    <w:rsid w:val="001E5B0C"/>
    <w:rsid w:val="001F1F87"/>
    <w:rsid w:val="001F4401"/>
    <w:rsid w:val="001F4A20"/>
    <w:rsid w:val="001F6758"/>
    <w:rsid w:val="00201B98"/>
    <w:rsid w:val="002037FA"/>
    <w:rsid w:val="00204ACA"/>
    <w:rsid w:val="0020563C"/>
    <w:rsid w:val="00205BE4"/>
    <w:rsid w:val="0021038B"/>
    <w:rsid w:val="0021457F"/>
    <w:rsid w:val="00217BBD"/>
    <w:rsid w:val="0022577B"/>
    <w:rsid w:val="00230604"/>
    <w:rsid w:val="00230E93"/>
    <w:rsid w:val="002311E4"/>
    <w:rsid w:val="00235630"/>
    <w:rsid w:val="00236823"/>
    <w:rsid w:val="0023699C"/>
    <w:rsid w:val="0024081C"/>
    <w:rsid w:val="002448ED"/>
    <w:rsid w:val="002468FA"/>
    <w:rsid w:val="00250409"/>
    <w:rsid w:val="0025349E"/>
    <w:rsid w:val="00253B84"/>
    <w:rsid w:val="00253D6B"/>
    <w:rsid w:val="0025551D"/>
    <w:rsid w:val="002565A8"/>
    <w:rsid w:val="00257B5E"/>
    <w:rsid w:val="00260A25"/>
    <w:rsid w:val="0026106A"/>
    <w:rsid w:val="00263AA1"/>
    <w:rsid w:val="00265587"/>
    <w:rsid w:val="0026670D"/>
    <w:rsid w:val="00271C23"/>
    <w:rsid w:val="0027238A"/>
    <w:rsid w:val="002724FB"/>
    <w:rsid w:val="00272651"/>
    <w:rsid w:val="00273A8E"/>
    <w:rsid w:val="00281CAE"/>
    <w:rsid w:val="00282EF5"/>
    <w:rsid w:val="00285B5F"/>
    <w:rsid w:val="00285D7B"/>
    <w:rsid w:val="00287B6C"/>
    <w:rsid w:val="00294BAB"/>
    <w:rsid w:val="002A235E"/>
    <w:rsid w:val="002A4EC5"/>
    <w:rsid w:val="002A7FF7"/>
    <w:rsid w:val="002B0EB9"/>
    <w:rsid w:val="002B0FAF"/>
    <w:rsid w:val="002B0FD2"/>
    <w:rsid w:val="002B3221"/>
    <w:rsid w:val="002B54F3"/>
    <w:rsid w:val="002B791B"/>
    <w:rsid w:val="002C0A20"/>
    <w:rsid w:val="002C0D5C"/>
    <w:rsid w:val="002C2695"/>
    <w:rsid w:val="002C60B9"/>
    <w:rsid w:val="002C64F6"/>
    <w:rsid w:val="002D08A2"/>
    <w:rsid w:val="002D18EE"/>
    <w:rsid w:val="002D2423"/>
    <w:rsid w:val="002D7925"/>
    <w:rsid w:val="002D7ED6"/>
    <w:rsid w:val="002E3B6F"/>
    <w:rsid w:val="002E3D30"/>
    <w:rsid w:val="002E533F"/>
    <w:rsid w:val="002E54A2"/>
    <w:rsid w:val="002E6A3F"/>
    <w:rsid w:val="002F07A8"/>
    <w:rsid w:val="002F1C1B"/>
    <w:rsid w:val="002F20C8"/>
    <w:rsid w:val="002F31BB"/>
    <w:rsid w:val="002F5396"/>
    <w:rsid w:val="002F605C"/>
    <w:rsid w:val="002F6485"/>
    <w:rsid w:val="002F651E"/>
    <w:rsid w:val="002F701F"/>
    <w:rsid w:val="002F7819"/>
    <w:rsid w:val="00300E04"/>
    <w:rsid w:val="00301777"/>
    <w:rsid w:val="00301D05"/>
    <w:rsid w:val="00305633"/>
    <w:rsid w:val="00307A63"/>
    <w:rsid w:val="00312819"/>
    <w:rsid w:val="0031584A"/>
    <w:rsid w:val="00315D87"/>
    <w:rsid w:val="00321D3B"/>
    <w:rsid w:val="00324834"/>
    <w:rsid w:val="003265FF"/>
    <w:rsid w:val="0032723C"/>
    <w:rsid w:val="0033214E"/>
    <w:rsid w:val="00333BA0"/>
    <w:rsid w:val="00334E36"/>
    <w:rsid w:val="00335958"/>
    <w:rsid w:val="00337F71"/>
    <w:rsid w:val="00340172"/>
    <w:rsid w:val="00343AA0"/>
    <w:rsid w:val="00350A9B"/>
    <w:rsid w:val="00355004"/>
    <w:rsid w:val="00355899"/>
    <w:rsid w:val="00356A44"/>
    <w:rsid w:val="00357938"/>
    <w:rsid w:val="00364C26"/>
    <w:rsid w:val="00365E89"/>
    <w:rsid w:val="00366619"/>
    <w:rsid w:val="003703AF"/>
    <w:rsid w:val="00370E49"/>
    <w:rsid w:val="00373882"/>
    <w:rsid w:val="003772C7"/>
    <w:rsid w:val="00377AEE"/>
    <w:rsid w:val="0038315B"/>
    <w:rsid w:val="00383C82"/>
    <w:rsid w:val="00384C34"/>
    <w:rsid w:val="00387008"/>
    <w:rsid w:val="00387ADE"/>
    <w:rsid w:val="00391BCB"/>
    <w:rsid w:val="0039505E"/>
    <w:rsid w:val="003A0DFE"/>
    <w:rsid w:val="003A14AC"/>
    <w:rsid w:val="003A1621"/>
    <w:rsid w:val="003A1C8D"/>
    <w:rsid w:val="003A48F3"/>
    <w:rsid w:val="003A4A1C"/>
    <w:rsid w:val="003A4C3E"/>
    <w:rsid w:val="003A597B"/>
    <w:rsid w:val="003A6D12"/>
    <w:rsid w:val="003B0AC2"/>
    <w:rsid w:val="003B59CE"/>
    <w:rsid w:val="003B7FAD"/>
    <w:rsid w:val="003C05DC"/>
    <w:rsid w:val="003C07E4"/>
    <w:rsid w:val="003C0A4A"/>
    <w:rsid w:val="003C4D0A"/>
    <w:rsid w:val="003D126C"/>
    <w:rsid w:val="003D51DC"/>
    <w:rsid w:val="003D6AC9"/>
    <w:rsid w:val="003D6F57"/>
    <w:rsid w:val="003D7817"/>
    <w:rsid w:val="003E0D33"/>
    <w:rsid w:val="003E1EA9"/>
    <w:rsid w:val="003E33C2"/>
    <w:rsid w:val="003E4169"/>
    <w:rsid w:val="003E64AB"/>
    <w:rsid w:val="003E6729"/>
    <w:rsid w:val="003E7D78"/>
    <w:rsid w:val="003F0126"/>
    <w:rsid w:val="003F03A8"/>
    <w:rsid w:val="003F0CB7"/>
    <w:rsid w:val="003F2338"/>
    <w:rsid w:val="003F2F2E"/>
    <w:rsid w:val="003F5110"/>
    <w:rsid w:val="00401857"/>
    <w:rsid w:val="00401CD5"/>
    <w:rsid w:val="004031C3"/>
    <w:rsid w:val="00403E9C"/>
    <w:rsid w:val="004040AC"/>
    <w:rsid w:val="00407CBE"/>
    <w:rsid w:val="00412937"/>
    <w:rsid w:val="00414DF7"/>
    <w:rsid w:val="0042139D"/>
    <w:rsid w:val="004215A2"/>
    <w:rsid w:val="00425CB2"/>
    <w:rsid w:val="0042606D"/>
    <w:rsid w:val="00430342"/>
    <w:rsid w:val="00431813"/>
    <w:rsid w:val="004336B4"/>
    <w:rsid w:val="00433FCE"/>
    <w:rsid w:val="0043446B"/>
    <w:rsid w:val="00436422"/>
    <w:rsid w:val="0043782F"/>
    <w:rsid w:val="004400BC"/>
    <w:rsid w:val="00445BB4"/>
    <w:rsid w:val="0044673A"/>
    <w:rsid w:val="004473D2"/>
    <w:rsid w:val="0045148D"/>
    <w:rsid w:val="00452470"/>
    <w:rsid w:val="00452AA0"/>
    <w:rsid w:val="00454EED"/>
    <w:rsid w:val="00455529"/>
    <w:rsid w:val="004574CB"/>
    <w:rsid w:val="00457B8F"/>
    <w:rsid w:val="00457FF9"/>
    <w:rsid w:val="004623A9"/>
    <w:rsid w:val="004627EA"/>
    <w:rsid w:val="00462831"/>
    <w:rsid w:val="00467389"/>
    <w:rsid w:val="0047022C"/>
    <w:rsid w:val="00473189"/>
    <w:rsid w:val="00476E47"/>
    <w:rsid w:val="00477695"/>
    <w:rsid w:val="00477E71"/>
    <w:rsid w:val="00477F50"/>
    <w:rsid w:val="00480961"/>
    <w:rsid w:val="004815A8"/>
    <w:rsid w:val="004815E1"/>
    <w:rsid w:val="00481E91"/>
    <w:rsid w:val="00485008"/>
    <w:rsid w:val="004859F6"/>
    <w:rsid w:val="00486484"/>
    <w:rsid w:val="004931C7"/>
    <w:rsid w:val="004945CB"/>
    <w:rsid w:val="004949E3"/>
    <w:rsid w:val="00497EC5"/>
    <w:rsid w:val="004A1A66"/>
    <w:rsid w:val="004A49C4"/>
    <w:rsid w:val="004A4DB8"/>
    <w:rsid w:val="004A544E"/>
    <w:rsid w:val="004A5910"/>
    <w:rsid w:val="004A5C9F"/>
    <w:rsid w:val="004B69C4"/>
    <w:rsid w:val="004B77CE"/>
    <w:rsid w:val="004C1DF0"/>
    <w:rsid w:val="004C28D0"/>
    <w:rsid w:val="004C3134"/>
    <w:rsid w:val="004C3374"/>
    <w:rsid w:val="004C40C9"/>
    <w:rsid w:val="004C4F85"/>
    <w:rsid w:val="004C6D2A"/>
    <w:rsid w:val="004C7361"/>
    <w:rsid w:val="004C7A00"/>
    <w:rsid w:val="004D13E0"/>
    <w:rsid w:val="004D380F"/>
    <w:rsid w:val="004D61A3"/>
    <w:rsid w:val="004D64DD"/>
    <w:rsid w:val="004D6A3B"/>
    <w:rsid w:val="004D725B"/>
    <w:rsid w:val="004D77DC"/>
    <w:rsid w:val="004D7E3E"/>
    <w:rsid w:val="004E01CA"/>
    <w:rsid w:val="004E0908"/>
    <w:rsid w:val="004E436E"/>
    <w:rsid w:val="004E533F"/>
    <w:rsid w:val="004E5F51"/>
    <w:rsid w:val="004E60FF"/>
    <w:rsid w:val="004E6EBE"/>
    <w:rsid w:val="004E7B29"/>
    <w:rsid w:val="004E7F2C"/>
    <w:rsid w:val="004F5222"/>
    <w:rsid w:val="004F741D"/>
    <w:rsid w:val="004F746A"/>
    <w:rsid w:val="0050160A"/>
    <w:rsid w:val="00504733"/>
    <w:rsid w:val="00505D71"/>
    <w:rsid w:val="00513AB6"/>
    <w:rsid w:val="00513F51"/>
    <w:rsid w:val="0052057D"/>
    <w:rsid w:val="0052175D"/>
    <w:rsid w:val="00521A8F"/>
    <w:rsid w:val="005237BC"/>
    <w:rsid w:val="00523A56"/>
    <w:rsid w:val="00523E74"/>
    <w:rsid w:val="00524FD2"/>
    <w:rsid w:val="00525C5F"/>
    <w:rsid w:val="00531B45"/>
    <w:rsid w:val="005340AB"/>
    <w:rsid w:val="005360A5"/>
    <w:rsid w:val="00536AE0"/>
    <w:rsid w:val="00536F2A"/>
    <w:rsid w:val="005416D9"/>
    <w:rsid w:val="00543E3E"/>
    <w:rsid w:val="005443BE"/>
    <w:rsid w:val="005508C7"/>
    <w:rsid w:val="00552B55"/>
    <w:rsid w:val="0055411E"/>
    <w:rsid w:val="00554E9B"/>
    <w:rsid w:val="00555D3A"/>
    <w:rsid w:val="00556BBE"/>
    <w:rsid w:val="00560AA8"/>
    <w:rsid w:val="00563948"/>
    <w:rsid w:val="00563B21"/>
    <w:rsid w:val="00566C5C"/>
    <w:rsid w:val="00570DBD"/>
    <w:rsid w:val="00575191"/>
    <w:rsid w:val="00575536"/>
    <w:rsid w:val="00575F78"/>
    <w:rsid w:val="00577956"/>
    <w:rsid w:val="00580C4D"/>
    <w:rsid w:val="00583A2C"/>
    <w:rsid w:val="00584430"/>
    <w:rsid w:val="00584E4B"/>
    <w:rsid w:val="005868BD"/>
    <w:rsid w:val="0058690D"/>
    <w:rsid w:val="00587E2A"/>
    <w:rsid w:val="005911C6"/>
    <w:rsid w:val="005915BD"/>
    <w:rsid w:val="005923AC"/>
    <w:rsid w:val="005928BD"/>
    <w:rsid w:val="00594F44"/>
    <w:rsid w:val="00596E38"/>
    <w:rsid w:val="005A09AD"/>
    <w:rsid w:val="005A194A"/>
    <w:rsid w:val="005A46B8"/>
    <w:rsid w:val="005A617D"/>
    <w:rsid w:val="005B06B3"/>
    <w:rsid w:val="005B2467"/>
    <w:rsid w:val="005B2E9D"/>
    <w:rsid w:val="005B515A"/>
    <w:rsid w:val="005B7D14"/>
    <w:rsid w:val="005C229C"/>
    <w:rsid w:val="005C2671"/>
    <w:rsid w:val="005C61A8"/>
    <w:rsid w:val="005C7AE1"/>
    <w:rsid w:val="005D1519"/>
    <w:rsid w:val="005D1B90"/>
    <w:rsid w:val="005D55EC"/>
    <w:rsid w:val="005D6AC9"/>
    <w:rsid w:val="005D719D"/>
    <w:rsid w:val="005E4B25"/>
    <w:rsid w:val="005E5219"/>
    <w:rsid w:val="005E7F64"/>
    <w:rsid w:val="005F0153"/>
    <w:rsid w:val="005F116E"/>
    <w:rsid w:val="005F1C82"/>
    <w:rsid w:val="005F2B6C"/>
    <w:rsid w:val="005F4B0D"/>
    <w:rsid w:val="005F4D9A"/>
    <w:rsid w:val="005F5E9C"/>
    <w:rsid w:val="005F6302"/>
    <w:rsid w:val="005F678C"/>
    <w:rsid w:val="006002E0"/>
    <w:rsid w:val="006034F4"/>
    <w:rsid w:val="006112F4"/>
    <w:rsid w:val="00612FF1"/>
    <w:rsid w:val="00613ACE"/>
    <w:rsid w:val="0061637B"/>
    <w:rsid w:val="0062346C"/>
    <w:rsid w:val="006236A2"/>
    <w:rsid w:val="00626464"/>
    <w:rsid w:val="006279D1"/>
    <w:rsid w:val="00627D1A"/>
    <w:rsid w:val="00627D22"/>
    <w:rsid w:val="00631073"/>
    <w:rsid w:val="00631984"/>
    <w:rsid w:val="00631F7D"/>
    <w:rsid w:val="00640CDB"/>
    <w:rsid w:val="006504D9"/>
    <w:rsid w:val="006515C0"/>
    <w:rsid w:val="00653245"/>
    <w:rsid w:val="00654866"/>
    <w:rsid w:val="006551B8"/>
    <w:rsid w:val="006565FD"/>
    <w:rsid w:val="00665D43"/>
    <w:rsid w:val="0066717D"/>
    <w:rsid w:val="00667C74"/>
    <w:rsid w:val="006705D2"/>
    <w:rsid w:val="006706AE"/>
    <w:rsid w:val="00671CEF"/>
    <w:rsid w:val="00672BBB"/>
    <w:rsid w:val="0067584A"/>
    <w:rsid w:val="00675C87"/>
    <w:rsid w:val="0068016D"/>
    <w:rsid w:val="006801A1"/>
    <w:rsid w:val="00680AC3"/>
    <w:rsid w:val="00682E57"/>
    <w:rsid w:val="00684004"/>
    <w:rsid w:val="00686881"/>
    <w:rsid w:val="00687C7E"/>
    <w:rsid w:val="006A1BD9"/>
    <w:rsid w:val="006A2245"/>
    <w:rsid w:val="006A603A"/>
    <w:rsid w:val="006A6951"/>
    <w:rsid w:val="006B1598"/>
    <w:rsid w:val="006B350A"/>
    <w:rsid w:val="006B4DC5"/>
    <w:rsid w:val="006B4E97"/>
    <w:rsid w:val="006B76A2"/>
    <w:rsid w:val="006C0E8E"/>
    <w:rsid w:val="006C1AF4"/>
    <w:rsid w:val="006C280E"/>
    <w:rsid w:val="006C4E92"/>
    <w:rsid w:val="006C7E7B"/>
    <w:rsid w:val="006D017E"/>
    <w:rsid w:val="006D06C5"/>
    <w:rsid w:val="006D37AA"/>
    <w:rsid w:val="006D5E11"/>
    <w:rsid w:val="006D65FC"/>
    <w:rsid w:val="006D6C1E"/>
    <w:rsid w:val="006E06E0"/>
    <w:rsid w:val="006E12FF"/>
    <w:rsid w:val="006E14CE"/>
    <w:rsid w:val="006E23BC"/>
    <w:rsid w:val="006E520E"/>
    <w:rsid w:val="006E563B"/>
    <w:rsid w:val="006F077E"/>
    <w:rsid w:val="006F11E5"/>
    <w:rsid w:val="006F1B71"/>
    <w:rsid w:val="006F2943"/>
    <w:rsid w:val="006F5F36"/>
    <w:rsid w:val="00700D36"/>
    <w:rsid w:val="00703447"/>
    <w:rsid w:val="007050E8"/>
    <w:rsid w:val="00707B7A"/>
    <w:rsid w:val="00710CAA"/>
    <w:rsid w:val="00712093"/>
    <w:rsid w:val="00712BE1"/>
    <w:rsid w:val="00714096"/>
    <w:rsid w:val="00714F81"/>
    <w:rsid w:val="00717C9E"/>
    <w:rsid w:val="00722F23"/>
    <w:rsid w:val="00722F94"/>
    <w:rsid w:val="00723CBD"/>
    <w:rsid w:val="00723F40"/>
    <w:rsid w:val="00724581"/>
    <w:rsid w:val="00724E5B"/>
    <w:rsid w:val="00726F29"/>
    <w:rsid w:val="0073265E"/>
    <w:rsid w:val="007347AF"/>
    <w:rsid w:val="007375DC"/>
    <w:rsid w:val="0074057A"/>
    <w:rsid w:val="00743672"/>
    <w:rsid w:val="007454C0"/>
    <w:rsid w:val="00747728"/>
    <w:rsid w:val="00747E44"/>
    <w:rsid w:val="00751318"/>
    <w:rsid w:val="00752E06"/>
    <w:rsid w:val="00752F0C"/>
    <w:rsid w:val="007554D8"/>
    <w:rsid w:val="00755609"/>
    <w:rsid w:val="00761E73"/>
    <w:rsid w:val="00764602"/>
    <w:rsid w:val="007646E5"/>
    <w:rsid w:val="00772DD6"/>
    <w:rsid w:val="0077305D"/>
    <w:rsid w:val="007759AE"/>
    <w:rsid w:val="00775A12"/>
    <w:rsid w:val="00780755"/>
    <w:rsid w:val="00781CB3"/>
    <w:rsid w:val="00782713"/>
    <w:rsid w:val="007837F7"/>
    <w:rsid w:val="00784D1A"/>
    <w:rsid w:val="007850FB"/>
    <w:rsid w:val="00785CBA"/>
    <w:rsid w:val="00786D67"/>
    <w:rsid w:val="00786F29"/>
    <w:rsid w:val="00791138"/>
    <w:rsid w:val="00793C3E"/>
    <w:rsid w:val="007942D1"/>
    <w:rsid w:val="00795E3C"/>
    <w:rsid w:val="00795EA3"/>
    <w:rsid w:val="007A0D1B"/>
    <w:rsid w:val="007A7736"/>
    <w:rsid w:val="007B1D29"/>
    <w:rsid w:val="007B29CC"/>
    <w:rsid w:val="007B5F9D"/>
    <w:rsid w:val="007B79EC"/>
    <w:rsid w:val="007B7F1F"/>
    <w:rsid w:val="007C0C88"/>
    <w:rsid w:val="007C22DA"/>
    <w:rsid w:val="007C2713"/>
    <w:rsid w:val="007C3681"/>
    <w:rsid w:val="007C534E"/>
    <w:rsid w:val="007C5AE3"/>
    <w:rsid w:val="007D20A2"/>
    <w:rsid w:val="007D6072"/>
    <w:rsid w:val="007D63D5"/>
    <w:rsid w:val="007E23D4"/>
    <w:rsid w:val="007E3727"/>
    <w:rsid w:val="007E78C7"/>
    <w:rsid w:val="007F0080"/>
    <w:rsid w:val="007F0DE9"/>
    <w:rsid w:val="007F3F20"/>
    <w:rsid w:val="007F3F4E"/>
    <w:rsid w:val="007F4A5C"/>
    <w:rsid w:val="007F7050"/>
    <w:rsid w:val="008005E3"/>
    <w:rsid w:val="008029C6"/>
    <w:rsid w:val="00812FDA"/>
    <w:rsid w:val="00815219"/>
    <w:rsid w:val="00816336"/>
    <w:rsid w:val="00816AA6"/>
    <w:rsid w:val="00816E8A"/>
    <w:rsid w:val="0082035B"/>
    <w:rsid w:val="008208FD"/>
    <w:rsid w:val="00821E8F"/>
    <w:rsid w:val="0082324E"/>
    <w:rsid w:val="0082487A"/>
    <w:rsid w:val="0083113F"/>
    <w:rsid w:val="00833331"/>
    <w:rsid w:val="00835F9F"/>
    <w:rsid w:val="008365F5"/>
    <w:rsid w:val="0083682D"/>
    <w:rsid w:val="00837623"/>
    <w:rsid w:val="008415E6"/>
    <w:rsid w:val="00847DE3"/>
    <w:rsid w:val="00850746"/>
    <w:rsid w:val="00851908"/>
    <w:rsid w:val="0085190D"/>
    <w:rsid w:val="00855F4E"/>
    <w:rsid w:val="008649E3"/>
    <w:rsid w:val="008655F7"/>
    <w:rsid w:val="00866440"/>
    <w:rsid w:val="00866D02"/>
    <w:rsid w:val="00873670"/>
    <w:rsid w:val="008737A5"/>
    <w:rsid w:val="00875042"/>
    <w:rsid w:val="00876790"/>
    <w:rsid w:val="0087679E"/>
    <w:rsid w:val="008834F1"/>
    <w:rsid w:val="00885092"/>
    <w:rsid w:val="0088703C"/>
    <w:rsid w:val="008923F2"/>
    <w:rsid w:val="0089276E"/>
    <w:rsid w:val="008947F4"/>
    <w:rsid w:val="00895558"/>
    <w:rsid w:val="00895BC3"/>
    <w:rsid w:val="00896075"/>
    <w:rsid w:val="008A108C"/>
    <w:rsid w:val="008A2679"/>
    <w:rsid w:val="008A2CA7"/>
    <w:rsid w:val="008A3662"/>
    <w:rsid w:val="008A5CCC"/>
    <w:rsid w:val="008A6AE1"/>
    <w:rsid w:val="008A719A"/>
    <w:rsid w:val="008B0438"/>
    <w:rsid w:val="008B078D"/>
    <w:rsid w:val="008B3356"/>
    <w:rsid w:val="008B642A"/>
    <w:rsid w:val="008C1CD4"/>
    <w:rsid w:val="008C2526"/>
    <w:rsid w:val="008C299E"/>
    <w:rsid w:val="008C5315"/>
    <w:rsid w:val="008C54FA"/>
    <w:rsid w:val="008C58E3"/>
    <w:rsid w:val="008D0EC8"/>
    <w:rsid w:val="008D1EB4"/>
    <w:rsid w:val="008D3BDF"/>
    <w:rsid w:val="008D54B0"/>
    <w:rsid w:val="008D6842"/>
    <w:rsid w:val="008E263D"/>
    <w:rsid w:val="008E26FE"/>
    <w:rsid w:val="008E3A2B"/>
    <w:rsid w:val="008F0B72"/>
    <w:rsid w:val="008F1A73"/>
    <w:rsid w:val="008F59D5"/>
    <w:rsid w:val="008F5E87"/>
    <w:rsid w:val="00901021"/>
    <w:rsid w:val="00901559"/>
    <w:rsid w:val="009023A4"/>
    <w:rsid w:val="00904C7B"/>
    <w:rsid w:val="0090609F"/>
    <w:rsid w:val="00907269"/>
    <w:rsid w:val="009115CC"/>
    <w:rsid w:val="00916C79"/>
    <w:rsid w:val="009171E8"/>
    <w:rsid w:val="00917407"/>
    <w:rsid w:val="00917B77"/>
    <w:rsid w:val="00925E53"/>
    <w:rsid w:val="009305A3"/>
    <w:rsid w:val="00930E48"/>
    <w:rsid w:val="009370E5"/>
    <w:rsid w:val="0093788E"/>
    <w:rsid w:val="0094154A"/>
    <w:rsid w:val="00942150"/>
    <w:rsid w:val="00942EF4"/>
    <w:rsid w:val="00944B79"/>
    <w:rsid w:val="009470D0"/>
    <w:rsid w:val="009508A8"/>
    <w:rsid w:val="00950A9F"/>
    <w:rsid w:val="009521B4"/>
    <w:rsid w:val="00952D79"/>
    <w:rsid w:val="00953FCA"/>
    <w:rsid w:val="00954529"/>
    <w:rsid w:val="009554B2"/>
    <w:rsid w:val="0096086C"/>
    <w:rsid w:val="00961905"/>
    <w:rsid w:val="009631D0"/>
    <w:rsid w:val="00964512"/>
    <w:rsid w:val="009660C5"/>
    <w:rsid w:val="00977447"/>
    <w:rsid w:val="00977596"/>
    <w:rsid w:val="009844E0"/>
    <w:rsid w:val="00986563"/>
    <w:rsid w:val="009902CC"/>
    <w:rsid w:val="009922F4"/>
    <w:rsid w:val="009966C2"/>
    <w:rsid w:val="009A1543"/>
    <w:rsid w:val="009A2B47"/>
    <w:rsid w:val="009A4924"/>
    <w:rsid w:val="009B0CB6"/>
    <w:rsid w:val="009B5A6E"/>
    <w:rsid w:val="009B7D48"/>
    <w:rsid w:val="009C0543"/>
    <w:rsid w:val="009C381B"/>
    <w:rsid w:val="009C60D7"/>
    <w:rsid w:val="009D0278"/>
    <w:rsid w:val="009D6028"/>
    <w:rsid w:val="009F041B"/>
    <w:rsid w:val="009F12B2"/>
    <w:rsid w:val="009F161A"/>
    <w:rsid w:val="009F1665"/>
    <w:rsid w:val="009F43CD"/>
    <w:rsid w:val="009F71CF"/>
    <w:rsid w:val="00A018FA"/>
    <w:rsid w:val="00A0375D"/>
    <w:rsid w:val="00A03FFB"/>
    <w:rsid w:val="00A04439"/>
    <w:rsid w:val="00A044CE"/>
    <w:rsid w:val="00A04B3E"/>
    <w:rsid w:val="00A054F3"/>
    <w:rsid w:val="00A0622B"/>
    <w:rsid w:val="00A1094B"/>
    <w:rsid w:val="00A10D6F"/>
    <w:rsid w:val="00A127C7"/>
    <w:rsid w:val="00A12DC7"/>
    <w:rsid w:val="00A139AB"/>
    <w:rsid w:val="00A14EB0"/>
    <w:rsid w:val="00A156D7"/>
    <w:rsid w:val="00A15C9D"/>
    <w:rsid w:val="00A177BA"/>
    <w:rsid w:val="00A20BA7"/>
    <w:rsid w:val="00A24408"/>
    <w:rsid w:val="00A26A99"/>
    <w:rsid w:val="00A27ABB"/>
    <w:rsid w:val="00A30548"/>
    <w:rsid w:val="00A30BE5"/>
    <w:rsid w:val="00A32949"/>
    <w:rsid w:val="00A32D27"/>
    <w:rsid w:val="00A3449D"/>
    <w:rsid w:val="00A34F01"/>
    <w:rsid w:val="00A40773"/>
    <w:rsid w:val="00A424DD"/>
    <w:rsid w:val="00A46E2E"/>
    <w:rsid w:val="00A527B7"/>
    <w:rsid w:val="00A5348E"/>
    <w:rsid w:val="00A53503"/>
    <w:rsid w:val="00A5492B"/>
    <w:rsid w:val="00A60D78"/>
    <w:rsid w:val="00A63CD8"/>
    <w:rsid w:val="00A64234"/>
    <w:rsid w:val="00A649B7"/>
    <w:rsid w:val="00A655B8"/>
    <w:rsid w:val="00A65F78"/>
    <w:rsid w:val="00A67361"/>
    <w:rsid w:val="00A70516"/>
    <w:rsid w:val="00A71053"/>
    <w:rsid w:val="00A71AFE"/>
    <w:rsid w:val="00A73D21"/>
    <w:rsid w:val="00A74A8C"/>
    <w:rsid w:val="00A76CB7"/>
    <w:rsid w:val="00A81E73"/>
    <w:rsid w:val="00A83E98"/>
    <w:rsid w:val="00A85521"/>
    <w:rsid w:val="00A87752"/>
    <w:rsid w:val="00A90EE6"/>
    <w:rsid w:val="00A91BA8"/>
    <w:rsid w:val="00A961F1"/>
    <w:rsid w:val="00A97A08"/>
    <w:rsid w:val="00AA0B67"/>
    <w:rsid w:val="00AA2810"/>
    <w:rsid w:val="00AB159D"/>
    <w:rsid w:val="00AB1A00"/>
    <w:rsid w:val="00AB1CC2"/>
    <w:rsid w:val="00AB3DC2"/>
    <w:rsid w:val="00AB6405"/>
    <w:rsid w:val="00AC08EE"/>
    <w:rsid w:val="00AC462F"/>
    <w:rsid w:val="00AD3562"/>
    <w:rsid w:val="00AE178E"/>
    <w:rsid w:val="00AE1DE0"/>
    <w:rsid w:val="00AE5421"/>
    <w:rsid w:val="00AE6015"/>
    <w:rsid w:val="00AF42E1"/>
    <w:rsid w:val="00AF50C3"/>
    <w:rsid w:val="00AF6437"/>
    <w:rsid w:val="00AF6F6F"/>
    <w:rsid w:val="00AF71C3"/>
    <w:rsid w:val="00B016E8"/>
    <w:rsid w:val="00B021BE"/>
    <w:rsid w:val="00B032B1"/>
    <w:rsid w:val="00B0652F"/>
    <w:rsid w:val="00B12049"/>
    <w:rsid w:val="00B1549E"/>
    <w:rsid w:val="00B15B1C"/>
    <w:rsid w:val="00B22BC4"/>
    <w:rsid w:val="00B22E4C"/>
    <w:rsid w:val="00B23051"/>
    <w:rsid w:val="00B230C0"/>
    <w:rsid w:val="00B24827"/>
    <w:rsid w:val="00B251AD"/>
    <w:rsid w:val="00B3018B"/>
    <w:rsid w:val="00B30846"/>
    <w:rsid w:val="00B3194B"/>
    <w:rsid w:val="00B3211E"/>
    <w:rsid w:val="00B34FBA"/>
    <w:rsid w:val="00B3CFF2"/>
    <w:rsid w:val="00B43362"/>
    <w:rsid w:val="00B502DA"/>
    <w:rsid w:val="00B54A19"/>
    <w:rsid w:val="00B56C74"/>
    <w:rsid w:val="00B714AD"/>
    <w:rsid w:val="00B74CCE"/>
    <w:rsid w:val="00B76619"/>
    <w:rsid w:val="00B77226"/>
    <w:rsid w:val="00B775BF"/>
    <w:rsid w:val="00B80D51"/>
    <w:rsid w:val="00B841B2"/>
    <w:rsid w:val="00B842BD"/>
    <w:rsid w:val="00B855BD"/>
    <w:rsid w:val="00B8735B"/>
    <w:rsid w:val="00B91A01"/>
    <w:rsid w:val="00B949AC"/>
    <w:rsid w:val="00B9524C"/>
    <w:rsid w:val="00B979D3"/>
    <w:rsid w:val="00BA2779"/>
    <w:rsid w:val="00BA2DD6"/>
    <w:rsid w:val="00BA7B37"/>
    <w:rsid w:val="00BB259C"/>
    <w:rsid w:val="00BB3B4E"/>
    <w:rsid w:val="00BB3BB5"/>
    <w:rsid w:val="00BB4454"/>
    <w:rsid w:val="00BB6C8A"/>
    <w:rsid w:val="00BC37AE"/>
    <w:rsid w:val="00BD2F01"/>
    <w:rsid w:val="00BD4B6E"/>
    <w:rsid w:val="00BD4E3A"/>
    <w:rsid w:val="00BD61D9"/>
    <w:rsid w:val="00BD6534"/>
    <w:rsid w:val="00BD6BA9"/>
    <w:rsid w:val="00BE460D"/>
    <w:rsid w:val="00BE6F73"/>
    <w:rsid w:val="00BF0E86"/>
    <w:rsid w:val="00BF163E"/>
    <w:rsid w:val="00BF2118"/>
    <w:rsid w:val="00BF2408"/>
    <w:rsid w:val="00BF2B6D"/>
    <w:rsid w:val="00BF576C"/>
    <w:rsid w:val="00BF6E08"/>
    <w:rsid w:val="00BF7650"/>
    <w:rsid w:val="00C01809"/>
    <w:rsid w:val="00C048BF"/>
    <w:rsid w:val="00C062EA"/>
    <w:rsid w:val="00C074A9"/>
    <w:rsid w:val="00C1728F"/>
    <w:rsid w:val="00C257FF"/>
    <w:rsid w:val="00C30C7E"/>
    <w:rsid w:val="00C3124D"/>
    <w:rsid w:val="00C32985"/>
    <w:rsid w:val="00C33602"/>
    <w:rsid w:val="00C339C9"/>
    <w:rsid w:val="00C4011E"/>
    <w:rsid w:val="00C40AD3"/>
    <w:rsid w:val="00C4121F"/>
    <w:rsid w:val="00C45FB6"/>
    <w:rsid w:val="00C46156"/>
    <w:rsid w:val="00C46232"/>
    <w:rsid w:val="00C46CA1"/>
    <w:rsid w:val="00C4785B"/>
    <w:rsid w:val="00C47E62"/>
    <w:rsid w:val="00C4B8C7"/>
    <w:rsid w:val="00C51F7D"/>
    <w:rsid w:val="00C536D7"/>
    <w:rsid w:val="00C53DF1"/>
    <w:rsid w:val="00C62BD1"/>
    <w:rsid w:val="00C644D6"/>
    <w:rsid w:val="00C64823"/>
    <w:rsid w:val="00C65403"/>
    <w:rsid w:val="00C65877"/>
    <w:rsid w:val="00C65E75"/>
    <w:rsid w:val="00C66790"/>
    <w:rsid w:val="00C70A31"/>
    <w:rsid w:val="00C71058"/>
    <w:rsid w:val="00C73BF5"/>
    <w:rsid w:val="00C7721E"/>
    <w:rsid w:val="00C77D93"/>
    <w:rsid w:val="00C9210C"/>
    <w:rsid w:val="00CA1CD3"/>
    <w:rsid w:val="00CA7D31"/>
    <w:rsid w:val="00CB2205"/>
    <w:rsid w:val="00CB40BD"/>
    <w:rsid w:val="00CB5642"/>
    <w:rsid w:val="00CB7A14"/>
    <w:rsid w:val="00CC0CF5"/>
    <w:rsid w:val="00CC16EB"/>
    <w:rsid w:val="00CC185E"/>
    <w:rsid w:val="00CC3148"/>
    <w:rsid w:val="00CC4054"/>
    <w:rsid w:val="00CC682A"/>
    <w:rsid w:val="00CC7B12"/>
    <w:rsid w:val="00CD22C5"/>
    <w:rsid w:val="00CD2544"/>
    <w:rsid w:val="00CD2752"/>
    <w:rsid w:val="00CD4049"/>
    <w:rsid w:val="00CD438C"/>
    <w:rsid w:val="00CE0103"/>
    <w:rsid w:val="00CE0BE7"/>
    <w:rsid w:val="00CE47B2"/>
    <w:rsid w:val="00CF1406"/>
    <w:rsid w:val="00CF2700"/>
    <w:rsid w:val="00CF6489"/>
    <w:rsid w:val="00CF6EAD"/>
    <w:rsid w:val="00D0025F"/>
    <w:rsid w:val="00D0145F"/>
    <w:rsid w:val="00D038C4"/>
    <w:rsid w:val="00D05C0A"/>
    <w:rsid w:val="00D06CC7"/>
    <w:rsid w:val="00D10C53"/>
    <w:rsid w:val="00D11272"/>
    <w:rsid w:val="00D14634"/>
    <w:rsid w:val="00D14AB6"/>
    <w:rsid w:val="00D17696"/>
    <w:rsid w:val="00D17BE2"/>
    <w:rsid w:val="00D22379"/>
    <w:rsid w:val="00D242C2"/>
    <w:rsid w:val="00D31905"/>
    <w:rsid w:val="00D33E0E"/>
    <w:rsid w:val="00D3530E"/>
    <w:rsid w:val="00D36E6F"/>
    <w:rsid w:val="00D434CD"/>
    <w:rsid w:val="00D43986"/>
    <w:rsid w:val="00D43D67"/>
    <w:rsid w:val="00D44208"/>
    <w:rsid w:val="00D4622A"/>
    <w:rsid w:val="00D47746"/>
    <w:rsid w:val="00D516A8"/>
    <w:rsid w:val="00D51ED3"/>
    <w:rsid w:val="00D64E36"/>
    <w:rsid w:val="00D656B6"/>
    <w:rsid w:val="00D6622D"/>
    <w:rsid w:val="00D66450"/>
    <w:rsid w:val="00D73004"/>
    <w:rsid w:val="00D77000"/>
    <w:rsid w:val="00D8189B"/>
    <w:rsid w:val="00D83679"/>
    <w:rsid w:val="00D87D7F"/>
    <w:rsid w:val="00D9118C"/>
    <w:rsid w:val="00D913B9"/>
    <w:rsid w:val="00D91F68"/>
    <w:rsid w:val="00D92602"/>
    <w:rsid w:val="00D93E00"/>
    <w:rsid w:val="00D945B8"/>
    <w:rsid w:val="00D949C8"/>
    <w:rsid w:val="00D962F9"/>
    <w:rsid w:val="00D963CA"/>
    <w:rsid w:val="00D96CAD"/>
    <w:rsid w:val="00D97AD5"/>
    <w:rsid w:val="00DA171F"/>
    <w:rsid w:val="00DA2ADC"/>
    <w:rsid w:val="00DA3E35"/>
    <w:rsid w:val="00DA5DCE"/>
    <w:rsid w:val="00DA7256"/>
    <w:rsid w:val="00DA7D4B"/>
    <w:rsid w:val="00DB0E7A"/>
    <w:rsid w:val="00DB12F7"/>
    <w:rsid w:val="00DB2AD0"/>
    <w:rsid w:val="00DB51BC"/>
    <w:rsid w:val="00DB65BA"/>
    <w:rsid w:val="00DC0BFB"/>
    <w:rsid w:val="00DC2410"/>
    <w:rsid w:val="00DC6814"/>
    <w:rsid w:val="00DC70D9"/>
    <w:rsid w:val="00DC78D8"/>
    <w:rsid w:val="00DD0E4F"/>
    <w:rsid w:val="00DD2E20"/>
    <w:rsid w:val="00DD2FA0"/>
    <w:rsid w:val="00DD458B"/>
    <w:rsid w:val="00DD6D1C"/>
    <w:rsid w:val="00DE074A"/>
    <w:rsid w:val="00DE17A5"/>
    <w:rsid w:val="00DE2913"/>
    <w:rsid w:val="00DE31A1"/>
    <w:rsid w:val="00DE440F"/>
    <w:rsid w:val="00DF07BE"/>
    <w:rsid w:val="00DF0975"/>
    <w:rsid w:val="00DF4230"/>
    <w:rsid w:val="00DF54F4"/>
    <w:rsid w:val="00E01E22"/>
    <w:rsid w:val="00E03E7C"/>
    <w:rsid w:val="00E05B90"/>
    <w:rsid w:val="00E10AAA"/>
    <w:rsid w:val="00E10C9E"/>
    <w:rsid w:val="00E117B5"/>
    <w:rsid w:val="00E146CA"/>
    <w:rsid w:val="00E1510E"/>
    <w:rsid w:val="00E1653B"/>
    <w:rsid w:val="00E16B35"/>
    <w:rsid w:val="00E1706C"/>
    <w:rsid w:val="00E17344"/>
    <w:rsid w:val="00E17A63"/>
    <w:rsid w:val="00E22A0C"/>
    <w:rsid w:val="00E254EE"/>
    <w:rsid w:val="00E27B4B"/>
    <w:rsid w:val="00E27D2E"/>
    <w:rsid w:val="00E309C2"/>
    <w:rsid w:val="00E32684"/>
    <w:rsid w:val="00E32913"/>
    <w:rsid w:val="00E33089"/>
    <w:rsid w:val="00E34BD1"/>
    <w:rsid w:val="00E3769C"/>
    <w:rsid w:val="00E4655F"/>
    <w:rsid w:val="00E47ED1"/>
    <w:rsid w:val="00E528ED"/>
    <w:rsid w:val="00E5310B"/>
    <w:rsid w:val="00E536D3"/>
    <w:rsid w:val="00E53789"/>
    <w:rsid w:val="00E53B55"/>
    <w:rsid w:val="00E56798"/>
    <w:rsid w:val="00E608DD"/>
    <w:rsid w:val="00E61189"/>
    <w:rsid w:val="00E633BA"/>
    <w:rsid w:val="00E65F85"/>
    <w:rsid w:val="00E74593"/>
    <w:rsid w:val="00E764A4"/>
    <w:rsid w:val="00E77E29"/>
    <w:rsid w:val="00E81E20"/>
    <w:rsid w:val="00E84657"/>
    <w:rsid w:val="00E854C3"/>
    <w:rsid w:val="00E918B1"/>
    <w:rsid w:val="00E94B79"/>
    <w:rsid w:val="00E955EA"/>
    <w:rsid w:val="00E958C0"/>
    <w:rsid w:val="00E96784"/>
    <w:rsid w:val="00E978EF"/>
    <w:rsid w:val="00EA09D0"/>
    <w:rsid w:val="00EA0A2B"/>
    <w:rsid w:val="00EA58F8"/>
    <w:rsid w:val="00EA595E"/>
    <w:rsid w:val="00EB1C6F"/>
    <w:rsid w:val="00EB611C"/>
    <w:rsid w:val="00EB6A50"/>
    <w:rsid w:val="00EC33FB"/>
    <w:rsid w:val="00EC385A"/>
    <w:rsid w:val="00EC53FE"/>
    <w:rsid w:val="00EC57D3"/>
    <w:rsid w:val="00EC659B"/>
    <w:rsid w:val="00EC6691"/>
    <w:rsid w:val="00ED106E"/>
    <w:rsid w:val="00ED1ECA"/>
    <w:rsid w:val="00ED2049"/>
    <w:rsid w:val="00ED2B18"/>
    <w:rsid w:val="00ED3A73"/>
    <w:rsid w:val="00EE2F18"/>
    <w:rsid w:val="00EE33DB"/>
    <w:rsid w:val="00EE3502"/>
    <w:rsid w:val="00EE67C1"/>
    <w:rsid w:val="00EE706E"/>
    <w:rsid w:val="00EF001D"/>
    <w:rsid w:val="00EF2D71"/>
    <w:rsid w:val="00EF4585"/>
    <w:rsid w:val="00EF527C"/>
    <w:rsid w:val="00EF6A89"/>
    <w:rsid w:val="00EF7E4E"/>
    <w:rsid w:val="00F0060B"/>
    <w:rsid w:val="00F017D7"/>
    <w:rsid w:val="00F02CE0"/>
    <w:rsid w:val="00F0349A"/>
    <w:rsid w:val="00F04538"/>
    <w:rsid w:val="00F0472C"/>
    <w:rsid w:val="00F06006"/>
    <w:rsid w:val="00F105AD"/>
    <w:rsid w:val="00F11D60"/>
    <w:rsid w:val="00F1499C"/>
    <w:rsid w:val="00F15E8F"/>
    <w:rsid w:val="00F1739F"/>
    <w:rsid w:val="00F20DC7"/>
    <w:rsid w:val="00F24412"/>
    <w:rsid w:val="00F265BA"/>
    <w:rsid w:val="00F27BB0"/>
    <w:rsid w:val="00F34DD8"/>
    <w:rsid w:val="00F35E6F"/>
    <w:rsid w:val="00F36BE5"/>
    <w:rsid w:val="00F370D9"/>
    <w:rsid w:val="00F41F2B"/>
    <w:rsid w:val="00F44511"/>
    <w:rsid w:val="00F45D26"/>
    <w:rsid w:val="00F4681F"/>
    <w:rsid w:val="00F50546"/>
    <w:rsid w:val="00F50A0F"/>
    <w:rsid w:val="00F5186D"/>
    <w:rsid w:val="00F52FE9"/>
    <w:rsid w:val="00F53B51"/>
    <w:rsid w:val="00F53E98"/>
    <w:rsid w:val="00F55B13"/>
    <w:rsid w:val="00F56E54"/>
    <w:rsid w:val="00F57219"/>
    <w:rsid w:val="00F57A70"/>
    <w:rsid w:val="00F6091B"/>
    <w:rsid w:val="00F617E8"/>
    <w:rsid w:val="00F63037"/>
    <w:rsid w:val="00F63213"/>
    <w:rsid w:val="00F65016"/>
    <w:rsid w:val="00F756FD"/>
    <w:rsid w:val="00F75B66"/>
    <w:rsid w:val="00F7727C"/>
    <w:rsid w:val="00F773C1"/>
    <w:rsid w:val="00F8073B"/>
    <w:rsid w:val="00F807AF"/>
    <w:rsid w:val="00F8103F"/>
    <w:rsid w:val="00F81BEE"/>
    <w:rsid w:val="00F81E04"/>
    <w:rsid w:val="00F845C8"/>
    <w:rsid w:val="00F84B8B"/>
    <w:rsid w:val="00F8538C"/>
    <w:rsid w:val="00F856A1"/>
    <w:rsid w:val="00F8799F"/>
    <w:rsid w:val="00F9042A"/>
    <w:rsid w:val="00F9046C"/>
    <w:rsid w:val="00F90666"/>
    <w:rsid w:val="00F91681"/>
    <w:rsid w:val="00F92507"/>
    <w:rsid w:val="00F92C07"/>
    <w:rsid w:val="00F92C4D"/>
    <w:rsid w:val="00F93410"/>
    <w:rsid w:val="00F93F71"/>
    <w:rsid w:val="00F95EA4"/>
    <w:rsid w:val="00F979C5"/>
    <w:rsid w:val="00FA013D"/>
    <w:rsid w:val="00FA0159"/>
    <w:rsid w:val="00FA0772"/>
    <w:rsid w:val="00FA7770"/>
    <w:rsid w:val="00FB130F"/>
    <w:rsid w:val="00FB2BF0"/>
    <w:rsid w:val="00FB578D"/>
    <w:rsid w:val="00FB589F"/>
    <w:rsid w:val="00FC1289"/>
    <w:rsid w:val="00FC1635"/>
    <w:rsid w:val="00FC3E19"/>
    <w:rsid w:val="00FC3E8A"/>
    <w:rsid w:val="00FD0D88"/>
    <w:rsid w:val="00FD12CA"/>
    <w:rsid w:val="00FD2108"/>
    <w:rsid w:val="00FD638E"/>
    <w:rsid w:val="00FD6A59"/>
    <w:rsid w:val="00FD759D"/>
    <w:rsid w:val="00FE0601"/>
    <w:rsid w:val="00FE22A3"/>
    <w:rsid w:val="00FE2C8A"/>
    <w:rsid w:val="00FE54C5"/>
    <w:rsid w:val="00FE7868"/>
    <w:rsid w:val="00FE7AF8"/>
    <w:rsid w:val="00FF1A1B"/>
    <w:rsid w:val="00FF2081"/>
    <w:rsid w:val="00FF43C8"/>
    <w:rsid w:val="00FF697B"/>
    <w:rsid w:val="00FF6C86"/>
    <w:rsid w:val="00FF7CDC"/>
    <w:rsid w:val="010955DF"/>
    <w:rsid w:val="011890B0"/>
    <w:rsid w:val="0146103A"/>
    <w:rsid w:val="015A2EA0"/>
    <w:rsid w:val="015ED27E"/>
    <w:rsid w:val="01AB51CC"/>
    <w:rsid w:val="01DFADD1"/>
    <w:rsid w:val="02146608"/>
    <w:rsid w:val="0220B853"/>
    <w:rsid w:val="022CB522"/>
    <w:rsid w:val="026D554E"/>
    <w:rsid w:val="02C441F8"/>
    <w:rsid w:val="030CCF69"/>
    <w:rsid w:val="031B6C40"/>
    <w:rsid w:val="032BBCA6"/>
    <w:rsid w:val="035AC2D9"/>
    <w:rsid w:val="036C071B"/>
    <w:rsid w:val="0374D9EC"/>
    <w:rsid w:val="03B3D0F5"/>
    <w:rsid w:val="03B587A7"/>
    <w:rsid w:val="03B88F11"/>
    <w:rsid w:val="03C6AA84"/>
    <w:rsid w:val="041AB6C3"/>
    <w:rsid w:val="0431066E"/>
    <w:rsid w:val="043CB3FD"/>
    <w:rsid w:val="0466994E"/>
    <w:rsid w:val="04690A7E"/>
    <w:rsid w:val="0471BEC4"/>
    <w:rsid w:val="047EB431"/>
    <w:rsid w:val="04BE4FAE"/>
    <w:rsid w:val="05002F73"/>
    <w:rsid w:val="05B2F4AF"/>
    <w:rsid w:val="05D51671"/>
    <w:rsid w:val="05D7D420"/>
    <w:rsid w:val="05DE6FBB"/>
    <w:rsid w:val="05EEC1BF"/>
    <w:rsid w:val="060E73BF"/>
    <w:rsid w:val="0619B533"/>
    <w:rsid w:val="06327069"/>
    <w:rsid w:val="063375AD"/>
    <w:rsid w:val="06375D8B"/>
    <w:rsid w:val="065F1BA9"/>
    <w:rsid w:val="067F9B51"/>
    <w:rsid w:val="06897F82"/>
    <w:rsid w:val="06A0BE62"/>
    <w:rsid w:val="06A9F338"/>
    <w:rsid w:val="06C24663"/>
    <w:rsid w:val="06D16CD5"/>
    <w:rsid w:val="06F97B7F"/>
    <w:rsid w:val="071F401B"/>
    <w:rsid w:val="072C9B93"/>
    <w:rsid w:val="0733A44F"/>
    <w:rsid w:val="073762FA"/>
    <w:rsid w:val="074B250D"/>
    <w:rsid w:val="074FD4C5"/>
    <w:rsid w:val="076C9008"/>
    <w:rsid w:val="07700BA7"/>
    <w:rsid w:val="0772C9BD"/>
    <w:rsid w:val="0774DDD9"/>
    <w:rsid w:val="07915205"/>
    <w:rsid w:val="07953923"/>
    <w:rsid w:val="07ABF79A"/>
    <w:rsid w:val="07AC6F2F"/>
    <w:rsid w:val="07DC6467"/>
    <w:rsid w:val="07E3F2C6"/>
    <w:rsid w:val="07ECFF57"/>
    <w:rsid w:val="08186601"/>
    <w:rsid w:val="081B79DB"/>
    <w:rsid w:val="081C912A"/>
    <w:rsid w:val="081D7493"/>
    <w:rsid w:val="085D0768"/>
    <w:rsid w:val="08EE27E6"/>
    <w:rsid w:val="08FB2FC0"/>
    <w:rsid w:val="08FCE820"/>
    <w:rsid w:val="090F3CCE"/>
    <w:rsid w:val="092B8BD0"/>
    <w:rsid w:val="092C704A"/>
    <w:rsid w:val="092D7F12"/>
    <w:rsid w:val="09559A4B"/>
    <w:rsid w:val="097834C8"/>
    <w:rsid w:val="09833C14"/>
    <w:rsid w:val="09A68A79"/>
    <w:rsid w:val="09C8DF22"/>
    <w:rsid w:val="0A21F43B"/>
    <w:rsid w:val="0A2EF47E"/>
    <w:rsid w:val="0A64F57F"/>
    <w:rsid w:val="0A71B145"/>
    <w:rsid w:val="0A7DEFBA"/>
    <w:rsid w:val="0A97DB05"/>
    <w:rsid w:val="0AAE9D3B"/>
    <w:rsid w:val="0AD04218"/>
    <w:rsid w:val="0B111906"/>
    <w:rsid w:val="0B3803FE"/>
    <w:rsid w:val="0B6A7C64"/>
    <w:rsid w:val="0B990AE8"/>
    <w:rsid w:val="0BA7AB59"/>
    <w:rsid w:val="0BA8AA9A"/>
    <w:rsid w:val="0BDAFDBF"/>
    <w:rsid w:val="0BEEAE86"/>
    <w:rsid w:val="0C162807"/>
    <w:rsid w:val="0C5B0D8B"/>
    <w:rsid w:val="0CA79CBA"/>
    <w:rsid w:val="0CD88C81"/>
    <w:rsid w:val="0CDEBD79"/>
    <w:rsid w:val="0D06419C"/>
    <w:rsid w:val="0D307449"/>
    <w:rsid w:val="0D70842F"/>
    <w:rsid w:val="0DAC209D"/>
    <w:rsid w:val="0DAF6F61"/>
    <w:rsid w:val="0E11DE6E"/>
    <w:rsid w:val="0E21AD78"/>
    <w:rsid w:val="0E24C718"/>
    <w:rsid w:val="0E3E67D0"/>
    <w:rsid w:val="0E4C0DED"/>
    <w:rsid w:val="0F253DE7"/>
    <w:rsid w:val="0F5E5DCD"/>
    <w:rsid w:val="0F71B2BC"/>
    <w:rsid w:val="0F8A1DB3"/>
    <w:rsid w:val="0FCC3E2E"/>
    <w:rsid w:val="10048179"/>
    <w:rsid w:val="10161CC7"/>
    <w:rsid w:val="105A1348"/>
    <w:rsid w:val="107E17BA"/>
    <w:rsid w:val="10DD99D4"/>
    <w:rsid w:val="1100E609"/>
    <w:rsid w:val="11139CCC"/>
    <w:rsid w:val="1114270E"/>
    <w:rsid w:val="112E4600"/>
    <w:rsid w:val="11380F64"/>
    <w:rsid w:val="1149D2FC"/>
    <w:rsid w:val="114F1121"/>
    <w:rsid w:val="11928F8D"/>
    <w:rsid w:val="119BA8DE"/>
    <w:rsid w:val="11B137DF"/>
    <w:rsid w:val="11C788F6"/>
    <w:rsid w:val="11F05707"/>
    <w:rsid w:val="1210E917"/>
    <w:rsid w:val="1215CD04"/>
    <w:rsid w:val="121B5428"/>
    <w:rsid w:val="124F9AA6"/>
    <w:rsid w:val="1271EC5D"/>
    <w:rsid w:val="12A2CA69"/>
    <w:rsid w:val="12EA4776"/>
    <w:rsid w:val="1331D102"/>
    <w:rsid w:val="13433F6F"/>
    <w:rsid w:val="13AD88E6"/>
    <w:rsid w:val="140A46A1"/>
    <w:rsid w:val="145A5B71"/>
    <w:rsid w:val="147B5172"/>
    <w:rsid w:val="147CDCC4"/>
    <w:rsid w:val="15145C0E"/>
    <w:rsid w:val="1515EA98"/>
    <w:rsid w:val="152A9373"/>
    <w:rsid w:val="1538EECB"/>
    <w:rsid w:val="154E3549"/>
    <w:rsid w:val="15933580"/>
    <w:rsid w:val="159E0A25"/>
    <w:rsid w:val="15C86F7F"/>
    <w:rsid w:val="15CBAC63"/>
    <w:rsid w:val="160E5923"/>
    <w:rsid w:val="1619F40A"/>
    <w:rsid w:val="162BCBD6"/>
    <w:rsid w:val="162C7790"/>
    <w:rsid w:val="162FC5FC"/>
    <w:rsid w:val="164F94EB"/>
    <w:rsid w:val="16BDF344"/>
    <w:rsid w:val="171A565F"/>
    <w:rsid w:val="1742346A"/>
    <w:rsid w:val="174C6BF5"/>
    <w:rsid w:val="1773C3FB"/>
    <w:rsid w:val="17E1AB2F"/>
    <w:rsid w:val="180AEA62"/>
    <w:rsid w:val="18147B7A"/>
    <w:rsid w:val="184BFCD0"/>
    <w:rsid w:val="18B5E704"/>
    <w:rsid w:val="18BB4153"/>
    <w:rsid w:val="19936A04"/>
    <w:rsid w:val="19DFEDDC"/>
    <w:rsid w:val="19F98750"/>
    <w:rsid w:val="1A285AA1"/>
    <w:rsid w:val="1A3AB1CC"/>
    <w:rsid w:val="1A4658AB"/>
    <w:rsid w:val="1A621391"/>
    <w:rsid w:val="1A9CC1ED"/>
    <w:rsid w:val="1ABEA70B"/>
    <w:rsid w:val="1ADAC4FC"/>
    <w:rsid w:val="1AEF3B8A"/>
    <w:rsid w:val="1B40AA1F"/>
    <w:rsid w:val="1B7ADBED"/>
    <w:rsid w:val="1B89FDF6"/>
    <w:rsid w:val="1B93760A"/>
    <w:rsid w:val="1B9BF5BB"/>
    <w:rsid w:val="1BF72A4D"/>
    <w:rsid w:val="1C0927AA"/>
    <w:rsid w:val="1C0E148A"/>
    <w:rsid w:val="1C0E3018"/>
    <w:rsid w:val="1C7EEF43"/>
    <w:rsid w:val="1C866357"/>
    <w:rsid w:val="1CAE383E"/>
    <w:rsid w:val="1CB552D1"/>
    <w:rsid w:val="1D02DF2C"/>
    <w:rsid w:val="1D0AF3BB"/>
    <w:rsid w:val="1D7DF96D"/>
    <w:rsid w:val="1DA82249"/>
    <w:rsid w:val="1DB73AC2"/>
    <w:rsid w:val="1DDFA95E"/>
    <w:rsid w:val="1E2505EF"/>
    <w:rsid w:val="1E502FB7"/>
    <w:rsid w:val="1E518AFD"/>
    <w:rsid w:val="1E5380DD"/>
    <w:rsid w:val="1E590ED3"/>
    <w:rsid w:val="1E687D65"/>
    <w:rsid w:val="1E6BCFBD"/>
    <w:rsid w:val="1EBBA366"/>
    <w:rsid w:val="1ECE77B8"/>
    <w:rsid w:val="1EF7B2FF"/>
    <w:rsid w:val="1F10C78F"/>
    <w:rsid w:val="1FA67F6C"/>
    <w:rsid w:val="1FC9A416"/>
    <w:rsid w:val="1FD3CDC0"/>
    <w:rsid w:val="20938360"/>
    <w:rsid w:val="2093AEDE"/>
    <w:rsid w:val="20BB5482"/>
    <w:rsid w:val="20C33EDC"/>
    <w:rsid w:val="20C7506B"/>
    <w:rsid w:val="20D77369"/>
    <w:rsid w:val="20E1C464"/>
    <w:rsid w:val="210EE999"/>
    <w:rsid w:val="2113FD7A"/>
    <w:rsid w:val="21383542"/>
    <w:rsid w:val="21482870"/>
    <w:rsid w:val="2190C5DB"/>
    <w:rsid w:val="219DC452"/>
    <w:rsid w:val="21C6C6E5"/>
    <w:rsid w:val="21C74514"/>
    <w:rsid w:val="21E36084"/>
    <w:rsid w:val="22079EA2"/>
    <w:rsid w:val="22106364"/>
    <w:rsid w:val="222F1256"/>
    <w:rsid w:val="2251D32B"/>
    <w:rsid w:val="225628E8"/>
    <w:rsid w:val="226F457E"/>
    <w:rsid w:val="2276A574"/>
    <w:rsid w:val="22937DDC"/>
    <w:rsid w:val="22D538B6"/>
    <w:rsid w:val="22F1D875"/>
    <w:rsid w:val="23126603"/>
    <w:rsid w:val="2320ADA4"/>
    <w:rsid w:val="2323A0DA"/>
    <w:rsid w:val="2335A741"/>
    <w:rsid w:val="2336DB5A"/>
    <w:rsid w:val="2377715B"/>
    <w:rsid w:val="239BE9E2"/>
    <w:rsid w:val="23BE4D48"/>
    <w:rsid w:val="23CB2422"/>
    <w:rsid w:val="23D8BD83"/>
    <w:rsid w:val="23D9E1C1"/>
    <w:rsid w:val="24000D24"/>
    <w:rsid w:val="24018C96"/>
    <w:rsid w:val="24207159"/>
    <w:rsid w:val="243CEA51"/>
    <w:rsid w:val="24569E0A"/>
    <w:rsid w:val="24ACEBC2"/>
    <w:rsid w:val="24B99E2D"/>
    <w:rsid w:val="24C05781"/>
    <w:rsid w:val="2502E613"/>
    <w:rsid w:val="25A29FD4"/>
    <w:rsid w:val="25C0E909"/>
    <w:rsid w:val="25F8A3ED"/>
    <w:rsid w:val="25FC5029"/>
    <w:rsid w:val="260233F2"/>
    <w:rsid w:val="2626A22E"/>
    <w:rsid w:val="264A06C5"/>
    <w:rsid w:val="26707B14"/>
    <w:rsid w:val="268C287E"/>
    <w:rsid w:val="26A25AC1"/>
    <w:rsid w:val="26AC4B1D"/>
    <w:rsid w:val="26B4FF6A"/>
    <w:rsid w:val="26C10135"/>
    <w:rsid w:val="26F7249A"/>
    <w:rsid w:val="2710A145"/>
    <w:rsid w:val="27550C3C"/>
    <w:rsid w:val="275D9B52"/>
    <w:rsid w:val="2775076D"/>
    <w:rsid w:val="2798208A"/>
    <w:rsid w:val="27AF3734"/>
    <w:rsid w:val="27CC2E5B"/>
    <w:rsid w:val="27EEB395"/>
    <w:rsid w:val="27F48501"/>
    <w:rsid w:val="283DF201"/>
    <w:rsid w:val="2870D4D0"/>
    <w:rsid w:val="28AB2CE7"/>
    <w:rsid w:val="2933F0EB"/>
    <w:rsid w:val="29432C7B"/>
    <w:rsid w:val="295B27DB"/>
    <w:rsid w:val="29C5D757"/>
    <w:rsid w:val="29D256F9"/>
    <w:rsid w:val="29EE9B62"/>
    <w:rsid w:val="2A1E376C"/>
    <w:rsid w:val="2A2BD441"/>
    <w:rsid w:val="2A40E230"/>
    <w:rsid w:val="2A7384A1"/>
    <w:rsid w:val="2AACF18F"/>
    <w:rsid w:val="2ACF1FB2"/>
    <w:rsid w:val="2AD368A9"/>
    <w:rsid w:val="2AEA3BEF"/>
    <w:rsid w:val="2AF1F36B"/>
    <w:rsid w:val="2B3FACD6"/>
    <w:rsid w:val="2B701232"/>
    <w:rsid w:val="2B9068F3"/>
    <w:rsid w:val="2BBD619A"/>
    <w:rsid w:val="2BC9A54C"/>
    <w:rsid w:val="2BE2CDA9"/>
    <w:rsid w:val="2C11B3F8"/>
    <w:rsid w:val="2C1D1586"/>
    <w:rsid w:val="2C3804D6"/>
    <w:rsid w:val="2C4EAE7E"/>
    <w:rsid w:val="2C69C387"/>
    <w:rsid w:val="2C8637FC"/>
    <w:rsid w:val="2C8E0A54"/>
    <w:rsid w:val="2C986064"/>
    <w:rsid w:val="2CB1AA6A"/>
    <w:rsid w:val="2CD2A5BE"/>
    <w:rsid w:val="2CD7E3C1"/>
    <w:rsid w:val="2D279936"/>
    <w:rsid w:val="2D3F75C6"/>
    <w:rsid w:val="2D4DEE05"/>
    <w:rsid w:val="2D571EAC"/>
    <w:rsid w:val="2D6D84D7"/>
    <w:rsid w:val="2DA86EDC"/>
    <w:rsid w:val="2DBC4AF1"/>
    <w:rsid w:val="2E68D576"/>
    <w:rsid w:val="2E8A87D2"/>
    <w:rsid w:val="2E98E0A9"/>
    <w:rsid w:val="2E9F448D"/>
    <w:rsid w:val="2EAF8808"/>
    <w:rsid w:val="2ECE93D8"/>
    <w:rsid w:val="2ED86BD9"/>
    <w:rsid w:val="2F01460E"/>
    <w:rsid w:val="2F107794"/>
    <w:rsid w:val="2F12F218"/>
    <w:rsid w:val="2F3F4D3E"/>
    <w:rsid w:val="2F76D7F8"/>
    <w:rsid w:val="2F8A9060"/>
    <w:rsid w:val="2FCC2ECC"/>
    <w:rsid w:val="2FE55729"/>
    <w:rsid w:val="301568E1"/>
    <w:rsid w:val="30182CDB"/>
    <w:rsid w:val="302300C6"/>
    <w:rsid w:val="3046C713"/>
    <w:rsid w:val="30AFD0E6"/>
    <w:rsid w:val="30E00F9E"/>
    <w:rsid w:val="30F3CDD1"/>
    <w:rsid w:val="3157572D"/>
    <w:rsid w:val="3165172E"/>
    <w:rsid w:val="3168EA1E"/>
    <w:rsid w:val="3173BF0D"/>
    <w:rsid w:val="318CDA8C"/>
    <w:rsid w:val="31F6737B"/>
    <w:rsid w:val="320A4B18"/>
    <w:rsid w:val="320FD785"/>
    <w:rsid w:val="32285B5C"/>
    <w:rsid w:val="324A92DA"/>
    <w:rsid w:val="325B788C"/>
    <w:rsid w:val="3277739E"/>
    <w:rsid w:val="329E9B3A"/>
    <w:rsid w:val="32AFE02F"/>
    <w:rsid w:val="32C4FE04"/>
    <w:rsid w:val="3335CA5B"/>
    <w:rsid w:val="336A6BF3"/>
    <w:rsid w:val="33B0E943"/>
    <w:rsid w:val="33FFCE71"/>
    <w:rsid w:val="3417B060"/>
    <w:rsid w:val="341F9DE6"/>
    <w:rsid w:val="342323A0"/>
    <w:rsid w:val="345346D1"/>
    <w:rsid w:val="345783C6"/>
    <w:rsid w:val="345A1485"/>
    <w:rsid w:val="3491246C"/>
    <w:rsid w:val="3497265F"/>
    <w:rsid w:val="34EB9DFE"/>
    <w:rsid w:val="350CB17F"/>
    <w:rsid w:val="353CA826"/>
    <w:rsid w:val="35678D7D"/>
    <w:rsid w:val="356B1BC5"/>
    <w:rsid w:val="35B380C1"/>
    <w:rsid w:val="35C942C8"/>
    <w:rsid w:val="35CAC9DF"/>
    <w:rsid w:val="35D1D79A"/>
    <w:rsid w:val="360C83AC"/>
    <w:rsid w:val="3622F857"/>
    <w:rsid w:val="36752B64"/>
    <w:rsid w:val="3675855C"/>
    <w:rsid w:val="36782E94"/>
    <w:rsid w:val="36823938"/>
    <w:rsid w:val="36854350"/>
    <w:rsid w:val="36876E5F"/>
    <w:rsid w:val="369B36E7"/>
    <w:rsid w:val="36AE7956"/>
    <w:rsid w:val="36EA84DE"/>
    <w:rsid w:val="3707113B"/>
    <w:rsid w:val="3729C4A6"/>
    <w:rsid w:val="3759DC7C"/>
    <w:rsid w:val="377242DC"/>
    <w:rsid w:val="3774AA3C"/>
    <w:rsid w:val="3781359E"/>
    <w:rsid w:val="378E04B0"/>
    <w:rsid w:val="379DFB7E"/>
    <w:rsid w:val="37C8BA51"/>
    <w:rsid w:val="37EFC1D1"/>
    <w:rsid w:val="37FB22CB"/>
    <w:rsid w:val="382113B1"/>
    <w:rsid w:val="383110C6"/>
    <w:rsid w:val="384B0080"/>
    <w:rsid w:val="3893D186"/>
    <w:rsid w:val="38B558E3"/>
    <w:rsid w:val="38D506D3"/>
    <w:rsid w:val="38EE623D"/>
    <w:rsid w:val="390A9D2B"/>
    <w:rsid w:val="391E30EE"/>
    <w:rsid w:val="39235018"/>
    <w:rsid w:val="3952023B"/>
    <w:rsid w:val="3953BE27"/>
    <w:rsid w:val="39724532"/>
    <w:rsid w:val="39A5E6C4"/>
    <w:rsid w:val="39ADF57D"/>
    <w:rsid w:val="39CE72F7"/>
    <w:rsid w:val="3A000B12"/>
    <w:rsid w:val="3A08B33D"/>
    <w:rsid w:val="3A0C1587"/>
    <w:rsid w:val="3A6391E8"/>
    <w:rsid w:val="3AEA958D"/>
    <w:rsid w:val="3AF0B673"/>
    <w:rsid w:val="3B10BE4B"/>
    <w:rsid w:val="3B4CC40F"/>
    <w:rsid w:val="3B8E2FE2"/>
    <w:rsid w:val="3B9C0117"/>
    <w:rsid w:val="3BA15FE0"/>
    <w:rsid w:val="3BAC130F"/>
    <w:rsid w:val="3BC24A8D"/>
    <w:rsid w:val="3BCDCA22"/>
    <w:rsid w:val="3BDCA71B"/>
    <w:rsid w:val="3C2AAFCB"/>
    <w:rsid w:val="3C4C5EFB"/>
    <w:rsid w:val="3C5EE5BA"/>
    <w:rsid w:val="3C6DF0F5"/>
    <w:rsid w:val="3C7E2FAD"/>
    <w:rsid w:val="3C8AE922"/>
    <w:rsid w:val="3C958D1F"/>
    <w:rsid w:val="3CA7336E"/>
    <w:rsid w:val="3CE13861"/>
    <w:rsid w:val="3CE90B36"/>
    <w:rsid w:val="3D469EAE"/>
    <w:rsid w:val="3D634FCD"/>
    <w:rsid w:val="3D819542"/>
    <w:rsid w:val="3D94ECFA"/>
    <w:rsid w:val="3DBACBC2"/>
    <w:rsid w:val="3DBE9C18"/>
    <w:rsid w:val="3DC6802C"/>
    <w:rsid w:val="3DCACA95"/>
    <w:rsid w:val="3DD351BE"/>
    <w:rsid w:val="3DDBA8C5"/>
    <w:rsid w:val="3DE379F3"/>
    <w:rsid w:val="3DEC2FB0"/>
    <w:rsid w:val="3E08853F"/>
    <w:rsid w:val="3E4067A3"/>
    <w:rsid w:val="3E719CD8"/>
    <w:rsid w:val="3E7F5D59"/>
    <w:rsid w:val="3E809741"/>
    <w:rsid w:val="3E955EE8"/>
    <w:rsid w:val="3E992D3C"/>
    <w:rsid w:val="3EC36EB4"/>
    <w:rsid w:val="3EE5B624"/>
    <w:rsid w:val="3F26E5FC"/>
    <w:rsid w:val="3F5687BB"/>
    <w:rsid w:val="3F73F829"/>
    <w:rsid w:val="3F8659C6"/>
    <w:rsid w:val="3F8EDC40"/>
    <w:rsid w:val="3F8F2299"/>
    <w:rsid w:val="3FA591B7"/>
    <w:rsid w:val="3FA73356"/>
    <w:rsid w:val="40146594"/>
    <w:rsid w:val="4032F4FC"/>
    <w:rsid w:val="40724239"/>
    <w:rsid w:val="407ECD07"/>
    <w:rsid w:val="40894706"/>
    <w:rsid w:val="40936D3D"/>
    <w:rsid w:val="410A388D"/>
    <w:rsid w:val="413A4463"/>
    <w:rsid w:val="4145A949"/>
    <w:rsid w:val="414EDE5F"/>
    <w:rsid w:val="416ABF17"/>
    <w:rsid w:val="4178F831"/>
    <w:rsid w:val="4183E0BC"/>
    <w:rsid w:val="41852A17"/>
    <w:rsid w:val="418B7E60"/>
    <w:rsid w:val="4191B99A"/>
    <w:rsid w:val="41B64CA4"/>
    <w:rsid w:val="41BD9E41"/>
    <w:rsid w:val="41C18AE1"/>
    <w:rsid w:val="41D7D235"/>
    <w:rsid w:val="426832F7"/>
    <w:rsid w:val="427D77CC"/>
    <w:rsid w:val="4296A029"/>
    <w:rsid w:val="429FADB5"/>
    <w:rsid w:val="42B8AED2"/>
    <w:rsid w:val="42EE5FB8"/>
    <w:rsid w:val="4319F358"/>
    <w:rsid w:val="433B67BE"/>
    <w:rsid w:val="436BE0C7"/>
    <w:rsid w:val="4375599A"/>
    <w:rsid w:val="4393AD90"/>
    <w:rsid w:val="43A5AF65"/>
    <w:rsid w:val="43B30D22"/>
    <w:rsid w:val="43CB2B5A"/>
    <w:rsid w:val="43CB4491"/>
    <w:rsid w:val="43CE0309"/>
    <w:rsid w:val="43D38F77"/>
    <w:rsid w:val="4420F4B4"/>
    <w:rsid w:val="44300CEA"/>
    <w:rsid w:val="4467244D"/>
    <w:rsid w:val="4471E525"/>
    <w:rsid w:val="44A85B3C"/>
    <w:rsid w:val="44E2B17D"/>
    <w:rsid w:val="44F75F2D"/>
    <w:rsid w:val="4534F3CD"/>
    <w:rsid w:val="45645B70"/>
    <w:rsid w:val="456F5FD8"/>
    <w:rsid w:val="45895494"/>
    <w:rsid w:val="45B5188E"/>
    <w:rsid w:val="45C3C669"/>
    <w:rsid w:val="45DC482B"/>
    <w:rsid w:val="46502D3B"/>
    <w:rsid w:val="465981A0"/>
    <w:rsid w:val="466CC108"/>
    <w:rsid w:val="4691404F"/>
    <w:rsid w:val="46AD29BA"/>
    <w:rsid w:val="46D45F5D"/>
    <w:rsid w:val="47012F7D"/>
    <w:rsid w:val="471C12B3"/>
    <w:rsid w:val="4726B392"/>
    <w:rsid w:val="4728B130"/>
    <w:rsid w:val="47773F91"/>
    <w:rsid w:val="478A8FE2"/>
    <w:rsid w:val="47D3EBD2"/>
    <w:rsid w:val="47D51FE9"/>
    <w:rsid w:val="47E57B48"/>
    <w:rsid w:val="481A8306"/>
    <w:rsid w:val="482F670D"/>
    <w:rsid w:val="48371C6B"/>
    <w:rsid w:val="48442B74"/>
    <w:rsid w:val="484B5EC4"/>
    <w:rsid w:val="4853EB97"/>
    <w:rsid w:val="48C33A64"/>
    <w:rsid w:val="48CB2DEE"/>
    <w:rsid w:val="48EB14B4"/>
    <w:rsid w:val="48F8F3D9"/>
    <w:rsid w:val="490068F7"/>
    <w:rsid w:val="490587BA"/>
    <w:rsid w:val="49064025"/>
    <w:rsid w:val="494C73FD"/>
    <w:rsid w:val="495231EB"/>
    <w:rsid w:val="49912262"/>
    <w:rsid w:val="49BB2930"/>
    <w:rsid w:val="49CB376E"/>
    <w:rsid w:val="49CC06CD"/>
    <w:rsid w:val="49CF7BC4"/>
    <w:rsid w:val="49DCE92F"/>
    <w:rsid w:val="49FA730C"/>
    <w:rsid w:val="4A008E02"/>
    <w:rsid w:val="4A23F7C8"/>
    <w:rsid w:val="4A43C0D4"/>
    <w:rsid w:val="4A6F37AA"/>
    <w:rsid w:val="4AB92B07"/>
    <w:rsid w:val="4AE126A9"/>
    <w:rsid w:val="4B0AF5F7"/>
    <w:rsid w:val="4B15ED9A"/>
    <w:rsid w:val="4B3D9D64"/>
    <w:rsid w:val="4B4B825F"/>
    <w:rsid w:val="4B9D3D78"/>
    <w:rsid w:val="4BBDF709"/>
    <w:rsid w:val="4BC49E1D"/>
    <w:rsid w:val="4BE03A20"/>
    <w:rsid w:val="4C0AC695"/>
    <w:rsid w:val="4C447697"/>
    <w:rsid w:val="4C4972D3"/>
    <w:rsid w:val="4C7CF70A"/>
    <w:rsid w:val="4C85E423"/>
    <w:rsid w:val="4C92259B"/>
    <w:rsid w:val="4CB36E83"/>
    <w:rsid w:val="4CBE8A22"/>
    <w:rsid w:val="4CE52473"/>
    <w:rsid w:val="4CE9AFD3"/>
    <w:rsid w:val="4CEAF4A1"/>
    <w:rsid w:val="4CEDF429"/>
    <w:rsid w:val="4D119D30"/>
    <w:rsid w:val="4D5D5A8D"/>
    <w:rsid w:val="4D82C3AF"/>
    <w:rsid w:val="4DA3A375"/>
    <w:rsid w:val="4DB34D35"/>
    <w:rsid w:val="4DB5AFF1"/>
    <w:rsid w:val="4DD8A703"/>
    <w:rsid w:val="4DDD0BA8"/>
    <w:rsid w:val="4DE3EDEA"/>
    <w:rsid w:val="4DFF9F0E"/>
    <w:rsid w:val="4E0BFBD5"/>
    <w:rsid w:val="4E18C76B"/>
    <w:rsid w:val="4E31843D"/>
    <w:rsid w:val="4E4B6B28"/>
    <w:rsid w:val="4E55B66F"/>
    <w:rsid w:val="4E7D5B2C"/>
    <w:rsid w:val="4EF334F8"/>
    <w:rsid w:val="4F485B38"/>
    <w:rsid w:val="4F6CF93C"/>
    <w:rsid w:val="4F85F703"/>
    <w:rsid w:val="4FAFAE3E"/>
    <w:rsid w:val="4FC1C262"/>
    <w:rsid w:val="501632EC"/>
    <w:rsid w:val="502318AC"/>
    <w:rsid w:val="502E0471"/>
    <w:rsid w:val="50965017"/>
    <w:rsid w:val="509CC42D"/>
    <w:rsid w:val="50A68DC7"/>
    <w:rsid w:val="50C2F648"/>
    <w:rsid w:val="510A4F50"/>
    <w:rsid w:val="51900A6F"/>
    <w:rsid w:val="51DCCF00"/>
    <w:rsid w:val="526871CE"/>
    <w:rsid w:val="526EE157"/>
    <w:rsid w:val="526FC522"/>
    <w:rsid w:val="528BFE20"/>
    <w:rsid w:val="52E70D41"/>
    <w:rsid w:val="52EB3553"/>
    <w:rsid w:val="530CACF7"/>
    <w:rsid w:val="5318D9BA"/>
    <w:rsid w:val="531EDC4B"/>
    <w:rsid w:val="532004F6"/>
    <w:rsid w:val="532024F7"/>
    <w:rsid w:val="5359C0B6"/>
    <w:rsid w:val="536D92B9"/>
    <w:rsid w:val="53A086E6"/>
    <w:rsid w:val="53A99377"/>
    <w:rsid w:val="53ADFFC8"/>
    <w:rsid w:val="53B498EF"/>
    <w:rsid w:val="53BEE699"/>
    <w:rsid w:val="53C6F659"/>
    <w:rsid w:val="53D53644"/>
    <w:rsid w:val="53F8C58F"/>
    <w:rsid w:val="53FEF331"/>
    <w:rsid w:val="54016FF8"/>
    <w:rsid w:val="542F6BF7"/>
    <w:rsid w:val="54C401B4"/>
    <w:rsid w:val="54C90592"/>
    <w:rsid w:val="54D0B107"/>
    <w:rsid w:val="54FCAF3E"/>
    <w:rsid w:val="54FF4668"/>
    <w:rsid w:val="5527BCFA"/>
    <w:rsid w:val="55314A5D"/>
    <w:rsid w:val="553802E8"/>
    <w:rsid w:val="553E7691"/>
    <w:rsid w:val="5558243A"/>
    <w:rsid w:val="55BF3B90"/>
    <w:rsid w:val="55CD74AA"/>
    <w:rsid w:val="56282CB4"/>
    <w:rsid w:val="563FCA95"/>
    <w:rsid w:val="565519D0"/>
    <w:rsid w:val="566912BB"/>
    <w:rsid w:val="56856200"/>
    <w:rsid w:val="56869060"/>
    <w:rsid w:val="56A9BA76"/>
    <w:rsid w:val="56D3D349"/>
    <w:rsid w:val="56D4728E"/>
    <w:rsid w:val="56D8046B"/>
    <w:rsid w:val="570A49FE"/>
    <w:rsid w:val="5769791E"/>
    <w:rsid w:val="5786E6A4"/>
    <w:rsid w:val="57A34659"/>
    <w:rsid w:val="57C7F9AB"/>
    <w:rsid w:val="57EB9FCD"/>
    <w:rsid w:val="580C4415"/>
    <w:rsid w:val="582D31D9"/>
    <w:rsid w:val="58460332"/>
    <w:rsid w:val="5856E7AD"/>
    <w:rsid w:val="585B687C"/>
    <w:rsid w:val="589D4F38"/>
    <w:rsid w:val="58DE22DB"/>
    <w:rsid w:val="58F1A243"/>
    <w:rsid w:val="591D7FCB"/>
    <w:rsid w:val="593DA542"/>
    <w:rsid w:val="597832DA"/>
    <w:rsid w:val="5986BB5B"/>
    <w:rsid w:val="59E0C8D6"/>
    <w:rsid w:val="59FFAD99"/>
    <w:rsid w:val="5A07508B"/>
    <w:rsid w:val="5A0B0A4E"/>
    <w:rsid w:val="5A28B80D"/>
    <w:rsid w:val="5A605B94"/>
    <w:rsid w:val="5A61AEAA"/>
    <w:rsid w:val="5A6CE7D1"/>
    <w:rsid w:val="5A79F33C"/>
    <w:rsid w:val="5ACDDED1"/>
    <w:rsid w:val="5AD246A8"/>
    <w:rsid w:val="5AECE2F4"/>
    <w:rsid w:val="5B061B00"/>
    <w:rsid w:val="5B2FA843"/>
    <w:rsid w:val="5BCB85D0"/>
    <w:rsid w:val="5BF72C26"/>
    <w:rsid w:val="5BFB0D6E"/>
    <w:rsid w:val="5C2B8CDF"/>
    <w:rsid w:val="5C427221"/>
    <w:rsid w:val="5C516CCC"/>
    <w:rsid w:val="5C57DEFA"/>
    <w:rsid w:val="5C7B5789"/>
    <w:rsid w:val="5C90F065"/>
    <w:rsid w:val="5C9330C9"/>
    <w:rsid w:val="5CC2A572"/>
    <w:rsid w:val="5CD96DC0"/>
    <w:rsid w:val="5CE22028"/>
    <w:rsid w:val="5CFA2C86"/>
    <w:rsid w:val="5D1FFD1E"/>
    <w:rsid w:val="5DBC509D"/>
    <w:rsid w:val="5DDCA880"/>
    <w:rsid w:val="5DE90CC5"/>
    <w:rsid w:val="5E035484"/>
    <w:rsid w:val="5E08F3B1"/>
    <w:rsid w:val="5E2554E8"/>
    <w:rsid w:val="5E69BD8A"/>
    <w:rsid w:val="5E7624D1"/>
    <w:rsid w:val="5E812766"/>
    <w:rsid w:val="5E8C82DF"/>
    <w:rsid w:val="5EA39184"/>
    <w:rsid w:val="5EDED4BC"/>
    <w:rsid w:val="5EF47573"/>
    <w:rsid w:val="5F0A6E1D"/>
    <w:rsid w:val="5F0BDB3F"/>
    <w:rsid w:val="5F40EC23"/>
    <w:rsid w:val="5F42AFD6"/>
    <w:rsid w:val="5F462D61"/>
    <w:rsid w:val="5F6039B3"/>
    <w:rsid w:val="5F615A87"/>
    <w:rsid w:val="5F67D60E"/>
    <w:rsid w:val="5F7A0C24"/>
    <w:rsid w:val="5F882797"/>
    <w:rsid w:val="5F921029"/>
    <w:rsid w:val="5F9F24E5"/>
    <w:rsid w:val="5FB12881"/>
    <w:rsid w:val="5FC614D6"/>
    <w:rsid w:val="5FDD82CA"/>
    <w:rsid w:val="60046673"/>
    <w:rsid w:val="6007007E"/>
    <w:rsid w:val="60131BE9"/>
    <w:rsid w:val="602BB850"/>
    <w:rsid w:val="606EC770"/>
    <w:rsid w:val="608F51F5"/>
    <w:rsid w:val="60A1F54E"/>
    <w:rsid w:val="60A22521"/>
    <w:rsid w:val="60AC73E1"/>
    <w:rsid w:val="60C2185E"/>
    <w:rsid w:val="61290DF2"/>
    <w:rsid w:val="613D2055"/>
    <w:rsid w:val="61436540"/>
    <w:rsid w:val="61550824"/>
    <w:rsid w:val="61643657"/>
    <w:rsid w:val="61986011"/>
    <w:rsid w:val="61B0CF9E"/>
    <w:rsid w:val="6261A3D2"/>
    <w:rsid w:val="629AF25E"/>
    <w:rsid w:val="62A662C4"/>
    <w:rsid w:val="62D6C5A7"/>
    <w:rsid w:val="63203064"/>
    <w:rsid w:val="633362D0"/>
    <w:rsid w:val="6337F719"/>
    <w:rsid w:val="633DAE6A"/>
    <w:rsid w:val="633E05C0"/>
    <w:rsid w:val="637B46FD"/>
    <w:rsid w:val="63806FD3"/>
    <w:rsid w:val="638B37EC"/>
    <w:rsid w:val="63BA43D7"/>
    <w:rsid w:val="63C404C3"/>
    <w:rsid w:val="640D89B0"/>
    <w:rsid w:val="6436A302"/>
    <w:rsid w:val="644330B2"/>
    <w:rsid w:val="64478505"/>
    <w:rsid w:val="6449AFB7"/>
    <w:rsid w:val="647FBAA4"/>
    <w:rsid w:val="648A3604"/>
    <w:rsid w:val="6505676D"/>
    <w:rsid w:val="650B56B5"/>
    <w:rsid w:val="65208A2B"/>
    <w:rsid w:val="6532294C"/>
    <w:rsid w:val="653B8F2A"/>
    <w:rsid w:val="656E491D"/>
    <w:rsid w:val="657EB7E7"/>
    <w:rsid w:val="65A6B594"/>
    <w:rsid w:val="65BB51A9"/>
    <w:rsid w:val="6602ECCB"/>
    <w:rsid w:val="6627CC83"/>
    <w:rsid w:val="663CD2B8"/>
    <w:rsid w:val="6641E9A5"/>
    <w:rsid w:val="6652D392"/>
    <w:rsid w:val="667B38C1"/>
    <w:rsid w:val="667CEAE0"/>
    <w:rsid w:val="66DD109B"/>
    <w:rsid w:val="671A27F7"/>
    <w:rsid w:val="671AC74F"/>
    <w:rsid w:val="673D39A3"/>
    <w:rsid w:val="6742F65F"/>
    <w:rsid w:val="677ABC66"/>
    <w:rsid w:val="6781996D"/>
    <w:rsid w:val="679A78D6"/>
    <w:rsid w:val="679D220E"/>
    <w:rsid w:val="67CC372E"/>
    <w:rsid w:val="67E04FDD"/>
    <w:rsid w:val="67E73E80"/>
    <w:rsid w:val="67E9F6E9"/>
    <w:rsid w:val="6826B46A"/>
    <w:rsid w:val="682E694B"/>
    <w:rsid w:val="6854C048"/>
    <w:rsid w:val="685FB89F"/>
    <w:rsid w:val="68936517"/>
    <w:rsid w:val="68CE6C23"/>
    <w:rsid w:val="69371896"/>
    <w:rsid w:val="6961FBDA"/>
    <w:rsid w:val="69687E7F"/>
    <w:rsid w:val="69D0FCEC"/>
    <w:rsid w:val="6A14B15D"/>
    <w:rsid w:val="6A331015"/>
    <w:rsid w:val="6A3A7BCD"/>
    <w:rsid w:val="6A9C080F"/>
    <w:rsid w:val="6AB0E65D"/>
    <w:rsid w:val="6AB8F13B"/>
    <w:rsid w:val="6AD9A000"/>
    <w:rsid w:val="6B2B8BD2"/>
    <w:rsid w:val="6B33E520"/>
    <w:rsid w:val="6B7E6FD3"/>
    <w:rsid w:val="6B98BFB0"/>
    <w:rsid w:val="6BB25CD0"/>
    <w:rsid w:val="6C32ACD2"/>
    <w:rsid w:val="6C33D4ED"/>
    <w:rsid w:val="6C7A1142"/>
    <w:rsid w:val="6C939B84"/>
    <w:rsid w:val="6CB15128"/>
    <w:rsid w:val="6D3E2928"/>
    <w:rsid w:val="6D555EB0"/>
    <w:rsid w:val="6D8197DE"/>
    <w:rsid w:val="6D83D934"/>
    <w:rsid w:val="6D8EC9E9"/>
    <w:rsid w:val="6DA70205"/>
    <w:rsid w:val="6DAF66C3"/>
    <w:rsid w:val="6DB63D9D"/>
    <w:rsid w:val="6DC0012F"/>
    <w:rsid w:val="6DF33B35"/>
    <w:rsid w:val="6E26B165"/>
    <w:rsid w:val="6E39EB96"/>
    <w:rsid w:val="6E4A2820"/>
    <w:rsid w:val="6E56873F"/>
    <w:rsid w:val="6E7162DA"/>
    <w:rsid w:val="6EA08CF1"/>
    <w:rsid w:val="6EAA0178"/>
    <w:rsid w:val="6EBDF9A4"/>
    <w:rsid w:val="6EC34397"/>
    <w:rsid w:val="6EC63E7C"/>
    <w:rsid w:val="6EF63DF3"/>
    <w:rsid w:val="6EF74426"/>
    <w:rsid w:val="6F04804F"/>
    <w:rsid w:val="6F2EB4D0"/>
    <w:rsid w:val="6F62B53C"/>
    <w:rsid w:val="6F793CDE"/>
    <w:rsid w:val="6F7B2787"/>
    <w:rsid w:val="6F87A475"/>
    <w:rsid w:val="6FF757A1"/>
    <w:rsid w:val="7004187B"/>
    <w:rsid w:val="7038C1FD"/>
    <w:rsid w:val="705121B9"/>
    <w:rsid w:val="7061CA94"/>
    <w:rsid w:val="70920E54"/>
    <w:rsid w:val="70A061D5"/>
    <w:rsid w:val="70CA8531"/>
    <w:rsid w:val="70CF7C0A"/>
    <w:rsid w:val="70E550C2"/>
    <w:rsid w:val="71005DBD"/>
    <w:rsid w:val="7116F7E8"/>
    <w:rsid w:val="71302045"/>
    <w:rsid w:val="713A1BC2"/>
    <w:rsid w:val="7143806B"/>
    <w:rsid w:val="7145E589"/>
    <w:rsid w:val="7159F117"/>
    <w:rsid w:val="717DCCB2"/>
    <w:rsid w:val="718D3348"/>
    <w:rsid w:val="71E52B12"/>
    <w:rsid w:val="71F661A4"/>
    <w:rsid w:val="721FC342"/>
    <w:rsid w:val="72733ABB"/>
    <w:rsid w:val="72A31671"/>
    <w:rsid w:val="72B695D9"/>
    <w:rsid w:val="72BA5AA2"/>
    <w:rsid w:val="72BF4537"/>
    <w:rsid w:val="72C7D0B0"/>
    <w:rsid w:val="7318CE80"/>
    <w:rsid w:val="73258566"/>
    <w:rsid w:val="7332A768"/>
    <w:rsid w:val="734ED36C"/>
    <w:rsid w:val="737290C1"/>
    <w:rsid w:val="73896647"/>
    <w:rsid w:val="73CD64E0"/>
    <w:rsid w:val="73D397A8"/>
    <w:rsid w:val="73E9E44A"/>
    <w:rsid w:val="73EDE20C"/>
    <w:rsid w:val="73F341AC"/>
    <w:rsid w:val="740225F3"/>
    <w:rsid w:val="744963B2"/>
    <w:rsid w:val="7457CB44"/>
    <w:rsid w:val="7467C107"/>
    <w:rsid w:val="748DC023"/>
    <w:rsid w:val="74A131A6"/>
    <w:rsid w:val="74E5A818"/>
    <w:rsid w:val="75576404"/>
    <w:rsid w:val="75614AB8"/>
    <w:rsid w:val="756F552E"/>
    <w:rsid w:val="758CEF1C"/>
    <w:rsid w:val="75AB7F0B"/>
    <w:rsid w:val="762282B5"/>
    <w:rsid w:val="762D623A"/>
    <w:rsid w:val="763E7B55"/>
    <w:rsid w:val="767189CA"/>
    <w:rsid w:val="76E8277B"/>
    <w:rsid w:val="7725E4AD"/>
    <w:rsid w:val="7757A35E"/>
    <w:rsid w:val="77630DD4"/>
    <w:rsid w:val="776BC7C9"/>
    <w:rsid w:val="7786396C"/>
    <w:rsid w:val="7795BF82"/>
    <w:rsid w:val="77A3A61F"/>
    <w:rsid w:val="77BE7B03"/>
    <w:rsid w:val="77CD9C66"/>
    <w:rsid w:val="77D58AC3"/>
    <w:rsid w:val="7813A605"/>
    <w:rsid w:val="781C6339"/>
    <w:rsid w:val="78263195"/>
    <w:rsid w:val="783832B6"/>
    <w:rsid w:val="783B01B0"/>
    <w:rsid w:val="784939B6"/>
    <w:rsid w:val="786DB8AD"/>
    <w:rsid w:val="787212DA"/>
    <w:rsid w:val="789FFB9D"/>
    <w:rsid w:val="78A10211"/>
    <w:rsid w:val="78A89707"/>
    <w:rsid w:val="78C65F60"/>
    <w:rsid w:val="78D0F4B3"/>
    <w:rsid w:val="78D820C1"/>
    <w:rsid w:val="7901C972"/>
    <w:rsid w:val="791E39D8"/>
    <w:rsid w:val="793F7680"/>
    <w:rsid w:val="7A1713E8"/>
    <w:rsid w:val="7A1D29BE"/>
    <w:rsid w:val="7A72AF53"/>
    <w:rsid w:val="7A9D41DE"/>
    <w:rsid w:val="7AAF4D85"/>
    <w:rsid w:val="7AD4BE5D"/>
    <w:rsid w:val="7ADE88F3"/>
    <w:rsid w:val="7AEFC3CA"/>
    <w:rsid w:val="7AF9CB0B"/>
    <w:rsid w:val="7B0E5609"/>
    <w:rsid w:val="7B11EC78"/>
    <w:rsid w:val="7B1754E8"/>
    <w:rsid w:val="7B1A43BB"/>
    <w:rsid w:val="7B26AAFE"/>
    <w:rsid w:val="7BC6A588"/>
    <w:rsid w:val="7C5816D6"/>
    <w:rsid w:val="7C7130D2"/>
    <w:rsid w:val="7C72EB62"/>
    <w:rsid w:val="7C819FB3"/>
    <w:rsid w:val="7CA4CA04"/>
    <w:rsid w:val="7CDBDDD4"/>
    <w:rsid w:val="7CEA6BFB"/>
    <w:rsid w:val="7D1AE05A"/>
    <w:rsid w:val="7D20C771"/>
    <w:rsid w:val="7D308503"/>
    <w:rsid w:val="7D50611F"/>
    <w:rsid w:val="7D5768FF"/>
    <w:rsid w:val="7D773E54"/>
    <w:rsid w:val="7D7CBAE0"/>
    <w:rsid w:val="7D8FDFDC"/>
    <w:rsid w:val="7DDDAB00"/>
    <w:rsid w:val="7E16D84D"/>
    <w:rsid w:val="7E2CC651"/>
    <w:rsid w:val="7E3E0A40"/>
    <w:rsid w:val="7E51E47D"/>
    <w:rsid w:val="7E55699F"/>
    <w:rsid w:val="7EC063AE"/>
    <w:rsid w:val="7EDBFA98"/>
    <w:rsid w:val="7F288A79"/>
    <w:rsid w:val="7F42938E"/>
    <w:rsid w:val="7F48F624"/>
    <w:rsid w:val="7FAB430D"/>
    <w:rsid w:val="7FAEB804"/>
    <w:rsid w:val="7FFF8E00"/>
  </w:rsids>
  <w:docVars>
    <w:docVar w:name="__Grammarly_42___1" w:val="H4sIAAAAAAAEAKtWcslP9kxRslIyNDY2NDY1MDc2MTE2M7I0NzJQ0lEKTi0uzszPAykwrAUAzloJo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BF311A"/>
  <w15:docId w15:val="{9F268170-8112-43FB-AF8D-974204DD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137"/>
  </w:style>
  <w:style w:type="paragraph" w:styleId="Heading1">
    <w:name w:val="heading 1"/>
    <w:basedOn w:val="Normal"/>
    <w:link w:val="Heading1Char"/>
    <w:uiPriority w:val="9"/>
    <w:qFormat/>
    <w:rsid w:val="001C2137"/>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1C2137"/>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1C2137"/>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1C2137"/>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1C2137"/>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137"/>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1C2137"/>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1C2137"/>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1C2137"/>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1C213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C2137"/>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unhideWhenUsed/>
    <w:rsid w:val="001C2137"/>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1C21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1C21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1C21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1C21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1C2137"/>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1C2137"/>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1C213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1C2137"/>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1C2137"/>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1C2137"/>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1C2137"/>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1C2137"/>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1C2137"/>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1C2137"/>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1C2137"/>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1C2137"/>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1C2137"/>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1C2137"/>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1C2137"/>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1C2137"/>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1C2137"/>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1C2137"/>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1C2137"/>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1C2137"/>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1C2137"/>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1C2137"/>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1C2137"/>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1C213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1C2137"/>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1C2137"/>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1C2137"/>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1C2137"/>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1C2137"/>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1C2137"/>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1C2137"/>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1C21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1C213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1C2137"/>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1C2137"/>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1C2137"/>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1C2137"/>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1C2137"/>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1C2137"/>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1C2137"/>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1C2137"/>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1C2137"/>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1C2137"/>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1C2137"/>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1C2137"/>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1C2137"/>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1C213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1C213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1C2137"/>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1C2137"/>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1C2137"/>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1C2137"/>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1C213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1C2137"/>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1C2137"/>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1C2137"/>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1C213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1C213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1C2137"/>
    <w:rPr>
      <w:shd w:val="clear" w:color="auto" w:fill="FFFFFF"/>
    </w:rPr>
  </w:style>
  <w:style w:type="character" w:customStyle="1" w:styleId="pdash">
    <w:name w:val="pdash"/>
    <w:basedOn w:val="DefaultParagraphFont"/>
    <w:rsid w:val="001C2137"/>
    <w:rPr>
      <w:shd w:val="clear" w:color="auto" w:fill="FFFFFF"/>
    </w:rPr>
  </w:style>
  <w:style w:type="character" w:customStyle="1" w:styleId="su1">
    <w:name w:val="su1"/>
    <w:basedOn w:val="DefaultParagraphFont"/>
    <w:rsid w:val="001C2137"/>
    <w:rPr>
      <w:smallCaps w:val="0"/>
      <w:sz w:val="17"/>
      <w:szCs w:val="17"/>
      <w:vertAlign w:val="superscript"/>
    </w:rPr>
  </w:style>
  <w:style w:type="paragraph" w:styleId="Footer">
    <w:name w:val="footer"/>
    <w:basedOn w:val="Normal"/>
    <w:link w:val="FooterChar"/>
    <w:rsid w:val="00BF576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BF576C"/>
    <w:rPr>
      <w:rFonts w:ascii="Times New Roman" w:eastAsia="Times New Roman" w:hAnsi="Times New Roman" w:cs="Times New Roman"/>
      <w:sz w:val="20"/>
      <w:szCs w:val="20"/>
    </w:rPr>
  </w:style>
  <w:style w:type="character" w:styleId="FootnoteReference">
    <w:name w:val="footnote reference"/>
    <w:rsid w:val="00BF576C"/>
  </w:style>
  <w:style w:type="paragraph" w:customStyle="1" w:styleId="Level1">
    <w:name w:val="Level 1"/>
    <w:basedOn w:val="Normal"/>
    <w:rsid w:val="00BF576C"/>
    <w:pPr>
      <w:widowControl w:val="0"/>
      <w:autoSpaceDE w:val="0"/>
      <w:autoSpaceDN w:val="0"/>
      <w:adjustRightInd w:val="0"/>
      <w:spacing w:after="0" w:line="240" w:lineRule="auto"/>
      <w:ind w:left="1170" w:hanging="450"/>
    </w:pPr>
    <w:rPr>
      <w:rFonts w:ascii="Times New Roman" w:eastAsia="Times New Roman" w:hAnsi="Times New Roman" w:cs="Times New Roman"/>
      <w:sz w:val="24"/>
      <w:szCs w:val="24"/>
    </w:rPr>
  </w:style>
  <w:style w:type="character" w:customStyle="1" w:styleId="Hypertext">
    <w:name w:val="Hypertext"/>
    <w:rsid w:val="00BF576C"/>
    <w:rPr>
      <w:color w:val="0000FF"/>
      <w:u w:val="single"/>
    </w:rPr>
  </w:style>
  <w:style w:type="paragraph" w:customStyle="1" w:styleId="Level2">
    <w:name w:val="Level 2"/>
    <w:basedOn w:val="Normal"/>
    <w:rsid w:val="00BF576C"/>
    <w:pPr>
      <w:widowControl w:val="0"/>
      <w:autoSpaceDE w:val="0"/>
      <w:autoSpaceDN w:val="0"/>
      <w:adjustRightInd w:val="0"/>
      <w:spacing w:after="0" w:line="240" w:lineRule="auto"/>
      <w:ind w:left="1170" w:hanging="450"/>
    </w:pPr>
    <w:rPr>
      <w:rFonts w:ascii="Times New Roman" w:eastAsia="Times New Roman" w:hAnsi="Times New Roman" w:cs="Times New Roman"/>
      <w:sz w:val="24"/>
      <w:szCs w:val="24"/>
    </w:rPr>
  </w:style>
  <w:style w:type="character" w:styleId="PageNumber">
    <w:name w:val="page number"/>
    <w:rsid w:val="00BF576C"/>
  </w:style>
  <w:style w:type="paragraph" w:styleId="FootnoteText">
    <w:name w:val="footnote text"/>
    <w:basedOn w:val="Normal"/>
    <w:link w:val="FootnoteTextChar"/>
    <w:uiPriority w:val="99"/>
    <w:rsid w:val="00BF576C"/>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FootnoteTextChar">
    <w:name w:val="Footnote Text Char"/>
    <w:basedOn w:val="DefaultParagraphFont"/>
    <w:link w:val="FootnoteText"/>
    <w:uiPriority w:val="99"/>
    <w:rsid w:val="00BF576C"/>
    <w:rPr>
      <w:rFonts w:ascii="Courier" w:eastAsia="Times New Roman" w:hAnsi="Courier" w:cs="Times New Roman"/>
      <w:sz w:val="20"/>
      <w:szCs w:val="20"/>
    </w:rPr>
  </w:style>
  <w:style w:type="paragraph" w:styleId="HTMLPreformatted">
    <w:name w:val="HTML Preformatted"/>
    <w:basedOn w:val="Normal"/>
    <w:link w:val="HTMLPreformattedChar"/>
    <w:rsid w:val="00BF5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F576C"/>
    <w:rPr>
      <w:rFonts w:ascii="Courier New" w:eastAsia="Times New Roman" w:hAnsi="Courier New" w:cs="Courier New"/>
      <w:sz w:val="20"/>
      <w:szCs w:val="20"/>
    </w:rPr>
  </w:style>
  <w:style w:type="paragraph" w:styleId="BalloonText">
    <w:name w:val="Balloon Text"/>
    <w:basedOn w:val="Normal"/>
    <w:link w:val="BalloonTextChar"/>
    <w:rsid w:val="00BF576C"/>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F576C"/>
    <w:rPr>
      <w:rFonts w:ascii="Tahoma" w:eastAsia="Times New Roman" w:hAnsi="Tahoma" w:cs="Tahoma"/>
      <w:sz w:val="16"/>
      <w:szCs w:val="16"/>
    </w:rPr>
  </w:style>
  <w:style w:type="table" w:styleId="TableGrid">
    <w:name w:val="Table Grid"/>
    <w:basedOn w:val="TableNormal"/>
    <w:rsid w:val="00BF576C"/>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576C"/>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F57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F576C"/>
    <w:rPr>
      <w:sz w:val="16"/>
      <w:szCs w:val="16"/>
    </w:rPr>
  </w:style>
  <w:style w:type="paragraph" w:styleId="CommentText">
    <w:name w:val="annotation text"/>
    <w:basedOn w:val="Normal"/>
    <w:link w:val="CommentTextChar"/>
    <w:uiPriority w:val="99"/>
    <w:unhideWhenUsed/>
    <w:rsid w:val="00BF576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F57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576C"/>
    <w:rPr>
      <w:b/>
      <w:bCs/>
    </w:rPr>
  </w:style>
  <w:style w:type="character" w:customStyle="1" w:styleId="CommentSubjectChar">
    <w:name w:val="Comment Subject Char"/>
    <w:basedOn w:val="CommentTextChar"/>
    <w:link w:val="CommentSubject"/>
    <w:uiPriority w:val="99"/>
    <w:semiHidden/>
    <w:rsid w:val="00BF576C"/>
    <w:rPr>
      <w:rFonts w:ascii="Times New Roman" w:eastAsia="Times New Roman" w:hAnsi="Times New Roman" w:cs="Times New Roman"/>
      <w:b/>
      <w:bCs/>
      <w:sz w:val="20"/>
      <w:szCs w:val="20"/>
    </w:rPr>
  </w:style>
  <w:style w:type="paragraph" w:styleId="ListParagraph">
    <w:name w:val="List Paragraph"/>
    <w:basedOn w:val="Normal"/>
    <w:uiPriority w:val="34"/>
    <w:qFormat/>
    <w:rsid w:val="004031C3"/>
    <w:pPr>
      <w:ind w:left="720"/>
      <w:contextualSpacing/>
    </w:pPr>
  </w:style>
  <w:style w:type="paragraph" w:styleId="Revision">
    <w:name w:val="Revision"/>
    <w:hidden/>
    <w:uiPriority w:val="99"/>
    <w:semiHidden/>
    <w:rsid w:val="00377AEE"/>
    <w:pPr>
      <w:spacing w:after="0" w:line="240" w:lineRule="auto"/>
    </w:pPr>
  </w:style>
  <w:style w:type="paragraph" w:customStyle="1" w:styleId="Default">
    <w:name w:val="Default"/>
    <w:rsid w:val="00F92C07"/>
    <w:pPr>
      <w:autoSpaceDE w:val="0"/>
      <w:autoSpaceDN w:val="0"/>
      <w:adjustRightInd w:val="0"/>
      <w:spacing w:after="0" w:line="240" w:lineRule="auto"/>
    </w:pPr>
    <w:rPr>
      <w:rFonts w:ascii="Verdana" w:hAnsi="Verdana" w:cs="Verdana"/>
      <w:color w:val="000000"/>
      <w:sz w:val="24"/>
      <w:szCs w:val="24"/>
    </w:rPr>
  </w:style>
  <w:style w:type="paragraph" w:customStyle="1" w:styleId="msonormal">
    <w:name w:val="msonormal"/>
    <w:basedOn w:val="Normal"/>
    <w:rsid w:val="007B7F1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7B7F1F"/>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7B7F1F"/>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left-col-fp">
    <w:name w:val="left-col-fp"/>
    <w:basedOn w:val="Normal"/>
    <w:rsid w:val="007B7F1F"/>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7B7F1F"/>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eftnt">
    <w:name w:val="eftnt"/>
    <w:basedOn w:val="Normal"/>
    <w:rsid w:val="007B7F1F"/>
    <w:pPr>
      <w:spacing w:before="100" w:beforeAutospacing="1" w:after="100" w:afterAutospacing="1" w:line="240" w:lineRule="auto"/>
      <w:ind w:firstLine="480"/>
    </w:pPr>
    <w:rPr>
      <w:rFonts w:ascii="Times New Roman" w:eastAsia="Times New Roman" w:hAnsi="Times New Roman" w:cs="Times New Roman"/>
      <w:sz w:val="17"/>
      <w:szCs w:val="17"/>
    </w:rPr>
  </w:style>
  <w:style w:type="paragraph" w:customStyle="1" w:styleId="Title2">
    <w:name w:val="Title2"/>
    <w:basedOn w:val="Normal"/>
    <w:rsid w:val="007B7F1F"/>
    <w:pPr>
      <w:spacing w:before="200" w:after="100" w:afterAutospacing="1" w:line="240" w:lineRule="auto"/>
    </w:pPr>
    <w:rPr>
      <w:rFonts w:ascii="Times New Roman" w:eastAsia="Times New Roman" w:hAnsi="Times New Roman" w:cs="Times New Roman"/>
      <w:sz w:val="24"/>
      <w:szCs w:val="24"/>
    </w:rPr>
  </w:style>
  <w:style w:type="paragraph" w:customStyle="1" w:styleId="Subtitle2">
    <w:name w:val="Subtitle2"/>
    <w:basedOn w:val="Normal"/>
    <w:rsid w:val="007B7F1F"/>
    <w:pPr>
      <w:spacing w:before="200" w:after="100" w:afterAutospacing="1" w:line="240" w:lineRule="auto"/>
    </w:pPr>
    <w:rPr>
      <w:rFonts w:ascii="Times New Roman" w:eastAsia="Times New Roman" w:hAnsi="Times New Roman" w:cs="Times New Roman"/>
      <w:sz w:val="24"/>
      <w:szCs w:val="24"/>
    </w:rPr>
  </w:style>
  <w:style w:type="paragraph" w:customStyle="1" w:styleId="revtxt">
    <w:name w:val="revtxt"/>
    <w:basedOn w:val="Normal"/>
    <w:rsid w:val="007B7F1F"/>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supersed">
    <w:name w:val="supersed"/>
    <w:basedOn w:val="Normal"/>
    <w:rsid w:val="007B7F1F"/>
    <w:pPr>
      <w:spacing w:before="100" w:beforeAutospacing="1" w:after="100" w:afterAutospacing="1" w:line="240" w:lineRule="auto"/>
      <w:ind w:firstLine="480"/>
    </w:pPr>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4945CB"/>
    <w:rPr>
      <w:color w:val="605E5C"/>
      <w:shd w:val="clear" w:color="auto" w:fill="E1DFDD"/>
    </w:rPr>
  </w:style>
  <w:style w:type="character" w:customStyle="1" w:styleId="normaltextrun">
    <w:name w:val="normaltextrun"/>
    <w:basedOn w:val="DefaultParagraphFont"/>
    <w:rsid w:val="00D44208"/>
  </w:style>
  <w:style w:type="character" w:customStyle="1" w:styleId="eop">
    <w:name w:val="eop"/>
    <w:basedOn w:val="DefaultParagraphFont"/>
    <w:rsid w:val="00D44208"/>
  </w:style>
  <w:style w:type="paragraph" w:customStyle="1" w:styleId="paragraph">
    <w:name w:val="paragraph"/>
    <w:basedOn w:val="Normal"/>
    <w:rsid w:val="00EB1C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archives/ecec_09202022.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tables.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epa.gov/superfund/superfund-national-priorities-list-npl(9-21)" TargetMode="External" /><Relationship Id="rId10" Type="http://schemas.openxmlformats.org/officeDocument/2006/relationships/hyperlink" Target="https://apps.usfa.fema.gov/registry/summary" TargetMode="External" /><Relationship Id="rId2" Type="http://schemas.openxmlformats.org/officeDocument/2006/relationships/hyperlink" Target="https://www.epa.gov/newsreleases/epa-updates-superfund-national-priorities-list-clean-pollution-and-address-public" TargetMode="External" /><Relationship Id="rId3" Type="http://schemas.openxmlformats.org/officeDocument/2006/relationships/hyperlink" Target="https://www.epa.gov/hw/baselines-resource-conservation-and-recovery-act-rcra-corrective-action-facilities" TargetMode="External" /><Relationship Id="rId4" Type="http://schemas.openxmlformats.org/officeDocument/2006/relationships/hyperlink" Target="http://www.epa.gov/oust/pubs/fy10_annual_ust_report_3-11.pdf" TargetMode="External" /><Relationship Id="rId5" Type="http://schemas.openxmlformats.org/officeDocument/2006/relationships/hyperlink" Target="https://www.epa.gov/ust" TargetMode="External" /><Relationship Id="rId6" Type="http://schemas.openxmlformats.org/officeDocument/2006/relationships/hyperlink" Target="http://www.nfpa.org/itemDetail.asp?categoryID=955&amp;itemID=23688&amp;URL=Research%20&amp;%20Reports/Fire%20statistics/The%20U.S.%20fire%20service" TargetMode="External" /><Relationship Id="rId7" Type="http://schemas.openxmlformats.org/officeDocument/2006/relationships/hyperlink" Target="http://www.bls.gov/oes/current/oes_nat.htm" TargetMode="External" /><Relationship Id="rId8" Type="http://schemas.openxmlformats.org/officeDocument/2006/relationships/hyperlink" Target="https://www.bls.gov/oes/current/oes333051.htm" TargetMode="External" /><Relationship Id="rId9" Type="http://schemas.openxmlformats.org/officeDocument/2006/relationships/hyperlink" Target="https://www.nfpa.org/News-and-Research/Fire-statistics-and-reports/Fire-statistics/The-fire-service/Administration/US-fire-department-pro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3" ma:contentTypeDescription="Create a new document." ma:contentTypeScope="" ma:versionID="cbda8884b33e6b0ecd68286d317a4d02">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8f74c4b6f07cb521caf1d2b54d8ec8e1"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AC50D-A808-4C75-A255-C442AB00523A}">
  <ds:schemaRefs>
    <ds:schemaRef ds:uri="http://schemas.microsoft.com/sharepoint/v3/contenttype/forms"/>
  </ds:schemaRefs>
</ds:datastoreItem>
</file>

<file path=customXml/itemProps2.xml><?xml version="1.0" encoding="utf-8"?>
<ds:datastoreItem xmlns:ds="http://schemas.openxmlformats.org/officeDocument/2006/customXml" ds:itemID="{C78F5854-AADC-4A74-B87A-A941F3CFFFED}">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3.xml><?xml version="1.0" encoding="utf-8"?>
<ds:datastoreItem xmlns:ds="http://schemas.openxmlformats.org/officeDocument/2006/customXml" ds:itemID="{3EAC2389-440E-4103-AC63-95333E17AD6E}">
  <ds:schemaRefs>
    <ds:schemaRef ds:uri="http://schemas.openxmlformats.org/officeDocument/2006/bibliography"/>
  </ds:schemaRefs>
</ds:datastoreItem>
</file>

<file path=customXml/itemProps4.xml><?xml version="1.0" encoding="utf-8"?>
<ds:datastoreItem xmlns:ds="http://schemas.openxmlformats.org/officeDocument/2006/customXml" ds:itemID="{3C5C57E8-0A7D-42FA-906A-33AA44303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9899</Words>
  <Characters>56425</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Bouchet, Nicole - OASAM OCIO</cp:lastModifiedBy>
  <cp:revision>2</cp:revision>
  <cp:lastPrinted>2019-10-24T18:25:00Z</cp:lastPrinted>
  <dcterms:created xsi:type="dcterms:W3CDTF">2023-12-06T16:39:00Z</dcterms:created>
  <dcterms:modified xsi:type="dcterms:W3CDTF">2023-12-06T16:39:00Z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GrammarlyDocumentId">
    <vt:lpwstr>215949768d34ee6536cc47ae36527bd3894b79fe461ec898ce3e1eff232aa0c5</vt:lpwstr>
  </property>
  <property fmtid="{D5CDD505-2E9C-101B-9397-08002B2CF9AE}" pid="4" name="MediaServiceImageTags">
    <vt:lpwstr/>
  </property>
</Properties>
</file>