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6CC" w:rsidRPr="003A3BDF" w:rsidP="00A24444" w14:paraId="4AF4A867" w14:textId="4FCA0875">
      <w:pPr>
        <w:rPr>
          <w:color w:val="000080"/>
        </w:rPr>
      </w:pPr>
      <w:r>
        <w:t>R</w:t>
      </w:r>
      <w:r w:rsidRPr="003A3BDF" w:rsidR="00164659">
        <w:t xml:space="preserve">ev. </w:t>
      </w:r>
      <w:r w:rsidR="00856AA0">
        <w:t>1</w:t>
      </w:r>
      <w:r w:rsidR="004C2EDC">
        <w:t>0</w:t>
      </w:r>
      <w:r w:rsidRPr="003A3BDF" w:rsidR="008A5743">
        <w:t>/202</w:t>
      </w:r>
      <w:r w:rsidR="002F50B6">
        <w:t>3</w:t>
      </w:r>
    </w:p>
    <w:p w:rsidR="006D3728" w:rsidRPr="003A3BDF" w:rsidP="006D3728" w14:paraId="39AB4035" w14:textId="77777777">
      <w:pPr>
        <w:jc w:val="center"/>
        <w:rPr>
          <w:color w:val="000000"/>
        </w:rPr>
      </w:pPr>
      <w:r w:rsidRPr="003A3BDF">
        <w:rPr>
          <w:color w:val="000000"/>
        </w:rPr>
        <w:t>Department of the Treasury</w:t>
      </w:r>
    </w:p>
    <w:p w:rsidR="009C56CC" w:rsidRPr="003A3BDF" w:rsidP="00A24444" w14:paraId="77143C83" w14:textId="77777777">
      <w:pPr>
        <w:jc w:val="center"/>
        <w:rPr>
          <w:color w:val="000000"/>
        </w:rPr>
      </w:pPr>
      <w:r w:rsidRPr="003A3BDF">
        <w:rPr>
          <w:color w:val="000000"/>
        </w:rPr>
        <w:t>Federal Insurance Office</w:t>
      </w:r>
    </w:p>
    <w:p w:rsidR="009C56CC" w:rsidRPr="003A3BDF" w:rsidP="00A24444" w14:paraId="5E62598F" w14:textId="77777777">
      <w:pPr>
        <w:jc w:val="center"/>
        <w:rPr>
          <w:color w:val="000000"/>
        </w:rPr>
      </w:pPr>
    </w:p>
    <w:p w:rsidR="009C56CC" w:rsidRPr="003A3BDF" w:rsidP="00A24444" w14:paraId="7E12B968" w14:textId="77777777">
      <w:pPr>
        <w:jc w:val="center"/>
        <w:rPr>
          <w:color w:val="000000"/>
        </w:rPr>
      </w:pPr>
      <w:r w:rsidRPr="003A3BDF">
        <w:rPr>
          <w:color w:val="000000"/>
        </w:rPr>
        <w:t>Supporting Statement – Information Collection Requirement</w:t>
      </w:r>
    </w:p>
    <w:p w:rsidR="009C56CC" w:rsidRPr="003A3BDF" w:rsidP="00A24444" w14:paraId="2F5FD1A7" w14:textId="2B8624FD">
      <w:pPr>
        <w:jc w:val="center"/>
        <w:rPr>
          <w:color w:val="000000"/>
        </w:rPr>
      </w:pPr>
      <w:r w:rsidRPr="003A3BDF">
        <w:rPr>
          <w:color w:val="000000"/>
        </w:rPr>
        <w:t>OMB Control Number</w:t>
      </w:r>
      <w:r w:rsidRPr="003A3BDF" w:rsidR="00293384">
        <w:rPr>
          <w:color w:val="000000"/>
        </w:rPr>
        <w:t xml:space="preserve"> </w:t>
      </w:r>
      <w:r w:rsidR="00856AA0">
        <w:rPr>
          <w:color w:val="000000"/>
        </w:rPr>
        <w:t>1505-NEW</w:t>
      </w:r>
    </w:p>
    <w:p w:rsidR="009C56CC" w:rsidRPr="003A3BDF" w:rsidP="00A24444" w14:paraId="09FACBB6" w14:textId="77777777">
      <w:pPr>
        <w:jc w:val="center"/>
        <w:rPr>
          <w:color w:val="000000"/>
        </w:rPr>
      </w:pPr>
    </w:p>
    <w:p w:rsidR="00C3620B" w:rsidP="00A24444" w14:paraId="43812962" w14:textId="28417E93">
      <w:pPr>
        <w:tabs>
          <w:tab w:val="left" w:pos="4860"/>
        </w:tabs>
        <w:autoSpaceDE w:val="0"/>
        <w:autoSpaceDN w:val="0"/>
        <w:adjustRightInd w:val="0"/>
        <w:jc w:val="center"/>
        <w:rPr>
          <w:bCs/>
          <w:color w:val="000000"/>
        </w:rPr>
      </w:pPr>
      <w:bookmarkStart w:id="0" w:name="_Hlk147910251"/>
      <w:r>
        <w:rPr>
          <w:bCs/>
          <w:color w:val="000000"/>
        </w:rPr>
        <w:t>Federal Insurance Office</w:t>
      </w:r>
      <w:r w:rsidRPr="003A3BDF" w:rsidR="00EE656F">
        <w:rPr>
          <w:bCs/>
          <w:color w:val="000000"/>
        </w:rPr>
        <w:t xml:space="preserve"> Climate-Related </w:t>
      </w:r>
      <w:r w:rsidR="00357AC8">
        <w:rPr>
          <w:bCs/>
          <w:color w:val="000000"/>
        </w:rPr>
        <w:t>Financial Risk Data Collection for</w:t>
      </w:r>
    </w:p>
    <w:p w:rsidR="0015254D" w:rsidRPr="003A3BDF" w:rsidP="00A24444" w14:paraId="7565C900" w14:textId="4D1D6992">
      <w:pPr>
        <w:tabs>
          <w:tab w:val="left" w:pos="4860"/>
        </w:tabs>
        <w:autoSpaceDE w:val="0"/>
        <w:autoSpaceDN w:val="0"/>
        <w:adjustRightInd w:val="0"/>
        <w:jc w:val="center"/>
        <w:rPr>
          <w:color w:val="000000"/>
        </w:rPr>
      </w:pPr>
      <w:r>
        <w:rPr>
          <w:bCs/>
          <w:color w:val="000000"/>
        </w:rPr>
        <w:t>U.S.</w:t>
      </w:r>
      <w:r w:rsidR="002267A2">
        <w:rPr>
          <w:bCs/>
          <w:color w:val="000000"/>
        </w:rPr>
        <w:t xml:space="preserve"> </w:t>
      </w:r>
      <w:r>
        <w:rPr>
          <w:bCs/>
          <w:color w:val="000000"/>
        </w:rPr>
        <w:t>Homeowners Multi-Peril Underwriting Data</w:t>
      </w:r>
      <w:r w:rsidRPr="003A3BDF" w:rsidR="002907BE">
        <w:rPr>
          <w:bCs/>
          <w:color w:val="000000"/>
        </w:rPr>
        <w:t xml:space="preserve"> </w:t>
      </w:r>
    </w:p>
    <w:bookmarkEnd w:id="0"/>
    <w:p w:rsidR="00D470EC" w:rsidRPr="00682325" w:rsidP="00A24444" w14:paraId="5CDCF491" w14:textId="54D49E1E">
      <w:pPr>
        <w:spacing w:before="240" w:after="240"/>
        <w:ind w:left="360" w:hanging="360"/>
        <w:rPr>
          <w:b/>
          <w:color w:val="000000"/>
        </w:rPr>
      </w:pPr>
      <w:r w:rsidRPr="00682325">
        <w:rPr>
          <w:b/>
          <w:color w:val="000000"/>
        </w:rPr>
        <w:t xml:space="preserve">1. </w:t>
      </w:r>
      <w:r w:rsidR="00D1295F">
        <w:rPr>
          <w:b/>
          <w:color w:val="000000"/>
        </w:rPr>
        <w:t xml:space="preserve"> </w:t>
      </w:r>
      <w:r w:rsidRPr="00682325">
        <w:rPr>
          <w:b/>
          <w:color w:val="000000"/>
        </w:rPr>
        <w:t xml:space="preserve"> Explain the circumstances that make the collection of information necessary.</w:t>
      </w:r>
      <w:r w:rsidR="00682325">
        <w:rPr>
          <w:b/>
          <w:color w:val="000000"/>
        </w:rPr>
        <w:t xml:space="preserve">  Identify any legal or administrative requirements that necessitate the collection.</w:t>
      </w:r>
    </w:p>
    <w:p w:rsidR="006D3728" w:rsidP="00E8142E" w14:paraId="65FD7C31" w14:textId="56707A3C">
      <w:pPr>
        <w:rPr>
          <w:b/>
          <w:bCs/>
          <w:color w:val="000000"/>
          <w:u w:val="single"/>
        </w:rPr>
      </w:pPr>
      <w:r w:rsidRPr="002B7D7F">
        <w:rPr>
          <w:b/>
          <w:bCs/>
          <w:color w:val="000000"/>
          <w:u w:val="single"/>
        </w:rPr>
        <w:t>Overv</w:t>
      </w:r>
      <w:r>
        <w:rPr>
          <w:b/>
          <w:bCs/>
          <w:color w:val="000000"/>
          <w:u w:val="single"/>
        </w:rPr>
        <w:t>iew</w:t>
      </w:r>
      <w:r>
        <w:rPr>
          <w:b/>
          <w:bCs/>
          <w:color w:val="000000"/>
        </w:rPr>
        <w:t xml:space="preserve">.  </w:t>
      </w:r>
      <w:r>
        <w:rPr>
          <w:color w:val="000000"/>
        </w:rPr>
        <w:t>T</w:t>
      </w:r>
      <w:r w:rsidRPr="003A3BDF">
        <w:rPr>
          <w:color w:val="000000"/>
        </w:rPr>
        <w:t xml:space="preserve">his information collection is necessary </w:t>
      </w:r>
      <w:r>
        <w:rPr>
          <w:color w:val="000000"/>
        </w:rPr>
        <w:t>to advance efforts of the Federal Insurance Office (FIO) to respond to</w:t>
      </w:r>
      <w:r w:rsidRPr="003A3BDF">
        <w:rPr>
          <w:color w:val="000000"/>
        </w:rPr>
        <w:t xml:space="preserve"> the President</w:t>
      </w:r>
      <w:r>
        <w:rPr>
          <w:color w:val="000000"/>
        </w:rPr>
        <w:t>’</w:t>
      </w:r>
      <w:r w:rsidRPr="003A3BDF">
        <w:rPr>
          <w:color w:val="000000"/>
        </w:rPr>
        <w:t xml:space="preserve">s May 20, 2021, </w:t>
      </w:r>
      <w:bookmarkStart w:id="1" w:name="_Hlk147900415"/>
      <w:r w:rsidRPr="003A3BDF">
        <w:rPr>
          <w:color w:val="000000"/>
        </w:rPr>
        <w:t>Executive Order on Climate-Related Financial Risk</w:t>
      </w:r>
      <w:r w:rsidR="00802B77">
        <w:rPr>
          <w:color w:val="000000"/>
        </w:rPr>
        <w:t xml:space="preserve"> </w:t>
      </w:r>
      <w:bookmarkStart w:id="2" w:name="_Hlk147910280"/>
      <w:bookmarkEnd w:id="1"/>
      <w:r w:rsidR="00802B77">
        <w:rPr>
          <w:color w:val="000000"/>
        </w:rPr>
        <w:t>(EO 14030)</w:t>
      </w:r>
      <w:r>
        <w:rPr>
          <w:color w:val="000000"/>
        </w:rPr>
        <w:t xml:space="preserve">, </w:t>
      </w:r>
      <w:bookmarkEnd w:id="2"/>
      <w:r>
        <w:rPr>
          <w:color w:val="000000"/>
        </w:rPr>
        <w:t xml:space="preserve">which called on FIO to </w:t>
      </w:r>
      <w:r w:rsidRPr="00107D87">
        <w:rPr>
          <w:color w:val="000000"/>
        </w:rPr>
        <w:t>“</w:t>
      </w:r>
      <w:r w:rsidRPr="00107D87">
        <w:t>further assess, in consultation with States, the potential for major disruptions of private insurance coverage in regions of the country particularly vulnerable to climate change impacts</w:t>
      </w:r>
      <w:r>
        <w:t>,</w:t>
      </w:r>
      <w:r w:rsidRPr="00107D87">
        <w:t>”</w:t>
      </w:r>
      <w:r>
        <w:t xml:space="preserve"> and to advance FIO’s statutory mandate</w:t>
      </w:r>
      <w:bookmarkStart w:id="3" w:name="_Hlk147910327"/>
      <w:r w:rsidR="005B5971">
        <w:t>s</w:t>
      </w:r>
      <w:r w:rsidR="005E245F">
        <w:t>, including</w:t>
      </w:r>
      <w:r w:rsidRPr="001D7D43" w:rsidR="001D7D43">
        <w:t xml:space="preserve"> to assess the availability of insurance products for vulnerable communities, including minority and low- and moderate-income populations</w:t>
      </w:r>
      <w:r w:rsidR="00CC50DE">
        <w:t xml:space="preserve"> </w:t>
      </w:r>
      <w:bookmarkStart w:id="4" w:name="_Hlk147911293"/>
      <w:r w:rsidR="00CC50DE">
        <w:t xml:space="preserve">and </w:t>
      </w:r>
      <w:r w:rsidR="00736C90">
        <w:t xml:space="preserve">to </w:t>
      </w:r>
      <w:r w:rsidR="00CC50DE">
        <w:t>monitor all aspects of the insurance sector</w:t>
      </w:r>
      <w:bookmarkEnd w:id="4"/>
      <w:r>
        <w:t>.</w:t>
      </w:r>
      <w:r>
        <w:rPr>
          <w:rStyle w:val="FootnoteReference"/>
          <w:vertAlign w:val="superscript"/>
        </w:rPr>
        <w:footnoteReference w:id="3"/>
      </w:r>
      <w:r w:rsidRPr="00107D87">
        <w:t xml:space="preserve"> </w:t>
      </w:r>
      <w:r w:rsidRPr="00107D87">
        <w:rPr>
          <w:i/>
          <w:iCs/>
        </w:rPr>
        <w:t xml:space="preserve"> </w:t>
      </w:r>
      <w:bookmarkEnd w:id="3"/>
      <w:r>
        <w:rPr>
          <w:color w:val="000000"/>
        </w:rPr>
        <w:t xml:space="preserve">In order to fulfill these objectives, FIO has determined that it needs data that is not publicly available and cannot be obtained in a timely manner from </w:t>
      </w:r>
      <w:r w:rsidR="004F2B77">
        <w:rPr>
          <w:rFonts w:eastAsiaTheme="minorEastAsia"/>
        </w:rPr>
        <w:t>insurance regulators in the 50 states, the District of Columbia, and the five U.S. territories (collectively, S</w:t>
      </w:r>
      <w:r w:rsidRPr="00AA16DB" w:rsidR="004F2B77">
        <w:rPr>
          <w:rFonts w:eastAsiaTheme="minorEastAsia"/>
        </w:rPr>
        <w:t xml:space="preserve">tate </w:t>
      </w:r>
      <w:r w:rsidR="004F2B77">
        <w:rPr>
          <w:rFonts w:eastAsiaTheme="minorEastAsia"/>
        </w:rPr>
        <w:t>I</w:t>
      </w:r>
      <w:r w:rsidRPr="00AA16DB" w:rsidR="004F2B77">
        <w:rPr>
          <w:rFonts w:eastAsiaTheme="minorEastAsia"/>
        </w:rPr>
        <w:t xml:space="preserve">nsurance </w:t>
      </w:r>
      <w:r w:rsidR="004F2B77">
        <w:rPr>
          <w:rFonts w:eastAsiaTheme="minorEastAsia"/>
        </w:rPr>
        <w:t>R</w:t>
      </w:r>
      <w:r w:rsidRPr="00AA16DB" w:rsidR="004F2B77">
        <w:rPr>
          <w:rFonts w:eastAsiaTheme="minorEastAsia"/>
        </w:rPr>
        <w:t>egulators</w:t>
      </w:r>
      <w:bookmarkStart w:id="6" w:name="_Hlk147911058"/>
      <w:r w:rsidR="004F2B77">
        <w:rPr>
          <w:rFonts w:eastAsiaTheme="minorEastAsia"/>
        </w:rPr>
        <w:t>)</w:t>
      </w:r>
      <w:r w:rsidRPr="0004033E" w:rsidR="0004033E">
        <w:rPr>
          <w:color w:val="000000"/>
        </w:rPr>
        <w:t xml:space="preserve">, relevant federal agencies, and </w:t>
      </w:r>
      <w:r w:rsidR="000D6CEA">
        <w:rPr>
          <w:color w:val="000000"/>
        </w:rPr>
        <w:t xml:space="preserve">any </w:t>
      </w:r>
      <w:r w:rsidRPr="0004033E" w:rsidR="0004033E">
        <w:rPr>
          <w:color w:val="000000"/>
        </w:rPr>
        <w:t>publicly available sources</w:t>
      </w:r>
      <w:bookmarkEnd w:id="6"/>
      <w:r>
        <w:rPr>
          <w:color w:val="000000"/>
        </w:rPr>
        <w:t>.</w:t>
      </w:r>
      <w:r>
        <w:rPr>
          <w:rStyle w:val="FootnoteReference"/>
          <w:color w:val="000000"/>
          <w:vertAlign w:val="superscript"/>
        </w:rPr>
        <w:footnoteReference w:id="4"/>
      </w:r>
      <w:r>
        <w:rPr>
          <w:color w:val="000000"/>
        </w:rPr>
        <w:t xml:space="preserve">  As described below, </w:t>
      </w:r>
      <w:r w:rsidR="00701E57">
        <w:rPr>
          <w:color w:val="000000"/>
        </w:rPr>
        <w:t xml:space="preserve"> </w:t>
      </w:r>
      <w:r>
        <w:rPr>
          <w:color w:val="000000"/>
        </w:rPr>
        <w:t>FIO’s statutory authorities under the Federal Insurance Office Act of 2010 (FIO Act) support its proposed data collection.</w:t>
      </w:r>
      <w:r>
        <w:rPr>
          <w:rStyle w:val="FootnoteReference"/>
          <w:color w:val="000000"/>
          <w:vertAlign w:val="superscript"/>
        </w:rPr>
        <w:footnoteReference w:id="5"/>
      </w:r>
      <w:r>
        <w:rPr>
          <w:color w:val="000000"/>
        </w:rPr>
        <w:t xml:space="preserve">  To obtain the data that it needs to begin to fulfill these objectives, and as further described below, FIO will collect </w:t>
      </w:r>
      <w:bookmarkStart w:id="7" w:name="_Hlk147911135"/>
      <w:r>
        <w:rPr>
          <w:color w:val="000000"/>
        </w:rPr>
        <w:t>ZIP Code</w:t>
      </w:r>
      <w:r w:rsidR="00797756">
        <w:rPr>
          <w:color w:val="000000"/>
        </w:rPr>
        <w:t xml:space="preserve"> </w:t>
      </w:r>
      <w:r>
        <w:rPr>
          <w:color w:val="000000"/>
        </w:rPr>
        <w:t xml:space="preserve">level data </w:t>
      </w:r>
      <w:bookmarkEnd w:id="7"/>
      <w:r>
        <w:rPr>
          <w:color w:val="000000"/>
        </w:rPr>
        <w:t>directly from certain property &amp; casualty (P&amp;C) insurance groups, which will contribute to FIO’s</w:t>
      </w:r>
      <w:r w:rsidRPr="00591FAE">
        <w:rPr>
          <w:color w:val="000000"/>
        </w:rPr>
        <w:t xml:space="preserve"> </w:t>
      </w:r>
      <w:r w:rsidRPr="00A1783C">
        <w:t>assess</w:t>
      </w:r>
      <w:r>
        <w:t>ment of</w:t>
      </w:r>
      <w:r w:rsidRPr="00A1783C">
        <w:t xml:space="preserve"> the impact of climate-related risk on the availability and cost of homeowners insurance in the United States</w:t>
      </w:r>
      <w:r>
        <w:rPr>
          <w:color w:val="000000"/>
        </w:rPr>
        <w:t xml:space="preserve">.  </w:t>
      </w:r>
      <w:bookmarkStart w:id="8" w:name="_Hlk147915490"/>
      <w:r w:rsidR="00C2429F">
        <w:rPr>
          <w:color w:val="000000"/>
        </w:rPr>
        <w:t>Th</w:t>
      </w:r>
      <w:r w:rsidR="00701E57">
        <w:rPr>
          <w:color w:val="000000"/>
        </w:rPr>
        <w:t>e narrower focus of this</w:t>
      </w:r>
      <w:r w:rsidR="00C2429F">
        <w:rPr>
          <w:color w:val="000000"/>
        </w:rPr>
        <w:t xml:space="preserve"> data collection includes </w:t>
      </w:r>
      <w:r w:rsidR="00C2429F">
        <w:rPr>
          <w:rStyle w:val="ui-provider"/>
        </w:rPr>
        <w:t xml:space="preserve">data </w:t>
      </w:r>
      <w:r w:rsidR="00701E57">
        <w:rPr>
          <w:rStyle w:val="ui-provider"/>
        </w:rPr>
        <w:t>that will help</w:t>
      </w:r>
      <w:r w:rsidR="00C2429F">
        <w:rPr>
          <w:rStyle w:val="ui-provider"/>
        </w:rPr>
        <w:t xml:space="preserve"> establish a national baseline in this area.  </w:t>
      </w:r>
      <w:bookmarkStart w:id="9" w:name="_Hlk148604845"/>
      <w:r w:rsidR="000D6CEA">
        <w:rPr>
          <w:rStyle w:val="ui-provider"/>
        </w:rPr>
        <w:t>There is also</w:t>
      </w:r>
      <w:r w:rsidR="00C2429F">
        <w:rPr>
          <w:rStyle w:val="ui-provider"/>
        </w:rPr>
        <w:t xml:space="preserve"> potential value </w:t>
      </w:r>
      <w:r w:rsidR="000D6CEA">
        <w:rPr>
          <w:rStyle w:val="ui-provider"/>
        </w:rPr>
        <w:t>in</w:t>
      </w:r>
      <w:r w:rsidR="00C2429F">
        <w:rPr>
          <w:rStyle w:val="ui-provider"/>
        </w:rPr>
        <w:t xml:space="preserve"> </w:t>
      </w:r>
      <w:r w:rsidR="00AB0200">
        <w:rPr>
          <w:rStyle w:val="ui-provider"/>
        </w:rPr>
        <w:t>collecting and analyzing</w:t>
      </w:r>
      <w:r w:rsidR="00C2429F">
        <w:rPr>
          <w:rStyle w:val="ui-provider"/>
        </w:rPr>
        <w:t xml:space="preserve"> more detailed information</w:t>
      </w:r>
      <w:r w:rsidR="00031A39">
        <w:rPr>
          <w:rStyle w:val="ui-provider"/>
        </w:rPr>
        <w:t xml:space="preserve"> in this area</w:t>
      </w:r>
      <w:bookmarkEnd w:id="9"/>
      <w:r w:rsidR="00C2429F">
        <w:rPr>
          <w:rStyle w:val="ui-provider"/>
        </w:rPr>
        <w:t xml:space="preserve">.  </w:t>
      </w:r>
      <w:bookmarkStart w:id="10" w:name="_Hlk147915521"/>
      <w:bookmarkEnd w:id="8"/>
      <w:r w:rsidRPr="002A2CFA">
        <w:rPr>
          <w:color w:val="000000"/>
        </w:rPr>
        <w:t>FIO</w:t>
      </w:r>
      <w:r w:rsidR="00357AC8">
        <w:rPr>
          <w:color w:val="000000"/>
        </w:rPr>
        <w:t xml:space="preserve"> </w:t>
      </w:r>
      <w:bookmarkStart w:id="11" w:name="_Hlk147911100"/>
      <w:r w:rsidRPr="00357AC8" w:rsidR="00357AC8">
        <w:rPr>
          <w:color w:val="000000"/>
        </w:rPr>
        <w:t xml:space="preserve">intends to </w:t>
      </w:r>
      <w:r w:rsidR="00035D24">
        <w:rPr>
          <w:color w:val="000000"/>
        </w:rPr>
        <w:t>conduct</w:t>
      </w:r>
      <w:r w:rsidRPr="00357AC8" w:rsidR="00357AC8">
        <w:rPr>
          <w:color w:val="000000"/>
        </w:rPr>
        <w:t xml:space="preserve"> </w:t>
      </w:r>
      <w:r w:rsidR="00035D24">
        <w:rPr>
          <w:color w:val="000000"/>
        </w:rPr>
        <w:t>climate-related</w:t>
      </w:r>
      <w:r w:rsidRPr="00357AC8" w:rsidR="00357AC8">
        <w:rPr>
          <w:color w:val="000000"/>
        </w:rPr>
        <w:t xml:space="preserve"> data collections and analyses</w:t>
      </w:r>
      <w:r w:rsidRPr="00357AC8" w:rsidR="00357AC8">
        <w:rPr>
          <w:color w:val="000000"/>
        </w:rPr>
        <w:t xml:space="preserve"> </w:t>
      </w:r>
      <w:r w:rsidR="00421D47">
        <w:rPr>
          <w:color w:val="000000"/>
        </w:rPr>
        <w:t>in the future</w:t>
      </w:r>
      <w:bookmarkEnd w:id="11"/>
      <w:r w:rsidR="00035D24">
        <w:rPr>
          <w:color w:val="000000"/>
        </w:rPr>
        <w:t xml:space="preserve"> with </w:t>
      </w:r>
      <w:r w:rsidR="00BC528E">
        <w:rPr>
          <w:color w:val="000000"/>
        </w:rPr>
        <w:t xml:space="preserve">a </w:t>
      </w:r>
      <w:r w:rsidR="00035D24">
        <w:rPr>
          <w:color w:val="000000"/>
        </w:rPr>
        <w:t>goal of doing so on an annual basis</w:t>
      </w:r>
      <w:r w:rsidRPr="002A2CFA">
        <w:rPr>
          <w:color w:val="000000"/>
        </w:rPr>
        <w:t xml:space="preserve">.  In future </w:t>
      </w:r>
      <w:r w:rsidR="00357AC8">
        <w:rPr>
          <w:color w:val="000000"/>
        </w:rPr>
        <w:t>data collections</w:t>
      </w:r>
      <w:r w:rsidRPr="002A2CFA">
        <w:rPr>
          <w:color w:val="000000"/>
        </w:rPr>
        <w:t xml:space="preserve">, FIO may </w:t>
      </w:r>
      <w:r>
        <w:rPr>
          <w:color w:val="000000"/>
        </w:rPr>
        <w:t xml:space="preserve">seek data to </w:t>
      </w:r>
      <w:r w:rsidR="00EA4F1B">
        <w:rPr>
          <w:color w:val="000000"/>
        </w:rPr>
        <w:t>analyze</w:t>
      </w:r>
      <w:r w:rsidR="00035D24">
        <w:rPr>
          <w:color w:val="000000"/>
        </w:rPr>
        <w:t xml:space="preserve"> in more detail</w:t>
      </w:r>
      <w:r>
        <w:rPr>
          <w:color w:val="000000"/>
        </w:rPr>
        <w:t xml:space="preserve">, </w:t>
      </w:r>
      <w:r w:rsidRPr="002A2CFA">
        <w:rPr>
          <w:color w:val="000000"/>
        </w:rPr>
        <w:t>among other things</w:t>
      </w:r>
      <w:r>
        <w:rPr>
          <w:color w:val="000000"/>
        </w:rPr>
        <w:t>,</w:t>
      </w:r>
      <w:r w:rsidRPr="002A2CFA">
        <w:rPr>
          <w:color w:val="000000"/>
        </w:rPr>
        <w:t xml:space="preserve"> </w:t>
      </w:r>
      <w:r>
        <w:rPr>
          <w:color w:val="000000"/>
        </w:rPr>
        <w:t>climate-related</w:t>
      </w:r>
      <w:r w:rsidR="00EA4F1B">
        <w:rPr>
          <w:color w:val="000000"/>
        </w:rPr>
        <w:t xml:space="preserve"> impacts</w:t>
      </w:r>
      <w:r>
        <w:rPr>
          <w:color w:val="000000"/>
        </w:rPr>
        <w:t xml:space="preserve"> </w:t>
      </w:r>
      <w:r w:rsidRPr="002A2CFA">
        <w:rPr>
          <w:color w:val="000000"/>
        </w:rPr>
        <w:t xml:space="preserve">on traditionally underserved communities </w:t>
      </w:r>
      <w:r w:rsidR="00035D24">
        <w:rPr>
          <w:color w:val="000000"/>
        </w:rPr>
        <w:t>and</w:t>
      </w:r>
      <w:r w:rsidRPr="002A2CFA">
        <w:rPr>
          <w:color w:val="000000"/>
        </w:rPr>
        <w:t xml:space="preserve"> consumers, minorities, and low- and moderate</w:t>
      </w:r>
      <w:r>
        <w:rPr>
          <w:color w:val="000000"/>
        </w:rPr>
        <w:t>-</w:t>
      </w:r>
      <w:r w:rsidRPr="002A2CFA">
        <w:rPr>
          <w:color w:val="000000"/>
        </w:rPr>
        <w:t>income persons.</w:t>
      </w:r>
      <w:bookmarkEnd w:id="10"/>
    </w:p>
    <w:p w:rsidR="00B56F6E" w:rsidRPr="00B56F6E" w:rsidP="00A24444" w14:paraId="30F412D9" w14:textId="65E4D0D5">
      <w:pPr>
        <w:tabs>
          <w:tab w:val="left" w:pos="720"/>
          <w:tab w:val="left" w:pos="3060"/>
        </w:tabs>
        <w:spacing w:before="240" w:after="240"/>
        <w:rPr>
          <w:color w:val="000000"/>
        </w:rPr>
      </w:pPr>
      <w:r w:rsidRPr="00B56F6E">
        <w:rPr>
          <w:b/>
          <w:bCs/>
          <w:color w:val="000000"/>
          <w:u w:val="single"/>
        </w:rPr>
        <w:t>FIO’s Authorities</w:t>
      </w:r>
      <w:r w:rsidRPr="004E19E7">
        <w:rPr>
          <w:b/>
          <w:bCs/>
          <w:color w:val="000000"/>
        </w:rPr>
        <w:t>.</w:t>
      </w:r>
      <w:r w:rsidRPr="00B56F6E">
        <w:rPr>
          <w:color w:val="000000"/>
        </w:rPr>
        <w:t xml:space="preserve">  Under the FIO Act, FIO’s authorities include monitoring all aspects of the insurance sector, including identifying issues or gaps in the regulation of insurers that could contribute to a systemic crisis in the insurance sector or the U.S. financial system.</w:t>
      </w:r>
      <w:r>
        <w:rPr>
          <w:rStyle w:val="FootnoteReference"/>
          <w:color w:val="000000"/>
          <w:vertAlign w:val="superscript"/>
        </w:rPr>
        <w:footnoteReference w:id="6"/>
      </w:r>
      <w:r w:rsidRPr="002C7DB7">
        <w:rPr>
          <w:color w:val="000000"/>
          <w:vertAlign w:val="superscript"/>
        </w:rPr>
        <w:t xml:space="preserve"> </w:t>
      </w:r>
      <w:r>
        <w:rPr>
          <w:color w:val="000000"/>
        </w:rPr>
        <w:t xml:space="preserve"> </w:t>
      </w:r>
      <w:r w:rsidRPr="00B56F6E">
        <w:rPr>
          <w:color w:val="000000"/>
        </w:rPr>
        <w:t xml:space="preserve">FIO’s authorities also include </w:t>
      </w:r>
      <w:bookmarkStart w:id="12" w:name="_Hlk148625923"/>
      <w:r w:rsidRPr="00B56F6E">
        <w:rPr>
          <w:color w:val="000000"/>
        </w:rPr>
        <w:t xml:space="preserve">monitoring the </w:t>
      </w:r>
      <w:r w:rsidR="00580CD8">
        <w:rPr>
          <w:color w:val="000000"/>
        </w:rPr>
        <w:t xml:space="preserve">extent to which traditionally underserved communities </w:t>
      </w:r>
      <w:r w:rsidR="00580CD8">
        <w:rPr>
          <w:color w:val="000000"/>
        </w:rPr>
        <w:t xml:space="preserve">and consumers, minorities, </w:t>
      </w:r>
      <w:r w:rsidRPr="00C915E8" w:rsidR="00580CD8">
        <w:rPr>
          <w:color w:val="000000"/>
        </w:rPr>
        <w:t>and low- and moderate-income</w:t>
      </w:r>
      <w:r w:rsidR="00580CD8">
        <w:rPr>
          <w:color w:val="000000"/>
        </w:rPr>
        <w:t xml:space="preserve"> persons have access to affordable insurance products</w:t>
      </w:r>
      <w:bookmarkEnd w:id="12"/>
      <w:r w:rsidRPr="00B56F6E">
        <w:rPr>
          <w:color w:val="000000"/>
        </w:rPr>
        <w:t>.</w:t>
      </w:r>
      <w:r>
        <w:rPr>
          <w:rStyle w:val="FootnoteReference"/>
          <w:color w:val="000000"/>
          <w:vertAlign w:val="superscript"/>
        </w:rPr>
        <w:footnoteReference w:id="7"/>
      </w:r>
      <w:r w:rsidR="00C3620B">
        <w:rPr>
          <w:color w:val="000000"/>
          <w:vertAlign w:val="superscript"/>
        </w:rPr>
        <w:t xml:space="preserve"> </w:t>
      </w:r>
      <w:r w:rsidR="00C3620B">
        <w:rPr>
          <w:color w:val="000000"/>
        </w:rPr>
        <w:t xml:space="preserve"> </w:t>
      </w:r>
      <w:r w:rsidRPr="00B56F6E">
        <w:rPr>
          <w:color w:val="000000"/>
        </w:rPr>
        <w:t xml:space="preserve">In carrying out its duties, FIO is authorized to collect data and information on and from the insurance </w:t>
      </w:r>
      <w:r w:rsidR="001B11DC">
        <w:rPr>
          <w:color w:val="000000"/>
        </w:rPr>
        <w:t>industry and insurers</w:t>
      </w:r>
      <w:r w:rsidRPr="00B56F6E">
        <w:rPr>
          <w:color w:val="000000"/>
        </w:rPr>
        <w:t>, including through the use of subpoenas.</w:t>
      </w:r>
      <w:r>
        <w:rPr>
          <w:rStyle w:val="FootnoteReference"/>
          <w:color w:val="000000"/>
          <w:vertAlign w:val="superscript"/>
        </w:rPr>
        <w:footnoteReference w:id="8"/>
      </w:r>
      <w:r w:rsidRPr="00B56F6E">
        <w:rPr>
          <w:color w:val="000000"/>
        </w:rPr>
        <w:t xml:space="preserve">  FIO is also authorized to analyze and disseminate data and information and issue reports on all lines of insurance, except crop insurance and health insurance.</w:t>
      </w:r>
      <w:r>
        <w:rPr>
          <w:rStyle w:val="FootnoteReference"/>
          <w:color w:val="000000"/>
          <w:vertAlign w:val="superscript"/>
        </w:rPr>
        <w:footnoteReference w:id="9"/>
      </w:r>
      <w:r w:rsidRPr="00B56F6E">
        <w:rPr>
          <w:color w:val="000000"/>
        </w:rPr>
        <w:t xml:space="preserve">  </w:t>
      </w:r>
      <w:r w:rsidR="001B11DC">
        <w:rPr>
          <w:color w:val="000000"/>
        </w:rPr>
        <w:t>Each</w:t>
      </w:r>
      <w:r w:rsidRPr="00B56F6E">
        <w:rPr>
          <w:color w:val="000000"/>
        </w:rPr>
        <w:t xml:space="preserve"> of these authorities </w:t>
      </w:r>
      <w:r w:rsidR="001B11DC">
        <w:rPr>
          <w:color w:val="000000"/>
        </w:rPr>
        <w:t>is</w:t>
      </w:r>
      <w:r w:rsidRPr="00B56F6E" w:rsidR="001B11DC">
        <w:rPr>
          <w:color w:val="000000"/>
        </w:rPr>
        <w:t xml:space="preserve"> </w:t>
      </w:r>
      <w:r w:rsidRPr="00B56F6E">
        <w:rPr>
          <w:color w:val="000000"/>
        </w:rPr>
        <w:t>relevant to FIO’s planned data collection.</w:t>
      </w:r>
    </w:p>
    <w:p w:rsidR="006D3728" w:rsidP="006D3728" w14:paraId="75212D8C" w14:textId="110AAD04">
      <w:pPr>
        <w:spacing w:before="240" w:after="240"/>
        <w:rPr>
          <w:b/>
          <w:bCs/>
        </w:rPr>
      </w:pPr>
      <w:r>
        <w:rPr>
          <w:b/>
          <w:bCs/>
          <w:u w:val="single"/>
        </w:rPr>
        <w:t>Necessity of Information Collection</w:t>
      </w:r>
      <w:r>
        <w:rPr>
          <w:b/>
          <w:bCs/>
        </w:rPr>
        <w:t xml:space="preserve">.  </w:t>
      </w:r>
      <w:r>
        <w:t>FIO’s data collection is necessary to advance its efforts to respond to EO 14030, namely, to assess the “</w:t>
      </w:r>
      <w:r w:rsidRPr="00107D87">
        <w:t>potential for major disruptions of private insurance coverage in regions of the country particularly vulnerable to climate change impacts</w:t>
      </w:r>
      <w:r>
        <w:t>,” and to advance its statutory mandate</w:t>
      </w:r>
      <w:r w:rsidR="005B5971">
        <w:t>s</w:t>
      </w:r>
      <w:r>
        <w:t xml:space="preserve">.  To make this assessment, FIO has developed a plan for data collection focused on “physical risks.”  Physical risks are </w:t>
      </w:r>
      <w:r w:rsidRPr="003C0D13">
        <w:rPr>
          <w:rFonts w:eastAsiaTheme="minorEastAsia"/>
        </w:rPr>
        <w:t>“the harm to people and property arising from acute, climate-related disaster events such as hurricanes, wildfires, floods, and heatwaves as well as longer-term chronic phenomena such as higher average temperatures, changes in precipitation patterns, sea-level rise, and ocean acidification.”</w:t>
      </w:r>
      <w:r>
        <w:rPr>
          <w:rStyle w:val="FootnoteReference"/>
          <w:rFonts w:eastAsiaTheme="minorEastAsia"/>
          <w:vertAlign w:val="superscript"/>
        </w:rPr>
        <w:footnoteReference w:id="10"/>
      </w:r>
      <w:r>
        <w:rPr>
          <w:rFonts w:eastAsiaTheme="minorEastAsia"/>
        </w:rPr>
        <w:t xml:space="preserve">  Physical risks can affect an insurer’s underwriting activities.  (They can also affect investment activities, but </w:t>
      </w:r>
      <w:r w:rsidR="00CC50DE">
        <w:rPr>
          <w:rFonts w:eastAsiaTheme="minorEastAsia"/>
        </w:rPr>
        <w:t xml:space="preserve">insurer </w:t>
      </w:r>
      <w:r>
        <w:rPr>
          <w:rFonts w:eastAsiaTheme="minorEastAsia"/>
        </w:rPr>
        <w:t xml:space="preserve">investments are not part of FIO’s data collection.)  </w:t>
      </w:r>
      <w:bookmarkStart w:id="13" w:name="_Hlk148604862"/>
      <w:r w:rsidRPr="008C316F">
        <w:rPr>
          <w:color w:val="000000"/>
        </w:rPr>
        <w:t>When</w:t>
      </w:r>
      <w:r w:rsidRPr="008C316F">
        <w:rPr>
          <w:color w:val="000000"/>
        </w:rPr>
        <w:t xml:space="preserve"> underwriting</w:t>
      </w:r>
      <w:r w:rsidRPr="008C316F">
        <w:rPr>
          <w:color w:val="000000"/>
        </w:rPr>
        <w:t xml:space="preserve">, an insurer decides whether to </w:t>
      </w:r>
      <w:r>
        <w:rPr>
          <w:color w:val="000000"/>
        </w:rPr>
        <w:t>offer coverage to</w:t>
      </w:r>
      <w:r w:rsidRPr="008C316F">
        <w:rPr>
          <w:color w:val="000000"/>
        </w:rPr>
        <w:t xml:space="preserve"> a prospective customer</w:t>
      </w:r>
      <w:r>
        <w:rPr>
          <w:color w:val="000000"/>
        </w:rPr>
        <w:t xml:space="preserve"> and at what </w:t>
      </w:r>
      <w:r w:rsidR="00031A39">
        <w:rPr>
          <w:color w:val="000000"/>
        </w:rPr>
        <w:t xml:space="preserve">terms and </w:t>
      </w:r>
      <w:r>
        <w:rPr>
          <w:color w:val="000000"/>
        </w:rPr>
        <w:t xml:space="preserve">price.  </w:t>
      </w:r>
      <w:bookmarkEnd w:id="13"/>
      <w:r>
        <w:rPr>
          <w:color w:val="000000"/>
        </w:rPr>
        <w:t>The underwriting process includes evaluation by the insurer of various risks,</w:t>
      </w:r>
      <w:r w:rsidRPr="008C316F">
        <w:rPr>
          <w:color w:val="000000"/>
        </w:rPr>
        <w:t xml:space="preserve"> including the risk of the customer failing to make premium payments and the risk that the customer will make a claim</w:t>
      </w:r>
      <w:r>
        <w:rPr>
          <w:rFonts w:eastAsiaTheme="minorEastAsia"/>
        </w:rPr>
        <w:t>—</w:t>
      </w:r>
      <w:r>
        <w:rPr>
          <w:color w:val="000000"/>
        </w:rPr>
        <w:t>each of which may be influenced by physical risk</w:t>
      </w:r>
      <w:r w:rsidRPr="008C316F">
        <w:rPr>
          <w:color w:val="000000"/>
        </w:rPr>
        <w:t xml:space="preserve">.  </w:t>
      </w:r>
      <w:r>
        <w:rPr>
          <w:rFonts w:eastAsiaTheme="minorEastAsia"/>
        </w:rPr>
        <w:t>I</w:t>
      </w:r>
      <w:r w:rsidRPr="00274FA6">
        <w:rPr>
          <w:rFonts w:eastAsiaTheme="minorEastAsia"/>
        </w:rPr>
        <w:t>ncreases in the frequency, severity</w:t>
      </w:r>
      <w:r>
        <w:rPr>
          <w:rFonts w:eastAsiaTheme="minorEastAsia"/>
        </w:rPr>
        <w:t>,</w:t>
      </w:r>
      <w:r w:rsidRPr="00274FA6">
        <w:rPr>
          <w:rFonts w:eastAsiaTheme="minorEastAsia"/>
        </w:rPr>
        <w:t xml:space="preserve"> and geographical distribution of weather-related</w:t>
      </w:r>
      <w:r>
        <w:rPr>
          <w:rFonts w:eastAsiaTheme="minorEastAsia"/>
        </w:rPr>
        <w:t xml:space="preserve"> events due to climate change</w:t>
      </w:r>
      <w:r w:rsidRPr="00274FA6">
        <w:rPr>
          <w:rFonts w:eastAsiaTheme="minorEastAsia"/>
        </w:rPr>
        <w:t xml:space="preserve"> </w:t>
      </w:r>
      <w:r>
        <w:rPr>
          <w:rFonts w:eastAsiaTheme="minorEastAsia"/>
        </w:rPr>
        <w:t>could result in higher claims on and losses to insurers, and thus impact future underwriting decisions.  Further, physical risks</w:t>
      </w:r>
      <w:r w:rsidRPr="00274FA6">
        <w:rPr>
          <w:rFonts w:eastAsiaTheme="minorEastAsia"/>
        </w:rPr>
        <w:t xml:space="preserve"> could lead to higher direct losses </w:t>
      </w:r>
      <w:r>
        <w:rPr>
          <w:rFonts w:eastAsiaTheme="minorEastAsia"/>
        </w:rPr>
        <w:t>and expenses</w:t>
      </w:r>
      <w:r w:rsidRPr="00274FA6">
        <w:rPr>
          <w:rFonts w:eastAsiaTheme="minorEastAsia"/>
        </w:rPr>
        <w:t xml:space="preserve"> from property damage, indirect losses</w:t>
      </w:r>
      <w:r>
        <w:rPr>
          <w:rFonts w:eastAsiaTheme="minorEastAsia"/>
        </w:rPr>
        <w:t xml:space="preserve"> </w:t>
      </w:r>
      <w:r w:rsidRPr="00274FA6">
        <w:rPr>
          <w:rFonts w:eastAsiaTheme="minorEastAsia"/>
        </w:rPr>
        <w:t>such as from business interruption</w:t>
      </w:r>
      <w:r>
        <w:rPr>
          <w:rFonts w:eastAsiaTheme="minorEastAsia"/>
        </w:rPr>
        <w:t xml:space="preserve">, and higher reinsurance costs. </w:t>
      </w:r>
      <w:r w:rsidR="00C3620B">
        <w:rPr>
          <w:rFonts w:eastAsiaTheme="minorEastAsia"/>
        </w:rPr>
        <w:t xml:space="preserve"> </w:t>
      </w:r>
      <w:r>
        <w:rPr>
          <w:rFonts w:eastAsiaTheme="minorEastAsia"/>
        </w:rPr>
        <w:t>These effects could impact insurers’ future underwriting decisions—including whether they continue to make insurance policies available and at what cost to consumers in impacted regions</w:t>
      </w:r>
      <w:r w:rsidRPr="00274FA6">
        <w:rPr>
          <w:rFonts w:eastAsiaTheme="minorEastAsia"/>
        </w:rPr>
        <w:t>.</w:t>
      </w:r>
      <w:r>
        <w:rPr>
          <w:rFonts w:eastAsiaTheme="minorEastAsia"/>
        </w:rPr>
        <w:t xml:space="preserve">  </w:t>
      </w:r>
      <w:r>
        <w:t>FIO’s data collection is focusing on data that will contribute to its analysis of the climate-related impacts on insurers’ underwriting, including impacts on coverage availability</w:t>
      </w:r>
      <w:r w:rsidRPr="00AC7083" w:rsidR="00AC7083">
        <w:t xml:space="preserve"> and cost of homeowners insurance</w:t>
      </w:r>
      <w:r>
        <w:t>.</w:t>
      </w:r>
    </w:p>
    <w:p w:rsidR="006D3728" w:rsidP="006D3728" w14:paraId="14DD5111" w14:textId="2CE9A4A6">
      <w:pPr>
        <w:spacing w:before="240" w:after="240"/>
      </w:pPr>
      <w:r>
        <w:rPr>
          <w:rFonts w:eastAsiaTheme="minorEastAsia"/>
        </w:rPr>
        <w:t xml:space="preserve">As further described below, </w:t>
      </w:r>
      <w:r w:rsidRPr="00AA16DB">
        <w:rPr>
          <w:rFonts w:eastAsiaTheme="minorEastAsia"/>
        </w:rPr>
        <w:t xml:space="preserve">FIO has determined that the </w:t>
      </w:r>
      <w:r>
        <w:rPr>
          <w:rFonts w:eastAsiaTheme="minorEastAsia"/>
        </w:rPr>
        <w:t xml:space="preserve">granular underwriting </w:t>
      </w:r>
      <w:r w:rsidRPr="00AA16DB">
        <w:rPr>
          <w:rFonts w:eastAsiaTheme="minorEastAsia"/>
        </w:rPr>
        <w:t xml:space="preserve">data it </w:t>
      </w:r>
      <w:r>
        <w:rPr>
          <w:rFonts w:eastAsiaTheme="minorEastAsia"/>
        </w:rPr>
        <w:t>needs (and which are the subject of its planned data collection)</w:t>
      </w:r>
      <w:r w:rsidRPr="00AA16DB">
        <w:rPr>
          <w:rFonts w:eastAsiaTheme="minorEastAsia"/>
        </w:rPr>
        <w:t xml:space="preserve"> </w:t>
      </w:r>
      <w:r>
        <w:rPr>
          <w:rFonts w:eastAsiaTheme="minorEastAsia"/>
        </w:rPr>
        <w:t>are</w:t>
      </w:r>
      <w:r w:rsidRPr="00AA16DB">
        <w:rPr>
          <w:rFonts w:eastAsiaTheme="minorEastAsia"/>
        </w:rPr>
        <w:t xml:space="preserve"> not </w:t>
      </w:r>
      <w:r>
        <w:rPr>
          <w:rFonts w:eastAsiaTheme="minorEastAsia"/>
        </w:rPr>
        <w:t xml:space="preserve">publicly </w:t>
      </w:r>
      <w:r w:rsidRPr="00AA16DB">
        <w:rPr>
          <w:rFonts w:eastAsiaTheme="minorEastAsia"/>
        </w:rPr>
        <w:t xml:space="preserve">available or </w:t>
      </w:r>
      <w:r w:rsidR="00C47A01">
        <w:rPr>
          <w:rFonts w:eastAsiaTheme="minorEastAsia"/>
        </w:rPr>
        <w:t>may not</w:t>
      </w:r>
      <w:r w:rsidRPr="00AA16DB">
        <w:rPr>
          <w:rFonts w:eastAsiaTheme="minorEastAsia"/>
        </w:rPr>
        <w:t xml:space="preserve"> be obtained in a timely manner from </w:t>
      </w:r>
      <w:r>
        <w:rPr>
          <w:rFonts w:eastAsiaTheme="minorEastAsia"/>
        </w:rPr>
        <w:t>the</w:t>
      </w:r>
      <w:r w:rsidR="00AF0D5A">
        <w:rPr>
          <w:rFonts w:eastAsiaTheme="minorEastAsia"/>
        </w:rPr>
        <w:t xml:space="preserve"> </w:t>
      </w:r>
      <w:r w:rsidR="004F2B77">
        <w:rPr>
          <w:rFonts w:eastAsiaTheme="minorEastAsia"/>
        </w:rPr>
        <w:t>S</w:t>
      </w:r>
      <w:r w:rsidRPr="00AA16DB">
        <w:rPr>
          <w:rFonts w:eastAsiaTheme="minorEastAsia"/>
        </w:rPr>
        <w:t xml:space="preserve">tate </w:t>
      </w:r>
      <w:r w:rsidR="004F2B77">
        <w:rPr>
          <w:rFonts w:eastAsiaTheme="minorEastAsia"/>
        </w:rPr>
        <w:t>I</w:t>
      </w:r>
      <w:r w:rsidRPr="00AA16DB">
        <w:rPr>
          <w:rFonts w:eastAsiaTheme="minorEastAsia"/>
        </w:rPr>
        <w:t xml:space="preserve">nsurance </w:t>
      </w:r>
      <w:r w:rsidR="004F2B77">
        <w:rPr>
          <w:rFonts w:eastAsiaTheme="minorEastAsia"/>
        </w:rPr>
        <w:t>R</w:t>
      </w:r>
      <w:r w:rsidRPr="00AA16DB">
        <w:rPr>
          <w:rFonts w:eastAsiaTheme="minorEastAsia"/>
        </w:rPr>
        <w:t>egulators</w:t>
      </w:r>
      <w:r>
        <w:rPr>
          <w:rFonts w:eastAsiaTheme="minorEastAsia"/>
        </w:rPr>
        <w:t>,</w:t>
      </w:r>
      <w:r w:rsidRPr="00AA16DB">
        <w:rPr>
          <w:rFonts w:eastAsiaTheme="minorEastAsia"/>
        </w:rPr>
        <w:t xml:space="preserve"> </w:t>
      </w:r>
      <w:r>
        <w:t>relevant federal agencies, or publicly available sources</w:t>
      </w:r>
      <w:r>
        <w:rPr>
          <w:rFonts w:eastAsiaTheme="minorEastAsia"/>
        </w:rPr>
        <w:t>.</w:t>
      </w:r>
      <w:r>
        <w:rPr>
          <w:rStyle w:val="FootnoteReference"/>
          <w:rFonts w:eastAsiaTheme="minorEastAsia"/>
          <w:vertAlign w:val="superscript"/>
        </w:rPr>
        <w:footnoteReference w:id="11"/>
      </w:r>
      <w:r>
        <w:rPr>
          <w:rFonts w:eastAsiaTheme="minorEastAsia"/>
        </w:rPr>
        <w:t xml:space="preserve">  </w:t>
      </w:r>
      <w:r>
        <w:t xml:space="preserve">Data of the type sought (described in detail below) is generally available only at </w:t>
      </w:r>
      <w:r w:rsidRPr="001B2FB9">
        <w:t>the national or state level</w:t>
      </w:r>
      <w:r>
        <w:t>, which is therefore insufficient to support FIO’s work.</w:t>
      </w:r>
      <w:r>
        <w:rPr>
          <w:rStyle w:val="FootnoteReference"/>
          <w:vertAlign w:val="superscript"/>
        </w:rPr>
        <w:footnoteReference w:id="12"/>
      </w:r>
    </w:p>
    <w:p w:rsidR="00A04CFF" w:rsidP="00A24444" w14:paraId="2116C849" w14:textId="65A7E97E">
      <w:pPr>
        <w:tabs>
          <w:tab w:val="left" w:pos="720"/>
          <w:tab w:val="left" w:pos="3060"/>
        </w:tabs>
        <w:spacing w:before="240" w:after="240"/>
        <w:rPr>
          <w:rFonts w:eastAsiaTheme="minorEastAsia"/>
          <w:b/>
          <w:u w:val="single"/>
        </w:rPr>
      </w:pPr>
      <w:r>
        <w:rPr>
          <w:rFonts w:eastAsiaTheme="minorEastAsia"/>
          <w:b/>
          <w:bCs/>
          <w:u w:val="single"/>
        </w:rPr>
        <w:t xml:space="preserve">Data Collection </w:t>
      </w:r>
      <w:r w:rsidR="00802A5E">
        <w:rPr>
          <w:rFonts w:eastAsiaTheme="minorEastAsia"/>
          <w:b/>
          <w:bCs/>
          <w:u w:val="single"/>
        </w:rPr>
        <w:t>Details</w:t>
      </w:r>
      <w:r>
        <w:rPr>
          <w:rFonts w:eastAsiaTheme="minorEastAsia"/>
          <w:b/>
          <w:bCs/>
          <w:u w:val="single"/>
        </w:rPr>
        <w:t xml:space="preserve"> and Rationale</w:t>
      </w:r>
      <w:r>
        <w:rPr>
          <w:rFonts w:eastAsiaTheme="minorEastAsia"/>
          <w:b/>
          <w:bCs/>
        </w:rPr>
        <w:t xml:space="preserve">.  </w:t>
      </w:r>
      <w:r>
        <w:rPr>
          <w:rFonts w:eastAsiaTheme="minorEastAsia"/>
        </w:rPr>
        <w:t xml:space="preserve">Below, FIO describes the data it </w:t>
      </w:r>
      <w:r w:rsidR="005C5559">
        <w:rPr>
          <w:rFonts w:eastAsiaTheme="minorEastAsia"/>
        </w:rPr>
        <w:t>plans</w:t>
      </w:r>
      <w:r>
        <w:rPr>
          <w:rFonts w:eastAsiaTheme="minorEastAsia"/>
        </w:rPr>
        <w:t xml:space="preserve"> to collect</w:t>
      </w:r>
      <w:r w:rsidR="00300271">
        <w:rPr>
          <w:rFonts w:eastAsiaTheme="minorEastAsia"/>
        </w:rPr>
        <w:t xml:space="preserve">, including detail of each data </w:t>
      </w:r>
      <w:r w:rsidR="00B13A14">
        <w:rPr>
          <w:rFonts w:eastAsiaTheme="minorEastAsia"/>
        </w:rPr>
        <w:t xml:space="preserve">field and how that data will support the work described above.  In its response to Question 8, FIO explains how and why its planned data collection differs from FIO’s original proposal </w:t>
      </w:r>
      <w:r w:rsidR="00C47A01">
        <w:rPr>
          <w:rFonts w:eastAsiaTheme="minorEastAsia"/>
        </w:rPr>
        <w:t xml:space="preserve">set forth </w:t>
      </w:r>
      <w:r w:rsidR="00B13A14">
        <w:rPr>
          <w:rFonts w:eastAsiaTheme="minorEastAsia"/>
        </w:rPr>
        <w:t>in the October 2022 FRN.</w:t>
      </w:r>
    </w:p>
    <w:p w:rsidR="00B13A14" w:rsidRPr="00F619D1" w:rsidP="00B13A14" w14:paraId="020E6AF2" w14:textId="77777777">
      <w:pPr>
        <w:tabs>
          <w:tab w:val="left" w:pos="720"/>
          <w:tab w:val="left" w:pos="3060"/>
        </w:tabs>
        <w:spacing w:before="240" w:after="240"/>
        <w:rPr>
          <w:color w:val="000000"/>
          <w:u w:val="single"/>
        </w:rPr>
      </w:pPr>
      <w:r>
        <w:rPr>
          <w:rFonts w:eastAsiaTheme="minorEastAsia"/>
        </w:rPr>
        <w:tab/>
      </w:r>
      <w:r>
        <w:rPr>
          <w:rFonts w:eastAsiaTheme="minorEastAsia"/>
          <w:u w:val="single"/>
        </w:rPr>
        <w:t>Homeowners Insurance (HO-3 Policy Form)</w:t>
      </w:r>
    </w:p>
    <w:p w:rsidR="006D3728" w:rsidP="006D3728" w14:paraId="25B7DAEE" w14:textId="482A44FF">
      <w:pPr>
        <w:tabs>
          <w:tab w:val="left" w:pos="720"/>
          <w:tab w:val="left" w:pos="3060"/>
        </w:tabs>
        <w:spacing w:before="240" w:after="240"/>
        <w:rPr>
          <w:color w:val="000000"/>
        </w:rPr>
      </w:pPr>
      <w:r>
        <w:rPr>
          <w:rFonts w:eastAsiaTheme="minorEastAsia"/>
        </w:rPr>
        <w:t xml:space="preserve">FIO plans to collect and analyze historical underwriting data from certain P&amp;C insurance groups </w:t>
      </w:r>
      <w:r w:rsidR="0077482C">
        <w:rPr>
          <w:rFonts w:eastAsiaTheme="minorEastAsia"/>
        </w:rPr>
        <w:t xml:space="preserve">on a nationwide basis </w:t>
      </w:r>
      <w:r>
        <w:rPr>
          <w:rFonts w:eastAsiaTheme="minorEastAsia"/>
        </w:rPr>
        <w:t xml:space="preserve">in order </w:t>
      </w:r>
      <w:r w:rsidRPr="00EB07D5">
        <w:t xml:space="preserve">to assess </w:t>
      </w:r>
      <w:r w:rsidRPr="00A1783C">
        <w:t xml:space="preserve">the impact </w:t>
      </w:r>
      <w:r w:rsidRPr="00A1783C">
        <w:t>of climate-related risk on the availability and cost of homeowners insurance</w:t>
      </w:r>
      <w:r>
        <w:rPr>
          <w:rFonts w:eastAsiaTheme="minorEastAsia"/>
        </w:rPr>
        <w:t>.  FIO’s focus will be on homeowners multi-peril insurance.</w:t>
      </w:r>
      <w:r>
        <w:rPr>
          <w:rStyle w:val="FootnoteReference"/>
          <w:rFonts w:eastAsiaTheme="minorEastAsia"/>
          <w:vertAlign w:val="superscript"/>
        </w:rPr>
        <w:footnoteReference w:id="13"/>
      </w:r>
      <w:r>
        <w:rPr>
          <w:color w:val="000000"/>
        </w:rPr>
        <w:t xml:space="preserve">  More specifically, </w:t>
      </w:r>
      <w:bookmarkStart w:id="14" w:name="_Hlk146964966"/>
      <w:r>
        <w:rPr>
          <w:color w:val="000000"/>
        </w:rPr>
        <w:t xml:space="preserve">FIO will focus on owner-occupied homeowners multi-peril insurance policies issued on form “HO-3.”  This form is the most common homeowners insurance policy form in the United States: HO-3 policies </w:t>
      </w:r>
      <w:r w:rsidR="00C47A01">
        <w:rPr>
          <w:color w:val="000000"/>
        </w:rPr>
        <w:t>comprise</w:t>
      </w:r>
      <w:r>
        <w:rPr>
          <w:color w:val="000000"/>
        </w:rPr>
        <w:t xml:space="preserve"> 55.5 percent of all homeowners insurance policies and 78.3 percent of all owner-occupied homeowners </w:t>
      </w:r>
      <w:bookmarkStart w:id="15" w:name="_Hlk109203613"/>
      <w:bookmarkEnd w:id="14"/>
      <w:r>
        <w:rPr>
          <w:color w:val="000000"/>
        </w:rPr>
        <w:t>insurance policies.</w:t>
      </w:r>
      <w:r>
        <w:rPr>
          <w:rStyle w:val="FootnoteReference"/>
          <w:color w:val="000000"/>
          <w:vertAlign w:val="superscript"/>
        </w:rPr>
        <w:footnoteReference w:id="14"/>
      </w:r>
      <w:r>
        <w:rPr>
          <w:color w:val="000000"/>
        </w:rPr>
        <w:t xml:space="preserve">  </w:t>
      </w:r>
      <w:bookmarkStart w:id="16" w:name="_Hlk148604885"/>
      <w:r>
        <w:rPr>
          <w:color w:val="000000"/>
        </w:rPr>
        <w:t>HO-3 homeowners multi-peril insurance policies typically are part of an all-in-one insurance coverage package that may include coverage for property damage from a variety of perils, including wind, hail, fire, loss of use, theft, mold, explosion, and vandalism</w:t>
      </w:r>
      <w:r w:rsidR="00031A39">
        <w:rPr>
          <w:color w:val="000000"/>
        </w:rPr>
        <w:t>.</w:t>
      </w:r>
      <w:r>
        <w:rPr>
          <w:color w:val="000000"/>
        </w:rPr>
        <w:t xml:space="preserve"> </w:t>
      </w:r>
      <w:r w:rsidR="00031A39">
        <w:rPr>
          <w:color w:val="000000"/>
        </w:rPr>
        <w:t xml:space="preserve"> H</w:t>
      </w:r>
      <w:r>
        <w:rPr>
          <w:color w:val="000000"/>
        </w:rPr>
        <w:t>owever, flood is typically excluded, with coverage available for take up under a separate policy.</w:t>
      </w:r>
      <w:bookmarkEnd w:id="16"/>
    </w:p>
    <w:p w:rsidR="00B13A14" w:rsidRPr="00802A5E" w:rsidP="00B13A14" w14:paraId="17034FF0" w14:textId="1956ABE3">
      <w:pPr>
        <w:tabs>
          <w:tab w:val="left" w:pos="720"/>
          <w:tab w:val="left" w:pos="3060"/>
        </w:tabs>
        <w:spacing w:before="240" w:after="240"/>
        <w:rPr>
          <w:color w:val="000000"/>
        </w:rPr>
      </w:pPr>
      <w:r>
        <w:rPr>
          <w:color w:val="000000"/>
        </w:rPr>
        <w:tab/>
      </w:r>
      <w:r>
        <w:rPr>
          <w:color w:val="000000"/>
          <w:u w:val="single"/>
        </w:rPr>
        <w:t>Representative Sample Insurers</w:t>
      </w:r>
    </w:p>
    <w:p w:rsidR="006D3728" w:rsidP="006D3728" w14:paraId="74F1996E" w14:textId="4313ECF5">
      <w:pPr>
        <w:tabs>
          <w:tab w:val="left" w:pos="720"/>
          <w:tab w:val="left" w:pos="3060"/>
        </w:tabs>
        <w:spacing w:before="240" w:after="240"/>
        <w:rPr>
          <w:color w:val="000000"/>
        </w:rPr>
      </w:pPr>
      <w:bookmarkStart w:id="17" w:name="_Hlk146803586"/>
      <w:bookmarkStart w:id="18" w:name="_Hlk146797427"/>
      <w:r>
        <w:rPr>
          <w:color w:val="000000"/>
        </w:rPr>
        <w:t xml:space="preserve">For this initial data collection, </w:t>
      </w:r>
      <w:r w:rsidRPr="003541AD" w:rsidR="00F90A13">
        <w:rPr>
          <w:color w:val="000000"/>
        </w:rPr>
        <w:t xml:space="preserve">FIO </w:t>
      </w:r>
      <w:r w:rsidRPr="003541AD" w:rsidR="005C5559">
        <w:rPr>
          <w:color w:val="000000"/>
        </w:rPr>
        <w:t>plans</w:t>
      </w:r>
      <w:r w:rsidRPr="003541AD" w:rsidR="00BF75E1">
        <w:rPr>
          <w:color w:val="000000"/>
        </w:rPr>
        <w:t xml:space="preserve"> to collect </w:t>
      </w:r>
      <w:r w:rsidRPr="003541AD" w:rsidR="00F90A13">
        <w:rPr>
          <w:color w:val="000000"/>
        </w:rPr>
        <w:t xml:space="preserve">data from </w:t>
      </w:r>
      <w:r w:rsidRPr="003541AD" w:rsidR="00154B16">
        <w:rPr>
          <w:color w:val="000000"/>
        </w:rPr>
        <w:t xml:space="preserve">the </w:t>
      </w:r>
      <w:bookmarkStart w:id="19" w:name="_Hlk147436103"/>
      <w:r w:rsidRPr="003541AD" w:rsidR="00154B16">
        <w:rPr>
          <w:color w:val="000000"/>
        </w:rPr>
        <w:t xml:space="preserve">top </w:t>
      </w:r>
      <w:r w:rsidRPr="003541AD" w:rsidR="00B13A14">
        <w:rPr>
          <w:color w:val="000000"/>
        </w:rPr>
        <w:t>homeowners insurance groups</w:t>
      </w:r>
      <w:r w:rsidR="00B13A14">
        <w:rPr>
          <w:color w:val="000000"/>
        </w:rPr>
        <w:t xml:space="preserve"> </w:t>
      </w:r>
      <w:r w:rsidRPr="003541AD" w:rsidR="00B13A14">
        <w:rPr>
          <w:color w:val="000000"/>
        </w:rPr>
        <w:t xml:space="preserve">that </w:t>
      </w:r>
      <w:r w:rsidRPr="003541AD" w:rsidR="00B24D3C">
        <w:rPr>
          <w:color w:val="000000"/>
        </w:rPr>
        <w:t xml:space="preserve">have </w:t>
      </w:r>
      <w:r w:rsidR="000B6928">
        <w:rPr>
          <w:color w:val="000000"/>
        </w:rPr>
        <w:t>1</w:t>
      </w:r>
      <w:r w:rsidRPr="003541AD" w:rsidR="00B24D3C">
        <w:rPr>
          <w:color w:val="000000"/>
        </w:rPr>
        <w:t xml:space="preserve"> percent or more of the U.S. homeowners insurance market as measured </w:t>
      </w:r>
      <w:r w:rsidRPr="003541AD" w:rsidR="00154B16">
        <w:rPr>
          <w:color w:val="000000"/>
        </w:rPr>
        <w:t xml:space="preserve">by aggregate homeowners insurance </w:t>
      </w:r>
      <w:r w:rsidRPr="003541AD" w:rsidR="00EE1837">
        <w:rPr>
          <w:color w:val="000000"/>
        </w:rPr>
        <w:t xml:space="preserve">direct </w:t>
      </w:r>
      <w:r w:rsidRPr="003541AD" w:rsidR="00154B16">
        <w:rPr>
          <w:color w:val="000000"/>
        </w:rPr>
        <w:t>premiums written in 2022</w:t>
      </w:r>
      <w:r w:rsidRPr="003541AD" w:rsidR="00B24D3C">
        <w:rPr>
          <w:color w:val="000000"/>
        </w:rPr>
        <w:t xml:space="preserve">.  </w:t>
      </w:r>
      <w:bookmarkStart w:id="20" w:name="_Hlk147892582"/>
      <w:r w:rsidRPr="003541AD" w:rsidR="00B24D3C">
        <w:rPr>
          <w:color w:val="000000"/>
        </w:rPr>
        <w:t xml:space="preserve">FIO has identified 14 homeowners insurance groups that meet this </w:t>
      </w:r>
      <w:r w:rsidRPr="003541AD" w:rsidR="00B13A14">
        <w:rPr>
          <w:color w:val="000000"/>
        </w:rPr>
        <w:t>criteri</w:t>
      </w:r>
      <w:r w:rsidR="00B13A14">
        <w:rPr>
          <w:color w:val="000000"/>
        </w:rPr>
        <w:t>on</w:t>
      </w:r>
      <w:r w:rsidRPr="003541AD" w:rsidR="00B13A14">
        <w:rPr>
          <w:color w:val="000000"/>
        </w:rPr>
        <w:t xml:space="preserve"> </w:t>
      </w:r>
      <w:bookmarkEnd w:id="20"/>
      <w:r w:rsidRPr="003541AD" w:rsidR="00B13A14">
        <w:rPr>
          <w:color w:val="000000"/>
        </w:rPr>
        <w:t>(the Representative Sample Insurers).</w:t>
      </w:r>
      <w:r w:rsidRPr="003541AD" w:rsidR="00BF75E1">
        <w:rPr>
          <w:color w:val="000000"/>
        </w:rPr>
        <w:t xml:space="preserve">  </w:t>
      </w:r>
      <w:r w:rsidRPr="00702BD8" w:rsidR="00DF1199">
        <w:rPr>
          <w:color w:val="000000"/>
        </w:rPr>
        <w:t>FIO’s selection includes one standalone entity</w:t>
      </w:r>
      <w:r w:rsidR="000B6928">
        <w:rPr>
          <w:color w:val="000000"/>
        </w:rPr>
        <w:t xml:space="preserve"> </w:t>
      </w:r>
      <w:r w:rsidRPr="00702BD8" w:rsidR="00DF1199">
        <w:rPr>
          <w:color w:val="000000"/>
        </w:rPr>
        <w:t xml:space="preserve">that is not part of a group.  FIO’s </w:t>
      </w:r>
      <w:r w:rsidR="00441729">
        <w:rPr>
          <w:color w:val="000000"/>
        </w:rPr>
        <w:t>references to</w:t>
      </w:r>
      <w:r w:rsidRPr="00702BD8" w:rsidR="00DF1199">
        <w:rPr>
          <w:color w:val="000000"/>
        </w:rPr>
        <w:t xml:space="preserve">  “group” include </w:t>
      </w:r>
      <w:r w:rsidR="000B6928">
        <w:rPr>
          <w:color w:val="000000"/>
        </w:rPr>
        <w:t>this standalone entity</w:t>
      </w:r>
      <w:r w:rsidRPr="00702BD8" w:rsidR="00DF1199">
        <w:rPr>
          <w:color w:val="000000"/>
        </w:rPr>
        <w:t>.</w:t>
      </w:r>
      <w:r w:rsidR="00DF1199">
        <w:rPr>
          <w:color w:val="000000"/>
        </w:rPr>
        <w:t xml:space="preserve">  </w:t>
      </w:r>
      <w:r w:rsidRPr="003541AD" w:rsidR="00B24D3C">
        <w:rPr>
          <w:color w:val="000000"/>
        </w:rPr>
        <w:t>These 14 groups (out of</w:t>
      </w:r>
      <w:r w:rsidR="00B24D3C">
        <w:rPr>
          <w:color w:val="000000"/>
        </w:rPr>
        <w:t xml:space="preserve"> the 195 homeowners insurance groups operating in the United States) collectively </w:t>
      </w:r>
      <w:r w:rsidR="000B6928">
        <w:rPr>
          <w:color w:val="000000"/>
        </w:rPr>
        <w:t>underwrite</w:t>
      </w:r>
      <w:r w:rsidR="00B24D3C">
        <w:rPr>
          <w:color w:val="000000"/>
        </w:rPr>
        <w:t xml:space="preserve"> </w:t>
      </w:r>
      <w:r w:rsidR="000B6928">
        <w:rPr>
          <w:color w:val="000000"/>
        </w:rPr>
        <w:t>about</w:t>
      </w:r>
      <w:r w:rsidR="00B24D3C">
        <w:rPr>
          <w:color w:val="000000"/>
        </w:rPr>
        <w:t xml:space="preserve"> </w:t>
      </w:r>
      <w:r w:rsidRPr="000E6E23" w:rsidR="00B24D3C">
        <w:rPr>
          <w:color w:val="000000"/>
        </w:rPr>
        <w:t>70</w:t>
      </w:r>
      <w:r w:rsidRPr="00F1351E" w:rsidR="00B24D3C">
        <w:rPr>
          <w:color w:val="000000"/>
        </w:rPr>
        <w:t xml:space="preserve"> percent</w:t>
      </w:r>
      <w:r w:rsidR="00B24D3C">
        <w:rPr>
          <w:color w:val="000000"/>
        </w:rPr>
        <w:t xml:space="preserve"> of the direct homeowners insurance premiums written in the 50 states, </w:t>
      </w:r>
      <w:r w:rsidR="00B43852">
        <w:rPr>
          <w:color w:val="000000"/>
        </w:rPr>
        <w:t>the District of Columbia</w:t>
      </w:r>
      <w:r w:rsidR="00B24D3C">
        <w:rPr>
          <w:color w:val="000000"/>
        </w:rPr>
        <w:t xml:space="preserve">, and the </w:t>
      </w:r>
      <w:r w:rsidR="00B43852">
        <w:rPr>
          <w:color w:val="000000"/>
        </w:rPr>
        <w:t xml:space="preserve">U.S. </w:t>
      </w:r>
      <w:r w:rsidR="00B24D3C">
        <w:rPr>
          <w:color w:val="000000"/>
        </w:rPr>
        <w:t>territories</w:t>
      </w:r>
      <w:r w:rsidR="0046437C">
        <w:rPr>
          <w:color w:val="000000"/>
        </w:rPr>
        <w:t xml:space="preserve">, based on </w:t>
      </w:r>
      <w:r w:rsidR="00B24D3C">
        <w:rPr>
          <w:color w:val="000000"/>
        </w:rPr>
        <w:t>2022</w:t>
      </w:r>
      <w:r w:rsidR="0046437C">
        <w:rPr>
          <w:color w:val="000000"/>
        </w:rPr>
        <w:t xml:space="preserve"> financial statements</w:t>
      </w:r>
      <w:r w:rsidR="00B24D3C">
        <w:rPr>
          <w:color w:val="000000"/>
        </w:rPr>
        <w:t xml:space="preserve">. </w:t>
      </w:r>
      <w:r w:rsidR="00984B8E">
        <w:rPr>
          <w:color w:val="000000"/>
        </w:rPr>
        <w:t xml:space="preserve"> </w:t>
      </w:r>
      <w:bookmarkStart w:id="21" w:name="_Hlk146116228"/>
      <w:bookmarkEnd w:id="19"/>
      <w:r w:rsidR="002D6125">
        <w:rPr>
          <w:color w:val="000000"/>
        </w:rPr>
        <w:t xml:space="preserve">FIO anticipates </w:t>
      </w:r>
      <w:r w:rsidR="00BF75E1">
        <w:rPr>
          <w:color w:val="000000"/>
        </w:rPr>
        <w:t xml:space="preserve">that </w:t>
      </w:r>
      <w:r w:rsidR="002D6125">
        <w:rPr>
          <w:color w:val="000000"/>
        </w:rPr>
        <w:t xml:space="preserve">the Representative Sample Insurers </w:t>
      </w:r>
      <w:r w:rsidR="00984B8E">
        <w:rPr>
          <w:color w:val="000000"/>
        </w:rPr>
        <w:t xml:space="preserve">collectively have a </w:t>
      </w:r>
      <w:r w:rsidR="005B1E69">
        <w:rPr>
          <w:color w:val="000000"/>
        </w:rPr>
        <w:t>sufficient</w:t>
      </w:r>
      <w:r w:rsidR="00984B8E">
        <w:rPr>
          <w:color w:val="000000"/>
        </w:rPr>
        <w:t xml:space="preserve"> market</w:t>
      </w:r>
      <w:r w:rsidR="005B1E69">
        <w:rPr>
          <w:color w:val="000000"/>
        </w:rPr>
        <w:t xml:space="preserve"> share </w:t>
      </w:r>
      <w:r w:rsidR="0046437C">
        <w:rPr>
          <w:color w:val="000000"/>
        </w:rPr>
        <w:t xml:space="preserve">to support </w:t>
      </w:r>
      <w:r w:rsidR="00B43852">
        <w:rPr>
          <w:color w:val="000000"/>
        </w:rPr>
        <w:t xml:space="preserve">FIO’s </w:t>
      </w:r>
      <w:r w:rsidR="00031A39">
        <w:rPr>
          <w:color w:val="000000"/>
        </w:rPr>
        <w:t>initial</w:t>
      </w:r>
      <w:r w:rsidR="0046437C">
        <w:rPr>
          <w:color w:val="000000"/>
        </w:rPr>
        <w:t xml:space="preserve"> analysis</w:t>
      </w:r>
      <w:r w:rsidR="00984B8E">
        <w:rPr>
          <w:color w:val="000000"/>
        </w:rPr>
        <w:t xml:space="preserve">.  </w:t>
      </w:r>
      <w:r w:rsidR="0046437C">
        <w:rPr>
          <w:color w:val="000000"/>
        </w:rPr>
        <w:t>Notably</w:t>
      </w:r>
      <w:r w:rsidR="00984B8E">
        <w:rPr>
          <w:color w:val="000000"/>
        </w:rPr>
        <w:t xml:space="preserve">, </w:t>
      </w:r>
      <w:r w:rsidR="005B1E69">
        <w:rPr>
          <w:color w:val="000000"/>
        </w:rPr>
        <w:t>focusing on the largest insurance groups will</w:t>
      </w:r>
      <w:r w:rsidR="002D6125">
        <w:rPr>
          <w:color w:val="000000"/>
        </w:rPr>
        <w:t xml:space="preserve"> reduc</w:t>
      </w:r>
      <w:r w:rsidR="005B1E69">
        <w:rPr>
          <w:color w:val="000000"/>
        </w:rPr>
        <w:t>e</w:t>
      </w:r>
      <w:r w:rsidR="002D6125">
        <w:rPr>
          <w:color w:val="000000"/>
        </w:rPr>
        <w:t xml:space="preserve"> the burden on small insurers.</w:t>
      </w:r>
      <w:bookmarkStart w:id="22" w:name="_Hlk147892869"/>
      <w:bookmarkEnd w:id="21"/>
      <w:bookmarkEnd w:id="17"/>
      <w:bookmarkEnd w:id="18"/>
    </w:p>
    <w:bookmarkEnd w:id="22"/>
    <w:p w:rsidR="00802A5E" w:rsidRPr="00802A5E" w:rsidP="00A24444" w14:paraId="2AE4BE72" w14:textId="73980865">
      <w:pPr>
        <w:tabs>
          <w:tab w:val="left" w:pos="720"/>
          <w:tab w:val="left" w:pos="3060"/>
        </w:tabs>
        <w:spacing w:before="240" w:after="240"/>
        <w:rPr>
          <w:color w:val="000000"/>
        </w:rPr>
      </w:pPr>
      <w:r>
        <w:rPr>
          <w:color w:val="000000"/>
        </w:rPr>
        <w:tab/>
      </w:r>
      <w:r>
        <w:rPr>
          <w:color w:val="000000"/>
          <w:u w:val="single"/>
        </w:rPr>
        <w:t>Reporting Period</w:t>
      </w:r>
    </w:p>
    <w:p w:rsidR="007F67CA" w:rsidRPr="007F67CA" w:rsidP="00A24444" w14:paraId="246AEAC4" w14:textId="31DF218E">
      <w:pPr>
        <w:tabs>
          <w:tab w:val="left" w:pos="720"/>
          <w:tab w:val="left" w:pos="3060"/>
        </w:tabs>
        <w:spacing w:before="240" w:after="240"/>
        <w:rPr>
          <w:color w:val="000000"/>
        </w:rPr>
      </w:pPr>
      <w:r w:rsidRPr="007F67CA">
        <w:rPr>
          <w:color w:val="000000"/>
        </w:rPr>
        <w:t xml:space="preserve">FIO </w:t>
      </w:r>
      <w:r w:rsidR="0079548B">
        <w:rPr>
          <w:color w:val="000000"/>
        </w:rPr>
        <w:t>seeks to collect</w:t>
      </w:r>
      <w:r w:rsidRPr="007F67CA">
        <w:rPr>
          <w:color w:val="000000"/>
        </w:rPr>
        <w:t xml:space="preserve"> </w:t>
      </w:r>
      <w:r w:rsidR="00D37F74">
        <w:rPr>
          <w:color w:val="000000"/>
        </w:rPr>
        <w:t>six</w:t>
      </w:r>
      <w:r w:rsidRPr="007F67CA">
        <w:rPr>
          <w:color w:val="000000"/>
        </w:rPr>
        <w:t xml:space="preserve"> years of underwriting data, 2017 through 202</w:t>
      </w:r>
      <w:r w:rsidR="00D37F74">
        <w:rPr>
          <w:color w:val="000000"/>
        </w:rPr>
        <w:t>2</w:t>
      </w:r>
      <w:r w:rsidRPr="007F67CA">
        <w:rPr>
          <w:color w:val="000000"/>
        </w:rPr>
        <w:t xml:space="preserve"> (</w:t>
      </w:r>
      <w:r w:rsidR="0046437C">
        <w:rPr>
          <w:color w:val="000000"/>
        </w:rPr>
        <w:t xml:space="preserve">the </w:t>
      </w:r>
      <w:r w:rsidRPr="007F67CA">
        <w:rPr>
          <w:color w:val="000000"/>
        </w:rPr>
        <w:t>Reporting Period).</w:t>
      </w:r>
    </w:p>
    <w:p w:rsidR="00802A5E" w:rsidRPr="00F619D1" w:rsidP="00E8142E" w14:paraId="34BD2264" w14:textId="77777777">
      <w:pPr>
        <w:keepNext/>
        <w:tabs>
          <w:tab w:val="left" w:pos="720"/>
          <w:tab w:val="left" w:pos="3060"/>
        </w:tabs>
        <w:spacing w:before="240" w:after="240"/>
        <w:rPr>
          <w:color w:val="000000"/>
          <w:u w:val="single"/>
        </w:rPr>
      </w:pPr>
      <w:r>
        <w:rPr>
          <w:color w:val="000000"/>
        </w:rPr>
        <w:tab/>
      </w:r>
      <w:r>
        <w:rPr>
          <w:color w:val="000000"/>
          <w:u w:val="single"/>
        </w:rPr>
        <w:t>Data Collection Form</w:t>
      </w:r>
    </w:p>
    <w:p w:rsidR="007F67CA" w:rsidP="00A24444" w14:paraId="56DD3137" w14:textId="73F2001C">
      <w:pPr>
        <w:tabs>
          <w:tab w:val="left" w:pos="720"/>
          <w:tab w:val="left" w:pos="3060"/>
        </w:tabs>
        <w:spacing w:before="240" w:after="240"/>
        <w:rPr>
          <w:color w:val="000000"/>
        </w:rPr>
      </w:pPr>
      <w:r>
        <w:rPr>
          <w:color w:val="000000"/>
        </w:rPr>
        <w:t xml:space="preserve">FIO </w:t>
      </w:r>
      <w:r w:rsidR="00EA1F5E">
        <w:rPr>
          <w:color w:val="000000"/>
        </w:rPr>
        <w:t xml:space="preserve">plans to </w:t>
      </w:r>
      <w:r>
        <w:rPr>
          <w:color w:val="000000"/>
        </w:rPr>
        <w:t>collect d</w:t>
      </w:r>
      <w:r w:rsidRPr="007F67CA">
        <w:rPr>
          <w:color w:val="000000"/>
        </w:rPr>
        <w:t xml:space="preserve">ata from </w:t>
      </w:r>
      <w:r w:rsidR="00544EC2">
        <w:rPr>
          <w:color w:val="000000"/>
        </w:rPr>
        <w:t>the Representative Sample I</w:t>
      </w:r>
      <w:r w:rsidRPr="007F67CA">
        <w:rPr>
          <w:color w:val="000000"/>
        </w:rPr>
        <w:t xml:space="preserve">nsurers </w:t>
      </w:r>
      <w:r w:rsidRPr="00B85473" w:rsidR="00B85473">
        <w:rPr>
          <w:color w:val="000000"/>
        </w:rPr>
        <w:t xml:space="preserve">using </w:t>
      </w:r>
      <w:r w:rsidR="008D2756">
        <w:rPr>
          <w:color w:val="000000"/>
        </w:rPr>
        <w:t xml:space="preserve">the </w:t>
      </w:r>
      <w:r w:rsidRPr="00B85473" w:rsidR="00B85473">
        <w:rPr>
          <w:color w:val="000000"/>
        </w:rPr>
        <w:t>FIO Climate Data Collection: U.S. Homeowners Multi-Peril Form 2023-1</w:t>
      </w:r>
      <w:r w:rsidR="00B85473">
        <w:rPr>
          <w:color w:val="000000"/>
        </w:rPr>
        <w:t xml:space="preserve"> </w:t>
      </w:r>
      <w:r w:rsidRPr="00B85473" w:rsidR="00B85473">
        <w:rPr>
          <w:color w:val="000000"/>
        </w:rPr>
        <w:t>(</w:t>
      </w:r>
      <w:r w:rsidR="00C15340">
        <w:rPr>
          <w:color w:val="000000"/>
        </w:rPr>
        <w:t>Data Collection Form</w:t>
      </w:r>
      <w:r w:rsidR="00B85473">
        <w:rPr>
          <w:color w:val="000000"/>
        </w:rPr>
        <w:t>)</w:t>
      </w:r>
      <w:r w:rsidR="00C15340">
        <w:rPr>
          <w:color w:val="000000"/>
        </w:rPr>
        <w:t>, which is a</w:t>
      </w:r>
      <w:r>
        <w:rPr>
          <w:color w:val="000000"/>
        </w:rPr>
        <w:t>n</w:t>
      </w:r>
      <w:r w:rsidR="00C15340">
        <w:rPr>
          <w:color w:val="000000"/>
        </w:rPr>
        <w:t xml:space="preserve"> </w:t>
      </w:r>
      <w:r w:rsidRPr="007F67CA">
        <w:rPr>
          <w:color w:val="000000"/>
        </w:rPr>
        <w:t xml:space="preserve">Excel </w:t>
      </w:r>
      <w:r w:rsidR="00C15340">
        <w:rPr>
          <w:color w:val="000000"/>
        </w:rPr>
        <w:t>spreadsheet</w:t>
      </w:r>
      <w:r w:rsidRPr="007F67CA">
        <w:rPr>
          <w:color w:val="000000"/>
        </w:rPr>
        <w:t xml:space="preserve"> </w:t>
      </w:r>
      <w:r w:rsidR="00EA1F5E">
        <w:rPr>
          <w:color w:val="000000"/>
        </w:rPr>
        <w:t xml:space="preserve">that </w:t>
      </w:r>
      <w:r w:rsidR="00B13A14">
        <w:rPr>
          <w:color w:val="000000"/>
        </w:rPr>
        <w:t>FIO will</w:t>
      </w:r>
      <w:r w:rsidRPr="007F67CA" w:rsidR="00B13A14">
        <w:rPr>
          <w:color w:val="000000"/>
        </w:rPr>
        <w:t xml:space="preserve"> provide</w:t>
      </w:r>
      <w:r w:rsidR="00B13A14">
        <w:rPr>
          <w:color w:val="000000"/>
        </w:rPr>
        <w:t xml:space="preserve"> to the insurers.</w:t>
      </w:r>
      <w:r w:rsidRPr="007F67CA" w:rsidR="00B13A14">
        <w:rPr>
          <w:color w:val="000000"/>
        </w:rPr>
        <w:t xml:space="preserve">  </w:t>
      </w:r>
      <w:r w:rsidRPr="00C97EC9" w:rsidR="00B13A14">
        <w:rPr>
          <w:color w:val="000000"/>
        </w:rPr>
        <w:t xml:space="preserve">A copy of the </w:t>
      </w:r>
      <w:r w:rsidR="00B13A14">
        <w:rPr>
          <w:color w:val="000000"/>
        </w:rPr>
        <w:t xml:space="preserve">Data Collection Form </w:t>
      </w:r>
      <w:r w:rsidRPr="00C97EC9" w:rsidR="00B13A14">
        <w:rPr>
          <w:color w:val="000000"/>
        </w:rPr>
        <w:t xml:space="preserve">and </w:t>
      </w:r>
      <w:r w:rsidR="00B13A14">
        <w:rPr>
          <w:color w:val="000000"/>
        </w:rPr>
        <w:t xml:space="preserve">the </w:t>
      </w:r>
      <w:r w:rsidRPr="00C97EC9" w:rsidR="00B13A14">
        <w:rPr>
          <w:color w:val="000000"/>
        </w:rPr>
        <w:t xml:space="preserve">instructions for filling </w:t>
      </w:r>
      <w:r w:rsidR="00B13A14">
        <w:rPr>
          <w:color w:val="000000"/>
        </w:rPr>
        <w:t xml:space="preserve">it </w:t>
      </w:r>
      <w:r w:rsidRPr="00C97EC9" w:rsidR="00B13A14">
        <w:rPr>
          <w:color w:val="000000"/>
        </w:rPr>
        <w:t xml:space="preserve">out </w:t>
      </w:r>
      <w:r w:rsidR="00B13A14">
        <w:rPr>
          <w:color w:val="000000"/>
        </w:rPr>
        <w:t>a</w:t>
      </w:r>
      <w:r w:rsidRPr="00C97EC9" w:rsidR="00B13A14">
        <w:rPr>
          <w:color w:val="000000"/>
        </w:rPr>
        <w:t xml:space="preserve">re </w:t>
      </w:r>
      <w:r w:rsidR="00B13A14">
        <w:rPr>
          <w:color w:val="000000"/>
        </w:rPr>
        <w:t>attached hereto as Attachments A and B, respectively</w:t>
      </w:r>
      <w:r w:rsidRPr="00C97EC9" w:rsidR="00B13A14">
        <w:rPr>
          <w:color w:val="000000"/>
        </w:rPr>
        <w:t>.</w:t>
      </w:r>
      <w:r w:rsidRPr="007F67CA" w:rsidR="00B13A14">
        <w:rPr>
          <w:color w:val="000000"/>
        </w:rPr>
        <w:t xml:space="preserve"> </w:t>
      </w:r>
      <w:r w:rsidR="00B13A14">
        <w:rPr>
          <w:color w:val="000000"/>
        </w:rPr>
        <w:t xml:space="preserve"> These documents are revised versions of the proposed template and instructions initially included with the October 2022 FRN (and which were therefore available for public comment).</w:t>
      </w:r>
      <w:r w:rsidRPr="007F67CA" w:rsidR="00B13A14">
        <w:rPr>
          <w:color w:val="000000"/>
        </w:rPr>
        <w:t xml:space="preserve"> </w:t>
      </w:r>
      <w:r w:rsidR="00B13A14">
        <w:rPr>
          <w:color w:val="000000"/>
        </w:rPr>
        <w:t xml:space="preserve"> E</w:t>
      </w:r>
      <w:r w:rsidRPr="007F67CA" w:rsidR="00B13A14">
        <w:rPr>
          <w:color w:val="000000"/>
        </w:rPr>
        <w:t xml:space="preserve">ach of the Representative Sample Insurers </w:t>
      </w:r>
      <w:r w:rsidR="00B13A14">
        <w:rPr>
          <w:color w:val="000000"/>
        </w:rPr>
        <w:t>will be asked</w:t>
      </w:r>
      <w:r w:rsidRPr="007F67CA" w:rsidR="00B13A14">
        <w:rPr>
          <w:color w:val="000000"/>
        </w:rPr>
        <w:t xml:space="preserve"> to aggregate and report the data requested by the </w:t>
      </w:r>
      <w:r w:rsidR="00B13A14">
        <w:rPr>
          <w:color w:val="000000"/>
        </w:rPr>
        <w:t xml:space="preserve">Data Collection Form </w:t>
      </w:r>
      <w:r w:rsidRPr="007F67CA" w:rsidR="00B13A14">
        <w:rPr>
          <w:color w:val="000000"/>
        </w:rPr>
        <w:t>at a ZIP Code level for all of the policies that the</w:t>
      </w:r>
      <w:r w:rsidR="00B13A14">
        <w:rPr>
          <w:color w:val="000000"/>
        </w:rPr>
        <w:t xml:space="preserve"> homeowners insurance entities within its group</w:t>
      </w:r>
      <w:r w:rsidRPr="007F67CA" w:rsidR="00B13A14">
        <w:rPr>
          <w:color w:val="000000"/>
        </w:rPr>
        <w:t xml:space="preserve"> have written </w:t>
      </w:r>
      <w:r w:rsidRPr="007F67CA">
        <w:rPr>
          <w:color w:val="000000"/>
        </w:rPr>
        <w:t>during the Reporting Period.</w:t>
      </w:r>
    </w:p>
    <w:p w:rsidR="00B13A14" w:rsidRPr="008846FA" w:rsidP="006D3728" w14:paraId="7EB5F17B" w14:textId="25FB2FD4">
      <w:pPr>
        <w:keepNext/>
        <w:tabs>
          <w:tab w:val="left" w:pos="720"/>
          <w:tab w:val="left" w:pos="3060"/>
        </w:tabs>
        <w:spacing w:before="240" w:after="240"/>
        <w:rPr>
          <w:color w:val="000000"/>
          <w:u w:val="single"/>
        </w:rPr>
      </w:pPr>
      <w:r>
        <w:rPr>
          <w:color w:val="000000"/>
        </w:rPr>
        <w:tab/>
      </w:r>
      <w:r w:rsidRPr="008846FA">
        <w:rPr>
          <w:color w:val="000000"/>
          <w:u w:val="single"/>
        </w:rPr>
        <w:t>ZIP Code</w:t>
      </w:r>
      <w:r w:rsidR="00797756">
        <w:rPr>
          <w:color w:val="000000"/>
          <w:u w:val="single"/>
        </w:rPr>
        <w:t xml:space="preserve"> </w:t>
      </w:r>
      <w:r w:rsidRPr="008846FA">
        <w:rPr>
          <w:color w:val="000000"/>
          <w:u w:val="single"/>
        </w:rPr>
        <w:t>Level Data</w:t>
      </w:r>
    </w:p>
    <w:p w:rsidR="0096171A" w:rsidP="006D3728" w14:paraId="24FDE81B" w14:textId="6C88C9D6">
      <w:pPr>
        <w:keepNext/>
        <w:spacing w:before="240" w:after="240"/>
      </w:pPr>
      <w:r>
        <w:rPr>
          <w:color w:val="000000"/>
        </w:rPr>
        <w:t xml:space="preserve">As noted, </w:t>
      </w:r>
      <w:r w:rsidRPr="007F67CA" w:rsidR="00802A5E">
        <w:rPr>
          <w:color w:val="000000"/>
        </w:rPr>
        <w:t xml:space="preserve">FIO </w:t>
      </w:r>
      <w:r w:rsidR="00802A5E">
        <w:rPr>
          <w:color w:val="000000"/>
        </w:rPr>
        <w:t>will</w:t>
      </w:r>
      <w:r w:rsidRPr="007F67CA" w:rsidR="00802A5E">
        <w:rPr>
          <w:color w:val="000000"/>
        </w:rPr>
        <w:t xml:space="preserve"> collect underwriting data </w:t>
      </w:r>
      <w:r>
        <w:rPr>
          <w:color w:val="000000"/>
        </w:rPr>
        <w:t>from</w:t>
      </w:r>
      <w:r w:rsidRPr="007F67CA">
        <w:rPr>
          <w:color w:val="000000"/>
        </w:rPr>
        <w:t xml:space="preserve"> </w:t>
      </w:r>
      <w:r w:rsidRPr="007F67CA" w:rsidR="00802A5E">
        <w:rPr>
          <w:color w:val="000000"/>
        </w:rPr>
        <w:t>the Representative Sample Insurers</w:t>
      </w:r>
      <w:r w:rsidR="00802A5E">
        <w:rPr>
          <w:color w:val="000000"/>
        </w:rPr>
        <w:t xml:space="preserve"> at a ZIP Code level</w:t>
      </w:r>
      <w:r>
        <w:rPr>
          <w:color w:val="000000"/>
        </w:rPr>
        <w:t xml:space="preserve">, in support of its plan </w:t>
      </w:r>
      <w:r w:rsidR="00802A5E">
        <w:rPr>
          <w:color w:val="000000"/>
        </w:rPr>
        <w:t>to conduct a granular, nationwide assessment</w:t>
      </w:r>
      <w:r w:rsidRPr="007F67CA" w:rsidR="00802A5E">
        <w:rPr>
          <w:color w:val="000000"/>
        </w:rPr>
        <w:t xml:space="preserve">.  </w:t>
      </w:r>
      <w:r>
        <w:t xml:space="preserve">FIO’s data analysis </w:t>
      </w:r>
      <w:r w:rsidR="007C29FC">
        <w:t>requires</w:t>
      </w:r>
      <w:r>
        <w:t xml:space="preserve"> this data, which is</w:t>
      </w:r>
      <w:r w:rsidR="007C29FC">
        <w:t xml:space="preserve"> </w:t>
      </w:r>
      <w:r>
        <w:t xml:space="preserve">more granular than that </w:t>
      </w:r>
      <w:r w:rsidR="00E32EC9">
        <w:t xml:space="preserve">currently </w:t>
      </w:r>
      <w:r w:rsidR="00802A5E">
        <w:t xml:space="preserve">collected by </w:t>
      </w:r>
      <w:r w:rsidR="004F2B77">
        <w:t>S</w:t>
      </w:r>
      <w:r w:rsidR="00802A5E">
        <w:t xml:space="preserve">tate </w:t>
      </w:r>
      <w:r w:rsidR="004F2B77">
        <w:t>I</w:t>
      </w:r>
      <w:r w:rsidR="00802A5E">
        <w:t xml:space="preserve">nsurance </w:t>
      </w:r>
      <w:r w:rsidR="004F2B77">
        <w:t>R</w:t>
      </w:r>
      <w:r w:rsidR="00802A5E">
        <w:t>egulators</w:t>
      </w:r>
      <w:r>
        <w:t>,</w:t>
      </w:r>
      <w:r w:rsidR="00802A5E">
        <w:t xml:space="preserve"> </w:t>
      </w:r>
      <w:r w:rsidR="00E57214">
        <w:t xml:space="preserve">for </w:t>
      </w:r>
      <w:r w:rsidR="00015919">
        <w:t>several</w:t>
      </w:r>
      <w:r>
        <w:t xml:space="preserve"> </w:t>
      </w:r>
      <w:r w:rsidR="00E57214">
        <w:t>reasons</w:t>
      </w:r>
      <w:r w:rsidR="00E32EC9">
        <w:t xml:space="preserve"> such as</w:t>
      </w:r>
      <w:r>
        <w:t>:</w:t>
      </w:r>
    </w:p>
    <w:p w:rsidR="00B13A14" w:rsidP="00B13A14" w14:paraId="3BBE275B" w14:textId="56B3FA78">
      <w:pPr>
        <w:pStyle w:val="ListParagraph"/>
        <w:numPr>
          <w:ilvl w:val="0"/>
          <w:numId w:val="31"/>
        </w:numPr>
        <w:spacing w:before="240" w:after="240"/>
        <w:contextualSpacing w:val="0"/>
      </w:pPr>
      <w:r>
        <w:t>Many weather</w:t>
      </w:r>
      <w:r w:rsidRPr="007B7147">
        <w:t xml:space="preserve">-related </w:t>
      </w:r>
      <w:r>
        <w:t xml:space="preserve">events, </w:t>
      </w:r>
      <w:r w:rsidRPr="00E77D79">
        <w:t>especially secondary perils</w:t>
      </w:r>
      <w:r>
        <w:t xml:space="preserve"> (e.g., severe convective storms and wildfires)</w:t>
      </w:r>
      <w:r w:rsidRPr="00E77D79">
        <w:t>, have localized effects, with risk levels and loss impacts differing widely within a state</w:t>
      </w:r>
      <w:r>
        <w:t>.  ZIP Code</w:t>
      </w:r>
      <w:r w:rsidR="00797756">
        <w:t xml:space="preserve"> </w:t>
      </w:r>
      <w:r>
        <w:t>level data will allow FIO to assess such localized risks and effects</w:t>
      </w:r>
      <w:r w:rsidR="00E32EC9">
        <w:t xml:space="preserve"> on insurance markets</w:t>
      </w:r>
      <w:r>
        <w:t>.</w:t>
      </w:r>
    </w:p>
    <w:p w:rsidR="00B13A14" w:rsidP="00B13A14" w14:paraId="08F895D8" w14:textId="77777777">
      <w:pPr>
        <w:pStyle w:val="ListParagraph"/>
        <w:numPr>
          <w:ilvl w:val="0"/>
          <w:numId w:val="31"/>
        </w:numPr>
        <w:spacing w:before="240" w:after="240"/>
        <w:contextualSpacing w:val="0"/>
      </w:pPr>
      <w:r>
        <w:t>I</w:t>
      </w:r>
      <w:r w:rsidRPr="00B30C17">
        <w:t xml:space="preserve">nsurers </w:t>
      </w:r>
      <w:r>
        <w:t>generally</w:t>
      </w:r>
      <w:r w:rsidRPr="00B30C17">
        <w:t xml:space="preserve"> price policies based on the risk </w:t>
      </w:r>
      <w:r>
        <w:t>assessment</w:t>
      </w:r>
      <w:r w:rsidRPr="00B30C17">
        <w:t xml:space="preserve"> in a </w:t>
      </w:r>
      <w:r>
        <w:t>localized</w:t>
      </w:r>
      <w:r w:rsidRPr="00B30C17">
        <w:t xml:space="preserve"> area</w:t>
      </w:r>
      <w:r>
        <w:t xml:space="preserve"> and such risk assessment criteria may not be uniform for an entire state</w:t>
      </w:r>
      <w:r w:rsidRPr="00B30C17">
        <w:t>.</w:t>
      </w:r>
      <w:r>
        <w:rPr>
          <w:rStyle w:val="FootnoteReference"/>
          <w:vertAlign w:val="superscript"/>
        </w:rPr>
        <w:footnoteReference w:id="15"/>
      </w:r>
    </w:p>
    <w:p w:rsidR="00B13A14" w:rsidP="00B13A14" w14:paraId="43993365" w14:textId="59C9F5EA">
      <w:pPr>
        <w:keepNext/>
        <w:tabs>
          <w:tab w:val="left" w:pos="1080"/>
          <w:tab w:val="left" w:pos="3060"/>
        </w:tabs>
        <w:spacing w:before="240" w:after="240"/>
        <w:rPr>
          <w:color w:val="000000"/>
          <w:u w:val="single"/>
        </w:rPr>
      </w:pPr>
      <w:r>
        <w:rPr>
          <w:color w:val="000000"/>
        </w:rPr>
        <w:tab/>
      </w:r>
      <w:r>
        <w:rPr>
          <w:color w:val="000000"/>
          <w:u w:val="single"/>
        </w:rPr>
        <w:t>Data Fields</w:t>
      </w:r>
    </w:p>
    <w:p w:rsidR="00B13A14" w:rsidP="00B13A14" w14:paraId="67557ECF" w14:textId="70038E53">
      <w:pPr>
        <w:tabs>
          <w:tab w:val="left" w:pos="720"/>
        </w:tabs>
        <w:spacing w:before="240" w:after="240"/>
        <w:ind w:right="-180"/>
        <w:rPr>
          <w:rFonts w:eastAsia="Calibri"/>
          <w:szCs w:val="22"/>
        </w:rPr>
      </w:pPr>
      <w:r>
        <w:rPr>
          <w:color w:val="000000"/>
        </w:rPr>
        <w:t xml:space="preserve">FIO plans to collect seven data fields, each of which is described below.  FIO had identified 15 data fields in the October 2022 FRN, and the reduction in the number of data fields is based </w:t>
      </w:r>
      <w:r w:rsidR="00963972">
        <w:rPr>
          <w:color w:val="000000"/>
        </w:rPr>
        <w:t xml:space="preserve">in large part </w:t>
      </w:r>
      <w:r>
        <w:rPr>
          <w:color w:val="000000"/>
        </w:rPr>
        <w:t xml:space="preserve">on the comments that FIO received, as further explained below in response to Question 8.  </w:t>
      </w:r>
      <w:bookmarkStart w:id="23" w:name="_Hlk148604927"/>
      <w:r w:rsidRPr="007F67CA">
        <w:rPr>
          <w:color w:val="000000"/>
        </w:rPr>
        <w:t>Th</w:t>
      </w:r>
      <w:r w:rsidR="00E32EC9">
        <w:rPr>
          <w:color w:val="000000"/>
        </w:rPr>
        <w:t>ree of the</w:t>
      </w:r>
      <w:r>
        <w:rPr>
          <w:color w:val="000000"/>
        </w:rPr>
        <w:t xml:space="preserve"> seven fields </w:t>
      </w:r>
      <w:r w:rsidR="00031A39">
        <w:rPr>
          <w:color w:val="000000"/>
        </w:rPr>
        <w:t xml:space="preserve">to be collected by FIO </w:t>
      </w:r>
      <w:r w:rsidR="00E32EC9">
        <w:rPr>
          <w:color w:val="000000"/>
        </w:rPr>
        <w:t xml:space="preserve">are </w:t>
      </w:r>
      <w:r w:rsidRPr="007F67CA">
        <w:rPr>
          <w:color w:val="000000"/>
        </w:rPr>
        <w:t xml:space="preserve">data </w:t>
      </w:r>
      <w:r>
        <w:rPr>
          <w:color w:val="000000"/>
        </w:rPr>
        <w:t>fields</w:t>
      </w:r>
      <w:r w:rsidRPr="007F67CA">
        <w:rPr>
          <w:color w:val="000000"/>
        </w:rPr>
        <w:t xml:space="preserve"> not collected </w:t>
      </w:r>
      <w:r>
        <w:rPr>
          <w:color w:val="000000"/>
        </w:rPr>
        <w:t xml:space="preserve">by </w:t>
      </w:r>
      <w:r w:rsidR="004F2B77">
        <w:rPr>
          <w:color w:val="000000"/>
        </w:rPr>
        <w:t>S</w:t>
      </w:r>
      <w:r>
        <w:rPr>
          <w:color w:val="000000"/>
        </w:rPr>
        <w:t xml:space="preserve">tate </w:t>
      </w:r>
      <w:r w:rsidR="004F2B77">
        <w:rPr>
          <w:color w:val="000000"/>
        </w:rPr>
        <w:t>I</w:t>
      </w:r>
      <w:r>
        <w:rPr>
          <w:color w:val="000000"/>
        </w:rPr>
        <w:t xml:space="preserve">nsurance </w:t>
      </w:r>
      <w:r w:rsidR="004F2B77">
        <w:rPr>
          <w:color w:val="000000"/>
        </w:rPr>
        <w:t>R</w:t>
      </w:r>
      <w:r>
        <w:rPr>
          <w:color w:val="000000"/>
        </w:rPr>
        <w:t xml:space="preserve">egulators </w:t>
      </w:r>
      <w:r w:rsidR="007A3159">
        <w:rPr>
          <w:color w:val="000000"/>
        </w:rPr>
        <w:t xml:space="preserve">in annual statutory filings </w:t>
      </w:r>
      <w:r>
        <w:rPr>
          <w:color w:val="000000"/>
        </w:rPr>
        <w:t>(</w:t>
      </w:r>
      <w:r w:rsidRPr="004459FD">
        <w:rPr>
          <w:color w:val="000000"/>
        </w:rPr>
        <w:t>the number of policy in-force exposures</w:t>
      </w:r>
      <w:r w:rsidR="00145404">
        <w:rPr>
          <w:color w:val="000000"/>
        </w:rPr>
        <w:t>;</w:t>
      </w:r>
      <w:r>
        <w:rPr>
          <w:color w:val="000000"/>
        </w:rPr>
        <w:t xml:space="preserve"> </w:t>
      </w:r>
      <w:r w:rsidR="00145404">
        <w:rPr>
          <w:color w:val="000000"/>
        </w:rPr>
        <w:t xml:space="preserve">the </w:t>
      </w:r>
      <w:r>
        <w:rPr>
          <w:color w:val="000000"/>
        </w:rPr>
        <w:t>number of policies not renewed or retained</w:t>
      </w:r>
      <w:r w:rsidR="00145404">
        <w:rPr>
          <w:color w:val="000000"/>
        </w:rPr>
        <w:t>;</w:t>
      </w:r>
      <w:r>
        <w:rPr>
          <w:color w:val="000000"/>
        </w:rPr>
        <w:t xml:space="preserve"> and the </w:t>
      </w:r>
      <w:r w:rsidRPr="00544EC2">
        <w:rPr>
          <w:color w:val="000000"/>
        </w:rPr>
        <w:t>total dollar value of coverage for dwelling</w:t>
      </w:r>
      <w:r w:rsidR="005D15F1">
        <w:rPr>
          <w:color w:val="000000"/>
        </w:rPr>
        <w:t xml:space="preserve">, </w:t>
      </w:r>
      <w:r w:rsidRPr="00544EC2">
        <w:rPr>
          <w:color w:val="000000"/>
        </w:rPr>
        <w:t>other structures</w:t>
      </w:r>
      <w:r w:rsidR="005D15F1">
        <w:rPr>
          <w:color w:val="000000"/>
        </w:rPr>
        <w:t xml:space="preserve">, </w:t>
      </w:r>
      <w:r w:rsidRPr="00544EC2">
        <w:rPr>
          <w:color w:val="000000"/>
        </w:rPr>
        <w:t>personal property</w:t>
      </w:r>
      <w:r w:rsidR="005D15F1">
        <w:rPr>
          <w:color w:val="000000"/>
        </w:rPr>
        <w:t>, and loss of use</w:t>
      </w:r>
      <w:r>
        <w:rPr>
          <w:color w:val="000000"/>
        </w:rPr>
        <w:t xml:space="preserve">).  </w:t>
      </w:r>
      <w:r w:rsidR="00E32EC9">
        <w:rPr>
          <w:color w:val="000000"/>
        </w:rPr>
        <w:t>Four of the</w:t>
      </w:r>
      <w:r>
        <w:rPr>
          <w:color w:val="000000"/>
        </w:rPr>
        <w:t xml:space="preserve"> seven fields</w:t>
      </w:r>
      <w:r w:rsidR="00031A39">
        <w:rPr>
          <w:color w:val="000000"/>
        </w:rPr>
        <w:t xml:space="preserve"> to be collected by FIO</w:t>
      </w:r>
      <w:r>
        <w:rPr>
          <w:color w:val="000000"/>
        </w:rPr>
        <w:t xml:space="preserve"> </w:t>
      </w:r>
      <w:r w:rsidR="00E32EC9">
        <w:rPr>
          <w:color w:val="000000"/>
        </w:rPr>
        <w:t>are data</w:t>
      </w:r>
      <w:r>
        <w:rPr>
          <w:color w:val="000000"/>
        </w:rPr>
        <w:t xml:space="preserve"> fields to collect ZIP Code</w:t>
      </w:r>
      <w:r w:rsidR="00797756">
        <w:rPr>
          <w:color w:val="000000"/>
        </w:rPr>
        <w:t xml:space="preserve"> </w:t>
      </w:r>
      <w:r>
        <w:rPr>
          <w:color w:val="000000"/>
        </w:rPr>
        <w:t>level</w:t>
      </w:r>
      <w:r w:rsidRPr="007F67CA">
        <w:rPr>
          <w:color w:val="000000"/>
        </w:rPr>
        <w:t xml:space="preserve"> information </w:t>
      </w:r>
      <w:r>
        <w:rPr>
          <w:color w:val="000000"/>
        </w:rPr>
        <w:t xml:space="preserve">nationwide </w:t>
      </w:r>
      <w:r w:rsidRPr="007F67CA">
        <w:rPr>
          <w:color w:val="000000"/>
        </w:rPr>
        <w:t xml:space="preserve">regarding </w:t>
      </w:r>
      <w:r>
        <w:rPr>
          <w:color w:val="000000"/>
        </w:rPr>
        <w:t xml:space="preserve">premiums, </w:t>
      </w:r>
      <w:r w:rsidRPr="007F67CA">
        <w:rPr>
          <w:color w:val="000000"/>
        </w:rPr>
        <w:t>claims, and losses that correspond to</w:t>
      </w:r>
      <w:r>
        <w:rPr>
          <w:color w:val="000000"/>
        </w:rPr>
        <w:t xml:space="preserve"> four </w:t>
      </w:r>
      <w:r w:rsidR="00E32EC9">
        <w:rPr>
          <w:color w:val="000000"/>
        </w:rPr>
        <w:t xml:space="preserve">existing </w:t>
      </w:r>
      <w:r w:rsidRPr="007F67CA">
        <w:rPr>
          <w:color w:val="000000"/>
        </w:rPr>
        <w:t xml:space="preserve">data fields reported by U.S. insurers to </w:t>
      </w:r>
      <w:r w:rsidR="004F2B77">
        <w:rPr>
          <w:color w:val="000000"/>
        </w:rPr>
        <w:t>S</w:t>
      </w:r>
      <w:r w:rsidRPr="007F67CA">
        <w:rPr>
          <w:color w:val="000000"/>
        </w:rPr>
        <w:t xml:space="preserve">tate </w:t>
      </w:r>
      <w:r w:rsidR="004F2B77">
        <w:rPr>
          <w:color w:val="000000"/>
        </w:rPr>
        <w:t>I</w:t>
      </w:r>
      <w:r w:rsidRPr="007F67CA">
        <w:rPr>
          <w:color w:val="000000"/>
        </w:rPr>
        <w:t xml:space="preserve">nsurance </w:t>
      </w:r>
      <w:r w:rsidR="004F2B77">
        <w:rPr>
          <w:color w:val="000000"/>
        </w:rPr>
        <w:t>R</w:t>
      </w:r>
      <w:r w:rsidRPr="007F67CA">
        <w:rPr>
          <w:color w:val="000000"/>
        </w:rPr>
        <w:t xml:space="preserve">egulators </w:t>
      </w:r>
      <w:r w:rsidR="00E32EC9">
        <w:rPr>
          <w:color w:val="000000"/>
        </w:rPr>
        <w:t>on a state</w:t>
      </w:r>
      <w:r w:rsidR="004B2093">
        <w:rPr>
          <w:color w:val="000000"/>
        </w:rPr>
        <w:t>-</w:t>
      </w:r>
      <w:r w:rsidR="00E32EC9">
        <w:rPr>
          <w:color w:val="000000"/>
        </w:rPr>
        <w:t xml:space="preserve">wide basis </w:t>
      </w:r>
      <w:r w:rsidRPr="007F67CA">
        <w:rPr>
          <w:color w:val="000000"/>
        </w:rPr>
        <w:t xml:space="preserve">in annual filings.  </w:t>
      </w:r>
      <w:bookmarkEnd w:id="23"/>
      <w:r>
        <w:rPr>
          <w:color w:val="000000"/>
        </w:rPr>
        <w:t xml:space="preserve">Specifically, </w:t>
      </w:r>
      <w:r>
        <w:rPr>
          <w:rFonts w:eastAsia="Calibri"/>
          <w:szCs w:val="22"/>
        </w:rPr>
        <w:t>FIO plans to collect the following information from the Representative Sample Insurers:</w:t>
      </w:r>
    </w:p>
    <w:p w:rsidR="00B13A14" w:rsidRPr="00E8557D" w:rsidP="00B13A14" w14:paraId="55EEB239" w14:textId="3E48266D">
      <w:pPr>
        <w:pStyle w:val="ListParagraph"/>
        <w:numPr>
          <w:ilvl w:val="0"/>
          <w:numId w:val="26"/>
        </w:numPr>
        <w:spacing w:before="240" w:after="240"/>
        <w:contextualSpacing w:val="0"/>
        <w:rPr>
          <w:rFonts w:eastAsia="Calibri"/>
          <w:szCs w:val="22"/>
        </w:rPr>
      </w:pPr>
      <w:bookmarkStart w:id="24" w:name="_Hlk147935502"/>
      <w:r w:rsidRPr="008846FA">
        <w:rPr>
          <w:rFonts w:eastAsia="Calibri"/>
          <w:i/>
          <w:iCs/>
          <w:szCs w:val="22"/>
        </w:rPr>
        <w:t>Number of Policy</w:t>
      </w:r>
      <w:r w:rsidR="00F5555E">
        <w:rPr>
          <w:rFonts w:eastAsia="Calibri"/>
          <w:i/>
          <w:iCs/>
          <w:szCs w:val="22"/>
        </w:rPr>
        <w:t xml:space="preserve"> </w:t>
      </w:r>
      <w:r w:rsidRPr="008846FA">
        <w:rPr>
          <w:rFonts w:eastAsia="Calibri"/>
          <w:i/>
          <w:iCs/>
          <w:szCs w:val="22"/>
        </w:rPr>
        <w:t>In-Force Exposures</w:t>
      </w:r>
      <w:r>
        <w:rPr>
          <w:rFonts w:eastAsia="Calibri"/>
          <w:i/>
          <w:iCs/>
          <w:szCs w:val="22"/>
        </w:rPr>
        <w:t xml:space="preserve"> (on a calendar year basis)</w:t>
      </w:r>
      <w:r>
        <w:rPr>
          <w:rFonts w:eastAsia="Calibri"/>
          <w:szCs w:val="22"/>
        </w:rPr>
        <w:t>.</w:t>
      </w:r>
      <w:r>
        <w:rPr>
          <w:rFonts w:eastAsia="Calibri"/>
          <w:sz w:val="20"/>
          <w:szCs w:val="20"/>
          <w:vertAlign w:val="superscript"/>
        </w:rPr>
        <w:footnoteReference w:id="16"/>
      </w:r>
      <w:r w:rsidRPr="0028274B">
        <w:rPr>
          <w:rFonts w:eastAsia="Calibri"/>
          <w:szCs w:val="22"/>
        </w:rPr>
        <w:t xml:space="preserve"> </w:t>
      </w:r>
      <w:r>
        <w:rPr>
          <w:rFonts w:eastAsia="Calibri"/>
          <w:szCs w:val="22"/>
        </w:rPr>
        <w:t xml:space="preserve"> </w:t>
      </w:r>
      <w:r w:rsidRPr="0028274B">
        <w:rPr>
          <w:rFonts w:eastAsia="Calibri"/>
          <w:szCs w:val="22"/>
        </w:rPr>
        <w:t>T</w:t>
      </w:r>
      <w:r w:rsidRPr="00975F7F">
        <w:rPr>
          <w:rFonts w:eastAsia="Calibri"/>
          <w:szCs w:val="22"/>
        </w:rPr>
        <w:t>his field represents the count of policies that are in effect (</w:t>
      </w:r>
      <w:r>
        <w:rPr>
          <w:rFonts w:eastAsia="Calibri"/>
          <w:szCs w:val="22"/>
        </w:rPr>
        <w:t xml:space="preserve">i.e., </w:t>
      </w:r>
      <w:r w:rsidRPr="00975F7F">
        <w:rPr>
          <w:rFonts w:eastAsia="Calibri"/>
          <w:szCs w:val="22"/>
        </w:rPr>
        <w:t xml:space="preserve">in-force) as of December 31 for each reporting </w:t>
      </w:r>
      <w:r w:rsidRPr="00975F7F">
        <w:rPr>
          <w:rFonts w:eastAsia="Calibri"/>
          <w:szCs w:val="22"/>
        </w:rPr>
        <w:t>calendar year</w:t>
      </w:r>
      <w:r w:rsidRPr="00165CA9">
        <w:rPr>
          <w:rFonts w:eastAsia="Calibri"/>
          <w:szCs w:val="22"/>
        </w:rPr>
        <w:t>, where one policy</w:t>
      </w:r>
      <w:r w:rsidR="00F5555E">
        <w:rPr>
          <w:rFonts w:eastAsia="Calibri"/>
          <w:szCs w:val="22"/>
        </w:rPr>
        <w:t xml:space="preserve"> </w:t>
      </w:r>
      <w:r w:rsidRPr="00165CA9">
        <w:rPr>
          <w:rFonts w:eastAsia="Calibri"/>
          <w:szCs w:val="22"/>
        </w:rPr>
        <w:t>in-force corresponds to one home covered in that year</w:t>
      </w:r>
      <w:r w:rsidRPr="00975F7F">
        <w:rPr>
          <w:rFonts w:eastAsia="Calibri"/>
          <w:szCs w:val="22"/>
        </w:rPr>
        <w:t>.</w:t>
      </w:r>
      <w:r>
        <w:rPr>
          <w:rFonts w:eastAsia="Calibri"/>
          <w:szCs w:val="22"/>
        </w:rPr>
        <w:t xml:space="preserve">  (This field does not </w:t>
      </w:r>
      <w:r w:rsidR="004B2093">
        <w:rPr>
          <w:rFonts w:eastAsia="Calibri"/>
          <w:szCs w:val="22"/>
        </w:rPr>
        <w:t xml:space="preserve">include </w:t>
      </w:r>
      <w:r>
        <w:rPr>
          <w:rFonts w:eastAsia="Calibri"/>
          <w:szCs w:val="22"/>
        </w:rPr>
        <w:t xml:space="preserve">policies that lapsed or were canceled during the year.)  </w:t>
      </w:r>
      <w:r w:rsidRPr="00E8557D">
        <w:rPr>
          <w:rFonts w:eastAsia="Calibri"/>
          <w:szCs w:val="22"/>
        </w:rPr>
        <w:t xml:space="preserve">The field is necessary for FIO to calculate </w:t>
      </w:r>
      <w:r>
        <w:rPr>
          <w:rFonts w:eastAsia="Calibri"/>
          <w:szCs w:val="22"/>
        </w:rPr>
        <w:t xml:space="preserve">several metrics on a </w:t>
      </w:r>
      <w:r w:rsidRPr="00E8557D">
        <w:rPr>
          <w:rFonts w:eastAsia="Calibri"/>
          <w:szCs w:val="22"/>
        </w:rPr>
        <w:t>per</w:t>
      </w:r>
      <w:r w:rsidR="00D47DED">
        <w:rPr>
          <w:rFonts w:eastAsia="Calibri"/>
          <w:szCs w:val="22"/>
        </w:rPr>
        <w:t>-</w:t>
      </w:r>
      <w:r>
        <w:rPr>
          <w:rFonts w:eastAsia="Calibri"/>
          <w:szCs w:val="22"/>
        </w:rPr>
        <w:t>policy basis to allow for comparison across ZIP Codes</w:t>
      </w:r>
      <w:r w:rsidRPr="00E8557D">
        <w:rPr>
          <w:rFonts w:eastAsia="Calibri"/>
          <w:szCs w:val="22"/>
        </w:rPr>
        <w:t xml:space="preserve">.  </w:t>
      </w:r>
      <w:bookmarkStart w:id="25" w:name="_Hlk146961270"/>
      <w:bookmarkStart w:id="26" w:name="_Hlk147935325"/>
      <w:r w:rsidRPr="00E8557D">
        <w:rPr>
          <w:rFonts w:eastAsia="Calibri"/>
          <w:szCs w:val="22"/>
        </w:rPr>
        <w:t>For example, FIO will calculate the average premiums</w:t>
      </w:r>
      <w:r>
        <w:rPr>
          <w:rFonts w:eastAsia="Calibri"/>
          <w:szCs w:val="22"/>
        </w:rPr>
        <w:t>, claims, losses, and policy non-renewals based on the total policies in a given ZIP Code; this field will also support calculation of changes in total policy counts over time.</w:t>
      </w:r>
      <w:bookmarkEnd w:id="25"/>
      <w:bookmarkEnd w:id="26"/>
    </w:p>
    <w:bookmarkEnd w:id="24"/>
    <w:p w:rsidR="00B13A14" w:rsidRPr="0028274B" w:rsidP="00B13A14" w14:paraId="41382B8B" w14:textId="4F6B1797">
      <w:pPr>
        <w:pStyle w:val="ListParagraph"/>
        <w:numPr>
          <w:ilvl w:val="0"/>
          <w:numId w:val="26"/>
        </w:numPr>
        <w:spacing w:before="240" w:after="240"/>
        <w:contextualSpacing w:val="0"/>
        <w:rPr>
          <w:rFonts w:eastAsia="Calibri"/>
          <w:i/>
          <w:iCs/>
          <w:szCs w:val="22"/>
        </w:rPr>
      </w:pPr>
      <w:r w:rsidRPr="0028274B">
        <w:rPr>
          <w:rFonts w:eastAsia="Calibri"/>
          <w:i/>
          <w:iCs/>
          <w:szCs w:val="22"/>
        </w:rPr>
        <w:t xml:space="preserve">Total </w:t>
      </w:r>
      <w:r>
        <w:rPr>
          <w:rFonts w:eastAsia="Calibri"/>
          <w:i/>
          <w:iCs/>
          <w:szCs w:val="22"/>
        </w:rPr>
        <w:t>Dollar</w:t>
      </w:r>
      <w:r w:rsidRPr="0028274B">
        <w:rPr>
          <w:rFonts w:eastAsia="Calibri"/>
          <w:i/>
          <w:iCs/>
          <w:szCs w:val="22"/>
        </w:rPr>
        <w:t xml:space="preserve"> Value of Coverage for Dwelling</w:t>
      </w:r>
      <w:r w:rsidR="005D15F1">
        <w:rPr>
          <w:rFonts w:eastAsia="Calibri"/>
          <w:i/>
          <w:iCs/>
          <w:szCs w:val="22"/>
        </w:rPr>
        <w:t xml:space="preserve">, </w:t>
      </w:r>
      <w:r w:rsidRPr="0028274B">
        <w:rPr>
          <w:rFonts w:eastAsia="Calibri"/>
          <w:i/>
          <w:iCs/>
          <w:szCs w:val="22"/>
        </w:rPr>
        <w:t>Other Structures, Personal Property</w:t>
      </w:r>
      <w:r w:rsidR="005D15F1">
        <w:rPr>
          <w:rFonts w:eastAsia="Calibri"/>
          <w:i/>
          <w:iCs/>
          <w:szCs w:val="22"/>
        </w:rPr>
        <w:t>, and Loss of Use</w:t>
      </w:r>
      <w:r w:rsidRPr="0028274B">
        <w:rPr>
          <w:rFonts w:eastAsia="Calibri"/>
          <w:i/>
          <w:iCs/>
          <w:szCs w:val="22"/>
        </w:rPr>
        <w:t xml:space="preserve"> (</w:t>
      </w:r>
      <w:r w:rsidRPr="00E8557D">
        <w:rPr>
          <w:rFonts w:eastAsia="Calibri"/>
          <w:i/>
          <w:iCs/>
          <w:szCs w:val="22"/>
        </w:rPr>
        <w:t>on a calendar year basis</w:t>
      </w:r>
      <w:r w:rsidRPr="0028274B">
        <w:rPr>
          <w:rFonts w:eastAsia="Calibri"/>
          <w:i/>
          <w:iCs/>
          <w:szCs w:val="22"/>
        </w:rPr>
        <w:t>)</w:t>
      </w:r>
      <w:r w:rsidRPr="00E8557D">
        <w:rPr>
          <w:rFonts w:eastAsia="Calibri"/>
          <w:szCs w:val="22"/>
        </w:rPr>
        <w:t xml:space="preserve">:  This field </w:t>
      </w:r>
      <w:r>
        <w:rPr>
          <w:rFonts w:eastAsia="Calibri"/>
          <w:szCs w:val="22"/>
        </w:rPr>
        <w:t>measures</w:t>
      </w:r>
      <w:r w:rsidRPr="00E8557D">
        <w:rPr>
          <w:rFonts w:eastAsia="Calibri"/>
          <w:szCs w:val="22"/>
        </w:rPr>
        <w:t xml:space="preserve"> the total estimated value of </w:t>
      </w:r>
      <w:r>
        <w:rPr>
          <w:rFonts w:eastAsia="Calibri"/>
          <w:szCs w:val="22"/>
        </w:rPr>
        <w:t xml:space="preserve">insurance coverage for </w:t>
      </w:r>
      <w:r w:rsidRPr="00E8557D">
        <w:rPr>
          <w:rFonts w:eastAsia="Calibri"/>
          <w:szCs w:val="22"/>
        </w:rPr>
        <w:t xml:space="preserve">the </w:t>
      </w:r>
      <w:r>
        <w:rPr>
          <w:rFonts w:eastAsia="Calibri"/>
          <w:szCs w:val="22"/>
        </w:rPr>
        <w:t>dwelling</w:t>
      </w:r>
      <w:r w:rsidR="00040001">
        <w:rPr>
          <w:rFonts w:eastAsia="Calibri"/>
          <w:szCs w:val="22"/>
        </w:rPr>
        <w:t>s</w:t>
      </w:r>
      <w:r>
        <w:rPr>
          <w:rFonts w:eastAsia="Calibri"/>
          <w:szCs w:val="22"/>
        </w:rPr>
        <w:t xml:space="preserve"> or other property covered by the polic</w:t>
      </w:r>
      <w:r w:rsidR="00040001">
        <w:rPr>
          <w:rFonts w:eastAsia="Calibri"/>
          <w:szCs w:val="22"/>
        </w:rPr>
        <w:t>ies</w:t>
      </w:r>
      <w:r>
        <w:rPr>
          <w:rFonts w:eastAsia="Calibri"/>
          <w:szCs w:val="22"/>
        </w:rPr>
        <w:t xml:space="preserve"> (i.e., the potential exposures), as</w:t>
      </w:r>
      <w:r w:rsidRPr="00E8557D">
        <w:rPr>
          <w:rFonts w:eastAsia="Calibri"/>
          <w:szCs w:val="22"/>
        </w:rPr>
        <w:t xml:space="preserve"> recorded at the effective date of the polic</w:t>
      </w:r>
      <w:r w:rsidR="00040001">
        <w:rPr>
          <w:rFonts w:eastAsia="Calibri"/>
          <w:szCs w:val="22"/>
        </w:rPr>
        <w:t>ies</w:t>
      </w:r>
      <w:r w:rsidRPr="00E8557D">
        <w:rPr>
          <w:rFonts w:eastAsia="Calibri"/>
          <w:szCs w:val="22"/>
        </w:rPr>
        <w:t xml:space="preserve"> or </w:t>
      </w:r>
      <w:r>
        <w:rPr>
          <w:rFonts w:eastAsia="Calibri"/>
          <w:szCs w:val="22"/>
        </w:rPr>
        <w:t xml:space="preserve">the date of </w:t>
      </w:r>
      <w:r w:rsidR="00040001">
        <w:rPr>
          <w:rFonts w:eastAsia="Calibri"/>
          <w:szCs w:val="22"/>
        </w:rPr>
        <w:t>their</w:t>
      </w:r>
      <w:r>
        <w:rPr>
          <w:rFonts w:eastAsia="Calibri"/>
          <w:szCs w:val="22"/>
        </w:rPr>
        <w:t xml:space="preserve"> </w:t>
      </w:r>
      <w:r w:rsidRPr="00E8557D">
        <w:rPr>
          <w:rFonts w:eastAsia="Calibri"/>
          <w:szCs w:val="22"/>
        </w:rPr>
        <w:t>most recent renewal.  This field is necessary because the premium</w:t>
      </w:r>
      <w:r w:rsidR="00040001">
        <w:rPr>
          <w:rFonts w:eastAsia="Calibri"/>
          <w:szCs w:val="22"/>
        </w:rPr>
        <w:t>s</w:t>
      </w:r>
      <w:r w:rsidRPr="00E8557D">
        <w:rPr>
          <w:rFonts w:eastAsia="Calibri"/>
          <w:szCs w:val="22"/>
        </w:rPr>
        <w:t xml:space="preserve"> charged for polic</w:t>
      </w:r>
      <w:r w:rsidR="00040001">
        <w:rPr>
          <w:rFonts w:eastAsia="Calibri"/>
          <w:szCs w:val="22"/>
        </w:rPr>
        <w:t>ies</w:t>
      </w:r>
      <w:r w:rsidRPr="00E8557D">
        <w:rPr>
          <w:rFonts w:eastAsia="Calibri"/>
          <w:szCs w:val="22"/>
        </w:rPr>
        <w:t xml:space="preserve"> will vary with the value of the propert</w:t>
      </w:r>
      <w:r w:rsidR="00040001">
        <w:rPr>
          <w:rFonts w:eastAsia="Calibri"/>
          <w:szCs w:val="22"/>
        </w:rPr>
        <w:t>ies</w:t>
      </w:r>
      <w:r w:rsidRPr="00E8557D">
        <w:rPr>
          <w:rFonts w:eastAsia="Calibri"/>
          <w:szCs w:val="22"/>
        </w:rPr>
        <w:t xml:space="preserve"> insured</w:t>
      </w:r>
      <w:r>
        <w:rPr>
          <w:rFonts w:eastAsia="Calibri"/>
          <w:szCs w:val="22"/>
        </w:rPr>
        <w:t>,</w:t>
      </w:r>
      <w:r w:rsidRPr="00E8557D">
        <w:rPr>
          <w:rFonts w:eastAsia="Calibri"/>
          <w:szCs w:val="22"/>
        </w:rPr>
        <w:t xml:space="preserve"> as well as other factors.  The dollar value of coverage and various calculated fields derived from that (e.g., average premium per $1,000 in coverage) are commonly </w:t>
      </w:r>
      <w:r>
        <w:rPr>
          <w:rFonts w:eastAsia="Calibri"/>
          <w:szCs w:val="22"/>
        </w:rPr>
        <w:t>relied upon</w:t>
      </w:r>
      <w:r w:rsidRPr="00E8557D">
        <w:rPr>
          <w:rFonts w:eastAsia="Calibri"/>
          <w:szCs w:val="22"/>
        </w:rPr>
        <w:t xml:space="preserve"> as </w:t>
      </w:r>
      <w:r>
        <w:rPr>
          <w:rFonts w:eastAsia="Calibri"/>
          <w:szCs w:val="22"/>
        </w:rPr>
        <w:t>metrics</w:t>
      </w:r>
      <w:r w:rsidRPr="00E8557D">
        <w:rPr>
          <w:rFonts w:eastAsia="Calibri"/>
          <w:szCs w:val="22"/>
        </w:rPr>
        <w:t xml:space="preserve"> for accessing cost of coverage.</w:t>
      </w:r>
      <w:r>
        <w:rPr>
          <w:rFonts w:eastAsia="Calibri"/>
          <w:szCs w:val="22"/>
          <w:vertAlign w:val="superscript"/>
        </w:rPr>
        <w:footnoteReference w:id="17"/>
      </w:r>
      <w:r w:rsidRPr="00E8557D">
        <w:rPr>
          <w:rFonts w:eastAsia="Calibri"/>
          <w:szCs w:val="22"/>
        </w:rPr>
        <w:t xml:space="preserve">  </w:t>
      </w:r>
      <w:bookmarkStart w:id="27" w:name="_Hlk146961431"/>
      <w:r>
        <w:rPr>
          <w:rFonts w:eastAsia="Calibri"/>
          <w:szCs w:val="22"/>
        </w:rPr>
        <w:t>The field</w:t>
      </w:r>
      <w:r w:rsidRPr="00E8557D">
        <w:rPr>
          <w:rFonts w:eastAsia="Calibri"/>
          <w:szCs w:val="22"/>
        </w:rPr>
        <w:t xml:space="preserve"> will help FIO</w:t>
      </w:r>
      <w:r w:rsidR="00344C7F">
        <w:rPr>
          <w:rFonts w:eastAsia="Calibri"/>
          <w:szCs w:val="22"/>
        </w:rPr>
        <w:t>, among other things,</w:t>
      </w:r>
      <w:r w:rsidRPr="00E8557D">
        <w:rPr>
          <w:rFonts w:eastAsia="Calibri"/>
          <w:szCs w:val="22"/>
        </w:rPr>
        <w:t xml:space="preserve"> </w:t>
      </w:r>
      <w:r>
        <w:rPr>
          <w:rFonts w:eastAsia="Calibri"/>
          <w:szCs w:val="22"/>
        </w:rPr>
        <w:t>assess the variation in the</w:t>
      </w:r>
      <w:r w:rsidRPr="00E8557D">
        <w:rPr>
          <w:rFonts w:eastAsia="Calibri"/>
          <w:szCs w:val="22"/>
        </w:rPr>
        <w:t xml:space="preserve"> amount of financial protection for properties across ZIP Codes and over time</w:t>
      </w:r>
      <w:r>
        <w:rPr>
          <w:rFonts w:eastAsia="Calibri"/>
          <w:szCs w:val="22"/>
        </w:rPr>
        <w:t xml:space="preserve"> for a given premium</w:t>
      </w:r>
      <w:r w:rsidRPr="00E8557D">
        <w:rPr>
          <w:rFonts w:eastAsia="Calibri"/>
          <w:szCs w:val="22"/>
        </w:rPr>
        <w:t xml:space="preserve">, while holding constant changes in </w:t>
      </w:r>
      <w:r>
        <w:rPr>
          <w:rFonts w:eastAsia="Calibri"/>
          <w:szCs w:val="22"/>
        </w:rPr>
        <w:t>insurance coverage</w:t>
      </w:r>
      <w:r w:rsidRPr="00E8557D">
        <w:rPr>
          <w:rFonts w:eastAsia="Calibri"/>
          <w:szCs w:val="22"/>
        </w:rPr>
        <w:t>.</w:t>
      </w:r>
      <w:r>
        <w:rPr>
          <w:rFonts w:eastAsia="Calibri"/>
          <w:szCs w:val="22"/>
        </w:rPr>
        <w:t xml:space="preserve"> </w:t>
      </w:r>
      <w:r w:rsidRPr="00E8557D">
        <w:rPr>
          <w:rFonts w:eastAsia="Calibri"/>
          <w:szCs w:val="22"/>
        </w:rPr>
        <w:t xml:space="preserve"> The field will </w:t>
      </w:r>
      <w:r>
        <w:rPr>
          <w:rFonts w:eastAsia="Calibri"/>
          <w:szCs w:val="22"/>
        </w:rPr>
        <w:t xml:space="preserve">also </w:t>
      </w:r>
      <w:r w:rsidRPr="00E8557D">
        <w:rPr>
          <w:rFonts w:eastAsia="Calibri"/>
          <w:szCs w:val="22"/>
        </w:rPr>
        <w:t>enable FIO to compare loss</w:t>
      </w:r>
      <w:r>
        <w:rPr>
          <w:rFonts w:eastAsia="Calibri"/>
          <w:szCs w:val="22"/>
        </w:rPr>
        <w:t>es</w:t>
      </w:r>
      <w:r w:rsidRPr="00E8557D">
        <w:rPr>
          <w:rFonts w:eastAsia="Calibri"/>
          <w:szCs w:val="22"/>
        </w:rPr>
        <w:t xml:space="preserve"> across </w:t>
      </w:r>
      <w:r>
        <w:rPr>
          <w:rFonts w:eastAsia="Calibri"/>
          <w:szCs w:val="22"/>
        </w:rPr>
        <w:t>ZIP Codes</w:t>
      </w:r>
      <w:r w:rsidRPr="00E8557D">
        <w:rPr>
          <w:rFonts w:eastAsia="Calibri"/>
          <w:szCs w:val="22"/>
        </w:rPr>
        <w:t xml:space="preserve"> by calculating loss</w:t>
      </w:r>
      <w:r>
        <w:rPr>
          <w:rFonts w:eastAsia="Calibri"/>
          <w:szCs w:val="22"/>
        </w:rPr>
        <w:t>es</w:t>
      </w:r>
      <w:r w:rsidRPr="00E8557D">
        <w:rPr>
          <w:rFonts w:eastAsia="Calibri"/>
          <w:szCs w:val="22"/>
        </w:rPr>
        <w:t xml:space="preserve"> per $1,000 of insurance coverage.</w:t>
      </w:r>
      <w:bookmarkEnd w:id="27"/>
    </w:p>
    <w:p w:rsidR="006D3728" w:rsidP="006D3728" w14:paraId="0B67D74A" w14:textId="75614280">
      <w:pPr>
        <w:pStyle w:val="ListParagraph"/>
        <w:numPr>
          <w:ilvl w:val="0"/>
          <w:numId w:val="26"/>
        </w:numPr>
        <w:spacing w:before="240" w:after="240"/>
        <w:contextualSpacing w:val="0"/>
        <w:rPr>
          <w:rFonts w:eastAsia="Calibri"/>
          <w:i/>
          <w:iCs/>
          <w:szCs w:val="22"/>
        </w:rPr>
      </w:pPr>
      <w:r w:rsidRPr="00E8557D">
        <w:rPr>
          <w:rFonts w:eastAsia="Calibri"/>
          <w:i/>
          <w:iCs/>
          <w:szCs w:val="22"/>
        </w:rPr>
        <w:t>Number of Policies Not Renewed or Retained (on a calendar year basis)</w:t>
      </w:r>
      <w:r w:rsidRPr="0028274B">
        <w:rPr>
          <w:rFonts w:eastAsia="Calibri"/>
          <w:szCs w:val="22"/>
        </w:rPr>
        <w:t xml:space="preserve">:  </w:t>
      </w:r>
      <w:r>
        <w:rPr>
          <w:rFonts w:eastAsia="Calibri"/>
          <w:szCs w:val="22"/>
        </w:rPr>
        <w:t>This field addresses</w:t>
      </w:r>
      <w:r w:rsidRPr="0028274B">
        <w:rPr>
          <w:rFonts w:eastAsia="Calibri"/>
          <w:szCs w:val="22"/>
        </w:rPr>
        <w:t xml:space="preserve"> the number of policies </w:t>
      </w:r>
      <w:r>
        <w:rPr>
          <w:rFonts w:eastAsia="Calibri"/>
          <w:szCs w:val="22"/>
        </w:rPr>
        <w:t xml:space="preserve">that are </w:t>
      </w:r>
      <w:r w:rsidRPr="0028274B">
        <w:rPr>
          <w:rFonts w:eastAsia="Calibri"/>
          <w:szCs w:val="22"/>
        </w:rPr>
        <w:t xml:space="preserve">not renewed or retained </w:t>
      </w:r>
      <w:r>
        <w:rPr>
          <w:rFonts w:eastAsia="Calibri"/>
          <w:szCs w:val="22"/>
        </w:rPr>
        <w:t>at any time during the reporting</w:t>
      </w:r>
      <w:r w:rsidRPr="0028274B">
        <w:rPr>
          <w:rFonts w:eastAsia="Calibri"/>
          <w:szCs w:val="22"/>
        </w:rPr>
        <w:t xml:space="preserve"> year</w:t>
      </w:r>
      <w:r>
        <w:rPr>
          <w:rFonts w:eastAsia="Calibri"/>
          <w:szCs w:val="22"/>
        </w:rPr>
        <w:t xml:space="preserve">, </w:t>
      </w:r>
      <w:r w:rsidRPr="0028274B">
        <w:rPr>
          <w:rFonts w:eastAsia="Calibri"/>
          <w:szCs w:val="22"/>
        </w:rPr>
        <w:t>includ</w:t>
      </w:r>
      <w:r>
        <w:rPr>
          <w:rFonts w:eastAsia="Calibri"/>
          <w:szCs w:val="22"/>
        </w:rPr>
        <w:t>ing</w:t>
      </w:r>
      <w:r w:rsidRPr="0028274B">
        <w:rPr>
          <w:rFonts w:eastAsia="Calibri"/>
          <w:szCs w:val="22"/>
        </w:rPr>
        <w:t xml:space="preserve"> non</w:t>
      </w:r>
      <w:r>
        <w:rPr>
          <w:rFonts w:eastAsia="Calibri"/>
          <w:szCs w:val="22"/>
        </w:rPr>
        <w:t>-</w:t>
      </w:r>
      <w:r w:rsidRPr="0028274B">
        <w:rPr>
          <w:rFonts w:eastAsia="Calibri"/>
          <w:szCs w:val="22"/>
        </w:rPr>
        <w:t xml:space="preserve">renewals </w:t>
      </w:r>
      <w:r w:rsidR="00344C7F">
        <w:rPr>
          <w:rFonts w:eastAsia="Calibri"/>
          <w:szCs w:val="22"/>
        </w:rPr>
        <w:t xml:space="preserve">that are either </w:t>
      </w:r>
      <w:r w:rsidRPr="0028274B">
        <w:rPr>
          <w:rFonts w:eastAsia="Calibri"/>
          <w:szCs w:val="22"/>
        </w:rPr>
        <w:t>insurer</w:t>
      </w:r>
      <w:r>
        <w:rPr>
          <w:rFonts w:eastAsia="Calibri"/>
          <w:szCs w:val="22"/>
        </w:rPr>
        <w:t>-</w:t>
      </w:r>
      <w:r w:rsidRPr="0028274B">
        <w:rPr>
          <w:rFonts w:eastAsia="Calibri"/>
          <w:szCs w:val="22"/>
        </w:rPr>
        <w:t xml:space="preserve">initiated </w:t>
      </w:r>
      <w:r>
        <w:rPr>
          <w:rFonts w:eastAsia="Calibri"/>
          <w:szCs w:val="22"/>
        </w:rPr>
        <w:t>or</w:t>
      </w:r>
      <w:r w:rsidRPr="0028274B">
        <w:rPr>
          <w:rFonts w:eastAsia="Calibri"/>
          <w:szCs w:val="22"/>
        </w:rPr>
        <w:t xml:space="preserve"> policyholder</w:t>
      </w:r>
      <w:r>
        <w:rPr>
          <w:rFonts w:eastAsia="Calibri"/>
          <w:szCs w:val="22"/>
        </w:rPr>
        <w:t>-</w:t>
      </w:r>
      <w:r w:rsidRPr="0028274B">
        <w:rPr>
          <w:rFonts w:eastAsia="Calibri"/>
          <w:szCs w:val="22"/>
        </w:rPr>
        <w:t>initiated.  This field is necessary because understanding the percentage of policies not renewed will help FIO to assess availability issues.  FIO notes that</w:t>
      </w:r>
      <w:r w:rsidR="0018256C">
        <w:rPr>
          <w:rFonts w:eastAsia="Calibri"/>
          <w:szCs w:val="22"/>
        </w:rPr>
        <w:t xml:space="preserve"> other factors besides</w:t>
      </w:r>
      <w:r w:rsidRPr="0028274B">
        <w:rPr>
          <w:rFonts w:eastAsia="Calibri"/>
          <w:szCs w:val="22"/>
        </w:rPr>
        <w:t xml:space="preserve"> non-renewals </w:t>
      </w:r>
      <w:r w:rsidR="0018256C">
        <w:rPr>
          <w:rFonts w:eastAsia="Calibri"/>
          <w:szCs w:val="22"/>
        </w:rPr>
        <w:t>may also affect</w:t>
      </w:r>
      <w:r w:rsidRPr="0028274B">
        <w:rPr>
          <w:rFonts w:eastAsia="Calibri"/>
          <w:szCs w:val="22"/>
        </w:rPr>
        <w:t xml:space="preserve"> </w:t>
      </w:r>
      <w:r w:rsidR="00EA25DC">
        <w:rPr>
          <w:rFonts w:eastAsia="Calibri"/>
          <w:szCs w:val="22"/>
        </w:rPr>
        <w:t>the number of policies-in-force</w:t>
      </w:r>
      <w:r w:rsidR="006F40D9">
        <w:rPr>
          <w:rFonts w:eastAsia="Calibri"/>
          <w:szCs w:val="22"/>
        </w:rPr>
        <w:t xml:space="preserve"> captured by FIO’s proposed data collection</w:t>
      </w:r>
      <w:r w:rsidR="00EA25DC">
        <w:rPr>
          <w:rFonts w:eastAsia="Calibri"/>
          <w:szCs w:val="22"/>
        </w:rPr>
        <w:t xml:space="preserve"> </w:t>
      </w:r>
      <w:r w:rsidR="00145404">
        <w:rPr>
          <w:rFonts w:eastAsia="Calibri"/>
          <w:szCs w:val="22"/>
        </w:rPr>
        <w:t>because</w:t>
      </w:r>
      <w:r w:rsidRPr="0028274B" w:rsidR="00145404">
        <w:rPr>
          <w:rFonts w:eastAsia="Calibri"/>
          <w:szCs w:val="22"/>
        </w:rPr>
        <w:t xml:space="preserve"> </w:t>
      </w:r>
      <w:r w:rsidRPr="0028274B">
        <w:rPr>
          <w:rFonts w:eastAsia="Calibri"/>
          <w:szCs w:val="22"/>
        </w:rPr>
        <w:t xml:space="preserve">policies could be discontinued by the </w:t>
      </w:r>
      <w:r>
        <w:rPr>
          <w:rFonts w:eastAsia="Calibri"/>
          <w:szCs w:val="22"/>
        </w:rPr>
        <w:t xml:space="preserve">policyholder for various reasons such as </w:t>
      </w:r>
      <w:r w:rsidRPr="0028274B">
        <w:rPr>
          <w:rFonts w:eastAsia="Calibri"/>
          <w:szCs w:val="22"/>
        </w:rPr>
        <w:t>homeownership change</w:t>
      </w:r>
      <w:r>
        <w:rPr>
          <w:rFonts w:eastAsia="Calibri"/>
          <w:szCs w:val="22"/>
        </w:rPr>
        <w:t>s</w:t>
      </w:r>
      <w:r w:rsidRPr="0028274B">
        <w:rPr>
          <w:rFonts w:eastAsia="Calibri"/>
          <w:szCs w:val="22"/>
        </w:rPr>
        <w:t xml:space="preserve"> or </w:t>
      </w:r>
      <w:r w:rsidR="00145404">
        <w:rPr>
          <w:rFonts w:eastAsia="Calibri"/>
          <w:szCs w:val="22"/>
        </w:rPr>
        <w:t>switching</w:t>
      </w:r>
      <w:r w:rsidR="006F40D9">
        <w:rPr>
          <w:rFonts w:eastAsia="Calibri"/>
          <w:szCs w:val="22"/>
        </w:rPr>
        <w:t xml:space="preserve"> </w:t>
      </w:r>
      <w:bookmarkStart w:id="28" w:name="_Hlk148604951"/>
      <w:r w:rsidR="006F40D9">
        <w:rPr>
          <w:rFonts w:eastAsia="Calibri"/>
          <w:szCs w:val="22"/>
        </w:rPr>
        <w:t>to</w:t>
      </w:r>
      <w:r w:rsidR="006139F7">
        <w:rPr>
          <w:rFonts w:eastAsia="Calibri"/>
          <w:szCs w:val="22"/>
        </w:rPr>
        <w:t xml:space="preserve"> insurers</w:t>
      </w:r>
      <w:r w:rsidR="006F40D9">
        <w:rPr>
          <w:rFonts w:eastAsia="Calibri"/>
          <w:szCs w:val="22"/>
        </w:rPr>
        <w:t xml:space="preserve"> that are not part of the Representative Sample Insurers</w:t>
      </w:r>
      <w:r>
        <w:rPr>
          <w:rFonts w:eastAsia="Calibri"/>
          <w:szCs w:val="22"/>
        </w:rPr>
        <w:t>.</w:t>
      </w:r>
      <w:bookmarkEnd w:id="28"/>
    </w:p>
    <w:p w:rsidR="006D3728" w:rsidP="006D3728" w14:paraId="493D09ED" w14:textId="60F3C416">
      <w:pPr>
        <w:pStyle w:val="ListParagraph"/>
        <w:numPr>
          <w:ilvl w:val="0"/>
          <w:numId w:val="26"/>
        </w:numPr>
        <w:spacing w:before="240" w:after="240"/>
        <w:contextualSpacing w:val="0"/>
        <w:rPr>
          <w:rFonts w:eastAsia="Calibri"/>
          <w:szCs w:val="22"/>
        </w:rPr>
      </w:pPr>
      <w:r w:rsidRPr="00E8557D">
        <w:rPr>
          <w:rFonts w:eastAsia="Calibri"/>
          <w:i/>
          <w:iCs/>
          <w:szCs w:val="22"/>
        </w:rPr>
        <w:t>Direct Premiums Written (on a calendar year basis)</w:t>
      </w:r>
      <w:r w:rsidRPr="00E8557D">
        <w:rPr>
          <w:rFonts w:eastAsia="Calibri"/>
          <w:szCs w:val="22"/>
        </w:rPr>
        <w:t xml:space="preserve">:  This field is </w:t>
      </w:r>
      <w:r>
        <w:rPr>
          <w:rFonts w:eastAsia="Calibri"/>
          <w:szCs w:val="22"/>
        </w:rPr>
        <w:t xml:space="preserve">a measure of policyholders’ cost of obtaining coverage and is </w:t>
      </w:r>
      <w:r w:rsidRPr="00E8557D">
        <w:rPr>
          <w:rFonts w:eastAsia="Calibri"/>
          <w:szCs w:val="22"/>
        </w:rPr>
        <w:t>necessary because the average premium per home or per $1,000 of coverage (premiums divided by number of policies or premiums divided by the amount of coverage) indicates what homeowners pay for property insurance on a comparable per</w:t>
      </w:r>
      <w:r>
        <w:rPr>
          <w:rFonts w:eastAsia="Calibri"/>
          <w:szCs w:val="22"/>
        </w:rPr>
        <w:t>-</w:t>
      </w:r>
      <w:r w:rsidRPr="00E8557D">
        <w:rPr>
          <w:rFonts w:eastAsia="Calibri"/>
          <w:szCs w:val="22"/>
        </w:rPr>
        <w:t xml:space="preserve">unit basis.  </w:t>
      </w:r>
      <w:r>
        <w:rPr>
          <w:rFonts w:eastAsia="Calibri"/>
          <w:szCs w:val="22"/>
        </w:rPr>
        <w:t>That information, in turn, is necessary because c</w:t>
      </w:r>
      <w:r w:rsidRPr="00E8557D">
        <w:rPr>
          <w:rFonts w:eastAsia="Calibri"/>
          <w:szCs w:val="22"/>
        </w:rPr>
        <w:t xml:space="preserve">hanges in premiums over time and comparisons of average premium per home </w:t>
      </w:r>
      <w:r w:rsidR="004C2B00">
        <w:rPr>
          <w:rFonts w:eastAsia="Calibri"/>
          <w:szCs w:val="22"/>
        </w:rPr>
        <w:t>on a nationwide basis</w:t>
      </w:r>
      <w:r w:rsidR="00D54368">
        <w:rPr>
          <w:rFonts w:eastAsia="Calibri"/>
          <w:szCs w:val="22"/>
        </w:rPr>
        <w:t xml:space="preserve"> </w:t>
      </w:r>
      <w:r w:rsidRPr="00E8557D">
        <w:rPr>
          <w:rFonts w:eastAsia="Calibri"/>
          <w:szCs w:val="22"/>
        </w:rPr>
        <w:t xml:space="preserve">can provide meaningful insight </w:t>
      </w:r>
      <w:r>
        <w:rPr>
          <w:rFonts w:eastAsia="Calibri"/>
          <w:szCs w:val="22"/>
        </w:rPr>
        <w:t xml:space="preserve">into </w:t>
      </w:r>
      <w:r w:rsidRPr="00E8557D">
        <w:rPr>
          <w:rFonts w:eastAsia="Calibri"/>
          <w:szCs w:val="22"/>
        </w:rPr>
        <w:t xml:space="preserve">insurance costs. </w:t>
      </w:r>
      <w:r>
        <w:rPr>
          <w:rFonts w:eastAsia="Calibri"/>
          <w:szCs w:val="22"/>
        </w:rPr>
        <w:t xml:space="preserve"> </w:t>
      </w:r>
      <w:r w:rsidRPr="00E8557D">
        <w:rPr>
          <w:rFonts w:eastAsia="Calibri"/>
          <w:szCs w:val="22"/>
        </w:rPr>
        <w:t xml:space="preserve">Collecting this data on a calendar year </w:t>
      </w:r>
      <w:r w:rsidRPr="00E8557D">
        <w:rPr>
          <w:rFonts w:eastAsia="Calibri"/>
          <w:szCs w:val="22"/>
        </w:rPr>
        <w:t>basis will provide FIO with up</w:t>
      </w:r>
      <w:r>
        <w:rPr>
          <w:rFonts w:eastAsia="Calibri"/>
          <w:szCs w:val="22"/>
        </w:rPr>
        <w:t>-</w:t>
      </w:r>
      <w:r w:rsidRPr="00E8557D">
        <w:rPr>
          <w:rFonts w:eastAsia="Calibri"/>
          <w:szCs w:val="22"/>
        </w:rPr>
        <w:t>to</w:t>
      </w:r>
      <w:r>
        <w:rPr>
          <w:rFonts w:eastAsia="Calibri"/>
          <w:szCs w:val="22"/>
        </w:rPr>
        <w:t>-</w:t>
      </w:r>
      <w:r w:rsidRPr="00E8557D">
        <w:rPr>
          <w:rFonts w:eastAsia="Calibri"/>
          <w:szCs w:val="22"/>
        </w:rPr>
        <w:t xml:space="preserve">date information on pricing trends.  Premium data can also </w:t>
      </w:r>
      <w:r>
        <w:rPr>
          <w:rFonts w:eastAsia="Calibri"/>
          <w:szCs w:val="22"/>
        </w:rPr>
        <w:t>support</w:t>
      </w:r>
      <w:r w:rsidRPr="00E8557D">
        <w:rPr>
          <w:rFonts w:eastAsia="Calibri"/>
          <w:szCs w:val="22"/>
        </w:rPr>
        <w:t xml:space="preserve"> analy</w:t>
      </w:r>
      <w:r>
        <w:rPr>
          <w:rFonts w:eastAsia="Calibri"/>
          <w:szCs w:val="22"/>
        </w:rPr>
        <w:t>sis of</w:t>
      </w:r>
      <w:r w:rsidRPr="00E8557D">
        <w:rPr>
          <w:rFonts w:eastAsia="Calibri"/>
          <w:szCs w:val="22"/>
        </w:rPr>
        <w:t xml:space="preserve"> the availability of homeowners insurance in</w:t>
      </w:r>
      <w:r w:rsidRPr="00E8557D">
        <w:rPr>
          <w:rFonts w:eastAsia="Calibri"/>
          <w:szCs w:val="22"/>
        </w:rPr>
        <w:t xml:space="preserve"> </w:t>
      </w:r>
      <w:r>
        <w:rPr>
          <w:rFonts w:eastAsia="Calibri"/>
          <w:szCs w:val="22"/>
        </w:rPr>
        <w:t>ZIP codes</w:t>
      </w:r>
      <w:r w:rsidRPr="00E8557D">
        <w:rPr>
          <w:rFonts w:eastAsia="Calibri"/>
          <w:szCs w:val="22"/>
        </w:rPr>
        <w:t>.</w:t>
      </w:r>
    </w:p>
    <w:p w:rsidR="00E8557D" w:rsidRPr="00F64346" w:rsidP="00A24444" w14:paraId="716422CD" w14:textId="2F41179F">
      <w:pPr>
        <w:pStyle w:val="ListParagraph"/>
        <w:numPr>
          <w:ilvl w:val="0"/>
          <w:numId w:val="33"/>
        </w:numPr>
        <w:spacing w:before="240" w:after="240"/>
        <w:ind w:left="360"/>
        <w:contextualSpacing w:val="0"/>
      </w:pPr>
      <w:r w:rsidRPr="007339A2">
        <w:rPr>
          <w:i/>
          <w:iCs/>
        </w:rPr>
        <w:t>Total Direct Losses Paid (on an accident year basis)</w:t>
      </w:r>
      <w:r w:rsidRPr="007339A2">
        <w:t>:</w:t>
      </w:r>
      <w:r>
        <w:t xml:space="preserve"> </w:t>
      </w:r>
      <w:r w:rsidR="00D20DF4">
        <w:t xml:space="preserve"> </w:t>
      </w:r>
      <w:r w:rsidR="005E6859">
        <w:rPr>
          <w:color w:val="000000"/>
        </w:rPr>
        <w:t>This field is necessary to understand how loss trends in each ZIP Code affect the availability and cost of homeowners insurance.</w:t>
      </w:r>
      <w:r w:rsidR="00C3620B">
        <w:rPr>
          <w:color w:val="000000"/>
        </w:rPr>
        <w:t xml:space="preserve"> </w:t>
      </w:r>
      <w:r w:rsidR="005E6859">
        <w:rPr>
          <w:color w:val="000000"/>
        </w:rPr>
        <w:t xml:space="preserve"> Direct losses paid is the amount of money to date (for each accident year) that has </w:t>
      </w:r>
      <w:r w:rsidR="006D3728">
        <w:rPr>
          <w:color w:val="000000"/>
        </w:rPr>
        <w:t xml:space="preserve">been paid to, or on behalf of, policyholders, and does not include estimates of losses that </w:t>
      </w:r>
      <w:r w:rsidR="005E6859">
        <w:rPr>
          <w:color w:val="000000"/>
        </w:rPr>
        <w:t xml:space="preserve">been incurred but not yet paid.  FIO will analyze trends in paid losses (including on a per claim basis) by ZIP Code.  FIO will also use this field to </w:t>
      </w:r>
      <w:r w:rsidR="00B06301">
        <w:rPr>
          <w:color w:val="000000"/>
        </w:rPr>
        <w:t>examine</w:t>
      </w:r>
      <w:r w:rsidR="005E6859">
        <w:rPr>
          <w:color w:val="000000"/>
        </w:rPr>
        <w:t xml:space="preserve"> trends by ZIP Code in paid loss ratios (by dividing by premiums) and claims severity (by dividing by claims closed with loss payment)</w:t>
      </w:r>
      <w:r w:rsidR="00722256">
        <w:rPr>
          <w:color w:val="000000"/>
        </w:rPr>
        <w:t xml:space="preserve"> </w:t>
      </w:r>
      <w:bookmarkStart w:id="29" w:name="_Hlk148604974"/>
      <w:r w:rsidR="00722256">
        <w:rPr>
          <w:color w:val="000000"/>
        </w:rPr>
        <w:t>to better understand how underwriting metrics may reflect weather-related events</w:t>
      </w:r>
      <w:r w:rsidR="005E6859">
        <w:rPr>
          <w:color w:val="000000"/>
        </w:rPr>
        <w:t>.</w:t>
      </w:r>
      <w:bookmarkEnd w:id="29"/>
    </w:p>
    <w:p w:rsidR="006D768D" w:rsidP="00A24444" w14:paraId="299816CC" w14:textId="58793576">
      <w:pPr>
        <w:pStyle w:val="ListParagraph"/>
        <w:numPr>
          <w:ilvl w:val="0"/>
          <w:numId w:val="33"/>
        </w:numPr>
        <w:spacing w:before="240" w:after="240"/>
        <w:ind w:left="360"/>
        <w:contextualSpacing w:val="0"/>
      </w:pPr>
      <w:r w:rsidRPr="007339A2">
        <w:rPr>
          <w:i/>
          <w:iCs/>
        </w:rPr>
        <w:t>Total Direct Incurred Losses (on an accident year basis)</w:t>
      </w:r>
      <w:r w:rsidRPr="007339A2">
        <w:t>:</w:t>
      </w:r>
      <w:r>
        <w:t xml:space="preserve">  </w:t>
      </w:r>
      <w:bookmarkStart w:id="30" w:name="_Hlk146000300"/>
      <w:r w:rsidR="005E6859">
        <w:rPr>
          <w:color w:val="000000"/>
        </w:rPr>
        <w:t>This field is necessary because it provides a comprehensive measure of the value of</w:t>
      </w:r>
      <w:r w:rsidR="00883403">
        <w:rPr>
          <w:color w:val="000000"/>
        </w:rPr>
        <w:t xml:space="preserve"> an insurer’s</w:t>
      </w:r>
      <w:r w:rsidR="005E6859">
        <w:rPr>
          <w:color w:val="000000"/>
        </w:rPr>
        <w:t xml:space="preserve"> loss</w:t>
      </w:r>
      <w:r w:rsidR="00883403">
        <w:rPr>
          <w:color w:val="000000"/>
        </w:rPr>
        <w:t xml:space="preserve"> experience </w:t>
      </w:r>
      <w:bookmarkEnd w:id="30"/>
      <w:r w:rsidR="00B13A14">
        <w:rPr>
          <w:color w:val="000000"/>
        </w:rPr>
        <w:t xml:space="preserve">in a reporting period by ZIP Code. </w:t>
      </w:r>
      <w:r w:rsidR="00C3620B">
        <w:rPr>
          <w:color w:val="000000"/>
        </w:rPr>
        <w:t xml:space="preserve"> </w:t>
      </w:r>
      <w:r w:rsidR="00B13A14">
        <w:rPr>
          <w:color w:val="000000"/>
        </w:rPr>
        <w:t xml:space="preserve">Unlike losses paid, </w:t>
      </w:r>
      <w:bookmarkStart w:id="31" w:name="_Hlk148625984"/>
      <w:r w:rsidR="00B13A14">
        <w:rPr>
          <w:color w:val="000000"/>
        </w:rPr>
        <w:t xml:space="preserve">incurred </w:t>
      </w:r>
      <w:bookmarkEnd w:id="31"/>
      <w:r w:rsidR="00B13A14">
        <w:rPr>
          <w:color w:val="000000"/>
        </w:rPr>
        <w:t xml:space="preserve">losses reflect the total value of losses that an insurer incurs during a given period, regardless of whether the losses have been paid out </w:t>
      </w:r>
      <w:r w:rsidR="00D837FB">
        <w:rPr>
          <w:color w:val="000000"/>
        </w:rPr>
        <w:t>(</w:t>
      </w:r>
      <w:r w:rsidR="00B13A14">
        <w:rPr>
          <w:color w:val="000000"/>
        </w:rPr>
        <w:t>i.e., it includes reserves</w:t>
      </w:r>
      <w:r w:rsidR="00D837FB">
        <w:rPr>
          <w:color w:val="000000"/>
        </w:rPr>
        <w:t>)</w:t>
      </w:r>
      <w:r w:rsidR="00B13A14">
        <w:rPr>
          <w:color w:val="000000"/>
        </w:rPr>
        <w:t xml:space="preserve">, and is used to estimate total losses for a given year. </w:t>
      </w:r>
      <w:r w:rsidR="00C3620B">
        <w:rPr>
          <w:color w:val="000000"/>
        </w:rPr>
        <w:t xml:space="preserve"> </w:t>
      </w:r>
      <w:r w:rsidR="00B13A14">
        <w:rPr>
          <w:color w:val="000000"/>
        </w:rPr>
        <w:t>FIO will analyze trends in incurred losses (including on a per claim basis) by ZIP Code.  FIO also will use this field to look at trends by ZIP Code in incurred loss ratios (by dividing by premiums)</w:t>
      </w:r>
      <w:r w:rsidR="00722256">
        <w:rPr>
          <w:color w:val="000000"/>
        </w:rPr>
        <w:t xml:space="preserve"> to better understand how underwriting metrics may reflect weather-related events</w:t>
      </w:r>
      <w:r w:rsidR="00B13A14">
        <w:rPr>
          <w:color w:val="000000"/>
        </w:rPr>
        <w:t>.</w:t>
      </w:r>
    </w:p>
    <w:bookmarkEnd w:id="15"/>
    <w:p w:rsidR="00B13A14" w:rsidP="00B13A14" w14:paraId="4AAF618E" w14:textId="1179CBE7">
      <w:pPr>
        <w:pStyle w:val="ListParagraph"/>
        <w:numPr>
          <w:ilvl w:val="0"/>
          <w:numId w:val="33"/>
        </w:numPr>
        <w:spacing w:before="240" w:after="240"/>
        <w:ind w:left="360"/>
        <w:contextualSpacing w:val="0"/>
      </w:pPr>
      <w:r w:rsidRPr="007339A2">
        <w:rPr>
          <w:i/>
          <w:iCs/>
        </w:rPr>
        <w:t>Cumulative Number of Claims Closed With Loss Payment (on an accident year basis)</w:t>
      </w:r>
      <w:r w:rsidRPr="007339A2">
        <w:t>:</w:t>
      </w:r>
      <w:r>
        <w:t xml:space="preserve">  </w:t>
      </w:r>
      <w:bookmarkStart w:id="32" w:name="_Hlk139637255"/>
      <w:r>
        <w:t xml:space="preserve">This field is necessary because the </w:t>
      </w:r>
      <w:r w:rsidRPr="007339A2">
        <w:rPr>
          <w:rFonts w:eastAsia="Calibri"/>
        </w:rPr>
        <w:t xml:space="preserve">average amount insurers pay for each claim will provide insight on the impact of an event </w:t>
      </w:r>
      <w:r w:rsidR="00E235AB">
        <w:rPr>
          <w:rFonts w:eastAsia="Calibri"/>
        </w:rPr>
        <w:t xml:space="preserve">(or events) </w:t>
      </w:r>
      <w:r w:rsidRPr="007339A2">
        <w:rPr>
          <w:rFonts w:eastAsia="Calibri"/>
        </w:rPr>
        <w:t xml:space="preserve">in a given </w:t>
      </w:r>
      <w:r>
        <w:rPr>
          <w:rFonts w:eastAsia="Calibri"/>
        </w:rPr>
        <w:t>ZIP Code</w:t>
      </w:r>
      <w:r w:rsidRPr="007339A2">
        <w:rPr>
          <w:rFonts w:eastAsia="Calibri"/>
        </w:rPr>
        <w:t>, helping</w:t>
      </w:r>
      <w:r>
        <w:rPr>
          <w:rFonts w:eastAsia="Calibri"/>
        </w:rPr>
        <w:t xml:space="preserve"> FIO to </w:t>
      </w:r>
      <w:r w:rsidRPr="007339A2">
        <w:rPr>
          <w:rFonts w:eastAsia="Calibri"/>
        </w:rPr>
        <w:t>identify exposure frequency and severity.</w:t>
      </w:r>
      <w:r>
        <w:rPr>
          <w:rFonts w:eastAsia="Calibri"/>
          <w:vertAlign w:val="superscript"/>
        </w:rPr>
        <w:footnoteReference w:id="18"/>
      </w:r>
      <w:r w:rsidRPr="007339A2">
        <w:rPr>
          <w:rFonts w:eastAsia="Calibri"/>
        </w:rPr>
        <w:t xml:space="preserve">  During the underwriting process, an insurer must gauge the average value it will pay out per claim</w:t>
      </w:r>
      <w:bookmarkEnd w:id="32"/>
      <w:r w:rsidRPr="007339A2">
        <w:rPr>
          <w:rFonts w:eastAsia="Calibri"/>
        </w:rPr>
        <w:t>.</w:t>
      </w:r>
      <w:r>
        <w:rPr>
          <w:rFonts w:eastAsia="Calibri"/>
          <w:vertAlign w:val="superscript"/>
        </w:rPr>
        <w:footnoteReference w:id="19"/>
      </w:r>
      <w:r w:rsidRPr="007339A2">
        <w:rPr>
          <w:rFonts w:eastAsia="Calibri"/>
        </w:rPr>
        <w:t xml:space="preserve">  Historically, the average cost of claims has been </w:t>
      </w:r>
      <w:r w:rsidR="00E235AB">
        <w:rPr>
          <w:rFonts w:eastAsia="Calibri"/>
        </w:rPr>
        <w:t>one of the</w:t>
      </w:r>
      <w:r w:rsidRPr="007339A2">
        <w:rPr>
          <w:rFonts w:eastAsia="Calibri"/>
        </w:rPr>
        <w:t xml:space="preserve"> primary factor</w:t>
      </w:r>
      <w:r w:rsidR="007E2D73">
        <w:rPr>
          <w:rFonts w:eastAsia="Calibri"/>
        </w:rPr>
        <w:t>s</w:t>
      </w:r>
      <w:r w:rsidRPr="007339A2">
        <w:rPr>
          <w:rFonts w:eastAsia="Calibri"/>
        </w:rPr>
        <w:t xml:space="preserve"> behind price increases and tightened availability of homeowners insurance.</w:t>
      </w:r>
      <w:r>
        <w:rPr>
          <w:rFonts w:eastAsia="Calibri"/>
          <w:vertAlign w:val="superscript"/>
        </w:rPr>
        <w:footnoteReference w:id="20"/>
      </w:r>
      <w:r w:rsidRPr="007339A2">
        <w:rPr>
          <w:rFonts w:eastAsia="Calibri"/>
        </w:rPr>
        <w:t xml:space="preserve">  </w:t>
      </w:r>
      <w:bookmarkStart w:id="34" w:name="_Hlk148605007"/>
      <w:r w:rsidRPr="007339A2">
        <w:rPr>
          <w:rFonts w:eastAsia="Calibri"/>
        </w:rPr>
        <w:t xml:space="preserve">FIO will be evaluating claims frequency and severity </w:t>
      </w:r>
      <w:r w:rsidR="004C2B00">
        <w:rPr>
          <w:rFonts w:eastAsia="Calibri"/>
        </w:rPr>
        <w:t>on a nationwide basis</w:t>
      </w:r>
      <w:r w:rsidRPr="007339A2">
        <w:rPr>
          <w:rFonts w:eastAsia="Calibri"/>
        </w:rPr>
        <w:t xml:space="preserve"> to see </w:t>
      </w:r>
      <w:r>
        <w:rPr>
          <w:rFonts w:eastAsia="Calibri"/>
        </w:rPr>
        <w:t>whether</w:t>
      </w:r>
      <w:r w:rsidRPr="007339A2">
        <w:rPr>
          <w:rFonts w:eastAsia="Calibri"/>
        </w:rPr>
        <w:t xml:space="preserve"> they are associated with average premiums growth </w:t>
      </w:r>
      <w:bookmarkEnd w:id="34"/>
      <w:r w:rsidRPr="007339A2">
        <w:rPr>
          <w:rFonts w:eastAsia="Calibri"/>
        </w:rPr>
        <w:t>or a decrease in the availability of homeowners insurance.</w:t>
      </w:r>
      <w:r w:rsidR="00722256">
        <w:rPr>
          <w:rFonts w:eastAsia="Calibri"/>
        </w:rPr>
        <w:t xml:space="preserve">  This data field will thus enable FIO </w:t>
      </w:r>
      <w:r w:rsidR="00722256">
        <w:rPr>
          <w:color w:val="000000"/>
        </w:rPr>
        <w:t>to better understand how underwriting metrics may reflect weather-related events</w:t>
      </w:r>
      <w:r w:rsidR="00837CE6">
        <w:rPr>
          <w:color w:val="000000"/>
        </w:rPr>
        <w:t>.</w:t>
      </w:r>
    </w:p>
    <w:p w:rsidR="00D470EC" w:rsidRPr="00611299" w:rsidP="002C7DB7" w14:paraId="453E6F6F" w14:textId="3F597551">
      <w:pPr>
        <w:keepNext/>
        <w:spacing w:before="240" w:after="240"/>
        <w:ind w:left="360" w:hanging="360"/>
        <w:rPr>
          <w:color w:val="000000"/>
        </w:rPr>
      </w:pPr>
      <w:r w:rsidRPr="00682325">
        <w:rPr>
          <w:b/>
          <w:color w:val="000000"/>
        </w:rPr>
        <w:t>2.</w:t>
      </w:r>
      <w:r w:rsidRPr="00611299">
        <w:rPr>
          <w:bCs/>
          <w:color w:val="000000"/>
        </w:rPr>
        <w:t xml:space="preserve">  </w:t>
      </w:r>
      <w:r w:rsidRPr="00682325" w:rsidR="00072DEE">
        <w:rPr>
          <w:b/>
          <w:color w:val="000000"/>
        </w:rPr>
        <w:t>Indicate how, by whom, and for what purpose the information is to be used.</w:t>
      </w:r>
      <w:r w:rsidRPr="00682325">
        <w:rPr>
          <w:b/>
        </w:rPr>
        <w:fldChar w:fldCharType="begin"/>
      </w:r>
      <w:r w:rsidRPr="00682325">
        <w:rPr>
          <w:b/>
          <w:color w:val="000000"/>
          <w:lang w:val="en-CA"/>
        </w:rPr>
        <w:instrText xml:space="preserve"> SEQ CHAPTER \h \r 1</w:instrText>
      </w:r>
      <w:r w:rsidRPr="00682325">
        <w:rPr>
          <w:b/>
          <w:color w:val="000000"/>
          <w:lang w:val="en-CA"/>
        </w:rPr>
        <w:fldChar w:fldCharType="separate"/>
      </w:r>
      <w:r w:rsidRPr="00682325">
        <w:rPr>
          <w:b/>
          <w:color w:val="000000"/>
          <w:lang w:val="en-CA"/>
        </w:rPr>
        <w:fldChar w:fldCharType="end"/>
      </w:r>
      <w:r w:rsidRPr="00682325">
        <w:rPr>
          <w:b/>
        </w:rPr>
        <w:fldChar w:fldCharType="begin"/>
      </w:r>
      <w:r w:rsidRPr="00682325">
        <w:rPr>
          <w:b/>
          <w:color w:val="000000"/>
          <w:lang w:val="en-CA"/>
        </w:rPr>
        <w:instrText xml:space="preserve"> SEQ CHAPTER \h \r 1</w:instrText>
      </w:r>
      <w:r w:rsidRPr="00682325">
        <w:rPr>
          <w:b/>
          <w:color w:val="000000"/>
          <w:lang w:val="en-CA"/>
        </w:rPr>
        <w:fldChar w:fldCharType="separate"/>
      </w:r>
      <w:r w:rsidRPr="00682325">
        <w:rPr>
          <w:b/>
          <w:color w:val="000000"/>
          <w:lang w:val="en-CA"/>
        </w:rPr>
        <w:fldChar w:fldCharType="end"/>
      </w:r>
    </w:p>
    <w:p w:rsidR="006D3728" w:rsidP="006D3728" w14:paraId="467F3DE2" w14:textId="02013191">
      <w:pPr>
        <w:spacing w:before="240" w:after="240"/>
      </w:pPr>
      <w:bookmarkStart w:id="35" w:name="_Hlk146702591"/>
      <w:r>
        <w:rPr>
          <w:b/>
          <w:bCs/>
          <w:u w:val="single"/>
        </w:rPr>
        <w:t xml:space="preserve">How the Data Will be </w:t>
      </w:r>
      <w:r w:rsidRPr="00757A62">
        <w:rPr>
          <w:b/>
          <w:bCs/>
          <w:u w:val="single"/>
        </w:rPr>
        <w:t>Used</w:t>
      </w:r>
      <w:r>
        <w:rPr>
          <w:b/>
          <w:bCs/>
        </w:rPr>
        <w:t xml:space="preserve">.  </w:t>
      </w:r>
      <w:r w:rsidRPr="0044586A">
        <w:t xml:space="preserve">FIO’s contemplated use of each data </w:t>
      </w:r>
      <w:r>
        <w:t>field</w:t>
      </w:r>
      <w:r w:rsidRPr="0044586A">
        <w:t xml:space="preserve"> collected is described above.  More generally,</w:t>
      </w:r>
      <w:r>
        <w:rPr>
          <w:b/>
          <w:bCs/>
        </w:rPr>
        <w:t xml:space="preserve"> </w:t>
      </w:r>
      <w:r>
        <w:t xml:space="preserve">FIO plans to use the information obtained from this data collection to perform a first-of-its-kind </w:t>
      </w:r>
      <w:r w:rsidR="003304CD">
        <w:t xml:space="preserve">nationwide </w:t>
      </w:r>
      <w:r>
        <w:t>analysis to</w:t>
      </w:r>
      <w:r w:rsidRPr="003304CD" w:rsidR="003304CD">
        <w:t xml:space="preserve"> advance its statutory mandate</w:t>
      </w:r>
      <w:r w:rsidR="005B5971">
        <w:t>s</w:t>
      </w:r>
      <w:r w:rsidRPr="003304CD" w:rsidR="003304CD">
        <w:t xml:space="preserve"> and to respond </w:t>
      </w:r>
      <w:r w:rsidRPr="003304CD" w:rsidR="003304CD">
        <w:t>to EO 14030</w:t>
      </w:r>
      <w:r w:rsidR="003304CD">
        <w:t>.  FIO will</w:t>
      </w:r>
      <w:r>
        <w:t xml:space="preserve"> assess the impact of climate-related risk on the availability and cost of homeowners insurance in the United States.  T</w:t>
      </w:r>
      <w:r w:rsidRPr="00BC13B7">
        <w:rPr>
          <w:rFonts w:eastAsia="Calibri"/>
          <w:color w:val="000000"/>
          <w:szCs w:val="22"/>
        </w:rPr>
        <w:t xml:space="preserve">his data collection and analysis </w:t>
      </w:r>
      <w:r>
        <w:rPr>
          <w:rFonts w:eastAsia="Calibri"/>
          <w:color w:val="000000"/>
          <w:szCs w:val="22"/>
        </w:rPr>
        <w:t xml:space="preserve">also will </w:t>
      </w:r>
      <w:r w:rsidRPr="00BC13B7">
        <w:rPr>
          <w:rFonts w:eastAsia="Calibri"/>
          <w:color w:val="000000"/>
          <w:szCs w:val="22"/>
        </w:rPr>
        <w:t xml:space="preserve">establish </w:t>
      </w:r>
      <w:r>
        <w:rPr>
          <w:rFonts w:eastAsia="Calibri"/>
          <w:color w:val="000000"/>
          <w:szCs w:val="22"/>
        </w:rPr>
        <w:t xml:space="preserve">(and serve as a baseline for) </w:t>
      </w:r>
      <w:r w:rsidRPr="00BC13B7">
        <w:rPr>
          <w:rFonts w:eastAsia="Calibri"/>
          <w:color w:val="000000"/>
          <w:szCs w:val="22"/>
        </w:rPr>
        <w:t xml:space="preserve">a framework for </w:t>
      </w:r>
      <w:r>
        <w:rPr>
          <w:rFonts w:eastAsia="Calibri"/>
          <w:color w:val="000000"/>
          <w:szCs w:val="22"/>
        </w:rPr>
        <w:t xml:space="preserve">gathering and analyzing </w:t>
      </w:r>
      <w:r w:rsidRPr="00BC13B7">
        <w:rPr>
          <w:rFonts w:eastAsia="Calibri"/>
          <w:color w:val="000000"/>
          <w:szCs w:val="22"/>
        </w:rPr>
        <w:t xml:space="preserve">granular, consistent, and comparable data </w:t>
      </w:r>
      <w:r w:rsidR="007E2D73">
        <w:rPr>
          <w:rFonts w:eastAsia="Calibri"/>
          <w:color w:val="000000"/>
          <w:szCs w:val="22"/>
        </w:rPr>
        <w:t xml:space="preserve">that is not otherwise publicly available </w:t>
      </w:r>
      <w:r w:rsidRPr="00BC13B7">
        <w:rPr>
          <w:rFonts w:eastAsia="Calibri"/>
          <w:color w:val="000000"/>
          <w:szCs w:val="22"/>
        </w:rPr>
        <w:t>with which to assess the localized impact of climate-related events and conditions</w:t>
      </w:r>
      <w:r>
        <w:rPr>
          <w:rFonts w:eastAsia="Calibri"/>
          <w:color w:val="000000"/>
          <w:szCs w:val="22"/>
        </w:rPr>
        <w:t xml:space="preserve">.  </w:t>
      </w:r>
      <w:r>
        <w:t xml:space="preserve">FIO plans to analyze trends—including comparisons of trends in homeowners insurance availability and cost—at the ZIP Code level </w:t>
      </w:r>
      <w:r w:rsidR="00B91A1D">
        <w:t>on a nationwide basis</w:t>
      </w:r>
      <w:r w:rsidR="00AA7D59">
        <w:t>,</w:t>
      </w:r>
      <w:r w:rsidR="00100E65">
        <w:t xml:space="preserve"> and compare areas with different levels of climate-related risks</w:t>
      </w:r>
      <w:r>
        <w:t>.  Such trends are not necessarily apparent from publicly available data or state reporting data, which generally is limited to providing information at the national or state level.</w:t>
      </w:r>
    </w:p>
    <w:p w:rsidR="00B13A14" w:rsidP="00B13A14" w14:paraId="1C460EA4" w14:textId="0890066F">
      <w:r w:rsidRPr="00D806A7">
        <w:t>FIO intends to continue this work, with the goal of performing annual data collections and analyses</w:t>
      </w:r>
      <w:r w:rsidR="0018256C">
        <w:t xml:space="preserve"> in the future</w:t>
      </w:r>
      <w:r>
        <w:t xml:space="preserve">.  </w:t>
      </w:r>
      <w:r>
        <w:t xml:space="preserve">FIO </w:t>
      </w:r>
      <w:r>
        <w:t>intends to</w:t>
      </w:r>
      <w:r>
        <w:t xml:space="preserve"> conduct follow-on work to capture current data and continue </w:t>
      </w:r>
      <w:r>
        <w:t xml:space="preserve">its </w:t>
      </w:r>
      <w:r>
        <w:t xml:space="preserve">trend analyses.  Related future work, for example, may extend FIO’s analysis to consider </w:t>
      </w:r>
      <w:r w:rsidRPr="0062500F">
        <w:t xml:space="preserve">impacts on traditionally underserved communities </w:t>
      </w:r>
      <w:r w:rsidR="002E2354">
        <w:t>and</w:t>
      </w:r>
      <w:r w:rsidRPr="0062500F">
        <w:t xml:space="preserve"> consumers, minorities, and low- and moderate-income persons.</w:t>
      </w:r>
    </w:p>
    <w:bookmarkEnd w:id="35"/>
    <w:p w:rsidR="00A83499" w:rsidP="00A83499" w14:paraId="7AD259FC" w14:textId="39DE4602">
      <w:pPr>
        <w:spacing w:before="240" w:after="240"/>
        <w:rPr>
          <w:rFonts w:eastAsia="Calibri"/>
          <w:color w:val="000000"/>
          <w:szCs w:val="22"/>
        </w:rPr>
      </w:pPr>
      <w:r>
        <w:rPr>
          <w:b/>
          <w:bCs/>
          <w:u w:val="single"/>
        </w:rPr>
        <w:t xml:space="preserve">By Whom the Data May be </w:t>
      </w:r>
      <w:r w:rsidRPr="00874DE8">
        <w:rPr>
          <w:b/>
          <w:bCs/>
          <w:u w:val="single"/>
        </w:rPr>
        <w:t>Used</w:t>
      </w:r>
      <w:r>
        <w:t>.  FIO will use the collected data to perform and publish the analysis described above.</w:t>
      </w:r>
      <w:r>
        <w:rPr>
          <w:rStyle w:val="FootnoteReference"/>
          <w:vertAlign w:val="superscript"/>
        </w:rPr>
        <w:footnoteReference w:id="21"/>
      </w:r>
      <w:r>
        <w:t xml:space="preserve">  </w:t>
      </w:r>
      <w:r w:rsidRPr="00874DE8">
        <w:rPr>
          <w:rFonts w:eastAsia="Calibri"/>
          <w:color w:val="000000"/>
          <w:szCs w:val="22"/>
        </w:rPr>
        <w:t>FIO’s</w:t>
      </w:r>
      <w:r>
        <w:rPr>
          <w:rFonts w:eastAsia="Calibri"/>
          <w:color w:val="000000"/>
          <w:szCs w:val="22"/>
        </w:rPr>
        <w:t xml:space="preserve"> analysis of the collected data is expected to </w:t>
      </w:r>
      <w:r w:rsidRPr="008F72A3">
        <w:rPr>
          <w:rFonts w:eastAsia="Calibri"/>
          <w:color w:val="000000"/>
          <w:szCs w:val="22"/>
        </w:rPr>
        <w:t>be of interest</w:t>
      </w:r>
      <w:r>
        <w:rPr>
          <w:rFonts w:eastAsia="Calibri"/>
          <w:color w:val="000000"/>
          <w:szCs w:val="22"/>
        </w:rPr>
        <w:t xml:space="preserve"> </w:t>
      </w:r>
      <w:r w:rsidRPr="008F72A3">
        <w:rPr>
          <w:rFonts w:eastAsia="Calibri"/>
          <w:color w:val="000000"/>
          <w:szCs w:val="22"/>
        </w:rPr>
        <w:t>to</w:t>
      </w:r>
      <w:r>
        <w:rPr>
          <w:rFonts w:eastAsia="Calibri"/>
          <w:color w:val="000000"/>
          <w:szCs w:val="22"/>
        </w:rPr>
        <w:t>,</w:t>
      </w:r>
      <w:r w:rsidRPr="008F72A3">
        <w:rPr>
          <w:rFonts w:eastAsia="Calibri"/>
          <w:color w:val="000000"/>
          <w:szCs w:val="22"/>
        </w:rPr>
        <w:t xml:space="preserve"> </w:t>
      </w:r>
      <w:r>
        <w:rPr>
          <w:rFonts w:eastAsia="Calibri"/>
          <w:color w:val="000000"/>
          <w:szCs w:val="22"/>
        </w:rPr>
        <w:t xml:space="preserve">and benefit, </w:t>
      </w:r>
      <w:r w:rsidRPr="008F72A3">
        <w:rPr>
          <w:rFonts w:eastAsia="Calibri"/>
          <w:color w:val="000000"/>
          <w:szCs w:val="22"/>
        </w:rPr>
        <w:t xml:space="preserve">a wide variety of </w:t>
      </w:r>
      <w:r>
        <w:rPr>
          <w:rFonts w:eastAsia="Calibri"/>
          <w:color w:val="000000"/>
          <w:szCs w:val="22"/>
        </w:rPr>
        <w:t xml:space="preserve">insurance </w:t>
      </w:r>
      <w:r w:rsidRPr="008F72A3">
        <w:rPr>
          <w:rFonts w:eastAsia="Calibri"/>
          <w:color w:val="000000"/>
          <w:szCs w:val="22"/>
        </w:rPr>
        <w:t xml:space="preserve">stakeholders, including </w:t>
      </w:r>
      <w:r w:rsidR="007258D9">
        <w:rPr>
          <w:rFonts w:eastAsia="Calibri"/>
          <w:color w:val="000000"/>
          <w:szCs w:val="22"/>
        </w:rPr>
        <w:t xml:space="preserve">insurers, reinsurers, </w:t>
      </w:r>
      <w:r>
        <w:rPr>
          <w:rFonts w:eastAsia="Calibri"/>
          <w:color w:val="000000"/>
          <w:szCs w:val="22"/>
        </w:rPr>
        <w:t>homeowners</w:t>
      </w:r>
      <w:r w:rsidR="007258D9">
        <w:rPr>
          <w:rFonts w:eastAsia="Calibri"/>
          <w:color w:val="000000"/>
          <w:szCs w:val="22"/>
        </w:rPr>
        <w:t>, mortgage lenders,</w:t>
      </w:r>
      <w:r>
        <w:rPr>
          <w:rFonts w:eastAsia="Calibri"/>
          <w:color w:val="000000"/>
          <w:szCs w:val="22"/>
        </w:rPr>
        <w:t xml:space="preserve"> and policyholders.  The data and associated analysis should also inform </w:t>
      </w:r>
      <w:r w:rsidRPr="008F72A3">
        <w:rPr>
          <w:rFonts w:eastAsia="Calibri"/>
          <w:color w:val="000000"/>
          <w:szCs w:val="22"/>
        </w:rPr>
        <w:t>policymakers</w:t>
      </w:r>
      <w:r w:rsidRPr="009A1298" w:rsidR="009A1298">
        <w:t xml:space="preserve"> </w:t>
      </w:r>
      <w:r w:rsidRPr="009A1298" w:rsidR="009A1298">
        <w:rPr>
          <w:rFonts w:eastAsia="Calibri"/>
          <w:color w:val="000000"/>
          <w:szCs w:val="22"/>
        </w:rPr>
        <w:t>by establishing a framework for granular, consistent, and comparable data with which to assess the localized impact of climate-related events and conditions on trends in homeowners insurance availability and cost</w:t>
      </w:r>
      <w:r w:rsidRPr="00BC13B7">
        <w:rPr>
          <w:rFonts w:eastAsia="Calibri"/>
          <w:color w:val="000000"/>
          <w:szCs w:val="22"/>
        </w:rPr>
        <w:t xml:space="preserve">.  </w:t>
      </w:r>
      <w:r>
        <w:rPr>
          <w:rFonts w:eastAsia="Calibri"/>
          <w:color w:val="000000"/>
          <w:szCs w:val="22"/>
        </w:rPr>
        <w:t>This data will</w:t>
      </w:r>
      <w:r w:rsidRPr="00BC13B7">
        <w:rPr>
          <w:rFonts w:eastAsia="Calibri"/>
          <w:color w:val="000000"/>
          <w:szCs w:val="22"/>
        </w:rPr>
        <w:t xml:space="preserve"> help </w:t>
      </w:r>
      <w:r>
        <w:rPr>
          <w:rFonts w:eastAsia="Calibri"/>
          <w:color w:val="000000"/>
          <w:szCs w:val="22"/>
        </w:rPr>
        <w:t xml:space="preserve">highlight underwriting trends </w:t>
      </w:r>
      <w:r w:rsidRPr="004B722E">
        <w:rPr>
          <w:rFonts w:eastAsia="Calibri"/>
          <w:color w:val="000000"/>
          <w:szCs w:val="22"/>
        </w:rPr>
        <w:t>and identify areas where less available or more costly insurance is associated with higher risks from climate-related events</w:t>
      </w:r>
      <w:r>
        <w:rPr>
          <w:rFonts w:eastAsia="Calibri"/>
          <w:color w:val="000000"/>
          <w:szCs w:val="22"/>
        </w:rPr>
        <w:t>.</w:t>
      </w:r>
      <w:r w:rsidRPr="00BC13B7">
        <w:rPr>
          <w:rFonts w:eastAsia="Calibri"/>
          <w:color w:val="000000"/>
          <w:szCs w:val="22"/>
        </w:rPr>
        <w:t xml:space="preserve">  Such information </w:t>
      </w:r>
      <w:r>
        <w:rPr>
          <w:rFonts w:eastAsia="Calibri"/>
          <w:color w:val="000000"/>
          <w:szCs w:val="22"/>
        </w:rPr>
        <w:t xml:space="preserve">may </w:t>
      </w:r>
      <w:r w:rsidRPr="00BC13B7">
        <w:rPr>
          <w:rFonts w:eastAsia="Calibri"/>
          <w:color w:val="000000"/>
          <w:szCs w:val="22"/>
        </w:rPr>
        <w:t xml:space="preserve">also help </w:t>
      </w:r>
      <w:r>
        <w:rPr>
          <w:rFonts w:eastAsia="Calibri"/>
          <w:color w:val="000000"/>
          <w:szCs w:val="22"/>
        </w:rPr>
        <w:t xml:space="preserve">inform private </w:t>
      </w:r>
      <w:r w:rsidR="002E2354">
        <w:rPr>
          <w:rFonts w:eastAsia="Calibri"/>
          <w:color w:val="000000"/>
          <w:szCs w:val="22"/>
        </w:rPr>
        <w:t>and public</w:t>
      </w:r>
      <w:r>
        <w:rPr>
          <w:rFonts w:eastAsia="Calibri"/>
          <w:color w:val="000000"/>
          <w:szCs w:val="22"/>
        </w:rPr>
        <w:t xml:space="preserve"> efforts </w:t>
      </w:r>
      <w:r w:rsidR="002E2354">
        <w:rPr>
          <w:rFonts w:eastAsia="Calibri"/>
          <w:color w:val="000000"/>
          <w:szCs w:val="22"/>
        </w:rPr>
        <w:t xml:space="preserve">at the federal, state, and local levels </w:t>
      </w:r>
      <w:r>
        <w:rPr>
          <w:rFonts w:eastAsia="Calibri"/>
          <w:color w:val="000000"/>
          <w:szCs w:val="22"/>
        </w:rPr>
        <w:t xml:space="preserve">to </w:t>
      </w:r>
      <w:r w:rsidRPr="00BC13B7">
        <w:rPr>
          <w:rFonts w:eastAsia="Calibri"/>
          <w:color w:val="000000"/>
          <w:szCs w:val="22"/>
        </w:rPr>
        <w:t>target pre-disaster mitigation measures</w:t>
      </w:r>
      <w:r>
        <w:rPr>
          <w:rFonts w:eastAsia="Calibri"/>
          <w:color w:val="000000"/>
          <w:szCs w:val="22"/>
        </w:rPr>
        <w:t xml:space="preserve"> and to improve policy in this area</w:t>
      </w:r>
      <w:r w:rsidRPr="00BC13B7">
        <w:rPr>
          <w:rFonts w:eastAsia="Calibri"/>
          <w:color w:val="000000"/>
          <w:szCs w:val="22"/>
        </w:rPr>
        <w:t>.</w:t>
      </w:r>
    </w:p>
    <w:p w:rsidR="0003397E" w:rsidP="00A24444" w14:paraId="5CFC3972" w14:textId="51EEBAF3">
      <w:pPr>
        <w:spacing w:before="240" w:after="240"/>
        <w:rPr>
          <w:color w:val="000000"/>
        </w:rPr>
      </w:pPr>
      <w:r w:rsidRPr="00F619D1">
        <w:rPr>
          <w:b/>
          <w:bCs/>
          <w:u w:val="single"/>
        </w:rPr>
        <w:t>Purpose of the Data Collection</w:t>
      </w:r>
      <w:r>
        <w:rPr>
          <w:b/>
          <w:bCs/>
        </w:rPr>
        <w:t xml:space="preserve">.  </w:t>
      </w:r>
      <w:bookmarkStart w:id="36" w:name="_Hlk148605021"/>
      <w:r w:rsidR="00D46CDE">
        <w:t xml:space="preserve">The primary purpose of this data collection is to obtain consistent, </w:t>
      </w:r>
      <w:r w:rsidR="002E2354">
        <w:t xml:space="preserve">granular, and </w:t>
      </w:r>
      <w:r w:rsidR="00D46CDE">
        <w:t xml:space="preserve">comparable homeowners insurance underwriting data that </w:t>
      </w:r>
      <w:r w:rsidR="002E2354">
        <w:t>is not otherwise publicly available in order to</w:t>
      </w:r>
      <w:r w:rsidR="00D46CDE">
        <w:t xml:space="preserve"> enable FIO to assess the impact that climate-related physical </w:t>
      </w:r>
      <w:r w:rsidR="000E2E09">
        <w:t xml:space="preserve">risk </w:t>
      </w:r>
      <w:r w:rsidR="005B518C">
        <w:t>has</w:t>
      </w:r>
      <w:r w:rsidR="00D46CDE">
        <w:t xml:space="preserve"> on the homeowners insurance market at a ZIP Code level</w:t>
      </w:r>
      <w:r w:rsidR="00596097">
        <w:t>, as described in</w:t>
      </w:r>
      <w:r w:rsidR="009177A4">
        <w:t xml:space="preserve"> more detail in</w:t>
      </w:r>
      <w:r w:rsidR="00596097">
        <w:t xml:space="preserve"> the responses above</w:t>
      </w:r>
      <w:r w:rsidR="00D46CDE">
        <w:t>.</w:t>
      </w:r>
    </w:p>
    <w:bookmarkEnd w:id="36"/>
    <w:p w:rsidR="00D470EC" w:rsidRPr="0058595D" w:rsidP="0058595D" w14:paraId="5334BFAD" w14:textId="2FD9A2E9">
      <w:pPr>
        <w:pStyle w:val="ListParagraph"/>
        <w:numPr>
          <w:ilvl w:val="0"/>
          <w:numId w:val="31"/>
        </w:numPr>
        <w:spacing w:before="240" w:after="240"/>
        <w:ind w:left="360"/>
        <w:rPr>
          <w:b/>
          <w:color w:val="000000"/>
        </w:rPr>
      </w:pPr>
      <w:r w:rsidRPr="0058595D">
        <w:rPr>
          <w:b/>
          <w:color w:val="000000"/>
        </w:rPr>
        <w:t>Describe whether, and to what extent, the collection of information involves the use of automated, electronic, mechanical, or other technological techniques or other forms of information technology.</w:t>
      </w:r>
    </w:p>
    <w:p w:rsidR="00D470EC" w:rsidRPr="00A3124A" w:rsidP="00A24444" w14:paraId="29AA33F4" w14:textId="77777777">
      <w:pPr>
        <w:pStyle w:val="Default"/>
        <w:tabs>
          <w:tab w:val="left" w:pos="720"/>
        </w:tabs>
        <w:spacing w:before="240" w:after="240"/>
        <w:rPr>
          <w:rFonts w:ascii="Times New Roman" w:hAnsi="Times New Roman" w:cs="Times New Roman"/>
          <w:color w:val="000000"/>
          <w:sz w:val="24"/>
          <w:szCs w:val="24"/>
        </w:rPr>
      </w:pPr>
      <w:bookmarkStart w:id="37" w:name="_Hlk146630814"/>
      <w:bookmarkStart w:id="38" w:name="_Hlk145510627"/>
      <w:r>
        <w:rPr>
          <w:rFonts w:ascii="Times New Roman" w:hAnsi="Times New Roman" w:cs="Times New Roman"/>
          <w:color w:val="000000"/>
          <w:sz w:val="24"/>
          <w:szCs w:val="24"/>
        </w:rPr>
        <w:t>FIO anticipates that the Representative Sample I</w:t>
      </w:r>
      <w:r w:rsidRPr="00A3124A">
        <w:rPr>
          <w:rFonts w:ascii="Times New Roman" w:hAnsi="Times New Roman" w:cs="Times New Roman"/>
          <w:color w:val="000000"/>
          <w:sz w:val="24"/>
          <w:szCs w:val="24"/>
        </w:rPr>
        <w:t xml:space="preserve">nsurers will largely generate responses electronically by querying their data management systems for the requested data.  </w:t>
      </w:r>
      <w:r>
        <w:rPr>
          <w:rFonts w:ascii="Times New Roman" w:hAnsi="Times New Roman" w:cs="Times New Roman"/>
          <w:color w:val="000000"/>
          <w:sz w:val="24"/>
          <w:szCs w:val="24"/>
        </w:rPr>
        <w:t>FIO will be asking the Representative Sample Insurers to submit their responses as Excel files using the Data Collection Form provided by FIO.</w:t>
      </w:r>
      <w:r w:rsidRPr="00A312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FA1314">
        <w:rPr>
          <w:rFonts w:ascii="Times New Roman" w:hAnsi="Times New Roman" w:cs="Times New Roman"/>
          <w:color w:val="000000"/>
          <w:sz w:val="24"/>
          <w:szCs w:val="24"/>
        </w:rPr>
        <w:t>FIO</w:t>
      </w:r>
      <w:r w:rsidRPr="00A3124A" w:rsidR="00FB69F5">
        <w:rPr>
          <w:rFonts w:ascii="Times New Roman" w:hAnsi="Times New Roman" w:cs="Times New Roman"/>
          <w:color w:val="000000"/>
          <w:sz w:val="24"/>
          <w:szCs w:val="24"/>
        </w:rPr>
        <w:t xml:space="preserve"> is </w:t>
      </w:r>
      <w:r w:rsidR="00FA1314">
        <w:rPr>
          <w:rFonts w:ascii="Times New Roman" w:hAnsi="Times New Roman" w:cs="Times New Roman"/>
          <w:color w:val="000000"/>
          <w:sz w:val="24"/>
          <w:szCs w:val="24"/>
        </w:rPr>
        <w:t xml:space="preserve">planning </w:t>
      </w:r>
      <w:bookmarkStart w:id="39" w:name="_Hlk145538641"/>
      <w:r w:rsidR="00FA1314">
        <w:rPr>
          <w:rFonts w:ascii="Times New Roman" w:hAnsi="Times New Roman" w:cs="Times New Roman"/>
          <w:color w:val="000000"/>
          <w:sz w:val="24"/>
          <w:szCs w:val="24"/>
        </w:rPr>
        <w:t>for</w:t>
      </w:r>
      <w:r w:rsidRPr="00A3124A" w:rsidR="00FB69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Representative Sample Insurers to submit their </w:t>
      </w:r>
      <w:r w:rsidRPr="00A3124A" w:rsidR="00FB69F5">
        <w:rPr>
          <w:rFonts w:ascii="Times New Roman" w:hAnsi="Times New Roman" w:cs="Times New Roman"/>
          <w:color w:val="000000"/>
          <w:sz w:val="24"/>
          <w:szCs w:val="24"/>
        </w:rPr>
        <w:t>responses electronically</w:t>
      </w:r>
      <w:r w:rsidR="008D59F6">
        <w:rPr>
          <w:rFonts w:ascii="Times New Roman" w:hAnsi="Times New Roman" w:cs="Times New Roman"/>
          <w:color w:val="000000"/>
          <w:sz w:val="24"/>
          <w:szCs w:val="24"/>
        </w:rPr>
        <w:t xml:space="preserve"> to a </w:t>
      </w:r>
      <w:r w:rsidR="00491EF9">
        <w:rPr>
          <w:rFonts w:ascii="Times New Roman" w:hAnsi="Times New Roman" w:cs="Times New Roman"/>
          <w:color w:val="000000"/>
          <w:sz w:val="24"/>
          <w:szCs w:val="24"/>
        </w:rPr>
        <w:t xml:space="preserve">secure </w:t>
      </w:r>
      <w:r w:rsidR="008D59F6">
        <w:rPr>
          <w:rFonts w:ascii="Times New Roman" w:hAnsi="Times New Roman" w:cs="Times New Roman"/>
          <w:color w:val="000000"/>
          <w:sz w:val="24"/>
          <w:szCs w:val="24"/>
        </w:rPr>
        <w:t>Treasury portal</w:t>
      </w:r>
      <w:bookmarkEnd w:id="39"/>
      <w:r>
        <w:rPr>
          <w:rFonts w:ascii="Times New Roman" w:hAnsi="Times New Roman" w:cs="Times New Roman"/>
          <w:color w:val="000000"/>
          <w:sz w:val="24"/>
          <w:szCs w:val="24"/>
        </w:rPr>
        <w:t>.</w:t>
      </w:r>
      <w:bookmarkEnd w:id="37"/>
    </w:p>
    <w:bookmarkEnd w:id="38"/>
    <w:p w:rsidR="00B13A14" w:rsidRPr="0058595D" w:rsidP="0058595D" w14:paraId="0197E4E5" w14:textId="7578D078">
      <w:pPr>
        <w:keepNext/>
        <w:spacing w:before="240" w:after="240"/>
        <w:ind w:left="360" w:hanging="360"/>
        <w:rPr>
          <w:b/>
        </w:rPr>
      </w:pPr>
      <w:r w:rsidRPr="0058595D">
        <w:rPr>
          <w:b/>
        </w:rPr>
        <w:t xml:space="preserve">4.  </w:t>
      </w:r>
      <w:r w:rsidRPr="0058595D">
        <w:rPr>
          <w:b/>
        </w:rPr>
        <w:t>Describe efforts to identify duplication.</w:t>
      </w:r>
    </w:p>
    <w:p w:rsidR="000A3C79" w:rsidRPr="000A3C79" w:rsidP="00A24444" w14:paraId="3B34E315" w14:textId="5E556FE3">
      <w:pPr>
        <w:spacing w:before="240" w:after="240"/>
        <w:rPr>
          <w:rFonts w:eastAsia="Calibri"/>
          <w:szCs w:val="22"/>
        </w:rPr>
      </w:pPr>
      <w:r>
        <w:rPr>
          <w:color w:val="000000"/>
        </w:rPr>
        <w:t>FIO</w:t>
      </w:r>
      <w:r w:rsidRPr="00611299" w:rsidR="00FF1ECD">
        <w:rPr>
          <w:color w:val="000000"/>
        </w:rPr>
        <w:t xml:space="preserve"> </w:t>
      </w:r>
      <w:r w:rsidRPr="00611299" w:rsidR="00E214B7">
        <w:rPr>
          <w:color w:val="000000"/>
        </w:rPr>
        <w:t xml:space="preserve">has not identified any entity or collection of entities that currently hold </w:t>
      </w:r>
      <w:r w:rsidRPr="00611299" w:rsidR="002A6C95">
        <w:rPr>
          <w:color w:val="000000"/>
        </w:rPr>
        <w:t xml:space="preserve">all of </w:t>
      </w:r>
      <w:r w:rsidRPr="00611299" w:rsidR="00E214B7">
        <w:rPr>
          <w:color w:val="000000"/>
        </w:rPr>
        <w:t xml:space="preserve">the data </w:t>
      </w:r>
      <w:r>
        <w:rPr>
          <w:color w:val="000000"/>
        </w:rPr>
        <w:t>that FIO</w:t>
      </w:r>
      <w:r w:rsidRPr="00611299" w:rsidR="00E214B7">
        <w:rPr>
          <w:color w:val="000000"/>
        </w:rPr>
        <w:t xml:space="preserve"> seeks to collect</w:t>
      </w:r>
      <w:r w:rsidR="001747AD">
        <w:rPr>
          <w:color w:val="000000"/>
        </w:rPr>
        <w:t xml:space="preserve"> </w:t>
      </w:r>
      <w:r>
        <w:rPr>
          <w:color w:val="000000"/>
        </w:rPr>
        <w:t xml:space="preserve">through this </w:t>
      </w:r>
      <w:r w:rsidR="00D0158A">
        <w:rPr>
          <w:color w:val="000000"/>
        </w:rPr>
        <w:t>nationwide collection of ZIP Code level data</w:t>
      </w:r>
      <w:r w:rsidRPr="00611299" w:rsidR="00E214B7">
        <w:rPr>
          <w:color w:val="000000"/>
        </w:rPr>
        <w:t>.</w:t>
      </w:r>
    </w:p>
    <w:p w:rsidR="009F50CC" w:rsidP="00A24444" w14:paraId="76F877D1" w14:textId="7B992942">
      <w:pPr>
        <w:spacing w:before="240" w:after="240"/>
        <w:rPr>
          <w:rFonts w:eastAsia="Calibri"/>
          <w:szCs w:val="22"/>
        </w:rPr>
      </w:pPr>
      <w:bookmarkStart w:id="40" w:name="_Hlk147516055"/>
      <w:r w:rsidRPr="000A3C79">
        <w:rPr>
          <w:rFonts w:eastAsia="Calibri"/>
          <w:szCs w:val="22"/>
        </w:rPr>
        <w:t>The FIO Act requires that FIO “determine if the information to be collected is available from, and may be obtained in a timely manner by, such Federal agency or State insurance regulator, individually or collectively, other regulatory agency, or publicly available sources.”</w:t>
      </w:r>
      <w:r>
        <w:rPr>
          <w:rFonts w:eastAsia="Calibri"/>
          <w:szCs w:val="22"/>
          <w:vertAlign w:val="superscript"/>
        </w:rPr>
        <w:footnoteReference w:id="22"/>
      </w:r>
      <w:r w:rsidRPr="000A3C79">
        <w:rPr>
          <w:rFonts w:eastAsia="Calibri"/>
          <w:szCs w:val="22"/>
        </w:rPr>
        <w:t xml:space="preserve">  </w:t>
      </w:r>
      <w:bookmarkEnd w:id="40"/>
      <w:r>
        <w:rPr>
          <w:rFonts w:eastAsia="Calibri"/>
          <w:szCs w:val="22"/>
        </w:rPr>
        <w:t xml:space="preserve">As discussed in </w:t>
      </w:r>
      <w:r w:rsidR="00F9272F">
        <w:rPr>
          <w:rFonts w:eastAsia="Calibri"/>
          <w:szCs w:val="22"/>
        </w:rPr>
        <w:t xml:space="preserve">detail </w:t>
      </w:r>
      <w:r>
        <w:rPr>
          <w:rFonts w:eastAsia="Calibri"/>
          <w:szCs w:val="22"/>
        </w:rPr>
        <w:t xml:space="preserve">in the </w:t>
      </w:r>
      <w:r>
        <w:rPr>
          <w:rFonts w:eastAsia="Calibri"/>
          <w:szCs w:val="22"/>
        </w:rPr>
        <w:t xml:space="preserve">October 2022 </w:t>
      </w:r>
      <w:r w:rsidRPr="000A3C79">
        <w:rPr>
          <w:rFonts w:eastAsia="Calibri"/>
          <w:szCs w:val="22"/>
        </w:rPr>
        <w:t xml:space="preserve">FRN, </w:t>
      </w:r>
      <w:bookmarkStart w:id="41" w:name="_Hlk148626015"/>
      <w:r w:rsidRPr="000A3C79">
        <w:rPr>
          <w:rFonts w:eastAsia="Calibri"/>
          <w:szCs w:val="22"/>
        </w:rPr>
        <w:t xml:space="preserve">FIO </w:t>
      </w:r>
      <w:r w:rsidR="00580CD8">
        <w:rPr>
          <w:rFonts w:eastAsia="Calibri"/>
          <w:szCs w:val="22"/>
        </w:rPr>
        <w:t xml:space="preserve">coordinated with </w:t>
      </w:r>
      <w:bookmarkEnd w:id="41"/>
      <w:r w:rsidR="004F2B77">
        <w:rPr>
          <w:rFonts w:eastAsia="Calibri"/>
          <w:szCs w:val="22"/>
        </w:rPr>
        <w:t>S</w:t>
      </w:r>
      <w:r w:rsidRPr="000A3C79">
        <w:rPr>
          <w:rFonts w:eastAsia="Calibri"/>
          <w:szCs w:val="22"/>
        </w:rPr>
        <w:t xml:space="preserve">tate </w:t>
      </w:r>
      <w:r w:rsidR="004F2B77">
        <w:rPr>
          <w:rFonts w:eastAsia="Calibri"/>
          <w:szCs w:val="22"/>
        </w:rPr>
        <w:t>I</w:t>
      </w:r>
      <w:r w:rsidRPr="000A3C79">
        <w:rPr>
          <w:rFonts w:eastAsia="Calibri"/>
          <w:szCs w:val="22"/>
        </w:rPr>
        <w:t xml:space="preserve">nsurance </w:t>
      </w:r>
      <w:r w:rsidR="004F2B77">
        <w:rPr>
          <w:rFonts w:eastAsia="Calibri"/>
          <w:szCs w:val="22"/>
        </w:rPr>
        <w:t>R</w:t>
      </w:r>
      <w:r w:rsidRPr="000A3C79">
        <w:rPr>
          <w:rFonts w:eastAsia="Calibri"/>
          <w:szCs w:val="22"/>
        </w:rPr>
        <w:t xml:space="preserve">egulators to determine </w:t>
      </w:r>
      <w:r w:rsidR="00CE3A32">
        <w:rPr>
          <w:rFonts w:eastAsia="Calibri"/>
          <w:szCs w:val="22"/>
        </w:rPr>
        <w:t>whether</w:t>
      </w:r>
      <w:r w:rsidRPr="000A3C79" w:rsidR="00CE3A32">
        <w:rPr>
          <w:rFonts w:eastAsia="Calibri"/>
          <w:szCs w:val="22"/>
        </w:rPr>
        <w:t xml:space="preserve"> </w:t>
      </w:r>
      <w:r w:rsidRPr="000A3C79">
        <w:rPr>
          <w:rFonts w:eastAsia="Calibri"/>
          <w:szCs w:val="22"/>
        </w:rPr>
        <w:t>they could provide</w:t>
      </w:r>
      <w:r w:rsidR="00351AD1">
        <w:rPr>
          <w:rFonts w:eastAsia="Calibri"/>
          <w:szCs w:val="22"/>
        </w:rPr>
        <w:t>,</w:t>
      </w:r>
      <w:r w:rsidRPr="000A3C79">
        <w:rPr>
          <w:rFonts w:eastAsia="Calibri"/>
          <w:szCs w:val="22"/>
        </w:rPr>
        <w:t xml:space="preserve"> in a timely manner</w:t>
      </w:r>
      <w:r w:rsidR="00351AD1">
        <w:rPr>
          <w:rFonts w:eastAsia="Calibri"/>
          <w:szCs w:val="22"/>
        </w:rPr>
        <w:t>,</w:t>
      </w:r>
      <w:r w:rsidRPr="000A3C79">
        <w:rPr>
          <w:rFonts w:eastAsia="Calibri"/>
          <w:szCs w:val="22"/>
        </w:rPr>
        <w:t xml:space="preserve"> the data that FIO </w:t>
      </w:r>
      <w:r w:rsidRPr="000A3C79" w:rsidR="006D3728">
        <w:rPr>
          <w:rFonts w:eastAsia="Calibri"/>
          <w:szCs w:val="22"/>
        </w:rPr>
        <w:t>proposed collecting</w:t>
      </w:r>
      <w:r w:rsidR="006D3728">
        <w:rPr>
          <w:rFonts w:eastAsia="Calibri"/>
          <w:szCs w:val="22"/>
        </w:rPr>
        <w:t xml:space="preserve">.  </w:t>
      </w:r>
      <w:r w:rsidR="00F9272F">
        <w:rPr>
          <w:rFonts w:eastAsia="Calibri"/>
          <w:szCs w:val="22"/>
        </w:rPr>
        <w:t xml:space="preserve">Following these efforts, </w:t>
      </w:r>
      <w:r w:rsidR="006D3728">
        <w:rPr>
          <w:rFonts w:eastAsia="Calibri"/>
          <w:szCs w:val="22"/>
        </w:rPr>
        <w:t xml:space="preserve">FIO determined that the data that FIO was proposing to collect was </w:t>
      </w:r>
      <w:r>
        <w:rPr>
          <w:rFonts w:eastAsia="Calibri"/>
          <w:szCs w:val="22"/>
        </w:rPr>
        <w:t xml:space="preserve">not available or could not be obtained in a timely manner from any of the </w:t>
      </w:r>
      <w:r w:rsidR="004F2B77">
        <w:rPr>
          <w:rFonts w:eastAsia="Calibri"/>
          <w:szCs w:val="22"/>
        </w:rPr>
        <w:t>S</w:t>
      </w:r>
      <w:r>
        <w:rPr>
          <w:rFonts w:eastAsia="Calibri"/>
          <w:szCs w:val="22"/>
        </w:rPr>
        <w:t xml:space="preserve">tate </w:t>
      </w:r>
      <w:r w:rsidR="004F2B77">
        <w:rPr>
          <w:rFonts w:eastAsia="Calibri"/>
          <w:szCs w:val="22"/>
        </w:rPr>
        <w:t>I</w:t>
      </w:r>
      <w:r>
        <w:rPr>
          <w:rFonts w:eastAsia="Calibri"/>
          <w:szCs w:val="22"/>
        </w:rPr>
        <w:t xml:space="preserve">nsurance </w:t>
      </w:r>
      <w:bookmarkStart w:id="42" w:name="_Hlk147429445"/>
      <w:r w:rsidR="004F2B77">
        <w:rPr>
          <w:rFonts w:eastAsia="Calibri"/>
          <w:szCs w:val="22"/>
        </w:rPr>
        <w:t>R</w:t>
      </w:r>
      <w:r w:rsidR="006D3728">
        <w:rPr>
          <w:rFonts w:eastAsia="Calibri"/>
          <w:szCs w:val="22"/>
        </w:rPr>
        <w:t>egulators</w:t>
      </w:r>
      <w:r w:rsidR="006D3728">
        <w:t>, relevant federal agencies, or publicly available sources</w:t>
      </w:r>
      <w:r w:rsidRPr="000A3C79" w:rsidR="006D3728">
        <w:rPr>
          <w:rFonts w:eastAsia="Calibri"/>
          <w:szCs w:val="22"/>
        </w:rPr>
        <w:t>.</w:t>
      </w:r>
      <w:r>
        <w:rPr>
          <w:rFonts w:eastAsia="Calibri"/>
          <w:szCs w:val="22"/>
          <w:vertAlign w:val="superscript"/>
        </w:rPr>
        <w:footnoteReference w:id="23"/>
      </w:r>
      <w:r w:rsidR="006D3728">
        <w:rPr>
          <w:rFonts w:eastAsia="Calibri"/>
          <w:szCs w:val="22"/>
        </w:rPr>
        <w:t xml:space="preserve">  </w:t>
      </w:r>
      <w:r w:rsidR="00F9272F">
        <w:rPr>
          <w:rFonts w:eastAsia="Calibri"/>
          <w:szCs w:val="22"/>
        </w:rPr>
        <w:t>After</w:t>
      </w:r>
      <w:r w:rsidR="006D3728">
        <w:rPr>
          <w:rFonts w:eastAsia="Calibri"/>
          <w:szCs w:val="22"/>
        </w:rPr>
        <w:t xml:space="preserve"> the end of the </w:t>
      </w:r>
      <w:bookmarkEnd w:id="42"/>
      <w:r w:rsidR="006D3728">
        <w:rPr>
          <w:rFonts w:eastAsia="Calibri"/>
          <w:szCs w:val="22"/>
        </w:rPr>
        <w:t xml:space="preserve">comment period for the October 2022 FRN, </w:t>
      </w:r>
      <w:r w:rsidRPr="000A3C79" w:rsidR="006D3728">
        <w:rPr>
          <w:rFonts w:eastAsia="Calibri"/>
          <w:szCs w:val="22"/>
        </w:rPr>
        <w:t xml:space="preserve">FIO </w:t>
      </w:r>
      <w:bookmarkStart w:id="43" w:name="_Hlk148626022"/>
      <w:r w:rsidR="0086650C">
        <w:rPr>
          <w:rFonts w:eastAsia="Calibri"/>
          <w:szCs w:val="22"/>
        </w:rPr>
        <w:t>had additional meetings</w:t>
      </w:r>
      <w:bookmarkEnd w:id="43"/>
      <w:r w:rsidRPr="000A3C79" w:rsidR="006D3728">
        <w:rPr>
          <w:rFonts w:eastAsia="Calibri"/>
          <w:szCs w:val="22"/>
        </w:rPr>
        <w:t xml:space="preserve"> with the NAIC and </w:t>
      </w:r>
      <w:r w:rsidR="006D3728">
        <w:rPr>
          <w:rFonts w:eastAsia="Calibri"/>
          <w:szCs w:val="22"/>
        </w:rPr>
        <w:t xml:space="preserve">the </w:t>
      </w:r>
      <w:r w:rsidR="004F2B77">
        <w:rPr>
          <w:rFonts w:eastAsia="Calibri"/>
          <w:szCs w:val="22"/>
        </w:rPr>
        <w:t>S</w:t>
      </w:r>
      <w:r w:rsidR="006D3728">
        <w:rPr>
          <w:rFonts w:eastAsia="Calibri"/>
          <w:szCs w:val="22"/>
        </w:rPr>
        <w:t xml:space="preserve">tate </w:t>
      </w:r>
      <w:r w:rsidR="004F2B77">
        <w:rPr>
          <w:rFonts w:eastAsia="Calibri"/>
          <w:szCs w:val="22"/>
        </w:rPr>
        <w:t>I</w:t>
      </w:r>
      <w:r w:rsidR="006D3728">
        <w:rPr>
          <w:rFonts w:eastAsia="Calibri"/>
          <w:szCs w:val="22"/>
        </w:rPr>
        <w:t xml:space="preserve">nsurance </w:t>
      </w:r>
      <w:r w:rsidR="004F2B77">
        <w:rPr>
          <w:rFonts w:eastAsia="Calibri"/>
          <w:szCs w:val="22"/>
        </w:rPr>
        <w:t>R</w:t>
      </w:r>
      <w:r w:rsidR="006D3728">
        <w:rPr>
          <w:rFonts w:eastAsia="Calibri"/>
          <w:szCs w:val="22"/>
        </w:rPr>
        <w:t>egulators</w:t>
      </w:r>
      <w:r w:rsidRPr="000A3C79" w:rsidR="006D3728">
        <w:rPr>
          <w:rFonts w:eastAsia="Calibri"/>
          <w:szCs w:val="22"/>
        </w:rPr>
        <w:t xml:space="preserve"> </w:t>
      </w:r>
      <w:r w:rsidR="007E2D73">
        <w:rPr>
          <w:rFonts w:eastAsia="Calibri"/>
          <w:szCs w:val="22"/>
        </w:rPr>
        <w:t xml:space="preserve">to </w:t>
      </w:r>
      <w:r w:rsidR="0086650C">
        <w:rPr>
          <w:rFonts w:eastAsia="Calibri"/>
          <w:szCs w:val="22"/>
        </w:rPr>
        <w:t>offer increased</w:t>
      </w:r>
      <w:r w:rsidRPr="000A3C79" w:rsidR="006D3728">
        <w:rPr>
          <w:rFonts w:eastAsia="Calibri"/>
          <w:szCs w:val="22"/>
        </w:rPr>
        <w:t xml:space="preserve"> coordination and collaboration </w:t>
      </w:r>
      <w:r w:rsidR="0086650C">
        <w:rPr>
          <w:rFonts w:eastAsia="Calibri"/>
          <w:szCs w:val="22"/>
        </w:rPr>
        <w:t>between</w:t>
      </w:r>
      <w:r w:rsidRPr="000A3C79" w:rsidR="0086650C">
        <w:rPr>
          <w:rFonts w:eastAsia="Calibri"/>
          <w:szCs w:val="22"/>
        </w:rPr>
        <w:t xml:space="preserve"> </w:t>
      </w:r>
      <w:r w:rsidRPr="000A3C79" w:rsidR="006D3728">
        <w:rPr>
          <w:rFonts w:eastAsia="Calibri"/>
          <w:szCs w:val="22"/>
        </w:rPr>
        <w:t>FIO’s proposed data collection</w:t>
      </w:r>
      <w:r w:rsidR="0086650C">
        <w:rPr>
          <w:rFonts w:eastAsia="Calibri"/>
          <w:szCs w:val="22"/>
        </w:rPr>
        <w:t xml:space="preserve"> and any efforts of the NAIC and State Insurance Regulators</w:t>
      </w:r>
      <w:r w:rsidR="006D3728">
        <w:rPr>
          <w:rFonts w:eastAsia="Calibri"/>
          <w:szCs w:val="22"/>
        </w:rPr>
        <w:t xml:space="preserve">.  </w:t>
      </w:r>
      <w:r w:rsidRPr="000A3C79" w:rsidR="006D3728">
        <w:rPr>
          <w:rFonts w:eastAsia="Calibri"/>
          <w:szCs w:val="22"/>
        </w:rPr>
        <w:t xml:space="preserve">On August </w:t>
      </w:r>
      <w:r w:rsidR="006D3728">
        <w:rPr>
          <w:rFonts w:eastAsia="Calibri"/>
          <w:szCs w:val="22"/>
        </w:rPr>
        <w:t>15</w:t>
      </w:r>
      <w:r w:rsidRPr="000A3C79" w:rsidR="006D3728">
        <w:rPr>
          <w:rFonts w:eastAsia="Calibri"/>
          <w:szCs w:val="22"/>
        </w:rPr>
        <w:t xml:space="preserve">, 2023, the NAIC </w:t>
      </w:r>
      <w:r w:rsidR="006D3728">
        <w:rPr>
          <w:rFonts w:eastAsia="Calibri"/>
          <w:szCs w:val="22"/>
        </w:rPr>
        <w:t xml:space="preserve">announced </w:t>
      </w:r>
      <w:r w:rsidRPr="00F62AC6" w:rsidR="006D3728">
        <w:rPr>
          <w:rFonts w:eastAsia="Calibri"/>
          <w:szCs w:val="22"/>
        </w:rPr>
        <w:t xml:space="preserve">a plan to issue a data call to </w:t>
      </w:r>
      <w:r w:rsidR="006D3728">
        <w:rPr>
          <w:rFonts w:eastAsia="Calibri"/>
          <w:szCs w:val="22"/>
        </w:rPr>
        <w:t>assist</w:t>
      </w:r>
      <w:r w:rsidRPr="00F62AC6" w:rsidR="006D3728">
        <w:rPr>
          <w:rFonts w:eastAsia="Calibri"/>
          <w:szCs w:val="22"/>
        </w:rPr>
        <w:t xml:space="preserve"> </w:t>
      </w:r>
      <w:r w:rsidR="004F2B77">
        <w:rPr>
          <w:rFonts w:eastAsia="Calibri"/>
          <w:szCs w:val="22"/>
        </w:rPr>
        <w:t>S</w:t>
      </w:r>
      <w:r w:rsidRPr="00F62AC6" w:rsidR="006D3728">
        <w:rPr>
          <w:rFonts w:eastAsia="Calibri"/>
          <w:szCs w:val="22"/>
        </w:rPr>
        <w:t xml:space="preserve">tate </w:t>
      </w:r>
      <w:r w:rsidR="004F2B77">
        <w:rPr>
          <w:rFonts w:eastAsia="Calibri"/>
          <w:szCs w:val="22"/>
        </w:rPr>
        <w:t>I</w:t>
      </w:r>
      <w:r w:rsidRPr="00F62AC6" w:rsidR="006D3728">
        <w:rPr>
          <w:rFonts w:eastAsia="Calibri"/>
          <w:szCs w:val="22"/>
        </w:rPr>
        <w:t xml:space="preserve">nsurance </w:t>
      </w:r>
      <w:r w:rsidR="004F2B77">
        <w:rPr>
          <w:rFonts w:eastAsia="Calibri"/>
          <w:szCs w:val="22"/>
        </w:rPr>
        <w:t>R</w:t>
      </w:r>
      <w:r w:rsidRPr="00F62AC6" w:rsidR="006D3728">
        <w:rPr>
          <w:rFonts w:eastAsia="Calibri"/>
          <w:szCs w:val="22"/>
        </w:rPr>
        <w:t xml:space="preserve">egulators </w:t>
      </w:r>
      <w:r w:rsidR="006D3728">
        <w:rPr>
          <w:rFonts w:eastAsia="Calibri"/>
          <w:szCs w:val="22"/>
        </w:rPr>
        <w:t xml:space="preserve">to </w:t>
      </w:r>
      <w:r w:rsidRPr="00F62AC6" w:rsidR="006D3728">
        <w:rPr>
          <w:rFonts w:eastAsia="Calibri"/>
          <w:szCs w:val="22"/>
        </w:rPr>
        <w:t>collect data from insurers to better understand property markets and coverages and protection gaps</w:t>
      </w:r>
      <w:r w:rsidR="006D3728">
        <w:rPr>
          <w:rFonts w:eastAsia="Calibri"/>
          <w:szCs w:val="22"/>
        </w:rPr>
        <w:t>, citing the “</w:t>
      </w:r>
      <w:r w:rsidRPr="00F62AC6" w:rsidR="006D3728">
        <w:rPr>
          <w:rFonts w:eastAsia="Calibri"/>
          <w:szCs w:val="22"/>
        </w:rPr>
        <w:t>increasing frequency and severity of weather events, rising reinsurance costs, and inflationary pressures</w:t>
      </w:r>
      <w:r w:rsidR="006D3728">
        <w:rPr>
          <w:rFonts w:eastAsia="Calibri"/>
          <w:szCs w:val="22"/>
        </w:rPr>
        <w:t xml:space="preserve">,” </w:t>
      </w:r>
      <w:r w:rsidR="00F9272F">
        <w:rPr>
          <w:rFonts w:eastAsia="Calibri"/>
          <w:szCs w:val="22"/>
        </w:rPr>
        <w:t xml:space="preserve">that </w:t>
      </w:r>
      <w:r w:rsidR="006D3728">
        <w:rPr>
          <w:rFonts w:eastAsia="Calibri"/>
          <w:szCs w:val="22"/>
        </w:rPr>
        <w:t xml:space="preserve">were creating </w:t>
      </w:r>
      <w:r w:rsidRPr="00F62AC6" w:rsidR="006D3728">
        <w:rPr>
          <w:rFonts w:eastAsia="Calibri"/>
          <w:szCs w:val="22"/>
        </w:rPr>
        <w:t>insurance availability and affordability</w:t>
      </w:r>
      <w:r w:rsidR="006D3728">
        <w:rPr>
          <w:rFonts w:eastAsia="Calibri"/>
          <w:szCs w:val="22"/>
        </w:rPr>
        <w:t xml:space="preserve"> issues.</w:t>
      </w:r>
      <w:r>
        <w:rPr>
          <w:rStyle w:val="FootnoteReference"/>
          <w:rFonts w:eastAsia="Calibri"/>
          <w:szCs w:val="22"/>
          <w:vertAlign w:val="superscript"/>
        </w:rPr>
        <w:footnoteReference w:id="24"/>
      </w:r>
    </w:p>
    <w:p w:rsidR="00A83499" w:rsidP="00A83499" w14:paraId="380DCBB1" w14:textId="50742E31">
      <w:pPr>
        <w:spacing w:before="240" w:after="240"/>
        <w:rPr>
          <w:rFonts w:eastAsia="Calibri"/>
          <w:szCs w:val="22"/>
        </w:rPr>
      </w:pPr>
      <w:bookmarkStart w:id="44" w:name="_Hlk143508615"/>
      <w:bookmarkStart w:id="45" w:name="_Hlk148605051"/>
      <w:r>
        <w:t>FIO supports continued coordination and collaboration efforts that would enable it to fulfill its statutory mission while minimizing any burdens on insurers, to the extent feasible</w:t>
      </w:r>
      <w:r w:rsidRPr="000A3C79">
        <w:rPr>
          <w:rFonts w:eastAsia="Calibri"/>
          <w:szCs w:val="22"/>
        </w:rPr>
        <w:t xml:space="preserve">.  </w:t>
      </w:r>
      <w:r w:rsidR="00963A7F">
        <w:rPr>
          <w:rFonts w:eastAsia="Calibri"/>
          <w:szCs w:val="22"/>
        </w:rPr>
        <w:t xml:space="preserve">Additionally, it is unclear </w:t>
      </w:r>
      <w:r>
        <w:rPr>
          <w:rFonts w:eastAsia="Calibri"/>
          <w:szCs w:val="22"/>
        </w:rPr>
        <w:t>when the NAIC data call may be implemented and</w:t>
      </w:r>
      <w:bookmarkStart w:id="46" w:name="_Hlk147932518"/>
      <w:r w:rsidR="00963A7F">
        <w:rPr>
          <w:rFonts w:eastAsia="Calibri"/>
          <w:szCs w:val="22"/>
        </w:rPr>
        <w:t xml:space="preserve"> whether all</w:t>
      </w:r>
      <w:bookmarkEnd w:id="46"/>
      <w:r w:rsidR="00963A7F">
        <w:rPr>
          <w:rFonts w:eastAsia="Calibri"/>
          <w:szCs w:val="22"/>
        </w:rPr>
        <w:t xml:space="preserve"> </w:t>
      </w:r>
      <w:r w:rsidRPr="009A1298" w:rsidR="009A1298">
        <w:rPr>
          <w:rFonts w:eastAsia="Calibri"/>
          <w:szCs w:val="22"/>
        </w:rPr>
        <w:t xml:space="preserve">State Insurance Regulators </w:t>
      </w:r>
      <w:r w:rsidR="00963A7F">
        <w:rPr>
          <w:rFonts w:eastAsia="Calibri"/>
          <w:szCs w:val="22"/>
        </w:rPr>
        <w:t>will participate in any</w:t>
      </w:r>
      <w:r w:rsidRPr="009A1298" w:rsidR="009A1298">
        <w:rPr>
          <w:rFonts w:eastAsia="Calibri"/>
          <w:szCs w:val="22"/>
        </w:rPr>
        <w:t xml:space="preserve"> proposed NAIC data call.</w:t>
      </w:r>
      <w:r w:rsidR="009A1298">
        <w:rPr>
          <w:rFonts w:eastAsia="Calibri"/>
          <w:szCs w:val="22"/>
        </w:rPr>
        <w:t xml:space="preserve">  </w:t>
      </w:r>
      <w:bookmarkEnd w:id="44"/>
    </w:p>
    <w:bookmarkEnd w:id="45"/>
    <w:p w:rsidR="006D3728" w:rsidP="00A24444" w14:paraId="3FCE48D2" w14:textId="576BA2AD">
      <w:pPr>
        <w:spacing w:before="240" w:after="240"/>
        <w:rPr>
          <w:rFonts w:eastAsia="Calibri"/>
          <w:szCs w:val="22"/>
        </w:rPr>
      </w:pPr>
      <w:r>
        <w:rPr>
          <w:rFonts w:eastAsia="Calibri"/>
          <w:szCs w:val="22"/>
        </w:rPr>
        <w:t xml:space="preserve">Thus, </w:t>
      </w:r>
      <w:r w:rsidRPr="000A3C79">
        <w:rPr>
          <w:rFonts w:eastAsia="Calibri"/>
          <w:szCs w:val="22"/>
        </w:rPr>
        <w:t xml:space="preserve">FIO has determined that the </w:t>
      </w:r>
      <w:r>
        <w:rPr>
          <w:rFonts w:eastAsia="Calibri"/>
          <w:szCs w:val="22"/>
        </w:rPr>
        <w:t xml:space="preserve">nationwide ZIP Code level </w:t>
      </w:r>
      <w:r w:rsidRPr="000A3C79">
        <w:rPr>
          <w:rFonts w:eastAsia="Calibri"/>
          <w:szCs w:val="22"/>
        </w:rPr>
        <w:t xml:space="preserve">data </w:t>
      </w:r>
      <w:r>
        <w:rPr>
          <w:rFonts w:eastAsia="Calibri"/>
          <w:szCs w:val="22"/>
        </w:rPr>
        <w:t>that</w:t>
      </w:r>
      <w:r w:rsidRPr="000A3C79">
        <w:rPr>
          <w:rFonts w:eastAsia="Calibri"/>
          <w:szCs w:val="22"/>
        </w:rPr>
        <w:t xml:space="preserve"> </w:t>
      </w:r>
      <w:r>
        <w:rPr>
          <w:rFonts w:eastAsia="Calibri"/>
          <w:szCs w:val="22"/>
        </w:rPr>
        <w:t>it seeks</w:t>
      </w:r>
      <w:r w:rsidRPr="000A3C79">
        <w:rPr>
          <w:rFonts w:eastAsia="Calibri"/>
          <w:szCs w:val="22"/>
        </w:rPr>
        <w:t xml:space="preserve"> to collect is not available or </w:t>
      </w:r>
      <w:bookmarkStart w:id="47" w:name="_Hlk148626065"/>
      <w:r w:rsidR="006B2FC4">
        <w:rPr>
          <w:rFonts w:eastAsia="Calibri"/>
          <w:szCs w:val="22"/>
        </w:rPr>
        <w:t>may not</w:t>
      </w:r>
      <w:r w:rsidRPr="000A3C79" w:rsidR="006B2FC4">
        <w:rPr>
          <w:rFonts w:eastAsia="Calibri"/>
          <w:szCs w:val="22"/>
        </w:rPr>
        <w:t xml:space="preserve"> </w:t>
      </w:r>
      <w:bookmarkEnd w:id="47"/>
      <w:r w:rsidRPr="000A3C79">
        <w:rPr>
          <w:rFonts w:eastAsia="Calibri"/>
          <w:szCs w:val="22"/>
        </w:rPr>
        <w:t>be obtained in a timely manner</w:t>
      </w:r>
      <w:r>
        <w:rPr>
          <w:rFonts w:eastAsia="Calibri"/>
          <w:szCs w:val="22"/>
        </w:rPr>
        <w:t>, and is therefore s</w:t>
      </w:r>
      <w:r w:rsidRPr="000A3C79">
        <w:rPr>
          <w:rFonts w:eastAsia="Calibri"/>
          <w:szCs w:val="22"/>
        </w:rPr>
        <w:t xml:space="preserve">eeking OMB approval for its </w:t>
      </w:r>
      <w:r>
        <w:rPr>
          <w:rFonts w:eastAsia="Calibri"/>
          <w:szCs w:val="22"/>
        </w:rPr>
        <w:t>planned</w:t>
      </w:r>
      <w:r w:rsidRPr="000A3C79">
        <w:rPr>
          <w:rFonts w:eastAsia="Calibri"/>
          <w:szCs w:val="22"/>
        </w:rPr>
        <w:t xml:space="preserve"> data collection</w:t>
      </w:r>
      <w:r>
        <w:rPr>
          <w:rFonts w:eastAsia="Calibri"/>
          <w:szCs w:val="22"/>
        </w:rPr>
        <w:t>.</w:t>
      </w:r>
    </w:p>
    <w:p w:rsidR="00D470EC" w:rsidRPr="00857FC2" w:rsidP="002C7DB7" w14:paraId="2DF318BD" w14:textId="731E5749">
      <w:pPr>
        <w:spacing w:before="240" w:after="240"/>
        <w:ind w:left="360" w:hanging="360"/>
        <w:rPr>
          <w:b/>
          <w:color w:val="000000"/>
        </w:rPr>
      </w:pPr>
      <w:r w:rsidRPr="00857FC2">
        <w:rPr>
          <w:b/>
          <w:color w:val="000000"/>
        </w:rPr>
        <w:t>5.  If the collection of information involves small businesses or other small entities, describe the methods used to minimize burden.</w:t>
      </w:r>
    </w:p>
    <w:p w:rsidR="005B1458" w:rsidRPr="00611299" w:rsidP="00EA0B89" w14:paraId="6208CC38" w14:textId="202E3B2B">
      <w:pPr>
        <w:tabs>
          <w:tab w:val="left" w:pos="720"/>
          <w:tab w:val="left" w:pos="3060"/>
        </w:tabs>
        <w:spacing w:before="240" w:after="240"/>
        <w:rPr>
          <w:color w:val="000000"/>
        </w:rPr>
      </w:pPr>
      <w:r w:rsidRPr="00611299">
        <w:rPr>
          <w:color w:val="000000"/>
        </w:rPr>
        <w:t xml:space="preserve">The collection of information will not involve small businesses or other small entities.  </w:t>
      </w:r>
      <w:r w:rsidR="004B4540">
        <w:rPr>
          <w:color w:val="000000"/>
        </w:rPr>
        <w:t xml:space="preserve">The </w:t>
      </w:r>
      <w:r w:rsidR="0041160B">
        <w:rPr>
          <w:color w:val="000000"/>
        </w:rPr>
        <w:t>Representative Sample I</w:t>
      </w:r>
      <w:r w:rsidR="004B4540">
        <w:rPr>
          <w:color w:val="000000"/>
        </w:rPr>
        <w:t xml:space="preserve">nsurers completing the </w:t>
      </w:r>
      <w:r w:rsidR="00154B16">
        <w:rPr>
          <w:color w:val="000000"/>
        </w:rPr>
        <w:t>Data Collection Form</w:t>
      </w:r>
      <w:r w:rsidR="004B4540">
        <w:rPr>
          <w:color w:val="000000"/>
        </w:rPr>
        <w:t xml:space="preserve"> </w:t>
      </w:r>
      <w:r w:rsidR="008A128B">
        <w:rPr>
          <w:color w:val="000000"/>
        </w:rPr>
        <w:t>are</w:t>
      </w:r>
      <w:r w:rsidR="004B4540">
        <w:rPr>
          <w:color w:val="000000"/>
        </w:rPr>
        <w:t xml:space="preserve"> </w:t>
      </w:r>
      <w:r w:rsidR="00EB5109">
        <w:rPr>
          <w:color w:val="000000"/>
        </w:rPr>
        <w:t>the</w:t>
      </w:r>
      <w:r w:rsidR="004B4540">
        <w:rPr>
          <w:color w:val="000000"/>
        </w:rPr>
        <w:t xml:space="preserve"> </w:t>
      </w:r>
      <w:r w:rsidR="00377754">
        <w:rPr>
          <w:color w:val="000000"/>
        </w:rPr>
        <w:t xml:space="preserve">top </w:t>
      </w:r>
      <w:r w:rsidR="00154B16">
        <w:rPr>
          <w:color w:val="000000"/>
        </w:rPr>
        <w:t>homeowners insurance groups</w:t>
      </w:r>
      <w:r w:rsidR="00377754">
        <w:rPr>
          <w:color w:val="000000"/>
        </w:rPr>
        <w:t xml:space="preserve"> </w:t>
      </w:r>
      <w:r w:rsidRPr="007C69C7" w:rsidR="007C69C7">
        <w:rPr>
          <w:color w:val="000000"/>
        </w:rPr>
        <w:t xml:space="preserve">that have </w:t>
      </w:r>
      <w:r w:rsidR="000B6928">
        <w:rPr>
          <w:color w:val="000000"/>
        </w:rPr>
        <w:t>1</w:t>
      </w:r>
      <w:r w:rsidRPr="007C69C7" w:rsidR="007C69C7">
        <w:rPr>
          <w:color w:val="000000"/>
        </w:rPr>
        <w:t xml:space="preserve"> percent or more of the U.S. homeowners insurance market as measured by aggregate homeowners insurance </w:t>
      </w:r>
      <w:r w:rsidR="00377754">
        <w:rPr>
          <w:color w:val="000000"/>
        </w:rPr>
        <w:t>direct premiums written in 2022</w:t>
      </w:r>
      <w:r w:rsidR="00F81F46">
        <w:rPr>
          <w:color w:val="000000"/>
        </w:rPr>
        <w:t>.</w:t>
      </w:r>
      <w:r w:rsidR="004D34D9">
        <w:rPr>
          <w:color w:val="000000"/>
        </w:rPr>
        <w:t xml:space="preserve">  </w:t>
      </w:r>
      <w:r w:rsidRPr="004D34D9" w:rsidR="004D34D9">
        <w:rPr>
          <w:color w:val="000000"/>
        </w:rPr>
        <w:t>FIO has identified 14 homeowners insurance groups that meet this criterion</w:t>
      </w:r>
      <w:r w:rsidR="004D34D9">
        <w:rPr>
          <w:color w:val="000000"/>
        </w:rPr>
        <w:t>.</w:t>
      </w:r>
    </w:p>
    <w:p w:rsidR="00D470EC" w:rsidRPr="008846FA" w:rsidP="002C7DB7" w14:paraId="068F7E14" w14:textId="6E077DA2">
      <w:pPr>
        <w:spacing w:before="240" w:after="240"/>
        <w:ind w:left="360" w:hanging="360"/>
        <w:rPr>
          <w:b/>
          <w:color w:val="000000"/>
        </w:rPr>
      </w:pPr>
      <w:r w:rsidRPr="008846FA">
        <w:rPr>
          <w:b/>
          <w:color w:val="000000"/>
        </w:rPr>
        <w:t xml:space="preserve">6.  </w:t>
      </w:r>
      <w:r w:rsidR="00D1295F">
        <w:rPr>
          <w:b/>
          <w:color w:val="000000"/>
        </w:rPr>
        <w:t xml:space="preserve"> </w:t>
      </w:r>
      <w:r w:rsidRPr="008846FA">
        <w:rPr>
          <w:b/>
          <w:color w:val="000000"/>
        </w:rPr>
        <w:t xml:space="preserve">Describe the consequences to the Federal program or policy </w:t>
      </w:r>
      <w:r w:rsidRPr="008846FA" w:rsidR="00DF7954">
        <w:rPr>
          <w:b/>
          <w:color w:val="000000"/>
        </w:rPr>
        <w:t>a</w:t>
      </w:r>
      <w:r w:rsidRPr="008846FA" w:rsidR="00E911D1">
        <w:rPr>
          <w:b/>
          <w:color w:val="000000"/>
        </w:rPr>
        <w:t>ct</w:t>
      </w:r>
      <w:r w:rsidRPr="008846FA">
        <w:rPr>
          <w:b/>
          <w:color w:val="000000"/>
        </w:rPr>
        <w:t>ivities if the collection is not conducted or is conducted less frequently.</w:t>
      </w:r>
    </w:p>
    <w:p w:rsidR="006D3728" w:rsidRPr="00611299" w:rsidP="006D3728" w14:paraId="05B38635" w14:textId="330538C4">
      <w:pPr>
        <w:pStyle w:val="CM2"/>
        <w:tabs>
          <w:tab w:val="left" w:pos="720"/>
        </w:tabs>
        <w:spacing w:before="240" w:after="240" w:line="240" w:lineRule="auto"/>
        <w:rPr>
          <w:rFonts w:ascii="Times New Roman" w:hAnsi="Times New Roman"/>
          <w:color w:val="000000"/>
        </w:rPr>
      </w:pPr>
      <w:bookmarkStart w:id="48" w:name="_Hlk148605063"/>
      <w:r>
        <w:rPr>
          <w:rFonts w:ascii="Times New Roman" w:hAnsi="Times New Roman"/>
          <w:color w:val="000000"/>
        </w:rPr>
        <w:t xml:space="preserve">Absent the planned data collection, FIO will be unable to perform the analysis that it has determined is required to respond to </w:t>
      </w:r>
      <w:r w:rsidRPr="00611299">
        <w:rPr>
          <w:rFonts w:ascii="Times New Roman" w:hAnsi="Times New Roman"/>
          <w:color w:val="000000"/>
        </w:rPr>
        <w:t>EO 14030</w:t>
      </w:r>
      <w:r>
        <w:rPr>
          <w:rFonts w:ascii="Times New Roman" w:hAnsi="Times New Roman"/>
          <w:color w:val="000000"/>
        </w:rPr>
        <w:t xml:space="preserve"> </w:t>
      </w:r>
      <w:r w:rsidRPr="00611299">
        <w:rPr>
          <w:rFonts w:ascii="Times New Roman" w:hAnsi="Times New Roman"/>
          <w:color w:val="000000"/>
        </w:rPr>
        <w:t xml:space="preserve">and </w:t>
      </w:r>
      <w:r>
        <w:rPr>
          <w:rFonts w:ascii="Times New Roman" w:hAnsi="Times New Roman"/>
          <w:color w:val="000000"/>
        </w:rPr>
        <w:t xml:space="preserve">to advance its </w:t>
      </w:r>
      <w:r w:rsidRPr="00611299">
        <w:rPr>
          <w:rFonts w:ascii="Times New Roman" w:hAnsi="Times New Roman"/>
          <w:color w:val="000000"/>
        </w:rPr>
        <w:t xml:space="preserve">statutory </w:t>
      </w:r>
      <w:r>
        <w:rPr>
          <w:rFonts w:ascii="Times New Roman" w:hAnsi="Times New Roman"/>
          <w:color w:val="000000"/>
        </w:rPr>
        <w:t>mandate</w:t>
      </w:r>
      <w:r w:rsidR="005B5971">
        <w:rPr>
          <w:rFonts w:ascii="Times New Roman" w:hAnsi="Times New Roman"/>
          <w:color w:val="000000"/>
        </w:rPr>
        <w:t>s</w:t>
      </w:r>
      <w:r w:rsidRPr="00611299">
        <w:rPr>
          <w:rFonts w:ascii="Times New Roman" w:hAnsi="Times New Roman"/>
          <w:color w:val="000000"/>
        </w:rPr>
        <w:t xml:space="preserve">.  </w:t>
      </w:r>
      <w:r>
        <w:rPr>
          <w:rFonts w:ascii="Times New Roman" w:hAnsi="Times New Roman"/>
          <w:color w:val="000000"/>
        </w:rPr>
        <w:t>FIO needs the identified data to support its ability to conduct and publish</w:t>
      </w:r>
      <w:r w:rsidR="00F403D7">
        <w:rPr>
          <w:rFonts w:ascii="Times New Roman" w:hAnsi="Times New Roman"/>
          <w:color w:val="000000"/>
        </w:rPr>
        <w:t xml:space="preserve"> its</w:t>
      </w:r>
      <w:r>
        <w:rPr>
          <w:rFonts w:ascii="Times New Roman" w:hAnsi="Times New Roman"/>
          <w:color w:val="000000"/>
        </w:rPr>
        <w:t xml:space="preserve"> analys</w:t>
      </w:r>
      <w:r w:rsidR="00F403D7">
        <w:rPr>
          <w:rFonts w:ascii="Times New Roman" w:hAnsi="Times New Roman"/>
          <w:color w:val="000000"/>
        </w:rPr>
        <w:t>e</w:t>
      </w:r>
      <w:r>
        <w:rPr>
          <w:rFonts w:ascii="Times New Roman" w:hAnsi="Times New Roman"/>
          <w:color w:val="000000"/>
        </w:rPr>
        <w:t>s of</w:t>
      </w:r>
      <w:r w:rsidRPr="00611299">
        <w:rPr>
          <w:rFonts w:ascii="Times New Roman" w:hAnsi="Times New Roman"/>
          <w:color w:val="000000"/>
        </w:rPr>
        <w:t xml:space="preserve"> the potential for major disruptions of private insurance coverage in regions of the country particularly vulnerable to climate change impacts</w:t>
      </w:r>
      <w:r w:rsidR="009E6C6E">
        <w:rPr>
          <w:rFonts w:ascii="Times New Roman" w:hAnsi="Times New Roman"/>
          <w:color w:val="000000"/>
        </w:rPr>
        <w:t xml:space="preserve">, </w:t>
      </w:r>
      <w:bookmarkStart w:id="49" w:name="_Hlk148626088"/>
      <w:r w:rsidR="00580CD8">
        <w:rPr>
          <w:rFonts w:ascii="Times New Roman" w:hAnsi="Times New Roman"/>
          <w:color w:val="000000"/>
        </w:rPr>
        <w:t xml:space="preserve">and </w:t>
      </w:r>
      <w:bookmarkEnd w:id="49"/>
      <w:r w:rsidR="009E6C6E">
        <w:rPr>
          <w:rFonts w:ascii="Times New Roman" w:hAnsi="Times New Roman"/>
          <w:color w:val="000000"/>
        </w:rPr>
        <w:t xml:space="preserve">to </w:t>
      </w:r>
      <w:r w:rsidR="00317ED0">
        <w:rPr>
          <w:rFonts w:ascii="Times New Roman" w:hAnsi="Times New Roman"/>
          <w:color w:val="000000"/>
        </w:rPr>
        <w:t>advance</w:t>
      </w:r>
      <w:r w:rsidR="009E6C6E">
        <w:rPr>
          <w:rFonts w:ascii="Times New Roman" w:hAnsi="Times New Roman"/>
          <w:color w:val="000000"/>
        </w:rPr>
        <w:t xml:space="preserve"> its statutory mandates</w:t>
      </w:r>
      <w:r w:rsidRPr="00611299">
        <w:rPr>
          <w:rFonts w:ascii="Times New Roman" w:hAnsi="Times New Roman"/>
          <w:color w:val="000000"/>
        </w:rPr>
        <w:t>.</w:t>
      </w:r>
    </w:p>
    <w:bookmarkEnd w:id="48"/>
    <w:p w:rsidR="00D470EC" w:rsidRPr="008846FA" w:rsidP="00700862" w14:paraId="5BC83067" w14:textId="306BA245">
      <w:pPr>
        <w:spacing w:before="240" w:after="240"/>
        <w:ind w:left="360" w:hanging="360"/>
        <w:rPr>
          <w:b/>
          <w:color w:val="000000"/>
        </w:rPr>
      </w:pPr>
      <w:r w:rsidRPr="008846FA">
        <w:rPr>
          <w:b/>
          <w:color w:val="000000"/>
        </w:rPr>
        <w:t xml:space="preserve">7.  </w:t>
      </w:r>
      <w:r w:rsidR="00D1295F">
        <w:rPr>
          <w:b/>
          <w:color w:val="000000"/>
        </w:rPr>
        <w:t xml:space="preserve"> </w:t>
      </w:r>
      <w:r w:rsidRPr="008846FA">
        <w:rPr>
          <w:b/>
          <w:color w:val="000000"/>
        </w:rPr>
        <w:t>Explain any special circumstances that require the collection to be conducted in a manner inconsistent with OMB guidelines.</w:t>
      </w:r>
    </w:p>
    <w:p w:rsidR="00CB2446" w:rsidRPr="00611299" w:rsidP="00A24444" w14:paraId="29F5C7A5" w14:textId="77777777">
      <w:pPr>
        <w:pStyle w:val="Default"/>
        <w:tabs>
          <w:tab w:val="left" w:pos="720"/>
        </w:tabs>
        <w:spacing w:before="240" w:after="240"/>
        <w:rPr>
          <w:rFonts w:ascii="Times New Roman" w:hAnsi="Times New Roman" w:cs="Times New Roman"/>
          <w:color w:val="000000"/>
          <w:sz w:val="24"/>
          <w:szCs w:val="24"/>
        </w:rPr>
      </w:pPr>
      <w:r w:rsidRPr="00611299">
        <w:rPr>
          <w:rFonts w:ascii="Times New Roman" w:hAnsi="Times New Roman" w:cs="Times New Roman"/>
          <w:color w:val="000000"/>
          <w:sz w:val="24"/>
          <w:szCs w:val="24"/>
        </w:rPr>
        <w:t xml:space="preserve">There are no </w:t>
      </w:r>
      <w:r w:rsidRPr="00611299">
        <w:rPr>
          <w:rFonts w:ascii="Times New Roman" w:hAnsi="Times New Roman" w:cs="Times New Roman"/>
          <w:bCs/>
          <w:color w:val="000000"/>
          <w:sz w:val="24"/>
          <w:szCs w:val="24"/>
        </w:rPr>
        <w:t>special circumstances that require the collection to be conducted in a manner inconsistent with OMB guidelines</w:t>
      </w:r>
      <w:r w:rsidRPr="00611299" w:rsidR="00A229D0">
        <w:rPr>
          <w:rFonts w:ascii="Times New Roman" w:hAnsi="Times New Roman" w:cs="Times New Roman"/>
          <w:bCs/>
          <w:color w:val="000000"/>
          <w:sz w:val="24"/>
          <w:szCs w:val="24"/>
        </w:rPr>
        <w:t xml:space="preserve">. </w:t>
      </w:r>
      <w:r w:rsidR="00963701">
        <w:rPr>
          <w:rFonts w:ascii="Times New Roman" w:hAnsi="Times New Roman" w:cs="Times New Roman"/>
          <w:bCs/>
          <w:color w:val="000000"/>
          <w:sz w:val="24"/>
          <w:szCs w:val="24"/>
        </w:rPr>
        <w:t xml:space="preserve"> </w:t>
      </w:r>
      <w:r w:rsidRPr="00611299" w:rsidR="00A229D0">
        <w:rPr>
          <w:rFonts w:ascii="Times New Roman" w:hAnsi="Times New Roman" w:cs="Times New Roman"/>
          <w:bCs/>
          <w:color w:val="000000"/>
          <w:sz w:val="24"/>
          <w:szCs w:val="24"/>
        </w:rPr>
        <w:t xml:space="preserve">Moreover, </w:t>
      </w:r>
      <w:r w:rsidR="00963701">
        <w:rPr>
          <w:rFonts w:ascii="Times New Roman" w:hAnsi="Times New Roman" w:cs="Times New Roman"/>
          <w:bCs/>
          <w:color w:val="000000"/>
          <w:sz w:val="24"/>
          <w:szCs w:val="24"/>
        </w:rPr>
        <w:t>FIO has tailored the</w:t>
      </w:r>
      <w:r w:rsidR="004B4540">
        <w:rPr>
          <w:rFonts w:ascii="Times New Roman" w:hAnsi="Times New Roman" w:cs="Times New Roman"/>
          <w:color w:val="000000"/>
          <w:sz w:val="24"/>
          <w:szCs w:val="24"/>
        </w:rPr>
        <w:t xml:space="preserve"> </w:t>
      </w:r>
      <w:r w:rsidR="006A0939">
        <w:rPr>
          <w:rFonts w:ascii="Times New Roman" w:hAnsi="Times New Roman" w:cs="Times New Roman"/>
          <w:color w:val="000000"/>
          <w:sz w:val="24"/>
          <w:szCs w:val="24"/>
        </w:rPr>
        <w:t>Data Collection Form</w:t>
      </w:r>
      <w:r w:rsidRPr="00611299" w:rsidR="003558DF">
        <w:rPr>
          <w:rFonts w:ascii="Times New Roman" w:hAnsi="Times New Roman" w:cs="Times New Roman"/>
          <w:color w:val="000000"/>
          <w:sz w:val="24"/>
          <w:szCs w:val="24"/>
        </w:rPr>
        <w:t xml:space="preserve"> to be consistent with the manner in which insurers presently </w:t>
      </w:r>
      <w:r w:rsidR="00CE4E54">
        <w:rPr>
          <w:rFonts w:ascii="Times New Roman" w:hAnsi="Times New Roman" w:cs="Times New Roman"/>
          <w:color w:val="000000"/>
          <w:sz w:val="24"/>
          <w:szCs w:val="24"/>
        </w:rPr>
        <w:t>report</w:t>
      </w:r>
      <w:r w:rsidRPr="00611299" w:rsidR="00CE4E54">
        <w:rPr>
          <w:rFonts w:ascii="Times New Roman" w:hAnsi="Times New Roman" w:cs="Times New Roman"/>
          <w:color w:val="000000"/>
          <w:sz w:val="24"/>
          <w:szCs w:val="24"/>
        </w:rPr>
        <w:t xml:space="preserve"> </w:t>
      </w:r>
      <w:r w:rsidRPr="00611299" w:rsidR="003558DF">
        <w:rPr>
          <w:rFonts w:ascii="Times New Roman" w:hAnsi="Times New Roman" w:cs="Times New Roman"/>
          <w:color w:val="000000"/>
          <w:sz w:val="24"/>
          <w:szCs w:val="24"/>
        </w:rPr>
        <w:t>data</w:t>
      </w:r>
      <w:r w:rsidRPr="00080A91" w:rsidR="003558DF">
        <w:rPr>
          <w:rFonts w:ascii="Times New Roman" w:hAnsi="Times New Roman" w:cs="Times New Roman"/>
          <w:color w:val="000000"/>
          <w:sz w:val="24"/>
          <w:szCs w:val="24"/>
        </w:rPr>
        <w:t>.</w:t>
      </w:r>
    </w:p>
    <w:p w:rsidR="00B13A14" w:rsidRPr="0028274B" w:rsidP="00B13A14" w14:paraId="54F8D1D1" w14:textId="5BED1C94">
      <w:pPr>
        <w:keepLines/>
        <w:spacing w:before="240" w:after="240"/>
        <w:ind w:left="360" w:hanging="360"/>
      </w:pPr>
      <w:r w:rsidRPr="0028274B">
        <w:rPr>
          <w:b/>
          <w:color w:val="000000"/>
        </w:rPr>
        <w:t xml:space="preserve">8.  </w:t>
      </w:r>
      <w:r w:rsidR="00D1295F">
        <w:rPr>
          <w:b/>
          <w:color w:val="000000"/>
        </w:rPr>
        <w:t xml:space="preserve"> </w:t>
      </w:r>
      <w:r w:rsidRPr="0028274B">
        <w:rPr>
          <w:b/>
          <w:color w:val="000000"/>
        </w:rPr>
        <w:t xml:space="preserve">Provide a copy of the PRA Federal Register notice that solicited public comments on the information collection prior to this submission.  Summarize the public comments received in response to that notice and describe the </w:t>
      </w:r>
      <w:r>
        <w:rPr>
          <w:b/>
          <w:color w:val="000000"/>
        </w:rPr>
        <w:t>a</w:t>
      </w:r>
      <w:r w:rsidRPr="0028274B">
        <w:rPr>
          <w:b/>
          <w:color w:val="000000"/>
        </w:rPr>
        <w:t>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13A14" w:rsidP="00B13A14" w14:paraId="689626B3" w14:textId="3934E1DB">
      <w:pPr>
        <w:spacing w:before="240" w:after="240"/>
        <w:rPr>
          <w:color w:val="000000"/>
        </w:rPr>
      </w:pPr>
      <w:r w:rsidRPr="00611299">
        <w:rPr>
          <w:color w:val="000000"/>
        </w:rPr>
        <w:t xml:space="preserve">A copy of the </w:t>
      </w:r>
      <w:r>
        <w:rPr>
          <w:color w:val="000000"/>
        </w:rPr>
        <w:t>October 2022 FRN</w:t>
      </w:r>
      <w:r w:rsidRPr="00611299">
        <w:rPr>
          <w:color w:val="000000"/>
        </w:rPr>
        <w:t xml:space="preserve"> is attached</w:t>
      </w:r>
      <w:r>
        <w:rPr>
          <w:color w:val="000000"/>
        </w:rPr>
        <w:t xml:space="preserve"> as Attachment C</w:t>
      </w:r>
      <w:r w:rsidRPr="00611299">
        <w:rPr>
          <w:color w:val="000000"/>
        </w:rPr>
        <w:t>.</w:t>
      </w:r>
    </w:p>
    <w:p w:rsidR="00B13A14" w:rsidP="00B13A14" w14:paraId="635790D2" w14:textId="5643EDEB">
      <w:pPr>
        <w:spacing w:before="240" w:after="240"/>
        <w:rPr>
          <w:color w:val="000000"/>
        </w:rPr>
      </w:pPr>
      <w:r w:rsidRPr="00611299">
        <w:rPr>
          <w:color w:val="000000"/>
        </w:rPr>
        <w:t xml:space="preserve">In response to the </w:t>
      </w:r>
      <w:r>
        <w:rPr>
          <w:color w:val="000000"/>
        </w:rPr>
        <w:t>October 2022 FRN</w:t>
      </w:r>
      <w:r w:rsidRPr="00611299">
        <w:rPr>
          <w:color w:val="000000"/>
        </w:rPr>
        <w:t xml:space="preserve">, </w:t>
      </w:r>
      <w:r w:rsidR="00205160">
        <w:rPr>
          <w:color w:val="000000"/>
        </w:rPr>
        <w:t>FIO</w:t>
      </w:r>
      <w:r w:rsidRPr="00611299">
        <w:rPr>
          <w:color w:val="000000"/>
        </w:rPr>
        <w:t xml:space="preserve"> received </w:t>
      </w:r>
      <w:r>
        <w:rPr>
          <w:color w:val="000000"/>
        </w:rPr>
        <w:t xml:space="preserve">35 </w:t>
      </w:r>
      <w:r w:rsidRPr="00611299">
        <w:rPr>
          <w:color w:val="000000"/>
        </w:rPr>
        <w:t>formal written comments</w:t>
      </w:r>
      <w:r>
        <w:rPr>
          <w:color w:val="000000"/>
        </w:rPr>
        <w:t xml:space="preserve"> with over 9,400 signatories</w:t>
      </w:r>
      <w:r w:rsidRPr="00611299">
        <w:rPr>
          <w:color w:val="000000"/>
        </w:rPr>
        <w:t xml:space="preserve">.  </w:t>
      </w:r>
      <w:r w:rsidRPr="00600D34">
        <w:t xml:space="preserve">Commenters included individuals, brokers, insurance industry trade associations, </w:t>
      </w:r>
      <w:r w:rsidR="004F2B77">
        <w:t>S</w:t>
      </w:r>
      <w:r>
        <w:t xml:space="preserve">tate </w:t>
      </w:r>
      <w:r w:rsidR="004F2B77">
        <w:t>I</w:t>
      </w:r>
      <w:r>
        <w:t xml:space="preserve">nsurance </w:t>
      </w:r>
      <w:r w:rsidR="004F2B77">
        <w:t>R</w:t>
      </w:r>
      <w:r>
        <w:t xml:space="preserve">egulators, </w:t>
      </w:r>
      <w:r w:rsidRPr="00600D34">
        <w:t xml:space="preserve">public interest groups, consumer advocates, climate </w:t>
      </w:r>
      <w:r>
        <w:t xml:space="preserve">and environmental </w:t>
      </w:r>
      <w:r w:rsidRPr="00600D34">
        <w:t xml:space="preserve">groups, and others. </w:t>
      </w:r>
      <w:r>
        <w:t xml:space="preserve"> </w:t>
      </w:r>
      <w:r>
        <w:rPr>
          <w:color w:val="000000"/>
        </w:rPr>
        <w:t>Most of t</w:t>
      </w:r>
      <w:r w:rsidRPr="00611299">
        <w:rPr>
          <w:color w:val="000000"/>
        </w:rPr>
        <w:t xml:space="preserve">hose comments </w:t>
      </w:r>
      <w:r>
        <w:rPr>
          <w:color w:val="000000"/>
        </w:rPr>
        <w:t>included suggestions related to the scope and methodology of the data collection and analysis.</w:t>
      </w:r>
    </w:p>
    <w:p w:rsidR="006D3728" w:rsidP="006D3728" w14:paraId="471F3620" w14:textId="19E31A65">
      <w:pPr>
        <w:spacing w:before="240" w:after="240"/>
        <w:rPr>
          <w:color w:val="000000"/>
        </w:rPr>
      </w:pPr>
      <w:bookmarkStart w:id="50" w:name="_Hlk148605078"/>
      <w:r>
        <w:t xml:space="preserve">Following the close of the comment period on December 20, 2022, FIO </w:t>
      </w:r>
      <w:r w:rsidR="007E2D73">
        <w:t>met with</w:t>
      </w:r>
      <w:r w:rsidR="003A53FF">
        <w:t xml:space="preserve"> </w:t>
      </w:r>
      <w:r w:rsidR="009E6C6E">
        <w:t xml:space="preserve">numerous </w:t>
      </w:r>
      <w:r>
        <w:t>commenters</w:t>
      </w:r>
      <w:r>
        <w:t xml:space="preserve">, </w:t>
      </w:r>
      <w:r>
        <w:t xml:space="preserve">including the NAIC, </w:t>
      </w:r>
      <w:r w:rsidR="007E2D73">
        <w:t>some</w:t>
      </w:r>
      <w:r>
        <w:t xml:space="preserve"> </w:t>
      </w:r>
      <w:r w:rsidR="004F2B77">
        <w:t>S</w:t>
      </w:r>
      <w:r>
        <w:t xml:space="preserve">tate </w:t>
      </w:r>
      <w:r w:rsidR="004F2B77">
        <w:t>I</w:t>
      </w:r>
      <w:r>
        <w:t xml:space="preserve">nsurance </w:t>
      </w:r>
      <w:r w:rsidR="004F2B77">
        <w:t>R</w:t>
      </w:r>
      <w:r>
        <w:t xml:space="preserve">egulators, </w:t>
      </w:r>
      <w:r w:rsidR="006B2FC4">
        <w:t>large writers of homeow</w:t>
      </w:r>
      <w:r w:rsidR="00B808A0">
        <w:t>n</w:t>
      </w:r>
      <w:r w:rsidR="006B2FC4">
        <w:t xml:space="preserve">ers multi-peril insurance, and </w:t>
      </w:r>
      <w:r w:rsidR="007D4808">
        <w:t>consumer and environmental groups</w:t>
      </w:r>
      <w:r w:rsidR="007E2D73">
        <w:t xml:space="preserve"> </w:t>
      </w:r>
      <w:r>
        <w:t xml:space="preserve">to discuss their views concerning the proposed data collection.  </w:t>
      </w:r>
      <w:bookmarkEnd w:id="50"/>
      <w:r>
        <w:t xml:space="preserve">FIO met with representatives of </w:t>
      </w:r>
      <w:r w:rsidR="00BF1A51">
        <w:t>a significant number of</w:t>
      </w:r>
      <w:r>
        <w:t xml:space="preserve"> organizations, including the NAIC and </w:t>
      </w:r>
      <w:r w:rsidR="004F2B77">
        <w:t>S</w:t>
      </w:r>
      <w:r>
        <w:t xml:space="preserve">tate </w:t>
      </w:r>
      <w:r w:rsidR="004F2B77">
        <w:t>Insurance R</w:t>
      </w:r>
      <w:r>
        <w:t>egulators</w:t>
      </w:r>
      <w:r w:rsidR="00963A7F">
        <w:t xml:space="preserve"> on numerous occasions</w:t>
      </w:r>
      <w:r>
        <w:t xml:space="preserve">, to further discuss the proposed data collection.  In addition, FIO </w:t>
      </w:r>
      <w:r w:rsidR="00BC6052">
        <w:t>discussed the proposed data collection during</w:t>
      </w:r>
      <w:r>
        <w:t xml:space="preserve"> two public meetings of the Federal Advisory Committee on Insurance (FACI) </w:t>
      </w:r>
      <w:r w:rsidR="00DF43DD">
        <w:t xml:space="preserve">and </w:t>
      </w:r>
      <w:r w:rsidR="00BC6052">
        <w:t xml:space="preserve">at </w:t>
      </w:r>
      <w:r w:rsidR="00DF43DD">
        <w:t xml:space="preserve">FACI </w:t>
      </w:r>
      <w:r>
        <w:t xml:space="preserve">Climate Subcommittee </w:t>
      </w:r>
      <w:r w:rsidR="006B29D4">
        <w:t>meetings</w:t>
      </w:r>
      <w:r w:rsidR="00B808A0">
        <w:t>.</w:t>
      </w:r>
    </w:p>
    <w:p w:rsidR="00B13A14" w:rsidP="00B13A14" w14:paraId="23731D25" w14:textId="1FC57168">
      <w:pPr>
        <w:spacing w:before="240" w:after="240"/>
        <w:rPr>
          <w:color w:val="000000"/>
        </w:rPr>
      </w:pPr>
      <w:r>
        <w:rPr>
          <w:color w:val="000000"/>
        </w:rPr>
        <w:t xml:space="preserve">In general, public interest groups, consumer advocates, and climate and environmental groups encouraged FIO to expand the scope of its proposed data collection; brokers, insurance trade associations, and insurers raised concerns around burden and lack of consistency in requested fields; and </w:t>
      </w:r>
      <w:r w:rsidR="004F2B77">
        <w:rPr>
          <w:color w:val="000000"/>
        </w:rPr>
        <w:t>S</w:t>
      </w:r>
      <w:r>
        <w:rPr>
          <w:color w:val="000000"/>
        </w:rPr>
        <w:t xml:space="preserve">tate </w:t>
      </w:r>
      <w:r w:rsidR="004F2B77">
        <w:rPr>
          <w:color w:val="000000"/>
        </w:rPr>
        <w:t>I</w:t>
      </w:r>
      <w:r>
        <w:rPr>
          <w:color w:val="000000"/>
        </w:rPr>
        <w:t xml:space="preserve">nsurance </w:t>
      </w:r>
      <w:r w:rsidR="004F2B77">
        <w:rPr>
          <w:color w:val="000000"/>
        </w:rPr>
        <w:t>R</w:t>
      </w:r>
      <w:r>
        <w:rPr>
          <w:color w:val="000000"/>
        </w:rPr>
        <w:t xml:space="preserve">egulators and </w:t>
      </w:r>
      <w:bookmarkStart w:id="51" w:name="_Hlk148605087"/>
      <w:r>
        <w:rPr>
          <w:color w:val="000000"/>
        </w:rPr>
        <w:t xml:space="preserve">the NAIC raised concerns </w:t>
      </w:r>
      <w:r w:rsidR="00871580">
        <w:rPr>
          <w:color w:val="000000"/>
        </w:rPr>
        <w:t xml:space="preserve">and questions </w:t>
      </w:r>
      <w:r>
        <w:rPr>
          <w:color w:val="000000"/>
        </w:rPr>
        <w:t>about FIO’s compliance with the FIO Act’s coordination requirements and with FIO’s planned analysis.</w:t>
      </w:r>
      <w:bookmarkEnd w:id="51"/>
    </w:p>
    <w:p w:rsidR="00B13A14" w:rsidRPr="00080A91" w:rsidP="00B13A14" w14:paraId="1231DD5A" w14:textId="32F9A403">
      <w:pPr>
        <w:spacing w:before="240" w:after="240"/>
      </w:pPr>
      <w:bookmarkStart w:id="52" w:name="_Hlk148605101"/>
      <w:bookmarkStart w:id="53" w:name="_Hlk129691760"/>
      <w:r w:rsidRPr="00CD4FD5">
        <w:rPr>
          <w:color w:val="000000"/>
        </w:rPr>
        <w:t>To address the concerns raised—as well as to narrow the scope of the initial data collection—the</w:t>
      </w:r>
      <w:r>
        <w:rPr>
          <w:color w:val="000000"/>
        </w:rPr>
        <w:t xml:space="preserve"> data collection described in this Supporting Statement reflects changes FIO has made to the proposed data collection outlined in the October 2022 FRN while still allowing FIO to fulfill its objectives described above.  </w:t>
      </w:r>
      <w:bookmarkEnd w:id="52"/>
      <w:r w:rsidRPr="00F26EDD">
        <w:rPr>
          <w:rFonts w:eastAsiaTheme="minorEastAsia"/>
        </w:rPr>
        <w:t xml:space="preserve">Figure 1 </w:t>
      </w:r>
      <w:bookmarkStart w:id="54" w:name="_Hlk148605114"/>
      <w:r w:rsidRPr="00527ED1">
        <w:rPr>
          <w:rFonts w:eastAsiaTheme="minorEastAsia"/>
        </w:rPr>
        <w:t xml:space="preserve">describes the initial proposed scope and FIO’s changes based in </w:t>
      </w:r>
      <w:r>
        <w:rPr>
          <w:rFonts w:eastAsiaTheme="minorEastAsia"/>
        </w:rPr>
        <w:t xml:space="preserve">substantial </w:t>
      </w:r>
      <w:r w:rsidRPr="00527ED1">
        <w:rPr>
          <w:rFonts w:eastAsiaTheme="minorEastAsia"/>
        </w:rPr>
        <w:t>part on stakeholder</w:t>
      </w:r>
      <w:r w:rsidRPr="00F26EDD">
        <w:rPr>
          <w:rFonts w:eastAsiaTheme="minorEastAsia"/>
        </w:rPr>
        <w:t xml:space="preserve"> feedback.  </w:t>
      </w:r>
      <w:r w:rsidRPr="00611299">
        <w:rPr>
          <w:color w:val="000000"/>
        </w:rPr>
        <w:t xml:space="preserve">The </w:t>
      </w:r>
      <w:r>
        <w:rPr>
          <w:color w:val="000000"/>
        </w:rPr>
        <w:t xml:space="preserve">public comments and stakeholder engagement </w:t>
      </w:r>
      <w:r w:rsidRPr="00611299">
        <w:rPr>
          <w:color w:val="000000"/>
        </w:rPr>
        <w:t xml:space="preserve">provided </w:t>
      </w:r>
      <w:r>
        <w:rPr>
          <w:color w:val="000000"/>
        </w:rPr>
        <w:t>FIO</w:t>
      </w:r>
      <w:r w:rsidRPr="00611299">
        <w:rPr>
          <w:color w:val="000000"/>
        </w:rPr>
        <w:t xml:space="preserve"> with significant information concerning the types of data that are available from </w:t>
      </w:r>
      <w:r>
        <w:rPr>
          <w:color w:val="000000"/>
        </w:rPr>
        <w:t>the Representative Sample Insurers</w:t>
      </w:r>
      <w:r w:rsidRPr="00611299">
        <w:rPr>
          <w:color w:val="000000"/>
        </w:rPr>
        <w:t xml:space="preserve">, as well as ways to request the data in order for the data requests to be consistent with existing systems and to yield </w:t>
      </w:r>
      <w:r>
        <w:rPr>
          <w:color w:val="000000"/>
        </w:rPr>
        <w:t>comparable</w:t>
      </w:r>
      <w:r w:rsidRPr="00611299">
        <w:rPr>
          <w:color w:val="000000"/>
        </w:rPr>
        <w:t xml:space="preserve"> information </w:t>
      </w:r>
      <w:r>
        <w:rPr>
          <w:color w:val="000000"/>
        </w:rPr>
        <w:t xml:space="preserve">for the data fields </w:t>
      </w:r>
      <w:r w:rsidRPr="00611299">
        <w:rPr>
          <w:color w:val="000000"/>
        </w:rPr>
        <w:t>that FIO</w:t>
      </w:r>
      <w:r>
        <w:rPr>
          <w:color w:val="000000"/>
        </w:rPr>
        <w:t xml:space="preserve"> is seeking</w:t>
      </w:r>
      <w:r w:rsidRPr="00611299">
        <w:rPr>
          <w:color w:val="000000"/>
        </w:rPr>
        <w:t xml:space="preserve">.  </w:t>
      </w:r>
      <w:r>
        <w:rPr>
          <w:color w:val="000000"/>
        </w:rPr>
        <w:t xml:space="preserve">FIO believes that the narrower focus </w:t>
      </w:r>
      <w:r w:rsidR="00BC6052">
        <w:rPr>
          <w:color w:val="000000"/>
        </w:rPr>
        <w:t>of this collection</w:t>
      </w:r>
      <w:r>
        <w:rPr>
          <w:color w:val="000000"/>
        </w:rPr>
        <w:t xml:space="preserve"> will improve data consistency and homogeneity and reduce the burden on the responding insurers.  </w:t>
      </w:r>
      <w:r w:rsidRPr="00611299">
        <w:rPr>
          <w:color w:val="000000"/>
        </w:rPr>
        <w:t xml:space="preserve">Consistent with </w:t>
      </w:r>
      <w:r>
        <w:rPr>
          <w:color w:val="000000"/>
        </w:rPr>
        <w:t>its</w:t>
      </w:r>
      <w:r w:rsidRPr="00611299">
        <w:rPr>
          <w:color w:val="000000"/>
        </w:rPr>
        <w:t xml:space="preserve"> prior </w:t>
      </w:r>
      <w:r w:rsidR="00C57103">
        <w:rPr>
          <w:color w:val="000000"/>
        </w:rPr>
        <w:t>work</w:t>
      </w:r>
      <w:r w:rsidRPr="00611299" w:rsidR="00C57103">
        <w:rPr>
          <w:color w:val="000000"/>
        </w:rPr>
        <w:t xml:space="preserve"> </w:t>
      </w:r>
      <w:r w:rsidRPr="00611299">
        <w:rPr>
          <w:color w:val="000000"/>
        </w:rPr>
        <w:t xml:space="preserve">and </w:t>
      </w:r>
      <w:r>
        <w:rPr>
          <w:color w:val="000000"/>
        </w:rPr>
        <w:t xml:space="preserve">as augmented by the comments and this additional </w:t>
      </w:r>
      <w:r w:rsidRPr="00611299">
        <w:rPr>
          <w:color w:val="000000"/>
        </w:rPr>
        <w:t xml:space="preserve">outreach, FIO </w:t>
      </w:r>
      <w:r>
        <w:rPr>
          <w:color w:val="000000"/>
        </w:rPr>
        <w:t xml:space="preserve">will </w:t>
      </w:r>
      <w:r w:rsidRPr="00611299">
        <w:rPr>
          <w:color w:val="000000"/>
        </w:rPr>
        <w:t xml:space="preserve">request information on a nationwide, </w:t>
      </w:r>
      <w:r>
        <w:rPr>
          <w:color w:val="000000"/>
        </w:rPr>
        <w:t>ZIP Code</w:t>
      </w:r>
      <w:r w:rsidRPr="00611299">
        <w:rPr>
          <w:color w:val="000000"/>
        </w:rPr>
        <w:t xml:space="preserve"> basis,</w:t>
      </w:r>
      <w:r>
        <w:rPr>
          <w:color w:val="000000"/>
        </w:rPr>
        <w:t xml:space="preserve"> as outlined in the Data Collection Form</w:t>
      </w:r>
      <w:r w:rsidRPr="00611299">
        <w:rPr>
          <w:color w:val="000000"/>
        </w:rPr>
        <w:t>.</w:t>
      </w:r>
      <w:bookmarkEnd w:id="54"/>
    </w:p>
    <w:p w:rsidR="00F26EDD" w:rsidRPr="00F26EDD" w:rsidP="00080A91" w14:paraId="1E056F0F" w14:textId="297A4380">
      <w:pPr>
        <w:keepNext/>
        <w:spacing w:before="240" w:after="240"/>
        <w:jc w:val="center"/>
        <w:rPr>
          <w:rFonts w:eastAsiaTheme="minorHAnsi" w:cstheme="minorBidi"/>
          <w:b/>
        </w:rPr>
      </w:pPr>
      <w:bookmarkStart w:id="55" w:name="_Hlk143590505"/>
      <w:bookmarkStart w:id="56" w:name="_Hlk147436468"/>
      <w:r w:rsidRPr="00F26EDD">
        <w:rPr>
          <w:rFonts w:eastAsiaTheme="minorHAnsi" w:cstheme="minorBidi"/>
          <w:b/>
        </w:rPr>
        <w:t xml:space="preserve">Figure </w:t>
      </w:r>
      <w:r w:rsidR="004C6362">
        <w:rPr>
          <w:rFonts w:eastAsiaTheme="minorHAnsi" w:cstheme="minorBidi"/>
          <w:b/>
        </w:rPr>
        <w:fldChar w:fldCharType="begin"/>
      </w:r>
      <w:r w:rsidR="004C6362">
        <w:rPr>
          <w:rFonts w:eastAsiaTheme="minorHAnsi" w:cstheme="minorBidi"/>
          <w:b/>
        </w:rPr>
        <w:instrText xml:space="preserve"> SEQ Figure \* ARABIC </w:instrText>
      </w:r>
      <w:r w:rsidR="004C6362">
        <w:rPr>
          <w:rFonts w:eastAsiaTheme="minorHAnsi" w:cstheme="minorBidi"/>
          <w:b/>
        </w:rPr>
        <w:fldChar w:fldCharType="separate"/>
      </w:r>
      <w:r w:rsidR="00185EEB">
        <w:rPr>
          <w:rFonts w:eastAsiaTheme="minorHAnsi" w:cstheme="minorBidi"/>
          <w:b/>
          <w:noProof/>
        </w:rPr>
        <w:t>1</w:t>
      </w:r>
      <w:r w:rsidR="004C6362">
        <w:rPr>
          <w:rFonts w:eastAsiaTheme="minorHAnsi" w:cstheme="minorBidi"/>
          <w:b/>
        </w:rPr>
        <w:fldChar w:fldCharType="end"/>
      </w:r>
      <w:r w:rsidRPr="00F26EDD">
        <w:rPr>
          <w:rFonts w:eastAsiaTheme="minorHAnsi" w:cstheme="minorBidi"/>
          <w:b/>
        </w:rPr>
        <w:t xml:space="preserve">: Changes </w:t>
      </w:r>
      <w:r>
        <w:rPr>
          <w:rFonts w:eastAsiaTheme="minorHAnsi" w:cstheme="minorBidi"/>
          <w:b/>
        </w:rPr>
        <w:t>to</w:t>
      </w:r>
      <w:r w:rsidRPr="00F26EDD">
        <w:rPr>
          <w:rFonts w:eastAsiaTheme="minorHAnsi" w:cstheme="minorBidi"/>
          <w:b/>
        </w:rPr>
        <w:t xml:space="preserve"> </w:t>
      </w:r>
      <w:r>
        <w:rPr>
          <w:rFonts w:eastAsiaTheme="minorHAnsi" w:cstheme="minorBidi"/>
          <w:b/>
        </w:rPr>
        <w:t xml:space="preserve">FIO’s </w:t>
      </w:r>
      <w:r w:rsidRPr="00F26EDD">
        <w:rPr>
          <w:rFonts w:eastAsiaTheme="minorHAnsi" w:cstheme="minorBidi"/>
          <w:b/>
        </w:rPr>
        <w:t>Data C</w:t>
      </w:r>
      <w:r>
        <w:rPr>
          <w:rFonts w:eastAsiaTheme="minorHAnsi" w:cstheme="minorBidi"/>
          <w:b/>
        </w:rPr>
        <w:t>ollection</w:t>
      </w:r>
    </w:p>
    <w:tbl>
      <w:tblPr>
        <w:tblStyle w:val="PlainTable2"/>
        <w:tblW w:w="9450" w:type="dxa"/>
        <w:tblLook w:val="04A0"/>
      </w:tblPr>
      <w:tblGrid>
        <w:gridCol w:w="1890"/>
        <w:gridCol w:w="3780"/>
        <w:gridCol w:w="3780"/>
      </w:tblGrid>
      <w:tr w14:paraId="333B5CCE" w14:textId="77777777" w:rsidTr="00E8142E">
        <w:tblPrEx>
          <w:tblW w:w="9450" w:type="dxa"/>
          <w:tblLook w:val="04A0"/>
        </w:tblPrEx>
        <w:trPr>
          <w:tblHeader/>
        </w:trPr>
        <w:tc>
          <w:tcPr>
            <w:tcW w:w="0" w:type="dxa"/>
            <w:vAlign w:val="bottom"/>
          </w:tcPr>
          <w:bookmarkEnd w:id="55"/>
          <w:p w:rsidR="00B13A14" w:rsidRPr="003307B5" w:rsidP="00C5435C" w14:paraId="5182501D" w14:textId="77777777">
            <w:pPr>
              <w:keepNext/>
              <w:rPr>
                <w:rFonts w:ascii="Times New Roman" w:eastAsia="Calibri" w:hAnsi="Times New Roman" w:cs="Times New Roman"/>
                <w:sz w:val="20"/>
                <w:szCs w:val="20"/>
              </w:rPr>
            </w:pPr>
            <w:r w:rsidRPr="003307B5">
              <w:rPr>
                <w:rFonts w:ascii="Times New Roman" w:eastAsia="Calibri" w:hAnsi="Times New Roman" w:cs="Times New Roman"/>
                <w:sz w:val="20"/>
                <w:szCs w:val="20"/>
              </w:rPr>
              <w:t>Key Elements</w:t>
            </w:r>
          </w:p>
        </w:tc>
        <w:tc>
          <w:tcPr>
            <w:tcW w:w="0" w:type="dxa"/>
            <w:vAlign w:val="bottom"/>
          </w:tcPr>
          <w:p w:rsidR="00B13A14" w:rsidRPr="003307B5" w:rsidP="00C5435C" w14:paraId="0F48552F" w14:textId="77777777">
            <w:pPr>
              <w:keepNext/>
              <w:rPr>
                <w:rFonts w:ascii="Times New Roman" w:eastAsia="Calibri" w:hAnsi="Times New Roman" w:cs="Times New Roman"/>
                <w:sz w:val="20"/>
                <w:szCs w:val="20"/>
              </w:rPr>
            </w:pPr>
            <w:r w:rsidRPr="003307B5">
              <w:rPr>
                <w:rFonts w:ascii="Times New Roman" w:eastAsia="Calibri" w:hAnsi="Times New Roman" w:cs="Times New Roman"/>
                <w:sz w:val="20"/>
                <w:szCs w:val="20"/>
              </w:rPr>
              <w:t>Proposed Scope in October 2022 FRN</w:t>
            </w:r>
          </w:p>
        </w:tc>
        <w:tc>
          <w:tcPr>
            <w:tcW w:w="0" w:type="dxa"/>
            <w:vAlign w:val="bottom"/>
          </w:tcPr>
          <w:p w:rsidR="00B13A14" w:rsidRPr="003307B5" w:rsidP="00C5435C" w14:paraId="64F8AE16" w14:textId="77777777">
            <w:pPr>
              <w:keepNext/>
              <w:rPr>
                <w:rFonts w:ascii="Times New Roman" w:eastAsia="Calibri" w:hAnsi="Times New Roman" w:cs="Times New Roman"/>
                <w:sz w:val="20"/>
                <w:szCs w:val="20"/>
              </w:rPr>
            </w:pPr>
            <w:r w:rsidRPr="003307B5">
              <w:rPr>
                <w:rFonts w:ascii="Times New Roman" w:eastAsia="Calibri" w:hAnsi="Times New Roman" w:cs="Times New Roman"/>
                <w:sz w:val="20"/>
                <w:szCs w:val="20"/>
              </w:rPr>
              <w:t>Summary of Changes</w:t>
            </w:r>
          </w:p>
        </w:tc>
      </w:tr>
      <w:tr w14:paraId="0907EA65" w14:textId="77777777" w:rsidTr="0092140A">
        <w:tblPrEx>
          <w:tblW w:w="9450" w:type="dxa"/>
          <w:tblLook w:val="04A0"/>
        </w:tblPrEx>
        <w:tc>
          <w:tcPr>
            <w:tcW w:w="1890" w:type="dxa"/>
          </w:tcPr>
          <w:p w:rsidR="00B13A14" w:rsidRPr="003307B5" w:rsidP="00DB7F6F" w14:paraId="07642A60" w14:textId="77777777">
            <w:pPr>
              <w:keepNext/>
              <w:rPr>
                <w:rFonts w:ascii="Times New Roman" w:eastAsia="Calibri" w:hAnsi="Times New Roman" w:cs="Times New Roman"/>
                <w:sz w:val="20"/>
                <w:szCs w:val="20"/>
              </w:rPr>
            </w:pPr>
            <w:r w:rsidRPr="003307B5">
              <w:rPr>
                <w:rFonts w:ascii="Times New Roman" w:eastAsia="Calibri" w:hAnsi="Times New Roman" w:cs="Times New Roman"/>
                <w:sz w:val="20"/>
                <w:szCs w:val="20"/>
              </w:rPr>
              <w:t>Underwriting Focus</w:t>
            </w:r>
          </w:p>
        </w:tc>
        <w:tc>
          <w:tcPr>
            <w:tcW w:w="3780" w:type="dxa"/>
          </w:tcPr>
          <w:p w:rsidR="00B13A14" w:rsidRPr="003307B5" w:rsidP="00DB7F6F" w14:paraId="28BA48B1" w14:textId="77777777">
            <w:pPr>
              <w:keepNext/>
              <w:spacing w:after="120"/>
              <w:rPr>
                <w:rFonts w:ascii="Times New Roman" w:eastAsia="Calibri" w:hAnsi="Times New Roman" w:cs="Times New Roman"/>
                <w:sz w:val="20"/>
                <w:szCs w:val="20"/>
              </w:rPr>
            </w:pPr>
            <w:r w:rsidRPr="003307B5">
              <w:rPr>
                <w:rFonts w:ascii="Times New Roman" w:eastAsia="Calibri" w:hAnsi="Times New Roman" w:cs="Times New Roman"/>
                <w:sz w:val="20"/>
                <w:szCs w:val="20"/>
              </w:rPr>
              <w:t>Physical risk from underwriting by P&amp;C insurers, excluding liability risk</w:t>
            </w:r>
            <w:r>
              <w:rPr>
                <w:rStyle w:val="FootnoteReference"/>
                <w:rFonts w:eastAsia="Calibri"/>
                <w:sz w:val="20"/>
                <w:szCs w:val="20"/>
                <w:vertAlign w:val="superscript"/>
              </w:rPr>
              <w:footnoteReference w:id="25"/>
            </w:r>
          </w:p>
        </w:tc>
        <w:tc>
          <w:tcPr>
            <w:tcW w:w="3780" w:type="dxa"/>
          </w:tcPr>
          <w:p w:rsidR="00B13A14" w:rsidRPr="003307B5" w:rsidP="00DB7F6F" w14:paraId="0D838166" w14:textId="77777777">
            <w:pPr>
              <w:keepNext/>
              <w:rPr>
                <w:rFonts w:ascii="Times New Roman" w:eastAsia="Calibri" w:hAnsi="Times New Roman" w:cs="Times New Roman"/>
                <w:i/>
                <w:sz w:val="20"/>
                <w:szCs w:val="20"/>
              </w:rPr>
            </w:pPr>
            <w:r w:rsidRPr="003307B5">
              <w:rPr>
                <w:rFonts w:ascii="Times New Roman" w:eastAsia="Calibri" w:hAnsi="Times New Roman" w:cs="Times New Roman"/>
                <w:i/>
                <w:sz w:val="20"/>
                <w:szCs w:val="20"/>
              </w:rPr>
              <w:t>No changes</w:t>
            </w:r>
          </w:p>
        </w:tc>
      </w:tr>
      <w:tr w14:paraId="01B105DD" w14:textId="77777777" w:rsidTr="0092140A">
        <w:tblPrEx>
          <w:tblW w:w="9450" w:type="dxa"/>
          <w:tblLook w:val="04A0"/>
        </w:tblPrEx>
        <w:tc>
          <w:tcPr>
            <w:tcW w:w="1890" w:type="dxa"/>
          </w:tcPr>
          <w:p w:rsidR="00B13A14" w:rsidRPr="003307B5" w:rsidP="00DB7F6F" w14:paraId="0FB7CAFC" w14:textId="77777777">
            <w:pPr>
              <w:rPr>
                <w:rFonts w:ascii="Times New Roman" w:eastAsia="Calibri" w:hAnsi="Times New Roman" w:cs="Times New Roman"/>
                <w:sz w:val="20"/>
                <w:szCs w:val="20"/>
              </w:rPr>
            </w:pPr>
            <w:r w:rsidRPr="003307B5">
              <w:rPr>
                <w:rFonts w:ascii="Times New Roman" w:eastAsia="Calibri" w:hAnsi="Times New Roman" w:cs="Times New Roman"/>
                <w:sz w:val="20"/>
                <w:szCs w:val="20"/>
              </w:rPr>
              <w:t>Insurance Lines of Business</w:t>
            </w:r>
          </w:p>
        </w:tc>
        <w:tc>
          <w:tcPr>
            <w:tcW w:w="3780" w:type="dxa"/>
          </w:tcPr>
          <w:p w:rsidR="00B13A14" w:rsidRPr="003307B5" w:rsidP="00DB7F6F" w14:paraId="18F2D20F" w14:textId="609EA02D">
            <w:pPr>
              <w:rPr>
                <w:rFonts w:ascii="Times New Roman" w:eastAsia="Calibri" w:hAnsi="Times New Roman" w:cs="Times New Roman"/>
                <w:sz w:val="20"/>
                <w:szCs w:val="20"/>
              </w:rPr>
            </w:pPr>
            <w:r>
              <w:rPr>
                <w:rFonts w:ascii="Times New Roman" w:eastAsia="Calibri" w:hAnsi="Times New Roman" w:cs="Times New Roman"/>
                <w:sz w:val="20"/>
                <w:szCs w:val="20"/>
              </w:rPr>
              <w:t>Homeowners</w:t>
            </w:r>
            <w:r w:rsidRPr="003307B5">
              <w:rPr>
                <w:rFonts w:ascii="Times New Roman" w:eastAsia="Calibri" w:hAnsi="Times New Roman" w:cs="Times New Roman"/>
                <w:sz w:val="20"/>
                <w:szCs w:val="20"/>
              </w:rPr>
              <w:t xml:space="preserve"> </w:t>
            </w:r>
            <w:r w:rsidR="00AA5D7C">
              <w:rPr>
                <w:rFonts w:ascii="Times New Roman" w:eastAsia="Calibri" w:hAnsi="Times New Roman" w:cs="Times New Roman"/>
                <w:sz w:val="20"/>
                <w:szCs w:val="20"/>
              </w:rPr>
              <w:t>M</w:t>
            </w:r>
            <w:r w:rsidRPr="003307B5">
              <w:rPr>
                <w:rFonts w:ascii="Times New Roman" w:eastAsia="Calibri" w:hAnsi="Times New Roman" w:cs="Times New Roman"/>
                <w:sz w:val="20"/>
                <w:szCs w:val="20"/>
              </w:rPr>
              <w:t>ulti-</w:t>
            </w:r>
            <w:r w:rsidR="00AA5D7C">
              <w:rPr>
                <w:rFonts w:ascii="Times New Roman" w:eastAsia="Calibri" w:hAnsi="Times New Roman" w:cs="Times New Roman"/>
                <w:sz w:val="20"/>
                <w:szCs w:val="20"/>
              </w:rPr>
              <w:t>P</w:t>
            </w:r>
            <w:r w:rsidRPr="003307B5">
              <w:rPr>
                <w:rFonts w:ascii="Times New Roman" w:eastAsia="Calibri" w:hAnsi="Times New Roman" w:cs="Times New Roman"/>
                <w:sz w:val="20"/>
                <w:szCs w:val="20"/>
              </w:rPr>
              <w:t xml:space="preserve">eril </w:t>
            </w:r>
            <w:r>
              <w:rPr>
                <w:rFonts w:ascii="Times New Roman" w:eastAsia="Calibri" w:hAnsi="Times New Roman" w:cs="Times New Roman"/>
                <w:sz w:val="20"/>
                <w:szCs w:val="20"/>
              </w:rPr>
              <w:t>with</w:t>
            </w:r>
            <w:r w:rsidRPr="003307B5">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6 form types covering </w:t>
            </w:r>
            <w:r w:rsidRPr="003307B5">
              <w:rPr>
                <w:rFonts w:ascii="Times New Roman" w:eastAsia="Calibri" w:hAnsi="Times New Roman" w:cs="Times New Roman"/>
                <w:sz w:val="20"/>
                <w:szCs w:val="20"/>
              </w:rPr>
              <w:t xml:space="preserve">Mobile </w:t>
            </w:r>
            <w:r>
              <w:rPr>
                <w:rFonts w:ascii="Times New Roman" w:eastAsia="Calibri" w:hAnsi="Times New Roman" w:cs="Times New Roman"/>
                <w:sz w:val="20"/>
                <w:szCs w:val="20"/>
              </w:rPr>
              <w:t>Homeowners</w:t>
            </w:r>
            <w:r w:rsidRPr="003307B5">
              <w:rPr>
                <w:rFonts w:ascii="Times New Roman" w:eastAsia="Calibri" w:hAnsi="Times New Roman" w:cs="Times New Roman"/>
                <w:sz w:val="20"/>
                <w:szCs w:val="20"/>
              </w:rPr>
              <w:t xml:space="preserve">, Owner Occupied </w:t>
            </w:r>
            <w:r>
              <w:rPr>
                <w:rFonts w:ascii="Times New Roman" w:eastAsia="Calibri" w:hAnsi="Times New Roman" w:cs="Times New Roman"/>
                <w:sz w:val="20"/>
                <w:szCs w:val="20"/>
              </w:rPr>
              <w:t>Homeowners</w:t>
            </w:r>
            <w:r w:rsidRPr="003307B5">
              <w:rPr>
                <w:rFonts w:ascii="Times New Roman" w:eastAsia="Calibri" w:hAnsi="Times New Roman" w:cs="Times New Roman"/>
                <w:sz w:val="20"/>
                <w:szCs w:val="20"/>
              </w:rPr>
              <w:t xml:space="preserve">, and Other </w:t>
            </w:r>
            <w:r>
              <w:rPr>
                <w:rFonts w:ascii="Times New Roman" w:eastAsia="Calibri" w:hAnsi="Times New Roman" w:cs="Times New Roman"/>
                <w:sz w:val="20"/>
                <w:szCs w:val="20"/>
              </w:rPr>
              <w:t>Homeowners</w:t>
            </w:r>
            <w:r w:rsidRPr="003307B5">
              <w:rPr>
                <w:rFonts w:ascii="Times New Roman" w:eastAsia="Calibri" w:hAnsi="Times New Roman" w:cs="Times New Roman"/>
                <w:sz w:val="20"/>
                <w:szCs w:val="20"/>
              </w:rPr>
              <w:t xml:space="preserve"> policy form types.</w:t>
            </w:r>
          </w:p>
        </w:tc>
        <w:tc>
          <w:tcPr>
            <w:tcW w:w="3780" w:type="dxa"/>
          </w:tcPr>
          <w:p w:rsidR="00B13A14" w:rsidP="00DB7F6F" w14:paraId="367138E1" w14:textId="0B022332">
            <w:pPr>
              <w:rPr>
                <w:rFonts w:ascii="Times New Roman" w:eastAsia="Calibri" w:hAnsi="Times New Roman" w:cs="Times New Roman"/>
                <w:sz w:val="20"/>
                <w:szCs w:val="20"/>
              </w:rPr>
            </w:pPr>
            <w:r>
              <w:rPr>
                <w:rFonts w:ascii="Times New Roman" w:eastAsia="Calibri" w:hAnsi="Times New Roman" w:cs="Times New Roman"/>
                <w:sz w:val="20"/>
                <w:szCs w:val="20"/>
              </w:rPr>
              <w:t xml:space="preserve">Homeowners </w:t>
            </w:r>
            <w:r w:rsidR="00AA5D7C">
              <w:rPr>
                <w:rFonts w:ascii="Times New Roman" w:eastAsia="Calibri" w:hAnsi="Times New Roman" w:cs="Times New Roman"/>
                <w:sz w:val="20"/>
                <w:szCs w:val="20"/>
              </w:rPr>
              <w:t>M</w:t>
            </w:r>
            <w:r>
              <w:rPr>
                <w:rFonts w:ascii="Times New Roman" w:eastAsia="Calibri" w:hAnsi="Times New Roman" w:cs="Times New Roman"/>
                <w:sz w:val="20"/>
                <w:szCs w:val="20"/>
              </w:rPr>
              <w:t>ulti-</w:t>
            </w:r>
            <w:r w:rsidR="00AA5D7C">
              <w:rPr>
                <w:rFonts w:ascii="Times New Roman" w:eastAsia="Calibri" w:hAnsi="Times New Roman" w:cs="Times New Roman"/>
                <w:sz w:val="20"/>
                <w:szCs w:val="20"/>
              </w:rPr>
              <w:t>P</w:t>
            </w:r>
            <w:r>
              <w:rPr>
                <w:rFonts w:ascii="Times New Roman" w:eastAsia="Calibri" w:hAnsi="Times New Roman" w:cs="Times New Roman"/>
                <w:sz w:val="20"/>
                <w:szCs w:val="20"/>
              </w:rPr>
              <w:t>eril with 1 form type:</w:t>
            </w:r>
          </w:p>
          <w:p w:rsidR="00B13A14" w:rsidRPr="003307B5" w:rsidP="00DB7F6F" w14:paraId="309FE8C1" w14:textId="18A4F929">
            <w:pPr>
              <w:spacing w:after="120"/>
              <w:rPr>
                <w:rFonts w:ascii="Times New Roman" w:eastAsia="Calibri" w:hAnsi="Times New Roman" w:cs="Times New Roman"/>
                <w:sz w:val="20"/>
                <w:szCs w:val="20"/>
              </w:rPr>
            </w:pPr>
            <w:r w:rsidRPr="003307B5">
              <w:rPr>
                <w:rFonts w:ascii="Times New Roman" w:eastAsia="Calibri" w:hAnsi="Times New Roman" w:cs="Times New Roman"/>
                <w:sz w:val="20"/>
                <w:szCs w:val="20"/>
              </w:rPr>
              <w:t>Owner Occupied Homeowners</w:t>
            </w:r>
            <w:r>
              <w:rPr>
                <w:rFonts w:ascii="Times New Roman" w:eastAsia="Calibri" w:hAnsi="Times New Roman" w:cs="Times New Roman"/>
                <w:sz w:val="20"/>
                <w:szCs w:val="20"/>
              </w:rPr>
              <w:t xml:space="preserve"> </w:t>
            </w:r>
            <w:r w:rsidRPr="003307B5">
              <w:rPr>
                <w:rFonts w:ascii="Times New Roman" w:eastAsia="Calibri" w:hAnsi="Times New Roman" w:cs="Times New Roman"/>
                <w:sz w:val="20"/>
                <w:szCs w:val="20"/>
              </w:rPr>
              <w:t>form type HO-3</w:t>
            </w:r>
            <w:r>
              <w:rPr>
                <w:rFonts w:ascii="Times New Roman" w:eastAsia="Calibri" w:hAnsi="Times New Roman" w:cs="Times New Roman"/>
                <w:sz w:val="20"/>
                <w:szCs w:val="20"/>
              </w:rPr>
              <w:t xml:space="preserve">, the </w:t>
            </w:r>
            <w:r w:rsidR="00C415B3">
              <w:rPr>
                <w:rFonts w:ascii="Times New Roman" w:eastAsia="Calibri" w:hAnsi="Times New Roman" w:cs="Times New Roman"/>
                <w:sz w:val="20"/>
                <w:szCs w:val="20"/>
              </w:rPr>
              <w:t xml:space="preserve">most common </w:t>
            </w:r>
            <w:r>
              <w:rPr>
                <w:rFonts w:ascii="Times New Roman" w:eastAsia="Calibri" w:hAnsi="Times New Roman" w:cs="Times New Roman"/>
                <w:sz w:val="20"/>
                <w:szCs w:val="20"/>
              </w:rPr>
              <w:t xml:space="preserve">homeowners policy </w:t>
            </w:r>
            <w:r w:rsidR="00C415B3">
              <w:rPr>
                <w:rFonts w:ascii="Times New Roman" w:eastAsia="Calibri" w:hAnsi="Times New Roman" w:cs="Times New Roman"/>
                <w:sz w:val="20"/>
                <w:szCs w:val="20"/>
              </w:rPr>
              <w:t xml:space="preserve">form </w:t>
            </w:r>
            <w:r>
              <w:rPr>
                <w:rFonts w:ascii="Times New Roman" w:eastAsia="Calibri" w:hAnsi="Times New Roman" w:cs="Times New Roman"/>
                <w:sz w:val="20"/>
                <w:szCs w:val="20"/>
              </w:rPr>
              <w:t>(focused t</w:t>
            </w:r>
            <w:r w:rsidRPr="003307B5">
              <w:rPr>
                <w:rFonts w:ascii="Times New Roman" w:eastAsia="Calibri" w:hAnsi="Times New Roman" w:cs="Times New Roman"/>
                <w:sz w:val="20"/>
                <w:szCs w:val="20"/>
              </w:rPr>
              <w:t>o improve data consistency/ homogeneity and reduce burden</w:t>
            </w:r>
            <w:r>
              <w:rPr>
                <w:rFonts w:ascii="Times New Roman" w:eastAsia="Calibri" w:hAnsi="Times New Roman" w:cs="Times New Roman"/>
                <w:sz w:val="20"/>
                <w:szCs w:val="20"/>
              </w:rPr>
              <w:t>)</w:t>
            </w:r>
          </w:p>
        </w:tc>
      </w:tr>
      <w:tr w14:paraId="68FAC2A4" w14:textId="77777777" w:rsidTr="0092140A">
        <w:tblPrEx>
          <w:tblW w:w="9450" w:type="dxa"/>
          <w:tblLook w:val="04A0"/>
        </w:tblPrEx>
        <w:tc>
          <w:tcPr>
            <w:tcW w:w="1890" w:type="dxa"/>
          </w:tcPr>
          <w:p w:rsidR="00B13A14" w:rsidRPr="003307B5" w:rsidP="00DB7F6F" w14:paraId="7F3AA947" w14:textId="77777777">
            <w:pPr>
              <w:rPr>
                <w:rFonts w:ascii="Times New Roman" w:eastAsia="Calibri" w:hAnsi="Times New Roman" w:cs="Times New Roman"/>
                <w:sz w:val="20"/>
                <w:szCs w:val="20"/>
              </w:rPr>
            </w:pPr>
            <w:r w:rsidRPr="003307B5">
              <w:rPr>
                <w:rFonts w:ascii="Times New Roman" w:eastAsia="Calibri" w:hAnsi="Times New Roman" w:cs="Times New Roman"/>
                <w:sz w:val="20"/>
                <w:szCs w:val="20"/>
              </w:rPr>
              <w:t>Insurers</w:t>
            </w:r>
          </w:p>
        </w:tc>
        <w:tc>
          <w:tcPr>
            <w:tcW w:w="3780" w:type="dxa"/>
          </w:tcPr>
          <w:p w:rsidR="00B13A14" w:rsidP="00185EEB" w14:paraId="087CF944" w14:textId="77777777">
            <w:pPr>
              <w:rPr>
                <w:rFonts w:ascii="Times New Roman" w:hAnsi="Times New Roman" w:cs="Times New Roman"/>
                <w:sz w:val="20"/>
                <w:szCs w:val="20"/>
              </w:rPr>
            </w:pPr>
            <w:r w:rsidRPr="003307B5">
              <w:rPr>
                <w:rFonts w:ascii="Times New Roman" w:hAnsi="Times New Roman" w:cs="Times New Roman"/>
                <w:sz w:val="20"/>
                <w:szCs w:val="20"/>
              </w:rPr>
              <w:t xml:space="preserve">Nationwide insurers writing above a premium threshold of $100 million in 2021 </w:t>
            </w:r>
            <w:r>
              <w:rPr>
                <w:rFonts w:ascii="Times New Roman" w:hAnsi="Times New Roman" w:cs="Times New Roman"/>
                <w:sz w:val="20"/>
                <w:szCs w:val="20"/>
              </w:rPr>
              <w:t>homeowners</w:t>
            </w:r>
            <w:r w:rsidRPr="003307B5">
              <w:rPr>
                <w:rFonts w:ascii="Times New Roman" w:hAnsi="Times New Roman" w:cs="Times New Roman"/>
                <w:sz w:val="20"/>
                <w:szCs w:val="20"/>
              </w:rPr>
              <w:t xml:space="preserve"> insurance direct premiums written</w:t>
            </w:r>
          </w:p>
          <w:p w:rsidR="00B13A14" w:rsidRPr="003307B5" w:rsidP="00185EEB" w14:paraId="3D736278" w14:textId="77777777">
            <w:pPr>
              <w:rPr>
                <w:rFonts w:ascii="Times New Roman" w:hAnsi="Times New Roman" w:cs="Times New Roman"/>
                <w:sz w:val="20"/>
                <w:szCs w:val="20"/>
              </w:rPr>
            </w:pPr>
          </w:p>
          <w:p w:rsidR="00B13A14" w:rsidRPr="003307B5" w:rsidP="00185EEB" w14:paraId="0E957B5A" w14:textId="77777777">
            <w:pPr>
              <w:rPr>
                <w:rFonts w:ascii="Times New Roman" w:hAnsi="Times New Roman" w:cs="Times New Roman"/>
                <w:sz w:val="20"/>
                <w:szCs w:val="20"/>
              </w:rPr>
            </w:pPr>
            <w:r w:rsidRPr="003307B5">
              <w:rPr>
                <w:rFonts w:ascii="Times New Roman" w:hAnsi="Times New Roman" w:cs="Times New Roman"/>
                <w:sz w:val="20"/>
                <w:szCs w:val="20"/>
              </w:rPr>
              <w:t>Additional insurers in order to achieve at least an 80</w:t>
            </w:r>
            <w:r>
              <w:rPr>
                <w:rFonts w:ascii="Times New Roman" w:hAnsi="Times New Roman" w:cs="Times New Roman"/>
                <w:sz w:val="20"/>
                <w:szCs w:val="20"/>
              </w:rPr>
              <w:t xml:space="preserve"> percent</w:t>
            </w:r>
            <w:r w:rsidRPr="003307B5">
              <w:rPr>
                <w:rFonts w:ascii="Times New Roman" w:hAnsi="Times New Roman" w:cs="Times New Roman"/>
                <w:sz w:val="20"/>
                <w:szCs w:val="20"/>
              </w:rPr>
              <w:t xml:space="preserve"> market share threshold in each of 10 states that are potentially the most prone to climate-related disasters</w:t>
            </w:r>
          </w:p>
        </w:tc>
        <w:tc>
          <w:tcPr>
            <w:tcW w:w="3780" w:type="dxa"/>
          </w:tcPr>
          <w:p w:rsidR="00B13A14" w:rsidRPr="003307B5" w:rsidP="00DB7F6F" w14:paraId="17A9D270" w14:textId="2C59C4EA">
            <w:pPr>
              <w:spacing w:after="120"/>
              <w:rPr>
                <w:rFonts w:ascii="Times New Roman" w:eastAsia="Calibri" w:hAnsi="Times New Roman" w:cs="Times New Roman"/>
                <w:sz w:val="20"/>
                <w:szCs w:val="20"/>
              </w:rPr>
            </w:pPr>
            <w:r>
              <w:rPr>
                <w:rFonts w:ascii="Times New Roman" w:eastAsia="Calibri" w:hAnsi="Times New Roman" w:cs="Times New Roman"/>
                <w:sz w:val="20"/>
                <w:szCs w:val="20"/>
              </w:rPr>
              <w:t>T</w:t>
            </w:r>
            <w:r w:rsidRPr="003307B5">
              <w:rPr>
                <w:rFonts w:ascii="Times New Roman" w:eastAsia="Calibri" w:hAnsi="Times New Roman" w:cs="Times New Roman"/>
                <w:sz w:val="20"/>
                <w:szCs w:val="20"/>
              </w:rPr>
              <w:t xml:space="preserve">op </w:t>
            </w:r>
            <w:r>
              <w:rPr>
                <w:rFonts w:ascii="Times New Roman" w:eastAsia="Calibri" w:hAnsi="Times New Roman" w:cs="Times New Roman"/>
                <w:sz w:val="20"/>
                <w:szCs w:val="20"/>
              </w:rPr>
              <w:t>nationwide</w:t>
            </w:r>
            <w:r w:rsidRPr="003307B5">
              <w:rPr>
                <w:rFonts w:ascii="Times New Roman" w:eastAsia="Calibri" w:hAnsi="Times New Roman" w:cs="Times New Roman"/>
                <w:sz w:val="20"/>
                <w:szCs w:val="20"/>
              </w:rPr>
              <w:t xml:space="preserve"> homeowners insurance groups</w:t>
            </w:r>
            <w:r>
              <w:rPr>
                <w:rFonts w:ascii="Times New Roman" w:eastAsia="Calibri" w:hAnsi="Times New Roman" w:cs="Times New Roman"/>
                <w:sz w:val="20"/>
                <w:szCs w:val="20"/>
              </w:rPr>
              <w:t xml:space="preserve"> with </w:t>
            </w:r>
            <w:r w:rsidR="00C5435C">
              <w:rPr>
                <w:rFonts w:ascii="Times New Roman" w:eastAsia="Calibri" w:hAnsi="Times New Roman" w:cs="Times New Roman"/>
                <w:sz w:val="20"/>
                <w:szCs w:val="20"/>
              </w:rPr>
              <w:t>1 percent</w:t>
            </w:r>
            <w:r w:rsidR="00C5435C">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or more </w:t>
            </w:r>
            <w:r w:rsidR="00167F19">
              <w:rPr>
                <w:rFonts w:ascii="Times New Roman" w:eastAsia="Calibri" w:hAnsi="Times New Roman" w:cs="Times New Roman"/>
                <w:sz w:val="20"/>
                <w:szCs w:val="20"/>
              </w:rPr>
              <w:t xml:space="preserve">share of the </w:t>
            </w:r>
            <w:r>
              <w:rPr>
                <w:rFonts w:ascii="Times New Roman" w:eastAsia="Calibri" w:hAnsi="Times New Roman" w:cs="Times New Roman"/>
                <w:sz w:val="20"/>
                <w:szCs w:val="20"/>
              </w:rPr>
              <w:t>homeowners insurance market</w:t>
            </w:r>
            <w:r w:rsidRPr="003307B5">
              <w:rPr>
                <w:rFonts w:ascii="Times New Roman" w:eastAsia="Calibri" w:hAnsi="Times New Roman" w:cs="Times New Roman"/>
                <w:sz w:val="20"/>
                <w:szCs w:val="20"/>
              </w:rPr>
              <w:t xml:space="preserve"> based on direct premiums written in 2022 and request data to be aggregated and submitted at an insurance group level for all homeowners insurance entities identified within the group.</w:t>
            </w:r>
            <w:r>
              <w:rPr>
                <w:rFonts w:ascii="Times New Roman" w:eastAsia="Calibri" w:hAnsi="Times New Roman" w:cs="Times New Roman"/>
                <w:sz w:val="20"/>
                <w:szCs w:val="20"/>
              </w:rPr>
              <w:t xml:space="preserve">  FIO has identified 14 homeowners insurance groups with 240 homeowners insurance entities meeting the selection criterion</w:t>
            </w:r>
            <w:r w:rsidR="00CC3F65">
              <w:rPr>
                <w:rFonts w:ascii="Times New Roman" w:eastAsia="Calibri" w:hAnsi="Times New Roman" w:cs="Times New Roman"/>
                <w:sz w:val="20"/>
                <w:szCs w:val="20"/>
              </w:rPr>
              <w:t>.</w:t>
            </w:r>
          </w:p>
        </w:tc>
      </w:tr>
      <w:tr w14:paraId="23E5CA90" w14:textId="77777777" w:rsidTr="0092140A">
        <w:tblPrEx>
          <w:tblW w:w="9450" w:type="dxa"/>
          <w:tblLook w:val="04A0"/>
        </w:tblPrEx>
        <w:tc>
          <w:tcPr>
            <w:tcW w:w="1890" w:type="dxa"/>
          </w:tcPr>
          <w:p w:rsidR="00B13A14" w:rsidRPr="003307B5" w:rsidP="00DB7F6F" w14:paraId="7709F101" w14:textId="77777777">
            <w:pPr>
              <w:rPr>
                <w:rFonts w:ascii="Times New Roman" w:eastAsia="Calibri" w:hAnsi="Times New Roman" w:cs="Times New Roman"/>
                <w:sz w:val="20"/>
                <w:szCs w:val="20"/>
              </w:rPr>
            </w:pPr>
            <w:r w:rsidRPr="003307B5">
              <w:rPr>
                <w:rFonts w:ascii="Times New Roman" w:eastAsia="Calibri" w:hAnsi="Times New Roman" w:cs="Times New Roman"/>
                <w:sz w:val="20"/>
                <w:szCs w:val="20"/>
              </w:rPr>
              <w:t xml:space="preserve">Data </w:t>
            </w:r>
            <w:r>
              <w:rPr>
                <w:rFonts w:ascii="Times New Roman" w:eastAsia="Calibri" w:hAnsi="Times New Roman" w:cs="Times New Roman"/>
                <w:sz w:val="20"/>
                <w:szCs w:val="20"/>
              </w:rPr>
              <w:t>Fields</w:t>
            </w:r>
          </w:p>
        </w:tc>
        <w:tc>
          <w:tcPr>
            <w:tcW w:w="3780" w:type="dxa"/>
          </w:tcPr>
          <w:p w:rsidR="00B13A14" w:rsidRPr="003307B5" w:rsidP="00DB7F6F" w14:paraId="536FB4FD" w14:textId="552553F9">
            <w:pPr>
              <w:rPr>
                <w:rFonts w:ascii="Times New Roman" w:eastAsia="Calibri" w:hAnsi="Times New Roman" w:cs="Times New Roman"/>
                <w:sz w:val="20"/>
                <w:szCs w:val="20"/>
              </w:rPr>
            </w:pPr>
            <w:r w:rsidRPr="003307B5">
              <w:rPr>
                <w:rFonts w:ascii="Times New Roman" w:eastAsia="Calibri" w:hAnsi="Times New Roman" w:cs="Times New Roman"/>
                <w:sz w:val="20"/>
                <w:szCs w:val="20"/>
              </w:rPr>
              <w:t xml:space="preserve">15 data fields covering information regarding claims, premiums, and losses that correspond to data fields reported by U.S. insurers to </w:t>
            </w:r>
            <w:r w:rsidR="004F2B77">
              <w:rPr>
                <w:rFonts w:ascii="Times New Roman" w:eastAsia="Calibri" w:hAnsi="Times New Roman" w:cs="Times New Roman"/>
                <w:sz w:val="20"/>
                <w:szCs w:val="20"/>
              </w:rPr>
              <w:t>S</w:t>
            </w:r>
            <w:r w:rsidRPr="003307B5">
              <w:rPr>
                <w:rFonts w:ascii="Times New Roman" w:eastAsia="Calibri" w:hAnsi="Times New Roman" w:cs="Times New Roman"/>
                <w:sz w:val="20"/>
                <w:szCs w:val="20"/>
              </w:rPr>
              <w:t xml:space="preserve">tate </w:t>
            </w:r>
            <w:r w:rsidR="004F2B77">
              <w:rPr>
                <w:rFonts w:ascii="Times New Roman" w:eastAsia="Calibri" w:hAnsi="Times New Roman" w:cs="Times New Roman"/>
                <w:sz w:val="20"/>
                <w:szCs w:val="20"/>
              </w:rPr>
              <w:t>I</w:t>
            </w:r>
            <w:r w:rsidRPr="003307B5">
              <w:rPr>
                <w:rFonts w:ascii="Times New Roman" w:eastAsia="Calibri" w:hAnsi="Times New Roman" w:cs="Times New Roman"/>
                <w:sz w:val="20"/>
                <w:szCs w:val="20"/>
              </w:rPr>
              <w:t xml:space="preserve">nsurance </w:t>
            </w:r>
            <w:r w:rsidR="004F2B77">
              <w:rPr>
                <w:rFonts w:ascii="Times New Roman" w:eastAsia="Calibri" w:hAnsi="Times New Roman" w:cs="Times New Roman"/>
                <w:sz w:val="20"/>
                <w:szCs w:val="20"/>
              </w:rPr>
              <w:t>R</w:t>
            </w:r>
            <w:r w:rsidRPr="003307B5">
              <w:rPr>
                <w:rFonts w:ascii="Times New Roman" w:eastAsia="Calibri" w:hAnsi="Times New Roman" w:cs="Times New Roman"/>
                <w:sz w:val="20"/>
                <w:szCs w:val="20"/>
              </w:rPr>
              <w:t xml:space="preserve">egulators in annual filings, as well as additional policy </w:t>
            </w:r>
            <w:r w:rsidRPr="003307B5">
              <w:rPr>
                <w:rFonts w:ascii="Times New Roman" w:eastAsia="Calibri" w:hAnsi="Times New Roman" w:cs="Times New Roman"/>
                <w:sz w:val="20"/>
                <w:szCs w:val="20"/>
              </w:rPr>
              <w:t>information not collected on statutory filings</w:t>
            </w:r>
          </w:p>
        </w:tc>
        <w:tc>
          <w:tcPr>
            <w:tcW w:w="3780" w:type="dxa"/>
          </w:tcPr>
          <w:p w:rsidR="00B13A14" w:rsidP="00DB7F6F" w14:paraId="7F7F3109" w14:textId="0340A59F">
            <w:pPr>
              <w:rPr>
                <w:rFonts w:ascii="Times New Roman" w:hAnsi="Times New Roman" w:cs="Times New Roman"/>
                <w:sz w:val="20"/>
                <w:szCs w:val="20"/>
              </w:rPr>
            </w:pPr>
            <w:r w:rsidRPr="003307B5">
              <w:rPr>
                <w:rFonts w:ascii="Times New Roman" w:hAnsi="Times New Roman" w:cs="Times New Roman"/>
                <w:sz w:val="20"/>
                <w:szCs w:val="20"/>
              </w:rPr>
              <w:t xml:space="preserve">7 data fields </w:t>
            </w:r>
            <w:r>
              <w:rPr>
                <w:rFonts w:ascii="Times New Roman" w:hAnsi="Times New Roman" w:cs="Times New Roman"/>
                <w:sz w:val="20"/>
                <w:szCs w:val="20"/>
              </w:rPr>
              <w:t xml:space="preserve">(removing 8 data fields from proposed collection </w:t>
            </w:r>
            <w:r w:rsidRPr="003307B5">
              <w:rPr>
                <w:rFonts w:ascii="Times New Roman" w:hAnsi="Times New Roman" w:cs="Times New Roman"/>
                <w:sz w:val="20"/>
                <w:szCs w:val="20"/>
              </w:rPr>
              <w:t>for which information is substantially similar to other fields, cannot be collected consistently</w:t>
            </w:r>
            <w:r w:rsidR="00C415B3">
              <w:rPr>
                <w:rFonts w:ascii="Times New Roman" w:hAnsi="Times New Roman" w:cs="Times New Roman"/>
                <w:sz w:val="20"/>
                <w:szCs w:val="20"/>
              </w:rPr>
              <w:t xml:space="preserve"> at this time</w:t>
            </w:r>
            <w:r w:rsidRPr="003307B5">
              <w:rPr>
                <w:rFonts w:ascii="Times New Roman" w:hAnsi="Times New Roman" w:cs="Times New Roman"/>
                <w:sz w:val="20"/>
                <w:szCs w:val="20"/>
              </w:rPr>
              <w:t xml:space="preserve">, </w:t>
            </w:r>
            <w:r w:rsidRPr="003307B5">
              <w:rPr>
                <w:rFonts w:ascii="Times New Roman" w:hAnsi="Times New Roman" w:cs="Times New Roman"/>
                <w:sz w:val="20"/>
                <w:szCs w:val="20"/>
              </w:rPr>
              <w:t xml:space="preserve">or is not necessary for </w:t>
            </w:r>
            <w:r>
              <w:rPr>
                <w:rFonts w:ascii="Times New Roman" w:hAnsi="Times New Roman" w:cs="Times New Roman"/>
                <w:sz w:val="20"/>
                <w:szCs w:val="20"/>
              </w:rPr>
              <w:t xml:space="preserve">FIO’s initial </w:t>
            </w:r>
            <w:r w:rsidRPr="003307B5">
              <w:rPr>
                <w:rFonts w:ascii="Times New Roman" w:hAnsi="Times New Roman" w:cs="Times New Roman"/>
                <w:sz w:val="20"/>
                <w:szCs w:val="20"/>
              </w:rPr>
              <w:t>analys</w:t>
            </w:r>
            <w:r>
              <w:rPr>
                <w:rFonts w:ascii="Times New Roman" w:hAnsi="Times New Roman" w:cs="Times New Roman"/>
                <w:sz w:val="20"/>
                <w:szCs w:val="20"/>
              </w:rPr>
              <w:t>e</w:t>
            </w:r>
            <w:r w:rsidRPr="003307B5">
              <w:rPr>
                <w:rFonts w:ascii="Times New Roman" w:hAnsi="Times New Roman" w:cs="Times New Roman"/>
                <w:sz w:val="20"/>
                <w:szCs w:val="20"/>
              </w:rPr>
              <w:t>s</w:t>
            </w:r>
            <w:r>
              <w:rPr>
                <w:rFonts w:ascii="Times New Roman" w:hAnsi="Times New Roman" w:cs="Times New Roman"/>
                <w:sz w:val="20"/>
                <w:szCs w:val="20"/>
              </w:rPr>
              <w:t>)</w:t>
            </w:r>
          </w:p>
          <w:p w:rsidR="00B13A14" w:rsidRPr="003307B5" w:rsidP="00DB7F6F" w14:paraId="4D893263" w14:textId="77777777">
            <w:pPr>
              <w:rPr>
                <w:rFonts w:ascii="Times New Roman" w:hAnsi="Times New Roman" w:cs="Times New Roman"/>
                <w:sz w:val="20"/>
                <w:szCs w:val="20"/>
              </w:rPr>
            </w:pPr>
          </w:p>
          <w:p w:rsidR="00B13A14" w:rsidP="00DB7F6F" w14:paraId="235ECD38" w14:textId="157E3D99">
            <w:pPr>
              <w:rPr>
                <w:rFonts w:ascii="Times New Roman" w:hAnsi="Times New Roman" w:cs="Times New Roman"/>
                <w:sz w:val="20"/>
                <w:szCs w:val="20"/>
              </w:rPr>
            </w:pPr>
            <w:bookmarkStart w:id="57" w:name="_Hlk146464652"/>
            <w:r w:rsidRPr="003307B5">
              <w:rPr>
                <w:rFonts w:ascii="Times New Roman" w:hAnsi="Times New Roman" w:cs="Times New Roman"/>
                <w:sz w:val="20"/>
                <w:szCs w:val="20"/>
              </w:rPr>
              <w:t xml:space="preserve">Revise </w:t>
            </w:r>
            <w:r w:rsidR="00C5435C">
              <w:rPr>
                <w:rFonts w:ascii="Times New Roman" w:hAnsi="Times New Roman" w:cs="Times New Roman"/>
                <w:sz w:val="20"/>
                <w:szCs w:val="20"/>
              </w:rPr>
              <w:t>1</w:t>
            </w:r>
            <w:r w:rsidRPr="003307B5" w:rsidR="00C5435C">
              <w:rPr>
                <w:rFonts w:ascii="Times New Roman" w:hAnsi="Times New Roman" w:cs="Times New Roman"/>
                <w:sz w:val="20"/>
                <w:szCs w:val="20"/>
              </w:rPr>
              <w:t xml:space="preserve"> </w:t>
            </w:r>
            <w:r w:rsidRPr="003307B5">
              <w:rPr>
                <w:rFonts w:ascii="Times New Roman" w:hAnsi="Times New Roman" w:cs="Times New Roman"/>
                <w:sz w:val="20"/>
                <w:szCs w:val="20"/>
              </w:rPr>
              <w:t xml:space="preserve">data field </w:t>
            </w:r>
            <w:r>
              <w:rPr>
                <w:rFonts w:ascii="Times New Roman" w:hAnsi="Times New Roman" w:cs="Times New Roman"/>
                <w:sz w:val="20"/>
                <w:szCs w:val="20"/>
              </w:rPr>
              <w:t>for clarity (</w:t>
            </w:r>
            <w:r w:rsidRPr="003307B5">
              <w:rPr>
                <w:rFonts w:ascii="Times New Roman" w:hAnsi="Times New Roman" w:cs="Times New Roman"/>
                <w:sz w:val="20"/>
                <w:szCs w:val="20"/>
              </w:rPr>
              <w:t xml:space="preserve">to collect </w:t>
            </w:r>
            <w:r>
              <w:rPr>
                <w:rFonts w:ascii="Times New Roman" w:hAnsi="Times New Roman" w:cs="Times New Roman"/>
                <w:sz w:val="20"/>
                <w:szCs w:val="20"/>
              </w:rPr>
              <w:t xml:space="preserve">information on </w:t>
            </w:r>
            <w:r w:rsidRPr="003307B5">
              <w:rPr>
                <w:rFonts w:ascii="Times New Roman" w:hAnsi="Times New Roman" w:cs="Times New Roman"/>
                <w:sz w:val="20"/>
                <w:szCs w:val="20"/>
              </w:rPr>
              <w:t>number of policies not renewed or retained rather than premiums not renewed</w:t>
            </w:r>
            <w:r>
              <w:rPr>
                <w:rFonts w:ascii="Times New Roman" w:hAnsi="Times New Roman" w:cs="Times New Roman"/>
                <w:sz w:val="20"/>
                <w:szCs w:val="20"/>
              </w:rPr>
              <w:t>)</w:t>
            </w:r>
          </w:p>
          <w:p w:rsidR="00B13A14" w:rsidRPr="003307B5" w:rsidP="00DB7F6F" w14:paraId="06F39B3D" w14:textId="77777777">
            <w:pPr>
              <w:rPr>
                <w:rFonts w:ascii="Times New Roman" w:hAnsi="Times New Roman" w:cs="Times New Roman"/>
                <w:sz w:val="20"/>
                <w:szCs w:val="20"/>
              </w:rPr>
            </w:pPr>
          </w:p>
          <w:p w:rsidR="00B13A14" w:rsidRPr="003307B5" w:rsidP="00DB7F6F" w14:paraId="4A9727FC" w14:textId="77777777">
            <w:pPr>
              <w:spacing w:after="120"/>
              <w:rPr>
                <w:rFonts w:ascii="Times New Roman" w:hAnsi="Times New Roman" w:cs="Times New Roman"/>
                <w:sz w:val="20"/>
                <w:szCs w:val="20"/>
              </w:rPr>
            </w:pPr>
            <w:r w:rsidRPr="003307B5">
              <w:rPr>
                <w:rFonts w:ascii="Times New Roman" w:hAnsi="Times New Roman" w:cs="Times New Roman"/>
                <w:sz w:val="20"/>
                <w:szCs w:val="20"/>
              </w:rPr>
              <w:t>Remove exclusion of non-weather-related damages from reporting on claims and losses</w:t>
            </w:r>
            <w:bookmarkEnd w:id="57"/>
          </w:p>
        </w:tc>
      </w:tr>
      <w:tr w14:paraId="28A5223A" w14:textId="77777777" w:rsidTr="0092140A">
        <w:tblPrEx>
          <w:tblW w:w="9450" w:type="dxa"/>
          <w:tblLook w:val="04A0"/>
        </w:tblPrEx>
        <w:tc>
          <w:tcPr>
            <w:tcW w:w="1890" w:type="dxa"/>
          </w:tcPr>
          <w:p w:rsidR="00B13A14" w:rsidRPr="003307B5" w:rsidP="00DB7F6F" w14:paraId="4198ABE3" w14:textId="77777777">
            <w:pPr>
              <w:rPr>
                <w:rFonts w:ascii="Times New Roman" w:eastAsia="Calibri" w:hAnsi="Times New Roman" w:cs="Times New Roman"/>
                <w:sz w:val="20"/>
                <w:szCs w:val="20"/>
              </w:rPr>
            </w:pPr>
            <w:r w:rsidRPr="003307B5">
              <w:rPr>
                <w:rFonts w:ascii="Times New Roman" w:eastAsia="Calibri" w:hAnsi="Times New Roman" w:cs="Times New Roman"/>
                <w:sz w:val="20"/>
                <w:szCs w:val="20"/>
              </w:rPr>
              <w:t>Reporting Framework</w:t>
            </w:r>
          </w:p>
        </w:tc>
        <w:tc>
          <w:tcPr>
            <w:tcW w:w="3780" w:type="dxa"/>
          </w:tcPr>
          <w:p w:rsidR="00B13A14" w:rsidRPr="003307B5" w:rsidP="00DB7F6F" w14:paraId="1906F870" w14:textId="77777777">
            <w:pPr>
              <w:rPr>
                <w:rFonts w:ascii="Times New Roman" w:eastAsia="Calibri" w:hAnsi="Times New Roman" w:cs="Times New Roman"/>
                <w:sz w:val="20"/>
                <w:szCs w:val="20"/>
              </w:rPr>
            </w:pPr>
            <w:r w:rsidRPr="003307B5">
              <w:rPr>
                <w:rFonts w:ascii="Times New Roman" w:eastAsia="Calibri" w:hAnsi="Times New Roman" w:cs="Times New Roman"/>
                <w:sz w:val="20"/>
                <w:szCs w:val="20"/>
              </w:rPr>
              <w:t>Accident year reporting basis</w:t>
            </w:r>
          </w:p>
        </w:tc>
        <w:tc>
          <w:tcPr>
            <w:tcW w:w="3780" w:type="dxa"/>
          </w:tcPr>
          <w:p w:rsidR="00B13A14" w:rsidRPr="003307B5" w:rsidP="00DB7F6F" w14:paraId="3B75936A" w14:textId="3D0B7598">
            <w:pPr>
              <w:spacing w:after="120"/>
              <w:rPr>
                <w:rFonts w:ascii="Times New Roman" w:eastAsia="Calibri" w:hAnsi="Times New Roman" w:cs="Times New Roman"/>
                <w:sz w:val="20"/>
                <w:szCs w:val="20"/>
              </w:rPr>
            </w:pPr>
            <w:r>
              <w:rPr>
                <w:rFonts w:ascii="Times New Roman" w:eastAsia="Calibri" w:hAnsi="Times New Roman" w:cs="Times New Roman"/>
                <w:sz w:val="20"/>
                <w:szCs w:val="20"/>
              </w:rPr>
              <w:t>A</w:t>
            </w:r>
            <w:r w:rsidRPr="003307B5">
              <w:rPr>
                <w:rFonts w:ascii="Times New Roman" w:eastAsia="Calibri" w:hAnsi="Times New Roman" w:cs="Times New Roman"/>
                <w:sz w:val="20"/>
                <w:szCs w:val="20"/>
              </w:rPr>
              <w:t>ccident year reporting basis for loss and claims data and calendar year reporting basis for premium data</w:t>
            </w:r>
            <w:r>
              <w:rPr>
                <w:rFonts w:ascii="Times New Roman" w:eastAsia="Calibri" w:hAnsi="Times New Roman" w:cs="Times New Roman"/>
                <w:sz w:val="20"/>
                <w:szCs w:val="20"/>
              </w:rPr>
              <w:t>,</w:t>
            </w:r>
            <w:r w:rsidRPr="003307B5">
              <w:rPr>
                <w:rFonts w:ascii="Times New Roman" w:eastAsia="Calibri" w:hAnsi="Times New Roman" w:cs="Times New Roman"/>
                <w:sz w:val="20"/>
                <w:szCs w:val="20"/>
              </w:rPr>
              <w:t xml:space="preserve"> and policy information. </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3307B5">
              <w:rPr>
                <w:rFonts w:ascii="Times New Roman" w:eastAsia="Calibri" w:hAnsi="Times New Roman" w:cs="Times New Roman"/>
                <w:sz w:val="20"/>
                <w:szCs w:val="20"/>
              </w:rPr>
              <w:t>This change provide</w:t>
            </w:r>
            <w:r>
              <w:rPr>
                <w:rFonts w:ascii="Times New Roman" w:eastAsia="Calibri" w:hAnsi="Times New Roman" w:cs="Times New Roman"/>
                <w:sz w:val="20"/>
                <w:szCs w:val="20"/>
              </w:rPr>
              <w:t>s</w:t>
            </w:r>
            <w:r w:rsidRPr="003307B5">
              <w:rPr>
                <w:rFonts w:ascii="Times New Roman" w:eastAsia="Calibri" w:hAnsi="Times New Roman" w:cs="Times New Roman"/>
                <w:sz w:val="20"/>
                <w:szCs w:val="20"/>
              </w:rPr>
              <w:t xml:space="preserve"> clarity on alignment with the format of statutory filings</w:t>
            </w:r>
            <w:r>
              <w:rPr>
                <w:rFonts w:ascii="Times New Roman" w:eastAsia="Calibri" w:hAnsi="Times New Roman" w:cs="Times New Roman"/>
                <w:sz w:val="20"/>
                <w:szCs w:val="20"/>
              </w:rPr>
              <w:t>)</w:t>
            </w:r>
          </w:p>
        </w:tc>
      </w:tr>
      <w:tr w14:paraId="4C925AD3" w14:textId="77777777" w:rsidTr="0092140A">
        <w:tblPrEx>
          <w:tblW w:w="9450" w:type="dxa"/>
          <w:tblLook w:val="04A0"/>
        </w:tblPrEx>
        <w:tc>
          <w:tcPr>
            <w:tcW w:w="1890" w:type="dxa"/>
          </w:tcPr>
          <w:p w:rsidR="00B13A14" w:rsidRPr="003307B5" w:rsidP="00DB7F6F" w14:paraId="621EC0F1" w14:textId="77777777">
            <w:pPr>
              <w:spacing w:after="120"/>
              <w:rPr>
                <w:rFonts w:ascii="Times New Roman" w:eastAsia="Calibri" w:hAnsi="Times New Roman" w:cs="Times New Roman"/>
                <w:sz w:val="20"/>
                <w:szCs w:val="20"/>
              </w:rPr>
            </w:pPr>
            <w:r w:rsidRPr="003307B5">
              <w:rPr>
                <w:rFonts w:ascii="Times New Roman" w:eastAsia="Calibri" w:hAnsi="Times New Roman" w:cs="Times New Roman"/>
                <w:sz w:val="20"/>
                <w:szCs w:val="20"/>
              </w:rPr>
              <w:t>Reporting Period</w:t>
            </w:r>
          </w:p>
        </w:tc>
        <w:tc>
          <w:tcPr>
            <w:tcW w:w="3780" w:type="dxa"/>
          </w:tcPr>
          <w:p w:rsidR="00B13A14" w:rsidRPr="003307B5" w:rsidP="00DB7F6F" w14:paraId="50DCCE64" w14:textId="46F421D2">
            <w:pPr>
              <w:spacing w:after="120"/>
              <w:rPr>
                <w:rFonts w:ascii="Times New Roman" w:eastAsia="Calibri" w:hAnsi="Times New Roman" w:cs="Times New Roman"/>
                <w:sz w:val="20"/>
                <w:szCs w:val="20"/>
              </w:rPr>
            </w:pPr>
            <w:r>
              <w:rPr>
                <w:rFonts w:ascii="Times New Roman" w:eastAsia="Calibri" w:hAnsi="Times New Roman" w:cs="Times New Roman"/>
                <w:sz w:val="20"/>
                <w:szCs w:val="20"/>
              </w:rPr>
              <w:t>5</w:t>
            </w:r>
            <w:r w:rsidRPr="003307B5">
              <w:rPr>
                <w:rFonts w:ascii="Times New Roman" w:eastAsia="Calibri" w:hAnsi="Times New Roman" w:cs="Times New Roman"/>
                <w:sz w:val="20"/>
                <w:szCs w:val="20"/>
              </w:rPr>
              <w:t xml:space="preserve"> </w:t>
            </w:r>
            <w:r w:rsidRPr="003307B5">
              <w:rPr>
                <w:rFonts w:ascii="Times New Roman" w:eastAsia="Calibri" w:hAnsi="Times New Roman" w:cs="Times New Roman"/>
                <w:sz w:val="20"/>
                <w:szCs w:val="20"/>
              </w:rPr>
              <w:t>years of underwriting data (2017-2021)</w:t>
            </w:r>
          </w:p>
        </w:tc>
        <w:tc>
          <w:tcPr>
            <w:tcW w:w="3780" w:type="dxa"/>
          </w:tcPr>
          <w:p w:rsidR="00B13A14" w:rsidRPr="003307B5" w:rsidP="00DB7F6F" w14:paraId="41E6C14C" w14:textId="1F87D4FB">
            <w:pPr>
              <w:rPr>
                <w:rFonts w:ascii="Times New Roman" w:eastAsia="Calibri" w:hAnsi="Times New Roman" w:cs="Times New Roman"/>
                <w:sz w:val="20"/>
                <w:szCs w:val="20"/>
              </w:rPr>
            </w:pPr>
            <w:r>
              <w:rPr>
                <w:rFonts w:ascii="Times New Roman" w:eastAsia="Calibri" w:hAnsi="Times New Roman" w:cs="Times New Roman"/>
                <w:sz w:val="20"/>
                <w:szCs w:val="20"/>
              </w:rPr>
              <w:t>6</w:t>
            </w:r>
            <w:r w:rsidRPr="003307B5">
              <w:rPr>
                <w:rFonts w:ascii="Times New Roman" w:eastAsia="Calibri" w:hAnsi="Times New Roman" w:cs="Times New Roman"/>
                <w:sz w:val="20"/>
                <w:szCs w:val="20"/>
              </w:rPr>
              <w:t xml:space="preserve"> </w:t>
            </w:r>
            <w:r w:rsidRPr="003307B5">
              <w:rPr>
                <w:rFonts w:ascii="Times New Roman" w:eastAsia="Calibri" w:hAnsi="Times New Roman" w:cs="Times New Roman"/>
                <w:sz w:val="20"/>
                <w:szCs w:val="20"/>
              </w:rPr>
              <w:t>years</w:t>
            </w:r>
            <w:r>
              <w:rPr>
                <w:rFonts w:ascii="Times New Roman" w:eastAsia="Calibri" w:hAnsi="Times New Roman" w:cs="Times New Roman"/>
                <w:sz w:val="20"/>
                <w:szCs w:val="20"/>
              </w:rPr>
              <w:t xml:space="preserve"> of underwriting data</w:t>
            </w:r>
            <w:r w:rsidRPr="003307B5">
              <w:rPr>
                <w:rFonts w:ascii="Times New Roman" w:eastAsia="Calibri" w:hAnsi="Times New Roman" w:cs="Times New Roman"/>
                <w:sz w:val="20"/>
                <w:szCs w:val="20"/>
              </w:rPr>
              <w:t xml:space="preserve"> (2017-2022)</w:t>
            </w:r>
          </w:p>
        </w:tc>
      </w:tr>
      <w:tr w14:paraId="7738A06D" w14:textId="77777777" w:rsidTr="0092140A">
        <w:tblPrEx>
          <w:tblW w:w="9450" w:type="dxa"/>
          <w:tblLook w:val="04A0"/>
        </w:tblPrEx>
        <w:tc>
          <w:tcPr>
            <w:tcW w:w="1890" w:type="dxa"/>
          </w:tcPr>
          <w:p w:rsidR="00B13A14" w:rsidRPr="003307B5" w:rsidP="00DB7F6F" w14:paraId="25B31ECE" w14:textId="77777777">
            <w:pPr>
              <w:rPr>
                <w:rFonts w:ascii="Times New Roman" w:eastAsia="Calibri" w:hAnsi="Times New Roman" w:cs="Times New Roman"/>
                <w:sz w:val="20"/>
                <w:szCs w:val="20"/>
              </w:rPr>
            </w:pPr>
            <w:r w:rsidRPr="003307B5">
              <w:rPr>
                <w:rFonts w:ascii="Times New Roman" w:eastAsia="Calibri" w:hAnsi="Times New Roman" w:cs="Times New Roman"/>
                <w:sz w:val="20"/>
                <w:szCs w:val="20"/>
              </w:rPr>
              <w:t>Geographic Granularity</w:t>
            </w:r>
          </w:p>
        </w:tc>
        <w:tc>
          <w:tcPr>
            <w:tcW w:w="3780" w:type="dxa"/>
          </w:tcPr>
          <w:p w:rsidR="00B13A14" w:rsidRPr="003307B5" w:rsidP="00DB7F6F" w14:paraId="63B1899E" w14:textId="77777777">
            <w:pPr>
              <w:spacing w:after="120"/>
              <w:rPr>
                <w:rFonts w:ascii="Times New Roman" w:eastAsia="Calibri" w:hAnsi="Times New Roman" w:cs="Times New Roman"/>
                <w:sz w:val="20"/>
                <w:szCs w:val="20"/>
              </w:rPr>
            </w:pPr>
            <w:r w:rsidRPr="003307B5">
              <w:rPr>
                <w:rFonts w:ascii="Times New Roman" w:eastAsia="Calibri" w:hAnsi="Times New Roman" w:cs="Times New Roman"/>
                <w:sz w:val="20"/>
                <w:szCs w:val="20"/>
              </w:rPr>
              <w:t>ZIP Code level for all U.S. ZIP Codes applicable to in-scope insurers</w:t>
            </w:r>
          </w:p>
        </w:tc>
        <w:tc>
          <w:tcPr>
            <w:tcW w:w="3780" w:type="dxa"/>
          </w:tcPr>
          <w:p w:rsidR="00B13A14" w:rsidRPr="003307B5" w:rsidP="00DB7F6F" w14:paraId="2CF968DD" w14:textId="77777777">
            <w:pPr>
              <w:rPr>
                <w:rFonts w:ascii="Times New Roman" w:eastAsia="Calibri" w:hAnsi="Times New Roman" w:cs="Times New Roman"/>
                <w:i/>
                <w:sz w:val="20"/>
                <w:szCs w:val="20"/>
              </w:rPr>
            </w:pPr>
            <w:r w:rsidRPr="003307B5">
              <w:rPr>
                <w:rFonts w:ascii="Times New Roman" w:eastAsia="Calibri" w:hAnsi="Times New Roman" w:cs="Times New Roman"/>
                <w:i/>
                <w:sz w:val="20"/>
                <w:szCs w:val="20"/>
              </w:rPr>
              <w:t>No changes</w:t>
            </w:r>
          </w:p>
        </w:tc>
      </w:tr>
      <w:tr w14:paraId="597895A1" w14:textId="77777777" w:rsidTr="0092140A">
        <w:tblPrEx>
          <w:tblW w:w="9450" w:type="dxa"/>
          <w:tblLook w:val="04A0"/>
        </w:tblPrEx>
        <w:tc>
          <w:tcPr>
            <w:tcW w:w="1890" w:type="dxa"/>
          </w:tcPr>
          <w:p w:rsidR="00B13A14" w:rsidRPr="003307B5" w:rsidP="00DB7F6F" w14:paraId="526F7400" w14:textId="77777777">
            <w:pPr>
              <w:spacing w:after="120"/>
              <w:rPr>
                <w:rFonts w:ascii="Times New Roman" w:eastAsia="Calibri" w:hAnsi="Times New Roman" w:cs="Times New Roman"/>
                <w:sz w:val="20"/>
                <w:szCs w:val="20"/>
              </w:rPr>
            </w:pPr>
            <w:r w:rsidRPr="003307B5">
              <w:rPr>
                <w:rFonts w:ascii="Times New Roman" w:eastAsia="Calibri" w:hAnsi="Times New Roman" w:cs="Times New Roman"/>
                <w:sz w:val="20"/>
                <w:szCs w:val="20"/>
              </w:rPr>
              <w:t>Geographic Scope</w:t>
            </w:r>
          </w:p>
        </w:tc>
        <w:tc>
          <w:tcPr>
            <w:tcW w:w="3780" w:type="dxa"/>
          </w:tcPr>
          <w:p w:rsidR="00B13A14" w:rsidRPr="003307B5" w:rsidP="00DB7F6F" w14:paraId="18C20E53" w14:textId="77777777">
            <w:pPr>
              <w:rPr>
                <w:rFonts w:ascii="Times New Roman" w:eastAsia="Calibri" w:hAnsi="Times New Roman" w:cs="Times New Roman"/>
                <w:sz w:val="20"/>
                <w:szCs w:val="20"/>
              </w:rPr>
            </w:pPr>
            <w:r w:rsidRPr="003307B5">
              <w:rPr>
                <w:rFonts w:ascii="Times New Roman" w:eastAsia="Calibri" w:hAnsi="Times New Roman" w:cs="Times New Roman"/>
                <w:sz w:val="20"/>
                <w:szCs w:val="20"/>
              </w:rPr>
              <w:t>Nationwide</w:t>
            </w:r>
          </w:p>
        </w:tc>
        <w:tc>
          <w:tcPr>
            <w:tcW w:w="3780" w:type="dxa"/>
          </w:tcPr>
          <w:p w:rsidR="00B13A14" w:rsidRPr="003307B5" w:rsidP="00DB7F6F" w14:paraId="67AC5653" w14:textId="77777777">
            <w:pPr>
              <w:rPr>
                <w:rFonts w:ascii="Times New Roman" w:eastAsia="Calibri" w:hAnsi="Times New Roman" w:cs="Times New Roman"/>
                <w:i/>
                <w:sz w:val="20"/>
                <w:szCs w:val="20"/>
              </w:rPr>
            </w:pPr>
            <w:r w:rsidRPr="003307B5">
              <w:rPr>
                <w:rFonts w:ascii="Times New Roman" w:eastAsia="Calibri" w:hAnsi="Times New Roman" w:cs="Times New Roman"/>
                <w:i/>
                <w:sz w:val="20"/>
                <w:szCs w:val="20"/>
              </w:rPr>
              <w:t>No changes</w:t>
            </w:r>
          </w:p>
        </w:tc>
      </w:tr>
    </w:tbl>
    <w:bookmarkEnd w:id="56"/>
    <w:p w:rsidR="002E6D60" w:rsidP="00A24444" w14:paraId="02111569" w14:textId="77777777">
      <w:pPr>
        <w:pStyle w:val="Default"/>
        <w:tabs>
          <w:tab w:val="left" w:pos="720"/>
          <w:tab w:val="left" w:pos="4230"/>
        </w:tabs>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The narrative b</w:t>
      </w:r>
      <w:r>
        <w:rPr>
          <w:rFonts w:ascii="Times New Roman" w:hAnsi="Times New Roman" w:cs="Times New Roman"/>
          <w:color w:val="000000"/>
          <w:sz w:val="24"/>
          <w:szCs w:val="24"/>
        </w:rPr>
        <w:t xml:space="preserve">elow summarizes key areas of feedback and </w:t>
      </w:r>
      <w:r w:rsidR="00423146">
        <w:rPr>
          <w:rFonts w:ascii="Times New Roman" w:hAnsi="Times New Roman" w:cs="Times New Roman"/>
          <w:color w:val="000000"/>
          <w:sz w:val="24"/>
          <w:szCs w:val="24"/>
        </w:rPr>
        <w:t>FIO</w:t>
      </w:r>
      <w:r>
        <w:rPr>
          <w:rFonts w:ascii="Times New Roman" w:hAnsi="Times New Roman" w:cs="Times New Roman"/>
          <w:color w:val="000000"/>
          <w:sz w:val="24"/>
          <w:szCs w:val="24"/>
        </w:rPr>
        <w:t>’s responses.</w:t>
      </w:r>
    </w:p>
    <w:p w:rsidR="00F8630F" w:rsidP="00A24444" w14:paraId="646F2167" w14:textId="77777777">
      <w:pPr>
        <w:pStyle w:val="Default"/>
        <w:numPr>
          <w:ilvl w:val="0"/>
          <w:numId w:val="24"/>
        </w:numPr>
        <w:tabs>
          <w:tab w:val="left" w:pos="720"/>
          <w:tab w:val="left" w:pos="4230"/>
        </w:tabs>
        <w:spacing w:before="240" w:after="24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Burden Estimates</w:t>
      </w:r>
    </w:p>
    <w:p w:rsidR="00B13A14" w:rsidRPr="00D91DB9" w:rsidP="00B13A14" w14:paraId="16615878" w14:textId="7112566D">
      <w:pPr>
        <w:pStyle w:val="Default"/>
        <w:tabs>
          <w:tab w:val="left" w:pos="360"/>
          <w:tab w:val="left" w:pos="900"/>
          <w:tab w:val="left" w:pos="4230"/>
        </w:tabs>
        <w:spacing w:before="240" w:after="240"/>
        <w:rPr>
          <w:rFonts w:ascii="Times New Roman" w:hAnsi="Times New Roman" w:cs="Times New Roman"/>
          <w:color w:val="000000"/>
          <w:sz w:val="24"/>
          <w:szCs w:val="24"/>
        </w:rPr>
      </w:pPr>
      <w:bookmarkStart w:id="58" w:name="_Hlk145979119"/>
      <w:r w:rsidRPr="008846FA">
        <w:rPr>
          <w:rFonts w:ascii="Times New Roman" w:hAnsi="Times New Roman" w:cs="Times New Roman"/>
          <w:color w:val="000000"/>
          <w:sz w:val="24"/>
          <w:szCs w:val="24"/>
        </w:rPr>
        <w:t>FIO received many comments</w:t>
      </w:r>
      <w:r>
        <w:rPr>
          <w:rFonts w:ascii="Times New Roman" w:hAnsi="Times New Roman" w:cs="Times New Roman"/>
          <w:color w:val="000000"/>
          <w:sz w:val="24"/>
          <w:szCs w:val="24"/>
        </w:rPr>
        <w:t>, including in follow</w:t>
      </w:r>
      <w:r w:rsidR="00D47DED">
        <w:rPr>
          <w:rFonts w:ascii="Times New Roman" w:hAnsi="Times New Roman" w:cs="Times New Roman"/>
          <w:color w:val="000000"/>
          <w:sz w:val="24"/>
          <w:szCs w:val="24"/>
        </w:rPr>
        <w:t>-</w:t>
      </w:r>
      <w:r>
        <w:rPr>
          <w:rFonts w:ascii="Times New Roman" w:hAnsi="Times New Roman" w:cs="Times New Roman"/>
          <w:color w:val="000000"/>
          <w:sz w:val="24"/>
          <w:szCs w:val="24"/>
        </w:rPr>
        <w:t xml:space="preserve">up </w:t>
      </w:r>
      <w:r w:rsidR="00782B14">
        <w:rPr>
          <w:rFonts w:ascii="Times New Roman" w:hAnsi="Times New Roman" w:cs="Times New Roman"/>
          <w:color w:val="000000"/>
          <w:sz w:val="24"/>
          <w:szCs w:val="24"/>
        </w:rPr>
        <w:t>stakeholder engagements</w:t>
      </w:r>
      <w:r>
        <w:rPr>
          <w:rFonts w:ascii="Times New Roman" w:hAnsi="Times New Roman" w:cs="Times New Roman"/>
          <w:color w:val="000000"/>
          <w:sz w:val="24"/>
          <w:szCs w:val="24"/>
        </w:rPr>
        <w:t>,</w:t>
      </w:r>
      <w:r w:rsidRPr="008846FA">
        <w:rPr>
          <w:rFonts w:ascii="Times New Roman" w:hAnsi="Times New Roman" w:cs="Times New Roman"/>
          <w:color w:val="000000"/>
          <w:sz w:val="24"/>
          <w:szCs w:val="24"/>
        </w:rPr>
        <w:t xml:space="preserve"> regarding its </w:t>
      </w:r>
      <w:r>
        <w:rPr>
          <w:rFonts w:ascii="Times New Roman" w:hAnsi="Times New Roman" w:cs="Times New Roman"/>
          <w:color w:val="000000"/>
          <w:sz w:val="24"/>
          <w:szCs w:val="24"/>
        </w:rPr>
        <w:t xml:space="preserve">estimates of </w:t>
      </w:r>
      <w:r w:rsidRPr="008846FA">
        <w:rPr>
          <w:rFonts w:ascii="Times New Roman" w:hAnsi="Times New Roman" w:cs="Times New Roman"/>
          <w:color w:val="000000"/>
          <w:sz w:val="24"/>
          <w:szCs w:val="24"/>
        </w:rPr>
        <w:t>burden</w:t>
      </w:r>
      <w:r>
        <w:rPr>
          <w:rFonts w:ascii="Times New Roman" w:hAnsi="Times New Roman" w:cs="Times New Roman"/>
          <w:color w:val="000000"/>
          <w:sz w:val="24"/>
          <w:szCs w:val="24"/>
        </w:rPr>
        <w:t>, including</w:t>
      </w:r>
      <w:r w:rsidRPr="008846FA">
        <w:rPr>
          <w:rFonts w:ascii="Times New Roman" w:hAnsi="Times New Roman" w:cs="Times New Roman"/>
          <w:color w:val="000000"/>
          <w:sz w:val="24"/>
          <w:szCs w:val="24"/>
        </w:rPr>
        <w:t xml:space="preserve"> the number of hours estimated (hour burden) and average salary used (</w:t>
      </w:r>
      <w:r>
        <w:rPr>
          <w:rFonts w:ascii="Times New Roman" w:hAnsi="Times New Roman" w:cs="Times New Roman"/>
          <w:color w:val="000000"/>
          <w:sz w:val="24"/>
          <w:szCs w:val="24"/>
        </w:rPr>
        <w:t>hourly rate</w:t>
      </w:r>
      <w:r w:rsidRPr="008846FA">
        <w:rPr>
          <w:rFonts w:ascii="Times New Roman" w:hAnsi="Times New Roman" w:cs="Times New Roman"/>
          <w:color w:val="000000"/>
          <w:sz w:val="24"/>
          <w:szCs w:val="24"/>
        </w:rPr>
        <w:t xml:space="preserve">).  Multiple comments </w:t>
      </w:r>
      <w:r>
        <w:rPr>
          <w:rFonts w:ascii="Times New Roman" w:hAnsi="Times New Roman" w:cs="Times New Roman"/>
          <w:color w:val="000000"/>
          <w:sz w:val="24"/>
          <w:szCs w:val="24"/>
        </w:rPr>
        <w:t>stated</w:t>
      </w:r>
      <w:r w:rsidRPr="008846FA">
        <w:rPr>
          <w:rFonts w:ascii="Times New Roman" w:hAnsi="Times New Roman" w:cs="Times New Roman"/>
          <w:color w:val="000000"/>
          <w:sz w:val="24"/>
          <w:szCs w:val="24"/>
        </w:rPr>
        <w:t xml:space="preserve"> that the hour burden </w:t>
      </w:r>
      <w:r>
        <w:rPr>
          <w:rFonts w:ascii="Times New Roman" w:hAnsi="Times New Roman" w:cs="Times New Roman"/>
          <w:color w:val="000000"/>
          <w:sz w:val="24"/>
          <w:szCs w:val="24"/>
        </w:rPr>
        <w:t xml:space="preserve">estimate </w:t>
      </w:r>
      <w:r w:rsidRPr="008846FA">
        <w:rPr>
          <w:rFonts w:ascii="Times New Roman" w:hAnsi="Times New Roman" w:cs="Times New Roman"/>
          <w:color w:val="000000"/>
          <w:sz w:val="24"/>
          <w:szCs w:val="24"/>
        </w:rPr>
        <w:t xml:space="preserve">was too low and that the </w:t>
      </w:r>
      <w:r>
        <w:rPr>
          <w:rFonts w:ascii="Times New Roman" w:hAnsi="Times New Roman" w:cs="Times New Roman"/>
          <w:color w:val="000000"/>
          <w:sz w:val="24"/>
          <w:szCs w:val="24"/>
        </w:rPr>
        <w:t>hourly rate</w:t>
      </w:r>
      <w:r w:rsidRPr="008846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estimate </w:t>
      </w:r>
      <w:r w:rsidRPr="008846FA">
        <w:rPr>
          <w:rFonts w:ascii="Times New Roman" w:hAnsi="Times New Roman" w:cs="Times New Roman"/>
          <w:color w:val="000000"/>
          <w:sz w:val="24"/>
          <w:szCs w:val="24"/>
        </w:rPr>
        <w:t>should be higher to reflect the need for subject matter experts in actuarial and finance roles</w:t>
      </w:r>
      <w:r w:rsidR="00D47DED">
        <w:rPr>
          <w:rFonts w:ascii="Times New Roman" w:hAnsi="Times New Roman" w:cs="Times New Roman"/>
          <w:color w:val="000000"/>
          <w:sz w:val="24"/>
          <w:szCs w:val="24"/>
        </w:rPr>
        <w:t xml:space="preserve"> to respond to the collection</w:t>
      </w:r>
      <w:r w:rsidRPr="008846FA">
        <w:rPr>
          <w:rFonts w:ascii="Times New Roman" w:hAnsi="Times New Roman" w:cs="Times New Roman"/>
          <w:color w:val="000000"/>
          <w:sz w:val="24"/>
          <w:szCs w:val="24"/>
        </w:rPr>
        <w:t>.  Other commenters supported FIO’s estimate</w:t>
      </w:r>
      <w:r>
        <w:rPr>
          <w:rFonts w:ascii="Times New Roman" w:hAnsi="Times New Roman" w:cs="Times New Roman"/>
          <w:color w:val="000000"/>
          <w:sz w:val="24"/>
          <w:szCs w:val="24"/>
        </w:rPr>
        <w:t>s</w:t>
      </w:r>
      <w:r w:rsidRPr="008846FA">
        <w:rPr>
          <w:rFonts w:ascii="Times New Roman" w:hAnsi="Times New Roman" w:cs="Times New Roman"/>
          <w:color w:val="000000"/>
          <w:sz w:val="24"/>
          <w:szCs w:val="24"/>
        </w:rPr>
        <w:t xml:space="preserve"> </w:t>
      </w:r>
      <w:r w:rsidR="006100A1">
        <w:rPr>
          <w:rFonts w:ascii="Times New Roman" w:hAnsi="Times New Roman" w:cs="Times New Roman"/>
          <w:color w:val="000000"/>
          <w:sz w:val="24"/>
          <w:szCs w:val="24"/>
        </w:rPr>
        <w:t>and</w:t>
      </w:r>
      <w:r w:rsidRPr="008846FA">
        <w:rPr>
          <w:rFonts w:ascii="Times New Roman" w:hAnsi="Times New Roman" w:cs="Times New Roman"/>
          <w:color w:val="000000"/>
          <w:sz w:val="24"/>
          <w:szCs w:val="24"/>
        </w:rPr>
        <w:t xml:space="preserve"> emphasiz</w:t>
      </w:r>
      <w:r w:rsidR="006100A1">
        <w:rPr>
          <w:rFonts w:ascii="Times New Roman" w:hAnsi="Times New Roman" w:cs="Times New Roman"/>
          <w:color w:val="000000"/>
          <w:sz w:val="24"/>
          <w:szCs w:val="24"/>
        </w:rPr>
        <w:t>ed</w:t>
      </w:r>
      <w:r w:rsidRPr="008846FA">
        <w:rPr>
          <w:rFonts w:ascii="Times New Roman" w:hAnsi="Times New Roman" w:cs="Times New Roman"/>
          <w:color w:val="000000"/>
          <w:sz w:val="24"/>
          <w:szCs w:val="24"/>
        </w:rPr>
        <w:t xml:space="preserve"> that </w:t>
      </w:r>
      <w:r>
        <w:rPr>
          <w:rFonts w:ascii="Times New Roman" w:hAnsi="Times New Roman" w:cs="Times New Roman"/>
          <w:color w:val="000000"/>
          <w:sz w:val="24"/>
          <w:szCs w:val="24"/>
        </w:rPr>
        <w:t xml:space="preserve">the </w:t>
      </w:r>
      <w:r w:rsidRPr="008846FA">
        <w:rPr>
          <w:rFonts w:ascii="Times New Roman" w:hAnsi="Times New Roman" w:cs="Times New Roman"/>
          <w:color w:val="000000"/>
          <w:sz w:val="24"/>
          <w:szCs w:val="24"/>
        </w:rPr>
        <w:t xml:space="preserve">importance of the information </w:t>
      </w:r>
      <w:r>
        <w:rPr>
          <w:rFonts w:ascii="Times New Roman" w:hAnsi="Times New Roman" w:cs="Times New Roman"/>
          <w:color w:val="000000"/>
          <w:sz w:val="24"/>
          <w:szCs w:val="24"/>
        </w:rPr>
        <w:t xml:space="preserve">to be </w:t>
      </w:r>
      <w:r w:rsidRPr="008846FA">
        <w:rPr>
          <w:rFonts w:ascii="Times New Roman" w:hAnsi="Times New Roman" w:cs="Times New Roman"/>
          <w:color w:val="000000"/>
          <w:sz w:val="24"/>
          <w:szCs w:val="24"/>
        </w:rPr>
        <w:t xml:space="preserve">collected outweighed the burden.  One </w:t>
      </w:r>
      <w:bookmarkStart w:id="59" w:name="_Hlk148605167"/>
      <w:r w:rsidRPr="008846FA">
        <w:rPr>
          <w:rFonts w:ascii="Times New Roman" w:hAnsi="Times New Roman" w:cs="Times New Roman"/>
          <w:color w:val="000000"/>
          <w:sz w:val="24"/>
          <w:szCs w:val="24"/>
        </w:rPr>
        <w:t>trade</w:t>
      </w:r>
      <w:r w:rsidR="00C073D6">
        <w:rPr>
          <w:rFonts w:ascii="Times New Roman" w:hAnsi="Times New Roman" w:cs="Times New Roman"/>
          <w:color w:val="000000"/>
          <w:sz w:val="24"/>
          <w:szCs w:val="24"/>
        </w:rPr>
        <w:t xml:space="preserve"> association</w:t>
      </w:r>
      <w:r w:rsidRPr="008846FA">
        <w:rPr>
          <w:rFonts w:ascii="Times New Roman" w:hAnsi="Times New Roman" w:cs="Times New Roman"/>
          <w:color w:val="000000"/>
          <w:sz w:val="24"/>
          <w:szCs w:val="24"/>
        </w:rPr>
        <w:t xml:space="preserve"> group noted that the cost of providing this data could be passed on to policyholders in the form of higher premiums.  Several insurers and trade</w:t>
      </w:r>
      <w:r w:rsidR="00C073D6">
        <w:rPr>
          <w:rFonts w:ascii="Times New Roman" w:hAnsi="Times New Roman" w:cs="Times New Roman"/>
          <w:color w:val="000000"/>
          <w:sz w:val="24"/>
          <w:szCs w:val="24"/>
        </w:rPr>
        <w:t xml:space="preserve"> association</w:t>
      </w:r>
      <w:r w:rsidRPr="008846FA">
        <w:rPr>
          <w:rFonts w:ascii="Times New Roman" w:hAnsi="Times New Roman" w:cs="Times New Roman"/>
          <w:color w:val="000000"/>
          <w:sz w:val="24"/>
          <w:szCs w:val="24"/>
        </w:rPr>
        <w:t xml:space="preserve"> groups also </w:t>
      </w:r>
      <w:r>
        <w:rPr>
          <w:rFonts w:ascii="Times New Roman" w:hAnsi="Times New Roman" w:cs="Times New Roman"/>
          <w:color w:val="000000"/>
          <w:sz w:val="24"/>
          <w:szCs w:val="24"/>
        </w:rPr>
        <w:t xml:space="preserve">raised concerns with the </w:t>
      </w:r>
      <w:r w:rsidRPr="008846FA">
        <w:rPr>
          <w:rFonts w:ascii="Times New Roman" w:hAnsi="Times New Roman" w:cs="Times New Roman"/>
          <w:color w:val="000000"/>
          <w:sz w:val="24"/>
          <w:szCs w:val="24"/>
        </w:rPr>
        <w:t>burden required to collect such information as well as the operational challenges of doing so.</w:t>
      </w:r>
      <w:bookmarkEnd w:id="59"/>
    </w:p>
    <w:p w:rsidR="00B13A14" w:rsidP="00B13A14" w14:paraId="2F8BBB3A" w14:textId="31C85C38">
      <w:pPr>
        <w:pStyle w:val="Default"/>
        <w:tabs>
          <w:tab w:val="left" w:pos="360"/>
          <w:tab w:val="left" w:pos="4230"/>
        </w:tabs>
        <w:spacing w:before="240" w:after="240"/>
        <w:rPr>
          <w:rFonts w:ascii="Times New Roman" w:hAnsi="Times New Roman" w:cs="Times New Roman"/>
          <w:color w:val="000000"/>
          <w:sz w:val="24"/>
          <w:szCs w:val="24"/>
        </w:rPr>
      </w:pPr>
      <w:bookmarkStart w:id="60" w:name="_Hlk148605176"/>
      <w:r w:rsidRPr="008846FA">
        <w:rPr>
          <w:rFonts w:ascii="Times New Roman" w:hAnsi="Times New Roman" w:cs="Times New Roman"/>
          <w:color w:val="000000"/>
          <w:sz w:val="24"/>
          <w:szCs w:val="24"/>
        </w:rPr>
        <w:t xml:space="preserve">FIO </w:t>
      </w:r>
      <w:r>
        <w:rPr>
          <w:rFonts w:ascii="Times New Roman" w:hAnsi="Times New Roman" w:cs="Times New Roman"/>
          <w:color w:val="000000"/>
          <w:sz w:val="24"/>
          <w:szCs w:val="24"/>
        </w:rPr>
        <w:t xml:space="preserve">updated </w:t>
      </w:r>
      <w:r w:rsidRPr="008846FA">
        <w:rPr>
          <w:rFonts w:ascii="Times New Roman" w:hAnsi="Times New Roman" w:cs="Times New Roman"/>
          <w:color w:val="000000"/>
          <w:sz w:val="24"/>
          <w:szCs w:val="24"/>
        </w:rPr>
        <w:t>the cost estimate</w:t>
      </w:r>
      <w:r>
        <w:rPr>
          <w:rFonts w:ascii="Times New Roman" w:hAnsi="Times New Roman" w:cs="Times New Roman"/>
          <w:color w:val="000000"/>
          <w:sz w:val="24"/>
          <w:szCs w:val="24"/>
        </w:rPr>
        <w:t xml:space="preserve"> for the hourly rate to reflect the salary and benefit increases between June 2022 and July 2023 reported by the U.S. Bureau of Labor Statistics.</w:t>
      </w:r>
      <w:r>
        <w:rPr>
          <w:rStyle w:val="FootnoteReference"/>
          <w:rFonts w:ascii="Times New Roman" w:hAnsi="Times New Roman" w:cs="Times New Roman"/>
          <w:color w:val="000000"/>
          <w:sz w:val="24"/>
          <w:szCs w:val="24"/>
          <w:vertAlign w:val="superscript"/>
        </w:rPr>
        <w:footnoteReference w:id="26"/>
      </w:r>
      <w:r>
        <w:rPr>
          <w:rFonts w:ascii="Times New Roman" w:hAnsi="Times New Roman" w:cs="Times New Roman"/>
          <w:color w:val="000000"/>
          <w:sz w:val="24"/>
          <w:szCs w:val="24"/>
        </w:rPr>
        <w:t xml:space="preserve">  FIO has not</w:t>
      </w:r>
      <w:r w:rsidR="00D47DED">
        <w:rPr>
          <w:rFonts w:ascii="Times New Roman" w:hAnsi="Times New Roman" w:cs="Times New Roman"/>
          <w:color w:val="000000"/>
          <w:sz w:val="24"/>
          <w:szCs w:val="24"/>
        </w:rPr>
        <w:t>, however,</w:t>
      </w:r>
      <w:r>
        <w:rPr>
          <w:rFonts w:ascii="Times New Roman" w:hAnsi="Times New Roman" w:cs="Times New Roman"/>
          <w:color w:val="000000"/>
          <w:sz w:val="24"/>
          <w:szCs w:val="24"/>
        </w:rPr>
        <w:t xml:space="preserve"> made any other adjustments to the hourly rate because</w:t>
      </w:r>
      <w:r w:rsidRPr="008846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Pr="008846FA">
        <w:rPr>
          <w:rFonts w:ascii="Times New Roman" w:hAnsi="Times New Roman" w:cs="Times New Roman"/>
          <w:color w:val="000000"/>
          <w:sz w:val="24"/>
          <w:szCs w:val="24"/>
        </w:rPr>
        <w:t xml:space="preserve"> FIO data collection is largely an operational task </w:t>
      </w:r>
      <w:r w:rsidR="00D47DED">
        <w:rPr>
          <w:rFonts w:ascii="Times New Roman" w:hAnsi="Times New Roman" w:cs="Times New Roman"/>
          <w:color w:val="000000"/>
          <w:sz w:val="24"/>
          <w:szCs w:val="24"/>
        </w:rPr>
        <w:t xml:space="preserve">focused </w:t>
      </w:r>
      <w:r w:rsidRPr="008846FA">
        <w:rPr>
          <w:rFonts w:ascii="Times New Roman" w:hAnsi="Times New Roman" w:cs="Times New Roman"/>
          <w:color w:val="000000"/>
          <w:sz w:val="24"/>
          <w:szCs w:val="24"/>
        </w:rPr>
        <w:t xml:space="preserve">on data </w:t>
      </w:r>
      <w:r>
        <w:rPr>
          <w:rFonts w:ascii="Times New Roman" w:hAnsi="Times New Roman" w:cs="Times New Roman"/>
          <w:color w:val="000000"/>
          <w:sz w:val="24"/>
          <w:szCs w:val="24"/>
        </w:rPr>
        <w:t>already collected by insurers</w:t>
      </w:r>
      <w:r w:rsidRPr="008846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data requested on </w:t>
      </w:r>
      <w:r>
        <w:rPr>
          <w:rFonts w:ascii="Times New Roman" w:hAnsi="Times New Roman" w:cs="Times New Roman"/>
          <w:color w:val="000000"/>
          <w:sz w:val="24"/>
          <w:szCs w:val="24"/>
        </w:rPr>
        <w:t xml:space="preserve">the Data Collection Form </w:t>
      </w:r>
      <w:r w:rsidRPr="008846FA">
        <w:rPr>
          <w:rFonts w:ascii="Times New Roman" w:hAnsi="Times New Roman" w:cs="Times New Roman"/>
          <w:color w:val="000000"/>
          <w:sz w:val="24"/>
          <w:szCs w:val="24"/>
        </w:rPr>
        <w:t xml:space="preserve">is part of </w:t>
      </w:r>
      <w:r w:rsidR="00C073D6">
        <w:rPr>
          <w:rFonts w:ascii="Times New Roman" w:hAnsi="Times New Roman" w:cs="Times New Roman"/>
          <w:color w:val="000000"/>
          <w:sz w:val="24"/>
          <w:szCs w:val="24"/>
        </w:rPr>
        <w:t xml:space="preserve">existing </w:t>
      </w:r>
      <w:r w:rsidRPr="008846FA">
        <w:rPr>
          <w:rFonts w:ascii="Times New Roman" w:hAnsi="Times New Roman" w:cs="Times New Roman"/>
          <w:color w:val="000000"/>
          <w:sz w:val="24"/>
          <w:szCs w:val="24"/>
        </w:rPr>
        <w:t xml:space="preserve">underwriting and claims processing and so </w:t>
      </w:r>
      <w:r>
        <w:rPr>
          <w:rFonts w:ascii="Times New Roman" w:hAnsi="Times New Roman" w:cs="Times New Roman"/>
          <w:color w:val="000000"/>
          <w:sz w:val="24"/>
          <w:szCs w:val="24"/>
        </w:rPr>
        <w:t>minimal additional</w:t>
      </w:r>
      <w:r w:rsidRPr="008846FA">
        <w:rPr>
          <w:rFonts w:ascii="Times New Roman" w:hAnsi="Times New Roman" w:cs="Times New Roman"/>
          <w:color w:val="000000"/>
          <w:sz w:val="24"/>
          <w:szCs w:val="24"/>
        </w:rPr>
        <w:t xml:space="preserve"> overhead is e</w:t>
      </w:r>
      <w:r w:rsidR="00C073D6">
        <w:rPr>
          <w:rFonts w:ascii="Times New Roman" w:hAnsi="Times New Roman" w:cs="Times New Roman"/>
          <w:color w:val="000000"/>
          <w:sz w:val="24"/>
          <w:szCs w:val="24"/>
        </w:rPr>
        <w:t>stimated</w:t>
      </w:r>
      <w:r w:rsidRPr="008846FA">
        <w:rPr>
          <w:rFonts w:ascii="Times New Roman" w:hAnsi="Times New Roman" w:cs="Times New Roman"/>
          <w:color w:val="000000"/>
          <w:sz w:val="24"/>
          <w:szCs w:val="24"/>
        </w:rPr>
        <w:t xml:space="preserve"> to be placed on policyholder costs due to FIO</w:t>
      </w:r>
      <w:r>
        <w:rPr>
          <w:rFonts w:ascii="Times New Roman" w:hAnsi="Times New Roman" w:cs="Times New Roman"/>
          <w:color w:val="000000"/>
          <w:sz w:val="24"/>
          <w:szCs w:val="24"/>
        </w:rPr>
        <w:t xml:space="preserve">’s data request, </w:t>
      </w:r>
      <w:r w:rsidRPr="008846FA">
        <w:rPr>
          <w:rFonts w:ascii="Times New Roman" w:hAnsi="Times New Roman" w:cs="Times New Roman"/>
          <w:color w:val="000000"/>
          <w:sz w:val="24"/>
          <w:szCs w:val="24"/>
        </w:rPr>
        <w:t xml:space="preserve">based on discussions </w:t>
      </w:r>
      <w:r w:rsidR="00C073D6">
        <w:rPr>
          <w:rFonts w:ascii="Times New Roman" w:hAnsi="Times New Roman" w:cs="Times New Roman"/>
          <w:color w:val="000000"/>
          <w:sz w:val="24"/>
          <w:szCs w:val="24"/>
        </w:rPr>
        <w:t xml:space="preserve">with certain </w:t>
      </w:r>
      <w:r w:rsidRPr="008846FA">
        <w:rPr>
          <w:rFonts w:ascii="Times New Roman" w:hAnsi="Times New Roman" w:cs="Times New Roman"/>
          <w:color w:val="000000"/>
          <w:sz w:val="24"/>
          <w:szCs w:val="24"/>
        </w:rPr>
        <w:t>insurers</w:t>
      </w:r>
      <w:r w:rsidR="00C073D6">
        <w:rPr>
          <w:rFonts w:ascii="Times New Roman" w:hAnsi="Times New Roman" w:cs="Times New Roman"/>
          <w:color w:val="000000"/>
          <w:sz w:val="24"/>
          <w:szCs w:val="24"/>
        </w:rPr>
        <w:t xml:space="preserve"> and other stakeholders</w:t>
      </w:r>
      <w:r w:rsidRPr="008846FA">
        <w:rPr>
          <w:rFonts w:ascii="Times New Roman" w:hAnsi="Times New Roman" w:cs="Times New Roman"/>
          <w:color w:val="000000"/>
          <w:sz w:val="24"/>
          <w:szCs w:val="24"/>
        </w:rPr>
        <w:t>.</w:t>
      </w:r>
    </w:p>
    <w:p w:rsidR="00B13A14" w:rsidRPr="003541AD" w:rsidP="00B13A14" w14:paraId="1E9A6C6D" w14:textId="23A04E0D">
      <w:pPr>
        <w:spacing w:before="240" w:after="240"/>
      </w:pPr>
      <w:bookmarkStart w:id="61" w:name="_Hlk148605184"/>
      <w:bookmarkEnd w:id="60"/>
      <w:r>
        <w:t>FIO also considered burden when evaluating the level of granularity for the data collection.  Using ZIP Code information (as compared to other sub-state boundaries such as counties</w:t>
      </w:r>
      <w:r w:rsidR="00C073D6">
        <w:t xml:space="preserve"> or census tract</w:t>
      </w:r>
      <w:r w:rsidR="006100A1">
        <w:t>s</w:t>
      </w:r>
      <w:r>
        <w:t>) should be less burdensome for insurers as they may collect ZIP Code information as part of the insured property address when underwriting HO-3 policies, making it easier for them to aggregate data at a ZIP Code level.</w:t>
      </w:r>
    </w:p>
    <w:bookmarkEnd w:id="58"/>
    <w:bookmarkEnd w:id="61"/>
    <w:p w:rsidR="00C87F05" w:rsidP="00A24444" w14:paraId="253E4899" w14:textId="6E86A35D">
      <w:pPr>
        <w:pStyle w:val="Default"/>
        <w:tabs>
          <w:tab w:val="left" w:pos="360"/>
          <w:tab w:val="left" w:pos="4230"/>
        </w:tabs>
        <w:spacing w:before="240" w:after="240"/>
        <w:rPr>
          <w:rFonts w:ascii="Times New Roman" w:hAnsi="Times New Roman" w:cs="Times New Roman"/>
          <w:color w:val="000000"/>
          <w:sz w:val="24"/>
          <w:szCs w:val="24"/>
        </w:rPr>
      </w:pPr>
      <w:r w:rsidRPr="008846FA">
        <w:rPr>
          <w:rFonts w:ascii="Times New Roman" w:hAnsi="Times New Roman" w:cs="Times New Roman"/>
          <w:color w:val="000000"/>
          <w:sz w:val="24"/>
          <w:szCs w:val="24"/>
        </w:rPr>
        <w:t xml:space="preserve">FIO </w:t>
      </w:r>
      <w:r>
        <w:rPr>
          <w:rFonts w:ascii="Times New Roman" w:hAnsi="Times New Roman" w:cs="Times New Roman"/>
          <w:color w:val="000000"/>
          <w:sz w:val="24"/>
          <w:szCs w:val="24"/>
        </w:rPr>
        <w:t xml:space="preserve">has decided to extend the time period </w:t>
      </w:r>
      <w:r w:rsidR="00B13A14">
        <w:rPr>
          <w:rFonts w:ascii="Times New Roman" w:hAnsi="Times New Roman" w:cs="Times New Roman"/>
          <w:color w:val="000000"/>
          <w:sz w:val="24"/>
          <w:szCs w:val="24"/>
        </w:rPr>
        <w:t>which the Representative Sample Insurers will have to</w:t>
      </w:r>
      <w:r w:rsidRPr="008846FA">
        <w:rPr>
          <w:rFonts w:ascii="Times New Roman" w:hAnsi="Times New Roman" w:cs="Times New Roman"/>
          <w:color w:val="000000"/>
          <w:sz w:val="24"/>
          <w:szCs w:val="24"/>
        </w:rPr>
        <w:t xml:space="preserve"> </w:t>
      </w:r>
      <w:r w:rsidR="00CE5670">
        <w:rPr>
          <w:rFonts w:ascii="Times New Roman" w:hAnsi="Times New Roman" w:cs="Times New Roman"/>
          <w:color w:val="000000"/>
          <w:sz w:val="24"/>
          <w:szCs w:val="24"/>
        </w:rPr>
        <w:t>submit</w:t>
      </w:r>
      <w:r w:rsidRPr="008846FA" w:rsidR="00CE5670">
        <w:rPr>
          <w:rFonts w:ascii="Times New Roman" w:hAnsi="Times New Roman" w:cs="Times New Roman"/>
          <w:color w:val="000000"/>
          <w:sz w:val="24"/>
          <w:szCs w:val="24"/>
        </w:rPr>
        <w:t xml:space="preserve"> </w:t>
      </w:r>
      <w:r w:rsidRPr="008846FA">
        <w:rPr>
          <w:rFonts w:ascii="Times New Roman" w:hAnsi="Times New Roman" w:cs="Times New Roman"/>
          <w:color w:val="000000"/>
          <w:sz w:val="24"/>
          <w:szCs w:val="24"/>
        </w:rPr>
        <w:t xml:space="preserve">the information </w:t>
      </w:r>
      <w:r>
        <w:rPr>
          <w:rFonts w:ascii="Times New Roman" w:hAnsi="Times New Roman" w:cs="Times New Roman"/>
          <w:color w:val="000000"/>
          <w:sz w:val="24"/>
          <w:szCs w:val="24"/>
        </w:rPr>
        <w:t xml:space="preserve">from 60 </w:t>
      </w:r>
      <w:r w:rsidR="00C3620B">
        <w:rPr>
          <w:rFonts w:ascii="Times New Roman" w:hAnsi="Times New Roman" w:cs="Times New Roman"/>
          <w:color w:val="000000"/>
          <w:sz w:val="24"/>
          <w:szCs w:val="24"/>
        </w:rPr>
        <w:t xml:space="preserve">days </w:t>
      </w:r>
      <w:r>
        <w:rPr>
          <w:rFonts w:ascii="Times New Roman" w:hAnsi="Times New Roman" w:cs="Times New Roman"/>
          <w:color w:val="000000"/>
          <w:sz w:val="24"/>
          <w:szCs w:val="24"/>
        </w:rPr>
        <w:t xml:space="preserve">to 90 days </w:t>
      </w:r>
      <w:r w:rsidR="00E94E3C">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ensure that they have sufficient time to </w:t>
      </w:r>
      <w:r w:rsidR="006100A1">
        <w:rPr>
          <w:rFonts w:ascii="Times New Roman" w:hAnsi="Times New Roman" w:cs="Times New Roman"/>
          <w:color w:val="000000"/>
          <w:sz w:val="24"/>
          <w:szCs w:val="24"/>
        </w:rPr>
        <w:t xml:space="preserve">gather and </w:t>
      </w:r>
      <w:r>
        <w:rPr>
          <w:rFonts w:ascii="Times New Roman" w:hAnsi="Times New Roman" w:cs="Times New Roman"/>
          <w:color w:val="000000"/>
          <w:sz w:val="24"/>
          <w:szCs w:val="24"/>
        </w:rPr>
        <w:t>provide the requested data.</w:t>
      </w:r>
    </w:p>
    <w:p w:rsidR="00326BFF" w:rsidRPr="008846FA" w:rsidP="00A24444" w14:paraId="6173D57F" w14:textId="0062A3F1">
      <w:pPr>
        <w:pStyle w:val="Default"/>
        <w:tabs>
          <w:tab w:val="left" w:pos="360"/>
          <w:tab w:val="left" w:pos="4230"/>
        </w:tabs>
        <w:spacing w:before="240" w:after="240"/>
        <w:rPr>
          <w:rFonts w:ascii="Times New Roman" w:hAnsi="Times New Roman" w:cs="Times New Roman"/>
          <w:color w:val="000000"/>
          <w:sz w:val="24"/>
          <w:szCs w:val="24"/>
        </w:rPr>
      </w:pPr>
      <w:bookmarkStart w:id="62" w:name="_Hlk146974675"/>
      <w:r>
        <w:rPr>
          <w:rFonts w:ascii="Times New Roman" w:hAnsi="Times New Roman" w:cs="Times New Roman"/>
          <w:color w:val="000000"/>
          <w:sz w:val="24"/>
          <w:szCs w:val="24"/>
        </w:rPr>
        <w:t>The R</w:t>
      </w:r>
      <w:r w:rsidRPr="00C87F05">
        <w:rPr>
          <w:rFonts w:ascii="Times New Roman" w:hAnsi="Times New Roman" w:cs="Times New Roman"/>
          <w:color w:val="000000"/>
          <w:sz w:val="24"/>
          <w:szCs w:val="24"/>
        </w:rPr>
        <w:t xml:space="preserve">epresentative Sample Insurers </w:t>
      </w:r>
      <w:r w:rsidR="00E922D8">
        <w:rPr>
          <w:rFonts w:ascii="Times New Roman" w:hAnsi="Times New Roman" w:cs="Times New Roman"/>
          <w:color w:val="000000"/>
          <w:sz w:val="24"/>
          <w:szCs w:val="24"/>
        </w:rPr>
        <w:t xml:space="preserve">encompass </w:t>
      </w:r>
      <w:r w:rsidR="008A128B">
        <w:rPr>
          <w:rFonts w:ascii="Times New Roman" w:hAnsi="Times New Roman" w:cs="Times New Roman"/>
          <w:color w:val="000000"/>
          <w:sz w:val="24"/>
          <w:szCs w:val="24"/>
        </w:rPr>
        <w:t>24</w:t>
      </w:r>
      <w:r w:rsidR="00FE3856">
        <w:rPr>
          <w:rFonts w:ascii="Times New Roman" w:hAnsi="Times New Roman" w:cs="Times New Roman"/>
          <w:color w:val="000000"/>
          <w:sz w:val="24"/>
          <w:szCs w:val="24"/>
        </w:rPr>
        <w:t>0</w:t>
      </w:r>
      <w:r w:rsidR="00D7686A">
        <w:rPr>
          <w:rFonts w:ascii="Times New Roman" w:hAnsi="Times New Roman" w:cs="Times New Roman"/>
          <w:color w:val="000000"/>
          <w:sz w:val="24"/>
          <w:szCs w:val="24"/>
        </w:rPr>
        <w:t xml:space="preserve"> homeowners insurance entities</w:t>
      </w:r>
      <w:r w:rsidRPr="00C87F05">
        <w:rPr>
          <w:rFonts w:ascii="Times New Roman" w:hAnsi="Times New Roman" w:cs="Times New Roman"/>
          <w:color w:val="000000"/>
          <w:sz w:val="24"/>
          <w:szCs w:val="24"/>
        </w:rPr>
        <w:t xml:space="preserve">, which </w:t>
      </w:r>
      <w:r w:rsidR="00E922D8">
        <w:rPr>
          <w:rFonts w:ascii="Times New Roman" w:hAnsi="Times New Roman" w:cs="Times New Roman"/>
          <w:color w:val="000000"/>
          <w:sz w:val="24"/>
          <w:szCs w:val="24"/>
        </w:rPr>
        <w:t xml:space="preserve">is </w:t>
      </w:r>
      <w:r w:rsidRPr="00C87F05">
        <w:rPr>
          <w:rFonts w:ascii="Times New Roman" w:hAnsi="Times New Roman" w:cs="Times New Roman"/>
          <w:color w:val="000000"/>
          <w:sz w:val="24"/>
          <w:szCs w:val="24"/>
        </w:rPr>
        <w:t xml:space="preserve">more than </w:t>
      </w:r>
      <w:r w:rsidR="00CE5670">
        <w:rPr>
          <w:rFonts w:ascii="Times New Roman" w:hAnsi="Times New Roman" w:cs="Times New Roman"/>
          <w:color w:val="000000"/>
          <w:sz w:val="24"/>
          <w:szCs w:val="24"/>
        </w:rPr>
        <w:t xml:space="preserve">the 213 entities that </w:t>
      </w:r>
      <w:r w:rsidRPr="00C87F05">
        <w:rPr>
          <w:rFonts w:ascii="Times New Roman" w:hAnsi="Times New Roman" w:cs="Times New Roman"/>
          <w:color w:val="000000"/>
          <w:sz w:val="24"/>
          <w:szCs w:val="24"/>
        </w:rPr>
        <w:t>would have been covered under the selection criteria outlined in the October 2022 FRN.</w:t>
      </w:r>
      <w:r w:rsidR="00D7686A">
        <w:rPr>
          <w:rFonts w:ascii="Times New Roman" w:hAnsi="Times New Roman" w:cs="Times New Roman"/>
          <w:color w:val="000000"/>
          <w:sz w:val="24"/>
          <w:szCs w:val="24"/>
        </w:rPr>
        <w:t xml:space="preserve">  </w:t>
      </w:r>
      <w:bookmarkStart w:id="63" w:name="_Hlk148605212"/>
      <w:bookmarkStart w:id="64" w:name="_Hlk148605199"/>
      <w:r w:rsidR="00E922D8">
        <w:rPr>
          <w:rFonts w:ascii="Times New Roman" w:hAnsi="Times New Roman" w:cs="Times New Roman"/>
          <w:color w:val="000000"/>
          <w:sz w:val="24"/>
          <w:szCs w:val="24"/>
        </w:rPr>
        <w:t xml:space="preserve">Any </w:t>
      </w:r>
      <w:r w:rsidR="00D7686A">
        <w:rPr>
          <w:rFonts w:ascii="Times New Roman" w:hAnsi="Times New Roman" w:cs="Times New Roman"/>
          <w:color w:val="000000"/>
          <w:sz w:val="24"/>
          <w:szCs w:val="24"/>
        </w:rPr>
        <w:t xml:space="preserve">increase in burden from </w:t>
      </w:r>
      <w:r w:rsidR="00E922D8">
        <w:rPr>
          <w:rFonts w:ascii="Times New Roman" w:hAnsi="Times New Roman" w:cs="Times New Roman"/>
          <w:color w:val="000000"/>
          <w:sz w:val="24"/>
          <w:szCs w:val="24"/>
        </w:rPr>
        <w:t xml:space="preserve">including </w:t>
      </w:r>
      <w:r w:rsidR="00E94E3C">
        <w:rPr>
          <w:rFonts w:ascii="Times New Roman" w:hAnsi="Times New Roman" w:cs="Times New Roman"/>
          <w:color w:val="000000"/>
          <w:sz w:val="24"/>
          <w:szCs w:val="24"/>
        </w:rPr>
        <w:t xml:space="preserve">more </w:t>
      </w:r>
      <w:r w:rsidR="00D7686A">
        <w:rPr>
          <w:rFonts w:ascii="Times New Roman" w:hAnsi="Times New Roman" w:cs="Times New Roman"/>
          <w:color w:val="000000"/>
          <w:sz w:val="24"/>
          <w:szCs w:val="24"/>
        </w:rPr>
        <w:t xml:space="preserve">entities will be offset </w:t>
      </w:r>
      <w:r w:rsidR="006C6A83">
        <w:rPr>
          <w:rFonts w:ascii="Times New Roman" w:hAnsi="Times New Roman" w:cs="Times New Roman"/>
          <w:color w:val="000000"/>
          <w:sz w:val="24"/>
          <w:szCs w:val="24"/>
        </w:rPr>
        <w:t>for two reasons.</w:t>
      </w:r>
      <w:r w:rsidR="008A128B">
        <w:rPr>
          <w:rFonts w:ascii="Times New Roman" w:hAnsi="Times New Roman" w:cs="Times New Roman"/>
          <w:color w:val="000000"/>
          <w:sz w:val="24"/>
          <w:szCs w:val="24"/>
        </w:rPr>
        <w:t xml:space="preserve"> </w:t>
      </w:r>
      <w:r w:rsidR="00E94E3C">
        <w:rPr>
          <w:rFonts w:ascii="Times New Roman" w:hAnsi="Times New Roman" w:cs="Times New Roman"/>
          <w:color w:val="000000"/>
          <w:sz w:val="24"/>
          <w:szCs w:val="24"/>
        </w:rPr>
        <w:t xml:space="preserve"> </w:t>
      </w:r>
      <w:r w:rsidR="006C6A83">
        <w:rPr>
          <w:rFonts w:ascii="Times New Roman" w:hAnsi="Times New Roman" w:cs="Times New Roman"/>
          <w:color w:val="000000"/>
          <w:sz w:val="24"/>
          <w:szCs w:val="24"/>
        </w:rPr>
        <w:t xml:space="preserve">First, </w:t>
      </w:r>
      <w:r w:rsidR="008A128B">
        <w:rPr>
          <w:rFonts w:ascii="Times New Roman" w:hAnsi="Times New Roman" w:cs="Times New Roman"/>
          <w:color w:val="000000"/>
          <w:sz w:val="24"/>
          <w:szCs w:val="24"/>
        </w:rPr>
        <w:t xml:space="preserve">FIO is requesting that </w:t>
      </w:r>
      <w:r w:rsidR="00C073D6">
        <w:rPr>
          <w:rFonts w:ascii="Times New Roman" w:hAnsi="Times New Roman" w:cs="Times New Roman"/>
          <w:color w:val="000000"/>
          <w:sz w:val="24"/>
          <w:szCs w:val="24"/>
        </w:rPr>
        <w:t xml:space="preserve">each of </w:t>
      </w:r>
      <w:r w:rsidR="006C6A83">
        <w:rPr>
          <w:rFonts w:ascii="Times New Roman" w:hAnsi="Times New Roman" w:cs="Times New Roman"/>
          <w:color w:val="000000"/>
          <w:sz w:val="24"/>
          <w:szCs w:val="24"/>
        </w:rPr>
        <w:t xml:space="preserve">the 14 Representative Sample Insurers </w:t>
      </w:r>
      <w:r w:rsidR="008A128B">
        <w:rPr>
          <w:rFonts w:ascii="Times New Roman" w:hAnsi="Times New Roman" w:cs="Times New Roman"/>
          <w:color w:val="000000"/>
          <w:sz w:val="24"/>
          <w:szCs w:val="24"/>
        </w:rPr>
        <w:t xml:space="preserve">aggregate responses across all </w:t>
      </w:r>
      <w:r w:rsidR="006C6A83">
        <w:rPr>
          <w:rFonts w:ascii="Times New Roman" w:hAnsi="Times New Roman" w:cs="Times New Roman"/>
          <w:color w:val="000000"/>
          <w:sz w:val="24"/>
          <w:szCs w:val="24"/>
        </w:rPr>
        <w:t xml:space="preserve">of their </w:t>
      </w:r>
      <w:r w:rsidR="008A128B">
        <w:rPr>
          <w:rFonts w:ascii="Times New Roman" w:hAnsi="Times New Roman" w:cs="Times New Roman"/>
          <w:color w:val="000000"/>
          <w:sz w:val="24"/>
          <w:szCs w:val="24"/>
        </w:rPr>
        <w:t xml:space="preserve">insurance entities, which should reduce the burden </w:t>
      </w:r>
      <w:r w:rsidR="007E4B1D">
        <w:rPr>
          <w:rFonts w:ascii="Times New Roman" w:hAnsi="Times New Roman" w:cs="Times New Roman"/>
          <w:color w:val="000000"/>
          <w:sz w:val="24"/>
          <w:szCs w:val="24"/>
        </w:rPr>
        <w:t>on</w:t>
      </w:r>
      <w:r w:rsidR="008A128B">
        <w:rPr>
          <w:rFonts w:ascii="Times New Roman" w:hAnsi="Times New Roman" w:cs="Times New Roman"/>
          <w:color w:val="000000"/>
          <w:sz w:val="24"/>
          <w:szCs w:val="24"/>
        </w:rPr>
        <w:t xml:space="preserve"> any given entity and allow</w:t>
      </w:r>
      <w:r w:rsidR="006C6A83">
        <w:rPr>
          <w:rFonts w:ascii="Times New Roman" w:hAnsi="Times New Roman" w:cs="Times New Roman"/>
          <w:color w:val="000000"/>
          <w:sz w:val="24"/>
          <w:szCs w:val="24"/>
        </w:rPr>
        <w:t xml:space="preserve"> the</w:t>
      </w:r>
      <w:r w:rsidR="008A128B">
        <w:rPr>
          <w:rFonts w:ascii="Times New Roman" w:hAnsi="Times New Roman" w:cs="Times New Roman"/>
          <w:color w:val="000000"/>
          <w:sz w:val="24"/>
          <w:szCs w:val="24"/>
        </w:rPr>
        <w:t xml:space="preserve"> groups to submit one consolidated response.</w:t>
      </w:r>
      <w:r w:rsidR="00D7686A">
        <w:rPr>
          <w:rFonts w:ascii="Times New Roman" w:hAnsi="Times New Roman" w:cs="Times New Roman"/>
          <w:color w:val="000000"/>
          <w:sz w:val="24"/>
          <w:szCs w:val="24"/>
        </w:rPr>
        <w:t xml:space="preserve"> </w:t>
      </w:r>
      <w:r w:rsidR="006C6A83">
        <w:rPr>
          <w:rFonts w:ascii="Times New Roman" w:hAnsi="Times New Roman" w:cs="Times New Roman"/>
          <w:color w:val="000000"/>
          <w:sz w:val="24"/>
          <w:szCs w:val="24"/>
        </w:rPr>
        <w:t xml:space="preserve"> </w:t>
      </w:r>
      <w:r w:rsidR="00B13A14">
        <w:rPr>
          <w:rFonts w:ascii="Times New Roman" w:hAnsi="Times New Roman" w:cs="Times New Roman"/>
          <w:color w:val="000000"/>
          <w:sz w:val="24"/>
          <w:szCs w:val="24"/>
        </w:rPr>
        <w:t xml:space="preserve">Second, </w:t>
      </w:r>
      <w:r w:rsidRPr="008846FA" w:rsidR="00B13A14">
        <w:rPr>
          <w:rFonts w:ascii="Times New Roman" w:hAnsi="Times New Roman" w:cs="Times New Roman"/>
          <w:color w:val="000000"/>
          <w:sz w:val="24"/>
          <w:szCs w:val="24"/>
        </w:rPr>
        <w:t xml:space="preserve">FIO is reducing the number of data </w:t>
      </w:r>
      <w:r w:rsidR="00B13A14">
        <w:rPr>
          <w:rFonts w:ascii="Times New Roman" w:hAnsi="Times New Roman" w:cs="Times New Roman"/>
          <w:color w:val="000000"/>
          <w:sz w:val="24"/>
          <w:szCs w:val="24"/>
        </w:rPr>
        <w:t>fields</w:t>
      </w:r>
      <w:r w:rsidR="00800283">
        <w:rPr>
          <w:rFonts w:ascii="Times New Roman" w:hAnsi="Times New Roman" w:cs="Times New Roman"/>
          <w:color w:val="000000"/>
          <w:sz w:val="24"/>
          <w:szCs w:val="24"/>
        </w:rPr>
        <w:t xml:space="preserve"> </w:t>
      </w:r>
      <w:r w:rsidR="00CC3F65">
        <w:rPr>
          <w:rFonts w:ascii="Times New Roman" w:hAnsi="Times New Roman" w:cs="Times New Roman"/>
          <w:color w:val="000000"/>
          <w:sz w:val="24"/>
          <w:szCs w:val="24"/>
        </w:rPr>
        <w:t xml:space="preserve">(from 15 to 7) </w:t>
      </w:r>
      <w:r w:rsidR="00800283">
        <w:rPr>
          <w:rFonts w:ascii="Times New Roman" w:hAnsi="Times New Roman" w:cs="Times New Roman"/>
          <w:color w:val="000000"/>
          <w:sz w:val="24"/>
          <w:szCs w:val="24"/>
        </w:rPr>
        <w:t>and the number of policy forms</w:t>
      </w:r>
      <w:r w:rsidR="00CC3F65">
        <w:rPr>
          <w:rFonts w:ascii="Times New Roman" w:hAnsi="Times New Roman" w:cs="Times New Roman"/>
          <w:color w:val="000000"/>
          <w:sz w:val="24"/>
          <w:szCs w:val="24"/>
        </w:rPr>
        <w:t xml:space="preserve"> (from 6 to 1)</w:t>
      </w:r>
      <w:r w:rsidR="00800283">
        <w:rPr>
          <w:rFonts w:ascii="Times New Roman" w:hAnsi="Times New Roman" w:cs="Times New Roman"/>
          <w:color w:val="000000"/>
          <w:sz w:val="24"/>
          <w:szCs w:val="24"/>
        </w:rPr>
        <w:t xml:space="preserve"> for which data should be collected</w:t>
      </w:r>
      <w:r w:rsidRPr="008846FA">
        <w:rPr>
          <w:rFonts w:ascii="Times New Roman" w:hAnsi="Times New Roman" w:cs="Times New Roman"/>
          <w:color w:val="000000"/>
          <w:sz w:val="24"/>
          <w:szCs w:val="24"/>
        </w:rPr>
        <w:t xml:space="preserve">, which will enable </w:t>
      </w:r>
      <w:r w:rsidR="00CC3F65">
        <w:rPr>
          <w:rFonts w:ascii="Times New Roman" w:hAnsi="Times New Roman" w:cs="Times New Roman"/>
          <w:color w:val="000000"/>
          <w:sz w:val="24"/>
          <w:szCs w:val="24"/>
        </w:rPr>
        <w:t xml:space="preserve">a </w:t>
      </w:r>
      <w:r w:rsidR="00C073D6">
        <w:rPr>
          <w:rFonts w:ascii="Times New Roman" w:hAnsi="Times New Roman" w:cs="Times New Roman"/>
          <w:color w:val="000000"/>
          <w:sz w:val="24"/>
          <w:szCs w:val="24"/>
        </w:rPr>
        <w:t xml:space="preserve">significant </w:t>
      </w:r>
      <w:r w:rsidRPr="008846FA">
        <w:rPr>
          <w:rFonts w:ascii="Times New Roman" w:hAnsi="Times New Roman" w:cs="Times New Roman"/>
          <w:color w:val="000000"/>
          <w:sz w:val="24"/>
          <w:szCs w:val="24"/>
        </w:rPr>
        <w:t xml:space="preserve">reduction of </w:t>
      </w:r>
      <w:r w:rsidR="00CC3F65">
        <w:rPr>
          <w:rFonts w:ascii="Times New Roman" w:hAnsi="Times New Roman" w:cs="Times New Roman"/>
          <w:color w:val="000000"/>
          <w:sz w:val="24"/>
          <w:szCs w:val="24"/>
        </w:rPr>
        <w:t xml:space="preserve">the </w:t>
      </w:r>
      <w:r w:rsidRPr="008846FA">
        <w:rPr>
          <w:rFonts w:ascii="Times New Roman" w:hAnsi="Times New Roman" w:cs="Times New Roman"/>
          <w:color w:val="000000"/>
          <w:sz w:val="24"/>
          <w:szCs w:val="24"/>
        </w:rPr>
        <w:t xml:space="preserve">burden </w:t>
      </w:r>
      <w:r w:rsidR="00CC3F65">
        <w:rPr>
          <w:rFonts w:ascii="Times New Roman" w:hAnsi="Times New Roman" w:cs="Times New Roman"/>
          <w:color w:val="000000"/>
          <w:sz w:val="24"/>
          <w:szCs w:val="24"/>
        </w:rPr>
        <w:t xml:space="preserve">for this </w:t>
      </w:r>
      <w:r w:rsidR="00FD72F4">
        <w:rPr>
          <w:rFonts w:ascii="Times New Roman" w:hAnsi="Times New Roman" w:cs="Times New Roman"/>
          <w:color w:val="000000"/>
          <w:sz w:val="24"/>
          <w:szCs w:val="24"/>
        </w:rPr>
        <w:t xml:space="preserve">proposed </w:t>
      </w:r>
      <w:r w:rsidR="00CC3F65">
        <w:rPr>
          <w:rFonts w:ascii="Times New Roman" w:hAnsi="Times New Roman" w:cs="Times New Roman"/>
          <w:color w:val="000000"/>
          <w:sz w:val="24"/>
          <w:szCs w:val="24"/>
        </w:rPr>
        <w:t xml:space="preserve">data collection </w:t>
      </w:r>
      <w:r w:rsidRPr="008846FA">
        <w:rPr>
          <w:rFonts w:ascii="Times New Roman" w:hAnsi="Times New Roman" w:cs="Times New Roman"/>
          <w:color w:val="000000"/>
          <w:sz w:val="24"/>
          <w:szCs w:val="24"/>
        </w:rPr>
        <w:t>relative to the proposed estimate</w:t>
      </w:r>
      <w:r w:rsidR="00CC3F65">
        <w:rPr>
          <w:rFonts w:ascii="Times New Roman" w:hAnsi="Times New Roman" w:cs="Times New Roman"/>
          <w:color w:val="000000"/>
          <w:sz w:val="24"/>
          <w:szCs w:val="24"/>
        </w:rPr>
        <w:t xml:space="preserve"> in the October 2022 FRN</w:t>
      </w:r>
      <w:r w:rsidRPr="008846FA">
        <w:rPr>
          <w:rFonts w:ascii="Times New Roman" w:hAnsi="Times New Roman" w:cs="Times New Roman"/>
          <w:color w:val="000000"/>
          <w:sz w:val="24"/>
          <w:szCs w:val="24"/>
        </w:rPr>
        <w:t xml:space="preserve">, even with </w:t>
      </w:r>
      <w:r w:rsidR="005C3D24">
        <w:rPr>
          <w:rFonts w:ascii="Times New Roman" w:hAnsi="Times New Roman" w:cs="Times New Roman"/>
          <w:color w:val="000000"/>
          <w:sz w:val="24"/>
          <w:szCs w:val="24"/>
        </w:rPr>
        <w:t xml:space="preserve">the </w:t>
      </w:r>
      <w:r w:rsidRPr="008846FA">
        <w:rPr>
          <w:rFonts w:ascii="Times New Roman" w:hAnsi="Times New Roman" w:cs="Times New Roman"/>
          <w:color w:val="000000"/>
          <w:sz w:val="24"/>
          <w:szCs w:val="24"/>
        </w:rPr>
        <w:t>proposed change to add one more year of reporting</w:t>
      </w:r>
      <w:r w:rsidR="00777536">
        <w:rPr>
          <w:rFonts w:ascii="Times New Roman" w:hAnsi="Times New Roman" w:cs="Times New Roman"/>
          <w:color w:val="000000"/>
          <w:sz w:val="24"/>
          <w:szCs w:val="24"/>
        </w:rPr>
        <w:t xml:space="preserve">.  </w:t>
      </w:r>
      <w:bookmarkEnd w:id="62"/>
      <w:r w:rsidR="00777536">
        <w:rPr>
          <w:rFonts w:ascii="Times New Roman" w:hAnsi="Times New Roman" w:cs="Times New Roman"/>
          <w:color w:val="000000"/>
          <w:sz w:val="24"/>
          <w:szCs w:val="24"/>
        </w:rPr>
        <w:t xml:space="preserve">The reduction in the total estimated burden hours </w:t>
      </w:r>
      <w:r w:rsidR="00527689">
        <w:rPr>
          <w:rFonts w:ascii="Times New Roman" w:hAnsi="Times New Roman" w:cs="Times New Roman"/>
          <w:color w:val="000000"/>
          <w:sz w:val="24"/>
          <w:szCs w:val="24"/>
        </w:rPr>
        <w:t xml:space="preserve">resulting from the changes in the number of data fields </w:t>
      </w:r>
      <w:r w:rsidR="00777536">
        <w:rPr>
          <w:rFonts w:ascii="Times New Roman" w:hAnsi="Times New Roman" w:cs="Times New Roman"/>
          <w:color w:val="000000"/>
          <w:sz w:val="24"/>
          <w:szCs w:val="24"/>
        </w:rPr>
        <w:t>is</w:t>
      </w:r>
      <w:r w:rsidR="00EC3FD1">
        <w:rPr>
          <w:rFonts w:ascii="Times New Roman" w:hAnsi="Times New Roman" w:cs="Times New Roman"/>
          <w:color w:val="000000"/>
          <w:sz w:val="24"/>
          <w:szCs w:val="24"/>
        </w:rPr>
        <w:t xml:space="preserve"> </w:t>
      </w:r>
      <w:r w:rsidRPr="008846FA">
        <w:rPr>
          <w:rFonts w:ascii="Times New Roman" w:hAnsi="Times New Roman" w:cs="Times New Roman"/>
          <w:color w:val="000000"/>
          <w:sz w:val="24"/>
          <w:szCs w:val="24"/>
        </w:rPr>
        <w:t xml:space="preserve">discussed </w:t>
      </w:r>
      <w:r w:rsidR="00EC3FD1">
        <w:rPr>
          <w:rFonts w:ascii="Times New Roman" w:hAnsi="Times New Roman" w:cs="Times New Roman"/>
          <w:color w:val="000000"/>
          <w:sz w:val="24"/>
          <w:szCs w:val="24"/>
        </w:rPr>
        <w:t xml:space="preserve">in response to </w:t>
      </w:r>
      <w:bookmarkEnd w:id="63"/>
      <w:r w:rsidR="00EC3FD1">
        <w:rPr>
          <w:rFonts w:ascii="Times New Roman" w:hAnsi="Times New Roman" w:cs="Times New Roman"/>
          <w:color w:val="000000"/>
          <w:sz w:val="24"/>
          <w:szCs w:val="24"/>
        </w:rPr>
        <w:t>Question 12</w:t>
      </w:r>
      <w:r w:rsidR="00366013">
        <w:rPr>
          <w:rFonts w:ascii="Times New Roman" w:hAnsi="Times New Roman" w:cs="Times New Roman"/>
          <w:color w:val="000000"/>
          <w:sz w:val="24"/>
          <w:szCs w:val="24"/>
        </w:rPr>
        <w:t>.</w:t>
      </w:r>
    </w:p>
    <w:p w:rsidR="006D3728" w:rsidRPr="00AA189E" w:rsidP="00B66761" w14:paraId="55EEE0DB" w14:textId="77777777">
      <w:pPr>
        <w:pStyle w:val="Default"/>
        <w:keepNext/>
        <w:numPr>
          <w:ilvl w:val="0"/>
          <w:numId w:val="24"/>
        </w:numPr>
        <w:tabs>
          <w:tab w:val="left" w:pos="720"/>
          <w:tab w:val="left" w:pos="4230"/>
        </w:tabs>
        <w:spacing w:before="240" w:after="240"/>
        <w:rPr>
          <w:rFonts w:ascii="Times New Roman" w:hAnsi="Times New Roman" w:cs="Times New Roman"/>
          <w:color w:val="000000"/>
          <w:sz w:val="24"/>
          <w:szCs w:val="24"/>
          <w:u w:val="single"/>
        </w:rPr>
      </w:pPr>
      <w:bookmarkStart w:id="65" w:name="_Hlk146973006"/>
      <w:bookmarkEnd w:id="64"/>
      <w:r>
        <w:rPr>
          <w:rFonts w:ascii="Times New Roman" w:hAnsi="Times New Roman" w:cs="Times New Roman"/>
          <w:color w:val="000000"/>
          <w:sz w:val="24"/>
          <w:szCs w:val="24"/>
          <w:u w:val="single"/>
        </w:rPr>
        <w:t>Data Fields</w:t>
      </w:r>
    </w:p>
    <w:p w:rsidR="006D3728" w:rsidP="00B66761" w14:paraId="48350780" w14:textId="0737AEEC">
      <w:pPr>
        <w:pStyle w:val="Default"/>
        <w:keepNext/>
        <w:tabs>
          <w:tab w:val="left" w:pos="360"/>
          <w:tab w:val="left" w:pos="4230"/>
        </w:tabs>
        <w:spacing w:before="240" w:after="240"/>
        <w:rPr>
          <w:rFonts w:ascii="Times New Roman" w:hAnsi="Times New Roman" w:cs="Times New Roman"/>
          <w:color w:val="000000"/>
          <w:sz w:val="24"/>
          <w:szCs w:val="24"/>
        </w:rPr>
      </w:pPr>
      <w:bookmarkStart w:id="66" w:name="_Hlk148605229"/>
      <w:r w:rsidRPr="00A64EA3">
        <w:rPr>
          <w:rFonts w:ascii="Times New Roman" w:hAnsi="Times New Roman" w:cs="Times New Roman"/>
          <w:color w:val="000000"/>
          <w:sz w:val="24"/>
          <w:szCs w:val="24"/>
        </w:rPr>
        <w:t xml:space="preserve">Many commenters provided detailed </w:t>
      </w:r>
      <w:r>
        <w:rPr>
          <w:rFonts w:ascii="Times New Roman" w:hAnsi="Times New Roman" w:cs="Times New Roman"/>
          <w:color w:val="000000"/>
          <w:sz w:val="24"/>
          <w:szCs w:val="24"/>
        </w:rPr>
        <w:t xml:space="preserve">and helpful </w:t>
      </w:r>
      <w:r w:rsidRPr="00A64EA3">
        <w:rPr>
          <w:rFonts w:ascii="Times New Roman" w:hAnsi="Times New Roman" w:cs="Times New Roman"/>
          <w:color w:val="000000"/>
          <w:sz w:val="24"/>
          <w:szCs w:val="24"/>
        </w:rPr>
        <w:t xml:space="preserve">feedback on the fifteen data </w:t>
      </w:r>
      <w:r>
        <w:rPr>
          <w:rFonts w:ascii="Times New Roman" w:hAnsi="Times New Roman" w:cs="Times New Roman"/>
          <w:color w:val="000000"/>
          <w:sz w:val="24"/>
          <w:szCs w:val="24"/>
        </w:rPr>
        <w:t>fields</w:t>
      </w:r>
      <w:r w:rsidRPr="00A64EA3">
        <w:rPr>
          <w:rFonts w:ascii="Times New Roman" w:hAnsi="Times New Roman" w:cs="Times New Roman"/>
          <w:color w:val="000000"/>
          <w:sz w:val="24"/>
          <w:szCs w:val="24"/>
        </w:rPr>
        <w:t xml:space="preserve"> that FIO proposed collecting, including feedback on burden, consistency of collected data, and usefulness.  In addition, many commenters requested details on how each data field would be used.  FIO met with </w:t>
      </w:r>
      <w:bookmarkStart w:id="67" w:name="_Hlk148605239"/>
      <w:r w:rsidRPr="00A64EA3">
        <w:rPr>
          <w:rFonts w:ascii="Times New Roman" w:hAnsi="Times New Roman" w:cs="Times New Roman"/>
          <w:color w:val="000000"/>
          <w:sz w:val="24"/>
          <w:szCs w:val="24"/>
        </w:rPr>
        <w:t xml:space="preserve">several insurers </w:t>
      </w:r>
      <w:r w:rsidR="00E836F5">
        <w:rPr>
          <w:rFonts w:ascii="Times New Roman" w:hAnsi="Times New Roman" w:cs="Times New Roman"/>
          <w:color w:val="000000"/>
          <w:sz w:val="24"/>
          <w:szCs w:val="24"/>
        </w:rPr>
        <w:t xml:space="preserve">and other stakeholders </w:t>
      </w:r>
      <w:r w:rsidRPr="00A64EA3">
        <w:rPr>
          <w:rFonts w:ascii="Times New Roman" w:hAnsi="Times New Roman" w:cs="Times New Roman"/>
          <w:color w:val="000000"/>
          <w:sz w:val="24"/>
          <w:szCs w:val="24"/>
        </w:rPr>
        <w:t xml:space="preserve">after </w:t>
      </w:r>
      <w:bookmarkEnd w:id="67"/>
      <w:r w:rsidRPr="00A64EA3">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close</w:t>
      </w:r>
      <w:r w:rsidRPr="00A64EA3">
        <w:rPr>
          <w:rFonts w:ascii="Times New Roman" w:hAnsi="Times New Roman" w:cs="Times New Roman"/>
          <w:color w:val="000000"/>
          <w:sz w:val="24"/>
          <w:szCs w:val="24"/>
        </w:rPr>
        <w:t xml:space="preserve"> of the comment period in order to better understand which data </w:t>
      </w:r>
      <w:r>
        <w:rPr>
          <w:rFonts w:ascii="Times New Roman" w:hAnsi="Times New Roman" w:cs="Times New Roman"/>
          <w:color w:val="000000"/>
          <w:sz w:val="24"/>
          <w:szCs w:val="24"/>
        </w:rPr>
        <w:t>fields</w:t>
      </w:r>
      <w:r w:rsidRPr="00A64EA3">
        <w:rPr>
          <w:rFonts w:ascii="Times New Roman" w:hAnsi="Times New Roman" w:cs="Times New Roman"/>
          <w:color w:val="000000"/>
          <w:sz w:val="24"/>
          <w:szCs w:val="24"/>
        </w:rPr>
        <w:t xml:space="preserve"> would be particularly burdensome.</w:t>
      </w:r>
    </w:p>
    <w:p w:rsidR="006D3728" w:rsidP="006D3728" w14:paraId="2ADC55ED" w14:textId="76E68E3B">
      <w:pPr>
        <w:pStyle w:val="Default"/>
        <w:tabs>
          <w:tab w:val="left" w:pos="360"/>
          <w:tab w:val="left" w:pos="4230"/>
        </w:tabs>
        <w:spacing w:before="240" w:after="240"/>
        <w:rPr>
          <w:rFonts w:ascii="Times New Roman" w:hAnsi="Times New Roman" w:cs="Times New Roman"/>
          <w:color w:val="000000"/>
          <w:sz w:val="24"/>
          <w:szCs w:val="24"/>
        </w:rPr>
      </w:pPr>
      <w:bookmarkStart w:id="68" w:name="_Hlk148696934"/>
      <w:bookmarkStart w:id="69" w:name="_Hlk145974067"/>
      <w:bookmarkEnd w:id="65"/>
      <w:r w:rsidRPr="00527ED1">
        <w:rPr>
          <w:rFonts w:ascii="Times New Roman" w:hAnsi="Times New Roman" w:cs="Times New Roman"/>
          <w:color w:val="000000"/>
          <w:sz w:val="24"/>
          <w:szCs w:val="24"/>
        </w:rPr>
        <w:t>Based on the comments received and FIO’s decision to narrow the scope of the data collection,</w:t>
      </w:r>
      <w:r>
        <w:rPr>
          <w:rFonts w:ascii="Times New Roman" w:hAnsi="Times New Roman" w:cs="Times New Roman"/>
          <w:color w:val="000000"/>
          <w:sz w:val="24"/>
          <w:szCs w:val="24"/>
        </w:rPr>
        <w:t xml:space="preserve"> FIO eliminated </w:t>
      </w:r>
      <w:r w:rsidRPr="00080A91">
        <w:rPr>
          <w:rFonts w:ascii="Times New Roman" w:hAnsi="Times New Roman" w:cs="Times New Roman"/>
          <w:color w:val="000000"/>
          <w:sz w:val="24"/>
          <w:szCs w:val="24"/>
        </w:rPr>
        <w:t>eight</w:t>
      </w:r>
      <w:r>
        <w:rPr>
          <w:rFonts w:ascii="Times New Roman" w:hAnsi="Times New Roman" w:cs="Times New Roman"/>
          <w:color w:val="000000"/>
          <w:sz w:val="24"/>
          <w:szCs w:val="24"/>
        </w:rPr>
        <w:t xml:space="preserve"> of the fifteen proposed data fields.  The response to Question 1 describes the seven retained fields, including their proposed use.  In brief, </w:t>
      </w:r>
      <w:r w:rsidRPr="005A222D">
        <w:rPr>
          <w:rFonts w:ascii="Times New Roman" w:hAnsi="Times New Roman" w:cs="Times New Roman"/>
          <w:color w:val="000000"/>
          <w:sz w:val="24"/>
          <w:szCs w:val="24"/>
        </w:rPr>
        <w:t xml:space="preserve">FIO </w:t>
      </w:r>
      <w:r>
        <w:rPr>
          <w:rFonts w:ascii="Times New Roman" w:hAnsi="Times New Roman" w:cs="Times New Roman"/>
          <w:color w:val="000000"/>
          <w:sz w:val="24"/>
          <w:szCs w:val="24"/>
        </w:rPr>
        <w:t>plans to</w:t>
      </w:r>
      <w:r w:rsidRPr="005A22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delete</w:t>
      </w:r>
      <w:r w:rsidRPr="005A222D">
        <w:rPr>
          <w:rFonts w:ascii="Times New Roman" w:hAnsi="Times New Roman" w:cs="Times New Roman"/>
          <w:color w:val="000000"/>
          <w:sz w:val="24"/>
          <w:szCs w:val="24"/>
        </w:rPr>
        <w:t xml:space="preserve"> fields for which information is substantially similar to other fields</w:t>
      </w:r>
      <w:r>
        <w:rPr>
          <w:rFonts w:ascii="Times New Roman" w:hAnsi="Times New Roman" w:cs="Times New Roman"/>
          <w:color w:val="000000"/>
          <w:sz w:val="24"/>
          <w:szCs w:val="24"/>
        </w:rPr>
        <w:t xml:space="preserve"> (e.g., direct premiums earned),</w:t>
      </w:r>
      <w:r w:rsidRPr="005A222D">
        <w:rPr>
          <w:rFonts w:ascii="Times New Roman" w:hAnsi="Times New Roman" w:cs="Times New Roman"/>
          <w:color w:val="000000"/>
          <w:sz w:val="24"/>
          <w:szCs w:val="24"/>
        </w:rPr>
        <w:t xml:space="preserve"> cannot be </w:t>
      </w:r>
      <w:bookmarkStart w:id="70" w:name="_Hlk148605248"/>
      <w:r w:rsidRPr="005A222D">
        <w:rPr>
          <w:rFonts w:ascii="Times New Roman" w:hAnsi="Times New Roman" w:cs="Times New Roman"/>
          <w:color w:val="000000"/>
          <w:sz w:val="24"/>
          <w:szCs w:val="24"/>
        </w:rPr>
        <w:t>collected consistently</w:t>
      </w:r>
      <w:r w:rsidR="00E836F5">
        <w:rPr>
          <w:rFonts w:ascii="Times New Roman" w:hAnsi="Times New Roman" w:cs="Times New Roman"/>
          <w:color w:val="000000"/>
          <w:sz w:val="24"/>
          <w:szCs w:val="24"/>
        </w:rPr>
        <w:t xml:space="preserve"> at this time</w:t>
      </w:r>
      <w:r>
        <w:rPr>
          <w:rFonts w:ascii="Times New Roman" w:hAnsi="Times New Roman" w:cs="Times New Roman"/>
          <w:color w:val="000000"/>
          <w:sz w:val="24"/>
          <w:szCs w:val="24"/>
        </w:rPr>
        <w:t xml:space="preserve"> </w:t>
      </w:r>
      <w:bookmarkEnd w:id="70"/>
      <w:r>
        <w:rPr>
          <w:rFonts w:ascii="Times New Roman" w:hAnsi="Times New Roman" w:cs="Times New Roman"/>
          <w:color w:val="000000"/>
          <w:sz w:val="24"/>
          <w:szCs w:val="24"/>
        </w:rPr>
        <w:t>(e.g., total dollar amount of insurance deductible), or is not necessary for FIO’s initial analyses (e.g., number of claims reported)</w:t>
      </w:r>
      <w:r w:rsidRPr="005A22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05B6F">
        <w:rPr>
          <w:rFonts w:ascii="Times New Roman" w:hAnsi="Times New Roman" w:cs="Times New Roman"/>
          <w:color w:val="000000"/>
          <w:sz w:val="24"/>
          <w:szCs w:val="24"/>
        </w:rPr>
        <w:t xml:space="preserve">The narrower focus of this data collection includes data that will help establish a national baseline for analytics in this area. </w:t>
      </w:r>
    </w:p>
    <w:bookmarkEnd w:id="66"/>
    <w:bookmarkEnd w:id="68"/>
    <w:p w:rsidR="006D3728" w:rsidP="006D3728" w14:paraId="44949618" w14:textId="33FC5669">
      <w:pPr>
        <w:pStyle w:val="Default"/>
        <w:tabs>
          <w:tab w:val="left" w:pos="360"/>
          <w:tab w:val="left" w:pos="4230"/>
        </w:tabs>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FIO revised one of the seven data fields.  The template provided with the October 2022 FRN included a </w:t>
      </w:r>
      <w:r w:rsidRPr="009352D0">
        <w:rPr>
          <w:rFonts w:ascii="Times New Roman" w:eastAsia="Calibri" w:hAnsi="Times New Roman" w:cs="Times New Roman"/>
          <w:sz w:val="24"/>
          <w:szCs w:val="22"/>
        </w:rPr>
        <w:t xml:space="preserve">field </w:t>
      </w:r>
      <w:r>
        <w:rPr>
          <w:rFonts w:ascii="Times New Roman" w:eastAsia="Calibri" w:hAnsi="Times New Roman" w:cs="Times New Roman"/>
          <w:sz w:val="24"/>
          <w:szCs w:val="22"/>
        </w:rPr>
        <w:t xml:space="preserve">that asked for the </w:t>
      </w:r>
      <w:r w:rsidRPr="009352D0">
        <w:rPr>
          <w:rFonts w:ascii="Times New Roman" w:eastAsia="Calibri" w:hAnsi="Times New Roman" w:cs="Times New Roman"/>
          <w:sz w:val="24"/>
          <w:szCs w:val="22"/>
        </w:rPr>
        <w:t>“</w:t>
      </w:r>
      <w:r>
        <w:rPr>
          <w:rFonts w:ascii="Times New Roman" w:eastAsia="Calibri" w:hAnsi="Times New Roman" w:cs="Times New Roman"/>
          <w:sz w:val="24"/>
          <w:szCs w:val="22"/>
        </w:rPr>
        <w:t>A</w:t>
      </w:r>
      <w:r w:rsidRPr="009352D0">
        <w:rPr>
          <w:rFonts w:ascii="Times New Roman" w:eastAsia="Calibri" w:hAnsi="Times New Roman" w:cs="Times New Roman"/>
          <w:sz w:val="24"/>
          <w:szCs w:val="22"/>
        </w:rPr>
        <w:t xml:space="preserve">mount of </w:t>
      </w:r>
      <w:r>
        <w:rPr>
          <w:rFonts w:ascii="Times New Roman" w:eastAsia="Calibri" w:hAnsi="Times New Roman" w:cs="Times New Roman"/>
          <w:sz w:val="24"/>
          <w:szCs w:val="22"/>
        </w:rPr>
        <w:t>D</w:t>
      </w:r>
      <w:r w:rsidRPr="009352D0">
        <w:rPr>
          <w:rFonts w:ascii="Times New Roman" w:eastAsia="Calibri" w:hAnsi="Times New Roman" w:cs="Times New Roman"/>
          <w:sz w:val="24"/>
          <w:szCs w:val="22"/>
        </w:rPr>
        <w:t xml:space="preserve">irect </w:t>
      </w:r>
      <w:r>
        <w:rPr>
          <w:rFonts w:ascii="Times New Roman" w:eastAsia="Calibri" w:hAnsi="Times New Roman" w:cs="Times New Roman"/>
          <w:sz w:val="24"/>
          <w:szCs w:val="22"/>
        </w:rPr>
        <w:t>P</w:t>
      </w:r>
      <w:r w:rsidRPr="009352D0">
        <w:rPr>
          <w:rFonts w:ascii="Times New Roman" w:eastAsia="Calibri" w:hAnsi="Times New Roman" w:cs="Times New Roman"/>
          <w:sz w:val="24"/>
          <w:szCs w:val="22"/>
        </w:rPr>
        <w:t xml:space="preserve">remiums </w:t>
      </w:r>
      <w:r>
        <w:rPr>
          <w:rFonts w:ascii="Times New Roman" w:eastAsia="Calibri" w:hAnsi="Times New Roman" w:cs="Times New Roman"/>
          <w:sz w:val="24"/>
          <w:szCs w:val="22"/>
        </w:rPr>
        <w:t>W</w:t>
      </w:r>
      <w:r w:rsidRPr="009352D0">
        <w:rPr>
          <w:rFonts w:ascii="Times New Roman" w:eastAsia="Calibri" w:hAnsi="Times New Roman" w:cs="Times New Roman"/>
          <w:sz w:val="24"/>
          <w:szCs w:val="22"/>
        </w:rPr>
        <w:t xml:space="preserve">ritten </w:t>
      </w:r>
      <w:r>
        <w:rPr>
          <w:rFonts w:ascii="Times New Roman" w:eastAsia="Calibri" w:hAnsi="Times New Roman" w:cs="Times New Roman"/>
          <w:sz w:val="24"/>
          <w:szCs w:val="22"/>
        </w:rPr>
        <w:t>N</w:t>
      </w:r>
      <w:r w:rsidRPr="009352D0">
        <w:rPr>
          <w:rFonts w:ascii="Times New Roman" w:eastAsia="Calibri" w:hAnsi="Times New Roman" w:cs="Times New Roman"/>
          <w:sz w:val="24"/>
          <w:szCs w:val="22"/>
        </w:rPr>
        <w:t xml:space="preserve">ot </w:t>
      </w:r>
      <w:r>
        <w:rPr>
          <w:rFonts w:ascii="Times New Roman" w:eastAsia="Calibri" w:hAnsi="Times New Roman" w:cs="Times New Roman"/>
          <w:sz w:val="24"/>
          <w:szCs w:val="22"/>
        </w:rPr>
        <w:t>R</w:t>
      </w:r>
      <w:r w:rsidRPr="009352D0">
        <w:rPr>
          <w:rFonts w:ascii="Times New Roman" w:eastAsia="Calibri" w:hAnsi="Times New Roman" w:cs="Times New Roman"/>
          <w:sz w:val="24"/>
          <w:szCs w:val="22"/>
        </w:rPr>
        <w:t xml:space="preserve">enewed or </w:t>
      </w:r>
      <w:r>
        <w:rPr>
          <w:rFonts w:ascii="Times New Roman" w:eastAsia="Calibri" w:hAnsi="Times New Roman" w:cs="Times New Roman"/>
          <w:sz w:val="24"/>
          <w:szCs w:val="22"/>
        </w:rPr>
        <w:t>R</w:t>
      </w:r>
      <w:r w:rsidRPr="009352D0">
        <w:rPr>
          <w:rFonts w:ascii="Times New Roman" w:eastAsia="Calibri" w:hAnsi="Times New Roman" w:cs="Times New Roman"/>
          <w:sz w:val="24"/>
          <w:szCs w:val="22"/>
        </w:rPr>
        <w:t>etained</w:t>
      </w:r>
      <w:r>
        <w:rPr>
          <w:rFonts w:ascii="Times New Roman" w:eastAsia="Calibri" w:hAnsi="Times New Roman" w:cs="Times New Roman"/>
          <w:sz w:val="24"/>
          <w:szCs w:val="22"/>
        </w:rPr>
        <w:t>.</w:t>
      </w:r>
      <w:r w:rsidRPr="009352D0">
        <w:rPr>
          <w:rFonts w:ascii="Times New Roman" w:eastAsia="Calibri" w:hAnsi="Times New Roman" w:cs="Times New Roman"/>
          <w:sz w:val="24"/>
          <w:szCs w:val="22"/>
        </w:rPr>
        <w:t xml:space="preserve">”  </w:t>
      </w:r>
      <w:r>
        <w:rPr>
          <w:rFonts w:ascii="Times New Roman" w:eastAsia="Calibri" w:hAnsi="Times New Roman" w:cs="Times New Roman"/>
          <w:sz w:val="24"/>
          <w:szCs w:val="22"/>
        </w:rPr>
        <w:t>FIO has revised that field to: “</w:t>
      </w:r>
      <w:r w:rsidRPr="009352D0">
        <w:rPr>
          <w:rFonts w:ascii="Times New Roman" w:eastAsia="Calibri" w:hAnsi="Times New Roman" w:cs="Times New Roman"/>
          <w:sz w:val="24"/>
          <w:szCs w:val="22"/>
        </w:rPr>
        <w:t>Number of Policies Not Renewed or Retained</w:t>
      </w:r>
      <w:r>
        <w:rPr>
          <w:rFonts w:ascii="Times New Roman" w:eastAsia="Calibri" w:hAnsi="Times New Roman" w:cs="Times New Roman"/>
          <w:sz w:val="24"/>
          <w:szCs w:val="22"/>
        </w:rPr>
        <w:t xml:space="preserve">.”  FIO is making this change because it is a more commonly reported measure of non-renewals.  Some states (e.g., California) and the </w:t>
      </w:r>
      <w:r w:rsidRPr="009352D0">
        <w:rPr>
          <w:rFonts w:ascii="Times New Roman" w:eastAsia="Calibri" w:hAnsi="Times New Roman" w:cs="Times New Roman"/>
          <w:sz w:val="24"/>
          <w:szCs w:val="22"/>
        </w:rPr>
        <w:t>NAIC’s Market Conduct Annual Statement</w:t>
      </w:r>
      <w:r>
        <w:rPr>
          <w:rFonts w:ascii="Times New Roman" w:eastAsia="Calibri" w:hAnsi="Times New Roman" w:cs="Times New Roman"/>
          <w:sz w:val="24"/>
          <w:szCs w:val="22"/>
        </w:rPr>
        <w:t xml:space="preserve"> require insurers </w:t>
      </w:r>
      <w:r>
        <w:rPr>
          <w:rFonts w:ascii="Times New Roman" w:eastAsia="Calibri" w:hAnsi="Times New Roman" w:cs="Times New Roman"/>
          <w:sz w:val="24"/>
          <w:szCs w:val="22"/>
        </w:rPr>
        <w:t>to report the number of policies not renewed or retained.</w:t>
      </w:r>
      <w:r>
        <w:rPr>
          <w:rStyle w:val="FootnoteReference"/>
          <w:rFonts w:ascii="Times New Roman" w:eastAsia="Calibri" w:hAnsi="Times New Roman" w:cs="Times New Roman"/>
          <w:sz w:val="24"/>
          <w:szCs w:val="22"/>
          <w:vertAlign w:val="superscript"/>
        </w:rPr>
        <w:footnoteReference w:id="27"/>
      </w:r>
      <w:r w:rsidRPr="008D4236">
        <w:t xml:space="preserve"> </w:t>
      </w:r>
      <w:r>
        <w:t xml:space="preserve"> </w:t>
      </w:r>
      <w:r w:rsidRPr="00F619D1">
        <w:rPr>
          <w:rFonts w:ascii="Times New Roman" w:hAnsi="Times New Roman" w:cs="Times New Roman"/>
          <w:sz w:val="24"/>
          <w:szCs w:val="24"/>
        </w:rPr>
        <w:t>To the best of FIO’s knowledge, n</w:t>
      </w:r>
      <w:r w:rsidRPr="009815DE">
        <w:rPr>
          <w:rFonts w:ascii="Times New Roman" w:eastAsia="Calibri" w:hAnsi="Times New Roman" w:cs="Times New Roman"/>
          <w:sz w:val="24"/>
          <w:szCs w:val="24"/>
        </w:rPr>
        <w:t>o state</w:t>
      </w:r>
      <w:r w:rsidRPr="008D4236">
        <w:rPr>
          <w:rFonts w:ascii="Times New Roman" w:eastAsia="Calibri" w:hAnsi="Times New Roman" w:cs="Times New Roman"/>
          <w:sz w:val="24"/>
          <w:szCs w:val="22"/>
        </w:rPr>
        <w:t xml:space="preserve"> currently requires insurers to report “Amount of Direct Premiums Written Renewed or Retained.”</w:t>
      </w:r>
      <w:r>
        <w:rPr>
          <w:rFonts w:ascii="Times New Roman" w:eastAsia="Calibri" w:hAnsi="Times New Roman" w:cs="Times New Roman"/>
          <w:sz w:val="24"/>
          <w:szCs w:val="22"/>
        </w:rPr>
        <w:t xml:space="preserve">  Also, t</w:t>
      </w:r>
      <w:r>
        <w:rPr>
          <w:rFonts w:ascii="Times New Roman" w:hAnsi="Times New Roman" w:cs="Times New Roman"/>
          <w:color w:val="000000"/>
          <w:sz w:val="24"/>
          <w:szCs w:val="24"/>
        </w:rPr>
        <w:t>he “Number of Policies Not Renewed or Retained” is a subset of the data field that asks for the “Number of Policy</w:t>
      </w:r>
      <w:r w:rsidR="00F555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in-force Exposures</w:t>
      </w:r>
      <w:r w:rsidR="00C5435C">
        <w:rPr>
          <w:rFonts w:ascii="Times New Roman" w:hAnsi="Times New Roman" w:cs="Times New Roman"/>
          <w:color w:val="000000"/>
          <w:sz w:val="24"/>
          <w:szCs w:val="24"/>
        </w:rPr>
        <w:t>,</w:t>
      </w:r>
      <w:r>
        <w:rPr>
          <w:rFonts w:ascii="Times New Roman" w:hAnsi="Times New Roman" w:cs="Times New Roman"/>
          <w:color w:val="000000"/>
          <w:sz w:val="24"/>
          <w:szCs w:val="24"/>
        </w:rPr>
        <w:t>” because in order to provide the “Number of Policy</w:t>
      </w:r>
      <w:r w:rsidR="00F555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in-force Exposures,” </w:t>
      </w:r>
      <w:r w:rsidRPr="009A3309">
        <w:rPr>
          <w:rFonts w:ascii="Times New Roman" w:hAnsi="Times New Roman" w:cs="Times New Roman"/>
          <w:color w:val="000000"/>
          <w:sz w:val="24"/>
          <w:szCs w:val="24"/>
        </w:rPr>
        <w:t>an insurer would need to know both (1) the number of policies that it renewed or retained and (2) the number of policies that were not renewed or retained</w:t>
      </w:r>
      <w:r>
        <w:rPr>
          <w:rFonts w:ascii="Times New Roman" w:hAnsi="Times New Roman" w:cs="Times New Roman"/>
          <w:color w:val="000000"/>
          <w:sz w:val="24"/>
          <w:szCs w:val="24"/>
        </w:rPr>
        <w:t xml:space="preserve"> (i.e., the information </w:t>
      </w:r>
      <w:r w:rsidRPr="009A3309">
        <w:rPr>
          <w:rFonts w:ascii="Times New Roman" w:hAnsi="Times New Roman" w:cs="Times New Roman"/>
          <w:color w:val="000000"/>
          <w:sz w:val="24"/>
          <w:szCs w:val="24"/>
        </w:rPr>
        <w:t xml:space="preserve">FIO </w:t>
      </w:r>
      <w:r>
        <w:rPr>
          <w:rFonts w:ascii="Times New Roman" w:hAnsi="Times New Roman" w:cs="Times New Roman"/>
          <w:color w:val="000000"/>
          <w:sz w:val="24"/>
          <w:szCs w:val="24"/>
        </w:rPr>
        <w:t>is requesting).</w:t>
      </w:r>
    </w:p>
    <w:p w:rsidR="009A3309" w:rsidRPr="009A3309" w:rsidP="00A24444" w14:paraId="06B57E5D" w14:textId="78A0E41B">
      <w:pPr>
        <w:pStyle w:val="Default"/>
        <w:tabs>
          <w:tab w:val="left" w:pos="360"/>
          <w:tab w:val="left" w:pos="4230"/>
        </w:tabs>
        <w:spacing w:before="240" w:after="240"/>
        <w:rPr>
          <w:rFonts w:ascii="Times New Roman" w:hAnsi="Times New Roman" w:cs="Times New Roman"/>
          <w:color w:val="000000"/>
          <w:sz w:val="24"/>
          <w:szCs w:val="24"/>
        </w:rPr>
      </w:pPr>
      <w:r>
        <w:rPr>
          <w:rFonts w:ascii="Times New Roman" w:eastAsia="Calibri" w:hAnsi="Times New Roman" w:cs="Times New Roman"/>
          <w:sz w:val="24"/>
          <w:szCs w:val="22"/>
        </w:rPr>
        <w:t xml:space="preserve">FIO is retaining a </w:t>
      </w:r>
      <w:r w:rsidR="00BF1A51">
        <w:rPr>
          <w:rFonts w:ascii="Times New Roman" w:eastAsia="Calibri" w:hAnsi="Times New Roman" w:cs="Times New Roman"/>
          <w:sz w:val="24"/>
          <w:szCs w:val="22"/>
        </w:rPr>
        <w:t>data field</w:t>
      </w:r>
      <w:r>
        <w:rPr>
          <w:rFonts w:ascii="Times New Roman" w:eastAsia="Calibri" w:hAnsi="Times New Roman" w:cs="Times New Roman"/>
          <w:sz w:val="24"/>
          <w:szCs w:val="22"/>
        </w:rPr>
        <w:t xml:space="preserve"> </w:t>
      </w:r>
      <w:r w:rsidR="00487E3C">
        <w:rPr>
          <w:rFonts w:ascii="Times New Roman" w:eastAsia="Calibri" w:hAnsi="Times New Roman" w:cs="Times New Roman"/>
          <w:sz w:val="24"/>
          <w:szCs w:val="22"/>
        </w:rPr>
        <w:t>for</w:t>
      </w:r>
      <w:r>
        <w:rPr>
          <w:rFonts w:ascii="Times New Roman" w:eastAsia="Calibri" w:hAnsi="Times New Roman" w:cs="Times New Roman"/>
          <w:sz w:val="24"/>
          <w:szCs w:val="22"/>
        </w:rPr>
        <w:t xml:space="preserve"> non-renewals because </w:t>
      </w:r>
      <w:r w:rsidR="009352D0">
        <w:rPr>
          <w:rFonts w:ascii="Times New Roman" w:eastAsia="Calibri" w:hAnsi="Times New Roman" w:cs="Times New Roman"/>
          <w:sz w:val="24"/>
          <w:szCs w:val="22"/>
        </w:rPr>
        <w:t>m</w:t>
      </w:r>
      <w:r w:rsidRPr="009352D0" w:rsidR="009352D0">
        <w:rPr>
          <w:rFonts w:ascii="Times New Roman" w:eastAsia="Calibri" w:hAnsi="Times New Roman" w:cs="Times New Roman"/>
          <w:sz w:val="24"/>
          <w:szCs w:val="22"/>
        </w:rPr>
        <w:t xml:space="preserve">any commenters noted the importance of collecting information on non-renewals in order to understand where insurers </w:t>
      </w:r>
      <w:r w:rsidR="001F64AE">
        <w:rPr>
          <w:rFonts w:ascii="Times New Roman" w:eastAsia="Calibri" w:hAnsi="Times New Roman" w:cs="Times New Roman"/>
          <w:sz w:val="24"/>
          <w:szCs w:val="22"/>
        </w:rPr>
        <w:t>may be</w:t>
      </w:r>
      <w:r w:rsidRPr="009352D0" w:rsidR="001F64AE">
        <w:rPr>
          <w:rFonts w:ascii="Times New Roman" w:eastAsia="Calibri" w:hAnsi="Times New Roman" w:cs="Times New Roman"/>
          <w:sz w:val="24"/>
          <w:szCs w:val="22"/>
        </w:rPr>
        <w:t xml:space="preserve"> </w:t>
      </w:r>
      <w:r w:rsidRPr="009352D0" w:rsidR="009352D0">
        <w:rPr>
          <w:rFonts w:ascii="Times New Roman" w:eastAsia="Calibri" w:hAnsi="Times New Roman" w:cs="Times New Roman"/>
          <w:sz w:val="24"/>
          <w:szCs w:val="22"/>
        </w:rPr>
        <w:t>pulling back coverage</w:t>
      </w:r>
      <w:r w:rsidR="002245FC">
        <w:rPr>
          <w:rFonts w:ascii="Times New Roman" w:eastAsia="Calibri" w:hAnsi="Times New Roman" w:cs="Times New Roman"/>
          <w:sz w:val="24"/>
          <w:szCs w:val="22"/>
        </w:rPr>
        <w:t>.</w:t>
      </w:r>
      <w:r w:rsidR="009352D0">
        <w:rPr>
          <w:rFonts w:ascii="Times New Roman" w:eastAsia="Calibri" w:hAnsi="Times New Roman" w:cs="Times New Roman"/>
          <w:sz w:val="24"/>
          <w:szCs w:val="22"/>
        </w:rPr>
        <w:t xml:space="preserve"> </w:t>
      </w:r>
      <w:r w:rsidR="00E94E3C">
        <w:rPr>
          <w:rFonts w:ascii="Times New Roman" w:eastAsia="Calibri" w:hAnsi="Times New Roman" w:cs="Times New Roman"/>
          <w:sz w:val="24"/>
          <w:szCs w:val="22"/>
        </w:rPr>
        <w:t xml:space="preserve"> </w:t>
      </w:r>
      <w:bookmarkStart w:id="71" w:name="_Hlk148605258"/>
      <w:r w:rsidR="00BF1A51">
        <w:rPr>
          <w:rFonts w:ascii="Times New Roman" w:eastAsia="Calibri" w:hAnsi="Times New Roman" w:cs="Times New Roman"/>
          <w:sz w:val="24"/>
          <w:szCs w:val="22"/>
        </w:rPr>
        <w:t>Monitoring</w:t>
      </w:r>
      <w:r w:rsidR="009352D0">
        <w:rPr>
          <w:rFonts w:ascii="Times New Roman" w:eastAsia="Calibri" w:hAnsi="Times New Roman" w:cs="Times New Roman"/>
          <w:sz w:val="24"/>
          <w:szCs w:val="22"/>
        </w:rPr>
        <w:t xml:space="preserve"> </w:t>
      </w:r>
      <w:r w:rsidR="002245FC">
        <w:rPr>
          <w:rFonts w:ascii="Times New Roman" w:eastAsia="Calibri" w:hAnsi="Times New Roman" w:cs="Times New Roman"/>
          <w:sz w:val="24"/>
          <w:szCs w:val="22"/>
        </w:rPr>
        <w:t>the number of non-renewals</w:t>
      </w:r>
      <w:r w:rsidR="009352D0">
        <w:rPr>
          <w:rFonts w:ascii="Times New Roman" w:eastAsia="Calibri" w:hAnsi="Times New Roman" w:cs="Times New Roman"/>
          <w:sz w:val="24"/>
          <w:szCs w:val="22"/>
        </w:rPr>
        <w:t xml:space="preserve"> </w:t>
      </w:r>
      <w:r w:rsidR="002245FC">
        <w:rPr>
          <w:rFonts w:ascii="Times New Roman" w:eastAsia="Calibri" w:hAnsi="Times New Roman" w:cs="Times New Roman"/>
          <w:sz w:val="24"/>
          <w:szCs w:val="22"/>
        </w:rPr>
        <w:t>will allow FIO to understand non-renewal rates</w:t>
      </w:r>
      <w:r>
        <w:rPr>
          <w:rFonts w:ascii="Times New Roman" w:eastAsia="Calibri" w:hAnsi="Times New Roman" w:cs="Times New Roman"/>
          <w:sz w:val="24"/>
          <w:szCs w:val="22"/>
        </w:rPr>
        <w:t>.</w:t>
      </w:r>
      <w:bookmarkEnd w:id="71"/>
    </w:p>
    <w:p w:rsidR="006D3728" w:rsidP="006D3728" w14:paraId="7F7AC0D6" w14:textId="100D031A">
      <w:pPr>
        <w:pStyle w:val="Default"/>
        <w:tabs>
          <w:tab w:val="left" w:pos="360"/>
          <w:tab w:val="left" w:pos="4230"/>
        </w:tabs>
        <w:spacing w:before="240" w:after="240"/>
        <w:rPr>
          <w:rFonts w:ascii="Times New Roman" w:hAnsi="Times New Roman" w:cs="Times New Roman"/>
          <w:color w:val="000000"/>
          <w:sz w:val="24"/>
          <w:szCs w:val="24"/>
        </w:rPr>
      </w:pPr>
      <w:bookmarkStart w:id="72" w:name="_Hlk147429629"/>
      <w:bookmarkEnd w:id="69"/>
      <w:r>
        <w:rPr>
          <w:rFonts w:ascii="Times New Roman" w:hAnsi="Times New Roman" w:cs="Times New Roman"/>
          <w:color w:val="000000"/>
          <w:sz w:val="24"/>
          <w:szCs w:val="24"/>
        </w:rPr>
        <w:t xml:space="preserve">Finally, </w:t>
      </w:r>
      <w:bookmarkStart w:id="73" w:name="_Hlk146974082"/>
      <w:r>
        <w:rPr>
          <w:rFonts w:ascii="Times New Roman" w:hAnsi="Times New Roman" w:cs="Times New Roman"/>
          <w:color w:val="000000"/>
          <w:sz w:val="24"/>
          <w:szCs w:val="24"/>
        </w:rPr>
        <w:t xml:space="preserve">FIO has revised the instructions </w:t>
      </w:r>
      <w:r w:rsidR="007E4B1D">
        <w:rPr>
          <w:rFonts w:ascii="Times New Roman" w:hAnsi="Times New Roman" w:cs="Times New Roman"/>
          <w:color w:val="000000"/>
          <w:sz w:val="24"/>
          <w:szCs w:val="24"/>
        </w:rPr>
        <w:t xml:space="preserve">for the Data Collection Form </w:t>
      </w:r>
      <w:r>
        <w:rPr>
          <w:rFonts w:ascii="Times New Roman" w:hAnsi="Times New Roman" w:cs="Times New Roman"/>
          <w:color w:val="000000"/>
          <w:sz w:val="24"/>
          <w:szCs w:val="24"/>
        </w:rPr>
        <w:t xml:space="preserve">relating to the data fields.  The proposed template instructions provided with the October 2022 FRN </w:t>
      </w:r>
      <w:r w:rsidRPr="006569CD">
        <w:rPr>
          <w:rFonts w:ascii="Times New Roman" w:hAnsi="Times New Roman" w:cs="Times New Roman"/>
          <w:color w:val="000000"/>
          <w:sz w:val="24"/>
          <w:szCs w:val="24"/>
        </w:rPr>
        <w:t xml:space="preserve">directed insurers to report data </w:t>
      </w:r>
      <w:r>
        <w:rPr>
          <w:rFonts w:ascii="Times New Roman" w:hAnsi="Times New Roman" w:cs="Times New Roman"/>
          <w:color w:val="000000"/>
          <w:sz w:val="24"/>
          <w:szCs w:val="24"/>
        </w:rPr>
        <w:t xml:space="preserve">only </w:t>
      </w:r>
      <w:r w:rsidRPr="006569CD">
        <w:rPr>
          <w:rFonts w:ascii="Times New Roman" w:hAnsi="Times New Roman" w:cs="Times New Roman"/>
          <w:color w:val="000000"/>
          <w:sz w:val="24"/>
          <w:szCs w:val="24"/>
        </w:rPr>
        <w:t>for losses and claims for weather-related damages.  In discussions with FIO, however, insurers noted that it can be difficult or impossible to exclude non-weather-related damage from other loss estimates</w:t>
      </w:r>
      <w:r w:rsidR="009C63F5">
        <w:rPr>
          <w:rFonts w:ascii="Times New Roman" w:hAnsi="Times New Roman" w:cs="Times New Roman"/>
          <w:color w:val="000000"/>
          <w:sz w:val="24"/>
          <w:szCs w:val="24"/>
        </w:rPr>
        <w:t>,</w:t>
      </w:r>
      <w:r w:rsidRPr="006569CD">
        <w:rPr>
          <w:rFonts w:ascii="Times New Roman" w:hAnsi="Times New Roman" w:cs="Times New Roman"/>
          <w:color w:val="000000"/>
          <w:sz w:val="24"/>
          <w:szCs w:val="24"/>
        </w:rPr>
        <w:t xml:space="preserve"> based on how information is stored within insurers’ systems.</w:t>
      </w:r>
      <w:r>
        <w:rPr>
          <w:rFonts w:ascii="Times New Roman" w:hAnsi="Times New Roman" w:cs="Times New Roman"/>
          <w:color w:val="000000"/>
          <w:sz w:val="24"/>
          <w:szCs w:val="24"/>
        </w:rPr>
        <w:t xml:space="preserve">  In addition, information </w:t>
      </w:r>
      <w:r w:rsidRPr="00D7660B">
        <w:rPr>
          <w:rFonts w:ascii="Times New Roman" w:hAnsi="Times New Roman" w:cs="Times New Roman"/>
          <w:color w:val="000000"/>
          <w:sz w:val="24"/>
          <w:szCs w:val="24"/>
        </w:rPr>
        <w:t xml:space="preserve">from the Insurance Information Institute shows that </w:t>
      </w:r>
      <w:r>
        <w:rPr>
          <w:rFonts w:ascii="Times New Roman" w:hAnsi="Times New Roman" w:cs="Times New Roman"/>
          <w:color w:val="000000"/>
          <w:sz w:val="24"/>
          <w:szCs w:val="24"/>
        </w:rPr>
        <w:t>about 90 percent of homeowners insurance losses have been due to physical damage from wind, hail, water damage, freezing, fire and lightning.</w:t>
      </w:r>
      <w:r>
        <w:rPr>
          <w:rStyle w:val="FootnoteReference"/>
          <w:rFonts w:ascii="Times New Roman" w:hAnsi="Times New Roman" w:cs="Times New Roman"/>
          <w:color w:val="000000"/>
          <w:sz w:val="24"/>
          <w:szCs w:val="24"/>
          <w:vertAlign w:val="superscript"/>
        </w:rPr>
        <w:footnoteReference w:id="28"/>
      </w:r>
      <w:r>
        <w:rPr>
          <w:rFonts w:ascii="Times New Roman" w:hAnsi="Times New Roman" w:cs="Times New Roman"/>
          <w:color w:val="000000"/>
          <w:sz w:val="24"/>
          <w:szCs w:val="24"/>
        </w:rPr>
        <w:t xml:space="preserve">  Therefore, FIO has modified the instructions for the Data Collection Form to remove the exclusion of non-weather-related damages </w:t>
      </w:r>
      <w:r w:rsidR="00C5435C">
        <w:rPr>
          <w:rFonts w:ascii="Times New Roman" w:hAnsi="Times New Roman" w:cs="Times New Roman"/>
          <w:color w:val="000000"/>
          <w:sz w:val="24"/>
          <w:szCs w:val="24"/>
        </w:rPr>
        <w:t>in connection with the reporting of</w:t>
      </w:r>
      <w:r>
        <w:rPr>
          <w:rFonts w:ascii="Times New Roman" w:hAnsi="Times New Roman" w:cs="Times New Roman"/>
          <w:color w:val="000000"/>
          <w:sz w:val="24"/>
          <w:szCs w:val="24"/>
        </w:rPr>
        <w:t xml:space="preserve"> claims and losses.</w:t>
      </w:r>
      <w:bookmarkEnd w:id="73"/>
    </w:p>
    <w:bookmarkEnd w:id="72"/>
    <w:p w:rsidR="000A7B37" w:rsidP="006D3728" w14:paraId="2E256DDF" w14:textId="77777777">
      <w:pPr>
        <w:pStyle w:val="Default"/>
        <w:keepNext/>
        <w:numPr>
          <w:ilvl w:val="0"/>
          <w:numId w:val="24"/>
        </w:numPr>
        <w:tabs>
          <w:tab w:val="left" w:pos="720"/>
          <w:tab w:val="left" w:pos="4230"/>
        </w:tabs>
        <w:spacing w:before="240" w:after="24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Reporting Period</w:t>
      </w:r>
    </w:p>
    <w:p w:rsidR="000A7B37" w:rsidP="00A24444" w14:paraId="6CF4E172" w14:textId="77777777">
      <w:pPr>
        <w:pStyle w:val="Default"/>
        <w:tabs>
          <w:tab w:val="left" w:pos="360"/>
          <w:tab w:val="left" w:pos="4230"/>
        </w:tabs>
        <w:spacing w:before="240" w:after="240"/>
        <w:rPr>
          <w:rFonts w:ascii="Times New Roman" w:hAnsi="Times New Roman" w:cs="Times New Roman"/>
          <w:color w:val="000000"/>
          <w:sz w:val="24"/>
          <w:szCs w:val="24"/>
        </w:rPr>
      </w:pPr>
      <w:r w:rsidRPr="008846FA">
        <w:rPr>
          <w:rFonts w:ascii="Times New Roman" w:hAnsi="Times New Roman" w:cs="Times New Roman"/>
          <w:color w:val="000000"/>
          <w:sz w:val="24"/>
          <w:szCs w:val="24"/>
        </w:rPr>
        <w:t xml:space="preserve">FIO received multiple comments on the reporting period for the proposed data collection. </w:t>
      </w:r>
      <w:r w:rsidR="00EC574A">
        <w:rPr>
          <w:rFonts w:ascii="Times New Roman" w:hAnsi="Times New Roman" w:cs="Times New Roman"/>
          <w:color w:val="000000"/>
          <w:sz w:val="24"/>
          <w:szCs w:val="24"/>
        </w:rPr>
        <w:t xml:space="preserve"> </w:t>
      </w:r>
      <w:r w:rsidRPr="008846FA">
        <w:rPr>
          <w:rFonts w:ascii="Times New Roman" w:hAnsi="Times New Roman" w:cs="Times New Roman"/>
          <w:color w:val="000000"/>
          <w:sz w:val="24"/>
          <w:szCs w:val="24"/>
        </w:rPr>
        <w:t xml:space="preserve">Trade and industry groups suggested reducing the timeline, citing </w:t>
      </w:r>
      <w:r w:rsidR="001F64AE">
        <w:rPr>
          <w:rFonts w:ascii="Times New Roman" w:hAnsi="Times New Roman" w:cs="Times New Roman"/>
          <w:color w:val="000000"/>
          <w:sz w:val="24"/>
          <w:szCs w:val="24"/>
        </w:rPr>
        <w:t xml:space="preserve">the purported </w:t>
      </w:r>
      <w:r w:rsidRPr="008846FA">
        <w:rPr>
          <w:rFonts w:ascii="Times New Roman" w:hAnsi="Times New Roman" w:cs="Times New Roman"/>
          <w:color w:val="000000"/>
          <w:sz w:val="24"/>
          <w:szCs w:val="24"/>
        </w:rPr>
        <w:t xml:space="preserve">burden. </w:t>
      </w:r>
      <w:r w:rsidR="00EC574A">
        <w:rPr>
          <w:rFonts w:ascii="Times New Roman" w:hAnsi="Times New Roman" w:cs="Times New Roman"/>
          <w:color w:val="000000"/>
          <w:sz w:val="24"/>
          <w:szCs w:val="24"/>
        </w:rPr>
        <w:t xml:space="preserve"> </w:t>
      </w:r>
      <w:r w:rsidRPr="008846FA">
        <w:rPr>
          <w:rFonts w:ascii="Times New Roman" w:hAnsi="Times New Roman" w:cs="Times New Roman"/>
          <w:color w:val="000000"/>
          <w:sz w:val="24"/>
          <w:szCs w:val="24"/>
        </w:rPr>
        <w:t xml:space="preserve">Several climate and environmental groups suggested expanding the time horizon to ten years, noting the long-time horizon of climate-related impacts. </w:t>
      </w:r>
      <w:r w:rsidR="00EC574A">
        <w:rPr>
          <w:rFonts w:ascii="Times New Roman" w:hAnsi="Times New Roman" w:cs="Times New Roman"/>
          <w:color w:val="000000"/>
          <w:sz w:val="24"/>
          <w:szCs w:val="24"/>
        </w:rPr>
        <w:t xml:space="preserve"> </w:t>
      </w:r>
      <w:r w:rsidRPr="008846FA">
        <w:rPr>
          <w:rFonts w:ascii="Times New Roman" w:hAnsi="Times New Roman" w:cs="Times New Roman"/>
          <w:color w:val="000000"/>
          <w:sz w:val="24"/>
          <w:szCs w:val="24"/>
        </w:rPr>
        <w:t>Others supported the current proposal of five years.</w:t>
      </w:r>
    </w:p>
    <w:p w:rsidR="00B13A14" w:rsidRPr="00D91DB9" w:rsidP="00B13A14" w14:paraId="0979BFAA" w14:textId="11DB2ACE">
      <w:pPr>
        <w:pStyle w:val="Default"/>
        <w:tabs>
          <w:tab w:val="left" w:pos="360"/>
          <w:tab w:val="left" w:pos="4230"/>
        </w:tabs>
        <w:spacing w:before="240" w:after="240"/>
        <w:rPr>
          <w:rFonts w:ascii="Times New Roman" w:hAnsi="Times New Roman" w:cs="Times New Roman"/>
          <w:color w:val="000000"/>
          <w:sz w:val="24"/>
          <w:szCs w:val="24"/>
        </w:rPr>
      </w:pPr>
      <w:bookmarkStart w:id="74" w:name="_Hlk145974282"/>
      <w:r w:rsidRPr="008846FA">
        <w:rPr>
          <w:rFonts w:ascii="Times New Roman" w:hAnsi="Times New Roman" w:cs="Times New Roman"/>
          <w:color w:val="000000"/>
          <w:sz w:val="24"/>
          <w:szCs w:val="24"/>
        </w:rPr>
        <w:t xml:space="preserve">FIO </w:t>
      </w:r>
      <w:r>
        <w:rPr>
          <w:rFonts w:ascii="Times New Roman" w:hAnsi="Times New Roman" w:cs="Times New Roman"/>
          <w:color w:val="000000"/>
          <w:sz w:val="24"/>
          <w:szCs w:val="24"/>
        </w:rPr>
        <w:t>is increasing the</w:t>
      </w:r>
      <w:r w:rsidRPr="008846FA">
        <w:rPr>
          <w:rFonts w:ascii="Times New Roman" w:hAnsi="Times New Roman" w:cs="Times New Roman"/>
          <w:color w:val="000000"/>
          <w:sz w:val="24"/>
          <w:szCs w:val="24"/>
        </w:rPr>
        <w:t xml:space="preserve"> reporting period to six years (2017-2022)</w:t>
      </w:r>
      <w:r>
        <w:rPr>
          <w:rFonts w:ascii="Times New Roman" w:hAnsi="Times New Roman" w:cs="Times New Roman"/>
          <w:color w:val="000000"/>
          <w:sz w:val="24"/>
          <w:szCs w:val="24"/>
        </w:rPr>
        <w:t>.  E</w:t>
      </w:r>
      <w:r w:rsidRPr="008846FA">
        <w:rPr>
          <w:rFonts w:ascii="Times New Roman" w:hAnsi="Times New Roman" w:cs="Times New Roman"/>
          <w:color w:val="000000"/>
          <w:sz w:val="24"/>
          <w:szCs w:val="24"/>
        </w:rPr>
        <w:t xml:space="preserve">xpanding the reporting timeframe </w:t>
      </w:r>
      <w:r>
        <w:rPr>
          <w:rFonts w:ascii="Times New Roman" w:hAnsi="Times New Roman" w:cs="Times New Roman"/>
          <w:color w:val="000000"/>
          <w:sz w:val="24"/>
          <w:szCs w:val="24"/>
        </w:rPr>
        <w:t xml:space="preserve">by </w:t>
      </w:r>
      <w:r w:rsidRPr="008846FA">
        <w:rPr>
          <w:rFonts w:ascii="Times New Roman" w:hAnsi="Times New Roman" w:cs="Times New Roman"/>
          <w:color w:val="000000"/>
          <w:sz w:val="24"/>
          <w:szCs w:val="24"/>
        </w:rPr>
        <w:t xml:space="preserve">one additional year will allow FIO to capture </w:t>
      </w:r>
      <w:r>
        <w:rPr>
          <w:rFonts w:ascii="Times New Roman" w:hAnsi="Times New Roman" w:cs="Times New Roman"/>
          <w:color w:val="000000"/>
          <w:sz w:val="24"/>
          <w:szCs w:val="24"/>
        </w:rPr>
        <w:t xml:space="preserve">more current data, including </w:t>
      </w:r>
      <w:r w:rsidRPr="008846FA">
        <w:rPr>
          <w:rFonts w:ascii="Times New Roman" w:hAnsi="Times New Roman" w:cs="Times New Roman"/>
          <w:color w:val="000000"/>
          <w:sz w:val="24"/>
          <w:szCs w:val="24"/>
        </w:rPr>
        <w:t xml:space="preserve">the impact of recent climate-related disasters </w:t>
      </w:r>
      <w:r>
        <w:rPr>
          <w:rFonts w:ascii="Times New Roman" w:hAnsi="Times New Roman" w:cs="Times New Roman"/>
          <w:color w:val="000000"/>
          <w:sz w:val="24"/>
          <w:szCs w:val="24"/>
        </w:rPr>
        <w:t xml:space="preserve">such as </w:t>
      </w:r>
      <w:r w:rsidRPr="008846FA">
        <w:rPr>
          <w:rFonts w:ascii="Times New Roman" w:hAnsi="Times New Roman" w:cs="Times New Roman"/>
          <w:color w:val="000000"/>
          <w:sz w:val="24"/>
          <w:szCs w:val="24"/>
        </w:rPr>
        <w:t>Hurricanes Ian and Nicole.</w:t>
      </w:r>
      <w:r>
        <w:rPr>
          <w:rFonts w:ascii="Times New Roman" w:hAnsi="Times New Roman" w:cs="Times New Roman"/>
          <w:color w:val="000000"/>
          <w:sz w:val="24"/>
          <w:szCs w:val="24"/>
        </w:rPr>
        <w:t xml:space="preserve">  </w:t>
      </w:r>
      <w:bookmarkStart w:id="75" w:name="_Hlk145989512"/>
      <w:bookmarkStart w:id="76" w:name="_Hlk148605278"/>
      <w:r w:rsidR="009C63F5">
        <w:rPr>
          <w:rFonts w:ascii="Times New Roman" w:hAnsi="Times New Roman" w:cs="Times New Roman"/>
          <w:color w:val="000000"/>
          <w:sz w:val="24"/>
          <w:szCs w:val="24"/>
        </w:rPr>
        <w:t>A number of commenters</w:t>
      </w:r>
      <w:r w:rsidR="00B808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supported a longer reporting period</w:t>
      </w:r>
      <w:bookmarkEnd w:id="75"/>
      <w:r w:rsidR="0012082A">
        <w:rPr>
          <w:rFonts w:ascii="Times New Roman" w:hAnsi="Times New Roman" w:cs="Times New Roman"/>
          <w:color w:val="000000"/>
          <w:sz w:val="24"/>
          <w:szCs w:val="24"/>
        </w:rPr>
        <w:t xml:space="preserve">, although </w:t>
      </w:r>
      <w:r w:rsidR="009C63F5">
        <w:rPr>
          <w:rFonts w:ascii="Times New Roman" w:hAnsi="Times New Roman" w:cs="Times New Roman"/>
          <w:color w:val="000000"/>
          <w:sz w:val="24"/>
          <w:szCs w:val="24"/>
        </w:rPr>
        <w:t>many of these called for adding multiple additional years</w:t>
      </w:r>
      <w:r>
        <w:rPr>
          <w:rFonts w:ascii="Times New Roman" w:hAnsi="Times New Roman" w:cs="Times New Roman"/>
          <w:color w:val="000000"/>
          <w:sz w:val="24"/>
          <w:szCs w:val="24"/>
        </w:rPr>
        <w:t>.</w:t>
      </w:r>
      <w:r w:rsidRPr="008846FA">
        <w:rPr>
          <w:rFonts w:ascii="Times New Roman" w:hAnsi="Times New Roman" w:cs="Times New Roman"/>
          <w:color w:val="000000"/>
          <w:sz w:val="24"/>
          <w:szCs w:val="24"/>
        </w:rPr>
        <w:t xml:space="preserve">  </w:t>
      </w:r>
      <w:bookmarkStart w:id="77" w:name="_Hlk146973751"/>
      <w:bookmarkEnd w:id="76"/>
      <w:r w:rsidR="00C611CE">
        <w:rPr>
          <w:rFonts w:ascii="Times New Roman" w:hAnsi="Times New Roman" w:cs="Times New Roman"/>
          <w:color w:val="000000"/>
          <w:sz w:val="24"/>
          <w:szCs w:val="24"/>
        </w:rPr>
        <w:t>The overall burden for the R</w:t>
      </w:r>
      <w:r>
        <w:rPr>
          <w:rFonts w:ascii="Times New Roman" w:hAnsi="Times New Roman" w:cs="Times New Roman"/>
          <w:color w:val="000000"/>
          <w:sz w:val="24"/>
          <w:szCs w:val="24"/>
        </w:rPr>
        <w:t xml:space="preserve">epresentative Sample Insurers </w:t>
      </w:r>
      <w:r w:rsidR="00C611CE">
        <w:rPr>
          <w:rFonts w:ascii="Times New Roman" w:hAnsi="Times New Roman" w:cs="Times New Roman"/>
          <w:color w:val="000000"/>
          <w:sz w:val="24"/>
          <w:szCs w:val="24"/>
        </w:rPr>
        <w:t xml:space="preserve">will not </w:t>
      </w:r>
      <w:r w:rsidR="00C611CE">
        <w:rPr>
          <w:rFonts w:ascii="Times New Roman" w:hAnsi="Times New Roman" w:cs="Times New Roman"/>
          <w:color w:val="000000"/>
          <w:sz w:val="24"/>
          <w:szCs w:val="24"/>
        </w:rPr>
        <w:t>increase</w:t>
      </w:r>
      <w:r w:rsidR="00D47DED">
        <w:rPr>
          <w:rFonts w:ascii="Times New Roman" w:hAnsi="Times New Roman" w:cs="Times New Roman"/>
          <w:color w:val="000000"/>
          <w:sz w:val="24"/>
          <w:szCs w:val="24"/>
        </w:rPr>
        <w:t>,</w:t>
      </w:r>
      <w:r w:rsidR="00C611CE">
        <w:rPr>
          <w:rFonts w:ascii="Times New Roman" w:hAnsi="Times New Roman" w:cs="Times New Roman"/>
          <w:color w:val="000000"/>
          <w:sz w:val="24"/>
          <w:szCs w:val="24"/>
        </w:rPr>
        <w:t xml:space="preserve"> </w:t>
      </w:r>
      <w:r>
        <w:rPr>
          <w:rFonts w:ascii="Times New Roman" w:hAnsi="Times New Roman" w:cs="Times New Roman"/>
          <w:color w:val="000000"/>
          <w:sz w:val="24"/>
          <w:szCs w:val="24"/>
        </w:rPr>
        <w:t>b</w:t>
      </w:r>
      <w:r w:rsidRPr="008846FA">
        <w:rPr>
          <w:rFonts w:ascii="Times New Roman" w:hAnsi="Times New Roman" w:cs="Times New Roman"/>
          <w:color w:val="000000"/>
          <w:sz w:val="24"/>
          <w:szCs w:val="24"/>
        </w:rPr>
        <w:t xml:space="preserve">ecause FIO is removing </w:t>
      </w:r>
      <w:r>
        <w:rPr>
          <w:rFonts w:ascii="Times New Roman" w:hAnsi="Times New Roman" w:cs="Times New Roman"/>
          <w:color w:val="000000"/>
          <w:sz w:val="24"/>
          <w:szCs w:val="24"/>
        </w:rPr>
        <w:t>eight of the fifteen</w:t>
      </w:r>
      <w:r w:rsidRPr="008846FA">
        <w:rPr>
          <w:rFonts w:ascii="Times New Roman" w:hAnsi="Times New Roman" w:cs="Times New Roman"/>
          <w:color w:val="000000"/>
          <w:sz w:val="24"/>
          <w:szCs w:val="24"/>
        </w:rPr>
        <w:t xml:space="preserve"> data </w:t>
      </w:r>
      <w:r>
        <w:rPr>
          <w:rFonts w:ascii="Times New Roman" w:hAnsi="Times New Roman" w:cs="Times New Roman"/>
          <w:color w:val="000000"/>
          <w:sz w:val="24"/>
          <w:szCs w:val="24"/>
        </w:rPr>
        <w:t>fields that it proposed in the October 2022 FRN</w:t>
      </w:r>
      <w:r w:rsidR="00C611CE">
        <w:rPr>
          <w:rFonts w:ascii="Times New Roman" w:hAnsi="Times New Roman" w:cs="Times New Roman"/>
          <w:color w:val="000000"/>
          <w:sz w:val="24"/>
          <w:szCs w:val="24"/>
        </w:rPr>
        <w:t xml:space="preserve"> and focusing on only one </w:t>
      </w:r>
      <w:r w:rsidR="0029754B">
        <w:rPr>
          <w:rFonts w:ascii="Times New Roman" w:hAnsi="Times New Roman" w:cs="Times New Roman"/>
          <w:color w:val="000000"/>
          <w:sz w:val="24"/>
          <w:szCs w:val="24"/>
        </w:rPr>
        <w:t xml:space="preserve">policy form </w:t>
      </w:r>
      <w:r w:rsidR="00C611CE">
        <w:rPr>
          <w:rFonts w:ascii="Times New Roman" w:hAnsi="Times New Roman" w:cs="Times New Roman"/>
          <w:color w:val="000000"/>
          <w:sz w:val="24"/>
          <w:szCs w:val="24"/>
        </w:rPr>
        <w:t>(HO-3)</w:t>
      </w:r>
      <w:r w:rsidR="0029754B">
        <w:rPr>
          <w:rFonts w:ascii="Times New Roman" w:hAnsi="Times New Roman" w:cs="Times New Roman"/>
          <w:color w:val="000000"/>
          <w:sz w:val="24"/>
          <w:szCs w:val="24"/>
        </w:rPr>
        <w:t>,</w:t>
      </w:r>
      <w:r w:rsidR="00C611CE">
        <w:rPr>
          <w:rFonts w:ascii="Times New Roman" w:hAnsi="Times New Roman" w:cs="Times New Roman"/>
          <w:color w:val="000000"/>
          <w:sz w:val="24"/>
          <w:szCs w:val="24"/>
        </w:rPr>
        <w:t xml:space="preserve"> instead of six policy forms</w:t>
      </w:r>
      <w:r w:rsidRPr="008846FA">
        <w:rPr>
          <w:rFonts w:ascii="Times New Roman" w:hAnsi="Times New Roman" w:cs="Times New Roman"/>
          <w:color w:val="000000"/>
          <w:sz w:val="24"/>
          <w:szCs w:val="24"/>
        </w:rPr>
        <w:t>.</w:t>
      </w:r>
      <w:bookmarkEnd w:id="74"/>
      <w:bookmarkEnd w:id="77"/>
    </w:p>
    <w:p w:rsidR="00431A84" w:rsidP="006D3728" w14:paraId="1EBA89F1" w14:textId="77777777">
      <w:pPr>
        <w:pStyle w:val="Default"/>
        <w:numPr>
          <w:ilvl w:val="0"/>
          <w:numId w:val="24"/>
        </w:numPr>
        <w:tabs>
          <w:tab w:val="left" w:pos="720"/>
          <w:tab w:val="left" w:pos="4230"/>
        </w:tabs>
        <w:spacing w:before="240" w:after="24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ZIP Code</w:t>
      </w:r>
    </w:p>
    <w:p w:rsidR="00E61A44" w:rsidP="00A24444" w14:paraId="754AAA54" w14:textId="224A2346">
      <w:pPr>
        <w:pStyle w:val="Default"/>
        <w:tabs>
          <w:tab w:val="left" w:pos="720"/>
          <w:tab w:val="left" w:pos="4230"/>
        </w:tabs>
        <w:spacing w:before="240" w:after="240"/>
        <w:rPr>
          <w:rFonts w:ascii="Times New Roman" w:hAnsi="Times New Roman" w:cs="Times New Roman"/>
          <w:color w:val="000000"/>
          <w:sz w:val="24"/>
          <w:szCs w:val="24"/>
        </w:rPr>
      </w:pPr>
      <w:bookmarkStart w:id="78" w:name="_Hlk145978656"/>
      <w:bookmarkStart w:id="79" w:name="_Hlk148605296"/>
      <w:r w:rsidRPr="00E61A44">
        <w:rPr>
          <w:rFonts w:ascii="Times New Roman" w:hAnsi="Times New Roman" w:cs="Times New Roman"/>
          <w:color w:val="000000"/>
          <w:sz w:val="24"/>
          <w:szCs w:val="24"/>
        </w:rPr>
        <w:t xml:space="preserve">FIO received many comments on the proposal to collect data at the ZIP Code level, both for and </w:t>
      </w:r>
      <w:bookmarkStart w:id="80" w:name="_Hlk148605305"/>
      <w:r w:rsidRPr="00E61A44">
        <w:rPr>
          <w:rFonts w:ascii="Times New Roman" w:hAnsi="Times New Roman" w:cs="Times New Roman"/>
          <w:color w:val="000000"/>
          <w:sz w:val="24"/>
          <w:szCs w:val="24"/>
        </w:rPr>
        <w:t>against</w:t>
      </w:r>
      <w:r w:rsidR="009C351B">
        <w:rPr>
          <w:rFonts w:ascii="Times New Roman" w:hAnsi="Times New Roman" w:cs="Times New Roman"/>
          <w:color w:val="000000"/>
          <w:sz w:val="24"/>
          <w:szCs w:val="24"/>
        </w:rPr>
        <w:t xml:space="preserve"> the use of ZIP Code level</w:t>
      </w:r>
      <w:r w:rsidRPr="00E61A44">
        <w:rPr>
          <w:rFonts w:ascii="Times New Roman" w:hAnsi="Times New Roman" w:cs="Times New Roman"/>
          <w:color w:val="000000"/>
          <w:sz w:val="24"/>
          <w:szCs w:val="24"/>
        </w:rPr>
        <w:t xml:space="preserve">. </w:t>
      </w:r>
      <w:r w:rsidR="00BF3A47">
        <w:rPr>
          <w:rFonts w:ascii="Times New Roman" w:hAnsi="Times New Roman" w:cs="Times New Roman"/>
          <w:color w:val="000000"/>
          <w:sz w:val="24"/>
          <w:szCs w:val="24"/>
        </w:rPr>
        <w:t xml:space="preserve"> </w:t>
      </w:r>
      <w:bookmarkEnd w:id="80"/>
      <w:r w:rsidR="00A25BC4">
        <w:rPr>
          <w:rFonts w:ascii="Times New Roman" w:hAnsi="Times New Roman" w:cs="Times New Roman"/>
          <w:color w:val="000000"/>
          <w:sz w:val="24"/>
          <w:szCs w:val="24"/>
        </w:rPr>
        <w:t>Commenters</w:t>
      </w:r>
      <w:r w:rsidRPr="00E61A44">
        <w:rPr>
          <w:rFonts w:ascii="Times New Roman" w:hAnsi="Times New Roman" w:cs="Times New Roman"/>
          <w:color w:val="000000"/>
          <w:sz w:val="24"/>
          <w:szCs w:val="24"/>
        </w:rPr>
        <w:t xml:space="preserve"> that opposed ZIP Code</w:t>
      </w:r>
      <w:r w:rsidR="00797756">
        <w:rPr>
          <w:rFonts w:ascii="Times New Roman" w:hAnsi="Times New Roman" w:cs="Times New Roman"/>
          <w:color w:val="000000"/>
          <w:sz w:val="24"/>
          <w:szCs w:val="24"/>
        </w:rPr>
        <w:t xml:space="preserve"> </w:t>
      </w:r>
      <w:r w:rsidRPr="00E61A44">
        <w:rPr>
          <w:rFonts w:ascii="Times New Roman" w:hAnsi="Times New Roman" w:cs="Times New Roman"/>
          <w:color w:val="000000"/>
          <w:sz w:val="24"/>
          <w:szCs w:val="24"/>
        </w:rPr>
        <w:t>level collection cited</w:t>
      </w:r>
      <w:r w:rsidR="00FB6C95">
        <w:rPr>
          <w:rFonts w:ascii="Times New Roman" w:hAnsi="Times New Roman" w:cs="Times New Roman"/>
          <w:color w:val="000000"/>
          <w:sz w:val="24"/>
          <w:szCs w:val="24"/>
        </w:rPr>
        <w:t>, among other things,</w:t>
      </w:r>
      <w:r w:rsidRPr="00E61A44">
        <w:rPr>
          <w:rFonts w:ascii="Times New Roman" w:hAnsi="Times New Roman" w:cs="Times New Roman"/>
          <w:color w:val="000000"/>
          <w:sz w:val="24"/>
          <w:szCs w:val="24"/>
        </w:rPr>
        <w:t xml:space="preserve"> the burden to insurers, the </w:t>
      </w:r>
      <w:r w:rsidR="00A25BC4">
        <w:rPr>
          <w:rFonts w:ascii="Times New Roman" w:hAnsi="Times New Roman" w:cs="Times New Roman"/>
          <w:color w:val="000000"/>
          <w:sz w:val="24"/>
          <w:szCs w:val="24"/>
        </w:rPr>
        <w:t>potential for</w:t>
      </w:r>
      <w:r w:rsidRPr="00E61A44">
        <w:rPr>
          <w:rFonts w:ascii="Times New Roman" w:hAnsi="Times New Roman" w:cs="Times New Roman"/>
          <w:color w:val="000000"/>
          <w:sz w:val="24"/>
          <w:szCs w:val="24"/>
        </w:rPr>
        <w:t xml:space="preserve"> misleading conclusions based on </w:t>
      </w:r>
      <w:r w:rsidR="008E3AAB">
        <w:rPr>
          <w:rFonts w:ascii="Times New Roman" w:hAnsi="Times New Roman" w:cs="Times New Roman"/>
          <w:color w:val="000000"/>
          <w:sz w:val="24"/>
          <w:szCs w:val="24"/>
        </w:rPr>
        <w:t>ZIP Code</w:t>
      </w:r>
      <w:r w:rsidR="00797756">
        <w:rPr>
          <w:rFonts w:ascii="Times New Roman" w:hAnsi="Times New Roman" w:cs="Times New Roman"/>
          <w:color w:val="000000"/>
          <w:sz w:val="24"/>
          <w:szCs w:val="24"/>
        </w:rPr>
        <w:t xml:space="preserve"> </w:t>
      </w:r>
      <w:r w:rsidR="008E3AAB">
        <w:rPr>
          <w:rFonts w:ascii="Times New Roman" w:hAnsi="Times New Roman" w:cs="Times New Roman"/>
          <w:color w:val="000000"/>
          <w:sz w:val="24"/>
          <w:szCs w:val="24"/>
        </w:rPr>
        <w:t xml:space="preserve">level </w:t>
      </w:r>
      <w:r w:rsidRPr="00E61A44">
        <w:rPr>
          <w:rFonts w:ascii="Times New Roman" w:hAnsi="Times New Roman" w:cs="Times New Roman"/>
          <w:color w:val="000000"/>
          <w:sz w:val="24"/>
          <w:szCs w:val="24"/>
        </w:rPr>
        <w:t xml:space="preserve">claims data, </w:t>
      </w:r>
      <w:r w:rsidR="00FB6C95">
        <w:rPr>
          <w:rFonts w:ascii="Times New Roman" w:hAnsi="Times New Roman" w:cs="Times New Roman"/>
          <w:color w:val="000000"/>
          <w:sz w:val="24"/>
          <w:szCs w:val="24"/>
        </w:rPr>
        <w:t xml:space="preserve">and </w:t>
      </w:r>
      <w:r w:rsidRPr="00E61A44">
        <w:rPr>
          <w:rFonts w:ascii="Times New Roman" w:hAnsi="Times New Roman" w:cs="Times New Roman"/>
          <w:color w:val="000000"/>
          <w:sz w:val="24"/>
          <w:szCs w:val="24"/>
        </w:rPr>
        <w:t>the possibility of exposing personally identifi</w:t>
      </w:r>
      <w:r w:rsidR="00A25BC4">
        <w:rPr>
          <w:rFonts w:ascii="Times New Roman" w:hAnsi="Times New Roman" w:cs="Times New Roman"/>
          <w:color w:val="000000"/>
          <w:sz w:val="24"/>
          <w:szCs w:val="24"/>
        </w:rPr>
        <w:t>able</w:t>
      </w:r>
      <w:r w:rsidRPr="00E61A44">
        <w:rPr>
          <w:rFonts w:ascii="Times New Roman" w:hAnsi="Times New Roman" w:cs="Times New Roman"/>
          <w:color w:val="000000"/>
          <w:sz w:val="24"/>
          <w:szCs w:val="24"/>
        </w:rPr>
        <w:t xml:space="preserve"> information or proprietary data in ZIP Codes with few policies.  </w:t>
      </w:r>
      <w:bookmarkStart w:id="81" w:name="_Hlk148605316"/>
      <w:r w:rsidRPr="00E61A44">
        <w:rPr>
          <w:rFonts w:ascii="Times New Roman" w:hAnsi="Times New Roman" w:cs="Times New Roman"/>
          <w:color w:val="000000"/>
          <w:sz w:val="24"/>
          <w:szCs w:val="24"/>
        </w:rPr>
        <w:t>Those in favor of granular data collection tended to encourage FIO to collect data at a</w:t>
      </w:r>
      <w:r w:rsidR="009C351B">
        <w:rPr>
          <w:rFonts w:ascii="Times New Roman" w:hAnsi="Times New Roman" w:cs="Times New Roman"/>
          <w:color w:val="000000"/>
          <w:sz w:val="24"/>
          <w:szCs w:val="24"/>
        </w:rPr>
        <w:t xml:space="preserve"> more</w:t>
      </w:r>
      <w:r w:rsidRPr="00E61A44">
        <w:rPr>
          <w:rFonts w:ascii="Times New Roman" w:hAnsi="Times New Roman" w:cs="Times New Roman"/>
          <w:color w:val="000000"/>
          <w:sz w:val="24"/>
          <w:szCs w:val="24"/>
        </w:rPr>
        <w:t xml:space="preserve"> granular</w:t>
      </w:r>
      <w:r w:rsidR="009C351B">
        <w:rPr>
          <w:rFonts w:ascii="Times New Roman" w:hAnsi="Times New Roman" w:cs="Times New Roman"/>
          <w:color w:val="000000"/>
          <w:sz w:val="24"/>
          <w:szCs w:val="24"/>
        </w:rPr>
        <w:t xml:space="preserve"> level</w:t>
      </w:r>
      <w:r w:rsidRPr="00E61A44">
        <w:rPr>
          <w:rFonts w:ascii="Times New Roman" w:hAnsi="Times New Roman" w:cs="Times New Roman"/>
          <w:color w:val="000000"/>
          <w:sz w:val="24"/>
          <w:szCs w:val="24"/>
        </w:rPr>
        <w:t xml:space="preserve"> than ZIP Code, with census tract being the most common unit proposed.  </w:t>
      </w:r>
      <w:bookmarkStart w:id="82" w:name="_Hlk146973831"/>
      <w:bookmarkEnd w:id="78"/>
      <w:bookmarkEnd w:id="81"/>
      <w:r w:rsidR="00BF3A47">
        <w:rPr>
          <w:rFonts w:ascii="Times New Roman" w:hAnsi="Times New Roman" w:cs="Times New Roman"/>
          <w:color w:val="000000"/>
          <w:sz w:val="24"/>
          <w:szCs w:val="24"/>
        </w:rPr>
        <w:t>Thos</w:t>
      </w:r>
      <w:r w:rsidR="001F64AE">
        <w:rPr>
          <w:rFonts w:ascii="Times New Roman" w:hAnsi="Times New Roman" w:cs="Times New Roman"/>
          <w:color w:val="000000"/>
          <w:sz w:val="24"/>
          <w:szCs w:val="24"/>
        </w:rPr>
        <w:t>e</w:t>
      </w:r>
      <w:r w:rsidR="00BF3A47">
        <w:rPr>
          <w:rFonts w:ascii="Times New Roman" w:hAnsi="Times New Roman" w:cs="Times New Roman"/>
          <w:color w:val="000000"/>
          <w:sz w:val="24"/>
          <w:szCs w:val="24"/>
        </w:rPr>
        <w:t xml:space="preserve"> </w:t>
      </w:r>
      <w:r w:rsidR="001F64AE">
        <w:rPr>
          <w:rFonts w:ascii="Times New Roman" w:hAnsi="Times New Roman" w:cs="Times New Roman"/>
          <w:color w:val="000000"/>
          <w:sz w:val="24"/>
          <w:szCs w:val="24"/>
        </w:rPr>
        <w:t xml:space="preserve">that </w:t>
      </w:r>
      <w:r w:rsidR="00BF3A47">
        <w:rPr>
          <w:rFonts w:ascii="Times New Roman" w:hAnsi="Times New Roman" w:cs="Times New Roman"/>
          <w:color w:val="000000"/>
          <w:sz w:val="24"/>
          <w:szCs w:val="24"/>
        </w:rPr>
        <w:t xml:space="preserve">preferred </w:t>
      </w:r>
      <w:r w:rsidRPr="00E61A44">
        <w:rPr>
          <w:rFonts w:ascii="Times New Roman" w:hAnsi="Times New Roman" w:cs="Times New Roman"/>
          <w:color w:val="000000"/>
          <w:sz w:val="24"/>
          <w:szCs w:val="24"/>
        </w:rPr>
        <w:t xml:space="preserve">census tracts </w:t>
      </w:r>
      <w:r w:rsidR="00BF3A47">
        <w:rPr>
          <w:rFonts w:ascii="Times New Roman" w:hAnsi="Times New Roman" w:cs="Times New Roman"/>
          <w:color w:val="000000"/>
          <w:sz w:val="24"/>
          <w:szCs w:val="24"/>
        </w:rPr>
        <w:t xml:space="preserve">cited various rationales, </w:t>
      </w:r>
      <w:r w:rsidRPr="00E61A44">
        <w:rPr>
          <w:rFonts w:ascii="Times New Roman" w:hAnsi="Times New Roman" w:cs="Times New Roman"/>
          <w:color w:val="000000"/>
          <w:sz w:val="24"/>
          <w:szCs w:val="24"/>
        </w:rPr>
        <w:t>includ</w:t>
      </w:r>
      <w:r w:rsidR="00BF3A47">
        <w:rPr>
          <w:rFonts w:ascii="Times New Roman" w:hAnsi="Times New Roman" w:cs="Times New Roman"/>
          <w:color w:val="000000"/>
          <w:sz w:val="24"/>
          <w:szCs w:val="24"/>
        </w:rPr>
        <w:t>ing</w:t>
      </w:r>
      <w:r w:rsidRPr="00E61A44">
        <w:rPr>
          <w:rFonts w:ascii="Times New Roman" w:hAnsi="Times New Roman" w:cs="Times New Roman"/>
          <w:color w:val="000000"/>
          <w:sz w:val="24"/>
          <w:szCs w:val="24"/>
        </w:rPr>
        <w:t xml:space="preserve"> that they are comparable, have similar numbers of residents, tend to be internally similar, and align with census-defined geographies better than ZIP Codes.</w:t>
      </w:r>
      <w:bookmarkEnd w:id="82"/>
    </w:p>
    <w:p w:rsidR="00E61A44" w:rsidRPr="00D91DB9" w:rsidP="00A24444" w14:paraId="4C75592B" w14:textId="28B7AC4E">
      <w:pPr>
        <w:pStyle w:val="Default"/>
        <w:tabs>
          <w:tab w:val="left" w:pos="720"/>
          <w:tab w:val="left" w:pos="4230"/>
        </w:tabs>
        <w:spacing w:before="240" w:after="240"/>
        <w:rPr>
          <w:rFonts w:ascii="Times New Roman" w:hAnsi="Times New Roman" w:cs="Times New Roman"/>
          <w:color w:val="000000"/>
          <w:sz w:val="24"/>
          <w:szCs w:val="24"/>
        </w:rPr>
      </w:pPr>
      <w:bookmarkStart w:id="83" w:name="_Hlk145978758"/>
      <w:bookmarkEnd w:id="79"/>
      <w:r w:rsidRPr="00E61A44">
        <w:rPr>
          <w:rFonts w:ascii="Times New Roman" w:hAnsi="Times New Roman" w:cs="Times New Roman"/>
          <w:color w:val="000000"/>
          <w:sz w:val="24"/>
          <w:szCs w:val="24"/>
        </w:rPr>
        <w:t xml:space="preserve">FIO </w:t>
      </w:r>
      <w:r w:rsidR="00CC2EEC">
        <w:rPr>
          <w:rFonts w:ascii="Times New Roman" w:hAnsi="Times New Roman" w:cs="Times New Roman"/>
          <w:color w:val="000000"/>
          <w:sz w:val="24"/>
          <w:szCs w:val="24"/>
        </w:rPr>
        <w:t xml:space="preserve">plans to </w:t>
      </w:r>
      <w:r w:rsidRPr="00E61A44">
        <w:rPr>
          <w:rFonts w:ascii="Times New Roman" w:hAnsi="Times New Roman" w:cs="Times New Roman"/>
          <w:color w:val="000000"/>
          <w:sz w:val="24"/>
          <w:szCs w:val="24"/>
        </w:rPr>
        <w:t>mov</w:t>
      </w:r>
      <w:r w:rsidR="00CC2EEC">
        <w:rPr>
          <w:rFonts w:ascii="Times New Roman" w:hAnsi="Times New Roman" w:cs="Times New Roman"/>
          <w:color w:val="000000"/>
          <w:sz w:val="24"/>
          <w:szCs w:val="24"/>
        </w:rPr>
        <w:t>e</w:t>
      </w:r>
      <w:r w:rsidRPr="00E61A44">
        <w:rPr>
          <w:rFonts w:ascii="Times New Roman" w:hAnsi="Times New Roman" w:cs="Times New Roman"/>
          <w:color w:val="000000"/>
          <w:sz w:val="24"/>
          <w:szCs w:val="24"/>
        </w:rPr>
        <w:t xml:space="preserve"> forward with ZIP Code</w:t>
      </w:r>
      <w:r w:rsidR="00797756">
        <w:rPr>
          <w:rFonts w:ascii="Times New Roman" w:hAnsi="Times New Roman" w:cs="Times New Roman"/>
          <w:color w:val="000000"/>
          <w:sz w:val="24"/>
          <w:szCs w:val="24"/>
        </w:rPr>
        <w:t xml:space="preserve"> </w:t>
      </w:r>
      <w:r w:rsidRPr="00E61A44">
        <w:rPr>
          <w:rFonts w:ascii="Times New Roman" w:hAnsi="Times New Roman" w:cs="Times New Roman"/>
          <w:color w:val="000000"/>
          <w:sz w:val="24"/>
          <w:szCs w:val="24"/>
        </w:rPr>
        <w:t>level collection.  As many commenters noted, state-level data would be insufficient for FIO’s analysis</w:t>
      </w:r>
      <w:r w:rsidR="00E907B4">
        <w:rPr>
          <w:rFonts w:ascii="Times New Roman" w:hAnsi="Times New Roman" w:cs="Times New Roman"/>
          <w:color w:val="000000"/>
          <w:sz w:val="24"/>
          <w:szCs w:val="24"/>
        </w:rPr>
        <w:t xml:space="preserve"> because climate-related risks and socioeconomic factors vary across geography, and state-level trends could differ from trends seen on a more granular level</w:t>
      </w:r>
      <w:r w:rsidRPr="00E61A44">
        <w:rPr>
          <w:rFonts w:ascii="Times New Roman" w:hAnsi="Times New Roman" w:cs="Times New Roman"/>
          <w:color w:val="000000"/>
          <w:sz w:val="24"/>
          <w:szCs w:val="24"/>
        </w:rPr>
        <w:t xml:space="preserve">.  </w:t>
      </w:r>
      <w:bookmarkStart w:id="84" w:name="_Hlk148605335"/>
      <w:bookmarkEnd w:id="83"/>
      <w:r w:rsidR="009C351B">
        <w:rPr>
          <w:rFonts w:ascii="Times New Roman" w:hAnsi="Times New Roman" w:cs="Times New Roman"/>
          <w:color w:val="000000"/>
          <w:sz w:val="24"/>
          <w:szCs w:val="24"/>
        </w:rPr>
        <w:t>While</w:t>
      </w:r>
      <w:r w:rsidRPr="00E61A44" w:rsidR="00B13A14">
        <w:rPr>
          <w:rFonts w:ascii="Times New Roman" w:hAnsi="Times New Roman" w:cs="Times New Roman"/>
          <w:color w:val="000000"/>
          <w:sz w:val="24"/>
          <w:szCs w:val="24"/>
        </w:rPr>
        <w:t xml:space="preserve"> FIO understands the</w:t>
      </w:r>
      <w:r w:rsidR="00B13A14">
        <w:rPr>
          <w:rFonts w:ascii="Times New Roman" w:hAnsi="Times New Roman" w:cs="Times New Roman"/>
          <w:color w:val="000000"/>
          <w:sz w:val="24"/>
          <w:szCs w:val="24"/>
        </w:rPr>
        <w:t xml:space="preserve"> potential </w:t>
      </w:r>
      <w:r w:rsidRPr="00E61A44" w:rsidR="00B13A14">
        <w:rPr>
          <w:rFonts w:ascii="Times New Roman" w:hAnsi="Times New Roman" w:cs="Times New Roman"/>
          <w:color w:val="000000"/>
          <w:sz w:val="24"/>
          <w:szCs w:val="24"/>
        </w:rPr>
        <w:t xml:space="preserve">additional benefits of collecting census tract relative to ZIP Code information, FIO’s discussions with insurers </w:t>
      </w:r>
      <w:r w:rsidR="009C351B">
        <w:rPr>
          <w:rFonts w:ascii="Times New Roman" w:hAnsi="Times New Roman" w:cs="Times New Roman"/>
          <w:color w:val="000000"/>
          <w:sz w:val="24"/>
          <w:szCs w:val="24"/>
        </w:rPr>
        <w:t xml:space="preserve">and other stakeholders </w:t>
      </w:r>
      <w:r w:rsidR="00B13A14">
        <w:rPr>
          <w:rFonts w:ascii="Times New Roman" w:hAnsi="Times New Roman" w:cs="Times New Roman"/>
          <w:color w:val="000000"/>
          <w:sz w:val="24"/>
          <w:szCs w:val="24"/>
        </w:rPr>
        <w:t>leads FIO to conclude</w:t>
      </w:r>
      <w:r w:rsidRPr="00E61A44" w:rsidR="00B13A14">
        <w:rPr>
          <w:rFonts w:ascii="Times New Roman" w:hAnsi="Times New Roman" w:cs="Times New Roman"/>
          <w:color w:val="000000"/>
          <w:sz w:val="24"/>
          <w:szCs w:val="24"/>
        </w:rPr>
        <w:t xml:space="preserve"> that ZIP Code information tends to be collected </w:t>
      </w:r>
      <w:r w:rsidR="00C611CE">
        <w:rPr>
          <w:rFonts w:ascii="Times New Roman" w:hAnsi="Times New Roman" w:cs="Times New Roman"/>
          <w:color w:val="000000"/>
          <w:sz w:val="24"/>
          <w:szCs w:val="24"/>
        </w:rPr>
        <w:t>by insurers</w:t>
      </w:r>
      <w:r w:rsidR="00782B14">
        <w:rPr>
          <w:rFonts w:ascii="Times New Roman" w:hAnsi="Times New Roman" w:cs="Times New Roman"/>
          <w:color w:val="000000"/>
          <w:sz w:val="24"/>
          <w:szCs w:val="24"/>
        </w:rPr>
        <w:t xml:space="preserve"> </w:t>
      </w:r>
      <w:r w:rsidRPr="00E61A44" w:rsidR="00B13A14">
        <w:rPr>
          <w:rFonts w:ascii="Times New Roman" w:hAnsi="Times New Roman" w:cs="Times New Roman"/>
          <w:color w:val="000000"/>
          <w:sz w:val="24"/>
          <w:szCs w:val="24"/>
        </w:rPr>
        <w:t xml:space="preserve">as part of the address in a </w:t>
      </w:r>
      <w:r w:rsidR="00B13A14">
        <w:rPr>
          <w:rFonts w:ascii="Times New Roman" w:hAnsi="Times New Roman" w:cs="Times New Roman"/>
          <w:color w:val="000000"/>
          <w:sz w:val="24"/>
          <w:szCs w:val="24"/>
        </w:rPr>
        <w:t>homeowners</w:t>
      </w:r>
      <w:r w:rsidRPr="00E61A44" w:rsidR="00B13A14">
        <w:rPr>
          <w:rFonts w:ascii="Times New Roman" w:hAnsi="Times New Roman" w:cs="Times New Roman"/>
          <w:color w:val="000000"/>
          <w:sz w:val="24"/>
          <w:szCs w:val="24"/>
        </w:rPr>
        <w:t xml:space="preserve"> policy, while other geographic information, </w:t>
      </w:r>
      <w:r w:rsidR="00B13A14">
        <w:rPr>
          <w:rFonts w:ascii="Times New Roman" w:hAnsi="Times New Roman" w:cs="Times New Roman"/>
          <w:color w:val="000000"/>
          <w:sz w:val="24"/>
          <w:szCs w:val="24"/>
        </w:rPr>
        <w:t>such as</w:t>
      </w:r>
      <w:r w:rsidRPr="00E61A44" w:rsidR="00B13A14">
        <w:rPr>
          <w:rFonts w:ascii="Times New Roman" w:hAnsi="Times New Roman" w:cs="Times New Roman"/>
          <w:color w:val="000000"/>
          <w:sz w:val="24"/>
          <w:szCs w:val="24"/>
        </w:rPr>
        <w:t xml:space="preserve"> census tracts, </w:t>
      </w:r>
      <w:r w:rsidR="009C351B">
        <w:rPr>
          <w:rFonts w:ascii="Times New Roman" w:hAnsi="Times New Roman" w:cs="Times New Roman"/>
          <w:color w:val="000000"/>
          <w:sz w:val="24"/>
          <w:szCs w:val="24"/>
        </w:rPr>
        <w:t>may not be collected</w:t>
      </w:r>
      <w:r w:rsidRPr="00E61A44" w:rsidR="00B13A14">
        <w:rPr>
          <w:rFonts w:ascii="Times New Roman" w:hAnsi="Times New Roman" w:cs="Times New Roman"/>
          <w:color w:val="000000"/>
          <w:sz w:val="24"/>
          <w:szCs w:val="24"/>
        </w:rPr>
        <w:t xml:space="preserve">.  </w:t>
      </w:r>
      <w:bookmarkEnd w:id="84"/>
      <w:r w:rsidRPr="00E61A44" w:rsidR="00B13A14">
        <w:rPr>
          <w:rFonts w:ascii="Times New Roman" w:hAnsi="Times New Roman" w:cs="Times New Roman"/>
          <w:color w:val="000000"/>
          <w:sz w:val="24"/>
          <w:szCs w:val="24"/>
        </w:rPr>
        <w:t xml:space="preserve">Because of this, collecting data at a census tract level could increase the burden on insurers to produce information at that granularity.  FIO believes that ZIP Code collection </w:t>
      </w:r>
      <w:r w:rsidR="00BF1A51">
        <w:rPr>
          <w:rFonts w:ascii="Times New Roman" w:hAnsi="Times New Roman" w:cs="Times New Roman"/>
          <w:color w:val="000000"/>
          <w:sz w:val="24"/>
          <w:szCs w:val="24"/>
        </w:rPr>
        <w:t>most appropriately</w:t>
      </w:r>
      <w:r w:rsidRPr="00E61A44" w:rsidR="00BF1A51">
        <w:rPr>
          <w:rFonts w:ascii="Times New Roman" w:hAnsi="Times New Roman" w:cs="Times New Roman"/>
          <w:color w:val="000000"/>
          <w:sz w:val="24"/>
          <w:szCs w:val="24"/>
        </w:rPr>
        <w:t xml:space="preserve"> </w:t>
      </w:r>
      <w:r w:rsidRPr="00E61A44" w:rsidR="00B13A14">
        <w:rPr>
          <w:rFonts w:ascii="Times New Roman" w:hAnsi="Times New Roman" w:cs="Times New Roman"/>
          <w:color w:val="000000"/>
          <w:sz w:val="24"/>
          <w:szCs w:val="24"/>
        </w:rPr>
        <w:t>balances the need for granular data with the responsibility to minimize collection burden.</w:t>
      </w:r>
    </w:p>
    <w:p w:rsidR="00961D1D" w:rsidP="006D3728" w14:paraId="4CEA9BD0" w14:textId="77777777">
      <w:pPr>
        <w:pStyle w:val="Default"/>
        <w:keepNext/>
        <w:numPr>
          <w:ilvl w:val="0"/>
          <w:numId w:val="24"/>
        </w:numPr>
        <w:tabs>
          <w:tab w:val="left" w:pos="720"/>
          <w:tab w:val="left" w:pos="4230"/>
        </w:tabs>
        <w:spacing w:before="240" w:after="24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Title V Coordination and PRA Process</w:t>
      </w:r>
    </w:p>
    <w:p w:rsidR="00961D1D" w:rsidRPr="00D91DB9" w:rsidP="00A24444" w14:paraId="5F68688E" w14:textId="7C9D8A2C">
      <w:pPr>
        <w:pStyle w:val="Default"/>
        <w:tabs>
          <w:tab w:val="left" w:pos="360"/>
          <w:tab w:val="left" w:pos="4230"/>
        </w:tabs>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FIO did not specifically request comment around the advance coordination provisions laid out in the FIO Act or the process for complying with the Paperwork Reduction Act (PRA).  In both cases, industry trade associations, the NAIC, and one state insurance regulator stated that FIO did not comply with the FIO Act advance coordination requirements or PRA provisions.  FIO </w:t>
      </w:r>
      <w:bookmarkStart w:id="85" w:name="_Hlk148605351"/>
      <w:r>
        <w:rPr>
          <w:rFonts w:ascii="Times New Roman" w:hAnsi="Times New Roman" w:cs="Times New Roman"/>
          <w:color w:val="000000"/>
          <w:sz w:val="24"/>
          <w:szCs w:val="24"/>
        </w:rPr>
        <w:t xml:space="preserve">believes that it has fulfilled </w:t>
      </w:r>
      <w:bookmarkEnd w:id="85"/>
      <w:r>
        <w:rPr>
          <w:rFonts w:ascii="Times New Roman" w:hAnsi="Times New Roman" w:cs="Times New Roman"/>
          <w:color w:val="000000"/>
          <w:sz w:val="24"/>
          <w:szCs w:val="24"/>
        </w:rPr>
        <w:t>all applicable provisions of both statutes.</w:t>
      </w:r>
    </w:p>
    <w:p w:rsidR="00CE2111" w:rsidP="006D3728" w14:paraId="4380024D" w14:textId="77777777">
      <w:pPr>
        <w:pStyle w:val="Default"/>
        <w:numPr>
          <w:ilvl w:val="0"/>
          <w:numId w:val="24"/>
        </w:numPr>
        <w:tabs>
          <w:tab w:val="left" w:pos="720"/>
          <w:tab w:val="left" w:pos="4230"/>
        </w:tabs>
        <w:spacing w:before="240" w:after="24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Selection of Insurers</w:t>
      </w:r>
    </w:p>
    <w:p w:rsidR="006D3728" w:rsidP="006D3728" w14:paraId="2C69B51F" w14:textId="42CABD7C">
      <w:pPr>
        <w:spacing w:before="240" w:after="240"/>
      </w:pPr>
      <w:bookmarkStart w:id="86" w:name="_Hlk146973524"/>
      <w:bookmarkStart w:id="87" w:name="_Hlk145977952"/>
      <w:r>
        <w:t>FIO did not receive many written comments related to the proposed methodology for selecting the insurers for the proposed data collection, although it did receive comments on the overall burden of the proposed data collection</w:t>
      </w:r>
      <w:bookmarkStart w:id="88" w:name="_Hlk145978045"/>
      <w:r>
        <w:t>, as well as on the potential use of the data for entity-specific analys</w:t>
      </w:r>
      <w:r w:rsidR="005252F2">
        <w:t>e</w:t>
      </w:r>
      <w:r>
        <w:t>s, and the operational burden of having groups report their subsidiaries on separate templates.  In the October 2022 FRN, FIO’s proposed selection criteria were: (1)</w:t>
      </w:r>
      <w:r w:rsidR="002E179E">
        <w:t> </w:t>
      </w:r>
      <w:r>
        <w:t>n</w:t>
      </w:r>
      <w:r w:rsidRPr="00F0622B">
        <w:t xml:space="preserve">ationwide insurers writing above a premium threshold of $100 million in </w:t>
      </w:r>
      <w:r w:rsidRPr="00080A91">
        <w:t>2021</w:t>
      </w:r>
      <w:r w:rsidRPr="00F0622B">
        <w:t xml:space="preserve"> </w:t>
      </w:r>
      <w:r>
        <w:t>homeowners</w:t>
      </w:r>
      <w:r w:rsidRPr="00F0622B">
        <w:t xml:space="preserve"> insurance premiums</w:t>
      </w:r>
      <w:r>
        <w:t>; and (2) a</w:t>
      </w:r>
      <w:r w:rsidRPr="005C2724">
        <w:t>dditional insurers</w:t>
      </w:r>
      <w:r>
        <w:t>,</w:t>
      </w:r>
      <w:r w:rsidRPr="005C2724">
        <w:t xml:space="preserve"> in order to achieve </w:t>
      </w:r>
      <w:r>
        <w:t xml:space="preserve">at least an </w:t>
      </w:r>
      <w:r w:rsidRPr="005C2724">
        <w:t>80</w:t>
      </w:r>
      <w:r>
        <w:t xml:space="preserve"> percent</w:t>
      </w:r>
      <w:r w:rsidRPr="005C2724">
        <w:t xml:space="preserve"> market share threshold in each of 10 states that are potentially the most </w:t>
      </w:r>
      <w:r>
        <w:t>prone</w:t>
      </w:r>
      <w:r w:rsidRPr="005C2724">
        <w:t xml:space="preserve"> to climate-related disasters</w:t>
      </w:r>
      <w:r>
        <w:t>.</w:t>
      </w:r>
    </w:p>
    <w:bookmarkEnd w:id="88"/>
    <w:p w:rsidR="001F64AE" w:rsidP="00A24444" w14:paraId="113CA029" w14:textId="40633F9F">
      <w:pPr>
        <w:spacing w:before="240" w:after="240"/>
      </w:pPr>
      <w:r>
        <w:t>Although FIO did not receive many specific comments on the selection of insurers, FIO</w:t>
      </w:r>
      <w:r w:rsidR="00EC3FD1">
        <w:t xml:space="preserve"> is</w:t>
      </w:r>
      <w:r>
        <w:t xml:space="preserve"> </w:t>
      </w:r>
      <w:r w:rsidR="004018C8">
        <w:t>changing</w:t>
      </w:r>
      <w:r>
        <w:t xml:space="preserve"> the selection criteria to </w:t>
      </w:r>
      <w:r>
        <w:t xml:space="preserve">cover </w:t>
      </w:r>
      <w:r w:rsidR="00BF3A47">
        <w:t xml:space="preserve">only the largest homeowners insurance groups, i.e., those with </w:t>
      </w:r>
      <w:r w:rsidR="000B6928">
        <w:t>1</w:t>
      </w:r>
      <w:r w:rsidR="00BF3A47">
        <w:t xml:space="preserve"> percent or more of the U.S. </w:t>
      </w:r>
      <w:r w:rsidR="00B13A14">
        <w:t>homeowners market nationwide, resulting in the se</w:t>
      </w:r>
      <w:r w:rsidR="00092515">
        <w:t>le</w:t>
      </w:r>
      <w:r w:rsidR="00B13A14">
        <w:t xml:space="preserve">ction of the top </w:t>
      </w:r>
      <w:r w:rsidRPr="00080A91" w:rsidR="00B13A14">
        <w:t>14</w:t>
      </w:r>
      <w:r w:rsidR="00B13A14">
        <w:t xml:space="preserve"> homeowners insurance groups by direct premiums written in 2022.  </w:t>
      </w:r>
      <w:r w:rsidR="00BF3A47">
        <w:t>FIO has revised the selection criteria</w:t>
      </w:r>
      <w:r w:rsidR="004018C8">
        <w:t xml:space="preserve"> </w:t>
      </w:r>
      <w:r>
        <w:t xml:space="preserve">in order to: </w:t>
      </w:r>
      <w:bookmarkEnd w:id="86"/>
      <w:r>
        <w:t>(1) reduce the burden on smaller insurers; (2) alleviate concerns that FIO would be conducting entity-specific analysis; and (3) make the data operationally easier for insurers to report and for FIO to collect and analyze.</w:t>
      </w:r>
    </w:p>
    <w:bookmarkEnd w:id="87"/>
    <w:p w:rsidR="007B4762" w:rsidRPr="008846FA" w:rsidP="00A24444" w14:paraId="5DD8F60C" w14:textId="1237B61A">
      <w:pPr>
        <w:spacing w:before="240" w:after="240"/>
      </w:pPr>
      <w:r>
        <w:t>In particular, the</w:t>
      </w:r>
      <w:r w:rsidR="00BF3A47">
        <w:t xml:space="preserve"> state</w:t>
      </w:r>
      <w:r>
        <w:t xml:space="preserve"> market share component of FIO’s previous selection criteria </w:t>
      </w:r>
      <w:r w:rsidR="00EC3FD1">
        <w:t xml:space="preserve">would have </w:t>
      </w:r>
      <w:r>
        <w:t xml:space="preserve">led FIO to request information from smaller entities, the smallest of which wrote $23 million in premiums in 2021.  Removing that criterion </w:t>
      </w:r>
      <w:r w:rsidR="003B7B8B">
        <w:t xml:space="preserve">may </w:t>
      </w:r>
      <w:r>
        <w:t>lead to lower market share</w:t>
      </w:r>
      <w:r w:rsidR="004018C8">
        <w:t>s</w:t>
      </w:r>
      <w:r>
        <w:t xml:space="preserve"> in </w:t>
      </w:r>
      <w:r w:rsidR="003B7B8B">
        <w:t>the</w:t>
      </w:r>
      <w:r w:rsidR="00094D67">
        <w:t xml:space="preserve"> </w:t>
      </w:r>
      <w:r w:rsidR="003B7B8B">
        <w:t xml:space="preserve">10 </w:t>
      </w:r>
      <w:r>
        <w:t>states</w:t>
      </w:r>
      <w:r w:rsidR="003B7B8B">
        <w:t xml:space="preserve"> </w:t>
      </w:r>
      <w:bookmarkStart w:id="89" w:name="_Hlk148605366"/>
      <w:r w:rsidR="003B7B8B">
        <w:t>identified in the proposal</w:t>
      </w:r>
      <w:r w:rsidR="00FC0839">
        <w:t>,</w:t>
      </w:r>
      <w:r>
        <w:t xml:space="preserve"> but </w:t>
      </w:r>
      <w:r w:rsidR="00FC0839">
        <w:t xml:space="preserve">this change </w:t>
      </w:r>
      <w:bookmarkEnd w:id="89"/>
      <w:r w:rsidR="0031367B">
        <w:t xml:space="preserve">will </w:t>
      </w:r>
      <w:r>
        <w:t>allow FIO to focus its analysis on the groups with more resources to respond and still conduct a study that captures nationwide data.</w:t>
      </w:r>
      <w:r w:rsidRPr="00C3620B">
        <w:t xml:space="preserve"> </w:t>
      </w:r>
      <w:r w:rsidRPr="00C3620B" w:rsidR="008E3AAB">
        <w:t xml:space="preserve"> </w:t>
      </w:r>
      <w:bookmarkStart w:id="90" w:name="_Hlk148605379"/>
      <w:r w:rsidR="006D3728">
        <w:t xml:space="preserve">FIO’s revisions will allow it to </w:t>
      </w:r>
      <w:r w:rsidR="00097BF1">
        <w:t xml:space="preserve">obtain </w:t>
      </w:r>
      <w:r w:rsidRPr="00097BF1" w:rsidR="00097BF1">
        <w:t xml:space="preserve">data from the 14 groups that collectively underwrite </w:t>
      </w:r>
      <w:r w:rsidR="005C7442">
        <w:t xml:space="preserve">about </w:t>
      </w:r>
      <w:r w:rsidR="006D3728">
        <w:t>70 percent of the nationwide homeowners insurance market</w:t>
      </w:r>
      <w:r w:rsidRPr="00080A91" w:rsidR="006D3728">
        <w:t>,</w:t>
      </w:r>
      <w:r w:rsidRPr="00940B21" w:rsidR="006D3728">
        <w:t xml:space="preserve"> based </w:t>
      </w:r>
      <w:r w:rsidR="006D3728">
        <w:t xml:space="preserve">on 2022 direct premiums written.  </w:t>
      </w:r>
      <w:bookmarkEnd w:id="90"/>
      <w:r w:rsidR="006D3728">
        <w:t>FIO considers this sample to be sufficiently representative nationwide and within each state to conduct its</w:t>
      </w:r>
      <w:r w:rsidR="003B7B8B">
        <w:t xml:space="preserve"> initial</w:t>
      </w:r>
      <w:r w:rsidR="006D3728">
        <w:t xml:space="preserve"> analysis.</w:t>
      </w:r>
    </w:p>
    <w:p w:rsidR="00CE2111" w:rsidP="006D3728" w14:paraId="67640A31" w14:textId="77777777">
      <w:pPr>
        <w:pStyle w:val="Default"/>
        <w:keepNext/>
        <w:numPr>
          <w:ilvl w:val="0"/>
          <w:numId w:val="24"/>
        </w:numPr>
        <w:tabs>
          <w:tab w:val="left" w:pos="720"/>
          <w:tab w:val="left" w:pos="4230"/>
        </w:tabs>
        <w:spacing w:before="240" w:after="24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Other Key Feedback Areas</w:t>
      </w:r>
    </w:p>
    <w:p w:rsidR="00BB4957" w:rsidP="00B13A14" w14:paraId="03E7DFDB" w14:textId="77777777">
      <w:pPr>
        <w:pStyle w:val="Default"/>
        <w:keepNext/>
        <w:tabs>
          <w:tab w:val="left" w:pos="360"/>
          <w:tab w:val="left" w:pos="4230"/>
        </w:tabs>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In a few instances, FIO made changes to </w:t>
      </w:r>
      <w:bookmarkStart w:id="91" w:name="_Hlk145984407"/>
      <w:r>
        <w:rPr>
          <w:rFonts w:ascii="Times New Roman" w:hAnsi="Times New Roman" w:cs="Times New Roman"/>
          <w:color w:val="000000"/>
          <w:sz w:val="24"/>
          <w:szCs w:val="24"/>
        </w:rPr>
        <w:t xml:space="preserve">clarify items in the October </w:t>
      </w:r>
      <w:r w:rsidR="00FE668C">
        <w:rPr>
          <w:rFonts w:ascii="Times New Roman" w:hAnsi="Times New Roman" w:cs="Times New Roman"/>
          <w:color w:val="000000"/>
          <w:sz w:val="24"/>
          <w:szCs w:val="24"/>
        </w:rPr>
        <w:t xml:space="preserve">2022 </w:t>
      </w:r>
      <w:r>
        <w:rPr>
          <w:rFonts w:ascii="Times New Roman" w:hAnsi="Times New Roman" w:cs="Times New Roman"/>
          <w:color w:val="000000"/>
          <w:sz w:val="24"/>
          <w:szCs w:val="24"/>
        </w:rPr>
        <w:t>FRN</w:t>
      </w:r>
      <w:r>
        <w:rPr>
          <w:rFonts w:ascii="Times New Roman" w:hAnsi="Times New Roman" w:cs="Times New Roman"/>
          <w:color w:val="000000"/>
          <w:sz w:val="24"/>
          <w:szCs w:val="24"/>
        </w:rPr>
        <w:t>, including the following:</w:t>
      </w:r>
      <w:r>
        <w:rPr>
          <w:rFonts w:ascii="Times New Roman" w:hAnsi="Times New Roman" w:cs="Times New Roman"/>
          <w:color w:val="000000"/>
          <w:sz w:val="24"/>
          <w:szCs w:val="24"/>
        </w:rPr>
        <w:t xml:space="preserve">  </w:t>
      </w:r>
    </w:p>
    <w:p w:rsidR="00BB4957" w:rsidP="00A24444" w14:paraId="7183972B" w14:textId="0AB629A0">
      <w:pPr>
        <w:pStyle w:val="Default"/>
        <w:numPr>
          <w:ilvl w:val="0"/>
          <w:numId w:val="23"/>
        </w:numPr>
        <w:tabs>
          <w:tab w:val="left" w:pos="360"/>
          <w:tab w:val="left" w:pos="4230"/>
        </w:tabs>
        <w:spacing w:before="240" w:after="240"/>
        <w:rPr>
          <w:rFonts w:ascii="Times New Roman" w:hAnsi="Times New Roman" w:cs="Times New Roman"/>
          <w:color w:val="000000"/>
          <w:sz w:val="24"/>
          <w:szCs w:val="24"/>
        </w:rPr>
      </w:pPr>
      <w:r w:rsidRPr="00A24444">
        <w:rPr>
          <w:rFonts w:ascii="Times New Roman" w:hAnsi="Times New Roman" w:cs="Times New Roman"/>
          <w:i/>
          <w:iCs/>
          <w:color w:val="000000"/>
          <w:sz w:val="24"/>
          <w:szCs w:val="24"/>
        </w:rPr>
        <w:t>Reporting Year.</w:t>
      </w:r>
      <w:r w:rsidRPr="00C3620B" w:rsidR="00C61502">
        <w:rPr>
          <w:rFonts w:ascii="Times New Roman" w:hAnsi="Times New Roman" w:cs="Times New Roman"/>
          <w:bCs/>
          <w:color w:val="000000"/>
          <w:sz w:val="24"/>
          <w:szCs w:val="24"/>
        </w:rPr>
        <w:t xml:space="preserve">  </w:t>
      </w:r>
      <w:r w:rsidR="00C61502">
        <w:rPr>
          <w:rFonts w:ascii="Times New Roman" w:hAnsi="Times New Roman" w:cs="Times New Roman"/>
          <w:color w:val="000000"/>
          <w:sz w:val="24"/>
          <w:szCs w:val="24"/>
        </w:rPr>
        <w:t>FIO had previously stated it would be collecting information on an accident year reporting basis</w:t>
      </w:r>
      <w:r w:rsidR="00013672">
        <w:rPr>
          <w:rFonts w:ascii="Times New Roman" w:hAnsi="Times New Roman" w:cs="Times New Roman"/>
          <w:color w:val="000000"/>
          <w:sz w:val="24"/>
          <w:szCs w:val="24"/>
        </w:rPr>
        <w:t>.</w:t>
      </w:r>
      <w:r w:rsidR="00C61502">
        <w:rPr>
          <w:rFonts w:ascii="Times New Roman" w:hAnsi="Times New Roman" w:cs="Times New Roman"/>
          <w:color w:val="000000"/>
          <w:sz w:val="24"/>
          <w:szCs w:val="24"/>
        </w:rPr>
        <w:t xml:space="preserve"> </w:t>
      </w:r>
      <w:r w:rsidR="00414052">
        <w:rPr>
          <w:rFonts w:ascii="Times New Roman" w:hAnsi="Times New Roman" w:cs="Times New Roman"/>
          <w:color w:val="000000"/>
          <w:sz w:val="24"/>
          <w:szCs w:val="24"/>
        </w:rPr>
        <w:t xml:space="preserve"> </w:t>
      </w:r>
      <w:r w:rsidR="00FE668C">
        <w:rPr>
          <w:rFonts w:ascii="Times New Roman" w:hAnsi="Times New Roman" w:cs="Times New Roman"/>
          <w:color w:val="000000"/>
          <w:sz w:val="24"/>
          <w:szCs w:val="24"/>
        </w:rPr>
        <w:t>In FIO’s 30-day Federal Register Notice for this data collection</w:t>
      </w:r>
      <w:r w:rsidR="00414052">
        <w:rPr>
          <w:rFonts w:ascii="Times New Roman" w:hAnsi="Times New Roman" w:cs="Times New Roman"/>
          <w:color w:val="000000"/>
          <w:sz w:val="24"/>
          <w:szCs w:val="24"/>
        </w:rPr>
        <w:t xml:space="preserve">—the </w:t>
      </w:r>
      <w:r w:rsidRPr="00FE668C" w:rsidR="00FE668C">
        <w:rPr>
          <w:rFonts w:ascii="Times New Roman" w:hAnsi="Times New Roman" w:cs="Times New Roman"/>
          <w:color w:val="000000"/>
          <w:sz w:val="24"/>
          <w:szCs w:val="24"/>
        </w:rPr>
        <w:t xml:space="preserve">Agency Information Collection Activities; Submission for OMB Review; Comment Request; Federal </w:t>
      </w:r>
      <w:r w:rsidRPr="00485730" w:rsidR="00FE668C">
        <w:rPr>
          <w:rFonts w:ascii="Times New Roman" w:hAnsi="Times New Roman" w:cs="Times New Roman"/>
          <w:color w:val="000000"/>
          <w:sz w:val="24"/>
          <w:szCs w:val="24"/>
        </w:rPr>
        <w:t>Insurance Office Climate-Related Financial Risk Data Collection</w:t>
      </w:r>
      <w:r w:rsidRPr="00485730" w:rsidR="002267A2">
        <w:rPr>
          <w:rFonts w:ascii="Times New Roman" w:hAnsi="Times New Roman" w:cs="Times New Roman"/>
          <w:color w:val="000000"/>
          <w:sz w:val="24"/>
          <w:szCs w:val="24"/>
        </w:rPr>
        <w:t xml:space="preserve"> for U.S. Homeowners Multi-Peril Underwriting Data</w:t>
      </w:r>
      <w:r w:rsidRPr="00485730" w:rsidR="00FE668C">
        <w:rPr>
          <w:rFonts w:ascii="Times New Roman" w:hAnsi="Times New Roman" w:cs="Times New Roman"/>
          <w:color w:val="000000"/>
          <w:sz w:val="24"/>
          <w:szCs w:val="24"/>
        </w:rPr>
        <w:t xml:space="preserve">. </w:t>
      </w:r>
      <w:r w:rsidRPr="00485730" w:rsidR="00485730">
        <w:rPr>
          <w:rFonts w:ascii="Times New Roman" w:hAnsi="Times New Roman" w:cs="Times New Roman"/>
          <w:color w:val="000000"/>
          <w:sz w:val="24"/>
          <w:szCs w:val="24"/>
        </w:rPr>
        <w:t>88</w:t>
      </w:r>
      <w:r w:rsidRPr="00485730" w:rsidR="00FE668C">
        <w:rPr>
          <w:rFonts w:ascii="Times New Roman" w:hAnsi="Times New Roman" w:cs="Times New Roman"/>
          <w:color w:val="000000"/>
          <w:sz w:val="24"/>
          <w:szCs w:val="24"/>
        </w:rPr>
        <w:t xml:space="preserve"> Fed. Reg.</w:t>
      </w:r>
      <w:r w:rsidRPr="00485730" w:rsidR="00485730">
        <w:rPr>
          <w:rFonts w:ascii="Times New Roman" w:hAnsi="Times New Roman" w:cs="Times New Roman"/>
          <w:color w:val="000000"/>
          <w:sz w:val="24"/>
          <w:szCs w:val="24"/>
        </w:rPr>
        <w:t xml:space="preserve"> 75380</w:t>
      </w:r>
      <w:r w:rsidRPr="00485730" w:rsidR="00B13A14">
        <w:rPr>
          <w:rFonts w:ascii="Times New Roman" w:hAnsi="Times New Roman" w:cs="Times New Roman"/>
          <w:color w:val="000000"/>
          <w:sz w:val="24"/>
          <w:szCs w:val="24"/>
        </w:rPr>
        <w:t xml:space="preserve"> (</w:t>
      </w:r>
      <w:r w:rsidRPr="00485730" w:rsidR="00485730">
        <w:rPr>
          <w:rFonts w:ascii="Times New Roman" w:hAnsi="Times New Roman" w:cs="Times New Roman"/>
          <w:color w:val="000000"/>
          <w:sz w:val="24"/>
          <w:szCs w:val="24"/>
        </w:rPr>
        <w:t>Nov 11</w:t>
      </w:r>
      <w:r w:rsidRPr="00485730" w:rsidR="00B13A14">
        <w:rPr>
          <w:rFonts w:ascii="Times New Roman" w:hAnsi="Times New Roman" w:cs="Times New Roman"/>
          <w:color w:val="000000"/>
          <w:sz w:val="24"/>
          <w:szCs w:val="24"/>
        </w:rPr>
        <w:t>,</w:t>
      </w:r>
      <w:r w:rsidRPr="00485730" w:rsidR="00FE668C">
        <w:rPr>
          <w:rFonts w:ascii="Times New Roman" w:hAnsi="Times New Roman" w:cs="Times New Roman"/>
          <w:color w:val="000000"/>
          <w:sz w:val="24"/>
          <w:szCs w:val="24"/>
        </w:rPr>
        <w:t xml:space="preserve"> 2023) (30-day FRN)</w:t>
      </w:r>
      <w:r w:rsidRPr="00485730" w:rsidR="00414052">
        <w:rPr>
          <w:rFonts w:ascii="Times New Roman" w:hAnsi="Times New Roman" w:cs="Times New Roman"/>
          <w:color w:val="000000"/>
          <w:sz w:val="24"/>
          <w:szCs w:val="24"/>
        </w:rPr>
        <w:t>—</w:t>
      </w:r>
      <w:r w:rsidRPr="00485730" w:rsidR="00C61502">
        <w:rPr>
          <w:rFonts w:ascii="Times New Roman" w:hAnsi="Times New Roman" w:cs="Times New Roman"/>
          <w:color w:val="000000"/>
          <w:sz w:val="24"/>
          <w:szCs w:val="24"/>
        </w:rPr>
        <w:t xml:space="preserve">FIO has updated some data </w:t>
      </w:r>
      <w:r w:rsidRPr="00485730" w:rsidR="00B13A14">
        <w:rPr>
          <w:rFonts w:ascii="Times New Roman" w:hAnsi="Times New Roman" w:cs="Times New Roman"/>
          <w:color w:val="000000"/>
          <w:sz w:val="24"/>
          <w:szCs w:val="24"/>
        </w:rPr>
        <w:t>fields</w:t>
      </w:r>
      <w:r w:rsidRPr="00485730" w:rsidR="00C61502">
        <w:rPr>
          <w:rFonts w:ascii="Times New Roman" w:hAnsi="Times New Roman" w:cs="Times New Roman"/>
          <w:color w:val="000000"/>
          <w:sz w:val="24"/>
          <w:szCs w:val="24"/>
        </w:rPr>
        <w:t xml:space="preserve">, like premium-related data and policy information, </w:t>
      </w:r>
      <w:r w:rsidRPr="00485730" w:rsidR="00FE668C">
        <w:rPr>
          <w:rFonts w:ascii="Times New Roman" w:hAnsi="Times New Roman" w:cs="Times New Roman"/>
          <w:color w:val="000000"/>
          <w:sz w:val="24"/>
          <w:szCs w:val="24"/>
        </w:rPr>
        <w:t xml:space="preserve">to clarify that they </w:t>
      </w:r>
      <w:r w:rsidRPr="00485730" w:rsidR="00C61502">
        <w:rPr>
          <w:rFonts w:ascii="Times New Roman" w:hAnsi="Times New Roman" w:cs="Times New Roman"/>
          <w:color w:val="000000"/>
          <w:sz w:val="24"/>
          <w:szCs w:val="24"/>
        </w:rPr>
        <w:t>should be provided on a calendar year basis.</w:t>
      </w:r>
      <w:bookmarkStart w:id="92" w:name="_Hlk145974686"/>
      <w:bookmarkEnd w:id="91"/>
    </w:p>
    <w:p w:rsidR="00013672" w:rsidP="00A24444" w14:paraId="604B38D1" w14:textId="70DC6EF2">
      <w:pPr>
        <w:pStyle w:val="Default"/>
        <w:numPr>
          <w:ilvl w:val="0"/>
          <w:numId w:val="23"/>
        </w:numPr>
        <w:tabs>
          <w:tab w:val="left" w:pos="360"/>
          <w:tab w:val="left" w:pos="4230"/>
        </w:tabs>
        <w:spacing w:before="240" w:after="240"/>
        <w:rPr>
          <w:rFonts w:ascii="Times New Roman" w:hAnsi="Times New Roman" w:cs="Times New Roman"/>
          <w:color w:val="000000"/>
          <w:sz w:val="24"/>
          <w:szCs w:val="24"/>
        </w:rPr>
      </w:pPr>
      <w:r w:rsidRPr="00A24444">
        <w:rPr>
          <w:rFonts w:ascii="Times New Roman" w:hAnsi="Times New Roman" w:cs="Times New Roman"/>
          <w:i/>
          <w:iCs/>
          <w:color w:val="000000"/>
          <w:sz w:val="24"/>
          <w:szCs w:val="24"/>
        </w:rPr>
        <w:t>Policy Forms</w:t>
      </w:r>
      <w:r w:rsidRPr="00C362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FIO received many comments on its decision to focus on </w:t>
      </w:r>
      <w:r w:rsidR="00A514A0">
        <w:rPr>
          <w:rFonts w:ascii="Times New Roman" w:hAnsi="Times New Roman" w:cs="Times New Roman"/>
          <w:color w:val="000000"/>
          <w:sz w:val="24"/>
          <w:szCs w:val="24"/>
        </w:rPr>
        <w:t xml:space="preserve">six types </w:t>
      </w:r>
      <w:r>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 xml:space="preserve">homeowners insurance </w:t>
      </w:r>
      <w:r w:rsidR="00A514A0">
        <w:rPr>
          <w:rFonts w:ascii="Times New Roman" w:hAnsi="Times New Roman" w:cs="Times New Roman"/>
          <w:color w:val="000000"/>
          <w:sz w:val="24"/>
          <w:szCs w:val="24"/>
        </w:rPr>
        <w:t>policies</w:t>
      </w:r>
      <w:r w:rsidR="00414052">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vertAlign w:val="superscript"/>
        </w:rPr>
        <w:footnoteReference w:id="29"/>
      </w:r>
      <w:r>
        <w:rPr>
          <w:rFonts w:ascii="Times New Roman" w:hAnsi="Times New Roman" w:cs="Times New Roman"/>
          <w:color w:val="000000"/>
          <w:sz w:val="24"/>
          <w:szCs w:val="24"/>
        </w:rPr>
        <w:t xml:space="preserve"> </w:t>
      </w:r>
      <w:r w:rsidR="00414052">
        <w:rPr>
          <w:rFonts w:ascii="Times New Roman" w:hAnsi="Times New Roman" w:cs="Times New Roman"/>
          <w:color w:val="000000"/>
          <w:sz w:val="24"/>
          <w:szCs w:val="24"/>
        </w:rPr>
        <w:t xml:space="preserve"> S</w:t>
      </w:r>
      <w:r>
        <w:rPr>
          <w:rFonts w:ascii="Times New Roman" w:hAnsi="Times New Roman" w:cs="Times New Roman"/>
          <w:color w:val="000000"/>
          <w:sz w:val="24"/>
          <w:szCs w:val="24"/>
        </w:rPr>
        <w:t>ome suggest</w:t>
      </w:r>
      <w:r w:rsidR="00414052">
        <w:rPr>
          <w:rFonts w:ascii="Times New Roman" w:hAnsi="Times New Roman" w:cs="Times New Roman"/>
          <w:color w:val="000000"/>
          <w:sz w:val="24"/>
          <w:szCs w:val="24"/>
        </w:rPr>
        <w:t>ed</w:t>
      </w:r>
      <w:r w:rsidR="001C2409">
        <w:rPr>
          <w:rFonts w:ascii="Times New Roman" w:hAnsi="Times New Roman" w:cs="Times New Roman"/>
          <w:color w:val="000000"/>
          <w:sz w:val="24"/>
          <w:szCs w:val="24"/>
        </w:rPr>
        <w:t xml:space="preserve"> that the data collection should</w:t>
      </w:r>
      <w:r>
        <w:rPr>
          <w:rFonts w:ascii="Times New Roman" w:hAnsi="Times New Roman" w:cs="Times New Roman"/>
          <w:color w:val="000000"/>
          <w:sz w:val="24"/>
          <w:szCs w:val="24"/>
        </w:rPr>
        <w:t xml:space="preserve"> include additional policies </w:t>
      </w:r>
      <w:r w:rsidR="001C0C40">
        <w:rPr>
          <w:rFonts w:ascii="Times New Roman" w:hAnsi="Times New Roman" w:cs="Times New Roman"/>
          <w:color w:val="000000"/>
          <w:sz w:val="24"/>
          <w:szCs w:val="24"/>
        </w:rPr>
        <w:t xml:space="preserve">such as </w:t>
      </w:r>
      <w:r>
        <w:rPr>
          <w:rFonts w:ascii="Times New Roman" w:hAnsi="Times New Roman" w:cs="Times New Roman"/>
          <w:color w:val="000000"/>
          <w:sz w:val="24"/>
          <w:szCs w:val="24"/>
        </w:rPr>
        <w:t>flood, standalone fire, standalone wind</w:t>
      </w:r>
      <w:r w:rsidR="000A3260">
        <w:rPr>
          <w:rFonts w:ascii="Times New Roman" w:hAnsi="Times New Roman" w:cs="Times New Roman"/>
          <w:color w:val="000000"/>
          <w:sz w:val="24"/>
          <w:szCs w:val="24"/>
        </w:rPr>
        <w:t xml:space="preserve">, </w:t>
      </w:r>
      <w:r w:rsidR="00414052">
        <w:rPr>
          <w:rFonts w:ascii="Times New Roman" w:hAnsi="Times New Roman" w:cs="Times New Roman"/>
          <w:color w:val="000000"/>
          <w:sz w:val="24"/>
          <w:szCs w:val="24"/>
        </w:rPr>
        <w:t xml:space="preserve">and </w:t>
      </w:r>
      <w:r w:rsidR="000A3260">
        <w:rPr>
          <w:rFonts w:ascii="Times New Roman" w:hAnsi="Times New Roman" w:cs="Times New Roman"/>
          <w:color w:val="000000"/>
          <w:sz w:val="24"/>
          <w:szCs w:val="24"/>
        </w:rPr>
        <w:t>all residual insurance policies</w:t>
      </w:r>
      <w:r w:rsidR="00414052">
        <w:rPr>
          <w:rFonts w:ascii="Times New Roman" w:hAnsi="Times New Roman" w:cs="Times New Roman"/>
          <w:color w:val="000000"/>
          <w:sz w:val="24"/>
          <w:szCs w:val="24"/>
        </w:rPr>
        <w:t xml:space="preserve">.  </w:t>
      </w:r>
      <w:bookmarkStart w:id="93" w:name="_Hlk147500281"/>
      <w:r w:rsidR="00414052">
        <w:rPr>
          <w:rFonts w:ascii="Times New Roman" w:hAnsi="Times New Roman" w:cs="Times New Roman"/>
          <w:color w:val="000000"/>
          <w:sz w:val="24"/>
          <w:szCs w:val="24"/>
        </w:rPr>
        <w:t>I</w:t>
      </w:r>
      <w:r>
        <w:rPr>
          <w:rFonts w:ascii="Times New Roman" w:hAnsi="Times New Roman" w:cs="Times New Roman"/>
          <w:color w:val="000000"/>
          <w:sz w:val="24"/>
          <w:szCs w:val="24"/>
        </w:rPr>
        <w:t>nsurers highlight</w:t>
      </w:r>
      <w:r w:rsidR="00414052">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the difficulty of collecting consistent, comparable data across multiple policy form types.  </w:t>
      </w:r>
      <w:bookmarkEnd w:id="93"/>
      <w:r>
        <w:rPr>
          <w:rFonts w:ascii="Times New Roman" w:hAnsi="Times New Roman" w:cs="Times New Roman"/>
          <w:color w:val="000000"/>
          <w:sz w:val="24"/>
          <w:szCs w:val="24"/>
        </w:rPr>
        <w:t xml:space="preserve">FIO has revised its </w:t>
      </w:r>
      <w:r w:rsidR="00681A3F">
        <w:rPr>
          <w:rFonts w:ascii="Times New Roman" w:hAnsi="Times New Roman" w:cs="Times New Roman"/>
          <w:color w:val="000000"/>
          <w:sz w:val="24"/>
          <w:szCs w:val="24"/>
        </w:rPr>
        <w:t>data collection to focus on data involving</w:t>
      </w:r>
      <w:r>
        <w:rPr>
          <w:rFonts w:ascii="Times New Roman" w:hAnsi="Times New Roman" w:cs="Times New Roman"/>
          <w:color w:val="000000"/>
          <w:sz w:val="24"/>
          <w:szCs w:val="24"/>
        </w:rPr>
        <w:t xml:space="preserve"> on</w:t>
      </w:r>
      <w:r w:rsidR="001C2409">
        <w:rPr>
          <w:rFonts w:ascii="Times New Roman" w:hAnsi="Times New Roman" w:cs="Times New Roman"/>
          <w:color w:val="000000"/>
          <w:sz w:val="24"/>
          <w:szCs w:val="24"/>
        </w:rPr>
        <w:t xml:space="preserve">ly </w:t>
      </w:r>
      <w:r w:rsidR="00681A3F">
        <w:rPr>
          <w:rFonts w:ascii="Times New Roman" w:hAnsi="Times New Roman" w:cs="Times New Roman"/>
          <w:color w:val="000000"/>
          <w:sz w:val="24"/>
          <w:szCs w:val="24"/>
        </w:rPr>
        <w:t>one form (</w:t>
      </w:r>
      <w:r w:rsidR="001C2409">
        <w:rPr>
          <w:rFonts w:ascii="Times New Roman" w:hAnsi="Times New Roman" w:cs="Times New Roman"/>
          <w:color w:val="000000"/>
          <w:sz w:val="24"/>
          <w:szCs w:val="24"/>
        </w:rPr>
        <w:t xml:space="preserve">owner-occupied homeowners multi-peril </w:t>
      </w:r>
      <w:r>
        <w:rPr>
          <w:rFonts w:ascii="Times New Roman" w:hAnsi="Times New Roman" w:cs="Times New Roman"/>
          <w:color w:val="000000"/>
          <w:sz w:val="24"/>
          <w:szCs w:val="24"/>
        </w:rPr>
        <w:t xml:space="preserve">insurance policies written on the </w:t>
      </w:r>
      <w:r w:rsidR="001C2409">
        <w:rPr>
          <w:rFonts w:ascii="Times New Roman" w:hAnsi="Times New Roman" w:cs="Times New Roman"/>
          <w:color w:val="000000"/>
          <w:sz w:val="24"/>
          <w:szCs w:val="24"/>
        </w:rPr>
        <w:t xml:space="preserve">HO-3 </w:t>
      </w:r>
      <w:r>
        <w:rPr>
          <w:rFonts w:ascii="Times New Roman" w:hAnsi="Times New Roman" w:cs="Times New Roman"/>
          <w:color w:val="000000"/>
          <w:sz w:val="24"/>
          <w:szCs w:val="24"/>
        </w:rPr>
        <w:t>form</w:t>
      </w:r>
      <w:r w:rsidR="00681A3F">
        <w:rPr>
          <w:rFonts w:ascii="Times New Roman" w:hAnsi="Times New Roman" w:cs="Times New Roman"/>
          <w:color w:val="000000"/>
          <w:sz w:val="24"/>
          <w:szCs w:val="24"/>
        </w:rPr>
        <w:t>) instead of six forms.</w:t>
      </w:r>
    </w:p>
    <w:bookmarkEnd w:id="92"/>
    <w:p w:rsidR="00414052" w:rsidP="00A24444" w14:paraId="40CF8EDB" w14:textId="77777777">
      <w:pPr>
        <w:pStyle w:val="Default"/>
        <w:tabs>
          <w:tab w:val="left" w:pos="360"/>
          <w:tab w:val="left" w:pos="4230"/>
        </w:tabs>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Commenters</w:t>
      </w:r>
      <w:r>
        <w:rPr>
          <w:rFonts w:ascii="Times New Roman" w:hAnsi="Times New Roman" w:cs="Times New Roman"/>
          <w:color w:val="000000"/>
          <w:sz w:val="24"/>
          <w:szCs w:val="24"/>
        </w:rPr>
        <w:t xml:space="preserve"> also</w:t>
      </w:r>
      <w:r>
        <w:rPr>
          <w:rFonts w:ascii="Times New Roman" w:hAnsi="Times New Roman" w:cs="Times New Roman"/>
          <w:color w:val="000000"/>
          <w:sz w:val="24"/>
          <w:szCs w:val="24"/>
        </w:rPr>
        <w:t xml:space="preserve"> requested additional information in a few other areas that did not directly impact the scope of FIO’s data collection.</w:t>
      </w:r>
    </w:p>
    <w:p w:rsidR="006D3728" w:rsidP="006D3728" w14:paraId="333EAF26" w14:textId="7E51AFB9">
      <w:pPr>
        <w:pStyle w:val="Default"/>
        <w:numPr>
          <w:ilvl w:val="0"/>
          <w:numId w:val="23"/>
        </w:numPr>
        <w:tabs>
          <w:tab w:val="left" w:pos="360"/>
          <w:tab w:val="left" w:pos="4230"/>
        </w:tabs>
        <w:spacing w:before="240" w:after="240"/>
        <w:rPr>
          <w:rFonts w:ascii="Times New Roman" w:hAnsi="Times New Roman" w:cs="Times New Roman"/>
          <w:sz w:val="24"/>
          <w:szCs w:val="24"/>
        </w:rPr>
      </w:pPr>
      <w:r w:rsidRPr="00A24444">
        <w:rPr>
          <w:rFonts w:ascii="Times New Roman" w:hAnsi="Times New Roman" w:cs="Times New Roman"/>
          <w:i/>
          <w:iCs/>
          <w:color w:val="000000"/>
          <w:sz w:val="24"/>
          <w:szCs w:val="24"/>
        </w:rPr>
        <w:t xml:space="preserve">Public </w:t>
      </w:r>
      <w:bookmarkStart w:id="94" w:name="_Hlk148605399"/>
      <w:r w:rsidRPr="00A24444">
        <w:rPr>
          <w:rFonts w:ascii="Times New Roman" w:hAnsi="Times New Roman" w:cs="Times New Roman"/>
          <w:i/>
          <w:iCs/>
          <w:color w:val="000000"/>
          <w:sz w:val="24"/>
          <w:szCs w:val="24"/>
        </w:rPr>
        <w:t>Disclosure/Confidentiality.</w:t>
      </w:r>
      <w:r w:rsidRPr="00C362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Commenters requested clarity on whether FIO would publicly disclose some or </w:t>
      </w:r>
      <w:bookmarkEnd w:id="94"/>
      <w:r>
        <w:rPr>
          <w:rFonts w:ascii="Times New Roman" w:hAnsi="Times New Roman" w:cs="Times New Roman"/>
          <w:color w:val="000000"/>
          <w:sz w:val="24"/>
          <w:szCs w:val="24"/>
        </w:rPr>
        <w:t>all of its collected data, with some requesting publication of as much data as legally possible and others raising concerns about the proprietary nature of the data</w:t>
      </w:r>
      <w:r w:rsidRPr="008846FA">
        <w:rPr>
          <w:rFonts w:ascii="Times New Roman" w:hAnsi="Times New Roman" w:cs="Times New Roman"/>
          <w:sz w:val="24"/>
          <w:szCs w:val="24"/>
        </w:rPr>
        <w:t>.  FIO will seek to release some of the</w:t>
      </w:r>
      <w:r w:rsidR="00B808A0">
        <w:rPr>
          <w:rFonts w:ascii="Times New Roman" w:hAnsi="Times New Roman" w:cs="Times New Roman"/>
          <w:sz w:val="24"/>
          <w:szCs w:val="24"/>
        </w:rPr>
        <w:t xml:space="preserve"> </w:t>
      </w:r>
      <w:r w:rsidRPr="008846FA">
        <w:rPr>
          <w:rFonts w:ascii="Times New Roman" w:hAnsi="Times New Roman" w:cs="Times New Roman"/>
          <w:sz w:val="24"/>
          <w:szCs w:val="24"/>
        </w:rPr>
        <w:t xml:space="preserve">anonymized data, </w:t>
      </w:r>
      <w:r w:rsidR="005252F2">
        <w:rPr>
          <w:rFonts w:ascii="Times New Roman" w:hAnsi="Times New Roman" w:cs="Times New Roman"/>
          <w:sz w:val="24"/>
          <w:szCs w:val="24"/>
        </w:rPr>
        <w:t xml:space="preserve">aggregated across insurance groups, </w:t>
      </w:r>
      <w:r>
        <w:rPr>
          <w:rFonts w:ascii="Times New Roman" w:hAnsi="Times New Roman" w:cs="Times New Roman"/>
          <w:sz w:val="24"/>
          <w:szCs w:val="24"/>
        </w:rPr>
        <w:t>in accordance with the restrictions of the FIO Act.  FIO</w:t>
      </w:r>
      <w:r w:rsidRPr="00013672">
        <w:rPr>
          <w:rFonts w:ascii="Times New Roman" w:hAnsi="Times New Roman" w:cs="Times New Roman"/>
          <w:sz w:val="24"/>
          <w:szCs w:val="24"/>
        </w:rPr>
        <w:t xml:space="preserve"> will not publish confidential firm-specific data from individual submissions.</w:t>
      </w:r>
    </w:p>
    <w:p w:rsidR="006D3728" w:rsidRPr="006D3728" w:rsidP="00080A91" w14:paraId="19726253" w14:textId="64834533">
      <w:pPr>
        <w:pStyle w:val="Default"/>
        <w:numPr>
          <w:ilvl w:val="0"/>
          <w:numId w:val="23"/>
        </w:numPr>
        <w:tabs>
          <w:tab w:val="left" w:pos="360"/>
          <w:tab w:val="left" w:pos="4230"/>
        </w:tabs>
        <w:spacing w:before="240" w:after="240"/>
        <w:rPr>
          <w:rFonts w:ascii="Times New Roman" w:hAnsi="Times New Roman" w:cs="Times New Roman"/>
          <w:color w:val="000000"/>
          <w:sz w:val="24"/>
          <w:szCs w:val="24"/>
        </w:rPr>
      </w:pPr>
      <w:r w:rsidRPr="00A24444">
        <w:rPr>
          <w:rFonts w:ascii="Times New Roman" w:hAnsi="Times New Roman" w:cs="Times New Roman"/>
          <w:i/>
          <w:iCs/>
          <w:color w:val="000000"/>
          <w:sz w:val="24"/>
          <w:szCs w:val="24"/>
        </w:rPr>
        <w:t>Frequency of Data Collection.</w:t>
      </w:r>
      <w:r>
        <w:rPr>
          <w:rFonts w:ascii="Times New Roman" w:hAnsi="Times New Roman" w:cs="Times New Roman"/>
          <w:b/>
          <w:bCs/>
          <w:color w:val="000000"/>
          <w:sz w:val="24"/>
          <w:szCs w:val="24"/>
        </w:rPr>
        <w:t xml:space="preserve">  </w:t>
      </w:r>
      <w:r w:rsidRPr="0089547C">
        <w:rPr>
          <w:rFonts w:ascii="Times New Roman" w:hAnsi="Times New Roman" w:cs="Times New Roman"/>
          <w:sz w:val="24"/>
          <w:szCs w:val="24"/>
        </w:rPr>
        <w:t xml:space="preserve">FIO received multiple responses on whether to collect data annually, with the vast majority of written comments supportive, </w:t>
      </w:r>
      <w:r>
        <w:rPr>
          <w:rFonts w:ascii="Times New Roman" w:hAnsi="Times New Roman" w:cs="Times New Roman"/>
          <w:sz w:val="24"/>
          <w:szCs w:val="24"/>
        </w:rPr>
        <w:t>al</w:t>
      </w:r>
      <w:r w:rsidRPr="0089547C">
        <w:rPr>
          <w:rFonts w:ascii="Times New Roman" w:hAnsi="Times New Roman" w:cs="Times New Roman"/>
          <w:sz w:val="24"/>
          <w:szCs w:val="24"/>
        </w:rPr>
        <w:t xml:space="preserve">though several respondents were generally opposed to FIO’s data collection without providing specific comments on whether it should be annual.  </w:t>
      </w:r>
      <w:bookmarkStart w:id="95" w:name="_Hlk148605410"/>
      <w:r w:rsidRPr="00F619D1">
        <w:rPr>
          <w:rFonts w:ascii="Times New Roman" w:hAnsi="Times New Roman" w:cs="Times New Roman"/>
          <w:sz w:val="24"/>
          <w:szCs w:val="24"/>
        </w:rPr>
        <w:t>FIO plans to perform future data collection</w:t>
      </w:r>
      <w:r w:rsidR="00312578">
        <w:rPr>
          <w:rFonts w:ascii="Times New Roman" w:hAnsi="Times New Roman" w:cs="Times New Roman"/>
          <w:sz w:val="24"/>
          <w:szCs w:val="24"/>
        </w:rPr>
        <w:t>s</w:t>
      </w:r>
      <w:r w:rsidRPr="00F619D1">
        <w:rPr>
          <w:rFonts w:ascii="Times New Roman" w:hAnsi="Times New Roman" w:cs="Times New Roman"/>
          <w:sz w:val="24"/>
          <w:szCs w:val="24"/>
        </w:rPr>
        <w:t xml:space="preserve"> </w:t>
      </w:r>
      <w:r w:rsidR="00FC0839">
        <w:rPr>
          <w:rFonts w:ascii="Times New Roman" w:hAnsi="Times New Roman" w:cs="Times New Roman"/>
          <w:sz w:val="24"/>
          <w:szCs w:val="24"/>
        </w:rPr>
        <w:t xml:space="preserve">with </w:t>
      </w:r>
      <w:r w:rsidR="00644AC2">
        <w:rPr>
          <w:rFonts w:ascii="Times New Roman" w:hAnsi="Times New Roman" w:cs="Times New Roman"/>
          <w:sz w:val="24"/>
          <w:szCs w:val="24"/>
        </w:rPr>
        <w:t>a</w:t>
      </w:r>
      <w:r w:rsidR="00FC0839">
        <w:rPr>
          <w:rFonts w:ascii="Times New Roman" w:hAnsi="Times New Roman" w:cs="Times New Roman"/>
          <w:sz w:val="24"/>
          <w:szCs w:val="24"/>
        </w:rPr>
        <w:t xml:space="preserve"> goal of </w:t>
      </w:r>
      <w:r w:rsidRPr="00F619D1">
        <w:rPr>
          <w:rFonts w:ascii="Times New Roman" w:hAnsi="Times New Roman" w:cs="Times New Roman"/>
          <w:sz w:val="24"/>
          <w:szCs w:val="24"/>
        </w:rPr>
        <w:t>perform</w:t>
      </w:r>
      <w:r w:rsidR="00FC0839">
        <w:rPr>
          <w:rFonts w:ascii="Times New Roman" w:hAnsi="Times New Roman" w:cs="Times New Roman"/>
          <w:sz w:val="24"/>
          <w:szCs w:val="24"/>
        </w:rPr>
        <w:t>ing</w:t>
      </w:r>
      <w:r w:rsidRPr="00F619D1">
        <w:rPr>
          <w:rFonts w:ascii="Times New Roman" w:hAnsi="Times New Roman" w:cs="Times New Roman"/>
          <w:sz w:val="24"/>
          <w:szCs w:val="24"/>
        </w:rPr>
        <w:t xml:space="preserve"> </w:t>
      </w:r>
      <w:bookmarkEnd w:id="95"/>
      <w:r w:rsidRPr="00F619D1">
        <w:rPr>
          <w:rFonts w:ascii="Times New Roman" w:hAnsi="Times New Roman" w:cs="Times New Roman"/>
          <w:sz w:val="24"/>
          <w:szCs w:val="24"/>
        </w:rPr>
        <w:t>such collections on an annual basis.</w:t>
      </w:r>
    </w:p>
    <w:p w:rsidR="00F9460A" w:rsidRPr="00611299" w:rsidP="00080A91" w14:paraId="6BD64C83" w14:textId="00D2EC79">
      <w:pPr>
        <w:pStyle w:val="Default"/>
        <w:numPr>
          <w:ilvl w:val="0"/>
          <w:numId w:val="23"/>
        </w:numPr>
        <w:tabs>
          <w:tab w:val="left" w:pos="360"/>
          <w:tab w:val="left" w:pos="4230"/>
        </w:tabs>
        <w:spacing w:before="240" w:after="240"/>
        <w:rPr>
          <w:rFonts w:ascii="Times New Roman" w:hAnsi="Times New Roman" w:cs="Times New Roman"/>
          <w:color w:val="000000"/>
          <w:sz w:val="24"/>
          <w:szCs w:val="24"/>
        </w:rPr>
      </w:pPr>
      <w:r w:rsidRPr="00A24444">
        <w:rPr>
          <w:rFonts w:ascii="Times New Roman" w:hAnsi="Times New Roman" w:cs="Times New Roman"/>
          <w:i/>
          <w:iCs/>
          <w:color w:val="000000"/>
          <w:sz w:val="24"/>
          <w:szCs w:val="24"/>
        </w:rPr>
        <w:t xml:space="preserve">Data Collection </w:t>
      </w:r>
      <w:r w:rsidRPr="00A24444" w:rsidR="00136070">
        <w:rPr>
          <w:rFonts w:ascii="Times New Roman" w:hAnsi="Times New Roman" w:cs="Times New Roman"/>
          <w:i/>
          <w:iCs/>
          <w:color w:val="000000"/>
          <w:sz w:val="24"/>
          <w:szCs w:val="24"/>
        </w:rPr>
        <w:t>Purpose</w:t>
      </w:r>
      <w:r w:rsidRPr="00A24444">
        <w:rPr>
          <w:rFonts w:ascii="Times New Roman" w:hAnsi="Times New Roman" w:cs="Times New Roman"/>
          <w:i/>
          <w:iCs/>
          <w:color w:val="000000"/>
          <w:sz w:val="24"/>
          <w:szCs w:val="24"/>
        </w:rPr>
        <w:t>.</w:t>
      </w:r>
      <w:r w:rsidRPr="00774FB7">
        <w:rPr>
          <w:rFonts w:ascii="Times New Roman" w:hAnsi="Times New Roman" w:cs="Times New Roman"/>
          <w:color w:val="000000"/>
          <w:sz w:val="24"/>
          <w:szCs w:val="24"/>
        </w:rPr>
        <w:t xml:space="preserve">  </w:t>
      </w:r>
      <w:r w:rsidR="0089547C">
        <w:rPr>
          <w:rFonts w:ascii="Times New Roman" w:hAnsi="Times New Roman" w:cs="Times New Roman"/>
          <w:sz w:val="24"/>
          <w:szCs w:val="24"/>
        </w:rPr>
        <w:t xml:space="preserve">Finally, </w:t>
      </w:r>
      <w:r w:rsidR="009C4865">
        <w:rPr>
          <w:rFonts w:ascii="Times New Roman" w:hAnsi="Times New Roman" w:cs="Times New Roman"/>
          <w:sz w:val="24"/>
          <w:szCs w:val="24"/>
        </w:rPr>
        <w:t xml:space="preserve">several comments from trade groups and the NAIC asked FIO to </w:t>
      </w:r>
      <w:r w:rsidRPr="009C4865" w:rsidR="009C4865">
        <w:rPr>
          <w:rFonts w:ascii="Times New Roman" w:hAnsi="Times New Roman" w:cs="Times New Roman"/>
          <w:sz w:val="24"/>
          <w:szCs w:val="24"/>
        </w:rPr>
        <w:t>provide more clarity on why the data collection is necessary and what gaps it is trying to fill relative to existing sources of data.  These</w:t>
      </w:r>
      <w:r w:rsidR="009C4865">
        <w:rPr>
          <w:rFonts w:ascii="Times New Roman" w:hAnsi="Times New Roman" w:cs="Times New Roman"/>
          <w:sz w:val="24"/>
          <w:szCs w:val="24"/>
        </w:rPr>
        <w:t xml:space="preserve"> comment</w:t>
      </w:r>
      <w:r w:rsidR="00136070">
        <w:rPr>
          <w:rFonts w:ascii="Times New Roman" w:hAnsi="Times New Roman" w:cs="Times New Roman"/>
          <w:sz w:val="24"/>
          <w:szCs w:val="24"/>
        </w:rPr>
        <w:t>er</w:t>
      </w:r>
      <w:r w:rsidR="009C4865">
        <w:rPr>
          <w:rFonts w:ascii="Times New Roman" w:hAnsi="Times New Roman" w:cs="Times New Roman"/>
          <w:sz w:val="24"/>
          <w:szCs w:val="24"/>
        </w:rPr>
        <w:t>s</w:t>
      </w:r>
      <w:r w:rsidRPr="009C4865" w:rsidR="009C4865">
        <w:rPr>
          <w:rFonts w:ascii="Times New Roman" w:hAnsi="Times New Roman" w:cs="Times New Roman"/>
          <w:sz w:val="24"/>
          <w:szCs w:val="24"/>
        </w:rPr>
        <w:t xml:space="preserve"> cautioned that the results of the analysis could be misinterpreted</w:t>
      </w:r>
      <w:r w:rsidR="005951E7">
        <w:rPr>
          <w:rFonts w:ascii="Times New Roman" w:hAnsi="Times New Roman" w:cs="Times New Roman"/>
          <w:sz w:val="24"/>
          <w:szCs w:val="24"/>
        </w:rPr>
        <w:t>,</w:t>
      </w:r>
      <w:r w:rsidR="009C4865">
        <w:rPr>
          <w:rFonts w:ascii="Times New Roman" w:hAnsi="Times New Roman" w:cs="Times New Roman"/>
          <w:sz w:val="24"/>
          <w:szCs w:val="24"/>
        </w:rPr>
        <w:t xml:space="preserve"> noting that </w:t>
      </w:r>
      <w:r w:rsidRPr="009C4865" w:rsidR="009C4865">
        <w:rPr>
          <w:rFonts w:ascii="Times New Roman" w:hAnsi="Times New Roman" w:cs="Times New Roman"/>
          <w:sz w:val="24"/>
          <w:szCs w:val="24"/>
        </w:rPr>
        <w:t xml:space="preserve">increases in premiums and losses could also be driven by </w:t>
      </w:r>
      <w:r w:rsidR="009C4865">
        <w:rPr>
          <w:rFonts w:ascii="Times New Roman" w:hAnsi="Times New Roman" w:cs="Times New Roman"/>
          <w:sz w:val="24"/>
          <w:szCs w:val="24"/>
        </w:rPr>
        <w:t>factors</w:t>
      </w:r>
      <w:r w:rsidR="001C0C40">
        <w:rPr>
          <w:rFonts w:ascii="Times New Roman" w:hAnsi="Times New Roman" w:cs="Times New Roman"/>
          <w:sz w:val="24"/>
          <w:szCs w:val="24"/>
        </w:rPr>
        <w:t xml:space="preserve"> other than climate risk</w:t>
      </w:r>
      <w:r w:rsidR="009C4865">
        <w:rPr>
          <w:rFonts w:ascii="Times New Roman" w:hAnsi="Times New Roman" w:cs="Times New Roman"/>
          <w:sz w:val="24"/>
          <w:szCs w:val="24"/>
        </w:rPr>
        <w:t xml:space="preserve">, such as </w:t>
      </w:r>
      <w:r w:rsidRPr="009C4865" w:rsidR="009C4865">
        <w:rPr>
          <w:rFonts w:ascii="Times New Roman" w:hAnsi="Times New Roman" w:cs="Times New Roman"/>
          <w:sz w:val="24"/>
          <w:szCs w:val="24"/>
        </w:rPr>
        <w:t xml:space="preserve">inflation, constructions costs, </w:t>
      </w:r>
      <w:r w:rsidR="009C4865">
        <w:rPr>
          <w:rFonts w:ascii="Times New Roman" w:hAnsi="Times New Roman" w:cs="Times New Roman"/>
          <w:sz w:val="24"/>
          <w:szCs w:val="24"/>
        </w:rPr>
        <w:t>and differences in regulatory environment</w:t>
      </w:r>
      <w:r w:rsidRPr="009C4865" w:rsidR="009C4865">
        <w:rPr>
          <w:rFonts w:ascii="Times New Roman" w:hAnsi="Times New Roman" w:cs="Times New Roman"/>
          <w:sz w:val="24"/>
          <w:szCs w:val="24"/>
        </w:rPr>
        <w:t>.  Most consumer and climate groups were supportive of the purpose of the data collection and agreed with FIO’s assessment that consistent, comparable, and granular data are needed.</w:t>
      </w:r>
      <w:r w:rsidR="00050DB1">
        <w:rPr>
          <w:rFonts w:ascii="Times New Roman" w:hAnsi="Times New Roman" w:cs="Times New Roman"/>
          <w:sz w:val="24"/>
          <w:szCs w:val="24"/>
        </w:rPr>
        <w:t xml:space="preserve">  FIO has </w:t>
      </w:r>
      <w:r w:rsidR="006D3728">
        <w:rPr>
          <w:rFonts w:ascii="Times New Roman" w:hAnsi="Times New Roman" w:cs="Times New Roman"/>
          <w:sz w:val="24"/>
          <w:szCs w:val="24"/>
        </w:rPr>
        <w:t xml:space="preserve">made efforts to clarify its data collection purpose and methodology in this statement </w:t>
      </w:r>
      <w:r w:rsidR="005C7442">
        <w:rPr>
          <w:rFonts w:ascii="Times New Roman" w:hAnsi="Times New Roman" w:cs="Times New Roman"/>
          <w:sz w:val="24"/>
          <w:szCs w:val="24"/>
        </w:rPr>
        <w:t xml:space="preserve">and </w:t>
      </w:r>
      <w:r w:rsidR="00050DB1">
        <w:rPr>
          <w:rFonts w:ascii="Times New Roman" w:hAnsi="Times New Roman" w:cs="Times New Roman"/>
          <w:sz w:val="24"/>
          <w:szCs w:val="24"/>
        </w:rPr>
        <w:t xml:space="preserve">the </w:t>
      </w:r>
      <w:r w:rsidR="00FE668C">
        <w:rPr>
          <w:rFonts w:ascii="Times New Roman" w:hAnsi="Times New Roman" w:cs="Times New Roman"/>
          <w:sz w:val="24"/>
          <w:szCs w:val="24"/>
        </w:rPr>
        <w:t>associated 30-day</w:t>
      </w:r>
      <w:r w:rsidR="00050DB1">
        <w:rPr>
          <w:rFonts w:ascii="Times New Roman" w:hAnsi="Times New Roman" w:cs="Times New Roman"/>
          <w:sz w:val="24"/>
          <w:szCs w:val="24"/>
        </w:rPr>
        <w:t xml:space="preserve"> FRN.</w:t>
      </w:r>
      <w:bookmarkEnd w:id="53"/>
      <w:r w:rsidR="001C0C40">
        <w:rPr>
          <w:rFonts w:ascii="Times New Roman" w:hAnsi="Times New Roman" w:cs="Times New Roman"/>
          <w:sz w:val="24"/>
          <w:szCs w:val="24"/>
        </w:rPr>
        <w:t xml:space="preserve">  FIO’s analysis will attempt to control for such other fa</w:t>
      </w:r>
      <w:r w:rsidR="00F656CE">
        <w:rPr>
          <w:rFonts w:ascii="Times New Roman" w:hAnsi="Times New Roman" w:cs="Times New Roman"/>
          <w:sz w:val="24"/>
          <w:szCs w:val="24"/>
        </w:rPr>
        <w:t>c</w:t>
      </w:r>
      <w:r w:rsidR="001C0C40">
        <w:rPr>
          <w:rFonts w:ascii="Times New Roman" w:hAnsi="Times New Roman" w:cs="Times New Roman"/>
          <w:sz w:val="24"/>
          <w:szCs w:val="24"/>
        </w:rPr>
        <w:t>tors.</w:t>
      </w:r>
    </w:p>
    <w:p w:rsidR="00A229D0" w:rsidRPr="00D91DB9" w:rsidP="00A24444" w14:paraId="17422033" w14:textId="676C76A0">
      <w:pPr>
        <w:spacing w:before="240" w:after="240"/>
        <w:ind w:left="360" w:hanging="360"/>
        <w:rPr>
          <w:b/>
          <w:color w:val="000000"/>
        </w:rPr>
      </w:pPr>
      <w:r w:rsidRPr="0028274B">
        <w:rPr>
          <w:b/>
          <w:color w:val="000000"/>
        </w:rPr>
        <w:t xml:space="preserve">9. </w:t>
      </w:r>
      <w:r w:rsidR="00D1295F">
        <w:rPr>
          <w:b/>
          <w:color w:val="000000"/>
        </w:rPr>
        <w:t xml:space="preserve"> </w:t>
      </w:r>
      <w:r w:rsidRPr="0028274B">
        <w:rPr>
          <w:b/>
          <w:color w:val="000000"/>
        </w:rPr>
        <w:t xml:space="preserve"> Explain any decisions to provide payments or gifts to respondents, other than remuneration of contr</w:t>
      </w:r>
      <w:r w:rsidRPr="0028274B" w:rsidR="00F87EEC">
        <w:rPr>
          <w:b/>
          <w:color w:val="000000"/>
        </w:rPr>
        <w:t>a</w:t>
      </w:r>
      <w:r w:rsidRPr="0028274B" w:rsidR="00E911D1">
        <w:rPr>
          <w:b/>
          <w:color w:val="000000"/>
        </w:rPr>
        <w:t>ct</w:t>
      </w:r>
      <w:r w:rsidRPr="0028274B">
        <w:rPr>
          <w:b/>
          <w:color w:val="000000"/>
        </w:rPr>
        <w:t>ors or grantees.</w:t>
      </w:r>
    </w:p>
    <w:p w:rsidR="00A229D0" w:rsidRPr="00611299" w:rsidP="00A24444" w14:paraId="5ED9F980" w14:textId="77777777">
      <w:pPr>
        <w:spacing w:before="240" w:after="240"/>
        <w:rPr>
          <w:bCs/>
          <w:color w:val="000000"/>
        </w:rPr>
      </w:pPr>
      <w:r w:rsidRPr="00611299">
        <w:rPr>
          <w:bCs/>
          <w:color w:val="000000"/>
        </w:rPr>
        <w:t>There will be no payments or gifts to respondents</w:t>
      </w:r>
      <w:r w:rsidRPr="00611299" w:rsidR="005419A0">
        <w:rPr>
          <w:bCs/>
          <w:color w:val="000000"/>
        </w:rPr>
        <w:t xml:space="preserve"> associated with the </w:t>
      </w:r>
      <w:r w:rsidR="00D91DB9">
        <w:rPr>
          <w:bCs/>
          <w:color w:val="000000"/>
        </w:rPr>
        <w:t>FIO data collection</w:t>
      </w:r>
      <w:r w:rsidRPr="00611299">
        <w:rPr>
          <w:bCs/>
          <w:color w:val="000000"/>
        </w:rPr>
        <w:t>.</w:t>
      </w:r>
    </w:p>
    <w:p w:rsidR="00052D83" w:rsidRPr="00D91DB9" w:rsidP="00A24444" w14:paraId="6B458D72" w14:textId="75D51628">
      <w:pPr>
        <w:spacing w:before="240" w:after="240"/>
        <w:ind w:left="360" w:hanging="360"/>
        <w:rPr>
          <w:b/>
          <w:color w:val="000000"/>
        </w:rPr>
      </w:pPr>
      <w:r w:rsidRPr="0028274B">
        <w:rPr>
          <w:b/>
          <w:color w:val="000000"/>
        </w:rPr>
        <w:t>10. Describe any assurance of confidentiality provided to respondents and the basis for assurance in statute, regulation, or agency policy.</w:t>
      </w:r>
    </w:p>
    <w:p w:rsidR="006D3728" w:rsidP="006D3728" w14:paraId="2CEDD5F1" w14:textId="234D72F4">
      <w:pPr>
        <w:pStyle w:val="Default"/>
        <w:tabs>
          <w:tab w:val="left" w:pos="720"/>
        </w:tabs>
        <w:spacing w:before="240" w:after="240"/>
        <w:rPr>
          <w:rFonts w:ascii="Times New Roman" w:hAnsi="Times New Roman" w:cs="Times New Roman"/>
          <w:color w:val="000000"/>
          <w:sz w:val="24"/>
          <w:szCs w:val="24"/>
        </w:rPr>
      </w:pPr>
      <w:r w:rsidRPr="00611299">
        <w:rPr>
          <w:rFonts w:ascii="Times New Roman" w:hAnsi="Times New Roman" w:cs="Times New Roman"/>
          <w:color w:val="000000"/>
          <w:sz w:val="24"/>
          <w:szCs w:val="24"/>
        </w:rPr>
        <w:t xml:space="preserve">Given the sensitivity of the requested data, </w:t>
      </w:r>
      <w:r>
        <w:rPr>
          <w:rFonts w:ascii="Times New Roman" w:hAnsi="Times New Roman" w:cs="Times New Roman"/>
          <w:color w:val="000000"/>
          <w:sz w:val="24"/>
          <w:szCs w:val="24"/>
        </w:rPr>
        <w:t>FIO</w:t>
      </w:r>
      <w:r w:rsidRPr="00611299">
        <w:rPr>
          <w:rFonts w:ascii="Times New Roman" w:hAnsi="Times New Roman" w:cs="Times New Roman"/>
          <w:color w:val="000000"/>
          <w:sz w:val="24"/>
          <w:szCs w:val="24"/>
        </w:rPr>
        <w:t xml:space="preserve"> expects to provide assurances of confidentiality to respondents</w:t>
      </w:r>
      <w:r>
        <w:rPr>
          <w:rFonts w:ascii="Times New Roman" w:hAnsi="Times New Roman" w:cs="Times New Roman"/>
          <w:color w:val="000000"/>
          <w:sz w:val="24"/>
          <w:szCs w:val="24"/>
        </w:rPr>
        <w:t xml:space="preserve"> consistent with the relevant provisions of the FIO Act.  These provisions include 31 U.S.C. § </w:t>
      </w:r>
      <w:r w:rsidRPr="00611299">
        <w:rPr>
          <w:rFonts w:ascii="Times New Roman" w:hAnsi="Times New Roman" w:cs="Times New Roman"/>
          <w:color w:val="000000"/>
          <w:sz w:val="24"/>
          <w:szCs w:val="24"/>
        </w:rPr>
        <w:t>313(e)(5)</w:t>
      </w:r>
      <w:r>
        <w:rPr>
          <w:rFonts w:ascii="Times New Roman" w:hAnsi="Times New Roman" w:cs="Times New Roman"/>
          <w:color w:val="000000"/>
          <w:sz w:val="24"/>
          <w:szCs w:val="24"/>
        </w:rPr>
        <w:t>(A),</w:t>
      </w:r>
      <w:r w:rsidRPr="0061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which </w:t>
      </w:r>
      <w:r w:rsidRPr="00611299">
        <w:rPr>
          <w:rFonts w:ascii="Times New Roman" w:hAnsi="Times New Roman" w:cs="Times New Roman"/>
          <w:color w:val="000000"/>
          <w:sz w:val="24"/>
          <w:szCs w:val="24"/>
        </w:rPr>
        <w:t xml:space="preserve">states that </w:t>
      </w:r>
      <w:r>
        <w:rPr>
          <w:rFonts w:ascii="Times New Roman" w:hAnsi="Times New Roman" w:cs="Times New Roman"/>
          <w:color w:val="000000"/>
          <w:sz w:val="24"/>
          <w:szCs w:val="24"/>
        </w:rPr>
        <w:t>“</w:t>
      </w:r>
      <w:r w:rsidRPr="00611299">
        <w:rPr>
          <w:rFonts w:ascii="Times New Roman" w:hAnsi="Times New Roman" w:cs="Times New Roman"/>
          <w:color w:val="000000"/>
          <w:sz w:val="24"/>
          <w:szCs w:val="24"/>
        </w:rPr>
        <w:t>the submission of no</w:t>
      </w:r>
      <w:r>
        <w:rPr>
          <w:rFonts w:ascii="Times New Roman" w:hAnsi="Times New Roman" w:cs="Times New Roman"/>
          <w:color w:val="000000"/>
          <w:sz w:val="24"/>
          <w:szCs w:val="24"/>
        </w:rPr>
        <w:t>n</w:t>
      </w:r>
      <w:r w:rsidRPr="00611299">
        <w:rPr>
          <w:rFonts w:ascii="Times New Roman" w:hAnsi="Times New Roman" w:cs="Times New Roman"/>
          <w:color w:val="000000"/>
          <w:sz w:val="24"/>
          <w:szCs w:val="24"/>
        </w:rPr>
        <w:t xml:space="preserve">publicly available data and information to </w:t>
      </w:r>
      <w:r>
        <w:rPr>
          <w:rFonts w:ascii="Times New Roman" w:hAnsi="Times New Roman" w:cs="Times New Roman"/>
          <w:color w:val="000000"/>
          <w:sz w:val="24"/>
          <w:szCs w:val="24"/>
        </w:rPr>
        <w:t>… [</w:t>
      </w:r>
      <w:r w:rsidRPr="00611299">
        <w:rPr>
          <w:rFonts w:ascii="Times New Roman" w:hAnsi="Times New Roman" w:cs="Times New Roman"/>
          <w:color w:val="000000"/>
          <w:sz w:val="24"/>
          <w:szCs w:val="24"/>
        </w:rPr>
        <w:t>FIO</w:t>
      </w:r>
      <w:r>
        <w:rPr>
          <w:rFonts w:ascii="Times New Roman" w:hAnsi="Times New Roman" w:cs="Times New Roman"/>
          <w:color w:val="000000"/>
          <w:sz w:val="24"/>
          <w:szCs w:val="24"/>
        </w:rPr>
        <w:t>]</w:t>
      </w:r>
      <w:r w:rsidRPr="00611299">
        <w:rPr>
          <w:rFonts w:ascii="Times New Roman" w:hAnsi="Times New Roman" w:cs="Times New Roman"/>
          <w:color w:val="000000"/>
          <w:sz w:val="24"/>
          <w:szCs w:val="24"/>
        </w:rPr>
        <w:t xml:space="preserve"> under this subsection shall not constitute a waiver of, or otherwise affect, any privilege arising under Federal or State law (including the rules of any Federal or State court) to which the data or information is otherwise subject.</w:t>
      </w:r>
      <w:r>
        <w:rPr>
          <w:rFonts w:ascii="Times New Roman" w:hAnsi="Times New Roman" w:cs="Times New Roman"/>
          <w:color w:val="000000"/>
          <w:sz w:val="24"/>
          <w:szCs w:val="24"/>
        </w:rPr>
        <w:t>”</w:t>
      </w:r>
      <w:r w:rsidRPr="0061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The FIO Act also states, in 31 U.S.C. § </w:t>
      </w:r>
      <w:r w:rsidRPr="00611299">
        <w:rPr>
          <w:rFonts w:ascii="Times New Roman" w:hAnsi="Times New Roman" w:cs="Times New Roman"/>
          <w:color w:val="000000"/>
          <w:sz w:val="24"/>
          <w:szCs w:val="24"/>
        </w:rPr>
        <w:t>313(e)(5)</w:t>
      </w:r>
      <w:r>
        <w:rPr>
          <w:rFonts w:ascii="Times New Roman" w:hAnsi="Times New Roman" w:cs="Times New Roman"/>
          <w:color w:val="000000"/>
          <w:sz w:val="24"/>
          <w:szCs w:val="24"/>
        </w:rPr>
        <w:t xml:space="preserve">(D), that 5 U.S.C. § </w:t>
      </w:r>
      <w:r w:rsidRPr="00611299">
        <w:rPr>
          <w:rFonts w:ascii="Times New Roman" w:hAnsi="Times New Roman" w:cs="Times New Roman"/>
          <w:color w:val="000000"/>
          <w:sz w:val="24"/>
          <w:szCs w:val="24"/>
        </w:rPr>
        <w:t xml:space="preserve">552, including any exceptions thereunder, shall apply to any data or information submitted to FIO by an insurer. </w:t>
      </w:r>
      <w:r>
        <w:rPr>
          <w:rFonts w:ascii="Times New Roman" w:hAnsi="Times New Roman" w:cs="Times New Roman"/>
          <w:color w:val="000000"/>
          <w:sz w:val="24"/>
          <w:szCs w:val="24"/>
        </w:rPr>
        <w:t xml:space="preserve"> Further, under 31 U.S.C. § </w:t>
      </w:r>
      <w:r w:rsidRPr="00611299">
        <w:rPr>
          <w:rFonts w:ascii="Times New Roman" w:hAnsi="Times New Roman" w:cs="Times New Roman"/>
          <w:color w:val="000000"/>
          <w:sz w:val="24"/>
          <w:szCs w:val="24"/>
        </w:rPr>
        <w:t xml:space="preserve">313(e)(5)(B), </w:t>
      </w:r>
      <w:r>
        <w:rPr>
          <w:rFonts w:ascii="Times New Roman" w:hAnsi="Times New Roman" w:cs="Times New Roman"/>
          <w:color w:val="000000"/>
          <w:sz w:val="24"/>
          <w:szCs w:val="24"/>
        </w:rPr>
        <w:t>“[a]</w:t>
      </w:r>
      <w:r w:rsidRPr="00611299">
        <w:rPr>
          <w:rFonts w:ascii="Times New Roman" w:hAnsi="Times New Roman" w:cs="Times New Roman"/>
          <w:color w:val="000000"/>
          <w:sz w:val="24"/>
          <w:szCs w:val="24"/>
        </w:rPr>
        <w:t xml:space="preserve">ny requirement under Federal or State law to the extent otherwise applicable, or any requirement pursuant to a written agreement in effect between the original source of any nonpublicly available data or information and the source of such data or information to </w:t>
      </w:r>
      <w:r>
        <w:rPr>
          <w:rFonts w:ascii="Times New Roman" w:hAnsi="Times New Roman" w:cs="Times New Roman"/>
          <w:color w:val="000000"/>
          <w:sz w:val="24"/>
          <w:szCs w:val="24"/>
        </w:rPr>
        <w:t>…[</w:t>
      </w:r>
      <w:r w:rsidRPr="00611299">
        <w:rPr>
          <w:rFonts w:ascii="Times New Roman" w:hAnsi="Times New Roman" w:cs="Times New Roman"/>
          <w:color w:val="000000"/>
          <w:sz w:val="24"/>
          <w:szCs w:val="24"/>
        </w:rPr>
        <w:t>FIO</w:t>
      </w:r>
      <w:r>
        <w:rPr>
          <w:rFonts w:ascii="Times New Roman" w:hAnsi="Times New Roman" w:cs="Times New Roman"/>
          <w:color w:val="000000"/>
          <w:sz w:val="24"/>
          <w:szCs w:val="24"/>
        </w:rPr>
        <w:t>]</w:t>
      </w:r>
      <w:r w:rsidRPr="00611299">
        <w:rPr>
          <w:rFonts w:ascii="Times New Roman" w:hAnsi="Times New Roman" w:cs="Times New Roman"/>
          <w:color w:val="000000"/>
          <w:sz w:val="24"/>
          <w:szCs w:val="24"/>
        </w:rPr>
        <w:t xml:space="preserve">, regarding the privacy or confidentiality of any data or information in the possession of the source to </w:t>
      </w:r>
      <w:r>
        <w:rPr>
          <w:rFonts w:ascii="Times New Roman" w:hAnsi="Times New Roman" w:cs="Times New Roman"/>
          <w:color w:val="000000"/>
          <w:sz w:val="24"/>
          <w:szCs w:val="24"/>
        </w:rPr>
        <w:t>… [</w:t>
      </w:r>
      <w:r w:rsidRPr="00611299">
        <w:rPr>
          <w:rFonts w:ascii="Times New Roman" w:hAnsi="Times New Roman" w:cs="Times New Roman"/>
          <w:color w:val="000000"/>
          <w:sz w:val="24"/>
          <w:szCs w:val="24"/>
        </w:rPr>
        <w:t>FIO</w:t>
      </w:r>
      <w:r>
        <w:rPr>
          <w:rFonts w:ascii="Times New Roman" w:hAnsi="Times New Roman" w:cs="Times New Roman"/>
          <w:color w:val="000000"/>
          <w:sz w:val="24"/>
          <w:szCs w:val="24"/>
        </w:rPr>
        <w:t>]</w:t>
      </w:r>
      <w:r w:rsidRPr="00611299">
        <w:rPr>
          <w:rFonts w:ascii="Times New Roman" w:hAnsi="Times New Roman" w:cs="Times New Roman"/>
          <w:color w:val="000000"/>
          <w:sz w:val="24"/>
          <w:szCs w:val="24"/>
        </w:rPr>
        <w:t>, shall continue to apply to such data or information after the data or information has been provided pursuant to this subsection to</w:t>
      </w:r>
      <w:r>
        <w:rPr>
          <w:rFonts w:ascii="Times New Roman" w:hAnsi="Times New Roman" w:cs="Times New Roman"/>
          <w:color w:val="000000"/>
          <w:sz w:val="24"/>
          <w:szCs w:val="24"/>
        </w:rPr>
        <w:t>”</w:t>
      </w:r>
      <w:r w:rsidRPr="00611299">
        <w:rPr>
          <w:rFonts w:ascii="Times New Roman" w:hAnsi="Times New Roman" w:cs="Times New Roman"/>
          <w:color w:val="000000"/>
          <w:sz w:val="24"/>
          <w:szCs w:val="24"/>
        </w:rPr>
        <w:t xml:space="preserve"> FIO.</w:t>
      </w:r>
      <w:r w:rsidR="00312578">
        <w:rPr>
          <w:rFonts w:ascii="Times New Roman" w:hAnsi="Times New Roman" w:cs="Times New Roman"/>
          <w:color w:val="000000"/>
          <w:sz w:val="24"/>
          <w:szCs w:val="24"/>
        </w:rPr>
        <w:t xml:space="preserve">  </w:t>
      </w:r>
      <w:r w:rsidRPr="00074060" w:rsidR="00312578">
        <w:rPr>
          <w:rFonts w:ascii="Times New Roman" w:hAnsi="Times New Roman" w:cs="Times New Roman"/>
          <w:color w:val="000000"/>
          <w:sz w:val="24"/>
          <w:szCs w:val="24"/>
        </w:rPr>
        <w:t xml:space="preserve">FIO expects that data it receives under this collection will likely contain or consist of “trade secrets and commercial or financial information </w:t>
      </w:r>
      <w:r w:rsidRPr="00074060" w:rsidR="00312578">
        <w:rPr>
          <w:rFonts w:ascii="Times New Roman" w:hAnsi="Times New Roman" w:cs="Times New Roman"/>
          <w:color w:val="000000"/>
          <w:sz w:val="24"/>
          <w:szCs w:val="24"/>
        </w:rPr>
        <w:t xml:space="preserve">obtained from a person and privileged or confidential.” </w:t>
      </w:r>
      <w:r w:rsidR="00312578">
        <w:rPr>
          <w:rFonts w:ascii="Times New Roman" w:hAnsi="Times New Roman" w:cs="Times New Roman"/>
          <w:color w:val="000000"/>
          <w:sz w:val="24"/>
          <w:szCs w:val="24"/>
        </w:rPr>
        <w:t xml:space="preserve"> </w:t>
      </w:r>
      <w:r w:rsidRPr="00074060" w:rsidR="00312578">
        <w:rPr>
          <w:rFonts w:ascii="Times New Roman" w:hAnsi="Times New Roman" w:cs="Times New Roman"/>
          <w:color w:val="000000"/>
          <w:sz w:val="24"/>
          <w:szCs w:val="24"/>
        </w:rPr>
        <w:t>This type of information is subject to withholding under exemption 4 of the Freedom of Information Act.</w:t>
      </w:r>
      <w:r>
        <w:rPr>
          <w:rStyle w:val="FootnoteReference"/>
          <w:rFonts w:ascii="Times New Roman" w:hAnsi="Times New Roman" w:cs="Times New Roman"/>
          <w:color w:val="000000"/>
          <w:sz w:val="24"/>
          <w:szCs w:val="24"/>
          <w:vertAlign w:val="superscript"/>
        </w:rPr>
        <w:footnoteReference w:id="30"/>
      </w:r>
      <w:r w:rsidRPr="00074060" w:rsidR="00312578">
        <w:rPr>
          <w:rFonts w:ascii="Times New Roman" w:hAnsi="Times New Roman" w:cs="Times New Roman"/>
          <w:color w:val="000000"/>
          <w:sz w:val="24"/>
          <w:szCs w:val="24"/>
        </w:rPr>
        <w:t xml:space="preserve">  </w:t>
      </w:r>
    </w:p>
    <w:p w:rsidR="006D3728" w:rsidP="00527CB9" w14:paraId="3B3554CB" w14:textId="1B10C856">
      <w:pPr>
        <w:pStyle w:val="Default"/>
        <w:tabs>
          <w:tab w:val="left" w:pos="720"/>
        </w:tabs>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To maintain the confidentially of the data provided by the Representative Sample Insurers,</w:t>
      </w:r>
      <w:r w:rsidRPr="002B6D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Representative Sample Insurers will submit their responses </w:t>
      </w:r>
      <w:r w:rsidRPr="002B6D09">
        <w:rPr>
          <w:rFonts w:ascii="Times New Roman" w:hAnsi="Times New Roman" w:cs="Times New Roman"/>
          <w:color w:val="000000"/>
          <w:sz w:val="24"/>
          <w:szCs w:val="24"/>
        </w:rPr>
        <w:t>electronically to a secure Treasury portal</w:t>
      </w:r>
      <w:r>
        <w:rPr>
          <w:rFonts w:ascii="Times New Roman" w:hAnsi="Times New Roman" w:cs="Times New Roman"/>
          <w:color w:val="000000"/>
          <w:sz w:val="24"/>
          <w:szCs w:val="24"/>
        </w:rPr>
        <w:t xml:space="preserve">.  </w:t>
      </w:r>
      <w:r w:rsidRPr="002B6D09">
        <w:rPr>
          <w:rFonts w:ascii="Times New Roman" w:hAnsi="Times New Roman" w:cs="Times New Roman"/>
          <w:color w:val="000000"/>
          <w:sz w:val="24"/>
          <w:szCs w:val="24"/>
        </w:rPr>
        <w:t xml:space="preserve">FIO will download the data from the secure portal and store completed </w:t>
      </w:r>
      <w:r>
        <w:rPr>
          <w:rFonts w:ascii="Times New Roman" w:hAnsi="Times New Roman" w:cs="Times New Roman"/>
          <w:color w:val="000000"/>
          <w:sz w:val="24"/>
          <w:szCs w:val="24"/>
        </w:rPr>
        <w:t>Data Collection Forms</w:t>
      </w:r>
      <w:r w:rsidRPr="002B6D09">
        <w:rPr>
          <w:rFonts w:ascii="Times New Roman" w:hAnsi="Times New Roman" w:cs="Times New Roman"/>
          <w:color w:val="000000"/>
          <w:sz w:val="24"/>
          <w:szCs w:val="24"/>
        </w:rPr>
        <w:t xml:space="preserve"> in </w:t>
      </w:r>
      <w:r>
        <w:rPr>
          <w:rFonts w:ascii="Times New Roman" w:hAnsi="Times New Roman" w:cs="Times New Roman"/>
          <w:color w:val="000000"/>
          <w:sz w:val="24"/>
          <w:szCs w:val="24"/>
        </w:rPr>
        <w:t xml:space="preserve">a </w:t>
      </w:r>
      <w:r w:rsidRPr="002B6D09">
        <w:rPr>
          <w:rFonts w:ascii="Times New Roman" w:hAnsi="Times New Roman" w:cs="Times New Roman"/>
          <w:color w:val="000000"/>
          <w:sz w:val="24"/>
          <w:szCs w:val="24"/>
        </w:rPr>
        <w:t>secure storage location using appropriate confidentiality safeguards.</w:t>
      </w:r>
      <w:r>
        <w:rPr>
          <w:rFonts w:ascii="Times New Roman" w:hAnsi="Times New Roman" w:cs="Times New Roman"/>
          <w:color w:val="000000"/>
          <w:sz w:val="24"/>
          <w:szCs w:val="24"/>
        </w:rPr>
        <w:t xml:space="preserve"> </w:t>
      </w:r>
      <w:r w:rsidR="00527CB9">
        <w:rPr>
          <w:rFonts w:ascii="Times New Roman" w:hAnsi="Times New Roman" w:cs="Times New Roman"/>
          <w:color w:val="000000"/>
          <w:sz w:val="24"/>
          <w:szCs w:val="24"/>
        </w:rPr>
        <w:t xml:space="preserve"> Under </w:t>
      </w:r>
      <w:r w:rsidRPr="00527CB9" w:rsidR="00527CB9">
        <w:rPr>
          <w:rFonts w:ascii="Times New Roman" w:hAnsi="Times New Roman" w:cs="Times New Roman"/>
          <w:color w:val="000000"/>
          <w:sz w:val="24"/>
          <w:szCs w:val="24"/>
        </w:rPr>
        <w:t xml:space="preserve">31 U.S.C. § 313(e)(5)(C), </w:t>
      </w:r>
      <w:r w:rsidR="00527CB9">
        <w:rPr>
          <w:rFonts w:ascii="Times New Roman" w:hAnsi="Times New Roman" w:cs="Times New Roman"/>
          <w:color w:val="000000"/>
          <w:sz w:val="24"/>
          <w:szCs w:val="24"/>
        </w:rPr>
        <w:t>a</w:t>
      </w:r>
      <w:r w:rsidRPr="00527CB9" w:rsidR="00527CB9">
        <w:rPr>
          <w:rFonts w:ascii="Times New Roman" w:hAnsi="Times New Roman" w:cs="Times New Roman"/>
          <w:color w:val="000000"/>
          <w:sz w:val="24"/>
          <w:szCs w:val="24"/>
        </w:rPr>
        <w:t xml:space="preserve">ny data or information obtained by </w:t>
      </w:r>
      <w:r w:rsidR="00527CB9">
        <w:rPr>
          <w:rFonts w:ascii="Times New Roman" w:hAnsi="Times New Roman" w:cs="Times New Roman"/>
          <w:color w:val="000000"/>
          <w:sz w:val="24"/>
          <w:szCs w:val="24"/>
        </w:rPr>
        <w:t xml:space="preserve">FIO </w:t>
      </w:r>
      <w:r w:rsidRPr="00527CB9" w:rsidR="00527CB9">
        <w:rPr>
          <w:rFonts w:ascii="Times New Roman" w:hAnsi="Times New Roman" w:cs="Times New Roman"/>
          <w:color w:val="000000"/>
          <w:sz w:val="24"/>
          <w:szCs w:val="24"/>
        </w:rPr>
        <w:t xml:space="preserve">may be made available to State </w:t>
      </w:r>
      <w:r w:rsidR="00527CB9">
        <w:rPr>
          <w:rFonts w:ascii="Times New Roman" w:hAnsi="Times New Roman" w:cs="Times New Roman"/>
          <w:color w:val="000000"/>
          <w:sz w:val="24"/>
          <w:szCs w:val="24"/>
        </w:rPr>
        <w:t>I</w:t>
      </w:r>
      <w:r w:rsidRPr="00527CB9" w:rsidR="00527CB9">
        <w:rPr>
          <w:rFonts w:ascii="Times New Roman" w:hAnsi="Times New Roman" w:cs="Times New Roman"/>
          <w:color w:val="000000"/>
          <w:sz w:val="24"/>
          <w:szCs w:val="24"/>
        </w:rPr>
        <w:t xml:space="preserve">nsurance </w:t>
      </w:r>
      <w:r w:rsidR="00527CB9">
        <w:rPr>
          <w:rFonts w:ascii="Times New Roman" w:hAnsi="Times New Roman" w:cs="Times New Roman"/>
          <w:color w:val="000000"/>
          <w:sz w:val="24"/>
          <w:szCs w:val="24"/>
        </w:rPr>
        <w:t>R</w:t>
      </w:r>
      <w:r w:rsidRPr="00527CB9" w:rsidR="00527CB9">
        <w:rPr>
          <w:rFonts w:ascii="Times New Roman" w:hAnsi="Times New Roman" w:cs="Times New Roman"/>
          <w:color w:val="000000"/>
          <w:sz w:val="24"/>
          <w:szCs w:val="24"/>
        </w:rPr>
        <w:t>egulators</w:t>
      </w:r>
      <w:r w:rsidR="00527CB9">
        <w:rPr>
          <w:rFonts w:ascii="Times New Roman" w:hAnsi="Times New Roman" w:cs="Times New Roman"/>
          <w:color w:val="000000"/>
          <w:sz w:val="24"/>
          <w:szCs w:val="24"/>
        </w:rPr>
        <w:t xml:space="preserve">, either </w:t>
      </w:r>
      <w:r w:rsidRPr="00527CB9" w:rsidR="00527CB9">
        <w:rPr>
          <w:rFonts w:ascii="Times New Roman" w:hAnsi="Times New Roman" w:cs="Times New Roman"/>
          <w:color w:val="000000"/>
          <w:sz w:val="24"/>
          <w:szCs w:val="24"/>
        </w:rPr>
        <w:t>individually or collectively, through an information-sharing agreement that</w:t>
      </w:r>
      <w:r w:rsidR="00527CB9">
        <w:rPr>
          <w:rFonts w:ascii="Times New Roman" w:hAnsi="Times New Roman" w:cs="Times New Roman"/>
          <w:color w:val="000000"/>
          <w:sz w:val="24"/>
          <w:szCs w:val="24"/>
        </w:rPr>
        <w:t xml:space="preserve"> complies with federal law and does not </w:t>
      </w:r>
      <w:r w:rsidRPr="00527CB9" w:rsidR="00527CB9">
        <w:rPr>
          <w:rFonts w:ascii="Times New Roman" w:hAnsi="Times New Roman" w:cs="Times New Roman"/>
          <w:color w:val="000000"/>
          <w:sz w:val="24"/>
          <w:szCs w:val="24"/>
        </w:rPr>
        <w:t xml:space="preserve">constitute a waiver of, or otherwise affect, any privilege under </w:t>
      </w:r>
      <w:r w:rsidR="00527CB9">
        <w:rPr>
          <w:rFonts w:ascii="Times New Roman" w:hAnsi="Times New Roman" w:cs="Times New Roman"/>
          <w:color w:val="000000"/>
          <w:sz w:val="24"/>
          <w:szCs w:val="24"/>
        </w:rPr>
        <w:t>f</w:t>
      </w:r>
      <w:r w:rsidRPr="00527CB9" w:rsidR="00527CB9">
        <w:rPr>
          <w:rFonts w:ascii="Times New Roman" w:hAnsi="Times New Roman" w:cs="Times New Roman"/>
          <w:color w:val="000000"/>
          <w:sz w:val="24"/>
          <w:szCs w:val="24"/>
        </w:rPr>
        <w:t xml:space="preserve">ederal or </w:t>
      </w:r>
      <w:r w:rsidR="00527CB9">
        <w:rPr>
          <w:rFonts w:ascii="Times New Roman" w:hAnsi="Times New Roman" w:cs="Times New Roman"/>
          <w:color w:val="000000"/>
          <w:sz w:val="24"/>
          <w:szCs w:val="24"/>
        </w:rPr>
        <w:t>s</w:t>
      </w:r>
      <w:r w:rsidRPr="00527CB9" w:rsidR="00527CB9">
        <w:rPr>
          <w:rFonts w:ascii="Times New Roman" w:hAnsi="Times New Roman" w:cs="Times New Roman"/>
          <w:color w:val="000000"/>
          <w:sz w:val="24"/>
          <w:szCs w:val="24"/>
        </w:rPr>
        <w:t>tate law to which the data or information is otherwise subject.</w:t>
      </w:r>
    </w:p>
    <w:p w:rsidR="00A229D0" w:rsidRPr="00611299" w:rsidP="006D3728" w14:paraId="6043E1C3" w14:textId="0802CC36">
      <w:pPr>
        <w:pStyle w:val="Default"/>
        <w:tabs>
          <w:tab w:val="left" w:pos="720"/>
        </w:tabs>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In addition, FIO</w:t>
      </w:r>
      <w:r w:rsidRPr="002B6D09">
        <w:rPr>
          <w:rFonts w:ascii="Times New Roman" w:hAnsi="Times New Roman" w:cs="Times New Roman"/>
          <w:color w:val="000000"/>
          <w:sz w:val="24"/>
          <w:szCs w:val="24"/>
        </w:rPr>
        <w:t xml:space="preserve"> will not publish confidential </w:t>
      </w:r>
      <w:r>
        <w:rPr>
          <w:rFonts w:ascii="Times New Roman" w:hAnsi="Times New Roman" w:cs="Times New Roman"/>
          <w:color w:val="000000"/>
          <w:sz w:val="24"/>
          <w:szCs w:val="24"/>
        </w:rPr>
        <w:t>company or group</w:t>
      </w:r>
      <w:r w:rsidRPr="002B6D09">
        <w:rPr>
          <w:rFonts w:ascii="Times New Roman" w:hAnsi="Times New Roman" w:cs="Times New Roman"/>
          <w:color w:val="000000"/>
          <w:sz w:val="24"/>
          <w:szCs w:val="24"/>
        </w:rPr>
        <w:t>-specific data from individual submissions.</w:t>
      </w:r>
    </w:p>
    <w:p w:rsidR="00052D83" w:rsidRPr="00D91DB9" w:rsidP="00A24444" w14:paraId="2738EDF4" w14:textId="0BA4C087">
      <w:pPr>
        <w:keepNext/>
        <w:tabs>
          <w:tab w:val="left" w:pos="360"/>
        </w:tabs>
        <w:spacing w:before="240" w:after="240"/>
        <w:ind w:left="360" w:hanging="360"/>
        <w:rPr>
          <w:b/>
          <w:color w:val="000000"/>
        </w:rPr>
      </w:pPr>
      <w:r w:rsidRPr="0028274B">
        <w:rPr>
          <w:b/>
          <w:color w:val="000000"/>
        </w:rPr>
        <w:t>11. Provide additional justification for any questions of a sensitive nature, such as sexual behavior and attitudes, religious beliefs, and other matters that are commonly considered private.</w:t>
      </w:r>
    </w:p>
    <w:p w:rsidR="006D3728" w:rsidRPr="00D91DB9" w:rsidP="006D3728" w14:paraId="49EAF982" w14:textId="61F5B9EC">
      <w:pPr>
        <w:pStyle w:val="Default"/>
        <w:tabs>
          <w:tab w:val="left" w:pos="720"/>
        </w:tabs>
        <w:spacing w:before="240" w:after="240"/>
        <w:rPr>
          <w:rFonts w:ascii="Times New Roman" w:hAnsi="Times New Roman" w:cs="Times New Roman"/>
          <w:color w:val="000000"/>
          <w:sz w:val="24"/>
          <w:szCs w:val="24"/>
        </w:rPr>
      </w:pPr>
      <w:r w:rsidRPr="00611299">
        <w:rPr>
          <w:rFonts w:ascii="Times New Roman" w:hAnsi="Times New Roman" w:cs="Times New Roman"/>
          <w:color w:val="000000"/>
          <w:sz w:val="24"/>
          <w:szCs w:val="24"/>
        </w:rPr>
        <w:t xml:space="preserve">No personally identifiable information (PII) is sought </w:t>
      </w:r>
      <w:r>
        <w:rPr>
          <w:rFonts w:ascii="Times New Roman" w:hAnsi="Times New Roman" w:cs="Times New Roman"/>
          <w:color w:val="000000"/>
          <w:sz w:val="24"/>
          <w:szCs w:val="24"/>
        </w:rPr>
        <w:t>by FIO’s data collection</w:t>
      </w:r>
      <w:r w:rsidRPr="00611299">
        <w:rPr>
          <w:rFonts w:ascii="Times New Roman" w:hAnsi="Times New Roman" w:cs="Times New Roman"/>
          <w:color w:val="000000"/>
          <w:sz w:val="24"/>
          <w:szCs w:val="24"/>
        </w:rPr>
        <w:t>.</w:t>
      </w:r>
    </w:p>
    <w:p w:rsidR="005C5184" w:rsidRPr="00D91DB9" w:rsidP="00A24444" w14:paraId="72B42E51" w14:textId="77777777">
      <w:pPr>
        <w:pStyle w:val="Default"/>
        <w:keepNext/>
        <w:spacing w:before="240" w:after="240"/>
        <w:ind w:left="360" w:hanging="360"/>
        <w:rPr>
          <w:rFonts w:ascii="Times New Roman" w:hAnsi="Times New Roman" w:cs="Times New Roman"/>
          <w:b/>
          <w:color w:val="000000"/>
          <w:sz w:val="24"/>
          <w:szCs w:val="24"/>
        </w:rPr>
      </w:pPr>
      <w:r w:rsidRPr="0028274B">
        <w:rPr>
          <w:rFonts w:ascii="Times New Roman" w:hAnsi="Times New Roman" w:cs="Times New Roman"/>
          <w:b/>
          <w:color w:val="000000"/>
          <w:sz w:val="24"/>
          <w:szCs w:val="24"/>
        </w:rPr>
        <w:t>12.  Provide an estimate in hours of the burden of the collection of information.</w:t>
      </w:r>
    </w:p>
    <w:p w:rsidR="000D6F42" w:rsidP="00A24444" w14:paraId="0561CBEC" w14:textId="4D7C621D">
      <w:pPr>
        <w:spacing w:before="240" w:after="240"/>
      </w:pPr>
      <w:r>
        <w:t>FIO estimates</w:t>
      </w:r>
      <w:r w:rsidR="00AA4772">
        <w:t xml:space="preserve"> </w:t>
      </w:r>
      <w:r w:rsidR="001A553C">
        <w:t xml:space="preserve">the annual burden for its data collection is </w:t>
      </w:r>
      <w:bookmarkStart w:id="96" w:name="_Hlk148605431"/>
      <w:r w:rsidR="001A553C">
        <w:t>between 14,400 and 48,000 hours</w:t>
      </w:r>
      <w:r w:rsidR="006A51C1">
        <w:t xml:space="preserve"> at a total cost of $</w:t>
      </w:r>
      <w:r w:rsidR="005C7442">
        <w:t>839,520</w:t>
      </w:r>
      <w:r w:rsidR="006A51C1">
        <w:t xml:space="preserve"> to $</w:t>
      </w:r>
      <w:r w:rsidR="005C7442">
        <w:t>2,798,400</w:t>
      </w:r>
      <w:r w:rsidR="001A553C">
        <w:t xml:space="preserve"> for the Representative Sample Insurers, </w:t>
      </w:r>
      <w:r w:rsidR="003C0331">
        <w:t xml:space="preserve">collectively, </w:t>
      </w:r>
      <w:r w:rsidR="001A553C">
        <w:t xml:space="preserve">based on the following.  FIO estimates that each individual homeowners insurance entity </w:t>
      </w:r>
      <w:bookmarkEnd w:id="96"/>
      <w:r w:rsidR="001A553C">
        <w:t xml:space="preserve">within a Representative Sample Insurer will take between 60 and 200 hours total to collect the requested data </w:t>
      </w:r>
      <w:r w:rsidRPr="00AA4772" w:rsidR="00AA4772">
        <w:t xml:space="preserve">for </w:t>
      </w:r>
      <w:r w:rsidR="001A553C">
        <w:t>s</w:t>
      </w:r>
      <w:r w:rsidRPr="00AA4772" w:rsidR="00AA4772">
        <w:t>ix years (2017 to 2022)</w:t>
      </w:r>
      <w:r w:rsidR="00AA4772">
        <w:t xml:space="preserve">.  </w:t>
      </w:r>
      <w:r w:rsidR="001A553C">
        <w:t>The 14 Representative Sample Insurers have 240 homeowners insurance entities (with the number of entities per group ranging from 1 to 44, so the b</w:t>
      </w:r>
      <w:r w:rsidR="00AA4772">
        <w:t xml:space="preserve">urden for </w:t>
      </w:r>
      <w:r w:rsidR="006A51C1">
        <w:t xml:space="preserve">each </w:t>
      </w:r>
      <w:r w:rsidR="00AA4772">
        <w:t xml:space="preserve">Representative Sample Insurer would </w:t>
      </w:r>
      <w:r w:rsidR="006A51C1">
        <w:t>vary)</w:t>
      </w:r>
      <w:r w:rsidR="009D0A11">
        <w:t>.</w:t>
      </w:r>
      <w:r w:rsidR="006A51C1">
        <w:t xml:space="preserve">  The overall estimated </w:t>
      </w:r>
      <w:r w:rsidR="003C0331">
        <w:t xml:space="preserve">burden hours </w:t>
      </w:r>
      <w:r w:rsidR="00921548">
        <w:t>are</w:t>
      </w:r>
      <w:r w:rsidR="003C0331">
        <w:t xml:space="preserve"> 14,400 (240 entities x 60 hours) to 48,000 (240 entities x 200 hours).  The average</w:t>
      </w:r>
      <w:r w:rsidRPr="00E10ED0">
        <w:t xml:space="preserve"> fully loaded hourly rate </w:t>
      </w:r>
      <w:r w:rsidR="003C0331">
        <w:t xml:space="preserve">for insurance employees in July 2023 was </w:t>
      </w:r>
      <w:r w:rsidRPr="00E10ED0">
        <w:t>$5</w:t>
      </w:r>
      <w:r w:rsidR="0069278E">
        <w:t>8.36</w:t>
      </w:r>
      <w:r w:rsidR="003C0331">
        <w:t>.</w:t>
      </w:r>
      <w:r>
        <w:rPr>
          <w:rStyle w:val="FootnoteReference"/>
          <w:vertAlign w:val="superscript"/>
        </w:rPr>
        <w:footnoteReference w:id="31"/>
      </w:r>
      <w:r w:rsidRPr="00E10ED0">
        <w:t xml:space="preserve"> </w:t>
      </w:r>
      <w:r w:rsidR="003C0331">
        <w:t xml:space="preserve"> Thus, the </w:t>
      </w:r>
      <w:r>
        <w:t xml:space="preserve">total </w:t>
      </w:r>
      <w:r w:rsidRPr="00E10ED0">
        <w:t>cost</w:t>
      </w:r>
      <w:r>
        <w:t xml:space="preserve"> for all Representative Sample Insurers to comply with the data collection</w:t>
      </w:r>
      <w:r w:rsidRPr="00E10ED0">
        <w:t xml:space="preserve"> would be</w:t>
      </w:r>
      <w:r>
        <w:t xml:space="preserve"> between </w:t>
      </w:r>
      <w:bookmarkStart w:id="97" w:name="_Hlk145580616"/>
      <w:r>
        <w:t>approximately</w:t>
      </w:r>
      <w:r w:rsidRPr="00E10ED0">
        <w:t xml:space="preserve"> </w:t>
      </w:r>
      <w:r w:rsidRPr="003C0331">
        <w:t>$</w:t>
      </w:r>
      <w:r w:rsidR="005C7442">
        <w:t>839,520</w:t>
      </w:r>
      <w:r w:rsidRPr="00080A91" w:rsidR="003C0331">
        <w:t xml:space="preserve"> (14,</w:t>
      </w:r>
      <w:r w:rsidR="00B13A14">
        <w:t>4</w:t>
      </w:r>
      <w:r w:rsidRPr="00080A91" w:rsidR="00B13A14">
        <w:t>00</w:t>
      </w:r>
      <w:r w:rsidRPr="00080A91" w:rsidR="003C0331">
        <w:t xml:space="preserve"> hours x $</w:t>
      </w:r>
      <w:r w:rsidR="005C7442">
        <w:t>58.30</w:t>
      </w:r>
      <w:r w:rsidR="00A24444">
        <w:t>/hour</w:t>
      </w:r>
      <w:r w:rsidRPr="00080A91" w:rsidR="003C0331">
        <w:t>)</w:t>
      </w:r>
      <w:r w:rsidRPr="00080A91">
        <w:t xml:space="preserve"> and $</w:t>
      </w:r>
      <w:r w:rsidR="005C7442">
        <w:t>2,798,400</w:t>
      </w:r>
      <w:r w:rsidRPr="00080A91" w:rsidR="003C0331">
        <w:t xml:space="preserve"> (48,</w:t>
      </w:r>
      <w:r w:rsidR="00B13A14">
        <w:t>0</w:t>
      </w:r>
      <w:r w:rsidRPr="00080A91" w:rsidR="00B13A14">
        <w:t xml:space="preserve">00 </w:t>
      </w:r>
      <w:r w:rsidR="00B13A14">
        <w:t xml:space="preserve">hours </w:t>
      </w:r>
      <w:r w:rsidRPr="00080A91" w:rsidR="00B13A14">
        <w:t>x $</w:t>
      </w:r>
      <w:r w:rsidR="005C7442">
        <w:t>58.30</w:t>
      </w:r>
      <w:r w:rsidR="00B13A14">
        <w:t>/hour</w:t>
      </w:r>
      <w:r w:rsidRPr="00080A91" w:rsidR="00B13A14">
        <w:t>)</w:t>
      </w:r>
      <w:r w:rsidRPr="003C0331" w:rsidR="00B13A14">
        <w:t>.</w:t>
      </w:r>
      <w:r w:rsidR="003C0331">
        <w:t xml:space="preserve">  </w:t>
      </w:r>
      <w:r w:rsidR="008A7ABE">
        <w:t>FIO</w:t>
      </w:r>
      <w:r w:rsidR="003C0331">
        <w:t>’s</w:t>
      </w:r>
      <w:r w:rsidR="008A7ABE">
        <w:t xml:space="preserve"> revisions to its data collection </w:t>
      </w:r>
      <w:r w:rsidR="00A24444">
        <w:t>(</w:t>
      </w:r>
      <w:r w:rsidR="008A7ABE">
        <w:t xml:space="preserve">as described in </w:t>
      </w:r>
      <w:r w:rsidR="00A24444">
        <w:t xml:space="preserve">response to </w:t>
      </w:r>
      <w:r w:rsidR="003303BC">
        <w:t>Question 8</w:t>
      </w:r>
      <w:r w:rsidR="00A24444">
        <w:t>)</w:t>
      </w:r>
      <w:r w:rsidR="003303BC">
        <w:t xml:space="preserve"> </w:t>
      </w:r>
      <w:r w:rsidR="008A7ABE">
        <w:t xml:space="preserve">have lowered the burden </w:t>
      </w:r>
      <w:r w:rsidR="00A24444">
        <w:t>estimate</w:t>
      </w:r>
      <w:r w:rsidR="008A7ABE">
        <w:t xml:space="preserve"> by </w:t>
      </w:r>
      <w:r w:rsidR="005C7442">
        <w:t>about 30 percent</w:t>
      </w:r>
      <w:r w:rsidR="00A24444">
        <w:t xml:space="preserve"> (</w:t>
      </w:r>
      <w:r w:rsidR="003C0331">
        <w:t>as compared to the estimates in the October 2022 FRN</w:t>
      </w:r>
      <w:r w:rsidRPr="007613E6" w:rsidR="00FB6C95">
        <w:t xml:space="preserve">, </w:t>
      </w:r>
      <w:r w:rsidRPr="007613E6" w:rsidR="007613E6">
        <w:fldChar w:fldCharType="begin"/>
      </w:r>
      <w:r w:rsidRPr="007613E6" w:rsidR="007613E6">
        <w:instrText xml:space="preserve"> REF _Ref147495567 \h </w:instrText>
      </w:r>
      <w:r w:rsidRPr="002C7DB7" w:rsidR="007613E6">
        <w:instrText xml:space="preserve"> \* MERGEFORMAT </w:instrText>
      </w:r>
      <w:r w:rsidRPr="007613E6" w:rsidR="007613E6">
        <w:fldChar w:fldCharType="separate"/>
      </w:r>
      <w:r w:rsidRPr="003A53FF" w:rsidR="00185EEB">
        <w:rPr>
          <w:rFonts w:eastAsiaTheme="minorHAnsi" w:cstheme="minorBidi"/>
        </w:rPr>
        <w:t xml:space="preserve">Figure </w:t>
      </w:r>
      <w:r w:rsidRPr="003A53FF" w:rsidR="00185EEB">
        <w:rPr>
          <w:noProof/>
        </w:rPr>
        <w:t>2</w:t>
      </w:r>
      <w:r w:rsidRPr="007613E6" w:rsidR="007613E6">
        <w:fldChar w:fldCharType="end"/>
      </w:r>
      <w:r w:rsidR="00A24444">
        <w:t>)</w:t>
      </w:r>
      <w:r w:rsidR="008A7ABE">
        <w:t>.</w:t>
      </w:r>
      <w:r w:rsidR="003C0331">
        <w:t xml:space="preserve">  In addition, t</w:t>
      </w:r>
      <w:bookmarkEnd w:id="97"/>
      <w:r>
        <w:t>he</w:t>
      </w:r>
      <w:r w:rsidR="009F11C7">
        <w:t xml:space="preserve"> </w:t>
      </w:r>
      <w:r>
        <w:t xml:space="preserve">Representative Sample Insurers </w:t>
      </w:r>
      <w:r w:rsidR="009F11C7">
        <w:t xml:space="preserve">are the </w:t>
      </w:r>
      <w:r w:rsidRPr="00080A91" w:rsidR="002F5496">
        <w:t>14</w:t>
      </w:r>
      <w:r w:rsidRPr="003C0331" w:rsidR="009F11C7">
        <w:t xml:space="preserve"> l</w:t>
      </w:r>
      <w:r w:rsidR="009F11C7">
        <w:t xml:space="preserve">argest homeowners </w:t>
      </w:r>
      <w:r>
        <w:t>insurance groups</w:t>
      </w:r>
      <w:r w:rsidR="009F11C7">
        <w:t xml:space="preserve"> </w:t>
      </w:r>
      <w:r w:rsidR="003C0331">
        <w:t>and, a</w:t>
      </w:r>
      <w:r>
        <w:t xml:space="preserve">s a result, </w:t>
      </w:r>
      <w:r w:rsidR="009F11C7">
        <w:t xml:space="preserve">they </w:t>
      </w:r>
      <w:r>
        <w:t xml:space="preserve">may experience efficiencies when completing the </w:t>
      </w:r>
      <w:r w:rsidR="009F11C7">
        <w:t>Data Collection Form</w:t>
      </w:r>
      <w:r>
        <w:t xml:space="preserve">.  Thus, the total number of hours that it may take all Representative Sample Insurers to collect, process, and complete the </w:t>
      </w:r>
      <w:r w:rsidR="009F11C7">
        <w:t>Data Collection Form</w:t>
      </w:r>
      <w:r>
        <w:t xml:space="preserve"> may </w:t>
      </w:r>
      <w:r>
        <w:t>be less than the number of hours that FIO has estimated here.</w:t>
      </w:r>
      <w:r w:rsidR="00312578">
        <w:t xml:space="preserve">  For reference, the Representative Sample Insurers reported aggregate revenues of over $372 billion in 2022.</w:t>
      </w:r>
      <w:r>
        <w:rPr>
          <w:rStyle w:val="FootnoteReference"/>
          <w:vertAlign w:val="superscript"/>
        </w:rPr>
        <w:footnoteReference w:id="32"/>
      </w:r>
    </w:p>
    <w:p w:rsidR="00FB6C95" w:rsidRPr="00772820" w:rsidP="00D47DED" w14:paraId="0B0146EB" w14:textId="6E8E47E4">
      <w:pPr>
        <w:pStyle w:val="Caption"/>
        <w:keepNext/>
        <w:jc w:val="center"/>
        <w:rPr>
          <w:b/>
          <w:bCs/>
          <w:szCs w:val="24"/>
        </w:rPr>
      </w:pPr>
      <w:bookmarkStart w:id="99" w:name="_Ref147495567"/>
      <w:r w:rsidRPr="00772820">
        <w:rPr>
          <w:b/>
          <w:bCs/>
          <w:i w:val="0"/>
          <w:iCs w:val="0"/>
          <w:color w:val="auto"/>
          <w:sz w:val="24"/>
          <w:szCs w:val="24"/>
        </w:rPr>
        <w:t xml:space="preserve">Figure </w:t>
      </w:r>
      <w:r w:rsidR="004C6362">
        <w:rPr>
          <w:b/>
          <w:bCs/>
          <w:i w:val="0"/>
          <w:iCs w:val="0"/>
          <w:color w:val="auto"/>
          <w:sz w:val="24"/>
          <w:szCs w:val="24"/>
        </w:rPr>
        <w:fldChar w:fldCharType="begin"/>
      </w:r>
      <w:r w:rsidR="004C6362">
        <w:rPr>
          <w:b/>
          <w:bCs/>
          <w:i w:val="0"/>
          <w:iCs w:val="0"/>
          <w:color w:val="auto"/>
          <w:sz w:val="24"/>
          <w:szCs w:val="24"/>
        </w:rPr>
        <w:instrText xml:space="preserve"> SEQ Figure \* ARABIC </w:instrText>
      </w:r>
      <w:r w:rsidR="004C6362">
        <w:rPr>
          <w:b/>
          <w:bCs/>
          <w:i w:val="0"/>
          <w:iCs w:val="0"/>
          <w:color w:val="auto"/>
          <w:sz w:val="24"/>
          <w:szCs w:val="24"/>
        </w:rPr>
        <w:fldChar w:fldCharType="separate"/>
      </w:r>
      <w:r w:rsidR="00185EEB">
        <w:rPr>
          <w:b/>
          <w:bCs/>
          <w:i w:val="0"/>
          <w:iCs w:val="0"/>
          <w:noProof/>
          <w:color w:val="auto"/>
          <w:sz w:val="24"/>
          <w:szCs w:val="24"/>
        </w:rPr>
        <w:t>2</w:t>
      </w:r>
      <w:r w:rsidR="004C6362">
        <w:rPr>
          <w:b/>
          <w:bCs/>
          <w:i w:val="0"/>
          <w:iCs w:val="0"/>
          <w:color w:val="auto"/>
          <w:sz w:val="24"/>
          <w:szCs w:val="24"/>
        </w:rPr>
        <w:fldChar w:fldCharType="end"/>
      </w:r>
      <w:bookmarkEnd w:id="99"/>
      <w:r w:rsidRPr="00772820">
        <w:rPr>
          <w:b/>
          <w:bCs/>
          <w:i w:val="0"/>
          <w:iCs w:val="0"/>
          <w:color w:val="auto"/>
          <w:sz w:val="24"/>
          <w:szCs w:val="24"/>
        </w:rPr>
        <w:t>: Comparison of Burden Estimates</w:t>
      </w:r>
    </w:p>
    <w:tbl>
      <w:tblPr>
        <w:tblStyle w:val="PlainTable2"/>
        <w:tblW w:w="9170" w:type="dxa"/>
        <w:tblInd w:w="5" w:type="dxa"/>
        <w:tblLook w:val="04A0"/>
      </w:tblPr>
      <w:tblGrid>
        <w:gridCol w:w="3056"/>
        <w:gridCol w:w="3057"/>
        <w:gridCol w:w="3057"/>
      </w:tblGrid>
      <w:tr w14:paraId="070F03E1" w14:textId="77777777" w:rsidTr="00772820">
        <w:tblPrEx>
          <w:tblW w:w="9170" w:type="dxa"/>
          <w:tblInd w:w="5" w:type="dxa"/>
          <w:tblLook w:val="04A0"/>
        </w:tblPrEx>
        <w:tc>
          <w:tcPr>
            <w:tcW w:w="3056" w:type="dxa"/>
            <w:tcBorders>
              <w:top w:val="single" w:sz="12" w:space="0" w:color="auto"/>
              <w:bottom w:val="single" w:sz="4" w:space="0" w:color="auto"/>
            </w:tcBorders>
          </w:tcPr>
          <w:p w:rsidR="00FB6C95" w:rsidRPr="002C7DB7" w:rsidP="00D47DED" w14:paraId="4B0A546D" w14:textId="77777777">
            <w:pPr>
              <w:keepNext/>
              <w:jc w:val="center"/>
              <w:rPr>
                <w:rFonts w:ascii="Times New Roman" w:hAnsi="Times New Roman" w:cs="Times New Roman"/>
                <w:color w:val="000000"/>
                <w:sz w:val="22"/>
                <w:szCs w:val="22"/>
              </w:rPr>
            </w:pPr>
          </w:p>
        </w:tc>
        <w:tc>
          <w:tcPr>
            <w:tcW w:w="3057" w:type="dxa"/>
            <w:tcBorders>
              <w:top w:val="single" w:sz="12" w:space="0" w:color="auto"/>
              <w:bottom w:val="single" w:sz="4" w:space="0" w:color="auto"/>
            </w:tcBorders>
          </w:tcPr>
          <w:p w:rsidR="00FB6C95" w:rsidRPr="002C7DB7" w:rsidP="00D47DED" w14:paraId="6655B622" w14:textId="77777777">
            <w:pPr>
              <w:keepNext/>
              <w:jc w:val="center"/>
              <w:rPr>
                <w:rFonts w:ascii="Times New Roman" w:hAnsi="Times New Roman" w:cs="Times New Roman"/>
                <w:color w:val="000000"/>
                <w:sz w:val="22"/>
                <w:szCs w:val="22"/>
              </w:rPr>
            </w:pPr>
            <w:r w:rsidRPr="002C7DB7">
              <w:rPr>
                <w:rFonts w:ascii="Times New Roman" w:hAnsi="Times New Roman" w:cs="Times New Roman"/>
                <w:color w:val="000000"/>
                <w:sz w:val="22"/>
                <w:szCs w:val="22"/>
              </w:rPr>
              <w:t>October 2022 FRN</w:t>
            </w:r>
          </w:p>
        </w:tc>
        <w:tc>
          <w:tcPr>
            <w:tcW w:w="3057" w:type="dxa"/>
            <w:tcBorders>
              <w:top w:val="single" w:sz="12" w:space="0" w:color="auto"/>
              <w:bottom w:val="single" w:sz="4" w:space="0" w:color="auto"/>
            </w:tcBorders>
          </w:tcPr>
          <w:p w:rsidR="00FB6C95" w:rsidRPr="002C7DB7" w:rsidP="00D47DED" w14:paraId="01391CB5" w14:textId="77777777">
            <w:pPr>
              <w:keepNext/>
              <w:jc w:val="center"/>
              <w:rPr>
                <w:rFonts w:ascii="Times New Roman" w:hAnsi="Times New Roman" w:cs="Times New Roman"/>
                <w:color w:val="000000"/>
                <w:sz w:val="22"/>
                <w:szCs w:val="22"/>
              </w:rPr>
            </w:pPr>
            <w:r w:rsidRPr="002C7DB7">
              <w:rPr>
                <w:rFonts w:ascii="Times New Roman" w:hAnsi="Times New Roman" w:cs="Times New Roman"/>
                <w:color w:val="000000"/>
                <w:sz w:val="22"/>
                <w:szCs w:val="22"/>
              </w:rPr>
              <w:t>Current Estimates</w:t>
            </w:r>
          </w:p>
        </w:tc>
      </w:tr>
      <w:tr w14:paraId="335181E6" w14:textId="77777777" w:rsidTr="00772820">
        <w:tblPrEx>
          <w:tblW w:w="9170" w:type="dxa"/>
          <w:tblInd w:w="5" w:type="dxa"/>
          <w:tblLook w:val="04A0"/>
        </w:tblPrEx>
        <w:tc>
          <w:tcPr>
            <w:tcW w:w="3056" w:type="dxa"/>
            <w:tcBorders>
              <w:top w:val="single" w:sz="4" w:space="0" w:color="auto"/>
            </w:tcBorders>
          </w:tcPr>
          <w:p w:rsidR="00FB6C95" w:rsidRPr="002C7DB7" w:rsidP="00D47DED" w14:paraId="66148416" w14:textId="5C96D5F7">
            <w:pPr>
              <w:keepNext/>
              <w:rPr>
                <w:rFonts w:ascii="Times New Roman" w:hAnsi="Times New Roman" w:cs="Times New Roman"/>
                <w:color w:val="000000"/>
                <w:sz w:val="22"/>
                <w:szCs w:val="22"/>
              </w:rPr>
            </w:pPr>
            <w:r w:rsidRPr="002C7DB7">
              <w:rPr>
                <w:rFonts w:ascii="Times New Roman" w:hAnsi="Times New Roman" w:cs="Times New Roman"/>
                <w:color w:val="000000"/>
                <w:sz w:val="22"/>
                <w:szCs w:val="22"/>
              </w:rPr>
              <w:t xml:space="preserve">Hours per </w:t>
            </w:r>
            <w:r w:rsidR="005C7442">
              <w:rPr>
                <w:rFonts w:ascii="Times New Roman" w:hAnsi="Times New Roman" w:cs="Times New Roman"/>
                <w:color w:val="000000"/>
                <w:sz w:val="22"/>
                <w:szCs w:val="22"/>
              </w:rPr>
              <w:t xml:space="preserve">homeowners </w:t>
            </w:r>
            <w:r w:rsidRPr="002C7DB7">
              <w:rPr>
                <w:rFonts w:ascii="Times New Roman" w:hAnsi="Times New Roman" w:cs="Times New Roman"/>
                <w:color w:val="000000"/>
                <w:sz w:val="22"/>
                <w:szCs w:val="22"/>
              </w:rPr>
              <w:t>insur</w:t>
            </w:r>
            <w:r w:rsidR="005C7442">
              <w:rPr>
                <w:rFonts w:ascii="Times New Roman" w:hAnsi="Times New Roman" w:cs="Times New Roman"/>
                <w:color w:val="000000"/>
                <w:sz w:val="22"/>
                <w:szCs w:val="22"/>
              </w:rPr>
              <w:t>ance entity</w:t>
            </w:r>
          </w:p>
        </w:tc>
        <w:tc>
          <w:tcPr>
            <w:tcW w:w="3057" w:type="dxa"/>
            <w:tcBorders>
              <w:top w:val="single" w:sz="4" w:space="0" w:color="auto"/>
            </w:tcBorders>
          </w:tcPr>
          <w:p w:rsidR="00FB6C95" w:rsidRPr="002C7DB7" w:rsidP="00D47DED" w14:paraId="3C1C31EC" w14:textId="77777777">
            <w:pPr>
              <w:keepNext/>
              <w:jc w:val="center"/>
              <w:rPr>
                <w:rFonts w:ascii="Times New Roman" w:hAnsi="Times New Roman" w:cs="Times New Roman"/>
                <w:color w:val="000000"/>
                <w:sz w:val="22"/>
                <w:szCs w:val="22"/>
              </w:rPr>
            </w:pPr>
            <w:r w:rsidRPr="002C7DB7">
              <w:rPr>
                <w:rFonts w:ascii="Times New Roman" w:hAnsi="Times New Roman" w:cs="Times New Roman"/>
                <w:color w:val="000000"/>
                <w:sz w:val="22"/>
                <w:szCs w:val="22"/>
              </w:rPr>
              <w:t>100 to 350</w:t>
            </w:r>
          </w:p>
        </w:tc>
        <w:tc>
          <w:tcPr>
            <w:tcW w:w="3057" w:type="dxa"/>
            <w:tcBorders>
              <w:top w:val="single" w:sz="4" w:space="0" w:color="auto"/>
            </w:tcBorders>
          </w:tcPr>
          <w:p w:rsidR="00FB6C95" w:rsidRPr="002C7DB7" w:rsidP="00D47DED" w14:paraId="20B3F883" w14:textId="77777777">
            <w:pPr>
              <w:keepNext/>
              <w:jc w:val="center"/>
              <w:rPr>
                <w:rFonts w:ascii="Times New Roman" w:hAnsi="Times New Roman" w:cs="Times New Roman"/>
                <w:color w:val="000000"/>
                <w:sz w:val="22"/>
                <w:szCs w:val="22"/>
              </w:rPr>
            </w:pPr>
            <w:r w:rsidRPr="002C7DB7">
              <w:rPr>
                <w:rFonts w:ascii="Times New Roman" w:hAnsi="Times New Roman" w:cs="Times New Roman"/>
                <w:color w:val="000000"/>
                <w:sz w:val="22"/>
                <w:szCs w:val="22"/>
              </w:rPr>
              <w:t>60 to 200</w:t>
            </w:r>
          </w:p>
        </w:tc>
      </w:tr>
      <w:tr w14:paraId="3DFA1128" w14:textId="77777777" w:rsidTr="00772820">
        <w:tblPrEx>
          <w:tblW w:w="9170" w:type="dxa"/>
          <w:tblInd w:w="5" w:type="dxa"/>
          <w:tblLook w:val="04A0"/>
        </w:tblPrEx>
        <w:tc>
          <w:tcPr>
            <w:tcW w:w="3056" w:type="dxa"/>
          </w:tcPr>
          <w:p w:rsidR="00FB6C95" w:rsidRPr="002C7DB7" w:rsidP="00D47DED" w14:paraId="58F112E5" w14:textId="602E857F">
            <w:pPr>
              <w:keepNext/>
              <w:rPr>
                <w:rFonts w:ascii="Times New Roman" w:hAnsi="Times New Roman" w:cs="Times New Roman"/>
                <w:color w:val="000000"/>
                <w:sz w:val="22"/>
                <w:szCs w:val="22"/>
              </w:rPr>
            </w:pPr>
            <w:r w:rsidRPr="002C7DB7">
              <w:rPr>
                <w:rFonts w:ascii="Times New Roman" w:hAnsi="Times New Roman" w:cs="Times New Roman"/>
                <w:color w:val="000000"/>
                <w:sz w:val="22"/>
                <w:szCs w:val="22"/>
              </w:rPr>
              <w:t xml:space="preserve">Total hours for all </w:t>
            </w:r>
            <w:r w:rsidR="005C7442">
              <w:rPr>
                <w:rFonts w:ascii="Times New Roman" w:hAnsi="Times New Roman" w:cs="Times New Roman"/>
                <w:color w:val="000000"/>
                <w:sz w:val="22"/>
                <w:szCs w:val="22"/>
              </w:rPr>
              <w:t>Representative Sample I</w:t>
            </w:r>
            <w:r w:rsidRPr="002C7DB7">
              <w:rPr>
                <w:rFonts w:ascii="Times New Roman" w:hAnsi="Times New Roman" w:cs="Times New Roman"/>
                <w:color w:val="000000"/>
                <w:sz w:val="22"/>
                <w:szCs w:val="22"/>
              </w:rPr>
              <w:t>nsurers</w:t>
            </w:r>
          </w:p>
        </w:tc>
        <w:tc>
          <w:tcPr>
            <w:tcW w:w="3057" w:type="dxa"/>
          </w:tcPr>
          <w:p w:rsidR="00FB6C95" w:rsidRPr="002C7DB7" w:rsidP="00D47DED" w14:paraId="336EB9D4" w14:textId="77777777">
            <w:pPr>
              <w:keepNext/>
              <w:jc w:val="center"/>
              <w:rPr>
                <w:rFonts w:ascii="Times New Roman" w:hAnsi="Times New Roman" w:cs="Times New Roman"/>
                <w:color w:val="000000"/>
                <w:sz w:val="22"/>
                <w:szCs w:val="22"/>
              </w:rPr>
            </w:pPr>
            <w:r w:rsidRPr="002C7DB7">
              <w:rPr>
                <w:rFonts w:ascii="Times New Roman" w:hAnsi="Times New Roman" w:cs="Times New Roman"/>
                <w:color w:val="000000"/>
                <w:sz w:val="22"/>
                <w:szCs w:val="22"/>
              </w:rPr>
              <w:t>21,300 to 74,550</w:t>
            </w:r>
          </w:p>
        </w:tc>
        <w:tc>
          <w:tcPr>
            <w:tcW w:w="3057" w:type="dxa"/>
          </w:tcPr>
          <w:p w:rsidR="00FB6C95" w:rsidRPr="002C7DB7" w:rsidP="00D47DED" w14:paraId="39DBBD4D" w14:textId="77777777">
            <w:pPr>
              <w:keepNext/>
              <w:jc w:val="center"/>
              <w:rPr>
                <w:rFonts w:ascii="Times New Roman" w:hAnsi="Times New Roman" w:cs="Times New Roman"/>
                <w:color w:val="000000"/>
                <w:sz w:val="22"/>
                <w:szCs w:val="22"/>
              </w:rPr>
            </w:pPr>
            <w:r w:rsidRPr="002C7DB7">
              <w:rPr>
                <w:rFonts w:ascii="Times New Roman" w:hAnsi="Times New Roman" w:cs="Times New Roman"/>
                <w:sz w:val="22"/>
                <w:szCs w:val="22"/>
              </w:rPr>
              <w:t>14,400 to 48,000</w:t>
            </w:r>
          </w:p>
        </w:tc>
      </w:tr>
      <w:tr w14:paraId="57113FE9" w14:textId="77777777" w:rsidTr="00772820">
        <w:tblPrEx>
          <w:tblW w:w="9170" w:type="dxa"/>
          <w:tblInd w:w="5" w:type="dxa"/>
          <w:tblLook w:val="04A0"/>
        </w:tblPrEx>
        <w:tc>
          <w:tcPr>
            <w:tcW w:w="3056" w:type="dxa"/>
          </w:tcPr>
          <w:p w:rsidR="00FB6C95" w:rsidRPr="002C7DB7" w:rsidP="00D47DED" w14:paraId="3D7111BC" w14:textId="77777777">
            <w:pPr>
              <w:keepNext/>
              <w:rPr>
                <w:rFonts w:ascii="Times New Roman" w:hAnsi="Times New Roman" w:cs="Times New Roman"/>
                <w:color w:val="000000"/>
                <w:sz w:val="22"/>
                <w:szCs w:val="22"/>
              </w:rPr>
            </w:pPr>
            <w:r w:rsidRPr="002C7DB7">
              <w:rPr>
                <w:rFonts w:ascii="Times New Roman" w:hAnsi="Times New Roman" w:cs="Times New Roman"/>
                <w:color w:val="000000"/>
                <w:sz w:val="22"/>
                <w:szCs w:val="22"/>
              </w:rPr>
              <w:t>Hourly rate</w:t>
            </w:r>
          </w:p>
        </w:tc>
        <w:tc>
          <w:tcPr>
            <w:tcW w:w="3057" w:type="dxa"/>
          </w:tcPr>
          <w:p w:rsidR="00FB6C95" w:rsidRPr="002C7DB7" w:rsidP="00D47DED" w14:paraId="35C229D9" w14:textId="77777777">
            <w:pPr>
              <w:keepNext/>
              <w:jc w:val="center"/>
              <w:rPr>
                <w:rFonts w:ascii="Times New Roman" w:hAnsi="Times New Roman" w:cs="Times New Roman"/>
                <w:color w:val="000000"/>
                <w:sz w:val="22"/>
                <w:szCs w:val="22"/>
              </w:rPr>
            </w:pPr>
            <w:r w:rsidRPr="002C7DB7">
              <w:rPr>
                <w:rFonts w:ascii="Times New Roman" w:hAnsi="Times New Roman" w:cs="Times New Roman"/>
                <w:color w:val="000000"/>
                <w:sz w:val="22"/>
                <w:szCs w:val="22"/>
              </w:rPr>
              <w:t>$54.27</w:t>
            </w:r>
          </w:p>
        </w:tc>
        <w:tc>
          <w:tcPr>
            <w:tcW w:w="3057" w:type="dxa"/>
          </w:tcPr>
          <w:p w:rsidR="00FB6C95" w:rsidRPr="002C7DB7" w:rsidP="00D47DED" w14:paraId="74CC276C" w14:textId="73C44435">
            <w:pPr>
              <w:keepNext/>
              <w:jc w:val="center"/>
              <w:rPr>
                <w:rFonts w:ascii="Times New Roman" w:hAnsi="Times New Roman" w:cs="Times New Roman"/>
                <w:color w:val="000000"/>
                <w:sz w:val="22"/>
                <w:szCs w:val="22"/>
              </w:rPr>
            </w:pPr>
            <w:r w:rsidRPr="002C7DB7">
              <w:rPr>
                <w:rFonts w:ascii="Times New Roman" w:hAnsi="Times New Roman" w:cs="Times New Roman"/>
                <w:color w:val="000000"/>
                <w:sz w:val="22"/>
                <w:szCs w:val="22"/>
              </w:rPr>
              <w:t>$</w:t>
            </w:r>
            <w:r w:rsidR="003C656E">
              <w:rPr>
                <w:rFonts w:ascii="Times New Roman" w:hAnsi="Times New Roman" w:cs="Times New Roman"/>
                <w:color w:val="000000"/>
                <w:sz w:val="22"/>
                <w:szCs w:val="22"/>
              </w:rPr>
              <w:t>58.30</w:t>
            </w:r>
          </w:p>
        </w:tc>
      </w:tr>
      <w:tr w14:paraId="0FC4B3B8" w14:textId="77777777" w:rsidTr="00772820">
        <w:tblPrEx>
          <w:tblW w:w="9170" w:type="dxa"/>
          <w:tblInd w:w="5" w:type="dxa"/>
          <w:tblLook w:val="04A0"/>
        </w:tblPrEx>
        <w:tc>
          <w:tcPr>
            <w:tcW w:w="3056" w:type="dxa"/>
          </w:tcPr>
          <w:p w:rsidR="00FB6C95" w:rsidRPr="002C7DB7" w:rsidP="00D47DED" w14:paraId="4BCDBA37" w14:textId="4B7994BF">
            <w:pPr>
              <w:keepNext/>
              <w:rPr>
                <w:rFonts w:ascii="Times New Roman" w:hAnsi="Times New Roman" w:cs="Times New Roman"/>
                <w:color w:val="000000"/>
                <w:sz w:val="22"/>
                <w:szCs w:val="22"/>
              </w:rPr>
            </w:pPr>
            <w:r w:rsidRPr="002C7DB7">
              <w:rPr>
                <w:rFonts w:ascii="Times New Roman" w:hAnsi="Times New Roman" w:cs="Times New Roman"/>
                <w:color w:val="000000"/>
                <w:sz w:val="22"/>
                <w:szCs w:val="22"/>
              </w:rPr>
              <w:t xml:space="preserve">Total cost for all </w:t>
            </w:r>
            <w:r w:rsidR="005C7442">
              <w:rPr>
                <w:rFonts w:ascii="Times New Roman" w:hAnsi="Times New Roman" w:cs="Times New Roman"/>
                <w:color w:val="000000"/>
                <w:sz w:val="22"/>
                <w:szCs w:val="22"/>
              </w:rPr>
              <w:t>Representative Sample I</w:t>
            </w:r>
            <w:r w:rsidRPr="002C7DB7">
              <w:rPr>
                <w:rFonts w:ascii="Times New Roman" w:hAnsi="Times New Roman" w:cs="Times New Roman"/>
                <w:color w:val="000000"/>
                <w:sz w:val="22"/>
                <w:szCs w:val="22"/>
              </w:rPr>
              <w:t>nsurers</w:t>
            </w:r>
          </w:p>
        </w:tc>
        <w:tc>
          <w:tcPr>
            <w:tcW w:w="3057" w:type="dxa"/>
          </w:tcPr>
          <w:p w:rsidR="00FB6C95" w:rsidRPr="002C7DB7" w:rsidP="00D47DED" w14:paraId="2E6DB163" w14:textId="77777777">
            <w:pPr>
              <w:keepNext/>
              <w:jc w:val="center"/>
              <w:rPr>
                <w:rFonts w:ascii="Times New Roman" w:hAnsi="Times New Roman" w:cs="Times New Roman"/>
                <w:color w:val="000000"/>
                <w:sz w:val="22"/>
                <w:szCs w:val="22"/>
              </w:rPr>
            </w:pPr>
            <w:r w:rsidRPr="002C7DB7">
              <w:rPr>
                <w:rFonts w:ascii="Times New Roman" w:hAnsi="Times New Roman" w:cs="Times New Roman"/>
                <w:sz w:val="22"/>
                <w:szCs w:val="22"/>
              </w:rPr>
              <w:t>$1,155,951 to $4,045,829</w:t>
            </w:r>
          </w:p>
        </w:tc>
        <w:tc>
          <w:tcPr>
            <w:tcW w:w="3057" w:type="dxa"/>
          </w:tcPr>
          <w:p w:rsidR="00FB6C95" w:rsidRPr="002C7DB7" w:rsidP="00D47DED" w14:paraId="413B01E6" w14:textId="1373991F">
            <w:pPr>
              <w:keepNext/>
              <w:jc w:val="center"/>
              <w:rPr>
                <w:rFonts w:ascii="Times New Roman" w:hAnsi="Times New Roman" w:cs="Times New Roman"/>
                <w:color w:val="000000"/>
                <w:sz w:val="22"/>
                <w:szCs w:val="22"/>
              </w:rPr>
            </w:pPr>
            <w:r w:rsidRPr="002C7DB7">
              <w:rPr>
                <w:rFonts w:ascii="Times New Roman" w:hAnsi="Times New Roman" w:cs="Times New Roman"/>
                <w:sz w:val="22"/>
                <w:szCs w:val="22"/>
              </w:rPr>
              <w:t>$</w:t>
            </w:r>
            <w:r w:rsidR="005C7442">
              <w:rPr>
                <w:rFonts w:ascii="Times New Roman" w:hAnsi="Times New Roman" w:cs="Times New Roman"/>
                <w:sz w:val="22"/>
                <w:szCs w:val="22"/>
              </w:rPr>
              <w:t>839,520</w:t>
            </w:r>
            <w:r w:rsidRPr="002C7DB7">
              <w:rPr>
                <w:rFonts w:ascii="Times New Roman" w:hAnsi="Times New Roman" w:cs="Times New Roman"/>
                <w:sz w:val="22"/>
                <w:szCs w:val="22"/>
              </w:rPr>
              <w:t xml:space="preserve"> to $</w:t>
            </w:r>
            <w:r w:rsidR="005C7442">
              <w:rPr>
                <w:rFonts w:ascii="Times New Roman" w:hAnsi="Times New Roman" w:cs="Times New Roman"/>
                <w:sz w:val="22"/>
                <w:szCs w:val="22"/>
              </w:rPr>
              <w:t>2,798,400</w:t>
            </w:r>
          </w:p>
        </w:tc>
      </w:tr>
    </w:tbl>
    <w:p w:rsidR="002C0A12" w:rsidRPr="00D91DB9" w:rsidP="00A24444" w14:paraId="13D8BED4" w14:textId="045B0F07">
      <w:pPr>
        <w:pStyle w:val="Default"/>
        <w:keepNext/>
        <w:spacing w:before="240" w:after="240"/>
        <w:ind w:left="360" w:hanging="360"/>
        <w:rPr>
          <w:b/>
          <w:color w:val="000000"/>
        </w:rPr>
      </w:pPr>
      <w:r w:rsidRPr="00080A91">
        <w:rPr>
          <w:rFonts w:ascii="Times New Roman" w:hAnsi="Times New Roman" w:cs="Times New Roman"/>
          <w:b/>
          <w:bCs/>
          <w:color w:val="000000"/>
          <w:sz w:val="22"/>
          <w:szCs w:val="22"/>
        </w:rPr>
        <w:t>13.</w:t>
      </w:r>
      <w:r w:rsidRPr="00080A91">
        <w:rPr>
          <w:b/>
          <w:bCs/>
          <w:color w:val="000000"/>
          <w:sz w:val="22"/>
          <w:szCs w:val="22"/>
        </w:rPr>
        <w:t xml:space="preserve"> </w:t>
      </w:r>
      <w:r w:rsidRPr="00D91DB9" w:rsidR="00A229D0">
        <w:rPr>
          <w:rFonts w:ascii="Times New Roman" w:hAnsi="Times New Roman" w:cs="Times New Roman"/>
          <w:b/>
          <w:color w:val="000000"/>
          <w:sz w:val="24"/>
          <w:szCs w:val="24"/>
        </w:rPr>
        <w:t>Provide an estimate of the total annual cost burden to the responde</w:t>
      </w:r>
      <w:r w:rsidRPr="00D91DB9">
        <w:rPr>
          <w:rFonts w:ascii="Times New Roman" w:hAnsi="Times New Roman" w:cs="Times New Roman"/>
          <w:b/>
          <w:color w:val="000000"/>
          <w:sz w:val="24"/>
          <w:szCs w:val="24"/>
        </w:rPr>
        <w:t>nts or record-keepers resulting</w:t>
      </w:r>
      <w:r w:rsidRPr="00D91DB9" w:rsidR="009F11C7">
        <w:rPr>
          <w:rFonts w:ascii="Times New Roman" w:hAnsi="Times New Roman" w:cs="Times New Roman"/>
          <w:b/>
          <w:color w:val="000000"/>
          <w:sz w:val="24"/>
          <w:szCs w:val="24"/>
        </w:rPr>
        <w:t xml:space="preserve"> </w:t>
      </w:r>
      <w:r w:rsidRPr="00D91DB9" w:rsidR="00A229D0">
        <w:rPr>
          <w:rFonts w:ascii="Times New Roman" w:hAnsi="Times New Roman" w:cs="Times New Roman"/>
          <w:b/>
          <w:color w:val="000000"/>
          <w:sz w:val="24"/>
          <w:szCs w:val="24"/>
        </w:rPr>
        <w:t>from the collection (excluding the value of the burden hours in #12 above).</w:t>
      </w:r>
    </w:p>
    <w:p w:rsidR="000E0D0C" w:rsidRPr="003541AD" w:rsidP="003541AD" w14:paraId="7D1D974A" w14:textId="3C58A46F">
      <w:pPr>
        <w:spacing w:before="240" w:after="240"/>
      </w:pPr>
      <w:r w:rsidRPr="003541AD">
        <w:rPr>
          <w:color w:val="000000"/>
        </w:rPr>
        <w:t>The assembly, consolidation, review</w:t>
      </w:r>
      <w:r w:rsidRPr="003541AD" w:rsidR="00262458">
        <w:rPr>
          <w:color w:val="000000"/>
        </w:rPr>
        <w:t>,</w:t>
      </w:r>
      <w:r w:rsidRPr="003541AD">
        <w:rPr>
          <w:color w:val="000000"/>
        </w:rPr>
        <w:t xml:space="preserve"> and transmission of the information are expected to present </w:t>
      </w:r>
      <w:r w:rsidRPr="003541AD" w:rsidR="006D3728">
        <w:rPr>
          <w:color w:val="000000"/>
        </w:rPr>
        <w:t>nominal costs to the Representative Sample Insurers</w:t>
      </w:r>
      <w:r w:rsidR="006D3728">
        <w:rPr>
          <w:color w:val="000000"/>
        </w:rPr>
        <w:t>,</w:t>
      </w:r>
      <w:r w:rsidRPr="003541AD" w:rsidR="006D3728">
        <w:rPr>
          <w:color w:val="000000"/>
        </w:rPr>
        <w:t xml:space="preserve"> given that the data </w:t>
      </w:r>
      <w:r w:rsidR="006D3728">
        <w:rPr>
          <w:color w:val="000000"/>
        </w:rPr>
        <w:t>fields</w:t>
      </w:r>
      <w:r w:rsidRPr="003541AD" w:rsidR="006D3728">
        <w:rPr>
          <w:color w:val="000000"/>
        </w:rPr>
        <w:t xml:space="preserve"> FIO seeks to </w:t>
      </w:r>
      <w:r w:rsidRPr="003541AD" w:rsidR="00B13A14">
        <w:rPr>
          <w:color w:val="000000"/>
        </w:rPr>
        <w:t xml:space="preserve">collect should be readily available in company systems and documents.  The data FIO seeks to collect is contained within statistical information that insurers otherwise develop in order to achieve compliance with state insurance regulatory requirements (particularly annual statutory reporting requirements) and insurance rating reviews.  The </w:t>
      </w:r>
      <w:r w:rsidR="00064B6E">
        <w:rPr>
          <w:color w:val="000000"/>
        </w:rPr>
        <w:t>data</w:t>
      </w:r>
      <w:r w:rsidRPr="003541AD" w:rsidR="00B13A14">
        <w:rPr>
          <w:color w:val="000000"/>
        </w:rPr>
        <w:t xml:space="preserve"> collection is also directly extractive of information required for or generated in the course of normal business activity.</w:t>
      </w:r>
    </w:p>
    <w:p w:rsidR="00B13A14" w:rsidRPr="00611299" w:rsidP="00B13A14" w14:paraId="7341EEA3" w14:textId="77777777">
      <w:pPr>
        <w:tabs>
          <w:tab w:val="left" w:pos="720"/>
        </w:tabs>
        <w:spacing w:before="240" w:after="240"/>
        <w:rPr>
          <w:color w:val="000000"/>
        </w:rPr>
      </w:pPr>
      <w:r w:rsidRPr="00A3124A">
        <w:rPr>
          <w:color w:val="000000"/>
        </w:rPr>
        <w:t xml:space="preserve">There could be some amount of “start up” costs (estimated at $1,000 per </w:t>
      </w:r>
      <w:r>
        <w:rPr>
          <w:color w:val="000000"/>
        </w:rPr>
        <w:t>homeowners insurance entity within a group</w:t>
      </w:r>
      <w:r w:rsidRPr="00A3124A">
        <w:rPr>
          <w:color w:val="000000"/>
        </w:rPr>
        <w:t xml:space="preserve">) for consolidating information that might be produced by </w:t>
      </w:r>
      <w:r>
        <w:rPr>
          <w:color w:val="000000"/>
        </w:rPr>
        <w:t>the Representative Sample Insurers</w:t>
      </w:r>
      <w:r w:rsidRPr="00A3124A">
        <w:rPr>
          <w:color w:val="000000"/>
        </w:rPr>
        <w:t>.  Otherwise, the costs are expected to consist of time associated with the consolidation of accounting records (including querying of computer systems), and for the internal review and certification of submissions.  No equipment purchases or capital investment should be needed; however, some insurers may elect to perform some amount of incidental systems</w:t>
      </w:r>
      <w:r>
        <w:rPr>
          <w:color w:val="000000"/>
        </w:rPr>
        <w:t xml:space="preserve"> modifications</w:t>
      </w:r>
      <w:r w:rsidRPr="00A3124A">
        <w:rPr>
          <w:color w:val="000000"/>
        </w:rPr>
        <w:t xml:space="preserve"> to facilitate their submissions.</w:t>
      </w:r>
    </w:p>
    <w:p w:rsidR="001D6810" w:rsidRPr="00D91DB9" w:rsidP="00B13A14" w14:paraId="436CCDB0" w14:textId="77777777">
      <w:pPr>
        <w:pStyle w:val="Default"/>
        <w:keepNext/>
        <w:spacing w:before="240" w:after="240"/>
        <w:ind w:left="360" w:hanging="360"/>
        <w:rPr>
          <w:rFonts w:ascii="Times New Roman" w:hAnsi="Times New Roman" w:cs="Times New Roman"/>
          <w:b/>
          <w:color w:val="000000"/>
          <w:sz w:val="24"/>
          <w:szCs w:val="24"/>
        </w:rPr>
      </w:pPr>
      <w:r w:rsidRPr="0028274B">
        <w:rPr>
          <w:rFonts w:ascii="Times New Roman" w:hAnsi="Times New Roman" w:cs="Times New Roman"/>
          <w:b/>
          <w:color w:val="000000"/>
          <w:sz w:val="24"/>
          <w:szCs w:val="24"/>
        </w:rPr>
        <w:t>14.  Provide estimates of annualized cost to the Federal government.</w:t>
      </w:r>
    </w:p>
    <w:p w:rsidR="001D6810" w:rsidRPr="00D91DB9" w:rsidP="00B13A14" w14:paraId="401BB71F" w14:textId="77777777">
      <w:pPr>
        <w:pStyle w:val="Default"/>
        <w:keepNext/>
        <w:tabs>
          <w:tab w:val="left" w:pos="720"/>
        </w:tabs>
        <w:spacing w:before="240" w:after="240"/>
        <w:rPr>
          <w:rFonts w:ascii="Times New Roman" w:hAnsi="Times New Roman" w:cs="Times New Roman"/>
          <w:color w:val="000000"/>
          <w:sz w:val="24"/>
          <w:szCs w:val="24"/>
        </w:rPr>
      </w:pPr>
      <w:bookmarkStart w:id="100" w:name="_Hlk145532860"/>
      <w:r w:rsidRPr="00611299">
        <w:rPr>
          <w:rFonts w:ascii="Times New Roman" w:hAnsi="Times New Roman" w:cs="Times New Roman"/>
          <w:color w:val="000000"/>
          <w:sz w:val="24"/>
          <w:szCs w:val="24"/>
        </w:rPr>
        <w:t>The</w:t>
      </w:r>
      <w:r w:rsidRPr="00611299" w:rsidR="00A950B6">
        <w:rPr>
          <w:rFonts w:ascii="Times New Roman" w:hAnsi="Times New Roman" w:cs="Times New Roman"/>
          <w:color w:val="000000"/>
          <w:sz w:val="24"/>
          <w:szCs w:val="24"/>
        </w:rPr>
        <w:t xml:space="preserve"> cost to the</w:t>
      </w:r>
      <w:r w:rsidRPr="00611299" w:rsidR="00F8055F">
        <w:rPr>
          <w:rFonts w:ascii="Times New Roman" w:hAnsi="Times New Roman" w:cs="Times New Roman"/>
          <w:color w:val="000000"/>
          <w:sz w:val="24"/>
          <w:szCs w:val="24"/>
        </w:rPr>
        <w:t xml:space="preserve"> </w:t>
      </w:r>
      <w:r w:rsidRPr="00611299" w:rsidR="008A0A30">
        <w:rPr>
          <w:rFonts w:ascii="Times New Roman" w:hAnsi="Times New Roman" w:cs="Times New Roman"/>
          <w:color w:val="000000"/>
          <w:sz w:val="24"/>
          <w:szCs w:val="24"/>
        </w:rPr>
        <w:t>f</w:t>
      </w:r>
      <w:r w:rsidRPr="00611299" w:rsidR="00F8055F">
        <w:rPr>
          <w:rFonts w:ascii="Times New Roman" w:hAnsi="Times New Roman" w:cs="Times New Roman"/>
          <w:color w:val="000000"/>
          <w:sz w:val="24"/>
          <w:szCs w:val="24"/>
        </w:rPr>
        <w:t xml:space="preserve">ederal government of </w:t>
      </w:r>
      <w:r w:rsidRPr="00611299" w:rsidR="006B0362">
        <w:rPr>
          <w:rFonts w:ascii="Times New Roman" w:hAnsi="Times New Roman" w:cs="Times New Roman"/>
          <w:color w:val="000000"/>
          <w:sz w:val="24"/>
          <w:szCs w:val="24"/>
        </w:rPr>
        <w:t xml:space="preserve">the data collection </w:t>
      </w:r>
      <w:r w:rsidRPr="00611299" w:rsidR="00512D9F">
        <w:rPr>
          <w:rFonts w:ascii="Times New Roman" w:hAnsi="Times New Roman" w:cs="Times New Roman"/>
          <w:color w:val="000000"/>
          <w:sz w:val="24"/>
          <w:szCs w:val="24"/>
        </w:rPr>
        <w:t xml:space="preserve">will </w:t>
      </w:r>
      <w:r w:rsidRPr="00611299" w:rsidR="00E779AD">
        <w:rPr>
          <w:rFonts w:ascii="Times New Roman" w:hAnsi="Times New Roman" w:cs="Times New Roman"/>
          <w:color w:val="000000"/>
          <w:sz w:val="24"/>
          <w:szCs w:val="24"/>
        </w:rPr>
        <w:t xml:space="preserve">be </w:t>
      </w:r>
      <w:r w:rsidRPr="00611299" w:rsidR="00512D9F">
        <w:rPr>
          <w:rFonts w:ascii="Times New Roman" w:hAnsi="Times New Roman" w:cs="Times New Roman"/>
          <w:color w:val="000000"/>
          <w:sz w:val="24"/>
          <w:szCs w:val="24"/>
        </w:rPr>
        <w:t xml:space="preserve">the </w:t>
      </w:r>
      <w:r w:rsidRPr="00611299" w:rsidR="00E779AD">
        <w:rPr>
          <w:rFonts w:ascii="Times New Roman" w:hAnsi="Times New Roman" w:cs="Times New Roman"/>
          <w:color w:val="000000"/>
          <w:sz w:val="24"/>
          <w:szCs w:val="24"/>
        </w:rPr>
        <w:t xml:space="preserve">costs of </w:t>
      </w:r>
      <w:r w:rsidRPr="00611299" w:rsidR="004D557B">
        <w:rPr>
          <w:rFonts w:ascii="Times New Roman" w:hAnsi="Times New Roman" w:cs="Times New Roman"/>
          <w:color w:val="000000"/>
          <w:sz w:val="24"/>
          <w:szCs w:val="24"/>
        </w:rPr>
        <w:t xml:space="preserve">the </w:t>
      </w:r>
      <w:r w:rsidR="004B4540">
        <w:rPr>
          <w:rFonts w:ascii="Times New Roman" w:hAnsi="Times New Roman" w:cs="Times New Roman"/>
          <w:color w:val="000000"/>
          <w:sz w:val="24"/>
          <w:szCs w:val="24"/>
        </w:rPr>
        <w:t xml:space="preserve">Treasury portal </w:t>
      </w:r>
      <w:r w:rsidRPr="00611299" w:rsidR="004D557B">
        <w:rPr>
          <w:rFonts w:ascii="Times New Roman" w:hAnsi="Times New Roman" w:cs="Times New Roman"/>
          <w:color w:val="000000"/>
          <w:sz w:val="24"/>
          <w:szCs w:val="24"/>
        </w:rPr>
        <w:t>used to collect the data</w:t>
      </w:r>
      <w:r w:rsidR="00083AAF">
        <w:rPr>
          <w:rFonts w:ascii="Times New Roman" w:hAnsi="Times New Roman" w:cs="Times New Roman"/>
          <w:color w:val="000000"/>
          <w:sz w:val="24"/>
          <w:szCs w:val="24"/>
        </w:rPr>
        <w:t>, which FIO estimates would be approximately $25,000 for each fiscal year in use</w:t>
      </w:r>
      <w:r w:rsidR="00075772">
        <w:rPr>
          <w:rFonts w:ascii="Times New Roman" w:hAnsi="Times New Roman" w:cs="Times New Roman"/>
          <w:color w:val="000000"/>
          <w:sz w:val="24"/>
          <w:szCs w:val="24"/>
        </w:rPr>
        <w:t>.</w:t>
      </w:r>
      <w:bookmarkEnd w:id="100"/>
    </w:p>
    <w:p w:rsidR="00AF7776" w:rsidRPr="00D91DB9" w:rsidP="00A24444" w14:paraId="024D0678" w14:textId="345C454D">
      <w:pPr>
        <w:tabs>
          <w:tab w:val="left" w:pos="270"/>
        </w:tabs>
        <w:spacing w:before="240" w:after="240"/>
        <w:ind w:left="360" w:hanging="360"/>
        <w:rPr>
          <w:b/>
          <w:color w:val="000000"/>
        </w:rPr>
      </w:pPr>
      <w:r w:rsidRPr="0028274B">
        <w:rPr>
          <w:b/>
          <w:color w:val="000000"/>
        </w:rPr>
        <w:t xml:space="preserve">15. Explain the reasons for any program changes or adjustments </w:t>
      </w:r>
      <w:r w:rsidRPr="0028274B" w:rsidR="002831A7">
        <w:rPr>
          <w:b/>
          <w:color w:val="000000"/>
        </w:rPr>
        <w:t>to previously identified annual reporting and recordkeeping burden hours or cost burden.</w:t>
      </w:r>
    </w:p>
    <w:p w:rsidR="0021192D" w:rsidRPr="00611299" w:rsidP="00A24444" w14:paraId="5FFDD3C7" w14:textId="77777777">
      <w:pPr>
        <w:pStyle w:val="Default"/>
        <w:tabs>
          <w:tab w:val="left" w:pos="720"/>
        </w:tabs>
        <w:spacing w:before="240" w:after="240"/>
        <w:rPr>
          <w:rFonts w:ascii="Times New Roman" w:hAnsi="Times New Roman" w:cs="Times New Roman"/>
          <w:color w:val="000000"/>
          <w:sz w:val="24"/>
          <w:szCs w:val="24"/>
        </w:rPr>
      </w:pPr>
      <w:r w:rsidRPr="00611299">
        <w:rPr>
          <w:rFonts w:ascii="Times New Roman" w:hAnsi="Times New Roman" w:cs="Times New Roman"/>
          <w:color w:val="000000"/>
          <w:sz w:val="24"/>
          <w:szCs w:val="24"/>
        </w:rPr>
        <w:t xml:space="preserve">There are no program changes or adjustments. </w:t>
      </w:r>
      <w:r w:rsidR="000E0D0C">
        <w:rPr>
          <w:rFonts w:ascii="Times New Roman" w:hAnsi="Times New Roman" w:cs="Times New Roman"/>
          <w:color w:val="000000"/>
          <w:sz w:val="24"/>
          <w:szCs w:val="24"/>
        </w:rPr>
        <w:t xml:space="preserve"> </w:t>
      </w:r>
      <w:r w:rsidRPr="00611299">
        <w:rPr>
          <w:rFonts w:ascii="Times New Roman" w:hAnsi="Times New Roman" w:cs="Times New Roman"/>
          <w:color w:val="000000"/>
          <w:sz w:val="24"/>
          <w:szCs w:val="24"/>
        </w:rPr>
        <w:t>This is the first time that FIO is conducting this type of climate data collection.</w:t>
      </w:r>
    </w:p>
    <w:p w:rsidR="002C0A12" w:rsidRPr="0028274B" w:rsidP="00A24444" w14:paraId="27B25D40" w14:textId="52DB78EF">
      <w:pPr>
        <w:spacing w:before="240" w:after="240"/>
        <w:ind w:left="360" w:hanging="360"/>
        <w:rPr>
          <w:b/>
          <w:color w:val="000000"/>
        </w:rPr>
      </w:pPr>
      <w:r w:rsidRPr="0028274B">
        <w:rPr>
          <w:b/>
          <w:color w:val="000000"/>
        </w:rPr>
        <w:t>16. For collections whose results will be published, outline the plans for tabulation and publication.</w:t>
      </w:r>
    </w:p>
    <w:p w:rsidR="001D6810" w:rsidRPr="00611299" w:rsidP="00A24444" w14:paraId="00B03692" w14:textId="505C9FBA">
      <w:pPr>
        <w:pStyle w:val="Default"/>
        <w:tabs>
          <w:tab w:val="left" w:pos="720"/>
        </w:tabs>
        <w:spacing w:before="240" w:after="240"/>
        <w:rPr>
          <w:rFonts w:ascii="Times New Roman" w:hAnsi="Times New Roman" w:cs="Times New Roman"/>
          <w:color w:val="000000"/>
          <w:sz w:val="24"/>
          <w:szCs w:val="24"/>
        </w:rPr>
      </w:pPr>
      <w:r w:rsidRPr="00611299">
        <w:rPr>
          <w:rFonts w:ascii="Times New Roman" w:hAnsi="Times New Roman" w:cs="Times New Roman"/>
          <w:color w:val="000000"/>
          <w:sz w:val="24"/>
          <w:szCs w:val="24"/>
        </w:rPr>
        <w:t xml:space="preserve">There are no plans for publication of the </w:t>
      </w:r>
      <w:r w:rsidR="004A2AB0">
        <w:rPr>
          <w:rFonts w:ascii="Times New Roman" w:hAnsi="Times New Roman" w:cs="Times New Roman"/>
          <w:color w:val="000000"/>
          <w:sz w:val="24"/>
          <w:szCs w:val="24"/>
        </w:rPr>
        <w:t xml:space="preserve">original </w:t>
      </w:r>
      <w:r w:rsidRPr="00611299" w:rsidR="002C0A12">
        <w:rPr>
          <w:rFonts w:ascii="Times New Roman" w:hAnsi="Times New Roman" w:cs="Times New Roman"/>
          <w:color w:val="000000"/>
          <w:sz w:val="24"/>
          <w:szCs w:val="24"/>
        </w:rPr>
        <w:t>information</w:t>
      </w:r>
      <w:r w:rsidRPr="00611299">
        <w:rPr>
          <w:rFonts w:ascii="Times New Roman" w:hAnsi="Times New Roman" w:cs="Times New Roman"/>
          <w:color w:val="000000"/>
          <w:sz w:val="24"/>
          <w:szCs w:val="24"/>
        </w:rPr>
        <w:t xml:space="preserve"> </w:t>
      </w:r>
      <w:r w:rsidRPr="00611299" w:rsidR="004D557B">
        <w:rPr>
          <w:rFonts w:ascii="Times New Roman" w:hAnsi="Times New Roman" w:cs="Times New Roman"/>
          <w:color w:val="000000"/>
          <w:sz w:val="24"/>
          <w:szCs w:val="24"/>
        </w:rPr>
        <w:t xml:space="preserve">as </w:t>
      </w:r>
      <w:r w:rsidRPr="00611299">
        <w:rPr>
          <w:rFonts w:ascii="Times New Roman" w:hAnsi="Times New Roman" w:cs="Times New Roman"/>
          <w:color w:val="000000"/>
          <w:sz w:val="24"/>
          <w:szCs w:val="24"/>
        </w:rPr>
        <w:t>collected</w:t>
      </w:r>
      <w:r w:rsidRPr="00611299" w:rsidR="004D557B">
        <w:rPr>
          <w:rFonts w:ascii="Times New Roman" w:hAnsi="Times New Roman" w:cs="Times New Roman"/>
          <w:color w:val="000000"/>
          <w:sz w:val="24"/>
          <w:szCs w:val="24"/>
        </w:rPr>
        <w:t>, although the information will form the basis for report</w:t>
      </w:r>
      <w:r w:rsidRPr="00611299" w:rsidR="005940EE">
        <w:rPr>
          <w:rFonts w:ascii="Times New Roman" w:hAnsi="Times New Roman" w:cs="Times New Roman"/>
          <w:color w:val="000000"/>
          <w:sz w:val="24"/>
          <w:szCs w:val="24"/>
        </w:rPr>
        <w:t>s</w:t>
      </w:r>
      <w:r w:rsidRPr="00611299" w:rsidR="004D557B">
        <w:rPr>
          <w:rFonts w:ascii="Times New Roman" w:hAnsi="Times New Roman" w:cs="Times New Roman"/>
          <w:color w:val="000000"/>
          <w:sz w:val="24"/>
          <w:szCs w:val="24"/>
        </w:rPr>
        <w:t xml:space="preserve"> to be issued by </w:t>
      </w:r>
      <w:r w:rsidRPr="00611299" w:rsidR="007F7AD5">
        <w:rPr>
          <w:rFonts w:ascii="Times New Roman" w:hAnsi="Times New Roman" w:cs="Times New Roman"/>
          <w:color w:val="000000"/>
          <w:sz w:val="24"/>
          <w:szCs w:val="24"/>
        </w:rPr>
        <w:t xml:space="preserve">FIO. </w:t>
      </w:r>
      <w:r w:rsidR="002468B4">
        <w:rPr>
          <w:rFonts w:ascii="Times New Roman" w:hAnsi="Times New Roman" w:cs="Times New Roman"/>
          <w:color w:val="000000"/>
          <w:sz w:val="24"/>
          <w:szCs w:val="24"/>
        </w:rPr>
        <w:t xml:space="preserve"> </w:t>
      </w:r>
      <w:bookmarkStart w:id="101" w:name="_Hlk148605470"/>
      <w:r w:rsidR="002468B4">
        <w:rPr>
          <w:rFonts w:ascii="Times New Roman" w:hAnsi="Times New Roman" w:cs="Times New Roman"/>
          <w:color w:val="000000"/>
          <w:sz w:val="24"/>
          <w:szCs w:val="24"/>
        </w:rPr>
        <w:t xml:space="preserve">FIO may </w:t>
      </w:r>
      <w:r w:rsidR="00FC0839">
        <w:rPr>
          <w:rFonts w:ascii="Times New Roman" w:hAnsi="Times New Roman" w:cs="Times New Roman"/>
          <w:color w:val="000000"/>
          <w:sz w:val="24"/>
          <w:szCs w:val="24"/>
        </w:rPr>
        <w:t xml:space="preserve">publish certain </w:t>
      </w:r>
      <w:r w:rsidR="002468B4">
        <w:rPr>
          <w:rFonts w:ascii="Times New Roman" w:hAnsi="Times New Roman" w:cs="Times New Roman"/>
          <w:color w:val="000000"/>
          <w:sz w:val="24"/>
          <w:szCs w:val="24"/>
        </w:rPr>
        <w:t>anonymized</w:t>
      </w:r>
      <w:bookmarkEnd w:id="101"/>
      <w:r w:rsidR="002A08D1">
        <w:rPr>
          <w:rFonts w:ascii="Times New Roman" w:hAnsi="Times New Roman" w:cs="Times New Roman"/>
          <w:color w:val="000000"/>
          <w:sz w:val="24"/>
          <w:szCs w:val="24"/>
        </w:rPr>
        <w:t xml:space="preserve"> data</w:t>
      </w:r>
      <w:r w:rsidR="002468B4">
        <w:rPr>
          <w:rFonts w:ascii="Times New Roman" w:hAnsi="Times New Roman" w:cs="Times New Roman"/>
          <w:color w:val="000000"/>
          <w:sz w:val="24"/>
          <w:szCs w:val="24"/>
        </w:rPr>
        <w:t xml:space="preserve">, aggregated </w:t>
      </w:r>
      <w:r w:rsidR="002A08D1">
        <w:rPr>
          <w:rFonts w:ascii="Times New Roman" w:hAnsi="Times New Roman" w:cs="Times New Roman"/>
          <w:color w:val="000000"/>
          <w:sz w:val="24"/>
          <w:szCs w:val="24"/>
        </w:rPr>
        <w:t>across insurance groups</w:t>
      </w:r>
      <w:r w:rsidR="002468B4">
        <w:rPr>
          <w:rFonts w:ascii="Times New Roman" w:hAnsi="Times New Roman" w:cs="Times New Roman"/>
          <w:color w:val="000000"/>
          <w:sz w:val="24"/>
          <w:szCs w:val="24"/>
        </w:rPr>
        <w:t xml:space="preserve"> at the ZIP Code</w:t>
      </w:r>
      <w:r w:rsidR="00C92FC0">
        <w:rPr>
          <w:rFonts w:ascii="Times New Roman" w:hAnsi="Times New Roman" w:cs="Times New Roman"/>
          <w:color w:val="000000"/>
          <w:sz w:val="24"/>
          <w:szCs w:val="24"/>
        </w:rPr>
        <w:t xml:space="preserve"> </w:t>
      </w:r>
      <w:r w:rsidR="002468B4">
        <w:rPr>
          <w:rFonts w:ascii="Times New Roman" w:hAnsi="Times New Roman" w:cs="Times New Roman"/>
          <w:color w:val="000000"/>
          <w:sz w:val="24"/>
          <w:szCs w:val="24"/>
        </w:rPr>
        <w:t>level</w:t>
      </w:r>
      <w:r w:rsidR="008A5BCD">
        <w:rPr>
          <w:rFonts w:ascii="Times New Roman" w:hAnsi="Times New Roman" w:cs="Times New Roman"/>
          <w:color w:val="000000"/>
          <w:sz w:val="24"/>
          <w:szCs w:val="24"/>
        </w:rPr>
        <w:t xml:space="preserve"> </w:t>
      </w:r>
      <w:r w:rsidR="00D20DF4">
        <w:rPr>
          <w:rFonts w:ascii="Times New Roman" w:hAnsi="Times New Roman" w:cs="Times New Roman"/>
          <w:color w:val="000000"/>
          <w:sz w:val="24"/>
          <w:szCs w:val="24"/>
        </w:rPr>
        <w:t xml:space="preserve">to the extent it would </w:t>
      </w:r>
      <w:r w:rsidR="008A5BCD">
        <w:rPr>
          <w:rFonts w:ascii="Times New Roman" w:hAnsi="Times New Roman" w:cs="Times New Roman"/>
          <w:color w:val="000000"/>
          <w:sz w:val="24"/>
          <w:szCs w:val="24"/>
        </w:rPr>
        <w:t xml:space="preserve">comply with the </w:t>
      </w:r>
      <w:r w:rsidR="00D20DF4">
        <w:rPr>
          <w:rFonts w:ascii="Times New Roman" w:hAnsi="Times New Roman" w:cs="Times New Roman"/>
          <w:color w:val="000000"/>
          <w:sz w:val="24"/>
          <w:szCs w:val="24"/>
        </w:rPr>
        <w:t xml:space="preserve">FIO Act’s </w:t>
      </w:r>
      <w:r w:rsidR="008A5BCD">
        <w:rPr>
          <w:rFonts w:ascii="Times New Roman" w:hAnsi="Times New Roman" w:cs="Times New Roman"/>
          <w:color w:val="000000"/>
          <w:sz w:val="24"/>
          <w:szCs w:val="24"/>
        </w:rPr>
        <w:t>confidential</w:t>
      </w:r>
      <w:r w:rsidR="00D20DF4">
        <w:rPr>
          <w:rFonts w:ascii="Times New Roman" w:hAnsi="Times New Roman" w:cs="Times New Roman"/>
          <w:color w:val="000000"/>
          <w:sz w:val="24"/>
          <w:szCs w:val="24"/>
        </w:rPr>
        <w:t>ity</w:t>
      </w:r>
      <w:r w:rsidR="008A5BCD">
        <w:rPr>
          <w:rFonts w:ascii="Times New Roman" w:hAnsi="Times New Roman" w:cs="Times New Roman"/>
          <w:color w:val="000000"/>
          <w:sz w:val="24"/>
          <w:szCs w:val="24"/>
        </w:rPr>
        <w:t xml:space="preserve"> provisions.</w:t>
      </w:r>
    </w:p>
    <w:p w:rsidR="001D6810" w:rsidRPr="00D91DB9" w:rsidP="00A24444" w14:paraId="032A3C1C" w14:textId="77777777">
      <w:pPr>
        <w:spacing w:before="240" w:after="240"/>
        <w:ind w:left="360" w:hanging="360"/>
        <w:rPr>
          <w:b/>
          <w:color w:val="000000"/>
        </w:rPr>
      </w:pPr>
      <w:r w:rsidRPr="0028274B">
        <w:rPr>
          <w:b/>
          <w:color w:val="000000"/>
        </w:rPr>
        <w:t>17.  If seeking approval to not display the expiration date for OMB approval of the information collection, explain the reasons why display would be inappropriate.</w:t>
      </w:r>
    </w:p>
    <w:p w:rsidR="00027F8F" w:rsidRPr="00611299" w:rsidP="00A24444" w14:paraId="0650B314" w14:textId="77777777">
      <w:pPr>
        <w:pStyle w:val="Default"/>
        <w:tabs>
          <w:tab w:val="left" w:pos="720"/>
        </w:tabs>
        <w:spacing w:before="240" w:after="240"/>
        <w:rPr>
          <w:rFonts w:ascii="Times New Roman" w:hAnsi="Times New Roman" w:cs="Times New Roman"/>
          <w:color w:val="000000"/>
          <w:sz w:val="24"/>
          <w:szCs w:val="24"/>
        </w:rPr>
      </w:pPr>
      <w:r w:rsidRPr="00611299">
        <w:rPr>
          <w:rFonts w:ascii="Times New Roman" w:hAnsi="Times New Roman" w:cs="Times New Roman"/>
          <w:color w:val="000000"/>
          <w:sz w:val="24"/>
          <w:szCs w:val="24"/>
        </w:rPr>
        <w:t>FIO</w:t>
      </w:r>
      <w:r w:rsidRPr="00611299" w:rsidR="00BD6029">
        <w:rPr>
          <w:rFonts w:ascii="Times New Roman" w:hAnsi="Times New Roman" w:cs="Times New Roman"/>
          <w:color w:val="000000"/>
          <w:sz w:val="24"/>
          <w:szCs w:val="24"/>
        </w:rPr>
        <w:t xml:space="preserve"> </w:t>
      </w:r>
      <w:r w:rsidRPr="00611299">
        <w:rPr>
          <w:rFonts w:ascii="Times New Roman" w:hAnsi="Times New Roman" w:cs="Times New Roman"/>
          <w:color w:val="000000"/>
          <w:sz w:val="24"/>
          <w:szCs w:val="24"/>
        </w:rPr>
        <w:t xml:space="preserve">will </w:t>
      </w:r>
      <w:r w:rsidRPr="00611299" w:rsidR="002C0A12">
        <w:rPr>
          <w:rFonts w:ascii="Times New Roman" w:hAnsi="Times New Roman" w:cs="Times New Roman"/>
          <w:color w:val="000000"/>
          <w:sz w:val="24"/>
          <w:szCs w:val="24"/>
        </w:rPr>
        <w:t xml:space="preserve">display the expiration date of OMB approval for this </w:t>
      </w:r>
      <w:r w:rsidRPr="00611299">
        <w:rPr>
          <w:rFonts w:ascii="Times New Roman" w:hAnsi="Times New Roman" w:cs="Times New Roman"/>
          <w:color w:val="000000"/>
          <w:sz w:val="24"/>
          <w:szCs w:val="24"/>
        </w:rPr>
        <w:t>collection.</w:t>
      </w:r>
    </w:p>
    <w:p w:rsidR="00D470EC" w:rsidRPr="00D91DB9" w:rsidP="00A24444" w14:paraId="60F2A804" w14:textId="77777777">
      <w:pPr>
        <w:spacing w:before="240" w:after="240"/>
        <w:rPr>
          <w:b/>
          <w:color w:val="000000"/>
        </w:rPr>
      </w:pPr>
      <w:r w:rsidRPr="0028274B">
        <w:rPr>
          <w:b/>
          <w:color w:val="000000"/>
        </w:rPr>
        <w:t xml:space="preserve">18.  Explain each exception to the certification </w:t>
      </w:r>
      <w:r w:rsidRPr="0028274B" w:rsidR="00B22CFD">
        <w:rPr>
          <w:b/>
          <w:color w:val="000000"/>
        </w:rPr>
        <w:t xml:space="preserve">of compliance with </w:t>
      </w:r>
      <w:r w:rsidRPr="0028274B" w:rsidR="005D02EE">
        <w:rPr>
          <w:b/>
          <w:color w:val="000000"/>
        </w:rPr>
        <w:t>5 CFR 1320.9</w:t>
      </w:r>
      <w:r w:rsidRPr="0028274B" w:rsidR="00B22CFD">
        <w:rPr>
          <w:b/>
          <w:color w:val="000000"/>
        </w:rPr>
        <w:t xml:space="preserve"> statement.</w:t>
      </w:r>
    </w:p>
    <w:p w:rsidR="001E4212" w:rsidRPr="00611299" w:rsidP="00A24444" w14:paraId="58249749" w14:textId="77777777">
      <w:pPr>
        <w:pStyle w:val="Default"/>
        <w:tabs>
          <w:tab w:val="left" w:pos="360"/>
        </w:tabs>
        <w:spacing w:before="240" w:after="240"/>
        <w:rPr>
          <w:rFonts w:ascii="Times New Roman" w:hAnsi="Times New Roman" w:cs="Times New Roman"/>
          <w:color w:val="000000"/>
          <w:sz w:val="24"/>
          <w:szCs w:val="24"/>
        </w:rPr>
      </w:pPr>
      <w:r w:rsidRPr="00611299">
        <w:rPr>
          <w:rFonts w:ascii="Times New Roman" w:hAnsi="Times New Roman" w:cs="Times New Roman"/>
          <w:color w:val="000000"/>
          <w:sz w:val="24"/>
          <w:szCs w:val="24"/>
        </w:rPr>
        <w:t>There are no exceptions to the certification statement.</w:t>
      </w:r>
    </w:p>
    <w:p w:rsidR="001B5960" w:rsidRPr="00D91DB9" w:rsidP="00080A91" w14:paraId="0ECCB998" w14:textId="77777777">
      <w:pPr>
        <w:pStyle w:val="Default"/>
        <w:widowControl w:val="0"/>
        <w:spacing w:before="240" w:after="240"/>
        <w:rPr>
          <w:rFonts w:ascii="Times New Roman" w:hAnsi="Times New Roman" w:cs="Times New Roman"/>
          <w:b/>
          <w:color w:val="000000"/>
          <w:sz w:val="24"/>
          <w:szCs w:val="24"/>
          <w:u w:val="single"/>
        </w:rPr>
      </w:pPr>
      <w:r w:rsidRPr="00611299">
        <w:rPr>
          <w:rFonts w:ascii="Times New Roman" w:hAnsi="Times New Roman" w:cs="Times New Roman"/>
          <w:b/>
          <w:color w:val="000000"/>
          <w:sz w:val="24"/>
          <w:szCs w:val="24"/>
        </w:rPr>
        <w:t>Part B</w:t>
      </w:r>
      <w:r w:rsidRPr="00611299" w:rsidR="001D6810">
        <w:rPr>
          <w:rFonts w:ascii="Times New Roman" w:hAnsi="Times New Roman" w:cs="Times New Roman"/>
          <w:b/>
          <w:color w:val="000000"/>
          <w:sz w:val="24"/>
          <w:szCs w:val="24"/>
        </w:rPr>
        <w:t xml:space="preserve">.  </w:t>
      </w:r>
      <w:r w:rsidRPr="00611299" w:rsidR="001D6810">
        <w:rPr>
          <w:rFonts w:ascii="Times New Roman" w:hAnsi="Times New Roman" w:cs="Times New Roman"/>
          <w:b/>
          <w:color w:val="000000"/>
          <w:sz w:val="24"/>
          <w:szCs w:val="24"/>
          <w:u w:val="single"/>
        </w:rPr>
        <w:t xml:space="preserve">Describe </w:t>
      </w:r>
      <w:r w:rsidRPr="00611299" w:rsidR="00B22CFD">
        <w:rPr>
          <w:rFonts w:ascii="Times New Roman" w:hAnsi="Times New Roman" w:cs="Times New Roman"/>
          <w:b/>
          <w:color w:val="000000"/>
          <w:sz w:val="24"/>
          <w:szCs w:val="24"/>
          <w:u w:val="single"/>
        </w:rPr>
        <w:t>the use of statistical methods such as sampling or imputation.</w:t>
      </w:r>
    </w:p>
    <w:p w:rsidR="005B748B" w:rsidP="00080A91" w14:paraId="5EF8A92D" w14:textId="77777777">
      <w:pPr>
        <w:widowControl w:val="0"/>
        <w:tabs>
          <w:tab w:val="left" w:pos="360"/>
          <w:tab w:val="left" w:pos="720"/>
        </w:tabs>
        <w:spacing w:before="240" w:after="240"/>
        <w:ind w:left="360" w:hanging="360"/>
        <w:rPr>
          <w:color w:val="000000"/>
        </w:rPr>
      </w:pPr>
      <w:r w:rsidRPr="00FB4731">
        <w:rPr>
          <w:b/>
        </w:rPr>
        <w:t>1.</w:t>
      </w:r>
      <w:r w:rsidR="005770BA">
        <w:rPr>
          <w:b/>
        </w:rPr>
        <w:tab/>
      </w:r>
      <w:r w:rsidRPr="00FB4731">
        <w:rPr>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613E6" w:rsidRPr="0092140A" w:rsidP="00185EEB" w14:paraId="2BCF9281" w14:textId="49E961A2">
      <w:pPr>
        <w:widowControl w:val="0"/>
        <w:tabs>
          <w:tab w:val="left" w:pos="0"/>
          <w:tab w:val="left" w:pos="720"/>
        </w:tabs>
        <w:spacing w:before="240"/>
        <w:rPr>
          <w:color w:val="000000"/>
        </w:rPr>
      </w:pPr>
      <w:bookmarkStart w:id="102" w:name="_Hlk145513399"/>
      <w:r>
        <w:rPr>
          <w:color w:val="000000"/>
        </w:rPr>
        <w:t xml:space="preserve">This will be the first such data collection by FIO.  For this data collection, the potential respondent universe will be the Representative Sample Insurers, each of which has </w:t>
      </w:r>
      <w:r w:rsidR="000B6928">
        <w:rPr>
          <w:color w:val="000000"/>
        </w:rPr>
        <w:t>1</w:t>
      </w:r>
      <w:r>
        <w:rPr>
          <w:color w:val="000000"/>
        </w:rPr>
        <w:t xml:space="preserve"> percent or more of the U.S. homeowners insurance market.  These top </w:t>
      </w:r>
      <w:r w:rsidRPr="0023140C">
        <w:rPr>
          <w:color w:val="000000"/>
        </w:rPr>
        <w:t>14</w:t>
      </w:r>
      <w:r>
        <w:rPr>
          <w:color w:val="000000"/>
        </w:rPr>
        <w:t xml:space="preserve"> homeowners insurance groups, as </w:t>
      </w:r>
      <w:r w:rsidRPr="005A5EB8">
        <w:rPr>
          <w:color w:val="000000"/>
        </w:rPr>
        <w:t>ranked by aggregate homeowners insurance premiums written in 20</w:t>
      </w:r>
      <w:r>
        <w:rPr>
          <w:color w:val="000000"/>
        </w:rPr>
        <w:t xml:space="preserve">22 (out of the 195 homeowners insurance groups operating in the United States), </w:t>
      </w:r>
      <w:bookmarkStart w:id="103" w:name="_Hlk148605486"/>
      <w:r>
        <w:rPr>
          <w:color w:val="000000"/>
        </w:rPr>
        <w:t xml:space="preserve">collectively </w:t>
      </w:r>
      <w:r w:rsidR="00176F71">
        <w:rPr>
          <w:color w:val="000000"/>
        </w:rPr>
        <w:t xml:space="preserve">underwrite </w:t>
      </w:r>
      <w:r w:rsidR="00E1543B">
        <w:rPr>
          <w:color w:val="000000"/>
        </w:rPr>
        <w:t>about</w:t>
      </w:r>
      <w:r>
        <w:rPr>
          <w:color w:val="000000"/>
        </w:rPr>
        <w:t xml:space="preserve"> </w:t>
      </w:r>
      <w:r w:rsidRPr="000E6E23">
        <w:rPr>
          <w:color w:val="000000"/>
        </w:rPr>
        <w:t>70</w:t>
      </w:r>
      <w:r w:rsidRPr="00F1351E">
        <w:rPr>
          <w:color w:val="000000"/>
        </w:rPr>
        <w:t xml:space="preserve"> percent</w:t>
      </w:r>
      <w:r>
        <w:rPr>
          <w:color w:val="000000"/>
        </w:rPr>
        <w:t xml:space="preserve"> of the direct homeowners insurance premiums written in the 50 states, DC, and the territories</w:t>
      </w:r>
      <w:r w:rsidR="004C6362">
        <w:rPr>
          <w:color w:val="000000"/>
        </w:rPr>
        <w:t>, based on 2022 financial statements</w:t>
      </w:r>
      <w:bookmarkEnd w:id="103"/>
      <w:r>
        <w:rPr>
          <w:color w:val="000000"/>
        </w:rPr>
        <w:t xml:space="preserve">.  The Representative Sample Insurers have 240 homeowners insurance entities within their groups; these entities are domiciled in </w:t>
      </w:r>
      <w:r w:rsidR="004A357C">
        <w:rPr>
          <w:color w:val="000000"/>
        </w:rPr>
        <w:t>29</w:t>
      </w:r>
      <w:r>
        <w:rPr>
          <w:color w:val="000000"/>
        </w:rPr>
        <w:t xml:space="preserve"> different states and operate in many others.</w:t>
      </w:r>
    </w:p>
    <w:p w:rsidR="00B13A14" w:rsidP="00B13A14" w14:paraId="45D8D64D" w14:textId="4ACA8FEE">
      <w:pPr>
        <w:tabs>
          <w:tab w:val="left" w:pos="0"/>
          <w:tab w:val="left" w:pos="720"/>
        </w:tabs>
        <w:spacing w:before="240" w:after="240"/>
        <w:rPr>
          <w:color w:val="000000"/>
        </w:rPr>
      </w:pPr>
      <w:bookmarkStart w:id="104" w:name="_Hlk148605522"/>
      <w:bookmarkEnd w:id="102"/>
      <w:r>
        <w:rPr>
          <w:color w:val="000000"/>
        </w:rPr>
        <w:t xml:space="preserve">In the future, </w:t>
      </w:r>
      <w:r>
        <w:rPr>
          <w:color w:val="000000"/>
        </w:rPr>
        <w:t>FIO may consider</w:t>
      </w:r>
      <w:r>
        <w:rPr>
          <w:color w:val="000000"/>
        </w:rPr>
        <w:t xml:space="preserve"> the potential benefits of</w:t>
      </w:r>
      <w:r>
        <w:rPr>
          <w:color w:val="000000"/>
        </w:rPr>
        <w:t xml:space="preserve"> expanding </w:t>
      </w:r>
      <w:bookmarkEnd w:id="104"/>
      <w:r>
        <w:rPr>
          <w:color w:val="000000"/>
        </w:rPr>
        <w:t xml:space="preserve">the number of insurance groups included in any future data collection and expand the number of </w:t>
      </w:r>
      <w:bookmarkStart w:id="105" w:name="_Hlk148605528"/>
      <w:r>
        <w:rPr>
          <w:color w:val="000000"/>
        </w:rPr>
        <w:t xml:space="preserve">homeowners </w:t>
      </w:r>
      <w:bookmarkEnd w:id="105"/>
      <w:r>
        <w:rPr>
          <w:color w:val="000000"/>
        </w:rPr>
        <w:t>insurance policy forms or lines of business covered by the data collection.  As a result, the p</w:t>
      </w:r>
      <w:r w:rsidRPr="0059557B">
        <w:rPr>
          <w:color w:val="000000"/>
        </w:rPr>
        <w:t xml:space="preserve">otential respondent universe, sampling/respondent selection methods, and expected response rates </w:t>
      </w:r>
      <w:r>
        <w:rPr>
          <w:color w:val="000000"/>
        </w:rPr>
        <w:t xml:space="preserve">may </w:t>
      </w:r>
      <w:r w:rsidRPr="0059557B">
        <w:rPr>
          <w:color w:val="000000"/>
        </w:rPr>
        <w:t xml:space="preserve">vary </w:t>
      </w:r>
      <w:r>
        <w:rPr>
          <w:color w:val="000000"/>
        </w:rPr>
        <w:t>in future data collections.</w:t>
      </w:r>
    </w:p>
    <w:p w:rsidR="00B13A14" w:rsidP="00B13A14" w14:paraId="2AA21094" w14:textId="17B924F9">
      <w:pPr>
        <w:tabs>
          <w:tab w:val="left" w:pos="0"/>
          <w:tab w:val="left" w:pos="720"/>
        </w:tabs>
        <w:spacing w:before="240" w:after="240"/>
        <w:rPr>
          <w:color w:val="000000"/>
        </w:rPr>
      </w:pPr>
      <w:bookmarkStart w:id="106" w:name="_Hlk148605550"/>
      <w:r>
        <w:rPr>
          <w:color w:val="000000"/>
        </w:rPr>
        <w:t xml:space="preserve">The FIO Act provides FIO with the legal authority to collect data from insurers </w:t>
      </w:r>
      <w:r w:rsidR="006D3728">
        <w:rPr>
          <w:color w:val="000000"/>
        </w:rPr>
        <w:t xml:space="preserve">and, thus, FIO expects a response rate of 100 percent.  In addition, FIO believes that its focus on the largest </w:t>
      </w:r>
      <w:r w:rsidR="006D3728">
        <w:rPr>
          <w:color w:val="000000"/>
        </w:rPr>
        <w:t>homeowners insurance groups makes this response rate projection more likely.  If necessary, the FIO Act (</w:t>
      </w:r>
      <w:r w:rsidRPr="00242016" w:rsidR="006D3728">
        <w:t>31 U.S.C. § 313(e)(6)</w:t>
      </w:r>
      <w:r w:rsidR="006D3728">
        <w:t>)</w:t>
      </w:r>
      <w:r w:rsidR="006D3728">
        <w:rPr>
          <w:color w:val="000000"/>
        </w:rPr>
        <w:t xml:space="preserve"> </w:t>
      </w:r>
      <w:r>
        <w:rPr>
          <w:color w:val="000000"/>
        </w:rPr>
        <w:t xml:space="preserve">authorizes </w:t>
      </w:r>
      <w:r w:rsidR="006D3728">
        <w:rPr>
          <w:color w:val="000000"/>
        </w:rPr>
        <w:t>FIO to use subpoenas to require the production of data by insurers.</w:t>
      </w:r>
    </w:p>
    <w:bookmarkEnd w:id="106"/>
    <w:p w:rsidR="00B13A14" w:rsidRPr="00913069" w:rsidP="00B13A14" w14:paraId="2662D7FB" w14:textId="77777777">
      <w:pPr>
        <w:keepNext/>
        <w:spacing w:before="120" w:after="120"/>
        <w:rPr>
          <w:b/>
          <w:noProof/>
          <w:color w:val="000000"/>
          <w:szCs w:val="20"/>
        </w:rPr>
      </w:pPr>
      <w:r w:rsidRPr="00913069">
        <w:rPr>
          <w:b/>
          <w:noProof/>
          <w:color w:val="000000"/>
          <w:szCs w:val="20"/>
        </w:rPr>
        <w:t>2. Describe the procedures for the collection of information including:</w:t>
      </w:r>
    </w:p>
    <w:p w:rsidR="00913069" w:rsidRPr="00913069" w:rsidP="00A24444" w14:paraId="39048656" w14:textId="77777777">
      <w:pPr>
        <w:keepNext/>
        <w:numPr>
          <w:ilvl w:val="0"/>
          <w:numId w:val="30"/>
        </w:numPr>
        <w:spacing w:before="120" w:after="120"/>
        <w:rPr>
          <w:b/>
          <w:noProof/>
          <w:color w:val="000000"/>
          <w:szCs w:val="20"/>
        </w:rPr>
      </w:pPr>
      <w:r w:rsidRPr="00913069">
        <w:rPr>
          <w:b/>
          <w:noProof/>
          <w:color w:val="000000"/>
          <w:szCs w:val="20"/>
        </w:rPr>
        <w:t>Statistical methodology for stratification and sample selection,</w:t>
      </w:r>
    </w:p>
    <w:p w:rsidR="00913069" w:rsidRPr="00913069" w:rsidP="00A24444" w14:paraId="7DA25606" w14:textId="77777777">
      <w:pPr>
        <w:keepNext/>
        <w:numPr>
          <w:ilvl w:val="0"/>
          <w:numId w:val="30"/>
        </w:numPr>
        <w:spacing w:before="120" w:after="120"/>
        <w:rPr>
          <w:b/>
          <w:noProof/>
          <w:color w:val="000000"/>
          <w:szCs w:val="20"/>
        </w:rPr>
      </w:pPr>
      <w:r w:rsidRPr="00913069">
        <w:rPr>
          <w:b/>
          <w:noProof/>
          <w:color w:val="000000"/>
          <w:szCs w:val="20"/>
        </w:rPr>
        <w:t>Estimation procedure,</w:t>
      </w:r>
    </w:p>
    <w:p w:rsidR="00913069" w:rsidRPr="00913069" w:rsidP="00A24444" w14:paraId="57CB1AA4" w14:textId="77777777">
      <w:pPr>
        <w:keepNext/>
        <w:numPr>
          <w:ilvl w:val="0"/>
          <w:numId w:val="30"/>
        </w:numPr>
        <w:spacing w:before="120" w:after="120"/>
        <w:rPr>
          <w:b/>
          <w:noProof/>
          <w:color w:val="000000"/>
          <w:szCs w:val="20"/>
        </w:rPr>
      </w:pPr>
      <w:r w:rsidRPr="00913069">
        <w:rPr>
          <w:b/>
          <w:noProof/>
          <w:color w:val="000000"/>
          <w:szCs w:val="20"/>
        </w:rPr>
        <w:t>Degree of accuracy needed for the purpose described in the justification,</w:t>
      </w:r>
    </w:p>
    <w:p w:rsidR="00913069" w:rsidRPr="00913069" w:rsidP="00A24444" w14:paraId="25C9E62A" w14:textId="77777777">
      <w:pPr>
        <w:keepNext/>
        <w:numPr>
          <w:ilvl w:val="0"/>
          <w:numId w:val="30"/>
        </w:numPr>
        <w:spacing w:before="120" w:after="120"/>
        <w:rPr>
          <w:b/>
          <w:noProof/>
          <w:color w:val="000000"/>
          <w:szCs w:val="20"/>
        </w:rPr>
      </w:pPr>
      <w:r w:rsidRPr="00913069">
        <w:rPr>
          <w:b/>
          <w:noProof/>
          <w:color w:val="000000"/>
          <w:szCs w:val="20"/>
        </w:rPr>
        <w:t>Unusual problems requiring specialized sampling procedures, and</w:t>
      </w:r>
    </w:p>
    <w:p w:rsidR="00913069" w:rsidRPr="00D91DB9" w:rsidP="00A24444" w14:paraId="4D8F91E7" w14:textId="77777777">
      <w:pPr>
        <w:keepNext/>
        <w:numPr>
          <w:ilvl w:val="0"/>
          <w:numId w:val="30"/>
        </w:numPr>
        <w:spacing w:before="120" w:after="120"/>
        <w:rPr>
          <w:b/>
          <w:color w:val="000000"/>
          <w:szCs w:val="20"/>
        </w:rPr>
      </w:pPr>
      <w:r w:rsidRPr="00913069">
        <w:rPr>
          <w:b/>
          <w:noProof/>
          <w:color w:val="000000"/>
          <w:szCs w:val="20"/>
        </w:rPr>
        <w:t>Any use of periodic (less frequently than annual) data collection cycles to reduce burden.</w:t>
      </w:r>
    </w:p>
    <w:p w:rsidR="006D3728" w:rsidP="00185EEB" w14:paraId="7F048A4A" w14:textId="6EBEAAE1">
      <w:pPr>
        <w:pStyle w:val="Default"/>
        <w:tabs>
          <w:tab w:val="left" w:pos="720"/>
        </w:tabs>
        <w:spacing w:before="240" w:after="240"/>
        <w:rPr>
          <w:color w:val="000000"/>
        </w:rPr>
      </w:pPr>
      <w:r w:rsidRPr="004D7F5A">
        <w:rPr>
          <w:rFonts w:ascii="Times New Roman" w:hAnsi="Times New Roman" w:cs="Times New Roman"/>
          <w:color w:val="000000"/>
          <w:sz w:val="24"/>
          <w:szCs w:val="24"/>
        </w:rPr>
        <w:t xml:space="preserve">FIO will electronically disseminate the Data Collection Form to the </w:t>
      </w:r>
      <w:r w:rsidRPr="008D16C5" w:rsidR="002F5496">
        <w:rPr>
          <w:rFonts w:ascii="Times New Roman" w:hAnsi="Times New Roman" w:cs="Times New Roman"/>
          <w:color w:val="000000"/>
          <w:sz w:val="24"/>
          <w:szCs w:val="24"/>
        </w:rPr>
        <w:t>14</w:t>
      </w:r>
      <w:r w:rsidRPr="004D7F5A">
        <w:rPr>
          <w:rFonts w:ascii="Times New Roman" w:hAnsi="Times New Roman" w:cs="Times New Roman"/>
          <w:color w:val="000000"/>
          <w:sz w:val="24"/>
          <w:szCs w:val="24"/>
        </w:rPr>
        <w:t xml:space="preserve"> </w:t>
      </w:r>
      <w:r w:rsidR="008D16C5">
        <w:rPr>
          <w:rFonts w:ascii="Times New Roman" w:hAnsi="Times New Roman" w:cs="Times New Roman"/>
          <w:color w:val="000000"/>
          <w:sz w:val="24"/>
          <w:szCs w:val="24"/>
        </w:rPr>
        <w:t xml:space="preserve">Representative Sample Insurers </w:t>
      </w:r>
      <w:r w:rsidRPr="004D7F5A">
        <w:rPr>
          <w:rFonts w:ascii="Times New Roman" w:hAnsi="Times New Roman" w:cs="Times New Roman"/>
          <w:color w:val="000000"/>
          <w:sz w:val="24"/>
          <w:szCs w:val="24"/>
        </w:rPr>
        <w:t>and post copies of the Data Collection Form on FIO’s website.</w:t>
      </w:r>
      <w:r w:rsidR="004D7F5A">
        <w:rPr>
          <w:rFonts w:ascii="Times New Roman" w:hAnsi="Times New Roman" w:cs="Times New Roman"/>
          <w:color w:val="000000"/>
          <w:sz w:val="24"/>
          <w:szCs w:val="24"/>
        </w:rPr>
        <w:t xml:space="preserve">  </w:t>
      </w:r>
      <w:r w:rsidR="008D16C5">
        <w:rPr>
          <w:rFonts w:ascii="Times New Roman" w:hAnsi="Times New Roman" w:cs="Times New Roman"/>
          <w:color w:val="000000"/>
          <w:sz w:val="24"/>
          <w:szCs w:val="24"/>
        </w:rPr>
        <w:t>FIO anticipates that t</w:t>
      </w:r>
      <w:r w:rsidR="004D7F5A">
        <w:rPr>
          <w:rFonts w:ascii="Times New Roman" w:hAnsi="Times New Roman" w:cs="Times New Roman"/>
          <w:color w:val="000000"/>
          <w:sz w:val="24"/>
          <w:szCs w:val="24"/>
        </w:rPr>
        <w:t xml:space="preserve">he </w:t>
      </w:r>
      <w:r w:rsidR="008D16C5">
        <w:rPr>
          <w:rFonts w:ascii="Times New Roman" w:hAnsi="Times New Roman" w:cs="Times New Roman"/>
          <w:color w:val="000000"/>
          <w:sz w:val="24"/>
          <w:szCs w:val="24"/>
        </w:rPr>
        <w:t>Representative Sample Insurers</w:t>
      </w:r>
      <w:r w:rsidR="004D7F5A">
        <w:rPr>
          <w:rFonts w:ascii="Times New Roman" w:hAnsi="Times New Roman" w:cs="Times New Roman"/>
          <w:color w:val="000000"/>
          <w:sz w:val="24"/>
          <w:szCs w:val="24"/>
        </w:rPr>
        <w:t xml:space="preserve"> </w:t>
      </w:r>
      <w:r w:rsidRPr="004D7F5A" w:rsidR="008D16C5">
        <w:rPr>
          <w:rFonts w:ascii="Times New Roman" w:hAnsi="Times New Roman" w:cs="Times New Roman"/>
          <w:color w:val="000000"/>
          <w:sz w:val="24"/>
          <w:szCs w:val="24"/>
        </w:rPr>
        <w:t xml:space="preserve">will largely generate responses electronically by querying their data management systems for the requested data. </w:t>
      </w:r>
      <w:r w:rsidR="008D16C5">
        <w:rPr>
          <w:rFonts w:ascii="Times New Roman" w:hAnsi="Times New Roman" w:cs="Times New Roman"/>
          <w:color w:val="000000"/>
          <w:sz w:val="24"/>
          <w:szCs w:val="24"/>
        </w:rPr>
        <w:t xml:space="preserve"> FIO will </w:t>
      </w:r>
      <w:r w:rsidR="000467EA">
        <w:rPr>
          <w:rFonts w:ascii="Times New Roman" w:hAnsi="Times New Roman" w:cs="Times New Roman"/>
          <w:color w:val="000000"/>
          <w:sz w:val="24"/>
          <w:szCs w:val="24"/>
        </w:rPr>
        <w:t>a</w:t>
      </w:r>
      <w:r w:rsidR="008D16C5">
        <w:rPr>
          <w:rFonts w:ascii="Times New Roman" w:hAnsi="Times New Roman" w:cs="Times New Roman"/>
          <w:color w:val="000000"/>
          <w:sz w:val="24"/>
          <w:szCs w:val="24"/>
        </w:rPr>
        <w:t xml:space="preserve">sk the Representative Sample Insurers to submit their responses as </w:t>
      </w:r>
      <w:r w:rsidRPr="004D7F5A" w:rsidR="008D16C5">
        <w:rPr>
          <w:rFonts w:ascii="Times New Roman" w:hAnsi="Times New Roman" w:cs="Times New Roman"/>
          <w:color w:val="000000"/>
          <w:sz w:val="24"/>
          <w:szCs w:val="24"/>
        </w:rPr>
        <w:t>Excel files</w:t>
      </w:r>
      <w:r w:rsidR="000467EA">
        <w:rPr>
          <w:rFonts w:ascii="Times New Roman" w:hAnsi="Times New Roman" w:cs="Times New Roman"/>
          <w:color w:val="000000"/>
          <w:sz w:val="24"/>
          <w:szCs w:val="24"/>
        </w:rPr>
        <w:t>,</w:t>
      </w:r>
      <w:r w:rsidRPr="004D7F5A" w:rsidR="008D16C5">
        <w:rPr>
          <w:rFonts w:ascii="Times New Roman" w:hAnsi="Times New Roman" w:cs="Times New Roman"/>
          <w:color w:val="000000"/>
          <w:sz w:val="24"/>
          <w:szCs w:val="24"/>
        </w:rPr>
        <w:t xml:space="preserve"> </w:t>
      </w:r>
      <w:r w:rsidR="008D16C5">
        <w:rPr>
          <w:rFonts w:ascii="Times New Roman" w:hAnsi="Times New Roman" w:cs="Times New Roman"/>
          <w:color w:val="000000"/>
          <w:sz w:val="24"/>
          <w:szCs w:val="24"/>
        </w:rPr>
        <w:t>using the Data Collection Forms</w:t>
      </w:r>
      <w:r w:rsidRPr="004D7F5A" w:rsidR="008D16C5">
        <w:rPr>
          <w:rFonts w:ascii="Times New Roman" w:hAnsi="Times New Roman" w:cs="Times New Roman"/>
          <w:color w:val="000000"/>
          <w:sz w:val="24"/>
          <w:szCs w:val="24"/>
        </w:rPr>
        <w:t xml:space="preserve"> provided by FIO</w:t>
      </w:r>
      <w:r w:rsidR="000467EA">
        <w:rPr>
          <w:rFonts w:ascii="Times New Roman" w:hAnsi="Times New Roman" w:cs="Times New Roman"/>
          <w:color w:val="000000"/>
          <w:sz w:val="24"/>
          <w:szCs w:val="24"/>
        </w:rPr>
        <w:t xml:space="preserve">, </w:t>
      </w:r>
      <w:r w:rsidRPr="004D7F5A" w:rsidR="004D7F5A">
        <w:rPr>
          <w:rFonts w:ascii="Times New Roman" w:hAnsi="Times New Roman" w:cs="Times New Roman"/>
          <w:color w:val="000000"/>
          <w:sz w:val="24"/>
          <w:szCs w:val="24"/>
        </w:rPr>
        <w:t>to a secure Treasury portal.</w:t>
      </w:r>
      <w:r w:rsidRPr="004F0438" w:rsidR="004F0438">
        <w:rPr>
          <w:rFonts w:ascii="Times New Roman" w:hAnsi="Times New Roman" w:cs="Times New Roman"/>
          <w:color w:val="000000"/>
          <w:sz w:val="24"/>
          <w:szCs w:val="24"/>
        </w:rPr>
        <w:t xml:space="preserve">  </w:t>
      </w:r>
      <w:r w:rsidRPr="004F0438">
        <w:rPr>
          <w:rFonts w:ascii="Times New Roman" w:hAnsi="Times New Roman" w:cs="Times New Roman"/>
          <w:color w:val="000000"/>
          <w:sz w:val="24"/>
          <w:szCs w:val="24"/>
        </w:rPr>
        <w:t xml:space="preserve">FIO may use statistical and computing graphics software to automate its analysis of the </w:t>
      </w:r>
      <w:bookmarkStart w:id="107" w:name="_Hlk147429947"/>
      <w:r w:rsidRPr="004F0438">
        <w:rPr>
          <w:rFonts w:ascii="Times New Roman" w:hAnsi="Times New Roman" w:cs="Times New Roman"/>
          <w:color w:val="000000"/>
          <w:sz w:val="24"/>
          <w:szCs w:val="24"/>
        </w:rPr>
        <w:t xml:space="preserve">responses.  </w:t>
      </w:r>
      <w:bookmarkEnd w:id="107"/>
    </w:p>
    <w:p w:rsidR="000A7882" w:rsidP="00A24444" w14:paraId="32737944" w14:textId="2197089E">
      <w:pPr>
        <w:tabs>
          <w:tab w:val="left" w:pos="0"/>
          <w:tab w:val="left" w:pos="720"/>
        </w:tabs>
        <w:spacing w:before="240" w:after="240"/>
      </w:pPr>
      <w:r>
        <w:t xml:space="preserve">There is no pre-determined or externally set level of accuracy needed from this data collection.  FIO is seeking to achieve the best accuracy possible without undue burden to the Representative Sample Insurers or excessive cost to the government.  For the data fields in FIO’s data collection that are reported in annual regulatory filings, FIO may be able to create national or state-level information and compare it with the </w:t>
      </w:r>
      <w:r w:rsidRPr="000A7882">
        <w:t>aggregate information submitted</w:t>
      </w:r>
      <w:r>
        <w:t xml:space="preserve"> by each of the groups in an effort to spot</w:t>
      </w:r>
      <w:r w:rsidRPr="000A7882">
        <w:t xml:space="preserve">  major outliers</w:t>
      </w:r>
      <w:r>
        <w:t xml:space="preserve"> or inconsistencies</w:t>
      </w:r>
      <w:r w:rsidRPr="000A7882">
        <w:t>.</w:t>
      </w:r>
      <w:r>
        <w:t xml:space="preserve"> </w:t>
      </w:r>
      <w:r w:rsidRPr="000A7882">
        <w:t xml:space="preserve"> </w:t>
      </w:r>
      <w:r>
        <w:t>FIO also intends to check the data submitted by reviewing individual group ZIP Code</w:t>
      </w:r>
      <w:r w:rsidR="00797756">
        <w:t xml:space="preserve"> </w:t>
      </w:r>
      <w:r>
        <w:t xml:space="preserve">level results, including against state-level indicators.  If FIO identifies suspected incorrect data, </w:t>
      </w:r>
      <w:r w:rsidRPr="001C11F2">
        <w:t xml:space="preserve">FIO will </w:t>
      </w:r>
      <w:r>
        <w:t xml:space="preserve">seek </w:t>
      </w:r>
      <w:r w:rsidRPr="001C11F2">
        <w:t>to remove or fix suspected incorrect data by (1)</w:t>
      </w:r>
      <w:r>
        <w:t> </w:t>
      </w:r>
      <w:r w:rsidRPr="001C11F2">
        <w:t>reaching out to the insurer for verification, or (2) excluding suspected incorrect information.</w:t>
      </w:r>
    </w:p>
    <w:p w:rsidR="001C11F2" w:rsidP="00A24444" w14:paraId="12FFE4A5" w14:textId="77777777">
      <w:pPr>
        <w:tabs>
          <w:tab w:val="left" w:pos="0"/>
          <w:tab w:val="left" w:pos="720"/>
        </w:tabs>
        <w:spacing w:before="240" w:after="240"/>
      </w:pPr>
      <w:r>
        <w:t>We believe that a reasonably high degree of accuracy will be achieved by using the above technique</w:t>
      </w:r>
      <w:r w:rsidR="004D7F5A">
        <w:t>s.</w:t>
      </w:r>
    </w:p>
    <w:p w:rsidR="001C11F2" w:rsidRPr="00D91DB9" w:rsidP="00A24444" w14:paraId="7DF35798" w14:textId="77777777">
      <w:pPr>
        <w:tabs>
          <w:tab w:val="left" w:pos="360"/>
          <w:tab w:val="left" w:pos="720"/>
        </w:tabs>
        <w:spacing w:before="240" w:after="240"/>
        <w:ind w:left="360" w:hanging="360"/>
        <w:rPr>
          <w:b/>
          <w:color w:val="000000"/>
          <w:szCs w:val="20"/>
        </w:rPr>
      </w:pPr>
      <w:r w:rsidRPr="001C11F2">
        <w:rPr>
          <w:b/>
          <w:noProof/>
          <w:color w:val="000000"/>
          <w:szCs w:val="20"/>
        </w:rPr>
        <w:t>3.</w:t>
      </w:r>
      <w:r w:rsidR="005770BA">
        <w:rPr>
          <w:b/>
          <w:noProof/>
          <w:color w:val="000000"/>
          <w:szCs w:val="20"/>
        </w:rPr>
        <w:tab/>
      </w:r>
      <w:r w:rsidRPr="001C11F2">
        <w:rPr>
          <w:b/>
          <w:noProof/>
          <w:color w:val="000000"/>
          <w:szCs w:val="2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D3728" w:rsidP="006D3728" w14:paraId="6C0A53F5" w14:textId="2B3645D2">
      <w:pPr>
        <w:tabs>
          <w:tab w:val="left" w:pos="0"/>
          <w:tab w:val="left" w:pos="720"/>
        </w:tabs>
        <w:spacing w:before="240" w:after="240"/>
        <w:rPr>
          <w:color w:val="000000"/>
        </w:rPr>
      </w:pPr>
      <w:bookmarkStart w:id="108" w:name="_Hlk148542721"/>
      <w:r>
        <w:rPr>
          <w:color w:val="000000"/>
        </w:rPr>
        <w:t xml:space="preserve">As noted in response to Question B.1, </w:t>
      </w:r>
      <w:r w:rsidR="003B2787">
        <w:rPr>
          <w:color w:val="000000"/>
        </w:rPr>
        <w:t>FIO expects a response rate of 100</w:t>
      </w:r>
      <w:r>
        <w:rPr>
          <w:color w:val="000000"/>
        </w:rPr>
        <w:t xml:space="preserve"> percent</w:t>
      </w:r>
      <w:r w:rsidR="00B344E1">
        <w:rPr>
          <w:color w:val="000000"/>
        </w:rPr>
        <w:t>,</w:t>
      </w:r>
      <w:r w:rsidR="00E969A9">
        <w:rPr>
          <w:color w:val="000000"/>
        </w:rPr>
        <w:t xml:space="preserve"> </w:t>
      </w:r>
      <w:r w:rsidR="00317ED0">
        <w:rPr>
          <w:color w:val="000000"/>
        </w:rPr>
        <w:t>since the</w:t>
      </w:r>
      <w:r w:rsidR="003A1163">
        <w:rPr>
          <w:color w:val="000000"/>
        </w:rPr>
        <w:t xml:space="preserve"> FIO Act</w:t>
      </w:r>
      <w:r w:rsidR="00317ED0">
        <w:rPr>
          <w:color w:val="000000"/>
        </w:rPr>
        <w:t xml:space="preserve"> provides FIO with the legal authority to collect data from insurers</w:t>
      </w:r>
      <w:r w:rsidR="003A1163">
        <w:rPr>
          <w:color w:val="000000"/>
        </w:rPr>
        <w:t xml:space="preserve">.  </w:t>
      </w:r>
      <w:r w:rsidR="00712A7F">
        <w:rPr>
          <w:color w:val="000000"/>
        </w:rPr>
        <w:t>T</w:t>
      </w:r>
      <w:r w:rsidR="003A1163">
        <w:rPr>
          <w:color w:val="000000"/>
        </w:rPr>
        <w:t xml:space="preserve">he FIO Act provides FIO with </w:t>
      </w:r>
      <w:r w:rsidR="00E969A9">
        <w:rPr>
          <w:color w:val="000000"/>
        </w:rPr>
        <w:t xml:space="preserve">subpoena authority </w:t>
      </w:r>
      <w:r w:rsidR="00712A7F">
        <w:rPr>
          <w:color w:val="000000"/>
        </w:rPr>
        <w:t>to require the production of this data</w:t>
      </w:r>
      <w:r w:rsidR="006A67FF">
        <w:rPr>
          <w:color w:val="000000"/>
        </w:rPr>
        <w:t>,</w:t>
      </w:r>
      <w:r w:rsidR="00E969A9">
        <w:rPr>
          <w:color w:val="000000"/>
        </w:rPr>
        <w:t xml:space="preserve"> if nec</w:t>
      </w:r>
      <w:r w:rsidR="00366013">
        <w:rPr>
          <w:color w:val="000000"/>
        </w:rPr>
        <w:t>e</w:t>
      </w:r>
      <w:r w:rsidR="00E969A9">
        <w:rPr>
          <w:color w:val="000000"/>
        </w:rPr>
        <w:t>ssary</w:t>
      </w:r>
      <w:r w:rsidR="003B2787">
        <w:rPr>
          <w:color w:val="000000"/>
        </w:rPr>
        <w:t xml:space="preserve">.  </w:t>
      </w:r>
    </w:p>
    <w:bookmarkEnd w:id="108"/>
    <w:p w:rsidR="00B13A14" w:rsidP="006D3728" w14:paraId="385E58AC" w14:textId="6343D6DD">
      <w:pPr>
        <w:spacing w:before="240" w:after="240"/>
        <w:ind w:left="360" w:hanging="360"/>
        <w:rPr>
          <w:color w:val="000000"/>
        </w:rPr>
      </w:pPr>
      <w:r w:rsidRPr="001C11F2">
        <w:rPr>
          <w:b/>
          <w:noProof/>
          <w:color w:val="000000"/>
          <w:szCs w:val="20"/>
        </w:rPr>
        <w:t>4.</w:t>
      </w:r>
      <w:r>
        <w:rPr>
          <w:b/>
          <w:noProof/>
          <w:color w:val="000000"/>
          <w:szCs w:val="20"/>
        </w:rPr>
        <w:tab/>
      </w:r>
      <w:r w:rsidRPr="001C11F2">
        <w:rPr>
          <w:b/>
          <w:noProof/>
          <w:color w:val="000000"/>
          <w:szCs w:val="20"/>
        </w:rPr>
        <w:t xml:space="preserve">Describe any tests of procedures or methods to be undertaken. Testing is encouraged as an effective means of refining collections of information to minimize burden and </w:t>
      </w:r>
      <w:r w:rsidRPr="001C11F2">
        <w:rPr>
          <w:b/>
          <w:noProof/>
          <w:color w:val="000000"/>
          <w:szCs w:val="20"/>
        </w:rPr>
        <w:t>improve utility. Tests must be approved if they call for answers to identical questions from 10 or more respondents. A proposed test or set of tests may be submitted for approval separately or in combination with the main collection of information.</w:t>
      </w:r>
    </w:p>
    <w:p w:rsidR="00996801" w:rsidP="00A24444" w14:paraId="167C9687" w14:textId="77777777">
      <w:pPr>
        <w:tabs>
          <w:tab w:val="left" w:pos="0"/>
          <w:tab w:val="left" w:pos="720"/>
        </w:tabs>
        <w:spacing w:before="240" w:after="240"/>
        <w:rPr>
          <w:color w:val="000000"/>
        </w:rPr>
      </w:pPr>
      <w:r>
        <w:rPr>
          <w:color w:val="000000"/>
        </w:rPr>
        <w:t xml:space="preserve">Prior to collecting the data, FIO will test its data collection portal and the analyses that it intends to conduct.  To test the data collection portal, </w:t>
      </w:r>
      <w:r w:rsidRPr="00F657AB">
        <w:rPr>
          <w:color w:val="000000"/>
        </w:rPr>
        <w:t xml:space="preserve">FIO will populate multiple </w:t>
      </w:r>
      <w:r w:rsidR="006A0939">
        <w:rPr>
          <w:color w:val="000000"/>
        </w:rPr>
        <w:t>Data Collection Forms</w:t>
      </w:r>
      <w:r w:rsidRPr="00F657AB">
        <w:rPr>
          <w:color w:val="000000"/>
        </w:rPr>
        <w:t xml:space="preserve"> with simulated or random data </w:t>
      </w:r>
      <w:r>
        <w:rPr>
          <w:color w:val="000000"/>
        </w:rPr>
        <w:t>and use these to test the portal</w:t>
      </w:r>
      <w:r w:rsidR="00F32FD2">
        <w:rPr>
          <w:color w:val="000000"/>
        </w:rPr>
        <w:t>’</w:t>
      </w:r>
      <w:r>
        <w:rPr>
          <w:color w:val="000000"/>
        </w:rPr>
        <w:t xml:space="preserve">s </w:t>
      </w:r>
      <w:r w:rsidRPr="00F657AB">
        <w:rPr>
          <w:color w:val="000000"/>
        </w:rPr>
        <w:t xml:space="preserve">data storage, processing, and analytical processes.  </w:t>
      </w:r>
      <w:r>
        <w:rPr>
          <w:color w:val="000000"/>
        </w:rPr>
        <w:t xml:space="preserve">To test its analytical methods, </w:t>
      </w:r>
      <w:r w:rsidRPr="00F657AB">
        <w:rPr>
          <w:color w:val="000000"/>
        </w:rPr>
        <w:t xml:space="preserve">FIO </w:t>
      </w:r>
      <w:r>
        <w:rPr>
          <w:color w:val="000000"/>
        </w:rPr>
        <w:t xml:space="preserve">will </w:t>
      </w:r>
      <w:r w:rsidRPr="00F657AB">
        <w:rPr>
          <w:color w:val="000000"/>
        </w:rPr>
        <w:t xml:space="preserve">download state-level </w:t>
      </w:r>
      <w:r>
        <w:rPr>
          <w:color w:val="000000"/>
        </w:rPr>
        <w:t xml:space="preserve">insurance data </w:t>
      </w:r>
      <w:r w:rsidRPr="00F657AB">
        <w:rPr>
          <w:color w:val="000000"/>
        </w:rPr>
        <w:t>for its variables of interest</w:t>
      </w:r>
      <w:r>
        <w:rPr>
          <w:color w:val="000000"/>
        </w:rPr>
        <w:t>.</w:t>
      </w:r>
      <w:r w:rsidR="00366013">
        <w:rPr>
          <w:color w:val="000000"/>
        </w:rPr>
        <w:t xml:space="preserve"> </w:t>
      </w:r>
      <w:r w:rsidRPr="00F657AB">
        <w:rPr>
          <w:color w:val="000000"/>
        </w:rPr>
        <w:t xml:space="preserve"> Creating multiple simulated </w:t>
      </w:r>
      <w:r w:rsidR="006A0939">
        <w:rPr>
          <w:color w:val="000000"/>
        </w:rPr>
        <w:t>Data Collection Forms</w:t>
      </w:r>
      <w:r w:rsidRPr="00F657AB">
        <w:rPr>
          <w:color w:val="000000"/>
        </w:rPr>
        <w:t xml:space="preserve"> will facilitate testing </w:t>
      </w:r>
      <w:r w:rsidR="007A17ED">
        <w:rPr>
          <w:color w:val="000000"/>
        </w:rPr>
        <w:t xml:space="preserve">of </w:t>
      </w:r>
      <w:r w:rsidRPr="00F657AB">
        <w:rPr>
          <w:color w:val="000000"/>
        </w:rPr>
        <w:t xml:space="preserve">data cleaning </w:t>
      </w:r>
      <w:r w:rsidR="007A17ED">
        <w:rPr>
          <w:color w:val="000000"/>
        </w:rPr>
        <w:t xml:space="preserve">and analysis </w:t>
      </w:r>
      <w:r w:rsidRPr="00F657AB">
        <w:rPr>
          <w:color w:val="000000"/>
        </w:rPr>
        <w:t>processes prior to the data collection due date.</w:t>
      </w:r>
    </w:p>
    <w:p w:rsidR="00996801" w:rsidRPr="00D91DB9" w:rsidP="00A24444" w14:paraId="44A77CEE" w14:textId="77777777">
      <w:pPr>
        <w:widowControl w:val="0"/>
        <w:spacing w:before="240" w:after="240"/>
        <w:ind w:left="360" w:hanging="360"/>
        <w:rPr>
          <w:b/>
          <w:color w:val="000000"/>
          <w:szCs w:val="20"/>
        </w:rPr>
      </w:pPr>
      <w:r w:rsidRPr="00996801">
        <w:rPr>
          <w:b/>
          <w:noProof/>
          <w:color w:val="000000"/>
          <w:szCs w:val="20"/>
        </w:rPr>
        <w:t>5.</w:t>
      </w:r>
      <w:r w:rsidR="00865918">
        <w:rPr>
          <w:b/>
          <w:noProof/>
          <w:color w:val="000000"/>
          <w:szCs w:val="20"/>
        </w:rPr>
        <w:tab/>
      </w:r>
      <w:r w:rsidRPr="00996801">
        <w:rPr>
          <w:b/>
          <w:noProof/>
          <w:color w:val="000000"/>
          <w:szCs w:val="20"/>
        </w:rPr>
        <w:t>Provide the name and telephone number of individuals consulted on statistical aspects of the design and the name of the agency unit, contractor(s), grantee(s), or other person(s) who will actually collect and/or analyze the information for the agency.</w:t>
      </w:r>
    </w:p>
    <w:p w:rsidR="00437FBE" w:rsidRPr="00437FBE" w:rsidP="00A24444" w14:paraId="68707FAA" w14:textId="77777777">
      <w:pPr>
        <w:widowControl w:val="0"/>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szCs w:val="20"/>
        </w:rPr>
      </w:pPr>
      <w:r w:rsidRPr="00996801">
        <w:rPr>
          <w:szCs w:val="20"/>
        </w:rPr>
        <w:t>The statistical methods to be employed were reviewed by representatives of the Department of the Treasury</w:t>
      </w:r>
      <w:r>
        <w:rPr>
          <w:szCs w:val="20"/>
        </w:rPr>
        <w:t>.</w:t>
      </w:r>
      <w:r w:rsidR="00E3072A">
        <w:rPr>
          <w:szCs w:val="20"/>
        </w:rPr>
        <w:t xml:space="preserve">  The persons listed below were consulted regarding the statistical aspects of the FIO’s data collection.</w:t>
      </w:r>
    </w:p>
    <w:tbl>
      <w:tblPr>
        <w:tblStyle w:val="TableGrid"/>
        <w:tblW w:w="9540" w:type="dxa"/>
        <w:tblInd w:w="108" w:type="dxa"/>
        <w:tblLayout w:type="fixed"/>
        <w:tblLook w:val="04A0"/>
      </w:tblPr>
      <w:tblGrid>
        <w:gridCol w:w="1867"/>
        <w:gridCol w:w="1620"/>
        <w:gridCol w:w="3150"/>
        <w:gridCol w:w="2903"/>
      </w:tblGrid>
      <w:tr w14:paraId="1037D2CE" w14:textId="77777777" w:rsidTr="00F619D1">
        <w:tblPrEx>
          <w:tblW w:w="9540" w:type="dxa"/>
          <w:tblInd w:w="108" w:type="dxa"/>
          <w:tblLayout w:type="fixed"/>
          <w:tblLook w:val="04A0"/>
        </w:tblPrEx>
        <w:tc>
          <w:tcPr>
            <w:tcW w:w="1867" w:type="dxa"/>
            <w:shd w:val="clear" w:color="auto" w:fill="FFFFFF" w:themeFill="background1"/>
          </w:tcPr>
          <w:p w:rsidR="007C0FE7" w:rsidRPr="007C0FE7" w:rsidP="00A24444" w14:paraId="3EDE885B"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b/>
                <w:bCs/>
                <w:szCs w:val="20"/>
              </w:rPr>
            </w:pPr>
            <w:r w:rsidRPr="007C0FE7">
              <w:rPr>
                <w:b/>
                <w:bCs/>
                <w:szCs w:val="20"/>
              </w:rPr>
              <w:t>Name</w:t>
            </w:r>
          </w:p>
        </w:tc>
        <w:tc>
          <w:tcPr>
            <w:tcW w:w="1620" w:type="dxa"/>
            <w:shd w:val="clear" w:color="auto" w:fill="FFFFFF" w:themeFill="background1"/>
          </w:tcPr>
          <w:p w:rsidR="007C0FE7" w:rsidRPr="007C0FE7" w:rsidP="00A24444" w14:paraId="7A21DE9A"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b/>
                <w:bCs/>
                <w:szCs w:val="20"/>
              </w:rPr>
            </w:pPr>
            <w:r w:rsidRPr="007C0FE7">
              <w:rPr>
                <w:b/>
                <w:bCs/>
                <w:szCs w:val="20"/>
              </w:rPr>
              <w:t>Telephone</w:t>
            </w:r>
          </w:p>
        </w:tc>
        <w:tc>
          <w:tcPr>
            <w:tcW w:w="3150" w:type="dxa"/>
            <w:shd w:val="clear" w:color="auto" w:fill="FFFFFF" w:themeFill="background1"/>
          </w:tcPr>
          <w:p w:rsidR="007C0FE7" w:rsidRPr="007C0FE7" w:rsidP="00A24444" w14:paraId="0065A818"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b/>
                <w:bCs/>
                <w:szCs w:val="20"/>
              </w:rPr>
            </w:pPr>
            <w:r w:rsidRPr="007C0FE7">
              <w:rPr>
                <w:b/>
                <w:bCs/>
                <w:szCs w:val="20"/>
              </w:rPr>
              <w:t>Email</w:t>
            </w:r>
          </w:p>
        </w:tc>
        <w:tc>
          <w:tcPr>
            <w:tcW w:w="2903" w:type="dxa"/>
            <w:shd w:val="clear" w:color="auto" w:fill="FFFFFF" w:themeFill="background1"/>
          </w:tcPr>
          <w:p w:rsidR="007C0FE7" w:rsidRPr="007C0FE7" w:rsidP="00A24444" w14:paraId="56EE54CB"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b/>
                <w:bCs/>
                <w:szCs w:val="20"/>
              </w:rPr>
            </w:pPr>
            <w:r w:rsidRPr="007C0FE7">
              <w:rPr>
                <w:b/>
                <w:bCs/>
                <w:szCs w:val="20"/>
              </w:rPr>
              <w:t>Agency</w:t>
            </w:r>
          </w:p>
        </w:tc>
      </w:tr>
      <w:tr w14:paraId="34C36936" w14:textId="77777777" w:rsidTr="00F619D1">
        <w:tblPrEx>
          <w:tblW w:w="9540" w:type="dxa"/>
          <w:tblInd w:w="108" w:type="dxa"/>
          <w:tblLayout w:type="fixed"/>
          <w:tblLook w:val="04A0"/>
        </w:tblPrEx>
        <w:tc>
          <w:tcPr>
            <w:tcW w:w="1867" w:type="dxa"/>
          </w:tcPr>
          <w:p w:rsidR="00437FBE" w:rsidRPr="00437FBE" w:rsidP="00A24444" w14:paraId="489EEFA5"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Cs w:val="20"/>
              </w:rPr>
            </w:pPr>
            <w:r w:rsidRPr="00437FBE">
              <w:rPr>
                <w:szCs w:val="20"/>
              </w:rPr>
              <w:t>Erik A. Heitfield</w:t>
            </w:r>
          </w:p>
        </w:tc>
        <w:tc>
          <w:tcPr>
            <w:tcW w:w="1620" w:type="dxa"/>
          </w:tcPr>
          <w:p w:rsidR="00437FBE" w:rsidRPr="00094D67" w:rsidP="00A24444" w14:paraId="145C595F" w14:textId="7F3A86C6">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18"/>
                <w:szCs w:val="18"/>
              </w:rPr>
            </w:pPr>
            <w:r>
              <w:t>202-934-6917</w:t>
            </w:r>
          </w:p>
        </w:tc>
        <w:tc>
          <w:tcPr>
            <w:tcW w:w="3150" w:type="dxa"/>
          </w:tcPr>
          <w:p w:rsidR="00437FBE" w:rsidRPr="00437FBE" w:rsidP="00A24444" w14:paraId="35DD4F7A" w14:textId="5EFF3F35">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Cs w:val="20"/>
              </w:rPr>
            </w:pPr>
            <w:hyperlink r:id="rId11" w:history="1">
              <w:r w:rsidRPr="00F3245E" w:rsidR="00F3245E">
                <w:rPr>
                  <w:rStyle w:val="Hyperlink"/>
                  <w:szCs w:val="20"/>
                </w:rPr>
                <w:t>Erik.Heitfield2@treasury.gov</w:t>
              </w:r>
            </w:hyperlink>
          </w:p>
        </w:tc>
        <w:tc>
          <w:tcPr>
            <w:tcW w:w="2903" w:type="dxa"/>
          </w:tcPr>
          <w:p w:rsidR="00437FBE" w:rsidRPr="00437FBE" w:rsidP="00A24444" w14:paraId="063EDD7B"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Cs w:val="20"/>
              </w:rPr>
            </w:pPr>
            <w:r w:rsidRPr="00437FBE">
              <w:rPr>
                <w:szCs w:val="20"/>
              </w:rPr>
              <w:t>U.S. Department of the Treasury</w:t>
            </w:r>
          </w:p>
        </w:tc>
      </w:tr>
      <w:tr w14:paraId="1D737A79" w14:textId="77777777" w:rsidTr="00F619D1">
        <w:tblPrEx>
          <w:tblW w:w="9540" w:type="dxa"/>
          <w:tblInd w:w="108" w:type="dxa"/>
          <w:tblLayout w:type="fixed"/>
          <w:tblLook w:val="04A0"/>
        </w:tblPrEx>
        <w:tc>
          <w:tcPr>
            <w:tcW w:w="1867" w:type="dxa"/>
          </w:tcPr>
          <w:p w:rsidR="00437FBE" w:rsidRPr="00437FBE" w:rsidP="00A24444" w14:paraId="47A818EE"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Cs w:val="20"/>
              </w:rPr>
            </w:pPr>
            <w:r w:rsidRPr="00437FBE">
              <w:rPr>
                <w:szCs w:val="20"/>
              </w:rPr>
              <w:t>Parinitha Sastry</w:t>
            </w:r>
          </w:p>
        </w:tc>
        <w:tc>
          <w:tcPr>
            <w:tcW w:w="1620" w:type="dxa"/>
          </w:tcPr>
          <w:p w:rsidR="00437FBE" w:rsidRPr="00437FBE" w:rsidP="00A24444" w14:paraId="16D133E9"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Cs w:val="20"/>
              </w:rPr>
            </w:pPr>
            <w:r w:rsidRPr="00437FBE">
              <w:rPr>
                <w:szCs w:val="20"/>
              </w:rPr>
              <w:t>212-854-1100</w:t>
            </w:r>
          </w:p>
        </w:tc>
        <w:tc>
          <w:tcPr>
            <w:tcW w:w="3150" w:type="dxa"/>
          </w:tcPr>
          <w:p w:rsidR="00437FBE" w:rsidRPr="00437FBE" w:rsidP="00A24444" w14:paraId="72C13620"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Cs w:val="20"/>
              </w:rPr>
            </w:pPr>
            <w:hyperlink r:id="rId12" w:history="1">
              <w:r w:rsidRPr="00437FBE" w:rsidR="00E3072A">
                <w:rPr>
                  <w:rStyle w:val="Hyperlink"/>
                  <w:szCs w:val="20"/>
                </w:rPr>
                <w:t>prs2107@columbia.edu</w:t>
              </w:r>
            </w:hyperlink>
          </w:p>
        </w:tc>
        <w:tc>
          <w:tcPr>
            <w:tcW w:w="2903" w:type="dxa"/>
          </w:tcPr>
          <w:p w:rsidR="00437FBE" w:rsidRPr="00437FBE" w:rsidP="00A24444" w14:paraId="79466A93" w14:textId="77777777">
            <w:pPr>
              <w:keepNext/>
              <w:keepLines/>
              <w:widowControl w:val="0"/>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Cs w:val="20"/>
              </w:rPr>
            </w:pPr>
            <w:r w:rsidRPr="00437FBE">
              <w:rPr>
                <w:szCs w:val="20"/>
              </w:rPr>
              <w:t>Columbia Business School (formerly with U.S. Department of the Treasury)</w:t>
            </w:r>
          </w:p>
        </w:tc>
      </w:tr>
    </w:tbl>
    <w:p w:rsidR="00FE6A91" w:rsidP="00A24444" w14:paraId="722E2B2D" w14:textId="77777777">
      <w:pPr>
        <w:tabs>
          <w:tab w:val="left" w:pos="0"/>
          <w:tab w:val="left" w:pos="720"/>
        </w:tabs>
        <w:spacing w:before="240" w:after="240"/>
        <w:rPr>
          <w:color w:val="000000"/>
        </w:rPr>
      </w:pPr>
      <w:r>
        <w:rPr>
          <w:color w:val="000000"/>
        </w:rPr>
        <w:t>FIO is the agency unit that will collect and analyze the information for Treasury.</w:t>
      </w:r>
    </w:p>
    <w:p w:rsidR="000125F3" w14:paraId="05F719EF" w14:textId="77777777">
      <w:pPr>
        <w:rPr>
          <w:b/>
          <w:bCs/>
          <w:color w:val="000000"/>
          <w:u w:val="single"/>
        </w:rPr>
      </w:pPr>
      <w:r>
        <w:rPr>
          <w:b/>
          <w:bCs/>
          <w:color w:val="000000"/>
          <w:u w:val="single"/>
        </w:rPr>
        <w:br w:type="page"/>
      </w:r>
    </w:p>
    <w:p w:rsidR="00B13A14" w:rsidRPr="00185EEB" w:rsidP="00B13A14" w14:paraId="703B5887" w14:textId="7646C584">
      <w:pPr>
        <w:tabs>
          <w:tab w:val="left" w:pos="0"/>
          <w:tab w:val="left" w:pos="720"/>
        </w:tabs>
        <w:spacing w:before="240" w:after="240"/>
        <w:rPr>
          <w:color w:val="000000"/>
          <w:u w:val="single"/>
          <w:vertAlign w:val="superscript"/>
        </w:rPr>
      </w:pPr>
      <w:r w:rsidRPr="006315CB">
        <w:rPr>
          <w:b/>
          <w:bCs/>
          <w:color w:val="000000"/>
          <w:u w:val="single"/>
        </w:rPr>
        <w:t>Attachments</w:t>
      </w:r>
      <w:r>
        <w:rPr>
          <w:rStyle w:val="FootnoteReference"/>
          <w:b/>
          <w:bCs/>
          <w:color w:val="000000"/>
          <w:u w:val="single"/>
          <w:vertAlign w:val="superscript"/>
        </w:rPr>
        <w:footnoteReference w:id="33"/>
      </w:r>
    </w:p>
    <w:p w:rsidR="00B13A14" w:rsidRPr="006315CB" w:rsidP="00B13A14" w14:paraId="2FC02490" w14:textId="77777777">
      <w:pPr>
        <w:pStyle w:val="Default"/>
        <w:tabs>
          <w:tab w:val="left" w:pos="720"/>
        </w:tabs>
        <w:spacing w:before="240" w:after="240"/>
        <w:rPr>
          <w:rFonts w:ascii="Times New Roman" w:hAnsi="Times New Roman" w:cs="Times New Roman"/>
          <w:color w:val="000000"/>
          <w:sz w:val="24"/>
          <w:szCs w:val="24"/>
        </w:rPr>
      </w:pPr>
      <w:r w:rsidRPr="006315CB">
        <w:rPr>
          <w:rFonts w:ascii="Times New Roman" w:hAnsi="Times New Roman" w:cs="Times New Roman"/>
          <w:color w:val="000000"/>
          <w:sz w:val="24"/>
          <w:szCs w:val="24"/>
        </w:rPr>
        <w:t>Attachment A.  Data Collection Form</w:t>
      </w:r>
    </w:p>
    <w:p w:rsidR="00B13A14" w:rsidP="00B13A14" w14:paraId="794762FA" w14:textId="77777777">
      <w:pPr>
        <w:pStyle w:val="Default"/>
        <w:tabs>
          <w:tab w:val="left" w:pos="720"/>
        </w:tabs>
        <w:spacing w:before="240" w:after="240"/>
        <w:rPr>
          <w:rFonts w:ascii="Times New Roman" w:hAnsi="Times New Roman" w:cs="Times New Roman"/>
          <w:color w:val="000000"/>
          <w:sz w:val="24"/>
          <w:szCs w:val="24"/>
        </w:rPr>
      </w:pPr>
      <w:r w:rsidRPr="006315CB">
        <w:rPr>
          <w:rFonts w:ascii="Times New Roman" w:hAnsi="Times New Roman" w:cs="Times New Roman"/>
          <w:color w:val="000000"/>
          <w:sz w:val="24"/>
          <w:szCs w:val="24"/>
        </w:rPr>
        <w:t>Attachment B.  Instructions for Data Collection Form</w:t>
      </w:r>
    </w:p>
    <w:p w:rsidR="00E3072A" w:rsidP="00A24444" w14:paraId="42AD19A4" w14:textId="77777777">
      <w:pPr>
        <w:tabs>
          <w:tab w:val="left" w:pos="0"/>
          <w:tab w:val="left" w:pos="720"/>
        </w:tabs>
        <w:spacing w:before="240" w:after="240"/>
        <w:rPr>
          <w:color w:val="000000"/>
        </w:rPr>
      </w:pPr>
      <w:r w:rsidRPr="00F619D1">
        <w:rPr>
          <w:color w:val="000000"/>
        </w:rPr>
        <w:t xml:space="preserve">Attachment C.  </w:t>
      </w:r>
      <w:r w:rsidRPr="003F6C54">
        <w:rPr>
          <w:color w:val="000000"/>
        </w:rPr>
        <w:t>Agency Information Collection Activities; Proposed Collection, Comment</w:t>
      </w:r>
      <w:r w:rsidRPr="000603DD">
        <w:rPr>
          <w:color w:val="000000"/>
        </w:rPr>
        <w:t xml:space="preserve"> Request; Federal Insurance</w:t>
      </w:r>
      <w:r>
        <w:rPr>
          <w:color w:val="000000"/>
        </w:rPr>
        <w:t xml:space="preserve"> </w:t>
      </w:r>
      <w:r w:rsidRPr="000603DD">
        <w:rPr>
          <w:color w:val="000000"/>
        </w:rPr>
        <w:t>Office Climate-Related Financial Risk Data Collection, 87 Fed. Reg. 64,134 (October 21, 2022) (</w:t>
      </w:r>
      <w:r>
        <w:rPr>
          <w:color w:val="000000"/>
        </w:rPr>
        <w:t xml:space="preserve">October 2022 </w:t>
      </w:r>
      <w:r w:rsidRPr="000603DD">
        <w:rPr>
          <w:color w:val="000000"/>
        </w:rPr>
        <w:t>FRN)</w:t>
      </w:r>
    </w:p>
    <w:p w:rsidR="00F3245E" w:rsidRPr="00E8142E" w:rsidP="00B13A14" w14:paraId="69904832" w14:textId="2D570C17">
      <w:pPr>
        <w:tabs>
          <w:tab w:val="left" w:pos="0"/>
          <w:tab w:val="left" w:pos="720"/>
        </w:tabs>
        <w:spacing w:before="240" w:after="240"/>
      </w:pPr>
      <w:r w:rsidRPr="00E8142E">
        <w:rPr>
          <w:rStyle w:val="Hyperlink"/>
          <w:color w:val="auto"/>
          <w:u w:val="none"/>
        </w:rPr>
        <w:t xml:space="preserve">Attachment </w:t>
      </w:r>
      <w:r w:rsidRPr="00E8142E" w:rsidR="007258D9">
        <w:rPr>
          <w:rStyle w:val="Hyperlink"/>
          <w:color w:val="auto"/>
          <w:u w:val="none"/>
        </w:rPr>
        <w:t>D</w:t>
      </w:r>
      <w:r w:rsidRPr="00E8142E">
        <w:rPr>
          <w:rStyle w:val="Hyperlink"/>
          <w:color w:val="auto"/>
          <w:u w:val="none"/>
        </w:rPr>
        <w:t>.  Executive Order on Climate-Related Financial Risk, Exec. Order No. 14030, § 3(b)(i), 86 Fed. Reg. 27,967 (May 20, 2021) (EO 14030)</w:t>
      </w:r>
    </w:p>
    <w:p w:rsidR="007258D9" w:rsidP="007258D9" w14:paraId="53A7BDF5" w14:textId="4C4795FE">
      <w:pPr>
        <w:tabs>
          <w:tab w:val="left" w:pos="0"/>
          <w:tab w:val="left" w:pos="720"/>
        </w:tabs>
        <w:spacing w:before="240" w:after="240"/>
        <w:rPr>
          <w:rStyle w:val="Hyperlink"/>
          <w:color w:val="auto"/>
          <w:u w:val="none"/>
        </w:rPr>
      </w:pPr>
      <w:r w:rsidRPr="00E8142E">
        <w:rPr>
          <w:rStyle w:val="Hyperlink"/>
          <w:color w:val="auto"/>
          <w:u w:val="none"/>
        </w:rPr>
        <w:t>Attachment E.  31 U.S.C. § 313</w:t>
      </w:r>
    </w:p>
    <w:p w:rsidR="00437FBE" w:rsidRPr="00611299" w:rsidP="00A24444" w14:paraId="218239CD" w14:textId="1B91686F">
      <w:pPr>
        <w:tabs>
          <w:tab w:val="left" w:pos="0"/>
          <w:tab w:val="left" w:pos="720"/>
        </w:tabs>
        <w:spacing w:before="240" w:after="240"/>
        <w:rPr>
          <w:color w:val="000000"/>
        </w:rPr>
      </w:pPr>
      <w:r>
        <w:rPr>
          <w:color w:val="000000"/>
        </w:rPr>
        <w:t xml:space="preserve">November </w:t>
      </w:r>
      <w:r>
        <w:rPr>
          <w:color w:val="000000"/>
        </w:rPr>
        <w:t>2023</w:t>
      </w:r>
    </w:p>
    <w:sectPr w:rsidSect="00AF7776">
      <w:headerReference w:type="default" r:id="rId13"/>
      <w:footerReference w:type="default" r:id="rId14"/>
      <w:footnotePr>
        <w:numRestart w:val="eachSect"/>
      </w:footnotePr>
      <w:endnotePr>
        <w:numFmt w:val="decimal"/>
      </w:endnotePr>
      <w:pgSz w:w="12240" w:h="15840"/>
      <w:pgMar w:top="1440" w:right="1440" w:bottom="117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659" w:rsidP="00B56F6E" w14:paraId="590B2E19" w14:textId="2B124AEF">
    <w:pPr>
      <w:pStyle w:val="Footer"/>
      <w:jc w:val="right"/>
    </w:pPr>
    <w:r w:rsidRPr="00B56F6E">
      <w:rPr>
        <w:sz w:val="20"/>
        <w:szCs w:val="20"/>
      </w:rPr>
      <w:fldChar w:fldCharType="begin"/>
    </w:r>
    <w:r w:rsidRPr="00080A91">
      <w:rPr>
        <w:sz w:val="20"/>
        <w:szCs w:val="20"/>
      </w:rPr>
      <w:instrText xml:space="preserve"> PAGE   \* MERGEFORMAT </w:instrText>
    </w:r>
    <w:r w:rsidRPr="00B56F6E">
      <w:rPr>
        <w:sz w:val="20"/>
        <w:szCs w:val="20"/>
      </w:rPr>
      <w:fldChar w:fldCharType="separate"/>
    </w:r>
    <w:r w:rsidRPr="00080A91" w:rsidR="00785700">
      <w:rPr>
        <w:sz w:val="20"/>
        <w:szCs w:val="20"/>
      </w:rPr>
      <w:t>3</w:t>
    </w:r>
    <w:r w:rsidRPr="00B56F6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170A" w:rsidP="00164659" w14:paraId="71EFA437" w14:textId="77777777">
      <w:r>
        <w:separator/>
      </w:r>
    </w:p>
  </w:footnote>
  <w:footnote w:type="continuationSeparator" w:id="1">
    <w:p w:rsidR="009E170A" w:rsidP="00164659" w14:paraId="55FEC99C" w14:textId="77777777">
      <w:r>
        <w:continuationSeparator/>
      </w:r>
    </w:p>
  </w:footnote>
  <w:footnote w:type="continuationNotice" w:id="2">
    <w:p w:rsidR="009E170A" w14:paraId="71D44E0A" w14:textId="77777777"/>
  </w:footnote>
  <w:footnote w:id="3">
    <w:p w:rsidR="0003202D" w:rsidP="002C7DB7" w14:paraId="6B9C4ECA" w14:textId="434519D3">
      <w:pPr>
        <w:pStyle w:val="FootnoteText"/>
        <w:spacing w:before="80" w:after="80"/>
      </w:pPr>
      <w:r w:rsidRPr="002C7DB7">
        <w:rPr>
          <w:rStyle w:val="FootnoteReference"/>
          <w:vertAlign w:val="superscript"/>
        </w:rPr>
        <w:footnoteRef/>
      </w:r>
      <w:r>
        <w:t xml:space="preserve"> </w:t>
      </w:r>
      <w:r w:rsidRPr="00107D87">
        <w:rPr>
          <w:i/>
          <w:iCs/>
        </w:rPr>
        <w:t>See</w:t>
      </w:r>
      <w:r>
        <w:rPr>
          <w:i/>
          <w:iCs/>
        </w:rPr>
        <w:t xml:space="preserve"> </w:t>
      </w:r>
      <w:r w:rsidRPr="003A3BDF">
        <w:rPr>
          <w:color w:val="000000"/>
        </w:rPr>
        <w:t xml:space="preserve">Exec. Order No. 14030 </w:t>
      </w:r>
      <w:bookmarkStart w:id="5" w:name="_Hlk147900557"/>
      <w:r w:rsidRPr="003A3BDF">
        <w:rPr>
          <w:color w:val="000000"/>
        </w:rPr>
        <w:t>§ 3(b)(i)</w:t>
      </w:r>
      <w:bookmarkEnd w:id="5"/>
      <w:r w:rsidRPr="003A3BDF">
        <w:rPr>
          <w:color w:val="000000"/>
        </w:rPr>
        <w:t>, 86 F</w:t>
      </w:r>
      <w:r>
        <w:rPr>
          <w:color w:val="000000"/>
        </w:rPr>
        <w:t xml:space="preserve">ed. </w:t>
      </w:r>
      <w:r w:rsidRPr="003A3BDF">
        <w:rPr>
          <w:color w:val="000000"/>
        </w:rPr>
        <w:t>R</w:t>
      </w:r>
      <w:r>
        <w:rPr>
          <w:color w:val="000000"/>
        </w:rPr>
        <w:t>eg.</w:t>
      </w:r>
      <w:r w:rsidRPr="003A3BDF">
        <w:rPr>
          <w:color w:val="000000"/>
        </w:rPr>
        <w:t xml:space="preserve"> 27</w:t>
      </w:r>
      <w:r>
        <w:rPr>
          <w:color w:val="000000"/>
        </w:rPr>
        <w:t>,</w:t>
      </w:r>
      <w:r w:rsidRPr="003A3BDF">
        <w:rPr>
          <w:color w:val="000000"/>
        </w:rPr>
        <w:t>967 (May 20, 2021) (E</w:t>
      </w:r>
      <w:r>
        <w:rPr>
          <w:color w:val="000000"/>
        </w:rPr>
        <w:t>O</w:t>
      </w:r>
      <w:r w:rsidRPr="003A3BDF">
        <w:rPr>
          <w:color w:val="000000"/>
        </w:rPr>
        <w:t xml:space="preserve"> 14030)</w:t>
      </w:r>
      <w:r w:rsidR="003D3743">
        <w:rPr>
          <w:color w:val="000000"/>
        </w:rPr>
        <w:t xml:space="preserve">; </w:t>
      </w:r>
      <w:r w:rsidRPr="003D3743" w:rsidR="003D3743">
        <w:rPr>
          <w:color w:val="000000"/>
        </w:rPr>
        <w:t>31 U.S.C. § 313(c)(1)(B)</w:t>
      </w:r>
      <w:r w:rsidRPr="003A3BDF">
        <w:rPr>
          <w:color w:val="000000"/>
        </w:rPr>
        <w:t>.</w:t>
      </w:r>
      <w:r>
        <w:rPr>
          <w:color w:val="000000"/>
        </w:rPr>
        <w:t xml:space="preserve">  </w:t>
      </w:r>
      <w:r w:rsidR="00F3245E">
        <w:rPr>
          <w:color w:val="000000"/>
        </w:rPr>
        <w:t xml:space="preserve">A copy of </w:t>
      </w:r>
      <w:r w:rsidRPr="00F3245E" w:rsidR="00F3245E">
        <w:rPr>
          <w:color w:val="000000"/>
        </w:rPr>
        <w:t>§ 3(b)(i)</w:t>
      </w:r>
      <w:r w:rsidR="00F3245E">
        <w:rPr>
          <w:color w:val="000000"/>
        </w:rPr>
        <w:t xml:space="preserve"> from EO 14030 is provided as Attachment </w:t>
      </w:r>
      <w:r w:rsidR="007258D9">
        <w:rPr>
          <w:color w:val="000000"/>
        </w:rPr>
        <w:t>D</w:t>
      </w:r>
      <w:r w:rsidR="00F3245E">
        <w:rPr>
          <w:color w:val="000000"/>
        </w:rPr>
        <w:t xml:space="preserve">.  A copy of the FIO Act is provided as Attachment </w:t>
      </w:r>
      <w:r w:rsidR="007258D9">
        <w:rPr>
          <w:color w:val="000000"/>
        </w:rPr>
        <w:t>E</w:t>
      </w:r>
      <w:r w:rsidR="00F3245E">
        <w:rPr>
          <w:color w:val="000000"/>
        </w:rPr>
        <w:t>.</w:t>
      </w:r>
    </w:p>
  </w:footnote>
  <w:footnote w:id="4">
    <w:p w:rsidR="0003202D" w:rsidP="002C7DB7" w14:paraId="09A1EA5B" w14:textId="39573710">
      <w:pPr>
        <w:pStyle w:val="FootnoteText"/>
        <w:spacing w:before="80" w:after="80"/>
      </w:pPr>
      <w:r w:rsidRPr="002C7DB7">
        <w:rPr>
          <w:rStyle w:val="FootnoteReference"/>
          <w:vertAlign w:val="superscript"/>
        </w:rPr>
        <w:footnoteRef/>
      </w:r>
      <w:r>
        <w:t xml:space="preserve"> </w:t>
      </w:r>
      <w:r>
        <w:rPr>
          <w:i/>
          <w:iCs/>
          <w:color w:val="000000"/>
        </w:rPr>
        <w:t>See</w:t>
      </w:r>
      <w:r>
        <w:rPr>
          <w:color w:val="000000"/>
        </w:rPr>
        <w:t xml:space="preserve"> </w:t>
      </w:r>
      <w:r w:rsidRPr="004B2037">
        <w:rPr>
          <w:color w:val="000000"/>
        </w:rPr>
        <w:t xml:space="preserve">Agency Information Collection Activities; Proposed Collection, </w:t>
      </w:r>
      <w:r w:rsidRPr="000603DD">
        <w:rPr>
          <w:color w:val="000000"/>
        </w:rPr>
        <w:t>Comment Request; Federal Insurance</w:t>
      </w:r>
      <w:r>
        <w:rPr>
          <w:color w:val="000000"/>
        </w:rPr>
        <w:t xml:space="preserve"> </w:t>
      </w:r>
      <w:r w:rsidRPr="000603DD">
        <w:rPr>
          <w:color w:val="000000"/>
        </w:rPr>
        <w:t>Office Climate-Related Financial Risk Data Collection, 87 Fed. Reg. 64,134 (October 21, 2022) (</w:t>
      </w:r>
      <w:r>
        <w:rPr>
          <w:color w:val="000000"/>
        </w:rPr>
        <w:t xml:space="preserve">October 2022 </w:t>
      </w:r>
      <w:r w:rsidRPr="000603DD">
        <w:rPr>
          <w:color w:val="000000"/>
        </w:rPr>
        <w:t>FRN)</w:t>
      </w:r>
      <w:r>
        <w:rPr>
          <w:color w:val="000000"/>
        </w:rPr>
        <w:t>.</w:t>
      </w:r>
    </w:p>
  </w:footnote>
  <w:footnote w:id="5">
    <w:p w:rsidR="0003202D" w:rsidP="002C7DB7" w14:paraId="6CDB6A63" w14:textId="21D4B03C">
      <w:pPr>
        <w:pStyle w:val="FootnoteText"/>
        <w:spacing w:before="80" w:after="80"/>
      </w:pPr>
      <w:r w:rsidRPr="002C7DB7">
        <w:rPr>
          <w:rStyle w:val="FootnoteReference"/>
          <w:vertAlign w:val="superscript"/>
        </w:rPr>
        <w:footnoteRef/>
      </w:r>
      <w:r>
        <w:t xml:space="preserve"> </w:t>
      </w:r>
      <w:r>
        <w:rPr>
          <w:i/>
          <w:iCs/>
          <w:color w:val="000000"/>
        </w:rPr>
        <w:t xml:space="preserve">See </w:t>
      </w:r>
      <w:r>
        <w:rPr>
          <w:color w:val="000000"/>
        </w:rPr>
        <w:t xml:space="preserve">31 U.S.C. </w:t>
      </w:r>
      <w:r w:rsidRPr="00A33A36">
        <w:rPr>
          <w:color w:val="000000"/>
        </w:rPr>
        <w:t>§</w:t>
      </w:r>
      <w:r>
        <w:rPr>
          <w:color w:val="000000"/>
        </w:rPr>
        <w:t> 313.</w:t>
      </w:r>
    </w:p>
  </w:footnote>
  <w:footnote w:id="6">
    <w:p w:rsidR="0003202D" w:rsidP="002C7DB7" w14:paraId="48CABF03" w14:textId="12D60D74">
      <w:pPr>
        <w:pStyle w:val="FootnoteText"/>
        <w:spacing w:before="80" w:after="80"/>
      </w:pPr>
      <w:r w:rsidRPr="002C7DB7">
        <w:rPr>
          <w:rStyle w:val="FootnoteReference"/>
          <w:vertAlign w:val="superscript"/>
        </w:rPr>
        <w:footnoteRef/>
      </w:r>
      <w:r>
        <w:t xml:space="preserve"> </w:t>
      </w:r>
      <w:r>
        <w:rPr>
          <w:i/>
          <w:iCs/>
          <w:color w:val="000000"/>
        </w:rPr>
        <w:t xml:space="preserve">See </w:t>
      </w:r>
      <w:r>
        <w:rPr>
          <w:color w:val="000000"/>
        </w:rPr>
        <w:t xml:space="preserve">31 U.S.C. </w:t>
      </w:r>
      <w:r w:rsidRPr="00A33A36">
        <w:rPr>
          <w:color w:val="000000"/>
        </w:rPr>
        <w:t>§</w:t>
      </w:r>
      <w:r>
        <w:rPr>
          <w:color w:val="000000"/>
        </w:rPr>
        <w:t xml:space="preserve"> 313(c)(1)(A).</w:t>
      </w:r>
    </w:p>
  </w:footnote>
  <w:footnote w:id="7">
    <w:p w:rsidR="0003202D" w:rsidP="002C7DB7" w14:paraId="3D79C997" w14:textId="38F274D2">
      <w:pPr>
        <w:pStyle w:val="FootnoteText"/>
        <w:spacing w:before="80" w:after="80"/>
      </w:pPr>
      <w:r w:rsidRPr="002C7DB7">
        <w:rPr>
          <w:rStyle w:val="FootnoteReference"/>
          <w:vertAlign w:val="superscript"/>
        </w:rPr>
        <w:footnoteRef/>
      </w:r>
      <w:r>
        <w:t xml:space="preserve"> </w:t>
      </w:r>
      <w:r>
        <w:rPr>
          <w:i/>
          <w:iCs/>
          <w:color w:val="000000"/>
        </w:rPr>
        <w:t xml:space="preserve">See </w:t>
      </w:r>
      <w:r>
        <w:rPr>
          <w:color w:val="000000"/>
        </w:rPr>
        <w:t xml:space="preserve">31 U.S.C. </w:t>
      </w:r>
      <w:r w:rsidRPr="00A33A36">
        <w:rPr>
          <w:color w:val="000000"/>
        </w:rPr>
        <w:t>§</w:t>
      </w:r>
      <w:r>
        <w:rPr>
          <w:color w:val="000000"/>
        </w:rPr>
        <w:t xml:space="preserve"> 313(c)(1)(B).</w:t>
      </w:r>
    </w:p>
  </w:footnote>
  <w:footnote w:id="8">
    <w:p w:rsidR="0003202D" w:rsidP="002C7DB7" w14:paraId="08A10F18" w14:textId="4FAF094A">
      <w:pPr>
        <w:pStyle w:val="FootnoteText"/>
        <w:spacing w:before="80" w:after="80"/>
      </w:pPr>
      <w:r w:rsidRPr="002C7DB7">
        <w:rPr>
          <w:rStyle w:val="FootnoteReference"/>
          <w:vertAlign w:val="superscript"/>
        </w:rPr>
        <w:footnoteRef/>
      </w:r>
      <w:r>
        <w:t xml:space="preserve"> </w:t>
      </w:r>
      <w:r>
        <w:rPr>
          <w:i/>
          <w:iCs/>
          <w:color w:val="000000"/>
        </w:rPr>
        <w:t xml:space="preserve">See </w:t>
      </w:r>
      <w:r>
        <w:rPr>
          <w:color w:val="000000"/>
        </w:rPr>
        <w:t xml:space="preserve">31 U.S.C. </w:t>
      </w:r>
      <w:r w:rsidRPr="00A33A36">
        <w:rPr>
          <w:color w:val="000000"/>
        </w:rPr>
        <w:t>§</w:t>
      </w:r>
      <w:r>
        <w:rPr>
          <w:color w:val="000000"/>
        </w:rPr>
        <w:t xml:space="preserve"> 313(e).</w:t>
      </w:r>
    </w:p>
  </w:footnote>
  <w:footnote w:id="9">
    <w:p w:rsidR="0003202D" w:rsidP="002C7DB7" w14:paraId="058542A0" w14:textId="036DD649">
      <w:pPr>
        <w:pStyle w:val="FootnoteText"/>
        <w:spacing w:before="80" w:after="80"/>
      </w:pPr>
      <w:r w:rsidRPr="002C7DB7">
        <w:rPr>
          <w:rStyle w:val="FootnoteReference"/>
          <w:vertAlign w:val="superscript"/>
        </w:rPr>
        <w:footnoteRef/>
      </w:r>
      <w:r>
        <w:t xml:space="preserve"> </w:t>
      </w:r>
      <w:r>
        <w:rPr>
          <w:i/>
          <w:iCs/>
          <w:color w:val="000000"/>
        </w:rPr>
        <w:t xml:space="preserve">See </w:t>
      </w:r>
      <w:r>
        <w:rPr>
          <w:color w:val="000000"/>
        </w:rPr>
        <w:t xml:space="preserve">31 U.S.C. </w:t>
      </w:r>
      <w:r w:rsidRPr="00A33A36">
        <w:rPr>
          <w:color w:val="000000"/>
        </w:rPr>
        <w:t>§§</w:t>
      </w:r>
      <w:r>
        <w:rPr>
          <w:color w:val="000000"/>
        </w:rPr>
        <w:t xml:space="preserve"> 313(d) and 313(e)(1)(D).</w:t>
      </w:r>
    </w:p>
  </w:footnote>
  <w:footnote w:id="10">
    <w:p w:rsidR="006D3728" w:rsidP="002C7DB7" w14:paraId="097BC0BC" w14:textId="48D24651">
      <w:pPr>
        <w:pStyle w:val="FootnoteText"/>
        <w:spacing w:before="80" w:after="80"/>
      </w:pPr>
      <w:r w:rsidRPr="00C01314">
        <w:rPr>
          <w:rStyle w:val="FootnoteReference"/>
          <w:vertAlign w:val="superscript"/>
        </w:rPr>
        <w:footnoteRef/>
      </w:r>
      <w:r w:rsidRPr="00C01314">
        <w:rPr>
          <w:vertAlign w:val="superscript"/>
        </w:rPr>
        <w:t xml:space="preserve"> </w:t>
      </w:r>
      <w:r>
        <w:rPr>
          <w:color w:val="000000"/>
        </w:rPr>
        <w:t>Financial Stability Oversight Council</w:t>
      </w:r>
      <w:r>
        <w:t xml:space="preserve">, </w:t>
      </w:r>
      <w:r>
        <w:rPr>
          <w:i/>
          <w:iCs/>
        </w:rPr>
        <w:t xml:space="preserve">Report on Climate-Related Financial Risk </w:t>
      </w:r>
      <w:r>
        <w:t xml:space="preserve">(October 2021), 12, </w:t>
      </w:r>
      <w:hyperlink r:id="rId1" w:history="1">
        <w:r w:rsidRPr="00B46F91">
          <w:rPr>
            <w:rStyle w:val="Hyperlink"/>
          </w:rPr>
          <w:t>https://home.treasury.gov/system/files/261/FSOC-Climate-Report.pdf</w:t>
        </w:r>
      </w:hyperlink>
      <w:r>
        <w:t>.</w:t>
      </w:r>
    </w:p>
  </w:footnote>
  <w:footnote w:id="11">
    <w:p w:rsidR="00AF0D5A" w:rsidP="002C7DB7" w14:paraId="7B57AC8C" w14:textId="677E2213">
      <w:pPr>
        <w:pStyle w:val="FootnoteText"/>
        <w:spacing w:before="80" w:after="80"/>
      </w:pPr>
      <w:r w:rsidRPr="002C7DB7">
        <w:rPr>
          <w:rStyle w:val="FootnoteReference"/>
          <w:vertAlign w:val="superscript"/>
        </w:rPr>
        <w:footnoteRef/>
      </w:r>
      <w:r>
        <w:t xml:space="preserve"> </w:t>
      </w:r>
      <w:r>
        <w:rPr>
          <w:rFonts w:eastAsiaTheme="minorEastAsia"/>
          <w:i/>
          <w:iCs/>
        </w:rPr>
        <w:t>See, e.g.</w:t>
      </w:r>
      <w:r>
        <w:rPr>
          <w:rFonts w:eastAsiaTheme="minorEastAsia"/>
        </w:rPr>
        <w:t>, October 2022 FRN, 87 Fed. Reg. at 64,138-64,140.</w:t>
      </w:r>
    </w:p>
  </w:footnote>
  <w:footnote w:id="12">
    <w:p w:rsidR="006D3728" w:rsidP="002C7DB7" w14:paraId="6B9DB1AE" w14:textId="77777777">
      <w:pPr>
        <w:pStyle w:val="FootnoteText"/>
        <w:spacing w:before="80" w:after="80"/>
      </w:pPr>
      <w:r w:rsidRPr="003541AD">
        <w:rPr>
          <w:rStyle w:val="FootnoteReference"/>
          <w:vertAlign w:val="superscript"/>
        </w:rPr>
        <w:footnoteRef/>
      </w:r>
      <w:r>
        <w:t xml:space="preserve"> </w:t>
      </w:r>
      <w:r>
        <w:rPr>
          <w:rFonts w:eastAsiaTheme="minorEastAsia"/>
        </w:rPr>
        <w:t xml:space="preserve">Limited granular data is available from </w:t>
      </w:r>
      <w:r>
        <w:t>s</w:t>
      </w:r>
      <w:r w:rsidRPr="004E5CD9">
        <w:t>tatistical agents</w:t>
      </w:r>
      <w:r>
        <w:t>, but obtaining this would require payment of significant fees, and, in any event, would not meet FIO’s needs because such data is not collected by statistical agents in a standardized format, does not provide consistent coverage across all states, and does not include all elements needed for FIO’s initial analysis of climate-related risks.</w:t>
      </w:r>
    </w:p>
  </w:footnote>
  <w:footnote w:id="13">
    <w:p w:rsidR="00B13A14" w:rsidP="002C7DB7" w14:paraId="5B5ADC8A" w14:textId="77777777">
      <w:pPr>
        <w:pStyle w:val="FootnoteText"/>
        <w:spacing w:before="80" w:after="80"/>
      </w:pPr>
      <w:r w:rsidRPr="000E6E23">
        <w:rPr>
          <w:rStyle w:val="FootnoteReference"/>
          <w:vertAlign w:val="superscript"/>
        </w:rPr>
        <w:footnoteRef/>
      </w:r>
      <w:r>
        <w:t xml:space="preserve"> </w:t>
      </w:r>
      <w:r>
        <w:rPr>
          <w:rStyle w:val="Emphasis"/>
        </w:rPr>
        <w:t>See, e.g.,</w:t>
      </w:r>
      <w:r>
        <w:t xml:space="preserve"> Shanthi Ramnath &amp; Will Jeziorski, “Homeowners Insurance and Climate Change,” </w:t>
      </w:r>
      <w:r>
        <w:rPr>
          <w:rStyle w:val="Emphasis"/>
        </w:rPr>
        <w:t>Chicago Fed Newsletter,</w:t>
      </w:r>
      <w:r>
        <w:t xml:space="preserve"> September 2021,</w:t>
      </w:r>
      <w:r w:rsidRPr="00025C2E">
        <w:t xml:space="preserve"> </w:t>
      </w:r>
      <w:hyperlink r:id="rId2" w:history="1">
        <w:r w:rsidRPr="002011D1">
          <w:rPr>
            <w:rStyle w:val="Hyperlink"/>
          </w:rPr>
          <w:t>https://www.chicagofed.org/publications/chicago-fed-letter/2021/460</w:t>
        </w:r>
      </w:hyperlink>
      <w:r w:rsidRPr="00025C2E">
        <w:t>.</w:t>
      </w:r>
    </w:p>
  </w:footnote>
  <w:footnote w:id="14">
    <w:p w:rsidR="006D3728" w:rsidRPr="005B7442" w:rsidP="002C7DB7" w14:paraId="2D0CEB9F" w14:textId="1888F12F">
      <w:pPr>
        <w:pStyle w:val="FootnoteText"/>
        <w:spacing w:before="80" w:after="80"/>
      </w:pPr>
      <w:r w:rsidRPr="00527ED1">
        <w:rPr>
          <w:rStyle w:val="FootnoteReference"/>
          <w:vertAlign w:val="superscript"/>
        </w:rPr>
        <w:footnoteRef/>
      </w:r>
      <w:r>
        <w:t xml:space="preserve"> NAIC, </w:t>
      </w:r>
      <w:r w:rsidRPr="005B7442">
        <w:rPr>
          <w:i/>
          <w:iCs/>
        </w:rPr>
        <w:t>Dwelling Fire, Homeowners Owner-Occupied, and Homeowners Tenant and Condominium/Cooperative Unit Owner’s Insurance Report: Data for 2020</w:t>
      </w:r>
      <w:r>
        <w:rPr>
          <w:i/>
          <w:iCs/>
        </w:rPr>
        <w:t xml:space="preserve"> </w:t>
      </w:r>
      <w:r>
        <w:t xml:space="preserve">(December 2022), 4, </w:t>
      </w:r>
      <w:hyperlink r:id="rId3" w:history="1">
        <w:r w:rsidRPr="00A7181E">
          <w:rPr>
            <w:rStyle w:val="Hyperlink"/>
          </w:rPr>
          <w:t>https://naic.soutronglobal.net/Portal/Public/en-GB/DownloadImageFile.ashx?objectId=9803&amp;ownerType=0&amp;ownerId=2006</w:t>
        </w:r>
      </w:hyperlink>
      <w:r>
        <w:t>.</w:t>
      </w:r>
    </w:p>
  </w:footnote>
  <w:footnote w:id="15">
    <w:p w:rsidR="00B13A14" w:rsidP="002C7DB7" w14:paraId="78456710" w14:textId="2EC0B4F1">
      <w:pPr>
        <w:pStyle w:val="FootnoteText"/>
        <w:spacing w:before="80" w:after="80"/>
      </w:pPr>
      <w:r w:rsidRPr="003541AD">
        <w:rPr>
          <w:rStyle w:val="FootnoteReference"/>
          <w:vertAlign w:val="superscript"/>
        </w:rPr>
        <w:footnoteRef/>
      </w:r>
      <w:r>
        <w:t xml:space="preserve"> Notably, the </w:t>
      </w:r>
      <w:r w:rsidRPr="008B213D">
        <w:t xml:space="preserve">use of </w:t>
      </w:r>
      <w:r>
        <w:t>ZIP Code</w:t>
      </w:r>
      <w:r w:rsidR="00797756">
        <w:t xml:space="preserve"> </w:t>
      </w:r>
      <w:r>
        <w:t>level</w:t>
      </w:r>
      <w:r w:rsidRPr="008B213D">
        <w:t xml:space="preserve"> data </w:t>
      </w:r>
      <w:r>
        <w:t xml:space="preserve">in certain circumstances </w:t>
      </w:r>
      <w:r w:rsidRPr="008B213D">
        <w:t xml:space="preserve">by </w:t>
      </w:r>
      <w:r w:rsidR="004F2B77">
        <w:t>S</w:t>
      </w:r>
      <w:r>
        <w:t xml:space="preserve">tate </w:t>
      </w:r>
      <w:r w:rsidR="004F2B77">
        <w:t>I</w:t>
      </w:r>
      <w:r>
        <w:t xml:space="preserve">nsurance </w:t>
      </w:r>
      <w:r w:rsidR="004F2B77">
        <w:t>R</w:t>
      </w:r>
      <w:r>
        <w:t>egulators in at least seven</w:t>
      </w:r>
      <w:r w:rsidRPr="008B213D">
        <w:t xml:space="preserve"> states (</w:t>
      </w:r>
      <w:r>
        <w:t xml:space="preserve">California, </w:t>
      </w:r>
      <w:r w:rsidRPr="008B213D">
        <w:t>Florida, Illinois, Massachusetts, Missouri, Tennessee,</w:t>
      </w:r>
      <w:r>
        <w:t xml:space="preserve"> and </w:t>
      </w:r>
      <w:r w:rsidRPr="008B213D">
        <w:t>Texas) demonstrate</w:t>
      </w:r>
      <w:r>
        <w:t>s</w:t>
      </w:r>
      <w:r w:rsidRPr="008B213D">
        <w:t xml:space="preserve"> the </w:t>
      </w:r>
      <w:r>
        <w:t>appropriateness and</w:t>
      </w:r>
      <w:r w:rsidRPr="008B213D">
        <w:t xml:space="preserve"> </w:t>
      </w:r>
      <w:r>
        <w:t xml:space="preserve">the potential benefits </w:t>
      </w:r>
      <w:r w:rsidRPr="008B213D">
        <w:t>of this</w:t>
      </w:r>
      <w:r>
        <w:t xml:space="preserve"> level of analysis</w:t>
      </w:r>
      <w:r w:rsidRPr="008B213D">
        <w:t xml:space="preserve"> for FIO’s climate-related analyses</w:t>
      </w:r>
      <w:r>
        <w:t xml:space="preserve">.  </w:t>
      </w:r>
      <w:r w:rsidRPr="00C01314">
        <w:rPr>
          <w:i/>
          <w:iCs/>
        </w:rPr>
        <w:t>See, e.g.</w:t>
      </w:r>
      <w:r w:rsidRPr="00C01314">
        <w:t>, October 2022 FRN, 87 Fed. Reg. at 64,138.</w:t>
      </w:r>
    </w:p>
  </w:footnote>
  <w:footnote w:id="16">
    <w:p w:rsidR="00B13A14" w:rsidRPr="00E84E63" w:rsidP="002C7DB7" w14:paraId="198FC9E6" w14:textId="77777777">
      <w:pPr>
        <w:pStyle w:val="FootnoteText"/>
        <w:spacing w:before="80" w:after="80"/>
      </w:pPr>
      <w:r w:rsidRPr="00C01314">
        <w:rPr>
          <w:rStyle w:val="FootnoteReference"/>
          <w:vertAlign w:val="superscript"/>
        </w:rPr>
        <w:footnoteRef/>
      </w:r>
      <w:r w:rsidRPr="00C01314">
        <w:rPr>
          <w:vertAlign w:val="superscript"/>
        </w:rPr>
        <w:t xml:space="preserve"> </w:t>
      </w:r>
      <w:r>
        <w:t xml:space="preserve">Insurance information may be reported on either a calendar year or an accident year basis, depending on the type of information being reported.  </w:t>
      </w:r>
      <w:r w:rsidRPr="00E84E63">
        <w:t xml:space="preserve">Accident year reporting monitors </w:t>
      </w:r>
      <w:r>
        <w:t xml:space="preserve">loss development of a claim over time (and </w:t>
      </w:r>
      <w:r w:rsidRPr="00E84E63">
        <w:t>typically includes losses when they occur, not when they are reported</w:t>
      </w:r>
      <w:r>
        <w:t>)</w:t>
      </w:r>
      <w:r w:rsidRPr="00E84E63">
        <w:t xml:space="preserve">.  For example, </w:t>
      </w:r>
      <w:r>
        <w:t>if a hurricane occurs in 2017, then 2017 would be the accident year.  Losses and claims associated with the hurricane could occur in 2017 but could also develop into subsequent years as policyholders submit claims and receive payments over time but would be reported for the 2017 accident year.</w:t>
      </w:r>
      <w:r w:rsidRPr="00E84E63">
        <w:t xml:space="preserve"> </w:t>
      </w:r>
      <w:r>
        <w:t xml:space="preserve"> On the other hand,</w:t>
      </w:r>
      <w:r w:rsidRPr="00E84E63">
        <w:t xml:space="preserve"> </w:t>
      </w:r>
      <w:r>
        <w:t xml:space="preserve">calendar year reporting does not change or develop over time beyond the calendar year. </w:t>
      </w:r>
      <w:r w:rsidRPr="00E84E63">
        <w:t xml:space="preserve"> For example, premiums </w:t>
      </w:r>
      <w:r>
        <w:t xml:space="preserve">based on a </w:t>
      </w:r>
      <w:r w:rsidRPr="00E84E63">
        <w:t xml:space="preserve">2017 </w:t>
      </w:r>
      <w:r>
        <w:t xml:space="preserve">calendar year </w:t>
      </w:r>
      <w:r w:rsidRPr="00E84E63">
        <w:t>would include premiums from January 1 to December 31</w:t>
      </w:r>
      <w:r>
        <w:t>,</w:t>
      </w:r>
      <w:r w:rsidRPr="00E84E63">
        <w:t xml:space="preserve"> 2017.</w:t>
      </w:r>
    </w:p>
  </w:footnote>
  <w:footnote w:id="17">
    <w:p w:rsidR="00B13A14" w:rsidRPr="00AA7B28" w:rsidP="002C7DB7" w14:paraId="3C414469" w14:textId="19F3FE13">
      <w:pPr>
        <w:pStyle w:val="CommentText"/>
        <w:spacing w:before="80" w:after="80"/>
      </w:pPr>
      <w:r w:rsidRPr="006B5C93">
        <w:rPr>
          <w:vertAlign w:val="superscript"/>
        </w:rPr>
        <w:footnoteRef/>
      </w:r>
      <w:r w:rsidRPr="00064C75">
        <w:rPr>
          <w:vertAlign w:val="superscript"/>
        </w:rPr>
        <w:t xml:space="preserve"> </w:t>
      </w:r>
      <w:r>
        <w:rPr>
          <w:i/>
          <w:iCs/>
        </w:rPr>
        <w:t xml:space="preserve">See, e.g., </w:t>
      </w:r>
      <w:r>
        <w:t xml:space="preserve">NAIC, </w:t>
      </w:r>
      <w:r>
        <w:rPr>
          <w:i/>
          <w:iCs/>
        </w:rPr>
        <w:t>D</w:t>
      </w:r>
      <w:r w:rsidRPr="001236A9">
        <w:rPr>
          <w:i/>
          <w:iCs/>
        </w:rPr>
        <w:t>welling Fire,</w:t>
      </w:r>
      <w:r>
        <w:rPr>
          <w:i/>
          <w:iCs/>
        </w:rPr>
        <w:t xml:space="preserve"> </w:t>
      </w:r>
      <w:r w:rsidRPr="001236A9">
        <w:rPr>
          <w:i/>
          <w:iCs/>
        </w:rPr>
        <w:t>Homeowners Owner-Occupied, and Homeowners Tenant and Condominium/</w:t>
      </w:r>
      <w:r>
        <w:rPr>
          <w:i/>
          <w:iCs/>
        </w:rPr>
        <w:t>C</w:t>
      </w:r>
      <w:r w:rsidRPr="001236A9">
        <w:rPr>
          <w:i/>
          <w:iCs/>
        </w:rPr>
        <w:t>ooperative Unit Owner’s Insurance Report: Data for 2020</w:t>
      </w:r>
      <w:r>
        <w:rPr>
          <w:i/>
          <w:iCs/>
        </w:rPr>
        <w:t xml:space="preserve"> </w:t>
      </w:r>
      <w:r>
        <w:t xml:space="preserve">(2022), Tables 3, 4, and 5, </w:t>
      </w:r>
      <w:hyperlink r:id="rId3" w:history="1">
        <w:r w:rsidRPr="00665A1A" w:rsidR="00C3620B">
          <w:rPr>
            <w:rStyle w:val="Hyperlink"/>
          </w:rPr>
          <w:t>https://naic.soutronglobal.net/Portal/Public/en-GB/DownloadImageFile.ashx?objectId=9803&amp;ownerType=0&amp;ownerId=2006</w:t>
        </w:r>
      </w:hyperlink>
      <w:r>
        <w:t xml:space="preserve">; </w:t>
      </w:r>
      <w:r w:rsidRPr="001236A9">
        <w:t xml:space="preserve">Massachusetts Division of Insurance, </w:t>
      </w:r>
      <w:r w:rsidRPr="00524BA2">
        <w:rPr>
          <w:i/>
          <w:iCs/>
        </w:rPr>
        <w:t>Annual Home Insurance Report for Calendar Year 2020</w:t>
      </w:r>
      <w:r w:rsidRPr="001236A9">
        <w:t xml:space="preserve">, </w:t>
      </w:r>
      <w:r>
        <w:t>11</w:t>
      </w:r>
      <w:r w:rsidRPr="001236A9">
        <w:t xml:space="preserve">, </w:t>
      </w:r>
      <w:hyperlink r:id="rId4" w:history="1">
        <w:r w:rsidRPr="002655D6">
          <w:rPr>
            <w:rStyle w:val="Hyperlink"/>
          </w:rPr>
          <w:t>https://www.mass.gov/doc/the-2020-massachusetts-market-for-home-insurance/download</w:t>
        </w:r>
      </w:hyperlink>
      <w:r>
        <w:t>.</w:t>
      </w:r>
    </w:p>
  </w:footnote>
  <w:footnote w:id="18">
    <w:p w:rsidR="00B13A14" w:rsidRPr="00E84E63" w:rsidP="002C7DB7" w14:paraId="2EEA5167" w14:textId="77777777">
      <w:pPr>
        <w:pStyle w:val="FootnoteText"/>
        <w:spacing w:before="80" w:after="80"/>
      </w:pPr>
      <w:r w:rsidRPr="00A04618">
        <w:rPr>
          <w:rStyle w:val="FootnoteReference"/>
          <w:vertAlign w:val="superscript"/>
        </w:rPr>
        <w:footnoteRef/>
      </w:r>
      <w:r w:rsidRPr="00E84E63">
        <w:t xml:space="preserve"> </w:t>
      </w:r>
      <w:r>
        <w:t>LexisNexis Risk Solutions, “</w:t>
      </w:r>
      <w:r w:rsidRPr="00A04618">
        <w:rPr>
          <w:iCs/>
        </w:rPr>
        <w:t>Annual U.S. Home Insurance Trends Report Confirms Upward Trend in Loss Cost and Severity across All Perils</w:t>
      </w:r>
      <w:r w:rsidRPr="004115CF">
        <w:rPr>
          <w:iCs/>
        </w:rPr>
        <w:t>,</w:t>
      </w:r>
      <w:r>
        <w:rPr>
          <w:iCs/>
        </w:rPr>
        <w:t>” news release, October 13, 2022,</w:t>
      </w:r>
      <w:r>
        <w:t xml:space="preserve"> </w:t>
      </w:r>
      <w:hyperlink r:id="rId5" w:history="1">
        <w:r w:rsidRPr="00E84E63">
          <w:rPr>
            <w:rStyle w:val="Hyperlink"/>
          </w:rPr>
          <w:t>https://risk.lexisnexis.com/about-us/press-room/press-release/20221013-home-insurance-trends-report</w:t>
        </w:r>
      </w:hyperlink>
      <w:r>
        <w:t>;</w:t>
      </w:r>
      <w:r w:rsidRPr="00E84E63">
        <w:t xml:space="preserve"> </w:t>
      </w:r>
      <w:r>
        <w:t>Pat Howard &amp; Kara McGinley, “</w:t>
      </w:r>
      <w:r w:rsidRPr="00A04618">
        <w:rPr>
          <w:iCs/>
        </w:rPr>
        <w:t>Homeowners Insurance Claims Statistics in 2023</w:t>
      </w:r>
      <w:r>
        <w:rPr>
          <w:iCs/>
        </w:rPr>
        <w:t>,”</w:t>
      </w:r>
      <w:r w:rsidRPr="00E84E63">
        <w:t xml:space="preserve"> </w:t>
      </w:r>
      <w:r w:rsidRPr="00A04618">
        <w:rPr>
          <w:i/>
          <w:iCs/>
        </w:rPr>
        <w:t>Policygenius</w:t>
      </w:r>
      <w:r>
        <w:t>, December 22, 2022,</w:t>
      </w:r>
      <w:r w:rsidRPr="00E84E63">
        <w:t xml:space="preserve"> </w:t>
      </w:r>
      <w:hyperlink r:id="rId6" w:history="1">
        <w:r w:rsidRPr="00DD1755">
          <w:rPr>
            <w:rStyle w:val="Hyperlink"/>
          </w:rPr>
          <w:t>https://www.policygenius.com/homeowners-insurance/homeowners-insurance-statistics/</w:t>
        </w:r>
      </w:hyperlink>
      <w:r w:rsidRPr="00E84E63">
        <w:t>.</w:t>
      </w:r>
    </w:p>
  </w:footnote>
  <w:footnote w:id="19">
    <w:p w:rsidR="00B13A14" w:rsidRPr="00A04618" w:rsidP="002C7DB7" w14:paraId="6E41AD6A" w14:textId="77777777">
      <w:pPr>
        <w:pStyle w:val="FootnoteText"/>
        <w:spacing w:before="80" w:after="80"/>
      </w:pPr>
      <w:r w:rsidRPr="00A04618">
        <w:rPr>
          <w:rStyle w:val="FootnoteReference"/>
          <w:vertAlign w:val="superscript"/>
        </w:rPr>
        <w:footnoteRef/>
      </w:r>
      <w:r w:rsidRPr="00E84E63">
        <w:t xml:space="preserve"> AM Best, </w:t>
      </w:r>
      <w:r w:rsidRPr="00D775B3">
        <w:rPr>
          <w:i/>
          <w:iCs/>
        </w:rPr>
        <w:t>Best’s Guide to Understanding the Insurance Industry</w:t>
      </w:r>
      <w:r w:rsidRPr="00E84E63">
        <w:t xml:space="preserve"> (2023),</w:t>
      </w:r>
      <w:r>
        <w:t xml:space="preserve"> </w:t>
      </w:r>
      <w:r w:rsidRPr="00E84E63">
        <w:t xml:space="preserve">6, </w:t>
      </w:r>
      <w:hyperlink r:id="rId7" w:history="1">
        <w:r w:rsidRPr="00E84E63">
          <w:rPr>
            <w:rStyle w:val="Hyperlink"/>
          </w:rPr>
          <w:t>https://web.ambest.com/information-services/sales-information/best-s-guide-to-understanding-the-insurance-industry</w:t>
        </w:r>
      </w:hyperlink>
      <w:r>
        <w:rPr>
          <w:rStyle w:val="Hyperlink"/>
          <w:u w:val="none"/>
        </w:rPr>
        <w:t>.</w:t>
      </w:r>
    </w:p>
  </w:footnote>
  <w:footnote w:id="20">
    <w:p w:rsidR="00B13A14" w:rsidRPr="00E84E63" w:rsidP="002C7DB7" w14:paraId="68A6A2E8" w14:textId="77777777">
      <w:pPr>
        <w:pStyle w:val="FootnoteText"/>
        <w:spacing w:before="80" w:after="80"/>
      </w:pPr>
      <w:r w:rsidRPr="00F619D1">
        <w:rPr>
          <w:rStyle w:val="FootnoteReference"/>
          <w:vertAlign w:val="superscript"/>
        </w:rPr>
        <w:footnoteRef/>
      </w:r>
      <w:r w:rsidRPr="00E84E63">
        <w:t xml:space="preserve"> </w:t>
      </w:r>
      <w:bookmarkStart w:id="33" w:name="_Hlk146461945"/>
      <w:r w:rsidRPr="00F619D1">
        <w:rPr>
          <w:i/>
        </w:rPr>
        <w:t>See</w:t>
      </w:r>
      <w:r w:rsidRPr="00E84E63">
        <w:t xml:space="preserve"> </w:t>
      </w:r>
      <w:r w:rsidRPr="009B0B84">
        <w:t>Martin Grace</w:t>
      </w:r>
      <w:r>
        <w:t xml:space="preserve"> &amp;</w:t>
      </w:r>
      <w:r w:rsidRPr="009B0B84">
        <w:t xml:space="preserve"> Robert Klein, “Homeowners Insurance: “Markets Trends, Issues and Problems,” </w:t>
      </w:r>
      <w:r w:rsidRPr="00F619D1">
        <w:rPr>
          <w:i/>
        </w:rPr>
        <w:t>SSRN Electronic Journal</w:t>
      </w:r>
      <w:r w:rsidRPr="009B0B84">
        <w:t xml:space="preserve">, August 2003, </w:t>
      </w:r>
      <w:hyperlink r:id="rId8" w:history="1">
        <w:r w:rsidRPr="007362E3">
          <w:rPr>
            <w:rStyle w:val="Hyperlink"/>
          </w:rPr>
          <w:t>https://www.researchgate.net/publication/228227047_Homeowners_Insurance_Market_Trends_Issues_and_Problems</w:t>
        </w:r>
      </w:hyperlink>
      <w:r>
        <w:t>.</w:t>
      </w:r>
      <w:bookmarkEnd w:id="33"/>
    </w:p>
  </w:footnote>
  <w:footnote w:id="21">
    <w:p w:rsidR="00A83499" w:rsidP="002C7DB7" w14:paraId="72D31201" w14:textId="3F793F81">
      <w:pPr>
        <w:spacing w:before="80" w:after="80"/>
      </w:pPr>
      <w:r w:rsidRPr="00F619D1">
        <w:rPr>
          <w:rStyle w:val="FootnoteReference"/>
          <w:sz w:val="20"/>
          <w:szCs w:val="20"/>
          <w:vertAlign w:val="superscript"/>
        </w:rPr>
        <w:footnoteRef/>
      </w:r>
      <w:r w:rsidRPr="00F619D1">
        <w:rPr>
          <w:sz w:val="20"/>
          <w:szCs w:val="20"/>
          <w:vertAlign w:val="superscript"/>
        </w:rPr>
        <w:t xml:space="preserve"> </w:t>
      </w:r>
      <w:r>
        <w:rPr>
          <w:sz w:val="20"/>
          <w:szCs w:val="20"/>
        </w:rPr>
        <w:t>The</w:t>
      </w:r>
      <w:r w:rsidRPr="00F619D1">
        <w:rPr>
          <w:color w:val="000000"/>
          <w:sz w:val="20"/>
          <w:szCs w:val="20"/>
        </w:rPr>
        <w:t xml:space="preserve"> group-level submissions </w:t>
      </w:r>
      <w:r>
        <w:rPr>
          <w:color w:val="000000"/>
          <w:sz w:val="20"/>
          <w:szCs w:val="20"/>
        </w:rPr>
        <w:t xml:space="preserve">will be aggregated </w:t>
      </w:r>
      <w:r w:rsidR="00F9272F">
        <w:rPr>
          <w:color w:val="000000"/>
          <w:sz w:val="20"/>
          <w:szCs w:val="20"/>
        </w:rPr>
        <w:t xml:space="preserve">across insurance groups </w:t>
      </w:r>
      <w:r w:rsidRPr="00F619D1">
        <w:rPr>
          <w:color w:val="000000"/>
          <w:sz w:val="20"/>
          <w:szCs w:val="20"/>
        </w:rPr>
        <w:t>to the ZIP Code level</w:t>
      </w:r>
      <w:r w:rsidR="009177A4">
        <w:rPr>
          <w:color w:val="000000"/>
          <w:sz w:val="20"/>
          <w:szCs w:val="20"/>
        </w:rPr>
        <w:t>,</w:t>
      </w:r>
      <w:r w:rsidRPr="00F619D1">
        <w:rPr>
          <w:color w:val="000000"/>
          <w:sz w:val="20"/>
          <w:szCs w:val="20"/>
        </w:rPr>
        <w:t xml:space="preserve"> and </w:t>
      </w:r>
      <w:r>
        <w:rPr>
          <w:color w:val="000000"/>
          <w:sz w:val="20"/>
          <w:szCs w:val="20"/>
        </w:rPr>
        <w:t xml:space="preserve">FIO </w:t>
      </w:r>
      <w:r w:rsidRPr="00F619D1">
        <w:rPr>
          <w:color w:val="000000"/>
          <w:sz w:val="20"/>
          <w:szCs w:val="20"/>
        </w:rPr>
        <w:t>will not publish data or analysis of specific companies or groups or compar</w:t>
      </w:r>
      <w:r>
        <w:rPr>
          <w:color w:val="000000"/>
          <w:sz w:val="20"/>
          <w:szCs w:val="20"/>
        </w:rPr>
        <w:t xml:space="preserve">isons of </w:t>
      </w:r>
      <w:r w:rsidRPr="00F619D1">
        <w:rPr>
          <w:color w:val="000000"/>
          <w:sz w:val="20"/>
          <w:szCs w:val="20"/>
        </w:rPr>
        <w:t xml:space="preserve">results across companies or groups.  </w:t>
      </w:r>
      <w:r>
        <w:rPr>
          <w:color w:val="000000"/>
          <w:sz w:val="20"/>
          <w:szCs w:val="20"/>
        </w:rPr>
        <w:t>In addition,</w:t>
      </w:r>
      <w:r w:rsidRPr="00F619D1">
        <w:rPr>
          <w:color w:val="000000"/>
          <w:sz w:val="20"/>
          <w:szCs w:val="20"/>
        </w:rPr>
        <w:t xml:space="preserve"> FIO </w:t>
      </w:r>
      <w:r>
        <w:rPr>
          <w:color w:val="000000"/>
          <w:sz w:val="20"/>
          <w:szCs w:val="20"/>
        </w:rPr>
        <w:t>will not</w:t>
      </w:r>
      <w:r w:rsidRPr="00F619D1">
        <w:rPr>
          <w:color w:val="000000"/>
          <w:sz w:val="20"/>
          <w:szCs w:val="20"/>
        </w:rPr>
        <w:t xml:space="preserve"> publish data </w:t>
      </w:r>
      <w:r>
        <w:rPr>
          <w:color w:val="000000"/>
          <w:sz w:val="20"/>
          <w:szCs w:val="20"/>
        </w:rPr>
        <w:t xml:space="preserve">on, </w:t>
      </w:r>
      <w:r w:rsidRPr="00F619D1">
        <w:rPr>
          <w:color w:val="000000"/>
          <w:sz w:val="20"/>
          <w:szCs w:val="20"/>
        </w:rPr>
        <w:t>or analysis of the solvency of</w:t>
      </w:r>
      <w:r>
        <w:rPr>
          <w:color w:val="000000"/>
          <w:sz w:val="20"/>
          <w:szCs w:val="20"/>
        </w:rPr>
        <w:t>,</w:t>
      </w:r>
      <w:r w:rsidRPr="00F619D1">
        <w:rPr>
          <w:color w:val="000000"/>
          <w:sz w:val="20"/>
          <w:szCs w:val="20"/>
        </w:rPr>
        <w:t xml:space="preserve"> any individual insurance companies or groups </w:t>
      </w:r>
      <w:r>
        <w:rPr>
          <w:color w:val="000000"/>
          <w:sz w:val="20"/>
          <w:szCs w:val="20"/>
        </w:rPr>
        <w:t>based on</w:t>
      </w:r>
      <w:r w:rsidRPr="00F619D1">
        <w:rPr>
          <w:color w:val="000000"/>
          <w:sz w:val="20"/>
          <w:szCs w:val="20"/>
        </w:rPr>
        <w:t xml:space="preserve"> the data collected</w:t>
      </w:r>
      <w:r>
        <w:rPr>
          <w:color w:val="000000"/>
          <w:sz w:val="20"/>
          <w:szCs w:val="20"/>
        </w:rPr>
        <w:t>.</w:t>
      </w:r>
    </w:p>
  </w:footnote>
  <w:footnote w:id="22">
    <w:p w:rsidR="000A3C79" w:rsidRPr="00FE3507" w:rsidP="002C7DB7" w14:paraId="1F1262F7" w14:textId="31EA4EA7">
      <w:pPr>
        <w:pStyle w:val="FootnoteText"/>
        <w:spacing w:before="80" w:after="80"/>
      </w:pPr>
      <w:r w:rsidRPr="00F619D1">
        <w:rPr>
          <w:rStyle w:val="FootnoteReference"/>
          <w:vertAlign w:val="superscript"/>
        </w:rPr>
        <w:footnoteRef/>
      </w:r>
      <w:r w:rsidRPr="00FE3507">
        <w:t xml:space="preserve"> 31 U.S.C. § 313(e)(4)</w:t>
      </w:r>
      <w:r w:rsidR="00B3368C">
        <w:t xml:space="preserve"> </w:t>
      </w:r>
      <w:r w:rsidRPr="00B3368C" w:rsidR="00B3368C">
        <w:t>provides that “Before collecting any data or information under paragraph (2) from an insurer, or affiliate of an insurer, the Office shall coordinate with each relevant Federal agency and State insurance regulator (or other relevant Federal or State regulatory agency, if any, in the case of an affiliate of an insurer) and any publicly available sources to determine if the information to be collected is available from, and may be obtained in a timely manner by, such Federal agency or State insurance regulator, individually or collectively, other regulatory agency, or publicly available sources.  If the Director determines that such data or information is available, and may be obtained in a timely manner, from such an agency, regulator, regulatory agency, or source, the Director shall obtain the data or information from such agency, regulator, regulatory agency, or source.  If the Director determines that such data or information is not so available, the Director may collect such data or information from an insurer (or affiliate) only if the Director complies with the requirements of subchapter I of chapter 35 of title 44, United States Code (relating to Federal information policy; commonly known as the Paperwork Reduction Act), in collecting such data or information.  Notwithstanding any other provision of law, each such relevant Federal agency and State insurance regulator or other Federal or State regulatory agency is authorized to provide to the Office such data or information.”</w:t>
      </w:r>
    </w:p>
  </w:footnote>
  <w:footnote w:id="23">
    <w:p w:rsidR="006D3728" w:rsidRPr="00FE3507" w:rsidP="002C7DB7" w14:paraId="5EB682BC" w14:textId="23D3299C">
      <w:pPr>
        <w:pStyle w:val="FootnoteText"/>
        <w:spacing w:before="80" w:after="80"/>
      </w:pPr>
      <w:r w:rsidRPr="00F619D1">
        <w:rPr>
          <w:rStyle w:val="FootnoteReference"/>
          <w:vertAlign w:val="superscript"/>
        </w:rPr>
        <w:footnoteRef/>
      </w:r>
      <w:r w:rsidRPr="00F619D1">
        <w:rPr>
          <w:vertAlign w:val="superscript"/>
        </w:rPr>
        <w:t xml:space="preserve"> </w:t>
      </w:r>
      <w:r w:rsidR="00F9272F">
        <w:rPr>
          <w:i/>
          <w:iCs/>
        </w:rPr>
        <w:t>See</w:t>
      </w:r>
      <w:r>
        <w:t xml:space="preserve"> </w:t>
      </w:r>
      <w:r w:rsidRPr="00FE3507">
        <w:t>87 Fed. Reg. at 64,140.</w:t>
      </w:r>
    </w:p>
  </w:footnote>
  <w:footnote w:id="24">
    <w:p w:rsidR="006D3728" w:rsidRPr="00F619D1" w:rsidP="002C7DB7" w14:paraId="1AC24E26" w14:textId="77777777">
      <w:pPr>
        <w:pStyle w:val="pf0"/>
        <w:spacing w:before="80" w:beforeAutospacing="0" w:after="80" w:afterAutospacing="0"/>
        <w:rPr>
          <w:b/>
          <w:sz w:val="20"/>
        </w:rPr>
      </w:pPr>
      <w:r w:rsidRPr="00F619D1">
        <w:rPr>
          <w:rStyle w:val="FootnoteReference"/>
          <w:sz w:val="20"/>
          <w:szCs w:val="20"/>
          <w:vertAlign w:val="superscript"/>
        </w:rPr>
        <w:footnoteRef/>
      </w:r>
      <w:r w:rsidRPr="00F619D1">
        <w:rPr>
          <w:sz w:val="20"/>
          <w:szCs w:val="20"/>
          <w:vertAlign w:val="superscript"/>
        </w:rPr>
        <w:t xml:space="preserve"> </w:t>
      </w:r>
      <w:r w:rsidRPr="0028274B">
        <w:rPr>
          <w:sz w:val="20"/>
          <w:szCs w:val="20"/>
        </w:rPr>
        <w:t xml:space="preserve">NAIC, “NAIC to Issue Data Call to Help Regulators Better Understand Property Markets,” news release, August 15, 2023, </w:t>
      </w:r>
      <w:hyperlink r:id="rId9" w:history="1">
        <w:r w:rsidRPr="00F619D1">
          <w:rPr>
            <w:rStyle w:val="cf11"/>
            <w:rFonts w:ascii="Times New Roman" w:hAnsi="Times New Roman" w:cs="Times New Roman"/>
            <w:b w:val="0"/>
            <w:color w:val="0000FF"/>
            <w:sz w:val="20"/>
            <w:szCs w:val="20"/>
            <w:u w:val="single"/>
          </w:rPr>
          <w:t>https://content.naic.org/article/naic-issue-data-call-help-regulators-better-understand-property-markets</w:t>
        </w:r>
      </w:hyperlink>
      <w:r w:rsidRPr="0028274B">
        <w:rPr>
          <w:sz w:val="20"/>
          <w:szCs w:val="20"/>
        </w:rPr>
        <w:t>.</w:t>
      </w:r>
    </w:p>
  </w:footnote>
  <w:footnote w:id="25">
    <w:p w:rsidR="00B13A14" w:rsidP="002C7DB7" w14:paraId="610CE277" w14:textId="77777777">
      <w:pPr>
        <w:pStyle w:val="FootnoteText"/>
        <w:spacing w:before="80" w:after="80"/>
      </w:pPr>
      <w:r w:rsidRPr="00F619D1">
        <w:rPr>
          <w:rStyle w:val="FootnoteReference"/>
          <w:vertAlign w:val="superscript"/>
        </w:rPr>
        <w:footnoteRef/>
      </w:r>
      <w:r>
        <w:t xml:space="preserve"> L</w:t>
      </w:r>
      <w:r w:rsidRPr="00F02912">
        <w:t xml:space="preserve">iability risk </w:t>
      </w:r>
      <w:r>
        <w:t>is “</w:t>
      </w:r>
      <w:r w:rsidRPr="00F02912">
        <w:t>a risk where an insured is liable to a third party as a result of or caused by any act, error, omission, representation or statement by the insured</w:t>
      </w:r>
      <w:r>
        <w:t>.”  “</w:t>
      </w:r>
      <w:r>
        <w:rPr>
          <w:i/>
          <w:iCs/>
        </w:rPr>
        <w:t xml:space="preserve">Liability Risk </w:t>
      </w:r>
      <w:r>
        <w:t xml:space="preserve">Definition,” Law Insider, </w:t>
      </w:r>
      <w:hyperlink r:id="rId10" w:history="1">
        <w:r w:rsidRPr="00574836">
          <w:rPr>
            <w:rStyle w:val="Hyperlink"/>
          </w:rPr>
          <w:t>https://www.lawinsider.com/dictionary/liability-risk</w:t>
        </w:r>
      </w:hyperlink>
      <w:r>
        <w:t>.</w:t>
      </w:r>
    </w:p>
  </w:footnote>
  <w:footnote w:id="26">
    <w:p w:rsidR="00B13A14" w:rsidP="002C7DB7" w14:paraId="4658C9F8" w14:textId="6F8674DA">
      <w:pPr>
        <w:pStyle w:val="FootnoteText"/>
        <w:spacing w:before="80" w:after="80"/>
      </w:pPr>
      <w:r w:rsidRPr="00F619D1">
        <w:rPr>
          <w:rStyle w:val="FootnoteReference"/>
          <w:vertAlign w:val="superscript"/>
        </w:rPr>
        <w:footnoteRef/>
      </w:r>
      <w:r w:rsidRPr="00F619D1">
        <w:rPr>
          <w:vertAlign w:val="superscript"/>
        </w:rPr>
        <w:t xml:space="preserve"> </w:t>
      </w:r>
      <w:r>
        <w:t>As noted in the October 2022 FRN, the average wage rate for all insurance employees was $40.47 in June 2022, and the total benefit compensation in the 1st Quarter of 2022 was 34.1 percent, which is a benefit multiplier of 1.341.  Therefore, a fully-loaded wage rate for insurance employees in 2022 was $54.27 (i.e., $40.47 × 1.341), b</w:t>
      </w:r>
      <w:r w:rsidRPr="008C4A2D">
        <w:t>ased on data from “Insurance Carriers and Related Activities: NAICS 524,” U.S. Bureau of Labor Statistics</w:t>
      </w:r>
      <w:r>
        <w:t xml:space="preserve">, </w:t>
      </w:r>
      <w:hyperlink r:id="rId11" w:history="1">
        <w:r w:rsidRPr="00CE589F">
          <w:rPr>
            <w:rStyle w:val="Hyperlink"/>
          </w:rPr>
          <w:t>https://www.bls.gov/iag/tgs/iag524.htm</w:t>
        </w:r>
      </w:hyperlink>
      <w:r>
        <w:t xml:space="preserve">.  </w:t>
      </w:r>
      <w:r w:rsidRPr="008C4A2D">
        <w:t>Based on data from</w:t>
      </w:r>
      <w:r>
        <w:t xml:space="preserve"> that same source, in 2023, the fully-loaded wage rate for insurance employees increased to $</w:t>
      </w:r>
      <w:r w:rsidR="00B86BB6">
        <w:t>58.30</w:t>
      </w:r>
      <w:r>
        <w:t xml:space="preserve"> (i.e., $</w:t>
      </w:r>
      <w:r w:rsidR="00B86BB6">
        <w:t>43.31</w:t>
      </w:r>
      <w:r>
        <w:t xml:space="preserve"> for </w:t>
      </w:r>
      <w:r w:rsidRPr="008C4A2D">
        <w:t xml:space="preserve">the average wage rate for all insurance employees </w:t>
      </w:r>
      <w:r>
        <w:t xml:space="preserve">in July 2023 x 1.346 benefit multiplier for </w:t>
      </w:r>
      <w:r w:rsidRPr="008C4A2D">
        <w:t xml:space="preserve">the total benefit compensation in the </w:t>
      </w:r>
      <w:r>
        <w:t>2nd</w:t>
      </w:r>
      <w:r w:rsidRPr="008C4A2D">
        <w:t xml:space="preserve"> Quarter of 202</w:t>
      </w:r>
      <w:r>
        <w:t>3</w:t>
      </w:r>
      <w:r w:rsidRPr="008C4A2D">
        <w:t xml:space="preserve"> </w:t>
      </w:r>
      <w:r>
        <w:t xml:space="preserve">of </w:t>
      </w:r>
      <w:r w:rsidRPr="008C4A2D">
        <w:t>34.</w:t>
      </w:r>
      <w:r>
        <w:t>6</w:t>
      </w:r>
      <w:r w:rsidRPr="008C4A2D">
        <w:t xml:space="preserve"> percent</w:t>
      </w:r>
      <w:r>
        <w:t>)</w:t>
      </w:r>
      <w:r w:rsidRPr="008C4A2D">
        <w:t>.</w:t>
      </w:r>
    </w:p>
  </w:footnote>
  <w:footnote w:id="27">
    <w:p w:rsidR="006D3728" w:rsidP="002C7DB7" w14:paraId="134EFA74" w14:textId="77777777">
      <w:pPr>
        <w:pStyle w:val="FootnoteText"/>
        <w:spacing w:before="80" w:after="80"/>
      </w:pPr>
      <w:r w:rsidRPr="00F619D1">
        <w:rPr>
          <w:rStyle w:val="FootnoteReference"/>
          <w:vertAlign w:val="superscript"/>
        </w:rPr>
        <w:footnoteRef/>
      </w:r>
      <w:r w:rsidRPr="00F619D1">
        <w:rPr>
          <w:vertAlign w:val="superscript"/>
        </w:rPr>
        <w:t xml:space="preserve"> </w:t>
      </w:r>
      <w:r w:rsidRPr="00F619D1">
        <w:rPr>
          <w:i/>
        </w:rPr>
        <w:t>See</w:t>
      </w:r>
      <w:r w:rsidRPr="009A3309">
        <w:t xml:space="preserve"> California Department of Insurance, </w:t>
      </w:r>
      <w:r>
        <w:t>“</w:t>
      </w:r>
      <w:r w:rsidRPr="009A3309">
        <w:t>FACT SHEET: Data on Insurance Non-Renewals and FAIR Plan,</w:t>
      </w:r>
      <w:r>
        <w:t>”</w:t>
      </w:r>
      <w:r w:rsidRPr="009A3309">
        <w:t xml:space="preserve"> </w:t>
      </w:r>
      <w:r>
        <w:t>news release, December 20, 2021</w:t>
      </w:r>
      <w:r w:rsidRPr="009A3309">
        <w:t xml:space="preserve">, </w:t>
      </w:r>
      <w:hyperlink r:id="rId12" w:history="1">
        <w:r w:rsidRPr="00574836">
          <w:rPr>
            <w:rStyle w:val="Hyperlink"/>
          </w:rPr>
          <w:t>https://www.insurance.ca.gov/0400-news/0100-press-releases/2021/upload/nr117DataNon-RenewalsandFAIRPlan12202021.pdf</w:t>
        </w:r>
      </w:hyperlink>
      <w:r>
        <w:t xml:space="preserve">; NAIC, </w:t>
      </w:r>
      <w:r>
        <w:rPr>
          <w:i/>
          <w:iCs/>
        </w:rPr>
        <w:t>Property &amp; Casualty Market Conduct Annual Statement Homeowner Data Call &amp; Definitions</w:t>
      </w:r>
      <w:r>
        <w:t>,</w:t>
      </w:r>
      <w:r w:rsidRPr="008D4236">
        <w:t xml:space="preserve"> </w:t>
      </w:r>
      <w:hyperlink r:id="rId13" w:history="1">
        <w:r w:rsidRPr="00E0029D">
          <w:rPr>
            <w:rStyle w:val="Hyperlink"/>
          </w:rPr>
          <w:t>https://content.naic.org/sites/default/files/inline-files/industry_mcas_data_call_def_homeowners_2020.pdf</w:t>
        </w:r>
      </w:hyperlink>
      <w:r w:rsidRPr="008D4236">
        <w:t>.  While the “Number of Policies Not Renewed or Retained” is not an annual statutory filing field, the NAIC collects statewide information on “Number of Company-Initiated non-renewals during the period</w:t>
      </w:r>
      <w:r>
        <w:t>,</w:t>
      </w:r>
      <w:r w:rsidRPr="008D4236">
        <w:t>” “Number of cancellations for non-pay or non-sufficient funds</w:t>
      </w:r>
      <w:r>
        <w:t>,</w:t>
      </w:r>
      <w:r w:rsidRPr="008D4236">
        <w:t xml:space="preserve">” and “Number of cancellations at the insured’s request” from insurers writing </w:t>
      </w:r>
      <w:r>
        <w:t>homeowners</w:t>
      </w:r>
      <w:r w:rsidRPr="008D4236">
        <w:t xml:space="preserve"> policies as part of its Market Conduct Annual Statement data call</w:t>
      </w:r>
      <w:r>
        <w:t xml:space="preserve"> and t</w:t>
      </w:r>
      <w:r w:rsidRPr="008D4236">
        <w:t>hese fields collectively sum to the number of policies not renewed or retained.</w:t>
      </w:r>
    </w:p>
  </w:footnote>
  <w:footnote w:id="28">
    <w:p w:rsidR="006D3728" w:rsidP="002C7DB7" w14:paraId="2344D864" w14:textId="6D7E8F17">
      <w:pPr>
        <w:pStyle w:val="FootnoteText"/>
        <w:spacing w:before="80" w:after="80"/>
      </w:pPr>
      <w:r w:rsidRPr="004742F4">
        <w:rPr>
          <w:rStyle w:val="FootnoteReference"/>
          <w:vertAlign w:val="superscript"/>
        </w:rPr>
        <w:footnoteRef/>
      </w:r>
      <w:r>
        <w:t xml:space="preserve"> “Facts + Statistics: Homeowners and Renters Insurance,” Insurance Information Institute, </w:t>
      </w:r>
      <w:hyperlink r:id="rId14" w:history="1">
        <w:r w:rsidRPr="00DF4E1C">
          <w:rPr>
            <w:rStyle w:val="Hyperlink"/>
          </w:rPr>
          <w:t>https://www.iii.org/fact-statistic/facts-statistics-homeowners-and-renters-insurance</w:t>
        </w:r>
      </w:hyperlink>
      <w:r>
        <w:t>.</w:t>
      </w:r>
    </w:p>
  </w:footnote>
  <w:footnote w:id="29">
    <w:p w:rsidR="001C2409" w:rsidP="002C7DB7" w14:paraId="4C68FB62" w14:textId="19794646">
      <w:pPr>
        <w:pStyle w:val="FootnoteText"/>
        <w:spacing w:before="80" w:after="80"/>
      </w:pPr>
      <w:r w:rsidRPr="004742F4">
        <w:rPr>
          <w:rStyle w:val="FootnoteReference"/>
          <w:vertAlign w:val="superscript"/>
        </w:rPr>
        <w:footnoteRef/>
      </w:r>
      <w:r w:rsidRPr="004742F4" w:rsidR="00B13A14">
        <w:rPr>
          <w:vertAlign w:val="superscript"/>
        </w:rPr>
        <w:t xml:space="preserve"> </w:t>
      </w:r>
      <w:r w:rsidR="00B13A14">
        <w:t>In the instructions to the proposed data template for the October 2022 FRN, FIO specified that insurers should report data for their homeowners multi-peril line of business and include only data for mobile homeowners, owner-occupied homeowners, and other homeowners policy form types (i.e., HO-1, HO-2, HO-3, HO-5, HO-7, and HO-8 policies).  The October 2022 FRN proposed to exclude homeowners policies for condominiums and renters (i.e., HO-4 and HO-6 policies).</w:t>
      </w:r>
    </w:p>
  </w:footnote>
  <w:footnote w:id="30">
    <w:p w:rsidR="00312578" w:rsidP="00312578" w14:paraId="64E816F1" w14:textId="77777777">
      <w:pPr>
        <w:pStyle w:val="FootnoteText"/>
      </w:pPr>
      <w:r w:rsidRPr="00873E45">
        <w:rPr>
          <w:rStyle w:val="FootnoteReference"/>
          <w:vertAlign w:val="superscript"/>
        </w:rPr>
        <w:footnoteRef/>
      </w:r>
      <w:r>
        <w:t xml:space="preserve"> </w:t>
      </w:r>
      <w:r w:rsidRPr="00567631">
        <w:t xml:space="preserve"> 5 U.S.C. </w:t>
      </w:r>
      <w:r>
        <w:t xml:space="preserve">§ </w:t>
      </w:r>
      <w:r w:rsidRPr="00567631">
        <w:t>552(b)(4)</w:t>
      </w:r>
      <w:r>
        <w:t>.</w:t>
      </w:r>
    </w:p>
  </w:footnote>
  <w:footnote w:id="31">
    <w:p w:rsidR="006D6F82" w:rsidRPr="003C0331" w:rsidP="002C7DB7" w14:paraId="7280CCD1" w14:textId="256442B5">
      <w:pPr>
        <w:pStyle w:val="FootnoteText"/>
        <w:spacing w:before="80" w:after="80"/>
      </w:pPr>
      <w:r w:rsidRPr="004742F4">
        <w:rPr>
          <w:rStyle w:val="FootnoteReference"/>
          <w:vertAlign w:val="superscript"/>
        </w:rPr>
        <w:footnoteRef/>
      </w:r>
      <w:r>
        <w:t xml:space="preserve"> Based on data from “Insurance Carriers and Related Activities:  NAICS 524,” U.S. Bureau of Labor Statistics, </w:t>
      </w:r>
      <w:hyperlink r:id="rId11" w:history="1">
        <w:r w:rsidRPr="00AF2EF6">
          <w:rPr>
            <w:rStyle w:val="Hyperlink"/>
          </w:rPr>
          <w:t>https://www.bls.gov/iag/tgs/iag524.htm</w:t>
        </w:r>
      </w:hyperlink>
      <w:r w:rsidRPr="004742F4" w:rsidR="00B13A14">
        <w:rPr>
          <w:rStyle w:val="Hyperlink"/>
          <w:u w:val="none"/>
        </w:rPr>
        <w:t xml:space="preserve">, </w:t>
      </w:r>
      <w:r w:rsidR="00B13A14">
        <w:t>the average wage rate for all insurance employees was $</w:t>
      </w:r>
      <w:r w:rsidR="00B86BB6">
        <w:t>43.31</w:t>
      </w:r>
      <w:r w:rsidR="00B13A14">
        <w:t xml:space="preserve"> in July 2023, and the total benefit compensation in the 2nd Quarter of 2023 was 34.6 percent (i.e., a benefit multiplier of 1.346) so the fully-loaded wage rate for insurance employees is $</w:t>
      </w:r>
      <w:r w:rsidR="00B86BB6">
        <w:t>58.30</w:t>
      </w:r>
      <w:r w:rsidR="00B13A14">
        <w:t xml:space="preserve"> (i.e., $</w:t>
      </w:r>
      <w:r w:rsidR="00B86BB6">
        <w:t>43.31</w:t>
      </w:r>
      <w:r w:rsidR="00B13A14">
        <w:t xml:space="preserve"> × 1.346).</w:t>
      </w:r>
    </w:p>
  </w:footnote>
  <w:footnote w:id="32">
    <w:p w:rsidR="002A08D1" w14:paraId="30D8DE50" w14:textId="44AF2F71">
      <w:pPr>
        <w:pStyle w:val="FootnoteText"/>
      </w:pPr>
      <w:r w:rsidRPr="00185EEB">
        <w:rPr>
          <w:rStyle w:val="FootnoteReference"/>
          <w:vertAlign w:val="superscript"/>
        </w:rPr>
        <w:footnoteRef/>
      </w:r>
      <w:r>
        <w:t xml:space="preserve"> Data on revenues for the 13 groups was derived from S&amp;P Global Market Intelligence (S&amp;P Global) on October 18, 2023.  Data for the revenue of </w:t>
      </w:r>
      <w:bookmarkStart w:id="98" w:name="_Hlk148631130"/>
      <w:r w:rsidR="00B86BB6">
        <w:t>the standalone entity</w:t>
      </w:r>
      <w:r>
        <w:t xml:space="preserve"> </w:t>
      </w:r>
      <w:bookmarkEnd w:id="98"/>
      <w:r>
        <w:t xml:space="preserve">came from its </w:t>
      </w:r>
      <w:r w:rsidR="00B86BB6">
        <w:t>a</w:t>
      </w:r>
      <w:r>
        <w:t xml:space="preserve">nnual </w:t>
      </w:r>
      <w:r w:rsidR="00B86BB6">
        <w:t>s</w:t>
      </w:r>
      <w:r>
        <w:t>tatement for 2022.</w:t>
      </w:r>
    </w:p>
  </w:footnote>
  <w:footnote w:id="33">
    <w:p w:rsidR="00806C33" w:rsidP="00185EEB" w14:paraId="14146213" w14:textId="07A79202">
      <w:pPr>
        <w:tabs>
          <w:tab w:val="left" w:pos="0"/>
          <w:tab w:val="left" w:pos="720"/>
        </w:tabs>
        <w:spacing w:before="240" w:after="240"/>
      </w:pPr>
      <w:r w:rsidRPr="00185EEB">
        <w:rPr>
          <w:rStyle w:val="FootnoteReference"/>
          <w:vertAlign w:val="superscript"/>
        </w:rPr>
        <w:footnoteRef/>
      </w:r>
      <w:r w:rsidRPr="00E8142E">
        <w:rPr>
          <w:color w:val="000000"/>
          <w:sz w:val="20"/>
          <w:szCs w:val="20"/>
        </w:rPr>
        <w:t xml:space="preserve">Attachments A through C are also available at “Reports &amp; Notices,” U.S. Department of the Treasury, webpage, </w:t>
      </w:r>
      <w:hyperlink r:id="rId15" w:history="1">
        <w:r w:rsidRPr="00E8142E">
          <w:rPr>
            <w:rStyle w:val="Hyperlink"/>
            <w:sz w:val="20"/>
            <w:szCs w:val="20"/>
          </w:rPr>
          <w:t>https://home.treasury.gov/policy-issues/financial-markets-financial-institutions-and-fiscal-service/federal-insurance-office/reports-notices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5B" w:rsidRPr="00FF595B" w14:paraId="467170AF" w14:textId="5A1D93FF">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B84B5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D6D3E"/>
    <w:multiLevelType w:val="hybridMultilevel"/>
    <w:tmpl w:val="44EA52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D120D"/>
    <w:multiLevelType w:val="hybridMultilevel"/>
    <w:tmpl w:val="97E808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6B004B"/>
    <w:multiLevelType w:val="hybridMultilevel"/>
    <w:tmpl w:val="B1EAED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B67404"/>
    <w:multiLevelType w:val="hybridMultilevel"/>
    <w:tmpl w:val="0D06F3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290E96"/>
    <w:multiLevelType w:val="hybridMultilevel"/>
    <w:tmpl w:val="18E8FF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F53ED"/>
    <w:multiLevelType w:val="hybridMultilevel"/>
    <w:tmpl w:val="6898FA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A94AF5"/>
    <w:multiLevelType w:val="hybridMultilevel"/>
    <w:tmpl w:val="5BD689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DBB5655"/>
    <w:multiLevelType w:val="hybridMultilevel"/>
    <w:tmpl w:val="41420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6D39C3"/>
    <w:multiLevelType w:val="hybridMultilevel"/>
    <w:tmpl w:val="EE1688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5E7AED"/>
    <w:multiLevelType w:val="hybridMultilevel"/>
    <w:tmpl w:val="824AC9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C14F28"/>
    <w:multiLevelType w:val="hybridMultilevel"/>
    <w:tmpl w:val="D2AA5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7672AC"/>
    <w:multiLevelType w:val="hybridMultilevel"/>
    <w:tmpl w:val="02888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D879BE"/>
    <w:multiLevelType w:val="hybridMultilevel"/>
    <w:tmpl w:val="61AC5D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5A23781"/>
    <w:multiLevelType w:val="multilevel"/>
    <w:tmpl w:val="3BA20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E92961"/>
    <w:multiLevelType w:val="hybridMultilevel"/>
    <w:tmpl w:val="9BAE123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0C6474"/>
    <w:multiLevelType w:val="hybridMultilevel"/>
    <w:tmpl w:val="8D6256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191068"/>
    <w:multiLevelType w:val="hybridMultilevel"/>
    <w:tmpl w:val="1DB871F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18">
    <w:nsid w:val="42F85AED"/>
    <w:multiLevelType w:val="hybridMultilevel"/>
    <w:tmpl w:val="049411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6C7011E"/>
    <w:multiLevelType w:val="hybridMultilevel"/>
    <w:tmpl w:val="069AB5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8CA3222"/>
    <w:multiLevelType w:val="hybridMultilevel"/>
    <w:tmpl w:val="F4D2C9E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1">
    <w:nsid w:val="4FC87282"/>
    <w:multiLevelType w:val="hybridMultilevel"/>
    <w:tmpl w:val="CEA41E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344278"/>
    <w:multiLevelType w:val="hybridMultilevel"/>
    <w:tmpl w:val="797E71B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3D2630C"/>
    <w:multiLevelType w:val="hybridMultilevel"/>
    <w:tmpl w:val="9060416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435954"/>
    <w:multiLevelType w:val="hybridMultilevel"/>
    <w:tmpl w:val="EE1688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3F7CFF"/>
    <w:multiLevelType w:val="hybridMultilevel"/>
    <w:tmpl w:val="4F4ED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AB58AF"/>
    <w:multiLevelType w:val="hybridMultilevel"/>
    <w:tmpl w:val="F05CA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DC4BD1"/>
    <w:multiLevelType w:val="hybridMultilevel"/>
    <w:tmpl w:val="FE02379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770442"/>
    <w:multiLevelType w:val="hybridMultilevel"/>
    <w:tmpl w:val="9B4887A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E6E609F"/>
    <w:multiLevelType w:val="hybridMultilevel"/>
    <w:tmpl w:val="01CC675C"/>
    <w:lvl w:ilvl="0">
      <w:start w:val="0"/>
      <w:numFmt w:val="bullet"/>
      <w:lvlText w:val=""/>
      <w:lvlJc w:val="left"/>
      <w:pPr>
        <w:ind w:left="360" w:hanging="360"/>
      </w:pPr>
      <w:rPr>
        <w:rFonts w:ascii="Symbol" w:hAnsi="Symbol" w:eastAsiaTheme="minorHAnsi" w:cstheme="minorBi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30D4450"/>
    <w:multiLevelType w:val="hybridMultilevel"/>
    <w:tmpl w:val="B6CC5B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672A59"/>
    <w:multiLevelType w:val="hybridMultilevel"/>
    <w:tmpl w:val="6898FA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5E5E6E"/>
    <w:multiLevelType w:val="hybridMultilevel"/>
    <w:tmpl w:val="FD5E8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C40C74"/>
    <w:multiLevelType w:val="hybridMultilevel"/>
    <w:tmpl w:val="9CEA4AA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6B24DBC"/>
    <w:multiLevelType w:val="hybridMultilevel"/>
    <w:tmpl w:val="B9022CC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A644E6"/>
    <w:multiLevelType w:val="hybridMultilevel"/>
    <w:tmpl w:val="EE1688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8745487">
    <w:abstractNumId w:val="28"/>
  </w:num>
  <w:num w:numId="2" w16cid:durableId="2030645583">
    <w:abstractNumId w:val="22"/>
  </w:num>
  <w:num w:numId="3" w16cid:durableId="781651071">
    <w:abstractNumId w:val="18"/>
  </w:num>
  <w:num w:numId="4" w16cid:durableId="832380063">
    <w:abstractNumId w:val="30"/>
  </w:num>
  <w:num w:numId="5" w16cid:durableId="1668436554">
    <w:abstractNumId w:val="16"/>
  </w:num>
  <w:num w:numId="6" w16cid:durableId="210964414">
    <w:abstractNumId w:val="15"/>
  </w:num>
  <w:num w:numId="7" w16cid:durableId="1746567166">
    <w:abstractNumId w:val="21"/>
  </w:num>
  <w:num w:numId="8" w16cid:durableId="1607536734">
    <w:abstractNumId w:val="35"/>
  </w:num>
  <w:num w:numId="9" w16cid:durableId="13826282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6973742">
    <w:abstractNumId w:val="7"/>
  </w:num>
  <w:num w:numId="11" w16cid:durableId="442501726">
    <w:abstractNumId w:val="34"/>
  </w:num>
  <w:num w:numId="12" w16cid:durableId="664282036">
    <w:abstractNumId w:val="2"/>
  </w:num>
  <w:num w:numId="13" w16cid:durableId="239409120">
    <w:abstractNumId w:val="24"/>
  </w:num>
  <w:num w:numId="14" w16cid:durableId="1538732839">
    <w:abstractNumId w:val="9"/>
  </w:num>
  <w:num w:numId="15" w16cid:durableId="663238034">
    <w:abstractNumId w:val="10"/>
  </w:num>
  <w:num w:numId="16" w16cid:durableId="2024356155">
    <w:abstractNumId w:val="13"/>
  </w:num>
  <w:num w:numId="17" w16cid:durableId="904338552">
    <w:abstractNumId w:val="33"/>
  </w:num>
  <w:num w:numId="18" w16cid:durableId="825782382">
    <w:abstractNumId w:val="11"/>
  </w:num>
  <w:num w:numId="19" w16cid:durableId="609551590">
    <w:abstractNumId w:val="8"/>
  </w:num>
  <w:num w:numId="20" w16cid:durableId="1563446316">
    <w:abstractNumId w:val="19"/>
  </w:num>
  <w:num w:numId="21" w16cid:durableId="1772239415">
    <w:abstractNumId w:val="26"/>
  </w:num>
  <w:num w:numId="22" w16cid:durableId="1250385427">
    <w:abstractNumId w:val="25"/>
  </w:num>
  <w:num w:numId="23" w16cid:durableId="1011028495">
    <w:abstractNumId w:val="27"/>
  </w:num>
  <w:num w:numId="24" w16cid:durableId="1977833572">
    <w:abstractNumId w:val="5"/>
  </w:num>
  <w:num w:numId="25" w16cid:durableId="2099061118">
    <w:abstractNumId w:val="0"/>
  </w:num>
  <w:num w:numId="26" w16cid:durableId="842166470">
    <w:abstractNumId w:val="29"/>
  </w:num>
  <w:num w:numId="27" w16cid:durableId="1646474124">
    <w:abstractNumId w:val="20"/>
  </w:num>
  <w:num w:numId="28" w16cid:durableId="140082244">
    <w:abstractNumId w:val="1"/>
  </w:num>
  <w:num w:numId="29" w16cid:durableId="38476140">
    <w:abstractNumId w:val="4"/>
  </w:num>
  <w:num w:numId="30" w16cid:durableId="1465000247">
    <w:abstractNumId w:val="14"/>
  </w:num>
  <w:num w:numId="31" w16cid:durableId="597181287">
    <w:abstractNumId w:val="6"/>
  </w:num>
  <w:num w:numId="32" w16cid:durableId="246307066">
    <w:abstractNumId w:val="17"/>
  </w:num>
  <w:num w:numId="33" w16cid:durableId="835846214">
    <w:abstractNumId w:val="12"/>
  </w:num>
  <w:num w:numId="34" w16cid:durableId="1816140183">
    <w:abstractNumId w:val="32"/>
  </w:num>
  <w:num w:numId="35" w16cid:durableId="1926762471">
    <w:abstractNumId w:val="23"/>
  </w:num>
  <w:num w:numId="36" w16cid:durableId="1579437608">
    <w:abstractNumId w:val="31"/>
  </w:num>
  <w:num w:numId="37" w16cid:durableId="1787970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EF"/>
    <w:rsid w:val="0000043E"/>
    <w:rsid w:val="00000656"/>
    <w:rsid w:val="00000CEC"/>
    <w:rsid w:val="000016BD"/>
    <w:rsid w:val="00001B66"/>
    <w:rsid w:val="000029DD"/>
    <w:rsid w:val="00002DFD"/>
    <w:rsid w:val="000030B8"/>
    <w:rsid w:val="000033F2"/>
    <w:rsid w:val="000050CD"/>
    <w:rsid w:val="0000556C"/>
    <w:rsid w:val="00005ABF"/>
    <w:rsid w:val="000065F0"/>
    <w:rsid w:val="000069D7"/>
    <w:rsid w:val="00007A08"/>
    <w:rsid w:val="00007D80"/>
    <w:rsid w:val="00010C1A"/>
    <w:rsid w:val="000116DE"/>
    <w:rsid w:val="00011828"/>
    <w:rsid w:val="000125F3"/>
    <w:rsid w:val="00012836"/>
    <w:rsid w:val="000129A2"/>
    <w:rsid w:val="00012D3C"/>
    <w:rsid w:val="00013672"/>
    <w:rsid w:val="00013B90"/>
    <w:rsid w:val="00014B27"/>
    <w:rsid w:val="00014CB5"/>
    <w:rsid w:val="0001545B"/>
    <w:rsid w:val="00015919"/>
    <w:rsid w:val="00016812"/>
    <w:rsid w:val="00016C77"/>
    <w:rsid w:val="000170B4"/>
    <w:rsid w:val="0001727A"/>
    <w:rsid w:val="00020070"/>
    <w:rsid w:val="00020EF7"/>
    <w:rsid w:val="000212F2"/>
    <w:rsid w:val="000223DD"/>
    <w:rsid w:val="00022F7A"/>
    <w:rsid w:val="00023C3E"/>
    <w:rsid w:val="00024743"/>
    <w:rsid w:val="00025308"/>
    <w:rsid w:val="0002538C"/>
    <w:rsid w:val="00025C2E"/>
    <w:rsid w:val="000278EE"/>
    <w:rsid w:val="000279B6"/>
    <w:rsid w:val="00027A67"/>
    <w:rsid w:val="00027F8F"/>
    <w:rsid w:val="0003024C"/>
    <w:rsid w:val="000307C4"/>
    <w:rsid w:val="000309CA"/>
    <w:rsid w:val="00031828"/>
    <w:rsid w:val="00031A39"/>
    <w:rsid w:val="00031D9A"/>
    <w:rsid w:val="0003202D"/>
    <w:rsid w:val="000329AC"/>
    <w:rsid w:val="00032A36"/>
    <w:rsid w:val="0003397E"/>
    <w:rsid w:val="000348D3"/>
    <w:rsid w:val="00034E49"/>
    <w:rsid w:val="000357C0"/>
    <w:rsid w:val="00035D24"/>
    <w:rsid w:val="000372DD"/>
    <w:rsid w:val="00040001"/>
    <w:rsid w:val="0004033E"/>
    <w:rsid w:val="0004037C"/>
    <w:rsid w:val="00041597"/>
    <w:rsid w:val="00041974"/>
    <w:rsid w:val="00041D93"/>
    <w:rsid w:val="00042629"/>
    <w:rsid w:val="00042D4B"/>
    <w:rsid w:val="000430B0"/>
    <w:rsid w:val="00045FB7"/>
    <w:rsid w:val="0004613B"/>
    <w:rsid w:val="0004638C"/>
    <w:rsid w:val="000467EA"/>
    <w:rsid w:val="0004764A"/>
    <w:rsid w:val="00047EC8"/>
    <w:rsid w:val="00050733"/>
    <w:rsid w:val="00050964"/>
    <w:rsid w:val="00050DB1"/>
    <w:rsid w:val="00051FDF"/>
    <w:rsid w:val="00052BE8"/>
    <w:rsid w:val="00052D83"/>
    <w:rsid w:val="000533AB"/>
    <w:rsid w:val="00053FFF"/>
    <w:rsid w:val="000546CD"/>
    <w:rsid w:val="000549AA"/>
    <w:rsid w:val="00055C94"/>
    <w:rsid w:val="00055F75"/>
    <w:rsid w:val="00056448"/>
    <w:rsid w:val="00057D44"/>
    <w:rsid w:val="000603DD"/>
    <w:rsid w:val="00060BDA"/>
    <w:rsid w:val="00062401"/>
    <w:rsid w:val="00063178"/>
    <w:rsid w:val="00063A77"/>
    <w:rsid w:val="00064402"/>
    <w:rsid w:val="000646F0"/>
    <w:rsid w:val="00064A89"/>
    <w:rsid w:val="00064B6E"/>
    <w:rsid w:val="00064C75"/>
    <w:rsid w:val="00064E9C"/>
    <w:rsid w:val="00065A2F"/>
    <w:rsid w:val="0006608C"/>
    <w:rsid w:val="00070284"/>
    <w:rsid w:val="000706C5"/>
    <w:rsid w:val="00070F29"/>
    <w:rsid w:val="000729DF"/>
    <w:rsid w:val="00072DEE"/>
    <w:rsid w:val="00073B29"/>
    <w:rsid w:val="00073D19"/>
    <w:rsid w:val="00074060"/>
    <w:rsid w:val="00074439"/>
    <w:rsid w:val="000746E8"/>
    <w:rsid w:val="00074B0B"/>
    <w:rsid w:val="00075772"/>
    <w:rsid w:val="00075F82"/>
    <w:rsid w:val="000764E7"/>
    <w:rsid w:val="00077D4C"/>
    <w:rsid w:val="00080012"/>
    <w:rsid w:val="00080A91"/>
    <w:rsid w:val="00080C8F"/>
    <w:rsid w:val="00081562"/>
    <w:rsid w:val="0008219A"/>
    <w:rsid w:val="00082237"/>
    <w:rsid w:val="0008290F"/>
    <w:rsid w:val="00082D1C"/>
    <w:rsid w:val="00083160"/>
    <w:rsid w:val="00083AAF"/>
    <w:rsid w:val="00084552"/>
    <w:rsid w:val="000867DD"/>
    <w:rsid w:val="00086B5C"/>
    <w:rsid w:val="00090738"/>
    <w:rsid w:val="00090889"/>
    <w:rsid w:val="00090917"/>
    <w:rsid w:val="00092515"/>
    <w:rsid w:val="00092EA4"/>
    <w:rsid w:val="00093C46"/>
    <w:rsid w:val="00093D84"/>
    <w:rsid w:val="000941AC"/>
    <w:rsid w:val="000942E9"/>
    <w:rsid w:val="00094D67"/>
    <w:rsid w:val="00097BF1"/>
    <w:rsid w:val="00097EEA"/>
    <w:rsid w:val="000A13F0"/>
    <w:rsid w:val="000A1928"/>
    <w:rsid w:val="000A2E28"/>
    <w:rsid w:val="000A3260"/>
    <w:rsid w:val="000A3C79"/>
    <w:rsid w:val="000A6D4A"/>
    <w:rsid w:val="000A76D8"/>
    <w:rsid w:val="000A7882"/>
    <w:rsid w:val="000A7B37"/>
    <w:rsid w:val="000B00C0"/>
    <w:rsid w:val="000B0871"/>
    <w:rsid w:val="000B0A36"/>
    <w:rsid w:val="000B226A"/>
    <w:rsid w:val="000B58AB"/>
    <w:rsid w:val="000B5A4A"/>
    <w:rsid w:val="000B6666"/>
    <w:rsid w:val="000B688E"/>
    <w:rsid w:val="000B6928"/>
    <w:rsid w:val="000B7C7F"/>
    <w:rsid w:val="000C0F75"/>
    <w:rsid w:val="000C17D8"/>
    <w:rsid w:val="000C1DE6"/>
    <w:rsid w:val="000C21EF"/>
    <w:rsid w:val="000C2277"/>
    <w:rsid w:val="000C2490"/>
    <w:rsid w:val="000C25D8"/>
    <w:rsid w:val="000C3D37"/>
    <w:rsid w:val="000C3DF8"/>
    <w:rsid w:val="000C55ED"/>
    <w:rsid w:val="000D01C3"/>
    <w:rsid w:val="000D0219"/>
    <w:rsid w:val="000D08AB"/>
    <w:rsid w:val="000D1107"/>
    <w:rsid w:val="000D2E86"/>
    <w:rsid w:val="000D454C"/>
    <w:rsid w:val="000D6CEA"/>
    <w:rsid w:val="000D6F42"/>
    <w:rsid w:val="000E01DF"/>
    <w:rsid w:val="000E0D0C"/>
    <w:rsid w:val="000E0E36"/>
    <w:rsid w:val="000E137E"/>
    <w:rsid w:val="000E16B7"/>
    <w:rsid w:val="000E1AA6"/>
    <w:rsid w:val="000E22D4"/>
    <w:rsid w:val="000E2753"/>
    <w:rsid w:val="000E2A66"/>
    <w:rsid w:val="000E2E09"/>
    <w:rsid w:val="000E3046"/>
    <w:rsid w:val="000E3CDD"/>
    <w:rsid w:val="000E4134"/>
    <w:rsid w:val="000E4ABA"/>
    <w:rsid w:val="000E4FD8"/>
    <w:rsid w:val="000E6E23"/>
    <w:rsid w:val="000F41CA"/>
    <w:rsid w:val="000F4CB4"/>
    <w:rsid w:val="000F4DCF"/>
    <w:rsid w:val="000F5D4D"/>
    <w:rsid w:val="000F69D5"/>
    <w:rsid w:val="000F6CFA"/>
    <w:rsid w:val="000F6FBA"/>
    <w:rsid w:val="00100E65"/>
    <w:rsid w:val="00101D92"/>
    <w:rsid w:val="00102B54"/>
    <w:rsid w:val="00102CB0"/>
    <w:rsid w:val="001037C8"/>
    <w:rsid w:val="00103BD3"/>
    <w:rsid w:val="00104578"/>
    <w:rsid w:val="001045E0"/>
    <w:rsid w:val="00105A74"/>
    <w:rsid w:val="0010686D"/>
    <w:rsid w:val="00107A1F"/>
    <w:rsid w:val="00107D87"/>
    <w:rsid w:val="00107F37"/>
    <w:rsid w:val="001102BD"/>
    <w:rsid w:val="001117FC"/>
    <w:rsid w:val="0011216B"/>
    <w:rsid w:val="001128FA"/>
    <w:rsid w:val="001136B7"/>
    <w:rsid w:val="00113A7C"/>
    <w:rsid w:val="00113BA7"/>
    <w:rsid w:val="00114EB1"/>
    <w:rsid w:val="00117AEC"/>
    <w:rsid w:val="00117F0D"/>
    <w:rsid w:val="0012082A"/>
    <w:rsid w:val="00120A2E"/>
    <w:rsid w:val="00120AFE"/>
    <w:rsid w:val="001215AC"/>
    <w:rsid w:val="0012179F"/>
    <w:rsid w:val="0012297C"/>
    <w:rsid w:val="001236A9"/>
    <w:rsid w:val="00123ECD"/>
    <w:rsid w:val="00124B7D"/>
    <w:rsid w:val="00124D3E"/>
    <w:rsid w:val="001250E9"/>
    <w:rsid w:val="001252F0"/>
    <w:rsid w:val="001304D4"/>
    <w:rsid w:val="00130517"/>
    <w:rsid w:val="001321A4"/>
    <w:rsid w:val="001335D6"/>
    <w:rsid w:val="00133980"/>
    <w:rsid w:val="00134C51"/>
    <w:rsid w:val="00135B1A"/>
    <w:rsid w:val="00136070"/>
    <w:rsid w:val="0013645B"/>
    <w:rsid w:val="0014024D"/>
    <w:rsid w:val="00142093"/>
    <w:rsid w:val="00142304"/>
    <w:rsid w:val="00142975"/>
    <w:rsid w:val="001431FA"/>
    <w:rsid w:val="001432B3"/>
    <w:rsid w:val="001436E1"/>
    <w:rsid w:val="00143B09"/>
    <w:rsid w:val="001440D6"/>
    <w:rsid w:val="00144C06"/>
    <w:rsid w:val="00144C5A"/>
    <w:rsid w:val="00144EC8"/>
    <w:rsid w:val="001452A8"/>
    <w:rsid w:val="00145404"/>
    <w:rsid w:val="001456A0"/>
    <w:rsid w:val="00146819"/>
    <w:rsid w:val="00146853"/>
    <w:rsid w:val="00151035"/>
    <w:rsid w:val="00151259"/>
    <w:rsid w:val="001520C8"/>
    <w:rsid w:val="0015254D"/>
    <w:rsid w:val="00153BA2"/>
    <w:rsid w:val="001540EC"/>
    <w:rsid w:val="001549FC"/>
    <w:rsid w:val="00154B16"/>
    <w:rsid w:val="00155590"/>
    <w:rsid w:val="00157554"/>
    <w:rsid w:val="00157923"/>
    <w:rsid w:val="00157C92"/>
    <w:rsid w:val="001601CF"/>
    <w:rsid w:val="00160C4C"/>
    <w:rsid w:val="00161B05"/>
    <w:rsid w:val="00163417"/>
    <w:rsid w:val="0016387E"/>
    <w:rsid w:val="0016455B"/>
    <w:rsid w:val="00164659"/>
    <w:rsid w:val="0016487C"/>
    <w:rsid w:val="001648CA"/>
    <w:rsid w:val="00164BC9"/>
    <w:rsid w:val="00165791"/>
    <w:rsid w:val="001659E2"/>
    <w:rsid w:val="00165B95"/>
    <w:rsid w:val="00165CA9"/>
    <w:rsid w:val="0016621E"/>
    <w:rsid w:val="00167F19"/>
    <w:rsid w:val="00170AD1"/>
    <w:rsid w:val="00171732"/>
    <w:rsid w:val="001727B6"/>
    <w:rsid w:val="00172CD5"/>
    <w:rsid w:val="00172DE8"/>
    <w:rsid w:val="001747AD"/>
    <w:rsid w:val="001762FF"/>
    <w:rsid w:val="001769E2"/>
    <w:rsid w:val="00176F71"/>
    <w:rsid w:val="001801DF"/>
    <w:rsid w:val="0018187C"/>
    <w:rsid w:val="001820C4"/>
    <w:rsid w:val="0018210F"/>
    <w:rsid w:val="0018256C"/>
    <w:rsid w:val="00183E2F"/>
    <w:rsid w:val="00183FA8"/>
    <w:rsid w:val="00185C8E"/>
    <w:rsid w:val="00185EEB"/>
    <w:rsid w:val="001876C9"/>
    <w:rsid w:val="00187BCF"/>
    <w:rsid w:val="001906C9"/>
    <w:rsid w:val="001915D8"/>
    <w:rsid w:val="00192C3A"/>
    <w:rsid w:val="001942CF"/>
    <w:rsid w:val="00194A07"/>
    <w:rsid w:val="001958BB"/>
    <w:rsid w:val="00196492"/>
    <w:rsid w:val="001A087E"/>
    <w:rsid w:val="001A09BC"/>
    <w:rsid w:val="001A1948"/>
    <w:rsid w:val="001A1CFC"/>
    <w:rsid w:val="001A38AC"/>
    <w:rsid w:val="001A3E8D"/>
    <w:rsid w:val="001A4B5E"/>
    <w:rsid w:val="001A553C"/>
    <w:rsid w:val="001A6751"/>
    <w:rsid w:val="001A7585"/>
    <w:rsid w:val="001B11DC"/>
    <w:rsid w:val="001B15C1"/>
    <w:rsid w:val="001B1D8B"/>
    <w:rsid w:val="001B2269"/>
    <w:rsid w:val="001B28CF"/>
    <w:rsid w:val="001B29DB"/>
    <w:rsid w:val="001B2FB9"/>
    <w:rsid w:val="001B4297"/>
    <w:rsid w:val="001B48E0"/>
    <w:rsid w:val="001B4C6F"/>
    <w:rsid w:val="001B53FE"/>
    <w:rsid w:val="001B5779"/>
    <w:rsid w:val="001B5960"/>
    <w:rsid w:val="001B5B91"/>
    <w:rsid w:val="001B760D"/>
    <w:rsid w:val="001C0C40"/>
    <w:rsid w:val="001C11F2"/>
    <w:rsid w:val="001C192D"/>
    <w:rsid w:val="001C2409"/>
    <w:rsid w:val="001C45BE"/>
    <w:rsid w:val="001C51BB"/>
    <w:rsid w:val="001C648D"/>
    <w:rsid w:val="001C69CC"/>
    <w:rsid w:val="001C7C4A"/>
    <w:rsid w:val="001D0BEC"/>
    <w:rsid w:val="001D131C"/>
    <w:rsid w:val="001D1615"/>
    <w:rsid w:val="001D162D"/>
    <w:rsid w:val="001D19D8"/>
    <w:rsid w:val="001D1B5F"/>
    <w:rsid w:val="001D1D8B"/>
    <w:rsid w:val="001D20A7"/>
    <w:rsid w:val="001D2E61"/>
    <w:rsid w:val="001D2FED"/>
    <w:rsid w:val="001D309D"/>
    <w:rsid w:val="001D35B5"/>
    <w:rsid w:val="001D3931"/>
    <w:rsid w:val="001D466E"/>
    <w:rsid w:val="001D4E61"/>
    <w:rsid w:val="001D5C86"/>
    <w:rsid w:val="001D5E35"/>
    <w:rsid w:val="001D60EC"/>
    <w:rsid w:val="001D66D0"/>
    <w:rsid w:val="001D6810"/>
    <w:rsid w:val="001D7D43"/>
    <w:rsid w:val="001D7D6E"/>
    <w:rsid w:val="001E1F2D"/>
    <w:rsid w:val="001E2B28"/>
    <w:rsid w:val="001E4212"/>
    <w:rsid w:val="001E43AE"/>
    <w:rsid w:val="001E78AD"/>
    <w:rsid w:val="001F1A12"/>
    <w:rsid w:val="001F3D8E"/>
    <w:rsid w:val="001F3EF7"/>
    <w:rsid w:val="001F4203"/>
    <w:rsid w:val="001F45B0"/>
    <w:rsid w:val="001F4671"/>
    <w:rsid w:val="001F49D0"/>
    <w:rsid w:val="001F5488"/>
    <w:rsid w:val="001F64AE"/>
    <w:rsid w:val="001F65D1"/>
    <w:rsid w:val="001F6DC4"/>
    <w:rsid w:val="002011D1"/>
    <w:rsid w:val="00201825"/>
    <w:rsid w:val="00201ADD"/>
    <w:rsid w:val="00202A51"/>
    <w:rsid w:val="00203304"/>
    <w:rsid w:val="0020366D"/>
    <w:rsid w:val="00204187"/>
    <w:rsid w:val="00205066"/>
    <w:rsid w:val="00205160"/>
    <w:rsid w:val="0020580C"/>
    <w:rsid w:val="0020599F"/>
    <w:rsid w:val="0020691D"/>
    <w:rsid w:val="002101AF"/>
    <w:rsid w:val="002110B8"/>
    <w:rsid w:val="0021192D"/>
    <w:rsid w:val="00213304"/>
    <w:rsid w:val="0021372E"/>
    <w:rsid w:val="002155A7"/>
    <w:rsid w:val="00215621"/>
    <w:rsid w:val="0021637B"/>
    <w:rsid w:val="002215D9"/>
    <w:rsid w:val="00222792"/>
    <w:rsid w:val="00222AB8"/>
    <w:rsid w:val="00222C97"/>
    <w:rsid w:val="00222F59"/>
    <w:rsid w:val="00223E84"/>
    <w:rsid w:val="002245FC"/>
    <w:rsid w:val="002252CA"/>
    <w:rsid w:val="00225918"/>
    <w:rsid w:val="0022618F"/>
    <w:rsid w:val="002263D6"/>
    <w:rsid w:val="002267A2"/>
    <w:rsid w:val="00227501"/>
    <w:rsid w:val="00227FF0"/>
    <w:rsid w:val="00230812"/>
    <w:rsid w:val="00230A28"/>
    <w:rsid w:val="00230CC9"/>
    <w:rsid w:val="0023140C"/>
    <w:rsid w:val="0023260A"/>
    <w:rsid w:val="00232F4F"/>
    <w:rsid w:val="00233651"/>
    <w:rsid w:val="00234F1E"/>
    <w:rsid w:val="00235822"/>
    <w:rsid w:val="0023668C"/>
    <w:rsid w:val="00236F61"/>
    <w:rsid w:val="00240106"/>
    <w:rsid w:val="002401A9"/>
    <w:rsid w:val="00241256"/>
    <w:rsid w:val="00241F31"/>
    <w:rsid w:val="00241F44"/>
    <w:rsid w:val="00242016"/>
    <w:rsid w:val="00242839"/>
    <w:rsid w:val="00242E87"/>
    <w:rsid w:val="002435E6"/>
    <w:rsid w:val="00243815"/>
    <w:rsid w:val="00244812"/>
    <w:rsid w:val="00244B29"/>
    <w:rsid w:val="00245784"/>
    <w:rsid w:val="002458CF"/>
    <w:rsid w:val="002462B0"/>
    <w:rsid w:val="002463C3"/>
    <w:rsid w:val="002468B4"/>
    <w:rsid w:val="00247933"/>
    <w:rsid w:val="00247B89"/>
    <w:rsid w:val="002507F4"/>
    <w:rsid w:val="00250ACC"/>
    <w:rsid w:val="0025207C"/>
    <w:rsid w:val="00252EBD"/>
    <w:rsid w:val="00255385"/>
    <w:rsid w:val="002554D8"/>
    <w:rsid w:val="002559D9"/>
    <w:rsid w:val="0025653A"/>
    <w:rsid w:val="00257350"/>
    <w:rsid w:val="00257461"/>
    <w:rsid w:val="002575F7"/>
    <w:rsid w:val="00257B20"/>
    <w:rsid w:val="00260DFF"/>
    <w:rsid w:val="00261D76"/>
    <w:rsid w:val="00261E12"/>
    <w:rsid w:val="00262458"/>
    <w:rsid w:val="002624EE"/>
    <w:rsid w:val="0026293C"/>
    <w:rsid w:val="00263A56"/>
    <w:rsid w:val="00263AFA"/>
    <w:rsid w:val="00263F19"/>
    <w:rsid w:val="002655D6"/>
    <w:rsid w:val="00265AED"/>
    <w:rsid w:val="00265EBB"/>
    <w:rsid w:val="00266EBF"/>
    <w:rsid w:val="002675A0"/>
    <w:rsid w:val="00267F79"/>
    <w:rsid w:val="00270A65"/>
    <w:rsid w:val="00271746"/>
    <w:rsid w:val="00271ADA"/>
    <w:rsid w:val="00272492"/>
    <w:rsid w:val="002733B5"/>
    <w:rsid w:val="00274551"/>
    <w:rsid w:val="00274C05"/>
    <w:rsid w:val="00274FA6"/>
    <w:rsid w:val="00275CAB"/>
    <w:rsid w:val="00276378"/>
    <w:rsid w:val="00276804"/>
    <w:rsid w:val="00276D4C"/>
    <w:rsid w:val="0028126D"/>
    <w:rsid w:val="002819B5"/>
    <w:rsid w:val="0028274B"/>
    <w:rsid w:val="00282CBC"/>
    <w:rsid w:val="002831A7"/>
    <w:rsid w:val="002839A5"/>
    <w:rsid w:val="00283A7E"/>
    <w:rsid w:val="002845AB"/>
    <w:rsid w:val="00284B6D"/>
    <w:rsid w:val="00284CE2"/>
    <w:rsid w:val="00284D7E"/>
    <w:rsid w:val="00284F09"/>
    <w:rsid w:val="00285AA0"/>
    <w:rsid w:val="0028608E"/>
    <w:rsid w:val="00286E14"/>
    <w:rsid w:val="00290545"/>
    <w:rsid w:val="002907BE"/>
    <w:rsid w:val="00290B0F"/>
    <w:rsid w:val="00291818"/>
    <w:rsid w:val="00291CC1"/>
    <w:rsid w:val="00293238"/>
    <w:rsid w:val="00293384"/>
    <w:rsid w:val="00293C6F"/>
    <w:rsid w:val="00295A87"/>
    <w:rsid w:val="00295E95"/>
    <w:rsid w:val="0029754B"/>
    <w:rsid w:val="00297D6D"/>
    <w:rsid w:val="002A08D1"/>
    <w:rsid w:val="002A2CFA"/>
    <w:rsid w:val="002A2D4A"/>
    <w:rsid w:val="002A3584"/>
    <w:rsid w:val="002A35F3"/>
    <w:rsid w:val="002A4373"/>
    <w:rsid w:val="002A6C95"/>
    <w:rsid w:val="002A7059"/>
    <w:rsid w:val="002A730A"/>
    <w:rsid w:val="002B016C"/>
    <w:rsid w:val="002B046C"/>
    <w:rsid w:val="002B2AAF"/>
    <w:rsid w:val="002B4EAD"/>
    <w:rsid w:val="002B4F49"/>
    <w:rsid w:val="002B51CF"/>
    <w:rsid w:val="002B6D09"/>
    <w:rsid w:val="002B73FB"/>
    <w:rsid w:val="002B76D7"/>
    <w:rsid w:val="002B779F"/>
    <w:rsid w:val="002B787F"/>
    <w:rsid w:val="002B7A46"/>
    <w:rsid w:val="002B7D7F"/>
    <w:rsid w:val="002C0A12"/>
    <w:rsid w:val="002C0D4E"/>
    <w:rsid w:val="002C1F64"/>
    <w:rsid w:val="002C282D"/>
    <w:rsid w:val="002C3804"/>
    <w:rsid w:val="002C3FB9"/>
    <w:rsid w:val="002C5B2A"/>
    <w:rsid w:val="002C5EED"/>
    <w:rsid w:val="002C617F"/>
    <w:rsid w:val="002C63A1"/>
    <w:rsid w:val="002C6C55"/>
    <w:rsid w:val="002C7DB7"/>
    <w:rsid w:val="002D0AED"/>
    <w:rsid w:val="002D0B70"/>
    <w:rsid w:val="002D21AC"/>
    <w:rsid w:val="002D2A29"/>
    <w:rsid w:val="002D3417"/>
    <w:rsid w:val="002D3630"/>
    <w:rsid w:val="002D3EEC"/>
    <w:rsid w:val="002D4778"/>
    <w:rsid w:val="002D4AD2"/>
    <w:rsid w:val="002D5C20"/>
    <w:rsid w:val="002D5FA3"/>
    <w:rsid w:val="002D6125"/>
    <w:rsid w:val="002D6A55"/>
    <w:rsid w:val="002D75B6"/>
    <w:rsid w:val="002E00C2"/>
    <w:rsid w:val="002E179E"/>
    <w:rsid w:val="002E1FC1"/>
    <w:rsid w:val="002E2354"/>
    <w:rsid w:val="002E2881"/>
    <w:rsid w:val="002E2F01"/>
    <w:rsid w:val="002E3C74"/>
    <w:rsid w:val="002E3E5D"/>
    <w:rsid w:val="002E496A"/>
    <w:rsid w:val="002E49C0"/>
    <w:rsid w:val="002E4D34"/>
    <w:rsid w:val="002E6D60"/>
    <w:rsid w:val="002E741C"/>
    <w:rsid w:val="002E7D55"/>
    <w:rsid w:val="002F0B5F"/>
    <w:rsid w:val="002F12C0"/>
    <w:rsid w:val="002F15B5"/>
    <w:rsid w:val="002F1EA5"/>
    <w:rsid w:val="002F3C8F"/>
    <w:rsid w:val="002F4299"/>
    <w:rsid w:val="002F4EC4"/>
    <w:rsid w:val="002F50B6"/>
    <w:rsid w:val="002F5496"/>
    <w:rsid w:val="002F63E9"/>
    <w:rsid w:val="002F658E"/>
    <w:rsid w:val="00300271"/>
    <w:rsid w:val="00300475"/>
    <w:rsid w:val="003004C2"/>
    <w:rsid w:val="00300A75"/>
    <w:rsid w:val="00300CE5"/>
    <w:rsid w:val="0030191E"/>
    <w:rsid w:val="00302E8F"/>
    <w:rsid w:val="00302EBF"/>
    <w:rsid w:val="00302EF6"/>
    <w:rsid w:val="003038D0"/>
    <w:rsid w:val="00303AB4"/>
    <w:rsid w:val="00303DD7"/>
    <w:rsid w:val="00303F17"/>
    <w:rsid w:val="0030415E"/>
    <w:rsid w:val="00304948"/>
    <w:rsid w:val="003049D7"/>
    <w:rsid w:val="003050AA"/>
    <w:rsid w:val="003052CF"/>
    <w:rsid w:val="00306176"/>
    <w:rsid w:val="00306B3A"/>
    <w:rsid w:val="00310151"/>
    <w:rsid w:val="0031032C"/>
    <w:rsid w:val="003111E3"/>
    <w:rsid w:val="003118BB"/>
    <w:rsid w:val="00312578"/>
    <w:rsid w:val="0031367B"/>
    <w:rsid w:val="00314E5A"/>
    <w:rsid w:val="003163B5"/>
    <w:rsid w:val="00317863"/>
    <w:rsid w:val="00317ED0"/>
    <w:rsid w:val="00320159"/>
    <w:rsid w:val="00320ACF"/>
    <w:rsid w:val="003233E9"/>
    <w:rsid w:val="00323ADE"/>
    <w:rsid w:val="00323F30"/>
    <w:rsid w:val="00324419"/>
    <w:rsid w:val="00324466"/>
    <w:rsid w:val="00324943"/>
    <w:rsid w:val="003250C0"/>
    <w:rsid w:val="00325A2B"/>
    <w:rsid w:val="003269E0"/>
    <w:rsid w:val="00326BFF"/>
    <w:rsid w:val="00327331"/>
    <w:rsid w:val="003275E4"/>
    <w:rsid w:val="003303BC"/>
    <w:rsid w:val="003304CD"/>
    <w:rsid w:val="003307B5"/>
    <w:rsid w:val="00330FC4"/>
    <w:rsid w:val="00332A5A"/>
    <w:rsid w:val="003332FC"/>
    <w:rsid w:val="00334792"/>
    <w:rsid w:val="003349F2"/>
    <w:rsid w:val="00334EC7"/>
    <w:rsid w:val="00334F3D"/>
    <w:rsid w:val="003366AC"/>
    <w:rsid w:val="0033725B"/>
    <w:rsid w:val="003400C6"/>
    <w:rsid w:val="00340161"/>
    <w:rsid w:val="0034109C"/>
    <w:rsid w:val="00341C5D"/>
    <w:rsid w:val="003427E9"/>
    <w:rsid w:val="00343CB2"/>
    <w:rsid w:val="00343F29"/>
    <w:rsid w:val="0034405E"/>
    <w:rsid w:val="00344C7F"/>
    <w:rsid w:val="00345D13"/>
    <w:rsid w:val="0034694A"/>
    <w:rsid w:val="00346B58"/>
    <w:rsid w:val="00346CCE"/>
    <w:rsid w:val="00347335"/>
    <w:rsid w:val="00347342"/>
    <w:rsid w:val="00347358"/>
    <w:rsid w:val="00347CF7"/>
    <w:rsid w:val="00347F6F"/>
    <w:rsid w:val="00350671"/>
    <w:rsid w:val="00350823"/>
    <w:rsid w:val="00351AD1"/>
    <w:rsid w:val="00351FFE"/>
    <w:rsid w:val="003541AD"/>
    <w:rsid w:val="00354266"/>
    <w:rsid w:val="003558DF"/>
    <w:rsid w:val="00356E9B"/>
    <w:rsid w:val="00357AC8"/>
    <w:rsid w:val="003614F6"/>
    <w:rsid w:val="00361857"/>
    <w:rsid w:val="00363808"/>
    <w:rsid w:val="00363F8D"/>
    <w:rsid w:val="00364399"/>
    <w:rsid w:val="00364CC3"/>
    <w:rsid w:val="00364F23"/>
    <w:rsid w:val="00366013"/>
    <w:rsid w:val="00366304"/>
    <w:rsid w:val="00366DB1"/>
    <w:rsid w:val="003676E3"/>
    <w:rsid w:val="00367E1E"/>
    <w:rsid w:val="00370A3C"/>
    <w:rsid w:val="003713FE"/>
    <w:rsid w:val="00371658"/>
    <w:rsid w:val="00371CB3"/>
    <w:rsid w:val="00372102"/>
    <w:rsid w:val="0037325C"/>
    <w:rsid w:val="003737CE"/>
    <w:rsid w:val="003739E8"/>
    <w:rsid w:val="00373CDF"/>
    <w:rsid w:val="003745A0"/>
    <w:rsid w:val="00374D01"/>
    <w:rsid w:val="00377754"/>
    <w:rsid w:val="003800CC"/>
    <w:rsid w:val="003800F2"/>
    <w:rsid w:val="003805F2"/>
    <w:rsid w:val="00382C9E"/>
    <w:rsid w:val="00385779"/>
    <w:rsid w:val="00385A5C"/>
    <w:rsid w:val="00386AF2"/>
    <w:rsid w:val="00387BF3"/>
    <w:rsid w:val="00387EC8"/>
    <w:rsid w:val="00390CBF"/>
    <w:rsid w:val="00391E99"/>
    <w:rsid w:val="00393A8A"/>
    <w:rsid w:val="00395215"/>
    <w:rsid w:val="0039577B"/>
    <w:rsid w:val="003A040A"/>
    <w:rsid w:val="003A08EA"/>
    <w:rsid w:val="003A1163"/>
    <w:rsid w:val="003A147E"/>
    <w:rsid w:val="003A2482"/>
    <w:rsid w:val="003A3BDF"/>
    <w:rsid w:val="003A3D91"/>
    <w:rsid w:val="003A4A35"/>
    <w:rsid w:val="003A53FF"/>
    <w:rsid w:val="003A6B76"/>
    <w:rsid w:val="003A6EF4"/>
    <w:rsid w:val="003A71FA"/>
    <w:rsid w:val="003A7AC1"/>
    <w:rsid w:val="003A7B2A"/>
    <w:rsid w:val="003A7EBC"/>
    <w:rsid w:val="003B04F4"/>
    <w:rsid w:val="003B182A"/>
    <w:rsid w:val="003B188C"/>
    <w:rsid w:val="003B2787"/>
    <w:rsid w:val="003B3170"/>
    <w:rsid w:val="003B40C5"/>
    <w:rsid w:val="003B5830"/>
    <w:rsid w:val="003B6AD5"/>
    <w:rsid w:val="003B6B5C"/>
    <w:rsid w:val="003B6CB1"/>
    <w:rsid w:val="003B6F23"/>
    <w:rsid w:val="003B714E"/>
    <w:rsid w:val="003B7532"/>
    <w:rsid w:val="003B768B"/>
    <w:rsid w:val="003B7833"/>
    <w:rsid w:val="003B7B8B"/>
    <w:rsid w:val="003B7C2E"/>
    <w:rsid w:val="003C0331"/>
    <w:rsid w:val="003C086A"/>
    <w:rsid w:val="003C0D13"/>
    <w:rsid w:val="003C0FEA"/>
    <w:rsid w:val="003C180E"/>
    <w:rsid w:val="003C1AE1"/>
    <w:rsid w:val="003C2769"/>
    <w:rsid w:val="003C2FB9"/>
    <w:rsid w:val="003C4ADB"/>
    <w:rsid w:val="003C57C7"/>
    <w:rsid w:val="003C5817"/>
    <w:rsid w:val="003C60A9"/>
    <w:rsid w:val="003C62A4"/>
    <w:rsid w:val="003C656E"/>
    <w:rsid w:val="003D0015"/>
    <w:rsid w:val="003D11D8"/>
    <w:rsid w:val="003D202A"/>
    <w:rsid w:val="003D248A"/>
    <w:rsid w:val="003D3743"/>
    <w:rsid w:val="003D4194"/>
    <w:rsid w:val="003D42E2"/>
    <w:rsid w:val="003D46FB"/>
    <w:rsid w:val="003D4DC0"/>
    <w:rsid w:val="003D581E"/>
    <w:rsid w:val="003D5D9E"/>
    <w:rsid w:val="003D5F79"/>
    <w:rsid w:val="003D6F39"/>
    <w:rsid w:val="003D73F4"/>
    <w:rsid w:val="003D7B22"/>
    <w:rsid w:val="003E056D"/>
    <w:rsid w:val="003E2825"/>
    <w:rsid w:val="003E35BD"/>
    <w:rsid w:val="003E4CEC"/>
    <w:rsid w:val="003E52D0"/>
    <w:rsid w:val="003E581F"/>
    <w:rsid w:val="003E6BB4"/>
    <w:rsid w:val="003E6C4F"/>
    <w:rsid w:val="003E71B0"/>
    <w:rsid w:val="003F02BD"/>
    <w:rsid w:val="003F0374"/>
    <w:rsid w:val="003F1797"/>
    <w:rsid w:val="003F20B8"/>
    <w:rsid w:val="003F2887"/>
    <w:rsid w:val="003F302D"/>
    <w:rsid w:val="003F674D"/>
    <w:rsid w:val="003F695F"/>
    <w:rsid w:val="003F6C54"/>
    <w:rsid w:val="003F72C3"/>
    <w:rsid w:val="003F7F7D"/>
    <w:rsid w:val="00400B94"/>
    <w:rsid w:val="00401441"/>
    <w:rsid w:val="004018C8"/>
    <w:rsid w:val="004018FE"/>
    <w:rsid w:val="00401DC4"/>
    <w:rsid w:val="004021B1"/>
    <w:rsid w:val="00402819"/>
    <w:rsid w:val="004030B0"/>
    <w:rsid w:val="00403697"/>
    <w:rsid w:val="00405C1C"/>
    <w:rsid w:val="00406E40"/>
    <w:rsid w:val="00407156"/>
    <w:rsid w:val="00407196"/>
    <w:rsid w:val="00407558"/>
    <w:rsid w:val="00407C5A"/>
    <w:rsid w:val="00410177"/>
    <w:rsid w:val="00411122"/>
    <w:rsid w:val="004115CF"/>
    <w:rsid w:val="0041160B"/>
    <w:rsid w:val="00411A04"/>
    <w:rsid w:val="00411D82"/>
    <w:rsid w:val="00412209"/>
    <w:rsid w:val="00413421"/>
    <w:rsid w:val="00413BBE"/>
    <w:rsid w:val="00414052"/>
    <w:rsid w:val="00414197"/>
    <w:rsid w:val="00414545"/>
    <w:rsid w:val="00414697"/>
    <w:rsid w:val="004159E9"/>
    <w:rsid w:val="004160C6"/>
    <w:rsid w:val="0041651F"/>
    <w:rsid w:val="00416D8E"/>
    <w:rsid w:val="00416E84"/>
    <w:rsid w:val="00416F58"/>
    <w:rsid w:val="004177A4"/>
    <w:rsid w:val="00417BCE"/>
    <w:rsid w:val="00420393"/>
    <w:rsid w:val="004218F9"/>
    <w:rsid w:val="00421D47"/>
    <w:rsid w:val="0042200C"/>
    <w:rsid w:val="00423146"/>
    <w:rsid w:val="0042358B"/>
    <w:rsid w:val="00424190"/>
    <w:rsid w:val="004246B3"/>
    <w:rsid w:val="00425F1B"/>
    <w:rsid w:val="00431A84"/>
    <w:rsid w:val="00431A86"/>
    <w:rsid w:val="00432688"/>
    <w:rsid w:val="004338E0"/>
    <w:rsid w:val="00433E41"/>
    <w:rsid w:val="00433F92"/>
    <w:rsid w:val="0043447C"/>
    <w:rsid w:val="00434940"/>
    <w:rsid w:val="00435245"/>
    <w:rsid w:val="00435EBD"/>
    <w:rsid w:val="0043612F"/>
    <w:rsid w:val="004368A1"/>
    <w:rsid w:val="00437639"/>
    <w:rsid w:val="00437FBE"/>
    <w:rsid w:val="00440BBE"/>
    <w:rsid w:val="00440FEE"/>
    <w:rsid w:val="004413A8"/>
    <w:rsid w:val="00441729"/>
    <w:rsid w:val="00442320"/>
    <w:rsid w:val="0044262C"/>
    <w:rsid w:val="00443166"/>
    <w:rsid w:val="0044353A"/>
    <w:rsid w:val="004439D4"/>
    <w:rsid w:val="00445541"/>
    <w:rsid w:val="0044586A"/>
    <w:rsid w:val="004459FD"/>
    <w:rsid w:val="00445AA3"/>
    <w:rsid w:val="00446824"/>
    <w:rsid w:val="00446C7F"/>
    <w:rsid w:val="0044728C"/>
    <w:rsid w:val="00447C16"/>
    <w:rsid w:val="004501B5"/>
    <w:rsid w:val="00450328"/>
    <w:rsid w:val="00450399"/>
    <w:rsid w:val="00450F19"/>
    <w:rsid w:val="0045180C"/>
    <w:rsid w:val="00452B24"/>
    <w:rsid w:val="00452EBB"/>
    <w:rsid w:val="0045323D"/>
    <w:rsid w:val="00454AF0"/>
    <w:rsid w:val="00454CD0"/>
    <w:rsid w:val="00455A6B"/>
    <w:rsid w:val="00455D89"/>
    <w:rsid w:val="0045664C"/>
    <w:rsid w:val="0046054B"/>
    <w:rsid w:val="004611D1"/>
    <w:rsid w:val="004614BD"/>
    <w:rsid w:val="00463237"/>
    <w:rsid w:val="004636A5"/>
    <w:rsid w:val="00463F57"/>
    <w:rsid w:val="0046437C"/>
    <w:rsid w:val="00464FCE"/>
    <w:rsid w:val="004653BD"/>
    <w:rsid w:val="00465B70"/>
    <w:rsid w:val="00467051"/>
    <w:rsid w:val="004677F0"/>
    <w:rsid w:val="00473316"/>
    <w:rsid w:val="004742F4"/>
    <w:rsid w:val="00474F63"/>
    <w:rsid w:val="004761B0"/>
    <w:rsid w:val="004771EF"/>
    <w:rsid w:val="00481C37"/>
    <w:rsid w:val="00481CD6"/>
    <w:rsid w:val="004827E7"/>
    <w:rsid w:val="00482AC0"/>
    <w:rsid w:val="00482CCD"/>
    <w:rsid w:val="00483D52"/>
    <w:rsid w:val="00483DC2"/>
    <w:rsid w:val="0048445B"/>
    <w:rsid w:val="00485730"/>
    <w:rsid w:val="00486E3C"/>
    <w:rsid w:val="0048750E"/>
    <w:rsid w:val="00487E3C"/>
    <w:rsid w:val="00491EF9"/>
    <w:rsid w:val="004920D6"/>
    <w:rsid w:val="00492816"/>
    <w:rsid w:val="00492CF9"/>
    <w:rsid w:val="0049352F"/>
    <w:rsid w:val="004947BE"/>
    <w:rsid w:val="00494C21"/>
    <w:rsid w:val="004961E5"/>
    <w:rsid w:val="00496845"/>
    <w:rsid w:val="00496AA8"/>
    <w:rsid w:val="004979DB"/>
    <w:rsid w:val="004A2AB0"/>
    <w:rsid w:val="004A3208"/>
    <w:rsid w:val="004A357C"/>
    <w:rsid w:val="004A40CD"/>
    <w:rsid w:val="004A4145"/>
    <w:rsid w:val="004A4175"/>
    <w:rsid w:val="004A44CC"/>
    <w:rsid w:val="004A5260"/>
    <w:rsid w:val="004B094D"/>
    <w:rsid w:val="004B0F2C"/>
    <w:rsid w:val="004B2037"/>
    <w:rsid w:val="004B2093"/>
    <w:rsid w:val="004B2177"/>
    <w:rsid w:val="004B2BE1"/>
    <w:rsid w:val="004B4540"/>
    <w:rsid w:val="004B49EE"/>
    <w:rsid w:val="004B5321"/>
    <w:rsid w:val="004B5A1E"/>
    <w:rsid w:val="004B722E"/>
    <w:rsid w:val="004B7290"/>
    <w:rsid w:val="004B7931"/>
    <w:rsid w:val="004C02FE"/>
    <w:rsid w:val="004C154E"/>
    <w:rsid w:val="004C2638"/>
    <w:rsid w:val="004C2B00"/>
    <w:rsid w:val="004C2EDC"/>
    <w:rsid w:val="004C38B5"/>
    <w:rsid w:val="004C4C1F"/>
    <w:rsid w:val="004C4E8B"/>
    <w:rsid w:val="004C5A84"/>
    <w:rsid w:val="004C61C6"/>
    <w:rsid w:val="004C62DD"/>
    <w:rsid w:val="004C6362"/>
    <w:rsid w:val="004C687B"/>
    <w:rsid w:val="004C6A21"/>
    <w:rsid w:val="004C6AB5"/>
    <w:rsid w:val="004C76E2"/>
    <w:rsid w:val="004D0F0E"/>
    <w:rsid w:val="004D1A20"/>
    <w:rsid w:val="004D2216"/>
    <w:rsid w:val="004D34D9"/>
    <w:rsid w:val="004D41EC"/>
    <w:rsid w:val="004D557B"/>
    <w:rsid w:val="004D6164"/>
    <w:rsid w:val="004D7C0D"/>
    <w:rsid w:val="004D7EAA"/>
    <w:rsid w:val="004D7F5A"/>
    <w:rsid w:val="004E1450"/>
    <w:rsid w:val="004E1486"/>
    <w:rsid w:val="004E19E7"/>
    <w:rsid w:val="004E2097"/>
    <w:rsid w:val="004E2246"/>
    <w:rsid w:val="004E2F97"/>
    <w:rsid w:val="004E3FB2"/>
    <w:rsid w:val="004E40B9"/>
    <w:rsid w:val="004E4EA5"/>
    <w:rsid w:val="004E5966"/>
    <w:rsid w:val="004E5A32"/>
    <w:rsid w:val="004E5CD9"/>
    <w:rsid w:val="004E7AE3"/>
    <w:rsid w:val="004F0438"/>
    <w:rsid w:val="004F0ED0"/>
    <w:rsid w:val="004F1211"/>
    <w:rsid w:val="004F18AC"/>
    <w:rsid w:val="004F1E9A"/>
    <w:rsid w:val="004F25E4"/>
    <w:rsid w:val="004F2B77"/>
    <w:rsid w:val="004F2BCE"/>
    <w:rsid w:val="004F5430"/>
    <w:rsid w:val="004F63F1"/>
    <w:rsid w:val="004F670A"/>
    <w:rsid w:val="004F7058"/>
    <w:rsid w:val="00500A54"/>
    <w:rsid w:val="00501DE2"/>
    <w:rsid w:val="00502C5A"/>
    <w:rsid w:val="00504ED8"/>
    <w:rsid w:val="0050639C"/>
    <w:rsid w:val="00506E32"/>
    <w:rsid w:val="005077A8"/>
    <w:rsid w:val="0050798D"/>
    <w:rsid w:val="00510ACC"/>
    <w:rsid w:val="00511337"/>
    <w:rsid w:val="0051244B"/>
    <w:rsid w:val="0051262B"/>
    <w:rsid w:val="00512D9F"/>
    <w:rsid w:val="00513403"/>
    <w:rsid w:val="005139BE"/>
    <w:rsid w:val="00513B9D"/>
    <w:rsid w:val="00515656"/>
    <w:rsid w:val="00515D51"/>
    <w:rsid w:val="00516400"/>
    <w:rsid w:val="00516BEC"/>
    <w:rsid w:val="00517AFA"/>
    <w:rsid w:val="005208C2"/>
    <w:rsid w:val="00521AF0"/>
    <w:rsid w:val="00521B57"/>
    <w:rsid w:val="00521D21"/>
    <w:rsid w:val="0052399A"/>
    <w:rsid w:val="00524227"/>
    <w:rsid w:val="005245A1"/>
    <w:rsid w:val="00524BA2"/>
    <w:rsid w:val="00524C57"/>
    <w:rsid w:val="005252F2"/>
    <w:rsid w:val="00526395"/>
    <w:rsid w:val="005267DC"/>
    <w:rsid w:val="0052738C"/>
    <w:rsid w:val="00527689"/>
    <w:rsid w:val="00527C80"/>
    <w:rsid w:val="00527CB9"/>
    <w:rsid w:val="00527ED1"/>
    <w:rsid w:val="005303CC"/>
    <w:rsid w:val="0053061E"/>
    <w:rsid w:val="00532459"/>
    <w:rsid w:val="005324F4"/>
    <w:rsid w:val="00532717"/>
    <w:rsid w:val="00532CF2"/>
    <w:rsid w:val="0053313B"/>
    <w:rsid w:val="00533C25"/>
    <w:rsid w:val="00534917"/>
    <w:rsid w:val="00534F3C"/>
    <w:rsid w:val="005350C9"/>
    <w:rsid w:val="005351C3"/>
    <w:rsid w:val="00535DB2"/>
    <w:rsid w:val="00536752"/>
    <w:rsid w:val="00536C26"/>
    <w:rsid w:val="00536F39"/>
    <w:rsid w:val="00537AD4"/>
    <w:rsid w:val="00537F1B"/>
    <w:rsid w:val="00540331"/>
    <w:rsid w:val="00540757"/>
    <w:rsid w:val="005419A0"/>
    <w:rsid w:val="00541DBB"/>
    <w:rsid w:val="00541F3D"/>
    <w:rsid w:val="0054343C"/>
    <w:rsid w:val="00543A2B"/>
    <w:rsid w:val="0054415B"/>
    <w:rsid w:val="00544A81"/>
    <w:rsid w:val="00544CE3"/>
    <w:rsid w:val="00544EC2"/>
    <w:rsid w:val="005465F4"/>
    <w:rsid w:val="005469A8"/>
    <w:rsid w:val="005469B1"/>
    <w:rsid w:val="00546ED7"/>
    <w:rsid w:val="0054771E"/>
    <w:rsid w:val="00547CBE"/>
    <w:rsid w:val="005504AA"/>
    <w:rsid w:val="00550665"/>
    <w:rsid w:val="005508E0"/>
    <w:rsid w:val="00551505"/>
    <w:rsid w:val="005516F8"/>
    <w:rsid w:val="00551DFB"/>
    <w:rsid w:val="00554B9F"/>
    <w:rsid w:val="005576EB"/>
    <w:rsid w:val="00557AE6"/>
    <w:rsid w:val="00557DDF"/>
    <w:rsid w:val="00560B17"/>
    <w:rsid w:val="00561458"/>
    <w:rsid w:val="00561A36"/>
    <w:rsid w:val="005629B9"/>
    <w:rsid w:val="00562D04"/>
    <w:rsid w:val="00563819"/>
    <w:rsid w:val="005640DB"/>
    <w:rsid w:val="005655F2"/>
    <w:rsid w:val="0056567D"/>
    <w:rsid w:val="00565E55"/>
    <w:rsid w:val="00565E86"/>
    <w:rsid w:val="00566199"/>
    <w:rsid w:val="0056667D"/>
    <w:rsid w:val="00567631"/>
    <w:rsid w:val="00567E77"/>
    <w:rsid w:val="005703B5"/>
    <w:rsid w:val="00571391"/>
    <w:rsid w:val="00572A06"/>
    <w:rsid w:val="0057302B"/>
    <w:rsid w:val="005732AD"/>
    <w:rsid w:val="00573A79"/>
    <w:rsid w:val="00573B6B"/>
    <w:rsid w:val="00573BAE"/>
    <w:rsid w:val="005746AC"/>
    <w:rsid w:val="00574836"/>
    <w:rsid w:val="00574E47"/>
    <w:rsid w:val="00575968"/>
    <w:rsid w:val="00576A00"/>
    <w:rsid w:val="00576BA0"/>
    <w:rsid w:val="00576DE2"/>
    <w:rsid w:val="005770BA"/>
    <w:rsid w:val="00577E5B"/>
    <w:rsid w:val="00580699"/>
    <w:rsid w:val="00580714"/>
    <w:rsid w:val="00580B95"/>
    <w:rsid w:val="00580CD8"/>
    <w:rsid w:val="00580F27"/>
    <w:rsid w:val="0058155F"/>
    <w:rsid w:val="0058380B"/>
    <w:rsid w:val="00584768"/>
    <w:rsid w:val="00585427"/>
    <w:rsid w:val="0058595D"/>
    <w:rsid w:val="0058662E"/>
    <w:rsid w:val="005871EE"/>
    <w:rsid w:val="00587B68"/>
    <w:rsid w:val="00587EB8"/>
    <w:rsid w:val="00590B44"/>
    <w:rsid w:val="00591B18"/>
    <w:rsid w:val="00591FAE"/>
    <w:rsid w:val="0059253D"/>
    <w:rsid w:val="00592E4C"/>
    <w:rsid w:val="005940EE"/>
    <w:rsid w:val="00594EC1"/>
    <w:rsid w:val="005951E7"/>
    <w:rsid w:val="0059557B"/>
    <w:rsid w:val="00596090"/>
    <w:rsid w:val="00596097"/>
    <w:rsid w:val="005964FF"/>
    <w:rsid w:val="005A0328"/>
    <w:rsid w:val="005A222D"/>
    <w:rsid w:val="005A2B5D"/>
    <w:rsid w:val="005A354D"/>
    <w:rsid w:val="005A3B75"/>
    <w:rsid w:val="005A4676"/>
    <w:rsid w:val="005A54BC"/>
    <w:rsid w:val="005A5EB8"/>
    <w:rsid w:val="005A6BFE"/>
    <w:rsid w:val="005B0834"/>
    <w:rsid w:val="005B0B32"/>
    <w:rsid w:val="005B1458"/>
    <w:rsid w:val="005B179B"/>
    <w:rsid w:val="005B1E69"/>
    <w:rsid w:val="005B313F"/>
    <w:rsid w:val="005B36DF"/>
    <w:rsid w:val="005B4A75"/>
    <w:rsid w:val="005B50CB"/>
    <w:rsid w:val="005B518C"/>
    <w:rsid w:val="005B5971"/>
    <w:rsid w:val="005B59DB"/>
    <w:rsid w:val="005B5AFF"/>
    <w:rsid w:val="005B6A4D"/>
    <w:rsid w:val="005B6D54"/>
    <w:rsid w:val="005B7442"/>
    <w:rsid w:val="005B748B"/>
    <w:rsid w:val="005B76BD"/>
    <w:rsid w:val="005B7858"/>
    <w:rsid w:val="005C08AC"/>
    <w:rsid w:val="005C0B57"/>
    <w:rsid w:val="005C2724"/>
    <w:rsid w:val="005C27AF"/>
    <w:rsid w:val="005C2B93"/>
    <w:rsid w:val="005C3B07"/>
    <w:rsid w:val="005C3D24"/>
    <w:rsid w:val="005C4E9A"/>
    <w:rsid w:val="005C5184"/>
    <w:rsid w:val="005C5559"/>
    <w:rsid w:val="005C631E"/>
    <w:rsid w:val="005C6970"/>
    <w:rsid w:val="005C7442"/>
    <w:rsid w:val="005D02EE"/>
    <w:rsid w:val="005D0E0D"/>
    <w:rsid w:val="005D15F1"/>
    <w:rsid w:val="005D1E6B"/>
    <w:rsid w:val="005D1F1C"/>
    <w:rsid w:val="005D20AE"/>
    <w:rsid w:val="005D5251"/>
    <w:rsid w:val="005D5AC6"/>
    <w:rsid w:val="005D5AEF"/>
    <w:rsid w:val="005D6BAB"/>
    <w:rsid w:val="005D74BA"/>
    <w:rsid w:val="005E0A20"/>
    <w:rsid w:val="005E1044"/>
    <w:rsid w:val="005E245F"/>
    <w:rsid w:val="005E30BB"/>
    <w:rsid w:val="005E3539"/>
    <w:rsid w:val="005E3618"/>
    <w:rsid w:val="005E3E28"/>
    <w:rsid w:val="005E41F2"/>
    <w:rsid w:val="005E433E"/>
    <w:rsid w:val="005E4D72"/>
    <w:rsid w:val="005E4DAD"/>
    <w:rsid w:val="005E54AC"/>
    <w:rsid w:val="005E586C"/>
    <w:rsid w:val="005E599C"/>
    <w:rsid w:val="005E5D3F"/>
    <w:rsid w:val="005E612C"/>
    <w:rsid w:val="005E6859"/>
    <w:rsid w:val="005E6B91"/>
    <w:rsid w:val="005E72A7"/>
    <w:rsid w:val="005E74B7"/>
    <w:rsid w:val="005F18CD"/>
    <w:rsid w:val="005F19B3"/>
    <w:rsid w:val="005F27BD"/>
    <w:rsid w:val="005F53A0"/>
    <w:rsid w:val="005F5DF4"/>
    <w:rsid w:val="005F701B"/>
    <w:rsid w:val="006003C0"/>
    <w:rsid w:val="00600D34"/>
    <w:rsid w:val="00601914"/>
    <w:rsid w:val="0060196E"/>
    <w:rsid w:val="00601CFC"/>
    <w:rsid w:val="006028EE"/>
    <w:rsid w:val="00602BBE"/>
    <w:rsid w:val="00604B40"/>
    <w:rsid w:val="00605CD6"/>
    <w:rsid w:val="00606D0C"/>
    <w:rsid w:val="006072DC"/>
    <w:rsid w:val="00607F83"/>
    <w:rsid w:val="006100A1"/>
    <w:rsid w:val="00610B7D"/>
    <w:rsid w:val="00610BC5"/>
    <w:rsid w:val="00611299"/>
    <w:rsid w:val="0061131B"/>
    <w:rsid w:val="00611414"/>
    <w:rsid w:val="00612577"/>
    <w:rsid w:val="006139F7"/>
    <w:rsid w:val="00617619"/>
    <w:rsid w:val="00617E01"/>
    <w:rsid w:val="00620576"/>
    <w:rsid w:val="006206AD"/>
    <w:rsid w:val="00620F06"/>
    <w:rsid w:val="00621DFE"/>
    <w:rsid w:val="006221C5"/>
    <w:rsid w:val="00623D4E"/>
    <w:rsid w:val="00624934"/>
    <w:rsid w:val="0062500F"/>
    <w:rsid w:val="00625A49"/>
    <w:rsid w:val="00626770"/>
    <w:rsid w:val="00626A71"/>
    <w:rsid w:val="00631347"/>
    <w:rsid w:val="006315CB"/>
    <w:rsid w:val="00632215"/>
    <w:rsid w:val="00633001"/>
    <w:rsid w:val="00633CE6"/>
    <w:rsid w:val="0063503A"/>
    <w:rsid w:val="00636512"/>
    <w:rsid w:val="006367B0"/>
    <w:rsid w:val="00636C02"/>
    <w:rsid w:val="006401E9"/>
    <w:rsid w:val="00641D2A"/>
    <w:rsid w:val="00642DF7"/>
    <w:rsid w:val="0064332B"/>
    <w:rsid w:val="00643F92"/>
    <w:rsid w:val="00643FAD"/>
    <w:rsid w:val="006444C7"/>
    <w:rsid w:val="00644785"/>
    <w:rsid w:val="00644AC2"/>
    <w:rsid w:val="00645B50"/>
    <w:rsid w:val="00646409"/>
    <w:rsid w:val="006505A2"/>
    <w:rsid w:val="006528CA"/>
    <w:rsid w:val="00652FD3"/>
    <w:rsid w:val="00653069"/>
    <w:rsid w:val="00653387"/>
    <w:rsid w:val="006533EE"/>
    <w:rsid w:val="0065419A"/>
    <w:rsid w:val="006548A5"/>
    <w:rsid w:val="00654D0F"/>
    <w:rsid w:val="00655742"/>
    <w:rsid w:val="00655BF7"/>
    <w:rsid w:val="006569CD"/>
    <w:rsid w:val="006569D4"/>
    <w:rsid w:val="006569E1"/>
    <w:rsid w:val="00660880"/>
    <w:rsid w:val="006629D9"/>
    <w:rsid w:val="00662AFE"/>
    <w:rsid w:val="00662BBC"/>
    <w:rsid w:val="00663461"/>
    <w:rsid w:val="0066364F"/>
    <w:rsid w:val="00663C8E"/>
    <w:rsid w:val="00664CAE"/>
    <w:rsid w:val="00665382"/>
    <w:rsid w:val="006657BD"/>
    <w:rsid w:val="00665A1A"/>
    <w:rsid w:val="00665A2A"/>
    <w:rsid w:val="0066757F"/>
    <w:rsid w:val="00667ED6"/>
    <w:rsid w:val="006709C2"/>
    <w:rsid w:val="00670B15"/>
    <w:rsid w:val="00671264"/>
    <w:rsid w:val="00671319"/>
    <w:rsid w:val="00674B06"/>
    <w:rsid w:val="00675F3D"/>
    <w:rsid w:val="006760D5"/>
    <w:rsid w:val="00676595"/>
    <w:rsid w:val="006765C0"/>
    <w:rsid w:val="00676BAC"/>
    <w:rsid w:val="00677D6D"/>
    <w:rsid w:val="00681757"/>
    <w:rsid w:val="00681A3F"/>
    <w:rsid w:val="00681D0A"/>
    <w:rsid w:val="006820DD"/>
    <w:rsid w:val="00682325"/>
    <w:rsid w:val="00684F70"/>
    <w:rsid w:val="006854D7"/>
    <w:rsid w:val="00685592"/>
    <w:rsid w:val="00686B87"/>
    <w:rsid w:val="006876CF"/>
    <w:rsid w:val="00687992"/>
    <w:rsid w:val="006913D4"/>
    <w:rsid w:val="00691422"/>
    <w:rsid w:val="00691476"/>
    <w:rsid w:val="0069278E"/>
    <w:rsid w:val="00693616"/>
    <w:rsid w:val="00693938"/>
    <w:rsid w:val="006943FE"/>
    <w:rsid w:val="00697447"/>
    <w:rsid w:val="006979B4"/>
    <w:rsid w:val="006A003D"/>
    <w:rsid w:val="006A08D3"/>
    <w:rsid w:val="006A0917"/>
    <w:rsid w:val="006A0939"/>
    <w:rsid w:val="006A0C17"/>
    <w:rsid w:val="006A17F7"/>
    <w:rsid w:val="006A1947"/>
    <w:rsid w:val="006A194D"/>
    <w:rsid w:val="006A1D82"/>
    <w:rsid w:val="006A3354"/>
    <w:rsid w:val="006A4451"/>
    <w:rsid w:val="006A51C1"/>
    <w:rsid w:val="006A54A9"/>
    <w:rsid w:val="006A67FF"/>
    <w:rsid w:val="006A6F94"/>
    <w:rsid w:val="006A75DA"/>
    <w:rsid w:val="006A7B59"/>
    <w:rsid w:val="006B0362"/>
    <w:rsid w:val="006B0C53"/>
    <w:rsid w:val="006B13B7"/>
    <w:rsid w:val="006B1C9A"/>
    <w:rsid w:val="006B1FA5"/>
    <w:rsid w:val="006B29D4"/>
    <w:rsid w:val="006B2E6E"/>
    <w:rsid w:val="006B2FC4"/>
    <w:rsid w:val="006B40A1"/>
    <w:rsid w:val="006B53CA"/>
    <w:rsid w:val="006B6103"/>
    <w:rsid w:val="006B6B7C"/>
    <w:rsid w:val="006B7219"/>
    <w:rsid w:val="006B7AC7"/>
    <w:rsid w:val="006C475E"/>
    <w:rsid w:val="006C52A3"/>
    <w:rsid w:val="006C5DB4"/>
    <w:rsid w:val="006C65DF"/>
    <w:rsid w:val="006C6A83"/>
    <w:rsid w:val="006C6E29"/>
    <w:rsid w:val="006C6F36"/>
    <w:rsid w:val="006C71BA"/>
    <w:rsid w:val="006C74D1"/>
    <w:rsid w:val="006D045D"/>
    <w:rsid w:val="006D0676"/>
    <w:rsid w:val="006D0A4E"/>
    <w:rsid w:val="006D14AD"/>
    <w:rsid w:val="006D21AD"/>
    <w:rsid w:val="006D3728"/>
    <w:rsid w:val="006D3BD9"/>
    <w:rsid w:val="006D40BB"/>
    <w:rsid w:val="006D479D"/>
    <w:rsid w:val="006D57FC"/>
    <w:rsid w:val="006D6556"/>
    <w:rsid w:val="006D6E1A"/>
    <w:rsid w:val="006D6F82"/>
    <w:rsid w:val="006D768D"/>
    <w:rsid w:val="006D7E98"/>
    <w:rsid w:val="006E00E6"/>
    <w:rsid w:val="006E018D"/>
    <w:rsid w:val="006E0512"/>
    <w:rsid w:val="006E0D05"/>
    <w:rsid w:val="006E0E78"/>
    <w:rsid w:val="006E0F67"/>
    <w:rsid w:val="006E2A5B"/>
    <w:rsid w:val="006E2CB7"/>
    <w:rsid w:val="006E2DF9"/>
    <w:rsid w:val="006E328C"/>
    <w:rsid w:val="006E33E3"/>
    <w:rsid w:val="006E4570"/>
    <w:rsid w:val="006E4E88"/>
    <w:rsid w:val="006E594B"/>
    <w:rsid w:val="006F0308"/>
    <w:rsid w:val="006F0ADD"/>
    <w:rsid w:val="006F0C32"/>
    <w:rsid w:val="006F119F"/>
    <w:rsid w:val="006F21CC"/>
    <w:rsid w:val="006F232B"/>
    <w:rsid w:val="006F2578"/>
    <w:rsid w:val="006F2A86"/>
    <w:rsid w:val="006F3086"/>
    <w:rsid w:val="006F40D9"/>
    <w:rsid w:val="006F5938"/>
    <w:rsid w:val="006F6A4A"/>
    <w:rsid w:val="00700862"/>
    <w:rsid w:val="00700A5B"/>
    <w:rsid w:val="00701E57"/>
    <w:rsid w:val="0070260C"/>
    <w:rsid w:val="00702BD8"/>
    <w:rsid w:val="00702F99"/>
    <w:rsid w:val="007030F6"/>
    <w:rsid w:val="00703209"/>
    <w:rsid w:val="007039EE"/>
    <w:rsid w:val="00703FA9"/>
    <w:rsid w:val="0070408A"/>
    <w:rsid w:val="007040D1"/>
    <w:rsid w:val="007046D4"/>
    <w:rsid w:val="007047E1"/>
    <w:rsid w:val="00704B79"/>
    <w:rsid w:val="00705D3D"/>
    <w:rsid w:val="00712A7F"/>
    <w:rsid w:val="00713C1F"/>
    <w:rsid w:val="00713CFE"/>
    <w:rsid w:val="007148EB"/>
    <w:rsid w:val="00714A24"/>
    <w:rsid w:val="00714C85"/>
    <w:rsid w:val="0071668A"/>
    <w:rsid w:val="00717BAC"/>
    <w:rsid w:val="00717E2F"/>
    <w:rsid w:val="00720566"/>
    <w:rsid w:val="00720E78"/>
    <w:rsid w:val="00721513"/>
    <w:rsid w:val="0072157D"/>
    <w:rsid w:val="00721807"/>
    <w:rsid w:val="007219D0"/>
    <w:rsid w:val="007219D1"/>
    <w:rsid w:val="00721A64"/>
    <w:rsid w:val="00722256"/>
    <w:rsid w:val="0072226F"/>
    <w:rsid w:val="007236EB"/>
    <w:rsid w:val="00723EC5"/>
    <w:rsid w:val="00724868"/>
    <w:rsid w:val="00724880"/>
    <w:rsid w:val="007250D9"/>
    <w:rsid w:val="007258D9"/>
    <w:rsid w:val="007262B0"/>
    <w:rsid w:val="007267F0"/>
    <w:rsid w:val="007278D3"/>
    <w:rsid w:val="00727DFD"/>
    <w:rsid w:val="00730E54"/>
    <w:rsid w:val="0073231C"/>
    <w:rsid w:val="0073243A"/>
    <w:rsid w:val="0073386D"/>
    <w:rsid w:val="007339A2"/>
    <w:rsid w:val="00735BAA"/>
    <w:rsid w:val="0073615C"/>
    <w:rsid w:val="007362E3"/>
    <w:rsid w:val="00736500"/>
    <w:rsid w:val="00736C90"/>
    <w:rsid w:val="00740040"/>
    <w:rsid w:val="007411EB"/>
    <w:rsid w:val="0074176D"/>
    <w:rsid w:val="00742B6C"/>
    <w:rsid w:val="00742CAA"/>
    <w:rsid w:val="00742D15"/>
    <w:rsid w:val="00743567"/>
    <w:rsid w:val="00743A80"/>
    <w:rsid w:val="00743D4E"/>
    <w:rsid w:val="00743FE5"/>
    <w:rsid w:val="00744ADA"/>
    <w:rsid w:val="0074656B"/>
    <w:rsid w:val="00746590"/>
    <w:rsid w:val="00747560"/>
    <w:rsid w:val="00750730"/>
    <w:rsid w:val="00750A79"/>
    <w:rsid w:val="00750C87"/>
    <w:rsid w:val="00750DA4"/>
    <w:rsid w:val="00751CB1"/>
    <w:rsid w:val="00751F6A"/>
    <w:rsid w:val="00752641"/>
    <w:rsid w:val="007531E3"/>
    <w:rsid w:val="007554E9"/>
    <w:rsid w:val="0075580F"/>
    <w:rsid w:val="00755CE8"/>
    <w:rsid w:val="00756025"/>
    <w:rsid w:val="00757A62"/>
    <w:rsid w:val="00757B90"/>
    <w:rsid w:val="007613E6"/>
    <w:rsid w:val="00762893"/>
    <w:rsid w:val="00763495"/>
    <w:rsid w:val="007639B3"/>
    <w:rsid w:val="007639C9"/>
    <w:rsid w:val="007639CA"/>
    <w:rsid w:val="00763A89"/>
    <w:rsid w:val="00764042"/>
    <w:rsid w:val="00764144"/>
    <w:rsid w:val="007650BA"/>
    <w:rsid w:val="007651D2"/>
    <w:rsid w:val="00767220"/>
    <w:rsid w:val="007708A8"/>
    <w:rsid w:val="0077160C"/>
    <w:rsid w:val="00771B61"/>
    <w:rsid w:val="00771E83"/>
    <w:rsid w:val="00772820"/>
    <w:rsid w:val="00772B33"/>
    <w:rsid w:val="007736EE"/>
    <w:rsid w:val="007737A6"/>
    <w:rsid w:val="00774622"/>
    <w:rsid w:val="0077482C"/>
    <w:rsid w:val="00774FB7"/>
    <w:rsid w:val="00776F71"/>
    <w:rsid w:val="00777536"/>
    <w:rsid w:val="0078029C"/>
    <w:rsid w:val="007814B7"/>
    <w:rsid w:val="00781DE5"/>
    <w:rsid w:val="007823BE"/>
    <w:rsid w:val="0078255B"/>
    <w:rsid w:val="00782B14"/>
    <w:rsid w:val="00782C51"/>
    <w:rsid w:val="00782F1A"/>
    <w:rsid w:val="007838D7"/>
    <w:rsid w:val="00783F4F"/>
    <w:rsid w:val="00784168"/>
    <w:rsid w:val="00784FCD"/>
    <w:rsid w:val="00785700"/>
    <w:rsid w:val="00785FD0"/>
    <w:rsid w:val="00786739"/>
    <w:rsid w:val="0078682A"/>
    <w:rsid w:val="00787281"/>
    <w:rsid w:val="00787F0A"/>
    <w:rsid w:val="00790829"/>
    <w:rsid w:val="00790D73"/>
    <w:rsid w:val="007913F8"/>
    <w:rsid w:val="00792E4A"/>
    <w:rsid w:val="0079318A"/>
    <w:rsid w:val="0079369E"/>
    <w:rsid w:val="00793D30"/>
    <w:rsid w:val="007943CA"/>
    <w:rsid w:val="00794C0A"/>
    <w:rsid w:val="00794D50"/>
    <w:rsid w:val="0079548B"/>
    <w:rsid w:val="00795D2C"/>
    <w:rsid w:val="00796290"/>
    <w:rsid w:val="007966FE"/>
    <w:rsid w:val="00796B9D"/>
    <w:rsid w:val="00797756"/>
    <w:rsid w:val="007A105E"/>
    <w:rsid w:val="007A17CC"/>
    <w:rsid w:val="007A17ED"/>
    <w:rsid w:val="007A2021"/>
    <w:rsid w:val="007A3159"/>
    <w:rsid w:val="007A547C"/>
    <w:rsid w:val="007A67E6"/>
    <w:rsid w:val="007A6EBC"/>
    <w:rsid w:val="007A7BFA"/>
    <w:rsid w:val="007B0662"/>
    <w:rsid w:val="007B1E82"/>
    <w:rsid w:val="007B439B"/>
    <w:rsid w:val="007B4762"/>
    <w:rsid w:val="007B63BA"/>
    <w:rsid w:val="007B7147"/>
    <w:rsid w:val="007C05A4"/>
    <w:rsid w:val="007C06AF"/>
    <w:rsid w:val="007C0FE7"/>
    <w:rsid w:val="007C1F3B"/>
    <w:rsid w:val="007C29FC"/>
    <w:rsid w:val="007C33A6"/>
    <w:rsid w:val="007C36A5"/>
    <w:rsid w:val="007C4763"/>
    <w:rsid w:val="007C5084"/>
    <w:rsid w:val="007C6167"/>
    <w:rsid w:val="007C6848"/>
    <w:rsid w:val="007C69C7"/>
    <w:rsid w:val="007D060C"/>
    <w:rsid w:val="007D0621"/>
    <w:rsid w:val="007D1391"/>
    <w:rsid w:val="007D30F1"/>
    <w:rsid w:val="007D3EE2"/>
    <w:rsid w:val="007D4808"/>
    <w:rsid w:val="007D527A"/>
    <w:rsid w:val="007D54D6"/>
    <w:rsid w:val="007D68FD"/>
    <w:rsid w:val="007D6E30"/>
    <w:rsid w:val="007D784E"/>
    <w:rsid w:val="007E0EAA"/>
    <w:rsid w:val="007E154A"/>
    <w:rsid w:val="007E2D73"/>
    <w:rsid w:val="007E313C"/>
    <w:rsid w:val="007E3405"/>
    <w:rsid w:val="007E3EEE"/>
    <w:rsid w:val="007E48A9"/>
    <w:rsid w:val="007E4B1D"/>
    <w:rsid w:val="007E60C2"/>
    <w:rsid w:val="007E670A"/>
    <w:rsid w:val="007E7390"/>
    <w:rsid w:val="007F064A"/>
    <w:rsid w:val="007F1559"/>
    <w:rsid w:val="007F3A1F"/>
    <w:rsid w:val="007F6583"/>
    <w:rsid w:val="007F67CA"/>
    <w:rsid w:val="007F7AD5"/>
    <w:rsid w:val="00800283"/>
    <w:rsid w:val="0080134D"/>
    <w:rsid w:val="00802A5E"/>
    <w:rsid w:val="00802B77"/>
    <w:rsid w:val="00803A28"/>
    <w:rsid w:val="00803ADB"/>
    <w:rsid w:val="00804FAB"/>
    <w:rsid w:val="0080584F"/>
    <w:rsid w:val="00805CC7"/>
    <w:rsid w:val="00805D6A"/>
    <w:rsid w:val="00805F37"/>
    <w:rsid w:val="00806C33"/>
    <w:rsid w:val="00806EC4"/>
    <w:rsid w:val="0080720D"/>
    <w:rsid w:val="00807401"/>
    <w:rsid w:val="00812225"/>
    <w:rsid w:val="00812E58"/>
    <w:rsid w:val="008154A1"/>
    <w:rsid w:val="00816F99"/>
    <w:rsid w:val="008172BB"/>
    <w:rsid w:val="00817F59"/>
    <w:rsid w:val="00820CB6"/>
    <w:rsid w:val="00820EAF"/>
    <w:rsid w:val="00821076"/>
    <w:rsid w:val="00822654"/>
    <w:rsid w:val="00822765"/>
    <w:rsid w:val="00824D4B"/>
    <w:rsid w:val="0082548F"/>
    <w:rsid w:val="00825F81"/>
    <w:rsid w:val="00830E86"/>
    <w:rsid w:val="00834600"/>
    <w:rsid w:val="00834BC5"/>
    <w:rsid w:val="00834BEA"/>
    <w:rsid w:val="008352B6"/>
    <w:rsid w:val="00835505"/>
    <w:rsid w:val="00835AA0"/>
    <w:rsid w:val="00836181"/>
    <w:rsid w:val="00836B7B"/>
    <w:rsid w:val="00837CE6"/>
    <w:rsid w:val="0084070A"/>
    <w:rsid w:val="0084115A"/>
    <w:rsid w:val="00841335"/>
    <w:rsid w:val="0084199B"/>
    <w:rsid w:val="00841AC6"/>
    <w:rsid w:val="00841D23"/>
    <w:rsid w:val="008421AE"/>
    <w:rsid w:val="00843057"/>
    <w:rsid w:val="008430C4"/>
    <w:rsid w:val="00843F00"/>
    <w:rsid w:val="0084501A"/>
    <w:rsid w:val="00845E5E"/>
    <w:rsid w:val="00846C38"/>
    <w:rsid w:val="008479A4"/>
    <w:rsid w:val="00850098"/>
    <w:rsid w:val="00850B0D"/>
    <w:rsid w:val="00850D40"/>
    <w:rsid w:val="0085157D"/>
    <w:rsid w:val="00853B48"/>
    <w:rsid w:val="008559D2"/>
    <w:rsid w:val="00855CBF"/>
    <w:rsid w:val="00855D98"/>
    <w:rsid w:val="00855E63"/>
    <w:rsid w:val="008567DF"/>
    <w:rsid w:val="00856AA0"/>
    <w:rsid w:val="00856B7C"/>
    <w:rsid w:val="00857FC2"/>
    <w:rsid w:val="00860250"/>
    <w:rsid w:val="00860794"/>
    <w:rsid w:val="00860E30"/>
    <w:rsid w:val="00863DF5"/>
    <w:rsid w:val="0086504D"/>
    <w:rsid w:val="00865918"/>
    <w:rsid w:val="0086650C"/>
    <w:rsid w:val="00866C50"/>
    <w:rsid w:val="00866F3A"/>
    <w:rsid w:val="00871580"/>
    <w:rsid w:val="008720CB"/>
    <w:rsid w:val="008738C3"/>
    <w:rsid w:val="008746FE"/>
    <w:rsid w:val="00874DE8"/>
    <w:rsid w:val="00876E27"/>
    <w:rsid w:val="008772DC"/>
    <w:rsid w:val="00880CB8"/>
    <w:rsid w:val="008816D5"/>
    <w:rsid w:val="008829A1"/>
    <w:rsid w:val="00882D40"/>
    <w:rsid w:val="00883403"/>
    <w:rsid w:val="0088416D"/>
    <w:rsid w:val="008846FA"/>
    <w:rsid w:val="008854E2"/>
    <w:rsid w:val="00885E14"/>
    <w:rsid w:val="0088662C"/>
    <w:rsid w:val="00890045"/>
    <w:rsid w:val="008900CB"/>
    <w:rsid w:val="00890507"/>
    <w:rsid w:val="00890F63"/>
    <w:rsid w:val="00891042"/>
    <w:rsid w:val="008913F2"/>
    <w:rsid w:val="00891BF3"/>
    <w:rsid w:val="00892088"/>
    <w:rsid w:val="008936A4"/>
    <w:rsid w:val="00893CF6"/>
    <w:rsid w:val="00895362"/>
    <w:rsid w:val="0089547C"/>
    <w:rsid w:val="0089583F"/>
    <w:rsid w:val="00896B04"/>
    <w:rsid w:val="008A0050"/>
    <w:rsid w:val="008A0A30"/>
    <w:rsid w:val="008A121A"/>
    <w:rsid w:val="008A128B"/>
    <w:rsid w:val="008A1478"/>
    <w:rsid w:val="008A275D"/>
    <w:rsid w:val="008A4A9D"/>
    <w:rsid w:val="008A5743"/>
    <w:rsid w:val="008A5BCD"/>
    <w:rsid w:val="008A61B2"/>
    <w:rsid w:val="008A6AC3"/>
    <w:rsid w:val="008A6B31"/>
    <w:rsid w:val="008A745F"/>
    <w:rsid w:val="008A7852"/>
    <w:rsid w:val="008A7ABE"/>
    <w:rsid w:val="008B0C4C"/>
    <w:rsid w:val="008B156C"/>
    <w:rsid w:val="008B213D"/>
    <w:rsid w:val="008B273C"/>
    <w:rsid w:val="008B3422"/>
    <w:rsid w:val="008B3668"/>
    <w:rsid w:val="008B36A4"/>
    <w:rsid w:val="008B3A21"/>
    <w:rsid w:val="008B4749"/>
    <w:rsid w:val="008B5BB5"/>
    <w:rsid w:val="008B7040"/>
    <w:rsid w:val="008B7D29"/>
    <w:rsid w:val="008B7E53"/>
    <w:rsid w:val="008C0197"/>
    <w:rsid w:val="008C0734"/>
    <w:rsid w:val="008C0E38"/>
    <w:rsid w:val="008C2020"/>
    <w:rsid w:val="008C2D75"/>
    <w:rsid w:val="008C316F"/>
    <w:rsid w:val="008C3317"/>
    <w:rsid w:val="008C43B3"/>
    <w:rsid w:val="008C4536"/>
    <w:rsid w:val="008C4A2D"/>
    <w:rsid w:val="008C5334"/>
    <w:rsid w:val="008C645C"/>
    <w:rsid w:val="008C6A25"/>
    <w:rsid w:val="008C6CFE"/>
    <w:rsid w:val="008C7AE4"/>
    <w:rsid w:val="008D01A9"/>
    <w:rsid w:val="008D08FE"/>
    <w:rsid w:val="008D0C02"/>
    <w:rsid w:val="008D0EA4"/>
    <w:rsid w:val="008D16C5"/>
    <w:rsid w:val="008D1AD6"/>
    <w:rsid w:val="008D2756"/>
    <w:rsid w:val="008D398C"/>
    <w:rsid w:val="008D4236"/>
    <w:rsid w:val="008D517E"/>
    <w:rsid w:val="008D559E"/>
    <w:rsid w:val="008D57DA"/>
    <w:rsid w:val="008D59F6"/>
    <w:rsid w:val="008E0D92"/>
    <w:rsid w:val="008E16E5"/>
    <w:rsid w:val="008E252B"/>
    <w:rsid w:val="008E2B84"/>
    <w:rsid w:val="008E2D2B"/>
    <w:rsid w:val="008E3694"/>
    <w:rsid w:val="008E3AAB"/>
    <w:rsid w:val="008E4196"/>
    <w:rsid w:val="008E423B"/>
    <w:rsid w:val="008E74B6"/>
    <w:rsid w:val="008F0455"/>
    <w:rsid w:val="008F07B1"/>
    <w:rsid w:val="008F098D"/>
    <w:rsid w:val="008F282F"/>
    <w:rsid w:val="008F2942"/>
    <w:rsid w:val="008F2BD0"/>
    <w:rsid w:val="008F2E75"/>
    <w:rsid w:val="008F3696"/>
    <w:rsid w:val="008F40F7"/>
    <w:rsid w:val="008F41F5"/>
    <w:rsid w:val="008F4250"/>
    <w:rsid w:val="008F4834"/>
    <w:rsid w:val="008F48D9"/>
    <w:rsid w:val="008F5212"/>
    <w:rsid w:val="008F60E2"/>
    <w:rsid w:val="008F6E17"/>
    <w:rsid w:val="008F72A3"/>
    <w:rsid w:val="0090150F"/>
    <w:rsid w:val="0090440D"/>
    <w:rsid w:val="0090446B"/>
    <w:rsid w:val="0090451F"/>
    <w:rsid w:val="00905A18"/>
    <w:rsid w:val="00906135"/>
    <w:rsid w:val="00907C29"/>
    <w:rsid w:val="00907D0D"/>
    <w:rsid w:val="009104D8"/>
    <w:rsid w:val="00910BC0"/>
    <w:rsid w:val="009111E4"/>
    <w:rsid w:val="009116A6"/>
    <w:rsid w:val="0091193B"/>
    <w:rsid w:val="0091193F"/>
    <w:rsid w:val="00911CC2"/>
    <w:rsid w:val="00911FC8"/>
    <w:rsid w:val="0091270D"/>
    <w:rsid w:val="00912BF8"/>
    <w:rsid w:val="00913069"/>
    <w:rsid w:val="009138F2"/>
    <w:rsid w:val="00914FEC"/>
    <w:rsid w:val="0091518B"/>
    <w:rsid w:val="009170AE"/>
    <w:rsid w:val="009177A4"/>
    <w:rsid w:val="0092140A"/>
    <w:rsid w:val="00921548"/>
    <w:rsid w:val="00921678"/>
    <w:rsid w:val="00923391"/>
    <w:rsid w:val="00923B0A"/>
    <w:rsid w:val="009242F7"/>
    <w:rsid w:val="009246FF"/>
    <w:rsid w:val="00924F17"/>
    <w:rsid w:val="0092536A"/>
    <w:rsid w:val="00925462"/>
    <w:rsid w:val="00925830"/>
    <w:rsid w:val="00926035"/>
    <w:rsid w:val="00926C45"/>
    <w:rsid w:val="00926E41"/>
    <w:rsid w:val="00926F72"/>
    <w:rsid w:val="00927638"/>
    <w:rsid w:val="00927D0B"/>
    <w:rsid w:val="00932025"/>
    <w:rsid w:val="00932A6F"/>
    <w:rsid w:val="009340A2"/>
    <w:rsid w:val="009352D0"/>
    <w:rsid w:val="00935E16"/>
    <w:rsid w:val="009366D6"/>
    <w:rsid w:val="009373A7"/>
    <w:rsid w:val="009373C7"/>
    <w:rsid w:val="009374E1"/>
    <w:rsid w:val="009378D9"/>
    <w:rsid w:val="00937A2B"/>
    <w:rsid w:val="00937EB2"/>
    <w:rsid w:val="00940B21"/>
    <w:rsid w:val="00941B87"/>
    <w:rsid w:val="009421C5"/>
    <w:rsid w:val="0094263F"/>
    <w:rsid w:val="00943852"/>
    <w:rsid w:val="00943BE9"/>
    <w:rsid w:val="00944096"/>
    <w:rsid w:val="00944637"/>
    <w:rsid w:val="00944B0B"/>
    <w:rsid w:val="00944E4B"/>
    <w:rsid w:val="009456EA"/>
    <w:rsid w:val="0094579A"/>
    <w:rsid w:val="00945CD6"/>
    <w:rsid w:val="00946AB1"/>
    <w:rsid w:val="00946FDA"/>
    <w:rsid w:val="009506CD"/>
    <w:rsid w:val="0095090D"/>
    <w:rsid w:val="00951154"/>
    <w:rsid w:val="0095151E"/>
    <w:rsid w:val="00952F27"/>
    <w:rsid w:val="0095421E"/>
    <w:rsid w:val="00954BDD"/>
    <w:rsid w:val="00954CAD"/>
    <w:rsid w:val="0095508B"/>
    <w:rsid w:val="00955D25"/>
    <w:rsid w:val="00956F07"/>
    <w:rsid w:val="009572D2"/>
    <w:rsid w:val="009574CD"/>
    <w:rsid w:val="009606B3"/>
    <w:rsid w:val="0096171A"/>
    <w:rsid w:val="009618F9"/>
    <w:rsid w:val="00961D1D"/>
    <w:rsid w:val="00962A35"/>
    <w:rsid w:val="00963701"/>
    <w:rsid w:val="00963972"/>
    <w:rsid w:val="00963A53"/>
    <w:rsid w:val="00963A7F"/>
    <w:rsid w:val="0096497A"/>
    <w:rsid w:val="00964F29"/>
    <w:rsid w:val="00965A92"/>
    <w:rsid w:val="00966759"/>
    <w:rsid w:val="00966881"/>
    <w:rsid w:val="0096777A"/>
    <w:rsid w:val="0096784D"/>
    <w:rsid w:val="00967BE5"/>
    <w:rsid w:val="00970D4E"/>
    <w:rsid w:val="00971F83"/>
    <w:rsid w:val="00972A03"/>
    <w:rsid w:val="00973436"/>
    <w:rsid w:val="00975F7F"/>
    <w:rsid w:val="009760AD"/>
    <w:rsid w:val="00976A58"/>
    <w:rsid w:val="00977936"/>
    <w:rsid w:val="00977B48"/>
    <w:rsid w:val="00977CAF"/>
    <w:rsid w:val="009815DE"/>
    <w:rsid w:val="00982B14"/>
    <w:rsid w:val="0098491E"/>
    <w:rsid w:val="00984B8E"/>
    <w:rsid w:val="00985A9D"/>
    <w:rsid w:val="009861B9"/>
    <w:rsid w:val="0098675D"/>
    <w:rsid w:val="00987BD3"/>
    <w:rsid w:val="00992391"/>
    <w:rsid w:val="00994872"/>
    <w:rsid w:val="009950E2"/>
    <w:rsid w:val="00995144"/>
    <w:rsid w:val="00995693"/>
    <w:rsid w:val="009963C2"/>
    <w:rsid w:val="00996801"/>
    <w:rsid w:val="009971BC"/>
    <w:rsid w:val="0099772D"/>
    <w:rsid w:val="009A0538"/>
    <w:rsid w:val="009A1298"/>
    <w:rsid w:val="009A2ADF"/>
    <w:rsid w:val="009A2DC5"/>
    <w:rsid w:val="009A3309"/>
    <w:rsid w:val="009A4142"/>
    <w:rsid w:val="009A4887"/>
    <w:rsid w:val="009A4DCB"/>
    <w:rsid w:val="009A4EC2"/>
    <w:rsid w:val="009A5759"/>
    <w:rsid w:val="009A6A71"/>
    <w:rsid w:val="009A7E7C"/>
    <w:rsid w:val="009B0B84"/>
    <w:rsid w:val="009B2211"/>
    <w:rsid w:val="009B2F78"/>
    <w:rsid w:val="009B3073"/>
    <w:rsid w:val="009B3CFD"/>
    <w:rsid w:val="009B5B0F"/>
    <w:rsid w:val="009B6ED4"/>
    <w:rsid w:val="009C030A"/>
    <w:rsid w:val="009C0ED1"/>
    <w:rsid w:val="009C19DA"/>
    <w:rsid w:val="009C1CC1"/>
    <w:rsid w:val="009C2C0B"/>
    <w:rsid w:val="009C341A"/>
    <w:rsid w:val="009C351B"/>
    <w:rsid w:val="009C3B1C"/>
    <w:rsid w:val="009C3E4B"/>
    <w:rsid w:val="009C3F8A"/>
    <w:rsid w:val="009C4865"/>
    <w:rsid w:val="009C4FE5"/>
    <w:rsid w:val="009C51EF"/>
    <w:rsid w:val="009C56CC"/>
    <w:rsid w:val="009C6104"/>
    <w:rsid w:val="009C62AE"/>
    <w:rsid w:val="009C63F5"/>
    <w:rsid w:val="009C6E44"/>
    <w:rsid w:val="009C7277"/>
    <w:rsid w:val="009D08F4"/>
    <w:rsid w:val="009D0A11"/>
    <w:rsid w:val="009D1043"/>
    <w:rsid w:val="009D13EC"/>
    <w:rsid w:val="009D184C"/>
    <w:rsid w:val="009D58C2"/>
    <w:rsid w:val="009E12B9"/>
    <w:rsid w:val="009E170A"/>
    <w:rsid w:val="009E3900"/>
    <w:rsid w:val="009E57CF"/>
    <w:rsid w:val="009E68DB"/>
    <w:rsid w:val="009E6C6E"/>
    <w:rsid w:val="009E7A55"/>
    <w:rsid w:val="009E7C5A"/>
    <w:rsid w:val="009E7D37"/>
    <w:rsid w:val="009E7F2E"/>
    <w:rsid w:val="009F11C7"/>
    <w:rsid w:val="009F15B2"/>
    <w:rsid w:val="009F2062"/>
    <w:rsid w:val="009F29BD"/>
    <w:rsid w:val="009F3294"/>
    <w:rsid w:val="009F3416"/>
    <w:rsid w:val="009F3AB4"/>
    <w:rsid w:val="009F3BC0"/>
    <w:rsid w:val="009F4D15"/>
    <w:rsid w:val="009F4EA1"/>
    <w:rsid w:val="009F50CC"/>
    <w:rsid w:val="009F5F03"/>
    <w:rsid w:val="009F75A5"/>
    <w:rsid w:val="009F7934"/>
    <w:rsid w:val="009F7D19"/>
    <w:rsid w:val="00A004EC"/>
    <w:rsid w:val="00A006B3"/>
    <w:rsid w:val="00A00D0C"/>
    <w:rsid w:val="00A01430"/>
    <w:rsid w:val="00A03930"/>
    <w:rsid w:val="00A04618"/>
    <w:rsid w:val="00A04CFF"/>
    <w:rsid w:val="00A05491"/>
    <w:rsid w:val="00A071DB"/>
    <w:rsid w:val="00A07501"/>
    <w:rsid w:val="00A103C9"/>
    <w:rsid w:val="00A104D3"/>
    <w:rsid w:val="00A105D7"/>
    <w:rsid w:val="00A106FC"/>
    <w:rsid w:val="00A10A5B"/>
    <w:rsid w:val="00A113E3"/>
    <w:rsid w:val="00A115E0"/>
    <w:rsid w:val="00A1359C"/>
    <w:rsid w:val="00A1366F"/>
    <w:rsid w:val="00A13EC3"/>
    <w:rsid w:val="00A1464B"/>
    <w:rsid w:val="00A154E2"/>
    <w:rsid w:val="00A1550B"/>
    <w:rsid w:val="00A15890"/>
    <w:rsid w:val="00A15989"/>
    <w:rsid w:val="00A1656D"/>
    <w:rsid w:val="00A16F2A"/>
    <w:rsid w:val="00A1718F"/>
    <w:rsid w:val="00A1783C"/>
    <w:rsid w:val="00A17F0D"/>
    <w:rsid w:val="00A20779"/>
    <w:rsid w:val="00A209B9"/>
    <w:rsid w:val="00A20C08"/>
    <w:rsid w:val="00A218B4"/>
    <w:rsid w:val="00A2240B"/>
    <w:rsid w:val="00A226F1"/>
    <w:rsid w:val="00A229D0"/>
    <w:rsid w:val="00A234BD"/>
    <w:rsid w:val="00A236CF"/>
    <w:rsid w:val="00A23751"/>
    <w:rsid w:val="00A23F12"/>
    <w:rsid w:val="00A24444"/>
    <w:rsid w:val="00A24D47"/>
    <w:rsid w:val="00A25BC4"/>
    <w:rsid w:val="00A267CA"/>
    <w:rsid w:val="00A267CC"/>
    <w:rsid w:val="00A3048C"/>
    <w:rsid w:val="00A30BAB"/>
    <w:rsid w:val="00A3124A"/>
    <w:rsid w:val="00A31A6B"/>
    <w:rsid w:val="00A32FA6"/>
    <w:rsid w:val="00A33A36"/>
    <w:rsid w:val="00A342C7"/>
    <w:rsid w:val="00A34DEA"/>
    <w:rsid w:val="00A35142"/>
    <w:rsid w:val="00A358A0"/>
    <w:rsid w:val="00A35D0D"/>
    <w:rsid w:val="00A36069"/>
    <w:rsid w:val="00A361F6"/>
    <w:rsid w:val="00A36C23"/>
    <w:rsid w:val="00A36E37"/>
    <w:rsid w:val="00A372B4"/>
    <w:rsid w:val="00A37816"/>
    <w:rsid w:val="00A37D8E"/>
    <w:rsid w:val="00A37E41"/>
    <w:rsid w:val="00A416B3"/>
    <w:rsid w:val="00A417D3"/>
    <w:rsid w:val="00A419A7"/>
    <w:rsid w:val="00A428E3"/>
    <w:rsid w:val="00A43497"/>
    <w:rsid w:val="00A4396E"/>
    <w:rsid w:val="00A43DBA"/>
    <w:rsid w:val="00A447AF"/>
    <w:rsid w:val="00A45545"/>
    <w:rsid w:val="00A4605B"/>
    <w:rsid w:val="00A46EE3"/>
    <w:rsid w:val="00A500F5"/>
    <w:rsid w:val="00A50E55"/>
    <w:rsid w:val="00A514A0"/>
    <w:rsid w:val="00A5287D"/>
    <w:rsid w:val="00A53B7F"/>
    <w:rsid w:val="00A5473D"/>
    <w:rsid w:val="00A559E5"/>
    <w:rsid w:val="00A55A85"/>
    <w:rsid w:val="00A56549"/>
    <w:rsid w:val="00A567B1"/>
    <w:rsid w:val="00A56D06"/>
    <w:rsid w:val="00A5714B"/>
    <w:rsid w:val="00A57A9A"/>
    <w:rsid w:val="00A57EBC"/>
    <w:rsid w:val="00A62CD1"/>
    <w:rsid w:val="00A62CE3"/>
    <w:rsid w:val="00A62E07"/>
    <w:rsid w:val="00A63BD0"/>
    <w:rsid w:val="00A63DBD"/>
    <w:rsid w:val="00A64148"/>
    <w:rsid w:val="00A64EA3"/>
    <w:rsid w:val="00A65BB7"/>
    <w:rsid w:val="00A66860"/>
    <w:rsid w:val="00A66874"/>
    <w:rsid w:val="00A66D0D"/>
    <w:rsid w:val="00A67309"/>
    <w:rsid w:val="00A677AA"/>
    <w:rsid w:val="00A67AB9"/>
    <w:rsid w:val="00A7181E"/>
    <w:rsid w:val="00A724EB"/>
    <w:rsid w:val="00A72B7E"/>
    <w:rsid w:val="00A72DAD"/>
    <w:rsid w:val="00A73B1F"/>
    <w:rsid w:val="00A73E0F"/>
    <w:rsid w:val="00A74C7A"/>
    <w:rsid w:val="00A76DD2"/>
    <w:rsid w:val="00A76F79"/>
    <w:rsid w:val="00A770D7"/>
    <w:rsid w:val="00A777DA"/>
    <w:rsid w:val="00A808D9"/>
    <w:rsid w:val="00A823B6"/>
    <w:rsid w:val="00A83499"/>
    <w:rsid w:val="00A84724"/>
    <w:rsid w:val="00A911CC"/>
    <w:rsid w:val="00A91E3D"/>
    <w:rsid w:val="00A927F0"/>
    <w:rsid w:val="00A93844"/>
    <w:rsid w:val="00A94B75"/>
    <w:rsid w:val="00A950B6"/>
    <w:rsid w:val="00A958A6"/>
    <w:rsid w:val="00A95E97"/>
    <w:rsid w:val="00A95E98"/>
    <w:rsid w:val="00A972B3"/>
    <w:rsid w:val="00AA0A17"/>
    <w:rsid w:val="00AA16DB"/>
    <w:rsid w:val="00AA189E"/>
    <w:rsid w:val="00AA197E"/>
    <w:rsid w:val="00AA1E2A"/>
    <w:rsid w:val="00AA2079"/>
    <w:rsid w:val="00AA27EF"/>
    <w:rsid w:val="00AA29C3"/>
    <w:rsid w:val="00AA2F69"/>
    <w:rsid w:val="00AA3CDB"/>
    <w:rsid w:val="00AA3D0B"/>
    <w:rsid w:val="00AA4645"/>
    <w:rsid w:val="00AA4772"/>
    <w:rsid w:val="00AA5CA6"/>
    <w:rsid w:val="00AA5D7C"/>
    <w:rsid w:val="00AA5FBC"/>
    <w:rsid w:val="00AA74BE"/>
    <w:rsid w:val="00AA7AE7"/>
    <w:rsid w:val="00AA7B28"/>
    <w:rsid w:val="00AA7D59"/>
    <w:rsid w:val="00AB0200"/>
    <w:rsid w:val="00AB1C02"/>
    <w:rsid w:val="00AB22BE"/>
    <w:rsid w:val="00AB2B86"/>
    <w:rsid w:val="00AB3B78"/>
    <w:rsid w:val="00AB3CA5"/>
    <w:rsid w:val="00AB529A"/>
    <w:rsid w:val="00AB62CC"/>
    <w:rsid w:val="00AB685C"/>
    <w:rsid w:val="00AB6F68"/>
    <w:rsid w:val="00AB6F70"/>
    <w:rsid w:val="00AB7B34"/>
    <w:rsid w:val="00AC0568"/>
    <w:rsid w:val="00AC31DC"/>
    <w:rsid w:val="00AC3855"/>
    <w:rsid w:val="00AC4A84"/>
    <w:rsid w:val="00AC4C95"/>
    <w:rsid w:val="00AC5B02"/>
    <w:rsid w:val="00AC6079"/>
    <w:rsid w:val="00AC68A2"/>
    <w:rsid w:val="00AC7083"/>
    <w:rsid w:val="00AC7BD2"/>
    <w:rsid w:val="00AD007B"/>
    <w:rsid w:val="00AD07D9"/>
    <w:rsid w:val="00AD093E"/>
    <w:rsid w:val="00AD0F0E"/>
    <w:rsid w:val="00AD1198"/>
    <w:rsid w:val="00AD3ABF"/>
    <w:rsid w:val="00AD3B41"/>
    <w:rsid w:val="00AD4C16"/>
    <w:rsid w:val="00AD4D36"/>
    <w:rsid w:val="00AD4DB4"/>
    <w:rsid w:val="00AD4E10"/>
    <w:rsid w:val="00AD54A1"/>
    <w:rsid w:val="00AD569C"/>
    <w:rsid w:val="00AD5D97"/>
    <w:rsid w:val="00AD62B3"/>
    <w:rsid w:val="00AD67ED"/>
    <w:rsid w:val="00AD6923"/>
    <w:rsid w:val="00AD760E"/>
    <w:rsid w:val="00AD7760"/>
    <w:rsid w:val="00AE082E"/>
    <w:rsid w:val="00AE4897"/>
    <w:rsid w:val="00AE5281"/>
    <w:rsid w:val="00AE58F0"/>
    <w:rsid w:val="00AE7604"/>
    <w:rsid w:val="00AE7A54"/>
    <w:rsid w:val="00AE7D08"/>
    <w:rsid w:val="00AF0122"/>
    <w:rsid w:val="00AF0D5A"/>
    <w:rsid w:val="00AF1F53"/>
    <w:rsid w:val="00AF219D"/>
    <w:rsid w:val="00AF2E67"/>
    <w:rsid w:val="00AF2ED9"/>
    <w:rsid w:val="00AF2EF6"/>
    <w:rsid w:val="00AF3695"/>
    <w:rsid w:val="00AF3D42"/>
    <w:rsid w:val="00AF43D0"/>
    <w:rsid w:val="00AF47BE"/>
    <w:rsid w:val="00AF50EB"/>
    <w:rsid w:val="00AF5344"/>
    <w:rsid w:val="00AF5FCE"/>
    <w:rsid w:val="00AF625D"/>
    <w:rsid w:val="00AF6B19"/>
    <w:rsid w:val="00AF6E56"/>
    <w:rsid w:val="00AF7776"/>
    <w:rsid w:val="00AF7823"/>
    <w:rsid w:val="00B002CA"/>
    <w:rsid w:val="00B00944"/>
    <w:rsid w:val="00B01239"/>
    <w:rsid w:val="00B01D58"/>
    <w:rsid w:val="00B01E49"/>
    <w:rsid w:val="00B03492"/>
    <w:rsid w:val="00B05863"/>
    <w:rsid w:val="00B0593D"/>
    <w:rsid w:val="00B05CF0"/>
    <w:rsid w:val="00B05D4C"/>
    <w:rsid w:val="00B06301"/>
    <w:rsid w:val="00B070C0"/>
    <w:rsid w:val="00B07EC4"/>
    <w:rsid w:val="00B110C8"/>
    <w:rsid w:val="00B113A3"/>
    <w:rsid w:val="00B114B8"/>
    <w:rsid w:val="00B11E90"/>
    <w:rsid w:val="00B11F7B"/>
    <w:rsid w:val="00B12027"/>
    <w:rsid w:val="00B12DC5"/>
    <w:rsid w:val="00B13119"/>
    <w:rsid w:val="00B13A14"/>
    <w:rsid w:val="00B13A2D"/>
    <w:rsid w:val="00B15664"/>
    <w:rsid w:val="00B179A1"/>
    <w:rsid w:val="00B17C61"/>
    <w:rsid w:val="00B17D0E"/>
    <w:rsid w:val="00B20F2D"/>
    <w:rsid w:val="00B21ED3"/>
    <w:rsid w:val="00B223CE"/>
    <w:rsid w:val="00B22493"/>
    <w:rsid w:val="00B225C0"/>
    <w:rsid w:val="00B22CFD"/>
    <w:rsid w:val="00B23395"/>
    <w:rsid w:val="00B23C6A"/>
    <w:rsid w:val="00B24A0F"/>
    <w:rsid w:val="00B24D3C"/>
    <w:rsid w:val="00B25CF3"/>
    <w:rsid w:val="00B25D19"/>
    <w:rsid w:val="00B2672A"/>
    <w:rsid w:val="00B26C59"/>
    <w:rsid w:val="00B26C5B"/>
    <w:rsid w:val="00B27638"/>
    <w:rsid w:val="00B27B09"/>
    <w:rsid w:val="00B30329"/>
    <w:rsid w:val="00B304EE"/>
    <w:rsid w:val="00B30C17"/>
    <w:rsid w:val="00B30E49"/>
    <w:rsid w:val="00B3155D"/>
    <w:rsid w:val="00B3368C"/>
    <w:rsid w:val="00B34447"/>
    <w:rsid w:val="00B344E1"/>
    <w:rsid w:val="00B37DE6"/>
    <w:rsid w:val="00B37F35"/>
    <w:rsid w:val="00B4076C"/>
    <w:rsid w:val="00B4105C"/>
    <w:rsid w:val="00B4119D"/>
    <w:rsid w:val="00B420EF"/>
    <w:rsid w:val="00B42632"/>
    <w:rsid w:val="00B428CA"/>
    <w:rsid w:val="00B43422"/>
    <w:rsid w:val="00B43852"/>
    <w:rsid w:val="00B43F12"/>
    <w:rsid w:val="00B45A9B"/>
    <w:rsid w:val="00B46F91"/>
    <w:rsid w:val="00B47684"/>
    <w:rsid w:val="00B47FD6"/>
    <w:rsid w:val="00B50D49"/>
    <w:rsid w:val="00B50DF3"/>
    <w:rsid w:val="00B517BB"/>
    <w:rsid w:val="00B53499"/>
    <w:rsid w:val="00B547A6"/>
    <w:rsid w:val="00B566FE"/>
    <w:rsid w:val="00B5688D"/>
    <w:rsid w:val="00B56974"/>
    <w:rsid w:val="00B56CA9"/>
    <w:rsid w:val="00B56EC2"/>
    <w:rsid w:val="00B56F6E"/>
    <w:rsid w:val="00B5735C"/>
    <w:rsid w:val="00B57EC7"/>
    <w:rsid w:val="00B60501"/>
    <w:rsid w:val="00B607EF"/>
    <w:rsid w:val="00B60BC2"/>
    <w:rsid w:val="00B6160E"/>
    <w:rsid w:val="00B61910"/>
    <w:rsid w:val="00B61F15"/>
    <w:rsid w:val="00B6219E"/>
    <w:rsid w:val="00B63B27"/>
    <w:rsid w:val="00B63D1A"/>
    <w:rsid w:val="00B64A31"/>
    <w:rsid w:val="00B650AA"/>
    <w:rsid w:val="00B65665"/>
    <w:rsid w:val="00B6601F"/>
    <w:rsid w:val="00B6658C"/>
    <w:rsid w:val="00B66761"/>
    <w:rsid w:val="00B67FC2"/>
    <w:rsid w:val="00B70165"/>
    <w:rsid w:val="00B72789"/>
    <w:rsid w:val="00B72EF9"/>
    <w:rsid w:val="00B76243"/>
    <w:rsid w:val="00B7679A"/>
    <w:rsid w:val="00B808A0"/>
    <w:rsid w:val="00B81298"/>
    <w:rsid w:val="00B8228A"/>
    <w:rsid w:val="00B82970"/>
    <w:rsid w:val="00B841FC"/>
    <w:rsid w:val="00B8420B"/>
    <w:rsid w:val="00B846B5"/>
    <w:rsid w:val="00B84B88"/>
    <w:rsid w:val="00B84D7B"/>
    <w:rsid w:val="00B85473"/>
    <w:rsid w:val="00B85A23"/>
    <w:rsid w:val="00B86038"/>
    <w:rsid w:val="00B860E9"/>
    <w:rsid w:val="00B862D5"/>
    <w:rsid w:val="00B86BB6"/>
    <w:rsid w:val="00B86F07"/>
    <w:rsid w:val="00B91A1D"/>
    <w:rsid w:val="00B92AB6"/>
    <w:rsid w:val="00B93902"/>
    <w:rsid w:val="00B939D1"/>
    <w:rsid w:val="00B93FE3"/>
    <w:rsid w:val="00B9488B"/>
    <w:rsid w:val="00B95968"/>
    <w:rsid w:val="00B95FC2"/>
    <w:rsid w:val="00B964B8"/>
    <w:rsid w:val="00B97351"/>
    <w:rsid w:val="00B978A6"/>
    <w:rsid w:val="00BA12C9"/>
    <w:rsid w:val="00BA154B"/>
    <w:rsid w:val="00BA235C"/>
    <w:rsid w:val="00BA265F"/>
    <w:rsid w:val="00BA3487"/>
    <w:rsid w:val="00BA3FCC"/>
    <w:rsid w:val="00BA42B9"/>
    <w:rsid w:val="00BA4504"/>
    <w:rsid w:val="00BA55F1"/>
    <w:rsid w:val="00BA6006"/>
    <w:rsid w:val="00BA6D0B"/>
    <w:rsid w:val="00BA7401"/>
    <w:rsid w:val="00BA78FC"/>
    <w:rsid w:val="00BB0046"/>
    <w:rsid w:val="00BB00B3"/>
    <w:rsid w:val="00BB0D96"/>
    <w:rsid w:val="00BB0E3E"/>
    <w:rsid w:val="00BB290E"/>
    <w:rsid w:val="00BB30F4"/>
    <w:rsid w:val="00BB335E"/>
    <w:rsid w:val="00BB39D5"/>
    <w:rsid w:val="00BB44E3"/>
    <w:rsid w:val="00BB4957"/>
    <w:rsid w:val="00BB5B22"/>
    <w:rsid w:val="00BB5CE6"/>
    <w:rsid w:val="00BB5F59"/>
    <w:rsid w:val="00BB6A70"/>
    <w:rsid w:val="00BB759D"/>
    <w:rsid w:val="00BC057C"/>
    <w:rsid w:val="00BC13B7"/>
    <w:rsid w:val="00BC2569"/>
    <w:rsid w:val="00BC30E6"/>
    <w:rsid w:val="00BC3139"/>
    <w:rsid w:val="00BC3E4A"/>
    <w:rsid w:val="00BC528E"/>
    <w:rsid w:val="00BC5724"/>
    <w:rsid w:val="00BC57F1"/>
    <w:rsid w:val="00BC6052"/>
    <w:rsid w:val="00BC7B2D"/>
    <w:rsid w:val="00BD00CA"/>
    <w:rsid w:val="00BD0C56"/>
    <w:rsid w:val="00BD18D6"/>
    <w:rsid w:val="00BD1AE3"/>
    <w:rsid w:val="00BD201D"/>
    <w:rsid w:val="00BD21F8"/>
    <w:rsid w:val="00BD2DB3"/>
    <w:rsid w:val="00BD527E"/>
    <w:rsid w:val="00BD5A43"/>
    <w:rsid w:val="00BD6029"/>
    <w:rsid w:val="00BD6132"/>
    <w:rsid w:val="00BD78B2"/>
    <w:rsid w:val="00BD7AD1"/>
    <w:rsid w:val="00BE02C6"/>
    <w:rsid w:val="00BE04FB"/>
    <w:rsid w:val="00BE0A1F"/>
    <w:rsid w:val="00BE53F8"/>
    <w:rsid w:val="00BE55AD"/>
    <w:rsid w:val="00BE577C"/>
    <w:rsid w:val="00BE5C9D"/>
    <w:rsid w:val="00BE6223"/>
    <w:rsid w:val="00BE67C3"/>
    <w:rsid w:val="00BE69D7"/>
    <w:rsid w:val="00BE6DBD"/>
    <w:rsid w:val="00BE7CE4"/>
    <w:rsid w:val="00BF0D1A"/>
    <w:rsid w:val="00BF0E7E"/>
    <w:rsid w:val="00BF1A51"/>
    <w:rsid w:val="00BF220B"/>
    <w:rsid w:val="00BF282D"/>
    <w:rsid w:val="00BF3240"/>
    <w:rsid w:val="00BF399B"/>
    <w:rsid w:val="00BF3A47"/>
    <w:rsid w:val="00BF3BE0"/>
    <w:rsid w:val="00BF64F8"/>
    <w:rsid w:val="00BF6A68"/>
    <w:rsid w:val="00BF7052"/>
    <w:rsid w:val="00BF75E1"/>
    <w:rsid w:val="00BF7F01"/>
    <w:rsid w:val="00C00148"/>
    <w:rsid w:val="00C004A5"/>
    <w:rsid w:val="00C01314"/>
    <w:rsid w:val="00C0163E"/>
    <w:rsid w:val="00C019FD"/>
    <w:rsid w:val="00C01B2C"/>
    <w:rsid w:val="00C02057"/>
    <w:rsid w:val="00C024C5"/>
    <w:rsid w:val="00C02B57"/>
    <w:rsid w:val="00C02D3D"/>
    <w:rsid w:val="00C036A0"/>
    <w:rsid w:val="00C03E8B"/>
    <w:rsid w:val="00C04009"/>
    <w:rsid w:val="00C05877"/>
    <w:rsid w:val="00C061EB"/>
    <w:rsid w:val="00C06E38"/>
    <w:rsid w:val="00C07164"/>
    <w:rsid w:val="00C073D6"/>
    <w:rsid w:val="00C07B4F"/>
    <w:rsid w:val="00C07E60"/>
    <w:rsid w:val="00C10B31"/>
    <w:rsid w:val="00C11ABC"/>
    <w:rsid w:val="00C11C65"/>
    <w:rsid w:val="00C12023"/>
    <w:rsid w:val="00C13C40"/>
    <w:rsid w:val="00C140BB"/>
    <w:rsid w:val="00C15340"/>
    <w:rsid w:val="00C154A5"/>
    <w:rsid w:val="00C15DC3"/>
    <w:rsid w:val="00C16D1D"/>
    <w:rsid w:val="00C172D4"/>
    <w:rsid w:val="00C175A2"/>
    <w:rsid w:val="00C20376"/>
    <w:rsid w:val="00C20CF0"/>
    <w:rsid w:val="00C213DA"/>
    <w:rsid w:val="00C22F88"/>
    <w:rsid w:val="00C2380A"/>
    <w:rsid w:val="00C2429F"/>
    <w:rsid w:val="00C250B4"/>
    <w:rsid w:val="00C253CB"/>
    <w:rsid w:val="00C27D14"/>
    <w:rsid w:val="00C27D9C"/>
    <w:rsid w:val="00C27F3E"/>
    <w:rsid w:val="00C3010F"/>
    <w:rsid w:val="00C3066F"/>
    <w:rsid w:val="00C30C7A"/>
    <w:rsid w:val="00C32260"/>
    <w:rsid w:val="00C3396A"/>
    <w:rsid w:val="00C33C66"/>
    <w:rsid w:val="00C343AF"/>
    <w:rsid w:val="00C3532E"/>
    <w:rsid w:val="00C3620B"/>
    <w:rsid w:val="00C36226"/>
    <w:rsid w:val="00C36E21"/>
    <w:rsid w:val="00C37060"/>
    <w:rsid w:val="00C37AD4"/>
    <w:rsid w:val="00C404A2"/>
    <w:rsid w:val="00C4084F"/>
    <w:rsid w:val="00C4106D"/>
    <w:rsid w:val="00C410C4"/>
    <w:rsid w:val="00C415B3"/>
    <w:rsid w:val="00C41CA9"/>
    <w:rsid w:val="00C4271E"/>
    <w:rsid w:val="00C43D16"/>
    <w:rsid w:val="00C450A3"/>
    <w:rsid w:val="00C468C1"/>
    <w:rsid w:val="00C46BB3"/>
    <w:rsid w:val="00C47A01"/>
    <w:rsid w:val="00C509EF"/>
    <w:rsid w:val="00C517AA"/>
    <w:rsid w:val="00C519AF"/>
    <w:rsid w:val="00C51DD7"/>
    <w:rsid w:val="00C5208C"/>
    <w:rsid w:val="00C52757"/>
    <w:rsid w:val="00C529B7"/>
    <w:rsid w:val="00C52A07"/>
    <w:rsid w:val="00C52CCB"/>
    <w:rsid w:val="00C52F3D"/>
    <w:rsid w:val="00C537EF"/>
    <w:rsid w:val="00C5435C"/>
    <w:rsid w:val="00C5543E"/>
    <w:rsid w:val="00C559D3"/>
    <w:rsid w:val="00C560EC"/>
    <w:rsid w:val="00C56997"/>
    <w:rsid w:val="00C57103"/>
    <w:rsid w:val="00C571D3"/>
    <w:rsid w:val="00C5750D"/>
    <w:rsid w:val="00C57D3E"/>
    <w:rsid w:val="00C60476"/>
    <w:rsid w:val="00C611CE"/>
    <w:rsid w:val="00C611EA"/>
    <w:rsid w:val="00C61502"/>
    <w:rsid w:val="00C61599"/>
    <w:rsid w:val="00C61908"/>
    <w:rsid w:val="00C629FE"/>
    <w:rsid w:val="00C62BA6"/>
    <w:rsid w:val="00C63916"/>
    <w:rsid w:val="00C65238"/>
    <w:rsid w:val="00C65CDD"/>
    <w:rsid w:val="00C65E40"/>
    <w:rsid w:val="00C6677B"/>
    <w:rsid w:val="00C667C2"/>
    <w:rsid w:val="00C66BC4"/>
    <w:rsid w:val="00C671E7"/>
    <w:rsid w:val="00C676BA"/>
    <w:rsid w:val="00C67E6F"/>
    <w:rsid w:val="00C702AA"/>
    <w:rsid w:val="00C7071C"/>
    <w:rsid w:val="00C716E9"/>
    <w:rsid w:val="00C71A40"/>
    <w:rsid w:val="00C72074"/>
    <w:rsid w:val="00C72554"/>
    <w:rsid w:val="00C739A0"/>
    <w:rsid w:val="00C73D7A"/>
    <w:rsid w:val="00C754BE"/>
    <w:rsid w:val="00C75979"/>
    <w:rsid w:val="00C75EFC"/>
    <w:rsid w:val="00C76269"/>
    <w:rsid w:val="00C7641C"/>
    <w:rsid w:val="00C7712C"/>
    <w:rsid w:val="00C775EB"/>
    <w:rsid w:val="00C77AD3"/>
    <w:rsid w:val="00C8059A"/>
    <w:rsid w:val="00C80CDE"/>
    <w:rsid w:val="00C811F1"/>
    <w:rsid w:val="00C82422"/>
    <w:rsid w:val="00C829E5"/>
    <w:rsid w:val="00C83250"/>
    <w:rsid w:val="00C83E08"/>
    <w:rsid w:val="00C84206"/>
    <w:rsid w:val="00C8665C"/>
    <w:rsid w:val="00C86EE1"/>
    <w:rsid w:val="00C86F92"/>
    <w:rsid w:val="00C87394"/>
    <w:rsid w:val="00C87BA6"/>
    <w:rsid w:val="00C87F05"/>
    <w:rsid w:val="00C90275"/>
    <w:rsid w:val="00C90766"/>
    <w:rsid w:val="00C90775"/>
    <w:rsid w:val="00C90FF3"/>
    <w:rsid w:val="00C9100E"/>
    <w:rsid w:val="00C915E8"/>
    <w:rsid w:val="00C91897"/>
    <w:rsid w:val="00C91975"/>
    <w:rsid w:val="00C91E1E"/>
    <w:rsid w:val="00C922A8"/>
    <w:rsid w:val="00C92FC0"/>
    <w:rsid w:val="00C938FD"/>
    <w:rsid w:val="00C941C5"/>
    <w:rsid w:val="00C95427"/>
    <w:rsid w:val="00C95F1E"/>
    <w:rsid w:val="00C97561"/>
    <w:rsid w:val="00C97EC9"/>
    <w:rsid w:val="00CA1416"/>
    <w:rsid w:val="00CA152A"/>
    <w:rsid w:val="00CA1A81"/>
    <w:rsid w:val="00CA1FFA"/>
    <w:rsid w:val="00CA2579"/>
    <w:rsid w:val="00CA2D7B"/>
    <w:rsid w:val="00CA3285"/>
    <w:rsid w:val="00CA38CF"/>
    <w:rsid w:val="00CA39E4"/>
    <w:rsid w:val="00CA4021"/>
    <w:rsid w:val="00CA50BC"/>
    <w:rsid w:val="00CA572D"/>
    <w:rsid w:val="00CA5EEC"/>
    <w:rsid w:val="00CB1143"/>
    <w:rsid w:val="00CB2446"/>
    <w:rsid w:val="00CB26BC"/>
    <w:rsid w:val="00CB295F"/>
    <w:rsid w:val="00CB351C"/>
    <w:rsid w:val="00CB3C93"/>
    <w:rsid w:val="00CB4FD3"/>
    <w:rsid w:val="00CB5F28"/>
    <w:rsid w:val="00CB748F"/>
    <w:rsid w:val="00CC04A4"/>
    <w:rsid w:val="00CC1DF8"/>
    <w:rsid w:val="00CC21CD"/>
    <w:rsid w:val="00CC23B0"/>
    <w:rsid w:val="00CC26BF"/>
    <w:rsid w:val="00CC2D43"/>
    <w:rsid w:val="00CC2EEC"/>
    <w:rsid w:val="00CC32D0"/>
    <w:rsid w:val="00CC35DF"/>
    <w:rsid w:val="00CC3EEB"/>
    <w:rsid w:val="00CC3F65"/>
    <w:rsid w:val="00CC50DE"/>
    <w:rsid w:val="00CC530C"/>
    <w:rsid w:val="00CC5E74"/>
    <w:rsid w:val="00CC78B9"/>
    <w:rsid w:val="00CD0C16"/>
    <w:rsid w:val="00CD102E"/>
    <w:rsid w:val="00CD13A8"/>
    <w:rsid w:val="00CD165B"/>
    <w:rsid w:val="00CD27C8"/>
    <w:rsid w:val="00CD2E5A"/>
    <w:rsid w:val="00CD3051"/>
    <w:rsid w:val="00CD36FD"/>
    <w:rsid w:val="00CD48EF"/>
    <w:rsid w:val="00CD4D8D"/>
    <w:rsid w:val="00CD4FD5"/>
    <w:rsid w:val="00CD50CF"/>
    <w:rsid w:val="00CD62FA"/>
    <w:rsid w:val="00CD6FC6"/>
    <w:rsid w:val="00CD72D2"/>
    <w:rsid w:val="00CD7A97"/>
    <w:rsid w:val="00CD7F04"/>
    <w:rsid w:val="00CD7F70"/>
    <w:rsid w:val="00CE01B4"/>
    <w:rsid w:val="00CE197F"/>
    <w:rsid w:val="00CE20F0"/>
    <w:rsid w:val="00CE2111"/>
    <w:rsid w:val="00CE2F37"/>
    <w:rsid w:val="00CE3625"/>
    <w:rsid w:val="00CE3A32"/>
    <w:rsid w:val="00CE3AA7"/>
    <w:rsid w:val="00CE4536"/>
    <w:rsid w:val="00CE4541"/>
    <w:rsid w:val="00CE4726"/>
    <w:rsid w:val="00CE4B35"/>
    <w:rsid w:val="00CE4E54"/>
    <w:rsid w:val="00CE5670"/>
    <w:rsid w:val="00CE589F"/>
    <w:rsid w:val="00CE60AF"/>
    <w:rsid w:val="00CE6702"/>
    <w:rsid w:val="00CE6CE8"/>
    <w:rsid w:val="00CE7FF9"/>
    <w:rsid w:val="00CF044B"/>
    <w:rsid w:val="00CF16F8"/>
    <w:rsid w:val="00CF1862"/>
    <w:rsid w:val="00CF2666"/>
    <w:rsid w:val="00CF2A94"/>
    <w:rsid w:val="00CF2E23"/>
    <w:rsid w:val="00CF3374"/>
    <w:rsid w:val="00CF501D"/>
    <w:rsid w:val="00CF580D"/>
    <w:rsid w:val="00CF6129"/>
    <w:rsid w:val="00CF6976"/>
    <w:rsid w:val="00CF6A7A"/>
    <w:rsid w:val="00D00049"/>
    <w:rsid w:val="00D006A7"/>
    <w:rsid w:val="00D00880"/>
    <w:rsid w:val="00D0158A"/>
    <w:rsid w:val="00D016E2"/>
    <w:rsid w:val="00D02982"/>
    <w:rsid w:val="00D02CFD"/>
    <w:rsid w:val="00D041E1"/>
    <w:rsid w:val="00D04C33"/>
    <w:rsid w:val="00D05B6F"/>
    <w:rsid w:val="00D05BA4"/>
    <w:rsid w:val="00D05E1E"/>
    <w:rsid w:val="00D06097"/>
    <w:rsid w:val="00D0610D"/>
    <w:rsid w:val="00D061BB"/>
    <w:rsid w:val="00D0697C"/>
    <w:rsid w:val="00D06A87"/>
    <w:rsid w:val="00D07753"/>
    <w:rsid w:val="00D10381"/>
    <w:rsid w:val="00D1135B"/>
    <w:rsid w:val="00D1295F"/>
    <w:rsid w:val="00D12A70"/>
    <w:rsid w:val="00D145D3"/>
    <w:rsid w:val="00D1568A"/>
    <w:rsid w:val="00D16277"/>
    <w:rsid w:val="00D16827"/>
    <w:rsid w:val="00D16B02"/>
    <w:rsid w:val="00D16EF4"/>
    <w:rsid w:val="00D17F10"/>
    <w:rsid w:val="00D20A25"/>
    <w:rsid w:val="00D20DF4"/>
    <w:rsid w:val="00D21242"/>
    <w:rsid w:val="00D2180D"/>
    <w:rsid w:val="00D21D09"/>
    <w:rsid w:val="00D2321A"/>
    <w:rsid w:val="00D23B5F"/>
    <w:rsid w:val="00D25FF8"/>
    <w:rsid w:val="00D26991"/>
    <w:rsid w:val="00D26CD0"/>
    <w:rsid w:val="00D26D32"/>
    <w:rsid w:val="00D27646"/>
    <w:rsid w:val="00D32531"/>
    <w:rsid w:val="00D3303B"/>
    <w:rsid w:val="00D33F85"/>
    <w:rsid w:val="00D34002"/>
    <w:rsid w:val="00D34F15"/>
    <w:rsid w:val="00D356F7"/>
    <w:rsid w:val="00D368D2"/>
    <w:rsid w:val="00D376F8"/>
    <w:rsid w:val="00D37F74"/>
    <w:rsid w:val="00D40280"/>
    <w:rsid w:val="00D40348"/>
    <w:rsid w:val="00D40842"/>
    <w:rsid w:val="00D40DF9"/>
    <w:rsid w:val="00D426B9"/>
    <w:rsid w:val="00D42CD1"/>
    <w:rsid w:val="00D43D12"/>
    <w:rsid w:val="00D447C0"/>
    <w:rsid w:val="00D4569A"/>
    <w:rsid w:val="00D4585C"/>
    <w:rsid w:val="00D46546"/>
    <w:rsid w:val="00D46CDE"/>
    <w:rsid w:val="00D470EC"/>
    <w:rsid w:val="00D478C3"/>
    <w:rsid w:val="00D47AA5"/>
    <w:rsid w:val="00D47DED"/>
    <w:rsid w:val="00D530D1"/>
    <w:rsid w:val="00D54368"/>
    <w:rsid w:val="00D558D7"/>
    <w:rsid w:val="00D55B23"/>
    <w:rsid w:val="00D56ADD"/>
    <w:rsid w:val="00D57C52"/>
    <w:rsid w:val="00D60CE6"/>
    <w:rsid w:val="00D622EE"/>
    <w:rsid w:val="00D62326"/>
    <w:rsid w:val="00D63926"/>
    <w:rsid w:val="00D63AED"/>
    <w:rsid w:val="00D63B44"/>
    <w:rsid w:val="00D63CA2"/>
    <w:rsid w:val="00D64006"/>
    <w:rsid w:val="00D65A7B"/>
    <w:rsid w:val="00D65F9F"/>
    <w:rsid w:val="00D7005B"/>
    <w:rsid w:val="00D711CF"/>
    <w:rsid w:val="00D71FCA"/>
    <w:rsid w:val="00D720CE"/>
    <w:rsid w:val="00D72276"/>
    <w:rsid w:val="00D72335"/>
    <w:rsid w:val="00D727AA"/>
    <w:rsid w:val="00D72AE5"/>
    <w:rsid w:val="00D73E66"/>
    <w:rsid w:val="00D749D8"/>
    <w:rsid w:val="00D75F37"/>
    <w:rsid w:val="00D75FD3"/>
    <w:rsid w:val="00D764A3"/>
    <w:rsid w:val="00D7660B"/>
    <w:rsid w:val="00D76649"/>
    <w:rsid w:val="00D76811"/>
    <w:rsid w:val="00D7686A"/>
    <w:rsid w:val="00D76BCA"/>
    <w:rsid w:val="00D773F1"/>
    <w:rsid w:val="00D775B3"/>
    <w:rsid w:val="00D802DA"/>
    <w:rsid w:val="00D806A7"/>
    <w:rsid w:val="00D82924"/>
    <w:rsid w:val="00D829FE"/>
    <w:rsid w:val="00D831C7"/>
    <w:rsid w:val="00D837FB"/>
    <w:rsid w:val="00D84683"/>
    <w:rsid w:val="00D84AB5"/>
    <w:rsid w:val="00D85088"/>
    <w:rsid w:val="00D865B1"/>
    <w:rsid w:val="00D86EFB"/>
    <w:rsid w:val="00D876ED"/>
    <w:rsid w:val="00D905C1"/>
    <w:rsid w:val="00D90791"/>
    <w:rsid w:val="00D9106E"/>
    <w:rsid w:val="00D911C4"/>
    <w:rsid w:val="00D9167C"/>
    <w:rsid w:val="00D91DB9"/>
    <w:rsid w:val="00D92804"/>
    <w:rsid w:val="00D951B6"/>
    <w:rsid w:val="00D977ED"/>
    <w:rsid w:val="00D97F88"/>
    <w:rsid w:val="00DA117A"/>
    <w:rsid w:val="00DA1394"/>
    <w:rsid w:val="00DA1E67"/>
    <w:rsid w:val="00DA3D9C"/>
    <w:rsid w:val="00DA3EF4"/>
    <w:rsid w:val="00DA49BF"/>
    <w:rsid w:val="00DA5AA4"/>
    <w:rsid w:val="00DA7178"/>
    <w:rsid w:val="00DA78D2"/>
    <w:rsid w:val="00DB06EB"/>
    <w:rsid w:val="00DB09B5"/>
    <w:rsid w:val="00DB1DB5"/>
    <w:rsid w:val="00DB20CA"/>
    <w:rsid w:val="00DB2821"/>
    <w:rsid w:val="00DB2887"/>
    <w:rsid w:val="00DB420F"/>
    <w:rsid w:val="00DB4B28"/>
    <w:rsid w:val="00DB4CFC"/>
    <w:rsid w:val="00DB519F"/>
    <w:rsid w:val="00DB5750"/>
    <w:rsid w:val="00DB6636"/>
    <w:rsid w:val="00DB685B"/>
    <w:rsid w:val="00DB6AB9"/>
    <w:rsid w:val="00DB715E"/>
    <w:rsid w:val="00DB71E6"/>
    <w:rsid w:val="00DB7989"/>
    <w:rsid w:val="00DB7EAA"/>
    <w:rsid w:val="00DB7F6F"/>
    <w:rsid w:val="00DC11EF"/>
    <w:rsid w:val="00DC31BD"/>
    <w:rsid w:val="00DC325B"/>
    <w:rsid w:val="00DC4B07"/>
    <w:rsid w:val="00DC5C97"/>
    <w:rsid w:val="00DC6C45"/>
    <w:rsid w:val="00DD0B92"/>
    <w:rsid w:val="00DD1755"/>
    <w:rsid w:val="00DD19BC"/>
    <w:rsid w:val="00DD2E6D"/>
    <w:rsid w:val="00DD4F3B"/>
    <w:rsid w:val="00DD55A0"/>
    <w:rsid w:val="00DD6E14"/>
    <w:rsid w:val="00DD6EFA"/>
    <w:rsid w:val="00DE1783"/>
    <w:rsid w:val="00DE3342"/>
    <w:rsid w:val="00DE3C6F"/>
    <w:rsid w:val="00DE4AF2"/>
    <w:rsid w:val="00DE4C7F"/>
    <w:rsid w:val="00DE55D5"/>
    <w:rsid w:val="00DE579A"/>
    <w:rsid w:val="00DE59EF"/>
    <w:rsid w:val="00DE7509"/>
    <w:rsid w:val="00DE78CA"/>
    <w:rsid w:val="00DF059B"/>
    <w:rsid w:val="00DF1199"/>
    <w:rsid w:val="00DF1AF9"/>
    <w:rsid w:val="00DF26CA"/>
    <w:rsid w:val="00DF2B46"/>
    <w:rsid w:val="00DF43DD"/>
    <w:rsid w:val="00DF46C6"/>
    <w:rsid w:val="00DF4DFA"/>
    <w:rsid w:val="00DF4E1C"/>
    <w:rsid w:val="00DF5DB0"/>
    <w:rsid w:val="00DF5E57"/>
    <w:rsid w:val="00DF6559"/>
    <w:rsid w:val="00DF6717"/>
    <w:rsid w:val="00DF70F9"/>
    <w:rsid w:val="00DF7954"/>
    <w:rsid w:val="00DF7AB3"/>
    <w:rsid w:val="00E0029D"/>
    <w:rsid w:val="00E008D1"/>
    <w:rsid w:val="00E00E49"/>
    <w:rsid w:val="00E03524"/>
    <w:rsid w:val="00E03D6B"/>
    <w:rsid w:val="00E04684"/>
    <w:rsid w:val="00E04F82"/>
    <w:rsid w:val="00E10ED0"/>
    <w:rsid w:val="00E112E2"/>
    <w:rsid w:val="00E1266E"/>
    <w:rsid w:val="00E13113"/>
    <w:rsid w:val="00E138EF"/>
    <w:rsid w:val="00E1543B"/>
    <w:rsid w:val="00E15FB4"/>
    <w:rsid w:val="00E16303"/>
    <w:rsid w:val="00E16450"/>
    <w:rsid w:val="00E2008E"/>
    <w:rsid w:val="00E20776"/>
    <w:rsid w:val="00E20806"/>
    <w:rsid w:val="00E214B7"/>
    <w:rsid w:val="00E23435"/>
    <w:rsid w:val="00E235AB"/>
    <w:rsid w:val="00E24ABA"/>
    <w:rsid w:val="00E25186"/>
    <w:rsid w:val="00E2585C"/>
    <w:rsid w:val="00E25AD2"/>
    <w:rsid w:val="00E2617F"/>
    <w:rsid w:val="00E262D7"/>
    <w:rsid w:val="00E27719"/>
    <w:rsid w:val="00E27BE1"/>
    <w:rsid w:val="00E3040D"/>
    <w:rsid w:val="00E3072A"/>
    <w:rsid w:val="00E31126"/>
    <w:rsid w:val="00E321CA"/>
    <w:rsid w:val="00E32EC9"/>
    <w:rsid w:val="00E33029"/>
    <w:rsid w:val="00E33854"/>
    <w:rsid w:val="00E33A5D"/>
    <w:rsid w:val="00E33C9E"/>
    <w:rsid w:val="00E33FC5"/>
    <w:rsid w:val="00E34651"/>
    <w:rsid w:val="00E37574"/>
    <w:rsid w:val="00E37FA0"/>
    <w:rsid w:val="00E400F8"/>
    <w:rsid w:val="00E40140"/>
    <w:rsid w:val="00E41791"/>
    <w:rsid w:val="00E41E5B"/>
    <w:rsid w:val="00E42EC4"/>
    <w:rsid w:val="00E44BE6"/>
    <w:rsid w:val="00E4562C"/>
    <w:rsid w:val="00E5134A"/>
    <w:rsid w:val="00E523CE"/>
    <w:rsid w:val="00E52D82"/>
    <w:rsid w:val="00E531E2"/>
    <w:rsid w:val="00E5347F"/>
    <w:rsid w:val="00E5378F"/>
    <w:rsid w:val="00E542A7"/>
    <w:rsid w:val="00E55777"/>
    <w:rsid w:val="00E57214"/>
    <w:rsid w:val="00E6053A"/>
    <w:rsid w:val="00E60591"/>
    <w:rsid w:val="00E605CD"/>
    <w:rsid w:val="00E60EBD"/>
    <w:rsid w:val="00E61A44"/>
    <w:rsid w:val="00E620A3"/>
    <w:rsid w:val="00E63348"/>
    <w:rsid w:val="00E634F8"/>
    <w:rsid w:val="00E65A80"/>
    <w:rsid w:val="00E6783E"/>
    <w:rsid w:val="00E67BF0"/>
    <w:rsid w:val="00E67C05"/>
    <w:rsid w:val="00E706ED"/>
    <w:rsid w:val="00E70C6E"/>
    <w:rsid w:val="00E70EAC"/>
    <w:rsid w:val="00E70F2F"/>
    <w:rsid w:val="00E7111D"/>
    <w:rsid w:val="00E72B94"/>
    <w:rsid w:val="00E72DC4"/>
    <w:rsid w:val="00E737C5"/>
    <w:rsid w:val="00E73A33"/>
    <w:rsid w:val="00E747B8"/>
    <w:rsid w:val="00E74D99"/>
    <w:rsid w:val="00E755BC"/>
    <w:rsid w:val="00E75F05"/>
    <w:rsid w:val="00E76B60"/>
    <w:rsid w:val="00E7708E"/>
    <w:rsid w:val="00E775F3"/>
    <w:rsid w:val="00E779AD"/>
    <w:rsid w:val="00E77D79"/>
    <w:rsid w:val="00E77E61"/>
    <w:rsid w:val="00E80085"/>
    <w:rsid w:val="00E80352"/>
    <w:rsid w:val="00E808A5"/>
    <w:rsid w:val="00E8142E"/>
    <w:rsid w:val="00E816A3"/>
    <w:rsid w:val="00E818D6"/>
    <w:rsid w:val="00E82113"/>
    <w:rsid w:val="00E83571"/>
    <w:rsid w:val="00E836F5"/>
    <w:rsid w:val="00E84161"/>
    <w:rsid w:val="00E84E63"/>
    <w:rsid w:val="00E8527A"/>
    <w:rsid w:val="00E8557D"/>
    <w:rsid w:val="00E8593C"/>
    <w:rsid w:val="00E85F5C"/>
    <w:rsid w:val="00E86BEE"/>
    <w:rsid w:val="00E86F92"/>
    <w:rsid w:val="00E907B4"/>
    <w:rsid w:val="00E911D1"/>
    <w:rsid w:val="00E915F2"/>
    <w:rsid w:val="00E922D8"/>
    <w:rsid w:val="00E92A7E"/>
    <w:rsid w:val="00E92FA1"/>
    <w:rsid w:val="00E93346"/>
    <w:rsid w:val="00E947B3"/>
    <w:rsid w:val="00E94E3C"/>
    <w:rsid w:val="00E95094"/>
    <w:rsid w:val="00E969A9"/>
    <w:rsid w:val="00E97C2E"/>
    <w:rsid w:val="00EA0B89"/>
    <w:rsid w:val="00EA0CA3"/>
    <w:rsid w:val="00EA10AD"/>
    <w:rsid w:val="00EA1817"/>
    <w:rsid w:val="00EA1F5E"/>
    <w:rsid w:val="00EA25DC"/>
    <w:rsid w:val="00EA4748"/>
    <w:rsid w:val="00EA4F1B"/>
    <w:rsid w:val="00EA51C7"/>
    <w:rsid w:val="00EA6EC7"/>
    <w:rsid w:val="00EA78EF"/>
    <w:rsid w:val="00EA7BBA"/>
    <w:rsid w:val="00EB0396"/>
    <w:rsid w:val="00EB0546"/>
    <w:rsid w:val="00EB07D5"/>
    <w:rsid w:val="00EB0D1A"/>
    <w:rsid w:val="00EB1255"/>
    <w:rsid w:val="00EB20A0"/>
    <w:rsid w:val="00EB2D54"/>
    <w:rsid w:val="00EB3C79"/>
    <w:rsid w:val="00EB5109"/>
    <w:rsid w:val="00EB51BA"/>
    <w:rsid w:val="00EB57C4"/>
    <w:rsid w:val="00EB63B8"/>
    <w:rsid w:val="00EB6615"/>
    <w:rsid w:val="00EB69C5"/>
    <w:rsid w:val="00EB6C1A"/>
    <w:rsid w:val="00EC136B"/>
    <w:rsid w:val="00EC1C22"/>
    <w:rsid w:val="00EC20D3"/>
    <w:rsid w:val="00EC358E"/>
    <w:rsid w:val="00EC3793"/>
    <w:rsid w:val="00EC3FD1"/>
    <w:rsid w:val="00EC4061"/>
    <w:rsid w:val="00EC4699"/>
    <w:rsid w:val="00EC4921"/>
    <w:rsid w:val="00EC4CFD"/>
    <w:rsid w:val="00EC4D18"/>
    <w:rsid w:val="00EC5177"/>
    <w:rsid w:val="00EC5686"/>
    <w:rsid w:val="00EC574A"/>
    <w:rsid w:val="00EC5750"/>
    <w:rsid w:val="00EC6185"/>
    <w:rsid w:val="00EC6815"/>
    <w:rsid w:val="00EC6818"/>
    <w:rsid w:val="00EC72CE"/>
    <w:rsid w:val="00EC7555"/>
    <w:rsid w:val="00EC78F7"/>
    <w:rsid w:val="00EC7D02"/>
    <w:rsid w:val="00ED46F0"/>
    <w:rsid w:val="00ED5314"/>
    <w:rsid w:val="00ED5768"/>
    <w:rsid w:val="00ED6461"/>
    <w:rsid w:val="00ED6CBD"/>
    <w:rsid w:val="00ED75C4"/>
    <w:rsid w:val="00EE12B5"/>
    <w:rsid w:val="00EE1837"/>
    <w:rsid w:val="00EE2DF7"/>
    <w:rsid w:val="00EE31A3"/>
    <w:rsid w:val="00EE40E0"/>
    <w:rsid w:val="00EE4A1B"/>
    <w:rsid w:val="00EE5063"/>
    <w:rsid w:val="00EE5A5B"/>
    <w:rsid w:val="00EE6056"/>
    <w:rsid w:val="00EE656F"/>
    <w:rsid w:val="00EF12B2"/>
    <w:rsid w:val="00EF1E2F"/>
    <w:rsid w:val="00EF3E2C"/>
    <w:rsid w:val="00EF4211"/>
    <w:rsid w:val="00EF4854"/>
    <w:rsid w:val="00EF4D26"/>
    <w:rsid w:val="00EF5562"/>
    <w:rsid w:val="00EF5DBC"/>
    <w:rsid w:val="00F01399"/>
    <w:rsid w:val="00F0170E"/>
    <w:rsid w:val="00F01C74"/>
    <w:rsid w:val="00F02157"/>
    <w:rsid w:val="00F02912"/>
    <w:rsid w:val="00F03433"/>
    <w:rsid w:val="00F05812"/>
    <w:rsid w:val="00F0622B"/>
    <w:rsid w:val="00F073F1"/>
    <w:rsid w:val="00F074F9"/>
    <w:rsid w:val="00F07F92"/>
    <w:rsid w:val="00F10211"/>
    <w:rsid w:val="00F109E6"/>
    <w:rsid w:val="00F11189"/>
    <w:rsid w:val="00F11A6D"/>
    <w:rsid w:val="00F12CCC"/>
    <w:rsid w:val="00F13102"/>
    <w:rsid w:val="00F1351E"/>
    <w:rsid w:val="00F13698"/>
    <w:rsid w:val="00F13874"/>
    <w:rsid w:val="00F14379"/>
    <w:rsid w:val="00F14622"/>
    <w:rsid w:val="00F14F46"/>
    <w:rsid w:val="00F168C9"/>
    <w:rsid w:val="00F17631"/>
    <w:rsid w:val="00F208E1"/>
    <w:rsid w:val="00F20C74"/>
    <w:rsid w:val="00F21791"/>
    <w:rsid w:val="00F21E14"/>
    <w:rsid w:val="00F2273D"/>
    <w:rsid w:val="00F24BD5"/>
    <w:rsid w:val="00F26EDD"/>
    <w:rsid w:val="00F2729C"/>
    <w:rsid w:val="00F2736C"/>
    <w:rsid w:val="00F3018E"/>
    <w:rsid w:val="00F30ED4"/>
    <w:rsid w:val="00F3121D"/>
    <w:rsid w:val="00F31515"/>
    <w:rsid w:val="00F31956"/>
    <w:rsid w:val="00F31971"/>
    <w:rsid w:val="00F321FD"/>
    <w:rsid w:val="00F3245E"/>
    <w:rsid w:val="00F3289F"/>
    <w:rsid w:val="00F32FD2"/>
    <w:rsid w:val="00F34F51"/>
    <w:rsid w:val="00F360D4"/>
    <w:rsid w:val="00F371AE"/>
    <w:rsid w:val="00F37CD8"/>
    <w:rsid w:val="00F403D7"/>
    <w:rsid w:val="00F427E7"/>
    <w:rsid w:val="00F4352F"/>
    <w:rsid w:val="00F445F1"/>
    <w:rsid w:val="00F446D6"/>
    <w:rsid w:val="00F44A60"/>
    <w:rsid w:val="00F451EE"/>
    <w:rsid w:val="00F45671"/>
    <w:rsid w:val="00F462A9"/>
    <w:rsid w:val="00F46347"/>
    <w:rsid w:val="00F4709A"/>
    <w:rsid w:val="00F47411"/>
    <w:rsid w:val="00F50516"/>
    <w:rsid w:val="00F51427"/>
    <w:rsid w:val="00F517FF"/>
    <w:rsid w:val="00F5221B"/>
    <w:rsid w:val="00F52A8F"/>
    <w:rsid w:val="00F53828"/>
    <w:rsid w:val="00F5414E"/>
    <w:rsid w:val="00F541B7"/>
    <w:rsid w:val="00F5555E"/>
    <w:rsid w:val="00F5588B"/>
    <w:rsid w:val="00F56486"/>
    <w:rsid w:val="00F56769"/>
    <w:rsid w:val="00F56D2E"/>
    <w:rsid w:val="00F573E1"/>
    <w:rsid w:val="00F5780B"/>
    <w:rsid w:val="00F57C90"/>
    <w:rsid w:val="00F6017C"/>
    <w:rsid w:val="00F615D3"/>
    <w:rsid w:val="00F61777"/>
    <w:rsid w:val="00F619D1"/>
    <w:rsid w:val="00F625F7"/>
    <w:rsid w:val="00F62AC6"/>
    <w:rsid w:val="00F638A7"/>
    <w:rsid w:val="00F63FD9"/>
    <w:rsid w:val="00F64346"/>
    <w:rsid w:val="00F651C5"/>
    <w:rsid w:val="00F656CE"/>
    <w:rsid w:val="00F657AB"/>
    <w:rsid w:val="00F67350"/>
    <w:rsid w:val="00F70E7D"/>
    <w:rsid w:val="00F72411"/>
    <w:rsid w:val="00F72620"/>
    <w:rsid w:val="00F72E91"/>
    <w:rsid w:val="00F74AC6"/>
    <w:rsid w:val="00F755DA"/>
    <w:rsid w:val="00F766D3"/>
    <w:rsid w:val="00F7684C"/>
    <w:rsid w:val="00F77B96"/>
    <w:rsid w:val="00F8055F"/>
    <w:rsid w:val="00F80827"/>
    <w:rsid w:val="00F81046"/>
    <w:rsid w:val="00F81831"/>
    <w:rsid w:val="00F81F46"/>
    <w:rsid w:val="00F82EFF"/>
    <w:rsid w:val="00F84B75"/>
    <w:rsid w:val="00F84E76"/>
    <w:rsid w:val="00F84EFB"/>
    <w:rsid w:val="00F850D4"/>
    <w:rsid w:val="00F8630F"/>
    <w:rsid w:val="00F872AF"/>
    <w:rsid w:val="00F879EB"/>
    <w:rsid w:val="00F87CE8"/>
    <w:rsid w:val="00F87EEC"/>
    <w:rsid w:val="00F9055A"/>
    <w:rsid w:val="00F90A13"/>
    <w:rsid w:val="00F91914"/>
    <w:rsid w:val="00F91A4B"/>
    <w:rsid w:val="00F9272F"/>
    <w:rsid w:val="00F92FA3"/>
    <w:rsid w:val="00F93BFF"/>
    <w:rsid w:val="00F93F1E"/>
    <w:rsid w:val="00F94079"/>
    <w:rsid w:val="00F94362"/>
    <w:rsid w:val="00F944C1"/>
    <w:rsid w:val="00F9460A"/>
    <w:rsid w:val="00F95192"/>
    <w:rsid w:val="00F952F0"/>
    <w:rsid w:val="00F954E2"/>
    <w:rsid w:val="00F95CCB"/>
    <w:rsid w:val="00F96F94"/>
    <w:rsid w:val="00F97AD8"/>
    <w:rsid w:val="00FA1314"/>
    <w:rsid w:val="00FA3121"/>
    <w:rsid w:val="00FA3C79"/>
    <w:rsid w:val="00FA43EF"/>
    <w:rsid w:val="00FA4BE2"/>
    <w:rsid w:val="00FA4CCA"/>
    <w:rsid w:val="00FA4E90"/>
    <w:rsid w:val="00FA60E6"/>
    <w:rsid w:val="00FA6145"/>
    <w:rsid w:val="00FA6FCE"/>
    <w:rsid w:val="00FA7540"/>
    <w:rsid w:val="00FB1887"/>
    <w:rsid w:val="00FB1C72"/>
    <w:rsid w:val="00FB4731"/>
    <w:rsid w:val="00FB5E7B"/>
    <w:rsid w:val="00FB6297"/>
    <w:rsid w:val="00FB694A"/>
    <w:rsid w:val="00FB69F5"/>
    <w:rsid w:val="00FB6C95"/>
    <w:rsid w:val="00FB7294"/>
    <w:rsid w:val="00FB79A4"/>
    <w:rsid w:val="00FB7AA1"/>
    <w:rsid w:val="00FC0839"/>
    <w:rsid w:val="00FC0AB4"/>
    <w:rsid w:val="00FC12B3"/>
    <w:rsid w:val="00FC198B"/>
    <w:rsid w:val="00FC3926"/>
    <w:rsid w:val="00FC39EA"/>
    <w:rsid w:val="00FC3EFA"/>
    <w:rsid w:val="00FC40C1"/>
    <w:rsid w:val="00FC41C8"/>
    <w:rsid w:val="00FC4914"/>
    <w:rsid w:val="00FC53F5"/>
    <w:rsid w:val="00FC5533"/>
    <w:rsid w:val="00FC678E"/>
    <w:rsid w:val="00FC7541"/>
    <w:rsid w:val="00FD1AC2"/>
    <w:rsid w:val="00FD2ADF"/>
    <w:rsid w:val="00FD2F98"/>
    <w:rsid w:val="00FD3405"/>
    <w:rsid w:val="00FD479B"/>
    <w:rsid w:val="00FD581D"/>
    <w:rsid w:val="00FD5958"/>
    <w:rsid w:val="00FD5F2F"/>
    <w:rsid w:val="00FD72F4"/>
    <w:rsid w:val="00FD7F30"/>
    <w:rsid w:val="00FD7F39"/>
    <w:rsid w:val="00FE0029"/>
    <w:rsid w:val="00FE0F69"/>
    <w:rsid w:val="00FE2179"/>
    <w:rsid w:val="00FE3507"/>
    <w:rsid w:val="00FE3640"/>
    <w:rsid w:val="00FE3856"/>
    <w:rsid w:val="00FE3FC3"/>
    <w:rsid w:val="00FE429A"/>
    <w:rsid w:val="00FE52FB"/>
    <w:rsid w:val="00FE5352"/>
    <w:rsid w:val="00FE5891"/>
    <w:rsid w:val="00FE5E0F"/>
    <w:rsid w:val="00FE668C"/>
    <w:rsid w:val="00FE6A91"/>
    <w:rsid w:val="00FF025B"/>
    <w:rsid w:val="00FF0A30"/>
    <w:rsid w:val="00FF0E1E"/>
    <w:rsid w:val="00FF1381"/>
    <w:rsid w:val="00FF17DE"/>
    <w:rsid w:val="00FF1D10"/>
    <w:rsid w:val="00FF1ECD"/>
    <w:rsid w:val="00FF2F05"/>
    <w:rsid w:val="00FF4DC9"/>
    <w:rsid w:val="00FF5557"/>
    <w:rsid w:val="00FF595B"/>
    <w:rsid w:val="00FF59F9"/>
    <w:rsid w:val="00FF6435"/>
    <w:rsid w:val="00FF65CA"/>
    <w:rsid w:val="00FF6994"/>
    <w:rsid w:val="00FF7370"/>
    <w:rsid w:val="00FF74C7"/>
    <w:rsid w:val="4FB0AE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0B2D99"/>
  <w15:docId w15:val="{E506DBA5-623A-408B-86EA-B85512FA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5">
    <w:name w:val="heading 5"/>
    <w:basedOn w:val="Normal"/>
    <w:next w:val="Normal"/>
    <w:link w:val="Heading5Char"/>
    <w:uiPriority w:val="9"/>
    <w:unhideWhenUsed/>
    <w:qFormat/>
    <w:rsid w:val="00E8557D"/>
    <w:pPr>
      <w:outlineLvl w:val="4"/>
    </w:pPr>
    <w:rPr>
      <w:rFonts w:eastAsiaTheme="minorHAnsi" w:cstheme="minorBidi"/>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aliases w:val="12,16 Point,Footnote Reference Number,Footnote Reference_LVL6,Footnote Reference_LVL61,Footnote Reference_LVL62,Footnote Reference_LVL63,Footnote Reference_LVL64,Normal1,Rabbani Footnote,Ref,Superscript 6 Point,de nota al pie,fr,ftref"/>
    <w:link w:val="SUPERSCharCharCharCharCharCharCharChar"/>
    <w:uiPriority w:val="99"/>
    <w:qFormat/>
    <w:rsid w:val="00CC04A4"/>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unhideWhenUsed/>
    <w:rsid w:val="003D46FB"/>
    <w:rPr>
      <w:sz w:val="20"/>
      <w:szCs w:val="20"/>
    </w:rPr>
  </w:style>
  <w:style w:type="character" w:customStyle="1" w:styleId="CommentTextChar">
    <w:name w:val="Comment Text Char"/>
    <w:basedOn w:val="DefaultParagraphFont"/>
    <w:link w:val="CommentText"/>
    <w:uiPriority w:val="99"/>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semiHidden/>
    <w:unhideWhenUsed/>
    <w:rsid w:val="003E581F"/>
    <w:rPr>
      <w:rFonts w:ascii="Calibri" w:eastAsia="Calibri" w:hAnsi="Calibri"/>
      <w:sz w:val="22"/>
      <w:szCs w:val="21"/>
    </w:rPr>
  </w:style>
  <w:style w:type="character" w:customStyle="1" w:styleId="PlainTextChar">
    <w:name w:val="Plain Text Char"/>
    <w:link w:val="PlainText"/>
    <w:uiPriority w:val="99"/>
    <w:semiHidden/>
    <w:rsid w:val="003E581F"/>
    <w:rPr>
      <w:rFonts w:ascii="Calibri" w:eastAsia="Calibri" w:hAnsi="Calibri"/>
      <w:sz w:val="22"/>
      <w:szCs w:val="21"/>
    </w:rPr>
  </w:style>
  <w:style w:type="paragraph" w:styleId="FootnoteText">
    <w:name w:val="footnote text"/>
    <w:aliases w:val="Footnote,Footnote Text Char Char,Footnote Text Char Char Char,Footnote Text Char Char Char Char Char,Footnote Text Char1 Char,Footnote Text Char1 Char Char,Footnote Text Char1 Char Char Char,Footnote Text Char1 Char Char Char Char Char,fn"/>
    <w:basedOn w:val="Normal"/>
    <w:link w:val="FootnoteTextChar"/>
    <w:uiPriority w:val="99"/>
    <w:unhideWhenUsed/>
    <w:qFormat/>
    <w:rsid w:val="00E97C2E"/>
    <w:rPr>
      <w:sz w:val="20"/>
      <w:szCs w:val="20"/>
    </w:rPr>
  </w:style>
  <w:style w:type="character" w:customStyle="1" w:styleId="FootnoteTextChar">
    <w:name w:val="Footnote Text Char"/>
    <w:aliases w:val="Footnote Char,Footnote Text Char Char Char Char,Footnote Text Char Char Char Char Char Char,Footnote Text Char1 Char Char Char Char,Footnote Text Char1 Char Char Char Char Char Char,Footnote Text Char1 Char Char1,fn Char"/>
    <w:basedOn w:val="DefaultParagraphFont"/>
    <w:link w:val="FootnoteText"/>
    <w:uiPriority w:val="99"/>
    <w:rsid w:val="00E97C2E"/>
  </w:style>
  <w:style w:type="character" w:styleId="Hyperlink">
    <w:name w:val="Hyperlink"/>
    <w:basedOn w:val="DefaultParagraphFont"/>
    <w:uiPriority w:val="99"/>
    <w:unhideWhenUsed/>
    <w:rsid w:val="008A6B31"/>
    <w:rPr>
      <w:color w:val="0000FF" w:themeColor="hyperlink"/>
      <w:u w:val="single"/>
    </w:rPr>
  </w:style>
  <w:style w:type="table" w:styleId="TableGrid">
    <w:name w:val="Table Grid"/>
    <w:basedOn w:val="TableNormal"/>
    <w:uiPriority w:val="39"/>
    <w:rsid w:val="00A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79A"/>
    <w:rPr>
      <w:color w:val="800080" w:themeColor="followedHyperlink"/>
      <w:u w:val="single"/>
    </w:rPr>
  </w:style>
  <w:style w:type="character" w:styleId="UnresolvedMention">
    <w:name w:val="Unresolved Mention"/>
    <w:basedOn w:val="DefaultParagraphFont"/>
    <w:uiPriority w:val="99"/>
    <w:semiHidden/>
    <w:unhideWhenUsed/>
    <w:rsid w:val="00D34002"/>
    <w:rPr>
      <w:color w:val="605E5C"/>
      <w:shd w:val="clear" w:color="auto" w:fill="E1DFDD"/>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D2A29"/>
    <w:pPr>
      <w:ind w:left="720"/>
      <w:contextualSpacing/>
    </w:pPr>
  </w:style>
  <w:style w:type="paragraph" w:styleId="Revision">
    <w:name w:val="Revision"/>
    <w:hidden/>
    <w:uiPriority w:val="99"/>
    <w:semiHidden/>
    <w:rsid w:val="002D2A29"/>
    <w:rPr>
      <w:sz w:val="24"/>
      <w:szCs w:val="24"/>
    </w:rPr>
  </w:style>
  <w:style w:type="character" w:styleId="Emphasis">
    <w:name w:val="Emphasis"/>
    <w:basedOn w:val="DefaultParagraphFont"/>
    <w:uiPriority w:val="20"/>
    <w:qFormat/>
    <w:rsid w:val="00C671E7"/>
    <w:rPr>
      <w:i/>
      <w:iCs/>
    </w:rPr>
  </w:style>
  <w:style w:type="paragraph" w:customStyle="1" w:styleId="SUPERSCharCharCharCharCharCharCharChar">
    <w:name w:val="SUPERS Char Char Char Char Char Char Char Char"/>
    <w:aliases w:val="Footnote Reference Number Tegn Char Char Char Char Char Char Char Char Char,SUPERS Tegn Char Char Char Char Char Char Char Char Char"/>
    <w:basedOn w:val="Normal"/>
    <w:link w:val="FootnoteReference"/>
    <w:autoRedefine/>
    <w:uiPriority w:val="99"/>
    <w:rsid w:val="00CC04A4"/>
    <w:pPr>
      <w:spacing w:before="120" w:after="160" w:line="240" w:lineRule="exact"/>
      <w:contextualSpacing/>
      <w:jc w:val="both"/>
    </w:pPr>
    <w:rPr>
      <w:sz w:val="20"/>
      <w:szCs w:val="20"/>
    </w:rPr>
  </w:style>
  <w:style w:type="table" w:styleId="PlainTable2">
    <w:name w:val="Plain Table 2"/>
    <w:basedOn w:val="TableNormal"/>
    <w:uiPriority w:val="42"/>
    <w:rsid w:val="00D2124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3 Char,Bullet 1 Char,Bullet Points Char,Dot pt Char,F5 List Paragraph Char,Indicator Text Char,Issue Action POC Char,List Paragraph Char Char Char Char,List Paragraph1 Char,MAIN CONTENT Char,Numbered Para 1 Char,POCG Table Text Char"/>
    <w:basedOn w:val="DefaultParagraphFont"/>
    <w:link w:val="ListParagraph"/>
    <w:uiPriority w:val="34"/>
    <w:locked/>
    <w:rsid w:val="00D21242"/>
    <w:rPr>
      <w:sz w:val="24"/>
      <w:szCs w:val="24"/>
    </w:rPr>
  </w:style>
  <w:style w:type="paragraph" w:styleId="ListBullet">
    <w:name w:val="List Bullet"/>
    <w:basedOn w:val="Normal"/>
    <w:uiPriority w:val="99"/>
    <w:semiHidden/>
    <w:unhideWhenUsed/>
    <w:rsid w:val="00592E4C"/>
    <w:pPr>
      <w:numPr>
        <w:numId w:val="25"/>
      </w:numPr>
      <w:contextualSpacing/>
    </w:pPr>
  </w:style>
  <w:style w:type="paragraph" w:customStyle="1" w:styleId="pf0">
    <w:name w:val="pf0"/>
    <w:basedOn w:val="Normal"/>
    <w:rsid w:val="000A3C79"/>
    <w:pPr>
      <w:spacing w:before="100" w:beforeAutospacing="1" w:after="100" w:afterAutospacing="1"/>
    </w:pPr>
  </w:style>
  <w:style w:type="character" w:customStyle="1" w:styleId="cf11">
    <w:name w:val="cf11"/>
    <w:basedOn w:val="DefaultParagraphFont"/>
    <w:rsid w:val="000A3C79"/>
    <w:rPr>
      <w:rFonts w:ascii="Segoe UI" w:hAnsi="Segoe UI" w:cs="Segoe UI" w:hint="default"/>
      <w:b/>
      <w:bCs/>
      <w:sz w:val="18"/>
      <w:szCs w:val="18"/>
    </w:rPr>
  </w:style>
  <w:style w:type="character" w:customStyle="1" w:styleId="Heading5Char">
    <w:name w:val="Heading 5 Char"/>
    <w:basedOn w:val="DefaultParagraphFont"/>
    <w:link w:val="Heading5"/>
    <w:uiPriority w:val="9"/>
    <w:rsid w:val="00E8557D"/>
    <w:rPr>
      <w:rFonts w:eastAsiaTheme="minorHAnsi" w:cstheme="minorBidi"/>
      <w:i/>
      <w:iCs/>
      <w:sz w:val="24"/>
      <w:szCs w:val="22"/>
    </w:rPr>
  </w:style>
  <w:style w:type="character" w:customStyle="1" w:styleId="cf01">
    <w:name w:val="cf01"/>
    <w:basedOn w:val="DefaultParagraphFont"/>
    <w:rsid w:val="00F93F1E"/>
    <w:rPr>
      <w:rFonts w:ascii="Segoe UI" w:hAnsi="Segoe UI" w:cs="Segoe UI" w:hint="default"/>
      <w:sz w:val="18"/>
      <w:szCs w:val="18"/>
    </w:rPr>
  </w:style>
  <w:style w:type="paragraph" w:styleId="Caption">
    <w:name w:val="caption"/>
    <w:basedOn w:val="Normal"/>
    <w:next w:val="Normal"/>
    <w:uiPriority w:val="35"/>
    <w:unhideWhenUsed/>
    <w:qFormat/>
    <w:rsid w:val="00FB6C95"/>
    <w:pPr>
      <w:spacing w:after="200"/>
    </w:pPr>
    <w:rPr>
      <w:rFonts w:eastAsiaTheme="minorHAnsi" w:cstheme="minorBidi"/>
      <w:i/>
      <w:iCs/>
      <w:color w:val="1F497D" w:themeColor="text2"/>
      <w:sz w:val="18"/>
      <w:szCs w:val="18"/>
    </w:rPr>
  </w:style>
  <w:style w:type="character" w:customStyle="1" w:styleId="ui-provider">
    <w:name w:val="ui-provider"/>
    <w:basedOn w:val="DefaultParagraphFont"/>
    <w:rsid w:val="00F95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mailto:Erik.Heitfield2@treasury.gov" TargetMode="External" /><Relationship Id="rId12" Type="http://schemas.openxmlformats.org/officeDocument/2006/relationships/hyperlink" Target="mailto:prs2107@columbia.edu"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home.treasury.gov/system/files/261/FSOC-Climate-Report.pdf" TargetMode="External" /><Relationship Id="rId10" Type="http://schemas.openxmlformats.org/officeDocument/2006/relationships/hyperlink" Target="https://www.lawinsider.com/dictionary/liability-risk" TargetMode="External" /><Relationship Id="rId11" Type="http://schemas.openxmlformats.org/officeDocument/2006/relationships/hyperlink" Target="https://www.bls.gov/iag/tgs/iag524.htm" TargetMode="External" /><Relationship Id="rId12" Type="http://schemas.openxmlformats.org/officeDocument/2006/relationships/hyperlink" Target="https://www.insurance.ca.gov/0400-news/0100-press-releases/2021/upload/nr117DataNon-RenewalsandFAIRPlan12202021.pdf" TargetMode="External" /><Relationship Id="rId13" Type="http://schemas.openxmlformats.org/officeDocument/2006/relationships/hyperlink" Target="https://content.naic.org/sites/default/files/inline-files/industry_mcas_data_call_def_homeowners_2020.pdf" TargetMode="External" /><Relationship Id="rId14" Type="http://schemas.openxmlformats.org/officeDocument/2006/relationships/hyperlink" Target="https://www.iii.org/fact-statistic/facts-statistics-homeowners-and-renters-insurance" TargetMode="External" /><Relationship Id="rId15" Type="http://schemas.openxmlformats.org/officeDocument/2006/relationships/hyperlink" Target="https://home.treasury.gov/policy-issues/financial-markets-financial-institutions-and-fiscal-service/federal-insurance-office/reports-notices" TargetMode="External" /><Relationship Id="rId2" Type="http://schemas.openxmlformats.org/officeDocument/2006/relationships/hyperlink" Target="https://www.chicagofed.org/publications/chicago-fed-letter/2021/460" TargetMode="External" /><Relationship Id="rId3" Type="http://schemas.openxmlformats.org/officeDocument/2006/relationships/hyperlink" Target="https://naic.soutronglobal.net/Portal/Public/en-GB/DownloadImageFile.ashx?objectId=9803&amp;ownerType=0&amp;ownerId=2006" TargetMode="External" /><Relationship Id="rId4" Type="http://schemas.openxmlformats.org/officeDocument/2006/relationships/hyperlink" Target="https://www.mass.gov/doc/the-2020-massachusetts-market-for-home-insurance/download" TargetMode="External" /><Relationship Id="rId5" Type="http://schemas.openxmlformats.org/officeDocument/2006/relationships/hyperlink" Target="https://risk.lexisnexis.com/about-us/press-room/press-release/20221013-home-insurance-trends-report" TargetMode="External" /><Relationship Id="rId6" Type="http://schemas.openxmlformats.org/officeDocument/2006/relationships/hyperlink" Target="https://www.policygenius.com/homeowners-insurance/homeowners-insurance-statistics/" TargetMode="External" /><Relationship Id="rId7" Type="http://schemas.openxmlformats.org/officeDocument/2006/relationships/hyperlink" Target="https://web.ambest.com/information-services/sales-information/best-s-guide-to-understanding-the-insurance-industry" TargetMode="External" /><Relationship Id="rId8" Type="http://schemas.openxmlformats.org/officeDocument/2006/relationships/hyperlink" Target="https://www.researchgate.net/publication/228227047_Homeowners_Insurance_Market_Trends_Issues_and_Problems" TargetMode="External" /><Relationship Id="rId9" Type="http://schemas.openxmlformats.org/officeDocument/2006/relationships/hyperlink" Target="https://content.naic.org/article/naic-issue-data-call-help-regulators-better-understand-property-marke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1d9d6bb9-5f7d-4491-b766-5233e351afd7">
      <UserInfo>
        <DisplayName>Mohanty, Silabhadra</DisplayName>
        <AccountId>33381</AccountId>
        <AccountType/>
      </UserInfo>
      <UserInfo>
        <DisplayName>Schmelz, Stephanie</DisplayName>
        <AccountId>10588</AccountId>
        <AccountType/>
      </UserInfo>
      <UserInfo>
        <DisplayName>Goodman, Philip</DisplayName>
        <AccountId>7117</AccountId>
        <AccountType/>
      </UserInfo>
      <UserInfo>
        <DisplayName>Ifft, Richard</DisplayName>
        <AccountId>9264</AccountId>
        <AccountType/>
      </UserInfo>
      <UserInfo>
        <DisplayName>Seitz, Steven</DisplayName>
        <AccountId>5338</AccountId>
        <AccountType/>
      </UserInfo>
      <UserInfo>
        <DisplayName>Banerjee, Saurav</DisplayName>
        <AccountId>33564</AccountId>
        <AccountType/>
      </UserInfo>
      <UserInfo>
        <DisplayName>Howlett, Bret</DisplayName>
        <AccountId>33185</AccountId>
        <AccountType/>
      </UserInfo>
      <UserInfo>
        <DisplayName>Pam, Jeremiah</DisplayName>
        <AccountId>33562</AccountId>
        <AccountType/>
      </UserInfo>
      <UserInfo>
        <DisplayName>Swanson, Rebecca</DisplayName>
        <AccountId>33672</AccountId>
        <AccountType/>
      </UserInfo>
      <UserInfo>
        <DisplayName>Gandhi, Jigar</DisplayName>
        <AccountId>33307</AccountId>
        <AccountType/>
      </UserInfo>
    </SharedWithUsers>
    <IconOverlay xmlns="http://schemas.microsoft.com/sharepoint/v4" xsi:nil="true"/>
    <_dlc_DocId xmlns="52222ef0-b167-44f5-92f7-438fda0857cd">DODOMFIN-89-17504</_dlc_DocId>
    <_dlc_DocIdUrl xmlns="52222ef0-b167-44f5-92f7-438fda0857cd">
      <Url>https://my.treasury.gov/Collab/domfin/FI/FIO/_layouts/15/DocIdRedir.aspx?ID=DODOMFIN-89-17504</Url>
      <Description>DODOMFIN-89-17504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5C046B-BEEF-4B45-A66F-D1E404BE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E215A-6350-4219-818D-E0DC9942154A}">
  <ds:schemaRefs>
    <ds:schemaRef ds:uri="http://schemas.microsoft.com/office/2006/metadata/longProperties"/>
  </ds:schemaRefs>
</ds:datastoreItem>
</file>

<file path=customXml/itemProps3.xml><?xml version="1.0" encoding="utf-8"?>
<ds:datastoreItem xmlns:ds="http://schemas.openxmlformats.org/officeDocument/2006/customXml" ds:itemID="{E620A84C-4629-4760-82B6-2FA8EF03490D}">
  <ds:schemaRefs>
    <ds:schemaRef ds:uri="http://schemas.microsoft.com/sharepoint/v3/contenttype/forms"/>
  </ds:schemaRefs>
</ds:datastoreItem>
</file>

<file path=customXml/itemProps4.xml><?xml version="1.0" encoding="utf-8"?>
<ds:datastoreItem xmlns:ds="http://schemas.openxmlformats.org/officeDocument/2006/customXml" ds:itemID="{D393362D-1D49-4C87-B435-E8FB979B56ED}">
  <ds:schemaRefs>
    <ds:schemaRef ds:uri="http://schemas.openxmlformats.org/officeDocument/2006/bibliography"/>
  </ds:schemaRefs>
</ds:datastoreItem>
</file>

<file path=customXml/itemProps5.xml><?xml version="1.0" encoding="utf-8"?>
<ds:datastoreItem xmlns:ds="http://schemas.openxmlformats.org/officeDocument/2006/customXml" ds:itemID="{67B93052-8628-4C27-828E-800604118660}">
  <ds:schemaRefs>
    <ds:schemaRef ds:uri="http://schemas.microsoft.com/sharepoint/v4"/>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 ds:uri="1d9d6bb9-5f7d-4491-b766-5233e351afd7"/>
    <ds:schemaRef ds:uri="52222ef0-b167-44f5-92f7-438fda0857cd"/>
    <ds:schemaRef ds:uri="http://schemas.microsoft.com/sharepoint/v3"/>
  </ds:schemaRefs>
</ds:datastoreItem>
</file>

<file path=customXml/itemProps6.xml><?xml version="1.0" encoding="utf-8"?>
<ds:datastoreItem xmlns:ds="http://schemas.openxmlformats.org/officeDocument/2006/customXml" ds:itemID="{9117630B-FD7E-4D5C-AD87-C311FA2F9D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9285</Words>
  <Characters>51808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Brown</dc:creator>
  <cp:lastModifiedBy>Clark, Spencer</cp:lastModifiedBy>
  <cp:revision>3</cp:revision>
  <cp:lastPrinted>2023-10-26T13:47:00Z</cp:lastPrinted>
  <dcterms:created xsi:type="dcterms:W3CDTF">2023-10-30T17:24:00Z</dcterms:created>
  <dcterms:modified xsi:type="dcterms:W3CDTF">2023-11-02T21:25:00Z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309bc80c-e6ea-45e3-83ea-1fd0b27a0df1</vt:lpwstr>
  </property>
</Properties>
</file>