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0665" w:rsidRPr="008B3905" w:rsidP="000B0665" w14:paraId="2C17B23A" w14:textId="77777777">
      <w:pPr>
        <w:pStyle w:val="Default"/>
        <w:jc w:val="center"/>
        <w:rPr>
          <w:rFonts w:eastAsia="Times New Roman" w:asciiTheme="minorHAnsi" w:hAnsiTheme="minorHAnsi" w:cstheme="minorHAnsi"/>
          <w:color w:val="auto"/>
          <w:sz w:val="22"/>
          <w:szCs w:val="22"/>
        </w:rPr>
      </w:pPr>
      <w:r w:rsidRPr="008B3905">
        <w:rPr>
          <w:rFonts w:eastAsia="Times New Roman" w:asciiTheme="minorHAnsi" w:hAnsiTheme="minorHAnsi" w:cstheme="minorHAnsi"/>
          <w:color w:val="auto"/>
          <w:sz w:val="22"/>
          <w:szCs w:val="22"/>
        </w:rPr>
        <w:t>SUPPORTING STATEMENT</w:t>
      </w:r>
    </w:p>
    <w:p w:rsidR="000B0665" w:rsidRPr="008B3905" w:rsidP="000B0665" w14:paraId="241D336A" w14:textId="77777777">
      <w:pPr>
        <w:pStyle w:val="Default"/>
        <w:jc w:val="center"/>
        <w:rPr>
          <w:rFonts w:eastAsia="Times New Roman" w:asciiTheme="minorHAnsi" w:hAnsiTheme="minorHAnsi" w:cstheme="minorHAnsi"/>
          <w:color w:val="auto"/>
          <w:sz w:val="22"/>
          <w:szCs w:val="22"/>
        </w:rPr>
      </w:pPr>
      <w:r w:rsidRPr="008B3905">
        <w:rPr>
          <w:rFonts w:eastAsia="Times New Roman" w:asciiTheme="minorHAnsi" w:hAnsiTheme="minorHAnsi" w:cstheme="minorHAnsi"/>
          <w:color w:val="auto"/>
          <w:sz w:val="22"/>
          <w:szCs w:val="22"/>
        </w:rPr>
        <w:t>Internal Revenue Service (IRS)</w:t>
      </w:r>
    </w:p>
    <w:p w:rsidR="000B0665" w:rsidP="000B0665" w14:paraId="2A29D701" w14:textId="3F1360CE">
      <w:pPr>
        <w:pStyle w:val="Default"/>
        <w:jc w:val="center"/>
        <w:rPr>
          <w:rFonts w:asciiTheme="minorHAnsi" w:hAnsiTheme="minorHAnsi" w:cstheme="minorHAnsi"/>
          <w:sz w:val="22"/>
          <w:szCs w:val="22"/>
        </w:rPr>
      </w:pPr>
      <w:r w:rsidRPr="008B3905">
        <w:rPr>
          <w:rFonts w:asciiTheme="minorHAnsi" w:hAnsiTheme="minorHAnsi" w:cstheme="minorHAnsi"/>
          <w:sz w:val="22"/>
          <w:szCs w:val="22"/>
        </w:rPr>
        <w:t>Regulation</w:t>
      </w:r>
      <w:r w:rsidRPr="008B3905" w:rsidR="00985F66">
        <w:rPr>
          <w:rFonts w:asciiTheme="minorHAnsi" w:hAnsiTheme="minorHAnsi" w:cstheme="minorHAnsi"/>
          <w:sz w:val="22"/>
          <w:szCs w:val="22"/>
        </w:rPr>
        <w:t>s on Income and Currency Gain or Loss with Respect to a Qualified Business Unit</w:t>
      </w:r>
    </w:p>
    <w:p w:rsidR="000073F1" w:rsidRPr="008B3905" w:rsidP="000B0665" w14:paraId="6575A15D" w14:textId="0333FB7B">
      <w:pPr>
        <w:pStyle w:val="Default"/>
        <w:jc w:val="center"/>
        <w:rPr>
          <w:rFonts w:eastAsia="Times New Roman" w:asciiTheme="minorHAnsi" w:hAnsiTheme="minorHAnsi" w:cstheme="minorHAnsi"/>
          <w:color w:val="auto"/>
          <w:sz w:val="22"/>
          <w:szCs w:val="22"/>
        </w:rPr>
      </w:pPr>
      <w:r>
        <w:rPr>
          <w:rFonts w:asciiTheme="minorHAnsi" w:hAnsiTheme="minorHAnsi" w:cstheme="minorHAnsi"/>
          <w:sz w:val="22"/>
        </w:rPr>
        <w:t xml:space="preserve"> REG-132422-17 NPRM </w:t>
      </w:r>
    </w:p>
    <w:p w:rsidR="00F175B3" w:rsidRPr="004D5104" w:rsidP="00F175B3" w14:paraId="1962F5C5" w14:textId="77777777">
      <w:pPr>
        <w:pStyle w:val="Default"/>
        <w:jc w:val="center"/>
        <w:rPr>
          <w:rFonts w:eastAsia="Times New Roman" w:asciiTheme="minorHAnsi" w:hAnsiTheme="minorHAnsi" w:cstheme="minorHAnsi"/>
          <w:color w:val="auto"/>
          <w:sz w:val="22"/>
          <w:szCs w:val="22"/>
        </w:rPr>
      </w:pPr>
      <w:r w:rsidRPr="008B3905">
        <w:rPr>
          <w:rFonts w:asciiTheme="minorHAnsi" w:hAnsiTheme="minorHAnsi" w:cstheme="minorHAnsi"/>
          <w:sz w:val="22"/>
          <w:szCs w:val="22"/>
        </w:rPr>
        <w:t xml:space="preserve"> </w:t>
      </w:r>
      <w:r>
        <w:rPr>
          <w:rFonts w:asciiTheme="minorHAnsi" w:hAnsiTheme="minorHAnsi" w:cstheme="minorHAnsi"/>
          <w:sz w:val="22"/>
        </w:rPr>
        <w:tab/>
      </w:r>
      <w:r w:rsidRPr="004D5104">
        <w:rPr>
          <w:rFonts w:eastAsia="Times New Roman" w:asciiTheme="minorHAnsi" w:hAnsiTheme="minorHAnsi" w:cstheme="minorHAnsi"/>
          <w:color w:val="auto"/>
          <w:sz w:val="22"/>
          <w:szCs w:val="22"/>
        </w:rPr>
        <w:t>OMB Control Number 1545-NEW</w:t>
      </w:r>
    </w:p>
    <w:p w:rsidR="00C337B5" w:rsidRPr="008B3905" w14:paraId="0578AAAA" w14:textId="058DBA72">
      <w:pPr>
        <w:spacing w:after="0" w:line="259" w:lineRule="auto"/>
        <w:ind w:left="0" w:firstLine="0"/>
        <w:rPr>
          <w:rFonts w:asciiTheme="minorHAnsi" w:hAnsiTheme="minorHAnsi" w:cstheme="minorHAnsi"/>
          <w:sz w:val="22"/>
        </w:rPr>
      </w:pPr>
    </w:p>
    <w:p w:rsidR="00C337B5" w:rsidRPr="008B3905" w:rsidP="00155C35" w14:paraId="0137E100" w14:textId="77777777">
      <w:pPr>
        <w:numPr>
          <w:ilvl w:val="0"/>
          <w:numId w:val="1"/>
        </w:numPr>
        <w:ind w:left="360" w:hanging="356"/>
        <w:rPr>
          <w:rFonts w:asciiTheme="minorHAnsi" w:hAnsiTheme="minorHAnsi" w:cstheme="minorHAnsi"/>
          <w:sz w:val="22"/>
        </w:rPr>
      </w:pPr>
      <w:r w:rsidRPr="008B3905">
        <w:rPr>
          <w:rFonts w:asciiTheme="minorHAnsi" w:hAnsiTheme="minorHAnsi" w:cstheme="minorHAnsi"/>
          <w:sz w:val="22"/>
        </w:rPr>
        <w:t xml:space="preserve">CIRCUMSTANCES NECESSITATING COLLECTION OF INFORMATION </w:t>
      </w:r>
    </w:p>
    <w:p w:rsidR="00C337B5" w:rsidRPr="008B3905" w14:paraId="57BF7B0A"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BA3E4E" w:rsidRPr="008B3905" w:rsidP="00BC22F9" w14:paraId="0AD0A994" w14:textId="3381E980">
      <w:pPr>
        <w:spacing w:after="0" w:line="259" w:lineRule="auto"/>
        <w:ind w:left="360" w:firstLine="0"/>
        <w:rPr>
          <w:rFonts w:asciiTheme="minorHAnsi" w:hAnsiTheme="minorHAnsi" w:cstheme="minorHAnsi"/>
          <w:sz w:val="22"/>
        </w:rPr>
      </w:pPr>
      <w:r w:rsidRPr="008B3905">
        <w:rPr>
          <w:rFonts w:asciiTheme="minorHAnsi" w:hAnsiTheme="minorHAnsi" w:cstheme="minorHAnsi"/>
          <w:sz w:val="22"/>
        </w:rPr>
        <w:t xml:space="preserve">Section </w:t>
      </w:r>
      <w:r w:rsidRPr="008B3905" w:rsidR="00E37C4E">
        <w:rPr>
          <w:rFonts w:asciiTheme="minorHAnsi" w:hAnsiTheme="minorHAnsi" w:cstheme="minorHAnsi"/>
          <w:sz w:val="22"/>
        </w:rPr>
        <w:t xml:space="preserve">987 </w:t>
      </w:r>
      <w:r w:rsidRPr="008B3905">
        <w:rPr>
          <w:rFonts w:asciiTheme="minorHAnsi" w:hAnsiTheme="minorHAnsi" w:cstheme="minorHAnsi"/>
          <w:sz w:val="22"/>
        </w:rPr>
        <w:t xml:space="preserve">of the Internal Revenue code ("Code") </w:t>
      </w:r>
      <w:r w:rsidRPr="008B3905" w:rsidR="006105D8">
        <w:rPr>
          <w:rFonts w:asciiTheme="minorHAnsi" w:hAnsiTheme="minorHAnsi" w:cstheme="minorHAnsi"/>
          <w:sz w:val="22"/>
        </w:rPr>
        <w:t xml:space="preserve">(26 U.S.C. §987) </w:t>
      </w:r>
      <w:r w:rsidRPr="008B3905">
        <w:rPr>
          <w:rFonts w:asciiTheme="minorHAnsi" w:hAnsiTheme="minorHAnsi" w:cstheme="minorHAnsi"/>
          <w:sz w:val="22"/>
        </w:rPr>
        <w:t xml:space="preserve">provides </w:t>
      </w:r>
      <w:r w:rsidRPr="008B3905" w:rsidR="00E37C4E">
        <w:rPr>
          <w:rFonts w:asciiTheme="minorHAnsi" w:hAnsiTheme="minorHAnsi" w:cstheme="minorHAnsi"/>
          <w:sz w:val="22"/>
        </w:rPr>
        <w:t xml:space="preserve">rules on translating the income or loss of section 987 </w:t>
      </w:r>
      <w:r w:rsidRPr="008B3905" w:rsidR="006105D8">
        <w:rPr>
          <w:rFonts w:asciiTheme="minorHAnsi" w:hAnsiTheme="minorHAnsi" w:cstheme="minorHAnsi"/>
          <w:sz w:val="22"/>
        </w:rPr>
        <w:t>qualified business units (“</w:t>
      </w:r>
      <w:r w:rsidRPr="008B3905" w:rsidR="00E37C4E">
        <w:rPr>
          <w:rFonts w:asciiTheme="minorHAnsi" w:hAnsiTheme="minorHAnsi" w:cstheme="minorHAnsi"/>
          <w:sz w:val="22"/>
        </w:rPr>
        <w:t>QBUs</w:t>
      </w:r>
      <w:r w:rsidRPr="008B3905" w:rsidR="006105D8">
        <w:rPr>
          <w:rFonts w:asciiTheme="minorHAnsi" w:hAnsiTheme="minorHAnsi" w:cstheme="minorHAnsi"/>
          <w:sz w:val="22"/>
        </w:rPr>
        <w:t>”)</w:t>
      </w:r>
      <w:r w:rsidRPr="008B3905" w:rsidR="00E37C4E">
        <w:rPr>
          <w:rFonts w:asciiTheme="minorHAnsi" w:hAnsiTheme="minorHAnsi" w:cstheme="minorHAnsi"/>
          <w:sz w:val="22"/>
        </w:rPr>
        <w:t xml:space="preserve"> and adjustments made for transfers of property between a QBU and its owner</w:t>
      </w:r>
      <w:r w:rsidRPr="008B3905">
        <w:rPr>
          <w:rFonts w:asciiTheme="minorHAnsi" w:hAnsiTheme="minorHAnsi" w:cstheme="minorHAnsi"/>
          <w:sz w:val="22"/>
        </w:rPr>
        <w:t xml:space="preserve">.  </w:t>
      </w:r>
      <w:r w:rsidRPr="008B3905" w:rsidR="009D5309">
        <w:rPr>
          <w:rFonts w:asciiTheme="minorHAnsi" w:hAnsiTheme="minorHAnsi" w:cstheme="minorHAnsi"/>
          <w:sz w:val="22"/>
        </w:rPr>
        <w:t xml:space="preserve">The collections of information in the proposed regulations with respect to 26 U.S.C. §987 are in proposed 26 C.F.R. §§1.987-1(g), 1.987-9, and 1.987-10(k).  The IRS </w:t>
      </w:r>
      <w:r w:rsidRPr="008B3905" w:rsidR="00A00CF4">
        <w:rPr>
          <w:rFonts w:asciiTheme="minorHAnsi" w:hAnsiTheme="minorHAnsi" w:cstheme="minorHAnsi"/>
          <w:sz w:val="22"/>
        </w:rPr>
        <w:t>intends to</w:t>
      </w:r>
      <w:r w:rsidRPr="008B3905" w:rsidR="009D5309">
        <w:rPr>
          <w:rFonts w:asciiTheme="minorHAnsi" w:hAnsiTheme="minorHAnsi" w:cstheme="minorHAnsi"/>
          <w:sz w:val="22"/>
        </w:rPr>
        <w:t xml:space="preserve"> publish a new form </w:t>
      </w:r>
      <w:r w:rsidRPr="008B3905" w:rsidR="00A00CF4">
        <w:rPr>
          <w:rFonts w:asciiTheme="minorHAnsi" w:hAnsiTheme="minorHAnsi" w:cstheme="minorHAnsi"/>
          <w:sz w:val="22"/>
        </w:rPr>
        <w:t>for</w:t>
      </w:r>
      <w:r w:rsidRPr="008B3905" w:rsidR="009D5309">
        <w:rPr>
          <w:rFonts w:asciiTheme="minorHAnsi" w:hAnsiTheme="minorHAnsi" w:cstheme="minorHAnsi"/>
          <w:sz w:val="22"/>
        </w:rPr>
        <w:t xml:space="preserve"> the collection of information and record keeping requirements. The form and its schedules will not be ready in time for the </w:t>
      </w:r>
      <w:r w:rsidRPr="008B3905" w:rsidR="00A00CF4">
        <w:rPr>
          <w:rFonts w:asciiTheme="minorHAnsi" w:hAnsiTheme="minorHAnsi" w:cstheme="minorHAnsi"/>
          <w:sz w:val="22"/>
        </w:rPr>
        <w:t xml:space="preserve">publication of the </w:t>
      </w:r>
      <w:r w:rsidR="00C03700">
        <w:rPr>
          <w:rFonts w:asciiTheme="minorHAnsi" w:hAnsiTheme="minorHAnsi" w:cstheme="minorHAnsi"/>
          <w:sz w:val="22"/>
        </w:rPr>
        <w:t xml:space="preserve">REG-132422-17 </w:t>
      </w:r>
      <w:r w:rsidRPr="008B3905" w:rsidR="009D5309">
        <w:rPr>
          <w:rFonts w:asciiTheme="minorHAnsi" w:hAnsiTheme="minorHAnsi" w:cstheme="minorHAnsi"/>
          <w:sz w:val="22"/>
        </w:rPr>
        <w:t>NPRM.</w:t>
      </w:r>
    </w:p>
    <w:p w:rsidR="00BA3E4E" w:rsidRPr="008B3905" w:rsidP="00BC22F9" w14:paraId="4590AC65" w14:textId="77777777">
      <w:pPr>
        <w:spacing w:after="0" w:line="259" w:lineRule="auto"/>
        <w:ind w:left="360" w:firstLine="0"/>
        <w:rPr>
          <w:rFonts w:asciiTheme="minorHAnsi" w:hAnsiTheme="minorHAnsi" w:cstheme="minorHAnsi"/>
          <w:sz w:val="22"/>
        </w:rPr>
      </w:pPr>
    </w:p>
    <w:p w:rsidR="002765C9" w:rsidRPr="008B3905" w:rsidP="00BC22F9" w14:paraId="5E2A6400" w14:textId="110C0B08">
      <w:pPr>
        <w:spacing w:after="0" w:line="259" w:lineRule="auto"/>
        <w:ind w:left="360" w:firstLine="0"/>
        <w:rPr>
          <w:rFonts w:asciiTheme="minorHAnsi" w:hAnsiTheme="minorHAnsi" w:cstheme="minorHAnsi"/>
          <w:sz w:val="22"/>
        </w:rPr>
      </w:pPr>
      <w:r w:rsidRPr="008B3905">
        <w:rPr>
          <w:rFonts w:asciiTheme="minorHAnsi" w:hAnsiTheme="minorHAnsi" w:cstheme="minorHAnsi"/>
          <w:sz w:val="22"/>
        </w:rPr>
        <w:t>The IRS intends that the information described in proposed §1.987-1(g) will be conducted by attaching a statement to a taxpayer’s return (such as the appropriate Form 1040, Form 1120, Form 1065, or other appropriate form).  With respect to proposed §1.987-10(k), the IRS also intends that the collection of information will be conducted by attaching a “Section 987 Transition Information” statement to a return. The attachment to a return used for making elections with respect to these proposed regulations will be used by those taxpayers making or revoking an election for the taxable year. The “Section 987 Transition Information” statement attached to a return will be used by all taxpayers, but generally only with respect to the taxable year in which the taxpayer transitions to these proposed regulations.</w:t>
      </w:r>
    </w:p>
    <w:p w:rsidR="002765C9" w:rsidRPr="008B3905" w:rsidP="00BC22F9" w14:paraId="2F583533" w14:textId="77777777">
      <w:pPr>
        <w:spacing w:after="0" w:line="259" w:lineRule="auto"/>
        <w:ind w:left="360" w:firstLine="0"/>
        <w:rPr>
          <w:rFonts w:asciiTheme="minorHAnsi" w:hAnsiTheme="minorHAnsi" w:cstheme="minorHAnsi"/>
          <w:sz w:val="22"/>
        </w:rPr>
      </w:pPr>
    </w:p>
    <w:p w:rsidR="00BA3E4E" w:rsidRPr="008B3905" w:rsidP="00BC22F9" w14:paraId="0FC9E557" w14:textId="4D5AAB9F">
      <w:pPr>
        <w:spacing w:after="0" w:line="259" w:lineRule="auto"/>
        <w:ind w:left="360" w:firstLine="0"/>
        <w:rPr>
          <w:rFonts w:asciiTheme="minorHAnsi" w:hAnsiTheme="minorHAnsi" w:cstheme="minorHAnsi"/>
          <w:sz w:val="22"/>
        </w:rPr>
      </w:pPr>
      <w:r w:rsidRPr="008B3905">
        <w:rPr>
          <w:rFonts w:asciiTheme="minorHAnsi" w:hAnsiTheme="minorHAnsi" w:cstheme="minorHAnsi"/>
          <w:sz w:val="22"/>
        </w:rPr>
        <w:t xml:space="preserve">The collection of information provided by proposed § 1.987-1(g) is required </w:t>
      </w:r>
      <w:r w:rsidRPr="008B3905" w:rsidR="003C3A44">
        <w:rPr>
          <w:rFonts w:asciiTheme="minorHAnsi" w:hAnsiTheme="minorHAnsi" w:cstheme="minorHAnsi"/>
          <w:sz w:val="22"/>
        </w:rPr>
        <w:t xml:space="preserve">only </w:t>
      </w:r>
      <w:r w:rsidRPr="008B3905">
        <w:rPr>
          <w:rFonts w:asciiTheme="minorHAnsi" w:hAnsiTheme="minorHAnsi" w:cstheme="minorHAnsi"/>
          <w:sz w:val="22"/>
        </w:rPr>
        <w:t xml:space="preserve">when </w:t>
      </w:r>
      <w:r w:rsidRPr="008B3905" w:rsidR="003C3A44">
        <w:rPr>
          <w:rFonts w:asciiTheme="minorHAnsi" w:hAnsiTheme="minorHAnsi" w:cstheme="minorHAnsi"/>
          <w:sz w:val="22"/>
        </w:rPr>
        <w:t xml:space="preserve">a </w:t>
      </w:r>
      <w:r w:rsidRPr="008B3905">
        <w:rPr>
          <w:rFonts w:asciiTheme="minorHAnsi" w:hAnsiTheme="minorHAnsi" w:cstheme="minorHAnsi"/>
          <w:sz w:val="22"/>
        </w:rPr>
        <w:t>taxpayer make</w:t>
      </w:r>
      <w:r w:rsidRPr="008B3905" w:rsidR="003C3A44">
        <w:rPr>
          <w:rFonts w:asciiTheme="minorHAnsi" w:hAnsiTheme="minorHAnsi" w:cstheme="minorHAnsi"/>
          <w:sz w:val="22"/>
        </w:rPr>
        <w:t>s</w:t>
      </w:r>
      <w:r w:rsidRPr="008B3905">
        <w:rPr>
          <w:rFonts w:asciiTheme="minorHAnsi" w:hAnsiTheme="minorHAnsi" w:cstheme="minorHAnsi"/>
          <w:sz w:val="22"/>
        </w:rPr>
        <w:t xml:space="preserve"> </w:t>
      </w:r>
      <w:r w:rsidRPr="008B3905" w:rsidR="003C3A44">
        <w:rPr>
          <w:rFonts w:asciiTheme="minorHAnsi" w:hAnsiTheme="minorHAnsi" w:cstheme="minorHAnsi"/>
          <w:sz w:val="22"/>
        </w:rPr>
        <w:t xml:space="preserve">or revokes </w:t>
      </w:r>
      <w:r w:rsidRPr="008B3905">
        <w:rPr>
          <w:rFonts w:asciiTheme="minorHAnsi" w:hAnsiTheme="minorHAnsi" w:cstheme="minorHAnsi"/>
          <w:sz w:val="22"/>
        </w:rPr>
        <w:t xml:space="preserve">certain elections for purposes of calculating </w:t>
      </w:r>
      <w:r w:rsidRPr="008B3905" w:rsidR="003C3A44">
        <w:rPr>
          <w:rFonts w:asciiTheme="minorHAnsi" w:hAnsiTheme="minorHAnsi" w:cstheme="minorHAnsi"/>
          <w:sz w:val="22"/>
        </w:rPr>
        <w:t xml:space="preserve">its </w:t>
      </w:r>
      <w:r w:rsidRPr="008B3905">
        <w:rPr>
          <w:rFonts w:asciiTheme="minorHAnsi" w:hAnsiTheme="minorHAnsi" w:cstheme="minorHAnsi"/>
          <w:sz w:val="22"/>
        </w:rPr>
        <w:t xml:space="preserve">section 987 taxable income or loss and section 987 gain or loss </w:t>
      </w:r>
      <w:r w:rsidRPr="008B3905" w:rsidR="003C3A44">
        <w:rPr>
          <w:rFonts w:asciiTheme="minorHAnsi" w:hAnsiTheme="minorHAnsi" w:cstheme="minorHAnsi"/>
          <w:sz w:val="22"/>
        </w:rPr>
        <w:t xml:space="preserve">with respect to a </w:t>
      </w:r>
      <w:r w:rsidRPr="008B3905">
        <w:rPr>
          <w:rFonts w:asciiTheme="minorHAnsi" w:hAnsiTheme="minorHAnsi" w:cstheme="minorHAnsi"/>
          <w:sz w:val="22"/>
        </w:rPr>
        <w:t xml:space="preserve">section 987 QBU.  </w:t>
      </w:r>
      <w:r w:rsidRPr="008B3905" w:rsidR="003C3A44">
        <w:rPr>
          <w:rFonts w:asciiTheme="minorHAnsi" w:hAnsiTheme="minorHAnsi" w:cstheme="minorHAnsi"/>
          <w:sz w:val="22"/>
        </w:rPr>
        <w:t xml:space="preserve">In the first year to which the section 987 regulations apply to the taxpayer, or the taxpayer or a member of its consolidated group or section 987 electing group is the owner of a section 987 QBU, the taxpayer may make any section 987 election.  Thereafter, the taxpayer may make or revoke a current rate election or annual recognition election only every five years and may make or revoke other elections only with the consent of the Commissioner, which may be granted with a private letter ruling.  When a taxpayer makes or revokes an election, the collection of information is mandatory.  </w:t>
      </w:r>
      <w:r w:rsidRPr="008B3905">
        <w:rPr>
          <w:rFonts w:asciiTheme="minorHAnsi" w:hAnsiTheme="minorHAnsi" w:cstheme="minorHAnsi"/>
          <w:sz w:val="22"/>
        </w:rPr>
        <w:t>The collection of information required by proposed §1.987-1(g) will be used by the IRS for tax compliance purposes.</w:t>
      </w:r>
    </w:p>
    <w:p w:rsidR="00BA3E4E" w:rsidRPr="008B3905" w:rsidP="00BC22F9" w14:paraId="14F362F5" w14:textId="77777777">
      <w:pPr>
        <w:spacing w:after="0" w:line="259" w:lineRule="auto"/>
        <w:ind w:left="360" w:firstLine="0"/>
        <w:rPr>
          <w:rFonts w:asciiTheme="minorHAnsi" w:hAnsiTheme="minorHAnsi" w:cstheme="minorHAnsi"/>
          <w:sz w:val="22"/>
        </w:rPr>
      </w:pPr>
    </w:p>
    <w:p w:rsidR="003C3A44" w:rsidRPr="008B3905" w:rsidP="00BC22F9" w14:paraId="471870D7" w14:textId="5CA9FF68">
      <w:pPr>
        <w:spacing w:after="0" w:line="259" w:lineRule="auto"/>
        <w:ind w:left="360" w:firstLine="0"/>
        <w:rPr>
          <w:rFonts w:asciiTheme="minorHAnsi" w:hAnsiTheme="minorHAnsi" w:cstheme="minorHAnsi"/>
          <w:sz w:val="22"/>
        </w:rPr>
      </w:pPr>
      <w:r w:rsidRPr="008B3905">
        <w:rPr>
          <w:rFonts w:asciiTheme="minorHAnsi" w:hAnsiTheme="minorHAnsi" w:cstheme="minorHAnsi"/>
          <w:sz w:val="22"/>
        </w:rPr>
        <w:t xml:space="preserve">The recordkeeping requirements under proposed §1.987-9 are considered general tax records under §1.6001-1(e).  These records are required for the IRS to validate that section 987 gain or loss and section 987 taxable income or loss have been properly determined.  The IRS intends that the information collection requirements pursuant to proposed §1.987-9 will be satisfied by the taxpayer maintaining permanent books and records that are adequate to verify its section 987 gain or loss and section 987 taxable income or loss with respect to its section 987 QBU. </w:t>
      </w:r>
      <w:r w:rsidRPr="008B3905" w:rsidR="00BA3E4E">
        <w:rPr>
          <w:rFonts w:asciiTheme="minorHAnsi" w:hAnsiTheme="minorHAnsi" w:cstheme="minorHAnsi"/>
          <w:sz w:val="22"/>
        </w:rPr>
        <w:t xml:space="preserve"> </w:t>
      </w:r>
      <w:r w:rsidRPr="008B3905">
        <w:rPr>
          <w:rFonts w:asciiTheme="minorHAnsi" w:hAnsiTheme="minorHAnsi" w:cstheme="minorHAnsi"/>
          <w:sz w:val="22"/>
        </w:rPr>
        <w:t xml:space="preserve">Proposed §1.987-9 is </w:t>
      </w:r>
      <w:r w:rsidRPr="008B3905">
        <w:rPr>
          <w:rFonts w:asciiTheme="minorHAnsi" w:hAnsiTheme="minorHAnsi" w:cstheme="minorHAnsi"/>
          <w:sz w:val="22"/>
        </w:rPr>
        <w:t xml:space="preserve">intended to specify how a taxpayer satisfies its recordkeeping obligations under section 6001 with respect to section 987.   </w:t>
      </w:r>
    </w:p>
    <w:p w:rsidR="003C3A44" w:rsidRPr="008B3905" w:rsidP="00BC22F9" w14:paraId="78DD1B03" w14:textId="77777777">
      <w:pPr>
        <w:spacing w:after="0" w:line="259" w:lineRule="auto"/>
        <w:ind w:left="360" w:firstLine="0"/>
        <w:rPr>
          <w:rFonts w:asciiTheme="minorHAnsi" w:hAnsiTheme="minorHAnsi" w:cstheme="minorHAnsi"/>
          <w:sz w:val="22"/>
        </w:rPr>
      </w:pPr>
    </w:p>
    <w:p w:rsidR="00C337B5" w:rsidRPr="008B3905" w:rsidP="00BC22F9" w14:paraId="14CC209A" w14:textId="556241D7">
      <w:pPr>
        <w:spacing w:after="0" w:line="259" w:lineRule="auto"/>
        <w:ind w:left="360" w:firstLine="0"/>
        <w:rPr>
          <w:rFonts w:asciiTheme="minorHAnsi" w:hAnsiTheme="minorHAnsi" w:cstheme="minorHAnsi"/>
          <w:sz w:val="22"/>
        </w:rPr>
      </w:pPr>
      <w:r w:rsidRPr="008B3905">
        <w:rPr>
          <w:rFonts w:asciiTheme="minorHAnsi" w:hAnsiTheme="minorHAnsi" w:cstheme="minorHAnsi"/>
          <w:sz w:val="22"/>
        </w:rPr>
        <w:t>The collection of information in proposed §1.987-10(k) is mandatory.  Specifically, proposed §1.987-10(k) would require a taxpayer to file a “Section 987 Transition Information” statement with its return for the taxable year beginning on the transition date (as defined in proposed §1.987-10(c)).  The statement would contain information that is necessary for a taxpayer to transition to the proposed section 987 regulations.  Specifically, the statement requires a taxpayer to provide information that is relevant to determining the taxpayer’s pretransition gain or loss with respect to its section 987 QBUs.  The collection of information required by proposed §1.987-10(k) will be used by the IRS for tax compliance purposes.</w:t>
      </w:r>
    </w:p>
    <w:p w:rsidR="003C3A44" w:rsidRPr="008B3905" w:rsidP="003C3A44" w14:paraId="3584C9C5" w14:textId="77777777">
      <w:pPr>
        <w:spacing w:after="0" w:line="259" w:lineRule="auto"/>
        <w:ind w:left="0" w:firstLine="0"/>
        <w:rPr>
          <w:rFonts w:asciiTheme="minorHAnsi" w:hAnsiTheme="minorHAnsi" w:cstheme="minorHAnsi"/>
          <w:sz w:val="22"/>
        </w:rPr>
      </w:pPr>
    </w:p>
    <w:p w:rsidR="00C337B5" w:rsidRPr="008B3905" w:rsidP="00155C35" w14:paraId="760B76C7" w14:textId="77777777">
      <w:pPr>
        <w:numPr>
          <w:ilvl w:val="0"/>
          <w:numId w:val="1"/>
        </w:numPr>
        <w:ind w:left="360" w:hanging="356"/>
        <w:rPr>
          <w:rFonts w:asciiTheme="minorHAnsi" w:hAnsiTheme="minorHAnsi" w:cstheme="minorHAnsi"/>
          <w:sz w:val="22"/>
        </w:rPr>
      </w:pPr>
      <w:r w:rsidRPr="008B3905">
        <w:rPr>
          <w:rFonts w:asciiTheme="minorHAnsi" w:hAnsiTheme="minorHAnsi" w:cstheme="minorHAnsi"/>
          <w:sz w:val="22"/>
        </w:rPr>
        <w:t xml:space="preserve">USE OF DATA               </w:t>
      </w:r>
    </w:p>
    <w:p w:rsidR="00C337B5" w:rsidRPr="008B3905" w14:paraId="30D8B165" w14:textId="67845E64">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E242B1" w:rsidRPr="008B3905" w:rsidP="00BC22F9" w14:paraId="02A26B60" w14:textId="612EB8AE">
      <w:pPr>
        <w:spacing w:after="0" w:line="259" w:lineRule="auto"/>
        <w:ind w:left="360" w:firstLine="0"/>
        <w:rPr>
          <w:rFonts w:asciiTheme="minorHAnsi" w:hAnsiTheme="minorHAnsi" w:cstheme="minorHAnsi"/>
          <w:sz w:val="22"/>
        </w:rPr>
      </w:pPr>
      <w:r w:rsidRPr="008B3905">
        <w:rPr>
          <w:rFonts w:asciiTheme="minorHAnsi" w:hAnsiTheme="minorHAnsi" w:cstheme="minorHAnsi"/>
          <w:sz w:val="22"/>
        </w:rPr>
        <w:t xml:space="preserve">The collection of information will be used by the IRS for tax compliance purposes.  </w:t>
      </w:r>
      <w:r w:rsidRPr="008B3905">
        <w:rPr>
          <w:rFonts w:asciiTheme="minorHAnsi" w:hAnsiTheme="minorHAnsi" w:cstheme="minorHAnsi"/>
          <w:sz w:val="22"/>
        </w:rPr>
        <w:t xml:space="preserve">The data will be used to permit verification by the Commissioner of </w:t>
      </w:r>
      <w:r w:rsidRPr="008B3905">
        <w:rPr>
          <w:rFonts w:asciiTheme="minorHAnsi" w:hAnsiTheme="minorHAnsi" w:cstheme="minorHAnsi"/>
          <w:sz w:val="22"/>
        </w:rPr>
        <w:t xml:space="preserve">the </w:t>
      </w:r>
      <w:r w:rsidRPr="008B3905" w:rsidR="000011F3">
        <w:rPr>
          <w:rFonts w:asciiTheme="minorHAnsi" w:hAnsiTheme="minorHAnsi" w:cstheme="minorHAnsi"/>
          <w:sz w:val="22"/>
        </w:rPr>
        <w:t xml:space="preserve">IRS </w:t>
      </w:r>
      <w:r w:rsidRPr="008B3905">
        <w:rPr>
          <w:rFonts w:asciiTheme="minorHAnsi" w:hAnsiTheme="minorHAnsi" w:cstheme="minorHAnsi"/>
          <w:sz w:val="22"/>
        </w:rPr>
        <w:t xml:space="preserve">to verify </w:t>
      </w:r>
      <w:r w:rsidRPr="008B3905">
        <w:rPr>
          <w:rFonts w:asciiTheme="minorHAnsi" w:hAnsiTheme="minorHAnsi" w:cstheme="minorHAnsi"/>
          <w:sz w:val="22"/>
        </w:rPr>
        <w:t xml:space="preserve">the amount of the </w:t>
      </w:r>
      <w:r w:rsidRPr="008B3905" w:rsidR="008F4036">
        <w:rPr>
          <w:rFonts w:asciiTheme="minorHAnsi" w:hAnsiTheme="minorHAnsi" w:cstheme="minorHAnsi"/>
          <w:sz w:val="22"/>
        </w:rPr>
        <w:t>section 987 taxable income and deduction and section 987 gain or loss recognized by the owner of section 987 QBU under</w:t>
      </w:r>
      <w:r w:rsidRPr="008B3905">
        <w:rPr>
          <w:rFonts w:asciiTheme="minorHAnsi" w:hAnsiTheme="minorHAnsi" w:cstheme="minorHAnsi"/>
          <w:sz w:val="22"/>
        </w:rPr>
        <w:t xml:space="preserve"> the Code, and the amount </w:t>
      </w:r>
      <w:r w:rsidRPr="008B3905" w:rsidR="008F4036">
        <w:rPr>
          <w:rFonts w:asciiTheme="minorHAnsi" w:hAnsiTheme="minorHAnsi" w:cstheme="minorHAnsi"/>
          <w:sz w:val="22"/>
        </w:rPr>
        <w:t xml:space="preserve">of section 987 gain or loss </w:t>
      </w:r>
      <w:r w:rsidRPr="008B3905">
        <w:rPr>
          <w:rFonts w:asciiTheme="minorHAnsi" w:hAnsiTheme="minorHAnsi" w:cstheme="minorHAnsi"/>
          <w:sz w:val="22"/>
        </w:rPr>
        <w:t xml:space="preserve">which would </w:t>
      </w:r>
      <w:r w:rsidRPr="008B3905" w:rsidR="008F4036">
        <w:rPr>
          <w:rFonts w:asciiTheme="minorHAnsi" w:hAnsiTheme="minorHAnsi" w:cstheme="minorHAnsi"/>
          <w:sz w:val="22"/>
        </w:rPr>
        <w:t xml:space="preserve">be deferred or suspended pursuant to the </w:t>
      </w:r>
      <w:r w:rsidRPr="008B3905">
        <w:rPr>
          <w:rFonts w:asciiTheme="minorHAnsi" w:hAnsiTheme="minorHAnsi" w:cstheme="minorHAnsi"/>
          <w:sz w:val="22"/>
        </w:rPr>
        <w:t>Treasury r</w:t>
      </w:r>
      <w:r w:rsidRPr="008B3905" w:rsidR="008F4036">
        <w:rPr>
          <w:rFonts w:asciiTheme="minorHAnsi" w:hAnsiTheme="minorHAnsi" w:cstheme="minorHAnsi"/>
          <w:sz w:val="22"/>
        </w:rPr>
        <w:t>egulations</w:t>
      </w:r>
      <w:r w:rsidRPr="008B3905">
        <w:rPr>
          <w:rFonts w:asciiTheme="minorHAnsi" w:hAnsiTheme="minorHAnsi" w:cstheme="minorHAnsi"/>
          <w:sz w:val="22"/>
        </w:rPr>
        <w:t>.</w:t>
      </w:r>
    </w:p>
    <w:p w:rsidR="00C337B5" w:rsidRPr="008B3905" w14:paraId="7F55BA25"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C337B5" w:rsidRPr="008B3905" w:rsidP="00155C35" w14:paraId="16D31268" w14:textId="77777777">
      <w:pPr>
        <w:numPr>
          <w:ilvl w:val="0"/>
          <w:numId w:val="1"/>
        </w:numPr>
        <w:ind w:left="360" w:hanging="356"/>
        <w:rPr>
          <w:rFonts w:asciiTheme="minorHAnsi" w:hAnsiTheme="minorHAnsi" w:cstheme="minorHAnsi"/>
          <w:sz w:val="22"/>
        </w:rPr>
      </w:pPr>
      <w:r w:rsidRPr="008B3905">
        <w:rPr>
          <w:rFonts w:asciiTheme="minorHAnsi" w:hAnsiTheme="minorHAnsi" w:cstheme="minorHAnsi"/>
          <w:sz w:val="22"/>
        </w:rPr>
        <w:t xml:space="preserve">USE OF IMPROVED INFORMATION TECHNOLOGY TO REDUCE BURDEN </w:t>
      </w:r>
    </w:p>
    <w:p w:rsidR="00C337B5" w:rsidRPr="008B3905" w14:paraId="3A75E816"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C337B5" w:rsidRPr="008B3905" w:rsidP="00BC22F9" w14:paraId="1ECCF4A2" w14:textId="5A1909BF">
      <w:pPr>
        <w:spacing w:after="0" w:line="259" w:lineRule="auto"/>
        <w:ind w:left="360" w:firstLine="0"/>
        <w:rPr>
          <w:rFonts w:asciiTheme="minorHAnsi" w:hAnsiTheme="minorHAnsi" w:cstheme="minorHAnsi"/>
          <w:sz w:val="22"/>
        </w:rPr>
      </w:pPr>
      <w:r w:rsidRPr="008B3905">
        <w:rPr>
          <w:rFonts w:asciiTheme="minorHAnsi" w:hAnsiTheme="minorHAnsi" w:cstheme="minorHAnsi"/>
          <w:sz w:val="22"/>
        </w:rPr>
        <w:t>The IRS has no plans to offer electronic filing as the information collected in proposed §1.987-1(</w:t>
      </w:r>
      <w:r w:rsidRPr="008B3905" w:rsidR="009D5309">
        <w:rPr>
          <w:rFonts w:asciiTheme="minorHAnsi" w:hAnsiTheme="minorHAnsi" w:cstheme="minorHAnsi"/>
          <w:sz w:val="22"/>
        </w:rPr>
        <w:t>g</w:t>
      </w:r>
      <w:r w:rsidRPr="008B3905">
        <w:rPr>
          <w:rFonts w:asciiTheme="minorHAnsi" w:hAnsiTheme="minorHAnsi" w:cstheme="minorHAnsi"/>
          <w:sz w:val="22"/>
        </w:rPr>
        <w:t>) and proposed §1.987-10(k) are narrative statements sent to IRS.  The IRS has no plans to offer electronic filing for the recordkeeping requirements under proposed §1.987-9 as it is a recordkeeping requirement only.</w:t>
      </w:r>
    </w:p>
    <w:p w:rsidR="000011F3" w:rsidRPr="008B3905" w14:paraId="2387538E" w14:textId="77777777">
      <w:pPr>
        <w:spacing w:after="0" w:line="259" w:lineRule="auto"/>
        <w:ind w:left="0" w:firstLine="0"/>
        <w:rPr>
          <w:rFonts w:asciiTheme="minorHAnsi" w:hAnsiTheme="minorHAnsi" w:cstheme="minorHAnsi"/>
          <w:sz w:val="22"/>
        </w:rPr>
      </w:pPr>
    </w:p>
    <w:p w:rsidR="00C337B5" w:rsidRPr="008B3905" w:rsidP="00155C35" w14:paraId="37D1A885" w14:textId="77777777">
      <w:pPr>
        <w:numPr>
          <w:ilvl w:val="0"/>
          <w:numId w:val="1"/>
        </w:numPr>
        <w:ind w:left="360" w:hanging="356"/>
        <w:rPr>
          <w:rFonts w:asciiTheme="minorHAnsi" w:hAnsiTheme="minorHAnsi" w:cstheme="minorHAnsi"/>
          <w:sz w:val="22"/>
        </w:rPr>
      </w:pPr>
      <w:r w:rsidRPr="008B3905">
        <w:rPr>
          <w:rFonts w:asciiTheme="minorHAnsi" w:hAnsiTheme="minorHAnsi" w:cstheme="minorHAnsi"/>
          <w:sz w:val="22"/>
        </w:rPr>
        <w:t xml:space="preserve">EFFORTS TO IDENTIFY DUPLICATION </w:t>
      </w:r>
    </w:p>
    <w:p w:rsidR="00C337B5" w:rsidRPr="008B3905" w14:paraId="013ABC9A"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C337B5" w:rsidRPr="008B3905" w:rsidP="00BC22F9" w14:paraId="456221F5" w14:textId="416893DA">
      <w:pPr>
        <w:ind w:left="360"/>
        <w:rPr>
          <w:rFonts w:asciiTheme="minorHAnsi" w:hAnsiTheme="minorHAnsi" w:cstheme="minorHAnsi"/>
          <w:sz w:val="22"/>
        </w:rPr>
      </w:pPr>
      <w:r w:rsidRPr="008B3905">
        <w:rPr>
          <w:rFonts w:asciiTheme="minorHAnsi" w:hAnsiTheme="minorHAnsi" w:cstheme="minorHAnsi"/>
          <w:sz w:val="22"/>
        </w:rPr>
        <w:t xml:space="preserve">The information obtained through this collection is unique and is not already available for use or adaption from another source.   </w:t>
      </w:r>
    </w:p>
    <w:p w:rsidR="00C337B5" w:rsidRPr="008B3905" w14:paraId="60BD8ED1"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C337B5" w:rsidRPr="008B3905" w:rsidP="00155C35" w14:paraId="631CD2EC" w14:textId="761BE167">
      <w:pPr>
        <w:numPr>
          <w:ilvl w:val="0"/>
          <w:numId w:val="1"/>
        </w:numPr>
        <w:ind w:left="360" w:hanging="356"/>
        <w:rPr>
          <w:rFonts w:asciiTheme="minorHAnsi" w:hAnsiTheme="minorHAnsi" w:cstheme="minorHAnsi"/>
          <w:sz w:val="22"/>
        </w:rPr>
      </w:pPr>
      <w:r w:rsidRPr="008B3905">
        <w:rPr>
          <w:rFonts w:asciiTheme="minorHAnsi" w:hAnsiTheme="minorHAnsi" w:cstheme="minorHAnsi"/>
          <w:sz w:val="22"/>
        </w:rPr>
        <w:t xml:space="preserve">METHODS TO MINIMIZE BURDEN ON SMALL BUSINESSES OR OTHER SMALL ENTITIES </w:t>
      </w:r>
    </w:p>
    <w:p w:rsidR="00C337B5" w:rsidRPr="008B3905" w14:paraId="63D49042"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C337B5" w:rsidRPr="008B3905" w:rsidP="00BC22F9" w14:paraId="6CAF1CB9" w14:textId="18463AB2">
      <w:pPr>
        <w:spacing w:after="13" w:line="241" w:lineRule="auto"/>
        <w:ind w:left="360" w:right="45"/>
        <w:jc w:val="both"/>
        <w:rPr>
          <w:rFonts w:asciiTheme="minorHAnsi" w:hAnsiTheme="minorHAnsi" w:cstheme="minorHAnsi"/>
          <w:sz w:val="22"/>
        </w:rPr>
      </w:pPr>
      <w:r w:rsidRPr="008B3905">
        <w:rPr>
          <w:rFonts w:asciiTheme="minorHAnsi" w:hAnsiTheme="minorHAnsi" w:cstheme="minorHAnsi"/>
          <w:sz w:val="22"/>
        </w:rPr>
        <w:t xml:space="preserve">This information collection will not have a significant economic impact on small businesses or other small entities. </w:t>
      </w:r>
      <w:r w:rsidRPr="008B3905" w:rsidR="00E11C73">
        <w:rPr>
          <w:rFonts w:asciiTheme="minorHAnsi" w:hAnsiTheme="minorHAnsi" w:cstheme="minorHAnsi"/>
          <w:sz w:val="22"/>
        </w:rPr>
        <w:t xml:space="preserve"> Generally, the proposed regulations affect U.S. corporations that have foreign operations.  The number of small businesses or other small entities potentially affected by the proposed regulations is unknown; however, it is unlikely to be a substantial number because taxpayers with foreign operations are typically larger businesses. Further,</w:t>
      </w:r>
      <w:r w:rsidRPr="008B3905">
        <w:rPr>
          <w:rFonts w:asciiTheme="minorHAnsi" w:hAnsiTheme="minorHAnsi" w:cstheme="minorHAnsi"/>
          <w:sz w:val="22"/>
        </w:rPr>
        <w:t xml:space="preserve"> </w:t>
      </w:r>
      <w:r w:rsidRPr="008B3905" w:rsidR="00E11C73">
        <w:rPr>
          <w:rFonts w:asciiTheme="minorHAnsi" w:hAnsiTheme="minorHAnsi" w:cstheme="minorHAnsi"/>
          <w:sz w:val="22"/>
        </w:rPr>
        <w:t>s</w:t>
      </w:r>
      <w:r w:rsidRPr="008B3905" w:rsidR="008A2E52">
        <w:rPr>
          <w:rFonts w:asciiTheme="minorHAnsi" w:hAnsiTheme="minorHAnsi" w:cstheme="minorHAnsi"/>
          <w:sz w:val="22"/>
        </w:rPr>
        <w:t xml:space="preserve">ection 987 </w:t>
      </w:r>
      <w:r w:rsidRPr="008B3905" w:rsidR="00E242B1">
        <w:rPr>
          <w:rFonts w:asciiTheme="minorHAnsi" w:hAnsiTheme="minorHAnsi" w:cstheme="minorHAnsi"/>
          <w:sz w:val="22"/>
        </w:rPr>
        <w:t xml:space="preserve">applies only to taxpayers </w:t>
      </w:r>
      <w:r w:rsidRPr="008B3905" w:rsidR="008A2E52">
        <w:rPr>
          <w:rFonts w:asciiTheme="minorHAnsi" w:hAnsiTheme="minorHAnsi" w:cstheme="minorHAnsi"/>
          <w:sz w:val="22"/>
        </w:rPr>
        <w:t>that operate QBUs with functional currencies that are different from their tax owner</w:t>
      </w:r>
      <w:r w:rsidRPr="008B3905" w:rsidR="00E242B1">
        <w:rPr>
          <w:rFonts w:asciiTheme="minorHAnsi" w:hAnsiTheme="minorHAnsi" w:cstheme="minorHAnsi"/>
          <w:sz w:val="22"/>
        </w:rPr>
        <w:t xml:space="preserve">. </w:t>
      </w:r>
      <w:r w:rsidRPr="008B3905" w:rsidR="00E11C73">
        <w:rPr>
          <w:rFonts w:asciiTheme="minorHAnsi" w:hAnsiTheme="minorHAnsi" w:cstheme="minorHAnsi"/>
          <w:sz w:val="22"/>
        </w:rPr>
        <w:t xml:space="preserve">It is unlikely for small businesses or other small entities to operate two or more businesses using different currencies. The proposed regulations are expected to affect </w:t>
      </w:r>
      <w:r w:rsidRPr="008B3905" w:rsidR="00AA15C8">
        <w:rPr>
          <w:rFonts w:asciiTheme="minorHAnsi" w:hAnsiTheme="minorHAnsi" w:cstheme="minorHAnsi"/>
          <w:sz w:val="22"/>
        </w:rPr>
        <w:t xml:space="preserve">taxpayers </w:t>
      </w:r>
      <w:r w:rsidRPr="008B3905" w:rsidR="00E11C73">
        <w:rPr>
          <w:rFonts w:asciiTheme="minorHAnsi" w:hAnsiTheme="minorHAnsi" w:cstheme="minorHAnsi"/>
          <w:sz w:val="22"/>
        </w:rPr>
        <w:t xml:space="preserve">that </w:t>
      </w:r>
      <w:r w:rsidRPr="008B3905" w:rsidR="00AA15C8">
        <w:rPr>
          <w:rFonts w:asciiTheme="minorHAnsi" w:hAnsiTheme="minorHAnsi" w:cstheme="minorHAnsi"/>
          <w:sz w:val="22"/>
        </w:rPr>
        <w:t xml:space="preserve">are large </w:t>
      </w:r>
      <w:r w:rsidRPr="008B3905" w:rsidR="00E11C73">
        <w:rPr>
          <w:rFonts w:asciiTheme="minorHAnsi" w:hAnsiTheme="minorHAnsi" w:cstheme="minorHAnsi"/>
          <w:sz w:val="22"/>
        </w:rPr>
        <w:t xml:space="preserve">multinational </w:t>
      </w:r>
      <w:r w:rsidRPr="008B3905" w:rsidR="00AA15C8">
        <w:rPr>
          <w:rFonts w:asciiTheme="minorHAnsi" w:hAnsiTheme="minorHAnsi" w:cstheme="minorHAnsi"/>
          <w:sz w:val="22"/>
        </w:rPr>
        <w:t>businesses.</w:t>
      </w:r>
      <w:r w:rsidRPr="008B3905" w:rsidR="008A2E52">
        <w:rPr>
          <w:rFonts w:asciiTheme="minorHAnsi" w:hAnsiTheme="minorHAnsi" w:cstheme="minorHAnsi"/>
          <w:sz w:val="22"/>
        </w:rPr>
        <w:t xml:space="preserve"> </w:t>
      </w:r>
    </w:p>
    <w:p w:rsidR="00C337B5" w:rsidRPr="008B3905" w14:paraId="14EDE2DD"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C337B5" w:rsidRPr="008B3905" w:rsidP="00155C35" w14:paraId="0525034B" w14:textId="77777777">
      <w:pPr>
        <w:numPr>
          <w:ilvl w:val="0"/>
          <w:numId w:val="1"/>
        </w:numPr>
        <w:ind w:left="360" w:hanging="356"/>
        <w:rPr>
          <w:rFonts w:asciiTheme="minorHAnsi" w:hAnsiTheme="minorHAnsi" w:cstheme="minorHAnsi"/>
          <w:sz w:val="22"/>
        </w:rPr>
      </w:pPr>
      <w:r w:rsidRPr="008B3905">
        <w:rPr>
          <w:rFonts w:asciiTheme="minorHAnsi" w:hAnsiTheme="minorHAnsi" w:cstheme="minorHAnsi"/>
          <w:sz w:val="22"/>
        </w:rPr>
        <w:t xml:space="preserve">CONSEQUENCES OF LESS FREQUENT COLLECTION ON FEDERAL PROGRAMS OR POLICY ACTIVITIES </w:t>
      </w:r>
    </w:p>
    <w:p w:rsidR="00C337B5" w:rsidRPr="008B3905" w14:paraId="77FC00E6"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E242B1" w:rsidRPr="008B3905" w:rsidP="00BC22F9" w14:paraId="2CA415CD" w14:textId="665C81AB">
      <w:pPr>
        <w:ind w:left="360"/>
        <w:rPr>
          <w:rFonts w:asciiTheme="minorHAnsi" w:hAnsiTheme="minorHAnsi" w:cstheme="minorHAnsi"/>
          <w:sz w:val="22"/>
        </w:rPr>
      </w:pPr>
      <w:r w:rsidRPr="008B3905">
        <w:rPr>
          <w:rFonts w:asciiTheme="minorHAnsi" w:hAnsiTheme="minorHAnsi" w:cstheme="minorHAnsi"/>
          <w:sz w:val="22"/>
        </w:rPr>
        <w:t>A less frequent collection will not allow the IRS to verify whether the section 987 gains and losses are being computed properly and in accordance with section 987 of the Code and will hinder the IRS from meeting its mission.</w:t>
      </w:r>
    </w:p>
    <w:p w:rsidR="00C337B5" w:rsidRPr="008B3905" w14:paraId="717F47A1" w14:textId="0DAE7DC1">
      <w:pPr>
        <w:spacing w:after="0" w:line="259" w:lineRule="auto"/>
        <w:ind w:left="0" w:firstLine="0"/>
        <w:rPr>
          <w:rFonts w:asciiTheme="minorHAnsi" w:hAnsiTheme="minorHAnsi" w:cstheme="minorHAnsi"/>
          <w:sz w:val="22"/>
        </w:rPr>
      </w:pPr>
    </w:p>
    <w:p w:rsidR="00C337B5" w:rsidRPr="008B3905" w:rsidP="00155C35" w14:paraId="3AEBE70C" w14:textId="245BEE21">
      <w:pPr>
        <w:numPr>
          <w:ilvl w:val="0"/>
          <w:numId w:val="1"/>
        </w:numPr>
        <w:ind w:left="360" w:hanging="356"/>
        <w:rPr>
          <w:rFonts w:asciiTheme="minorHAnsi" w:hAnsiTheme="minorHAnsi" w:cstheme="minorHAnsi"/>
          <w:sz w:val="22"/>
        </w:rPr>
      </w:pPr>
      <w:r w:rsidRPr="008B3905">
        <w:rPr>
          <w:rFonts w:asciiTheme="minorHAnsi" w:hAnsiTheme="minorHAnsi" w:cstheme="minorHAnsi"/>
          <w:sz w:val="22"/>
        </w:rPr>
        <w:t>SPECIAL CIRCUMSTANCES REQUIRING DATA COLLECTION TO BE INCONSISTENT WITH GUIDELINES IN 5 C</w:t>
      </w:r>
      <w:r w:rsidRPr="008B3905" w:rsidR="00C45255">
        <w:rPr>
          <w:rFonts w:asciiTheme="minorHAnsi" w:hAnsiTheme="minorHAnsi" w:cstheme="minorHAnsi"/>
          <w:sz w:val="22"/>
        </w:rPr>
        <w:t>.</w:t>
      </w:r>
      <w:r w:rsidRPr="008B3905">
        <w:rPr>
          <w:rFonts w:asciiTheme="minorHAnsi" w:hAnsiTheme="minorHAnsi" w:cstheme="minorHAnsi"/>
          <w:sz w:val="22"/>
        </w:rPr>
        <w:t>F</w:t>
      </w:r>
      <w:r w:rsidRPr="008B3905" w:rsidR="00C45255">
        <w:rPr>
          <w:rFonts w:asciiTheme="minorHAnsi" w:hAnsiTheme="minorHAnsi" w:cstheme="minorHAnsi"/>
          <w:sz w:val="22"/>
        </w:rPr>
        <w:t>.</w:t>
      </w:r>
      <w:r w:rsidRPr="008B3905">
        <w:rPr>
          <w:rFonts w:asciiTheme="minorHAnsi" w:hAnsiTheme="minorHAnsi" w:cstheme="minorHAnsi"/>
          <w:sz w:val="22"/>
        </w:rPr>
        <w:t>R</w:t>
      </w:r>
      <w:r w:rsidRPr="008B3905" w:rsidR="00C45255">
        <w:rPr>
          <w:rFonts w:asciiTheme="minorHAnsi" w:hAnsiTheme="minorHAnsi" w:cstheme="minorHAnsi"/>
          <w:sz w:val="22"/>
        </w:rPr>
        <w:t>.</w:t>
      </w:r>
      <w:r w:rsidRPr="008B3905">
        <w:rPr>
          <w:rFonts w:asciiTheme="minorHAnsi" w:hAnsiTheme="minorHAnsi" w:cstheme="minorHAnsi"/>
          <w:sz w:val="22"/>
        </w:rPr>
        <w:t xml:space="preserve"> </w:t>
      </w:r>
      <w:r w:rsidRPr="008B3905" w:rsidR="00C45255">
        <w:rPr>
          <w:rFonts w:asciiTheme="minorHAnsi" w:hAnsiTheme="minorHAnsi" w:cstheme="minorHAnsi"/>
          <w:sz w:val="22"/>
        </w:rPr>
        <w:t>§</w:t>
      </w:r>
      <w:r w:rsidRPr="008B3905">
        <w:rPr>
          <w:rFonts w:asciiTheme="minorHAnsi" w:hAnsiTheme="minorHAnsi" w:cstheme="minorHAnsi"/>
          <w:sz w:val="22"/>
        </w:rPr>
        <w:t>1320.5(d)(2)</w:t>
      </w:r>
      <w:r w:rsidRPr="008B3905" w:rsidR="00C45255">
        <w:rPr>
          <w:rFonts w:asciiTheme="minorHAnsi" w:hAnsiTheme="minorHAnsi" w:cstheme="minorHAnsi"/>
          <w:sz w:val="22"/>
        </w:rPr>
        <w:t>.</w:t>
      </w:r>
    </w:p>
    <w:p w:rsidR="00C337B5" w:rsidRPr="008B3905" w14:paraId="070B7F12"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C337B5" w:rsidRPr="008B3905" w:rsidP="00BC22F9" w14:paraId="7D991B5F" w14:textId="35B5A6D8">
      <w:pPr>
        <w:spacing w:after="0" w:line="259" w:lineRule="auto"/>
        <w:ind w:left="360" w:firstLine="0"/>
        <w:rPr>
          <w:rFonts w:asciiTheme="minorHAnsi" w:hAnsiTheme="minorHAnsi" w:cstheme="minorHAnsi"/>
          <w:sz w:val="22"/>
        </w:rPr>
      </w:pPr>
      <w:r w:rsidRPr="008B3905">
        <w:rPr>
          <w:rFonts w:asciiTheme="minorHAnsi" w:hAnsiTheme="minorHAnsi" w:cstheme="minorHAnsi"/>
          <w:sz w:val="22"/>
        </w:rPr>
        <w:t>There are no special circumstances requiring data collection to be inconsistent with Guidelines in 5 C</w:t>
      </w:r>
      <w:r w:rsidRPr="008B3905" w:rsidR="00C45255">
        <w:rPr>
          <w:rFonts w:asciiTheme="minorHAnsi" w:hAnsiTheme="minorHAnsi" w:cstheme="minorHAnsi"/>
          <w:sz w:val="22"/>
        </w:rPr>
        <w:t>.</w:t>
      </w:r>
      <w:r w:rsidRPr="008B3905">
        <w:rPr>
          <w:rFonts w:asciiTheme="minorHAnsi" w:hAnsiTheme="minorHAnsi" w:cstheme="minorHAnsi"/>
          <w:sz w:val="22"/>
        </w:rPr>
        <w:t>F</w:t>
      </w:r>
      <w:r w:rsidRPr="008B3905" w:rsidR="00C45255">
        <w:rPr>
          <w:rFonts w:asciiTheme="minorHAnsi" w:hAnsiTheme="minorHAnsi" w:cstheme="minorHAnsi"/>
          <w:sz w:val="22"/>
        </w:rPr>
        <w:t>.</w:t>
      </w:r>
      <w:r w:rsidRPr="008B3905">
        <w:rPr>
          <w:rFonts w:asciiTheme="minorHAnsi" w:hAnsiTheme="minorHAnsi" w:cstheme="minorHAnsi"/>
          <w:sz w:val="22"/>
        </w:rPr>
        <w:t>R</w:t>
      </w:r>
      <w:r w:rsidRPr="008B3905" w:rsidR="00C45255">
        <w:rPr>
          <w:rFonts w:asciiTheme="minorHAnsi" w:hAnsiTheme="minorHAnsi" w:cstheme="minorHAnsi"/>
          <w:sz w:val="22"/>
        </w:rPr>
        <w:t>.</w:t>
      </w:r>
      <w:r w:rsidRPr="008B3905">
        <w:rPr>
          <w:rFonts w:asciiTheme="minorHAnsi" w:hAnsiTheme="minorHAnsi" w:cstheme="minorHAnsi"/>
          <w:sz w:val="22"/>
        </w:rPr>
        <w:t xml:space="preserve"> </w:t>
      </w:r>
      <w:r w:rsidRPr="008B3905" w:rsidR="00C45255">
        <w:rPr>
          <w:rFonts w:asciiTheme="minorHAnsi" w:hAnsiTheme="minorHAnsi" w:cstheme="minorHAnsi"/>
          <w:sz w:val="22"/>
        </w:rPr>
        <w:t>§</w:t>
      </w:r>
      <w:r w:rsidRPr="008B3905">
        <w:rPr>
          <w:rFonts w:asciiTheme="minorHAnsi" w:hAnsiTheme="minorHAnsi" w:cstheme="minorHAnsi"/>
          <w:sz w:val="22"/>
        </w:rPr>
        <w:t xml:space="preserve">1320.5(d)(2). </w:t>
      </w:r>
    </w:p>
    <w:p w:rsidR="00846C09" w:rsidRPr="008B3905" w14:paraId="515F79F7" w14:textId="77777777">
      <w:pPr>
        <w:spacing w:after="0" w:line="259" w:lineRule="auto"/>
        <w:ind w:left="0" w:firstLine="0"/>
        <w:rPr>
          <w:rFonts w:asciiTheme="minorHAnsi" w:hAnsiTheme="minorHAnsi" w:cstheme="minorHAnsi"/>
          <w:sz w:val="22"/>
        </w:rPr>
      </w:pPr>
    </w:p>
    <w:p w:rsidR="00C337B5" w:rsidRPr="008B3905" w:rsidP="00155C35" w14:paraId="75BC1886" w14:textId="6CDB8E7E">
      <w:pPr>
        <w:numPr>
          <w:ilvl w:val="0"/>
          <w:numId w:val="1"/>
        </w:numPr>
        <w:spacing w:after="13" w:line="241" w:lineRule="auto"/>
        <w:ind w:left="360" w:hanging="356"/>
        <w:rPr>
          <w:rFonts w:asciiTheme="minorHAnsi" w:hAnsiTheme="minorHAnsi" w:cstheme="minorHAnsi"/>
          <w:sz w:val="22"/>
        </w:rPr>
      </w:pPr>
      <w:r w:rsidRPr="008B3905">
        <w:rPr>
          <w:rFonts w:asciiTheme="minorHAnsi" w:hAnsiTheme="minorHAnsi" w:cstheme="minorHAnsi"/>
          <w:sz w:val="22"/>
        </w:rPr>
        <w:t xml:space="preserve">CONSULTATION WITH INDIVIDUALS OUTSIDE OF THE AGENCY ON AVAILABILITY OF DATA, FREQUENCY OF COLLECTION, CLARITY OF INSTRUCTIONS AND FORMS, AND DATA ELEMENTS </w:t>
      </w:r>
    </w:p>
    <w:p w:rsidR="00C337B5" w:rsidRPr="008B3905" w14:paraId="4C05C730" w14:textId="7A3699C0">
      <w:pPr>
        <w:tabs>
          <w:tab w:val="center" w:pos="4677"/>
        </w:tabs>
        <w:spacing w:after="0" w:line="259" w:lineRule="auto"/>
        <w:ind w:left="-15" w:firstLine="0"/>
        <w:rPr>
          <w:rFonts w:asciiTheme="minorHAnsi" w:hAnsiTheme="minorHAnsi" w:cstheme="minorHAnsi"/>
          <w:sz w:val="22"/>
        </w:rPr>
      </w:pPr>
      <w:r w:rsidRPr="008B3905">
        <w:rPr>
          <w:rFonts w:eastAsia="Courier New" w:asciiTheme="minorHAnsi" w:hAnsiTheme="minorHAnsi" w:cstheme="minorHAnsi"/>
          <w:sz w:val="22"/>
        </w:rPr>
        <w:t xml:space="preserve">  </w:t>
      </w:r>
    </w:p>
    <w:p w:rsidR="000B0665" w:rsidRPr="008B3905" w:rsidP="00BC22F9" w14:paraId="5AE3A34F" w14:textId="3C4D72A9">
      <w:pPr>
        <w:spacing w:after="0" w:line="259" w:lineRule="auto"/>
        <w:ind w:left="360" w:firstLine="0"/>
        <w:rPr>
          <w:rFonts w:asciiTheme="minorHAnsi" w:hAnsiTheme="minorHAnsi" w:cstheme="minorHAnsi"/>
          <w:sz w:val="22"/>
        </w:rPr>
      </w:pPr>
      <w:r w:rsidRPr="00E56477">
        <w:rPr>
          <w:rFonts w:asciiTheme="minorHAnsi" w:hAnsiTheme="minorHAnsi" w:cstheme="minorHAnsi"/>
          <w:sz w:val="22"/>
        </w:rPr>
        <w:t>Proposed regulations (REG-</w:t>
      </w:r>
      <w:r w:rsidRPr="00E56477" w:rsidR="00D761C8">
        <w:rPr>
          <w:rFonts w:asciiTheme="minorHAnsi" w:hAnsiTheme="minorHAnsi" w:cstheme="minorHAnsi"/>
          <w:sz w:val="22"/>
        </w:rPr>
        <w:t>132422-17</w:t>
      </w:r>
      <w:r w:rsidRPr="00E56477">
        <w:rPr>
          <w:rFonts w:asciiTheme="minorHAnsi" w:hAnsiTheme="minorHAnsi" w:cstheme="minorHAnsi"/>
          <w:sz w:val="22"/>
        </w:rPr>
        <w:t>)</w:t>
      </w:r>
      <w:r w:rsidR="00C33348">
        <w:rPr>
          <w:rFonts w:asciiTheme="minorHAnsi" w:hAnsiTheme="minorHAnsi" w:cstheme="minorHAnsi"/>
          <w:sz w:val="22"/>
        </w:rPr>
        <w:t xml:space="preserve">, once </w:t>
      </w:r>
      <w:r w:rsidRPr="00E56477">
        <w:rPr>
          <w:rFonts w:asciiTheme="minorHAnsi" w:hAnsiTheme="minorHAnsi" w:cstheme="minorHAnsi"/>
          <w:sz w:val="22"/>
        </w:rPr>
        <w:t xml:space="preserve">published </w:t>
      </w:r>
      <w:r w:rsidR="00C33348">
        <w:rPr>
          <w:rFonts w:asciiTheme="minorHAnsi" w:hAnsiTheme="minorHAnsi" w:cstheme="minorHAnsi"/>
          <w:sz w:val="22"/>
        </w:rPr>
        <w:t xml:space="preserve">will </w:t>
      </w:r>
      <w:r w:rsidRPr="00E56477">
        <w:rPr>
          <w:rFonts w:asciiTheme="minorHAnsi" w:hAnsiTheme="minorHAnsi" w:cstheme="minorHAnsi"/>
          <w:sz w:val="22"/>
        </w:rPr>
        <w:t>request</w:t>
      </w:r>
      <w:r w:rsidR="00016EB0">
        <w:rPr>
          <w:rFonts w:asciiTheme="minorHAnsi" w:hAnsiTheme="minorHAnsi" w:cstheme="minorHAnsi"/>
          <w:sz w:val="22"/>
        </w:rPr>
        <w:t xml:space="preserve"> for</w:t>
      </w:r>
      <w:r w:rsidRPr="00E56477">
        <w:rPr>
          <w:rFonts w:asciiTheme="minorHAnsi" w:hAnsiTheme="minorHAnsi" w:cstheme="minorHAnsi"/>
          <w:sz w:val="22"/>
        </w:rPr>
        <w:t xml:space="preserve"> public</w:t>
      </w:r>
      <w:r w:rsidRPr="008B3905">
        <w:rPr>
          <w:rFonts w:asciiTheme="minorHAnsi" w:hAnsiTheme="minorHAnsi" w:cstheme="minorHAnsi"/>
          <w:sz w:val="22"/>
        </w:rPr>
        <w:t xml:space="preserve"> comments and recommendations on the information collections.  Any comments received on the information collections will be addressed within the Final Rule submission. </w:t>
      </w:r>
    </w:p>
    <w:p w:rsidR="00C337B5" w:rsidRPr="008B3905" w:rsidP="008A2E52" w14:paraId="4A9CC2D8" w14:textId="09538C34">
      <w:pPr>
        <w:spacing w:after="0" w:line="259" w:lineRule="auto"/>
        <w:ind w:left="0" w:firstLine="0"/>
        <w:rPr>
          <w:rFonts w:asciiTheme="minorHAnsi" w:hAnsiTheme="minorHAnsi" w:cstheme="minorHAnsi"/>
          <w:sz w:val="22"/>
        </w:rPr>
      </w:pPr>
    </w:p>
    <w:p w:rsidR="00C337B5" w:rsidRPr="008B3905" w:rsidP="00003BD1" w14:paraId="65056999" w14:textId="1CA5EA3E">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C337B5" w:rsidRPr="008B3905" w:rsidP="00155C35" w14:paraId="1BB10261" w14:textId="54A0F550">
      <w:pPr>
        <w:numPr>
          <w:ilvl w:val="0"/>
          <w:numId w:val="1"/>
        </w:numPr>
        <w:ind w:left="360" w:hanging="356"/>
        <w:rPr>
          <w:rFonts w:asciiTheme="minorHAnsi" w:hAnsiTheme="minorHAnsi" w:cstheme="minorHAnsi"/>
          <w:sz w:val="22"/>
        </w:rPr>
      </w:pPr>
      <w:r w:rsidRPr="008B3905">
        <w:rPr>
          <w:rFonts w:asciiTheme="minorHAnsi" w:hAnsiTheme="minorHAnsi" w:cstheme="minorHAnsi"/>
          <w:sz w:val="22"/>
        </w:rPr>
        <w:t xml:space="preserve">EXPLANATION OF DECISION TO PROVIDE ANY PAYMENT OR GIFT TO RESPONDENTS </w:t>
      </w:r>
    </w:p>
    <w:p w:rsidR="00C337B5" w:rsidRPr="008B3905" w14:paraId="70B4F703"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C337B5" w:rsidRPr="008B3905" w:rsidP="00BC22F9" w14:paraId="4CB20545" w14:textId="0831CFB8">
      <w:pPr>
        <w:spacing w:after="0" w:line="259" w:lineRule="auto"/>
        <w:ind w:left="360" w:firstLine="0"/>
        <w:rPr>
          <w:rFonts w:asciiTheme="minorHAnsi" w:hAnsiTheme="minorHAnsi" w:cstheme="minorHAnsi"/>
          <w:sz w:val="22"/>
        </w:rPr>
      </w:pPr>
      <w:r w:rsidRPr="008B3905">
        <w:rPr>
          <w:rFonts w:asciiTheme="minorHAnsi" w:hAnsiTheme="minorHAnsi" w:cstheme="minorHAnsi"/>
          <w:sz w:val="22"/>
        </w:rPr>
        <w:t>No payment or gift has been provided to any respondents.</w:t>
      </w:r>
    </w:p>
    <w:p w:rsidR="00C45255" w:rsidRPr="008B3905" w14:paraId="79FA7EDC" w14:textId="77777777">
      <w:pPr>
        <w:spacing w:after="0" w:line="259" w:lineRule="auto"/>
        <w:ind w:left="0" w:firstLine="0"/>
        <w:rPr>
          <w:rFonts w:asciiTheme="minorHAnsi" w:hAnsiTheme="minorHAnsi" w:cstheme="minorHAnsi"/>
          <w:sz w:val="22"/>
        </w:rPr>
      </w:pPr>
    </w:p>
    <w:p w:rsidR="00C337B5" w:rsidRPr="008B3905" w:rsidP="00155C35" w14:paraId="648105BA" w14:textId="77777777">
      <w:pPr>
        <w:numPr>
          <w:ilvl w:val="0"/>
          <w:numId w:val="1"/>
        </w:numPr>
        <w:ind w:left="360" w:hanging="356"/>
        <w:rPr>
          <w:rFonts w:asciiTheme="minorHAnsi" w:hAnsiTheme="minorHAnsi" w:cstheme="minorHAnsi"/>
          <w:sz w:val="22"/>
        </w:rPr>
      </w:pPr>
      <w:r w:rsidRPr="008B3905">
        <w:rPr>
          <w:rFonts w:asciiTheme="minorHAnsi" w:hAnsiTheme="minorHAnsi" w:cstheme="minorHAnsi"/>
          <w:sz w:val="22"/>
        </w:rPr>
        <w:t xml:space="preserve">ASSURANCE OF CONFIDENTIALITY OF RESPONSES </w:t>
      </w:r>
    </w:p>
    <w:p w:rsidR="00C337B5" w:rsidRPr="008B3905" w14:paraId="44C58C5C"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C337B5" w:rsidRPr="008B3905" w:rsidP="00BC22F9" w14:paraId="309B7F79" w14:textId="6A5F99F2">
      <w:pPr>
        <w:ind w:left="360"/>
        <w:rPr>
          <w:rFonts w:asciiTheme="minorHAnsi" w:hAnsiTheme="minorHAnsi" w:cstheme="minorHAnsi"/>
          <w:sz w:val="22"/>
        </w:rPr>
      </w:pPr>
      <w:r w:rsidRPr="008B3905">
        <w:rPr>
          <w:rFonts w:asciiTheme="minorHAnsi" w:hAnsiTheme="minorHAnsi" w:cstheme="minorHAnsi"/>
          <w:sz w:val="22"/>
        </w:rPr>
        <w:t>Generally, tax returns and tax return information are confidential as required by 26 U</w:t>
      </w:r>
      <w:r w:rsidRPr="008B3905" w:rsidR="00C45255">
        <w:rPr>
          <w:rFonts w:asciiTheme="minorHAnsi" w:hAnsiTheme="minorHAnsi" w:cstheme="minorHAnsi"/>
          <w:sz w:val="22"/>
        </w:rPr>
        <w:t>.</w:t>
      </w:r>
      <w:r w:rsidRPr="008B3905">
        <w:rPr>
          <w:rFonts w:asciiTheme="minorHAnsi" w:hAnsiTheme="minorHAnsi" w:cstheme="minorHAnsi"/>
          <w:sz w:val="22"/>
        </w:rPr>
        <w:t>S</w:t>
      </w:r>
      <w:r w:rsidRPr="008B3905" w:rsidR="00C45255">
        <w:rPr>
          <w:rFonts w:asciiTheme="minorHAnsi" w:hAnsiTheme="minorHAnsi" w:cstheme="minorHAnsi"/>
          <w:sz w:val="22"/>
        </w:rPr>
        <w:t>.</w:t>
      </w:r>
      <w:r w:rsidRPr="008B3905">
        <w:rPr>
          <w:rFonts w:asciiTheme="minorHAnsi" w:hAnsiTheme="minorHAnsi" w:cstheme="minorHAnsi"/>
          <w:sz w:val="22"/>
        </w:rPr>
        <w:t>C</w:t>
      </w:r>
      <w:r w:rsidRPr="008B3905" w:rsidR="00C45255">
        <w:rPr>
          <w:rFonts w:asciiTheme="minorHAnsi" w:hAnsiTheme="minorHAnsi" w:cstheme="minorHAnsi"/>
          <w:sz w:val="22"/>
        </w:rPr>
        <w:t>.</w:t>
      </w:r>
      <w:r w:rsidRPr="008B3905">
        <w:rPr>
          <w:rFonts w:asciiTheme="minorHAnsi" w:hAnsiTheme="minorHAnsi" w:cstheme="minorHAnsi"/>
          <w:sz w:val="22"/>
        </w:rPr>
        <w:t xml:space="preserve"> </w:t>
      </w:r>
      <w:r w:rsidRPr="008B3905" w:rsidR="008A2E52">
        <w:rPr>
          <w:rFonts w:asciiTheme="minorHAnsi" w:hAnsiTheme="minorHAnsi" w:cstheme="minorHAnsi"/>
          <w:sz w:val="22"/>
        </w:rPr>
        <w:t>§</w:t>
      </w:r>
      <w:r w:rsidRPr="008B3905">
        <w:rPr>
          <w:rFonts w:asciiTheme="minorHAnsi" w:hAnsiTheme="minorHAnsi" w:cstheme="minorHAnsi"/>
          <w:sz w:val="22"/>
        </w:rPr>
        <w:t xml:space="preserve">6103.  </w:t>
      </w:r>
    </w:p>
    <w:p w:rsidR="00C337B5" w:rsidRPr="008B3905" w14:paraId="58761CEC"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C337B5" w:rsidRPr="008B3905" w:rsidP="00155C35" w14:paraId="46406D04" w14:textId="77777777">
      <w:pPr>
        <w:numPr>
          <w:ilvl w:val="0"/>
          <w:numId w:val="1"/>
        </w:numPr>
        <w:ind w:left="360" w:hanging="356"/>
        <w:rPr>
          <w:rFonts w:asciiTheme="minorHAnsi" w:hAnsiTheme="minorHAnsi" w:cstheme="minorHAnsi"/>
          <w:sz w:val="22"/>
        </w:rPr>
      </w:pPr>
      <w:r w:rsidRPr="008B3905">
        <w:rPr>
          <w:rFonts w:asciiTheme="minorHAnsi" w:hAnsiTheme="minorHAnsi" w:cstheme="minorHAnsi"/>
          <w:sz w:val="22"/>
        </w:rPr>
        <w:t xml:space="preserve">JUSTIFICATION OF SENSITIVE QUESTIONS </w:t>
      </w:r>
    </w:p>
    <w:p w:rsidR="00C337B5" w:rsidRPr="008B3905" w14:paraId="30A2FFC8"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C337B5" w:rsidRPr="008B3905" w:rsidP="00BC22F9" w14:paraId="783B6083" w14:textId="0B6438E6">
      <w:pPr>
        <w:ind w:left="360" w:firstLine="0"/>
        <w:rPr>
          <w:rFonts w:asciiTheme="minorHAnsi" w:hAnsiTheme="minorHAnsi" w:cstheme="minorHAnsi"/>
          <w:sz w:val="22"/>
        </w:rPr>
      </w:pPr>
      <w:r w:rsidRPr="008B3905">
        <w:rPr>
          <w:rFonts w:asciiTheme="minorHAnsi" w:hAnsiTheme="minorHAnsi" w:cstheme="minorHAnsi"/>
          <w:sz w:val="22"/>
        </w:rPr>
        <w:t xml:space="preserve">There is no Personally Identifiable Information (PII) collected. Therefore, this collection is not impacted by the Privacy Act and does not require a Privacy Impact Assessment (PIA) or System of Records Notice (SORN). </w:t>
      </w:r>
    </w:p>
    <w:p w:rsidR="00C337B5" w:rsidRPr="008B3905" w14:paraId="18F27F06"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C337B5" w:rsidRPr="008B3905" w:rsidP="00155C35" w14:paraId="29FFBF5B" w14:textId="77777777">
      <w:pPr>
        <w:numPr>
          <w:ilvl w:val="0"/>
          <w:numId w:val="1"/>
        </w:numPr>
        <w:ind w:left="360" w:hanging="356"/>
        <w:rPr>
          <w:rFonts w:asciiTheme="minorHAnsi" w:hAnsiTheme="minorHAnsi" w:cstheme="minorHAnsi"/>
          <w:sz w:val="22"/>
        </w:rPr>
      </w:pPr>
      <w:r w:rsidRPr="008B3905">
        <w:rPr>
          <w:rFonts w:asciiTheme="minorHAnsi" w:hAnsiTheme="minorHAnsi" w:cstheme="minorHAnsi"/>
          <w:sz w:val="22"/>
        </w:rPr>
        <w:t xml:space="preserve">ESTIMATED BURDEN OF INFORMATION COLLECTION </w:t>
      </w:r>
    </w:p>
    <w:p w:rsidR="00C337B5" w:rsidRPr="008B3905" w14:paraId="535CC60C" w14:textId="3448ADEF">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87300E" w:rsidRPr="008B3905" w:rsidP="00BC22F9" w14:paraId="024F6B07" w14:textId="48E98F70">
      <w:pPr>
        <w:spacing w:after="0" w:line="259" w:lineRule="auto"/>
        <w:ind w:left="360" w:firstLine="0"/>
        <w:rPr>
          <w:rFonts w:asciiTheme="minorHAnsi" w:hAnsiTheme="minorHAnsi" w:cstheme="minorHAnsi"/>
          <w:sz w:val="22"/>
        </w:rPr>
      </w:pPr>
      <w:r w:rsidRPr="008B3905">
        <w:rPr>
          <w:rFonts w:asciiTheme="minorHAnsi" w:hAnsiTheme="minorHAnsi" w:cstheme="minorHAnsi"/>
          <w:sz w:val="22"/>
        </w:rPr>
        <w:t xml:space="preserve">The collections of information required by this </w:t>
      </w:r>
      <w:r w:rsidRPr="008B3905" w:rsidR="00BD11BD">
        <w:rPr>
          <w:rFonts w:asciiTheme="minorHAnsi" w:hAnsiTheme="minorHAnsi" w:cstheme="minorHAnsi"/>
          <w:sz w:val="22"/>
        </w:rPr>
        <w:t xml:space="preserve">proposed </w:t>
      </w:r>
      <w:r w:rsidRPr="008B3905">
        <w:rPr>
          <w:rFonts w:asciiTheme="minorHAnsi" w:hAnsiTheme="minorHAnsi" w:cstheme="minorHAnsi"/>
          <w:sz w:val="22"/>
        </w:rPr>
        <w:t xml:space="preserve">regulation are in §§1.987-1(g), 1.987-9, and 1.987-10(k), as detailed in question 1 of the supporting statement.  </w:t>
      </w:r>
    </w:p>
    <w:p w:rsidR="0087300E" w:rsidRPr="008B3905" w:rsidP="00BC22F9" w14:paraId="0C324F96" w14:textId="77777777">
      <w:pPr>
        <w:spacing w:after="0" w:line="259" w:lineRule="auto"/>
        <w:ind w:left="360" w:firstLine="0"/>
        <w:rPr>
          <w:rFonts w:asciiTheme="minorHAnsi" w:hAnsiTheme="minorHAnsi" w:cstheme="minorHAnsi"/>
          <w:sz w:val="22"/>
        </w:rPr>
      </w:pPr>
    </w:p>
    <w:p w:rsidR="001435D1" w:rsidRPr="008B3905" w:rsidP="00BC22F9" w14:paraId="5B143CF7" w14:textId="138EE82D">
      <w:pPr>
        <w:spacing w:after="0" w:line="259" w:lineRule="auto"/>
        <w:ind w:left="360" w:firstLine="0"/>
        <w:rPr>
          <w:rFonts w:asciiTheme="minorHAnsi" w:hAnsiTheme="minorHAnsi" w:cstheme="minorHAnsi"/>
          <w:sz w:val="22"/>
        </w:rPr>
      </w:pPr>
      <w:r w:rsidRPr="008B3905">
        <w:rPr>
          <w:rFonts w:asciiTheme="minorHAnsi" w:hAnsiTheme="minorHAnsi" w:cstheme="minorHAnsi"/>
          <w:sz w:val="22"/>
        </w:rPr>
        <w:t xml:space="preserve">The likely respondents are individuals, businesses, and trust and estates.  </w:t>
      </w:r>
      <w:r w:rsidRPr="008B3905" w:rsidR="000D0DF4">
        <w:rPr>
          <w:rFonts w:asciiTheme="minorHAnsi" w:hAnsiTheme="minorHAnsi" w:cstheme="minorHAnsi"/>
          <w:sz w:val="22"/>
        </w:rPr>
        <w:t xml:space="preserve">Based on information from the IRS Research, Applied Analytics, and Statistics (RAAS) division, </w:t>
      </w:r>
      <w:r w:rsidRPr="008B3905">
        <w:rPr>
          <w:rFonts w:asciiTheme="minorHAnsi" w:hAnsiTheme="minorHAnsi" w:cstheme="minorHAnsi"/>
          <w:sz w:val="22"/>
        </w:rPr>
        <w:t>IRS anticipates that the total number of respondents could be 500 and anticipates that less than 1% of the total respondents would be trust or estate filer</w:t>
      </w:r>
      <w:r w:rsidRPr="008B3905" w:rsidR="0087300E">
        <w:rPr>
          <w:rFonts w:asciiTheme="minorHAnsi" w:hAnsiTheme="minorHAnsi" w:cstheme="minorHAnsi"/>
          <w:sz w:val="22"/>
        </w:rPr>
        <w:t>s</w:t>
      </w:r>
      <w:r w:rsidRPr="008B3905">
        <w:rPr>
          <w:rFonts w:asciiTheme="minorHAnsi" w:hAnsiTheme="minorHAnsi" w:cstheme="minorHAnsi"/>
          <w:sz w:val="22"/>
        </w:rPr>
        <w:t>.</w:t>
      </w:r>
      <w:r w:rsidRPr="008B3905">
        <w:rPr>
          <w:rFonts w:eastAsia="MS Gothic" w:asciiTheme="minorHAnsi" w:hAnsiTheme="minorHAnsi" w:cstheme="minorHAnsi"/>
          <w:sz w:val="22"/>
        </w:rPr>
        <w:t xml:space="preserve"> </w:t>
      </w:r>
      <w:r w:rsidRPr="008B3905" w:rsidR="0087300E">
        <w:rPr>
          <w:rFonts w:asciiTheme="minorHAnsi" w:hAnsiTheme="minorHAnsi" w:cstheme="minorHAnsi"/>
          <w:sz w:val="22"/>
        </w:rPr>
        <w:t xml:space="preserve"> </w:t>
      </w:r>
      <w:r w:rsidRPr="008B3905" w:rsidR="000D0DF4">
        <w:rPr>
          <w:rFonts w:asciiTheme="minorHAnsi" w:hAnsiTheme="minorHAnsi" w:cstheme="minorHAnsi"/>
          <w:sz w:val="22"/>
        </w:rPr>
        <w:t>T</w:t>
      </w:r>
      <w:r w:rsidRPr="008B3905" w:rsidR="00000A81">
        <w:rPr>
          <w:rFonts w:asciiTheme="minorHAnsi" w:hAnsiTheme="minorHAnsi" w:cstheme="minorHAnsi"/>
          <w:sz w:val="22"/>
        </w:rPr>
        <w:t>he estimated number of respondents is based on the number of taxpayers who filed a Form 8858 in 2021 that showed that the filer: (1) owned at least one disregarded entity or branch with a functional currency different from the functional currency of the</w:t>
      </w:r>
      <w:r w:rsidRPr="008B3905" w:rsidR="00BD11BD">
        <w:rPr>
          <w:rFonts w:asciiTheme="minorHAnsi" w:hAnsiTheme="minorHAnsi" w:cstheme="minorHAnsi"/>
          <w:sz w:val="22"/>
        </w:rPr>
        <w:t xml:space="preserve"> tax</w:t>
      </w:r>
      <w:r w:rsidRPr="008B3905" w:rsidR="00000A81">
        <w:rPr>
          <w:rFonts w:asciiTheme="minorHAnsi" w:hAnsiTheme="minorHAnsi" w:cstheme="minorHAnsi"/>
          <w:sz w:val="22"/>
        </w:rPr>
        <w:t xml:space="preserve"> owner, and (2) indicated that the disregarded entity was a section 989 QBU.  </w:t>
      </w:r>
      <w:r w:rsidRPr="008B3905">
        <w:rPr>
          <w:rFonts w:asciiTheme="minorHAnsi" w:hAnsiTheme="minorHAnsi" w:cstheme="minorHAnsi"/>
          <w:sz w:val="22"/>
        </w:rPr>
        <w:t xml:space="preserve"> </w:t>
      </w:r>
    </w:p>
    <w:p w:rsidR="00FD4D13" w:rsidRPr="008B3905" w:rsidP="00BC22F9" w14:paraId="37EA630E" w14:textId="388457EB">
      <w:pPr>
        <w:spacing w:after="0" w:line="259" w:lineRule="auto"/>
        <w:ind w:left="360" w:firstLine="0"/>
        <w:rPr>
          <w:rFonts w:asciiTheme="minorHAnsi" w:hAnsiTheme="minorHAnsi" w:cstheme="minorHAnsi"/>
          <w:sz w:val="22"/>
        </w:rPr>
      </w:pPr>
    </w:p>
    <w:p w:rsidR="00FD4D13" w:rsidRPr="008B3905" w:rsidP="00BC22F9" w14:paraId="482D9595" w14:textId="174F734E">
      <w:pPr>
        <w:spacing w:after="0" w:line="259" w:lineRule="auto"/>
        <w:ind w:left="360" w:firstLine="0"/>
        <w:rPr>
          <w:rFonts w:asciiTheme="minorHAnsi" w:hAnsiTheme="minorHAnsi" w:cstheme="minorHAnsi"/>
          <w:sz w:val="22"/>
        </w:rPr>
      </w:pPr>
      <w:r w:rsidRPr="008B3905">
        <w:rPr>
          <w:rFonts w:asciiTheme="minorHAnsi" w:hAnsiTheme="minorHAnsi" w:cstheme="minorHAnsi"/>
          <w:sz w:val="22"/>
        </w:rPr>
        <w:t xml:space="preserve">The burden for individuals is approved under 1545-0074 and </w:t>
      </w:r>
      <w:r w:rsidRPr="008B3905" w:rsidR="00823CE7">
        <w:rPr>
          <w:rFonts w:asciiTheme="minorHAnsi" w:hAnsiTheme="minorHAnsi" w:cstheme="minorHAnsi"/>
          <w:sz w:val="22"/>
        </w:rPr>
        <w:t xml:space="preserve">for </w:t>
      </w:r>
      <w:r w:rsidRPr="008B3905">
        <w:rPr>
          <w:rFonts w:asciiTheme="minorHAnsi" w:hAnsiTheme="minorHAnsi" w:cstheme="minorHAnsi"/>
          <w:sz w:val="22"/>
        </w:rPr>
        <w:t>businesses is approved under 1545-0123.  The</w:t>
      </w:r>
      <w:r w:rsidRPr="008B3905" w:rsidR="000D0DF4">
        <w:rPr>
          <w:rFonts w:asciiTheme="minorHAnsi" w:hAnsiTheme="minorHAnsi" w:cstheme="minorHAnsi"/>
          <w:sz w:val="22"/>
        </w:rPr>
        <w:t xml:space="preserve"> estimated</w:t>
      </w:r>
      <w:r w:rsidRPr="008B3905">
        <w:rPr>
          <w:rFonts w:asciiTheme="minorHAnsi" w:hAnsiTheme="minorHAnsi" w:cstheme="minorHAnsi"/>
          <w:sz w:val="22"/>
        </w:rPr>
        <w:t xml:space="preserve"> burden for </w:t>
      </w:r>
      <w:r w:rsidRPr="008B3905" w:rsidR="0087300E">
        <w:rPr>
          <w:rFonts w:asciiTheme="minorHAnsi" w:hAnsiTheme="minorHAnsi" w:cstheme="minorHAnsi"/>
          <w:sz w:val="22"/>
        </w:rPr>
        <w:t>the trust and estate filers</w:t>
      </w:r>
      <w:r w:rsidRPr="008B3905" w:rsidR="007C0C7D">
        <w:rPr>
          <w:rFonts w:asciiTheme="minorHAnsi" w:hAnsiTheme="minorHAnsi" w:cstheme="minorHAnsi"/>
          <w:sz w:val="22"/>
        </w:rPr>
        <w:t xml:space="preserve"> is 5 respondents with a total annual burden of </w:t>
      </w:r>
      <w:r w:rsidRPr="008B3905" w:rsidR="001D5396">
        <w:rPr>
          <w:rFonts w:asciiTheme="minorHAnsi" w:hAnsiTheme="minorHAnsi" w:cstheme="minorHAnsi"/>
          <w:sz w:val="22"/>
        </w:rPr>
        <w:t xml:space="preserve">29.25 </w:t>
      </w:r>
      <w:r w:rsidRPr="008B3905" w:rsidR="007C0C7D">
        <w:rPr>
          <w:rFonts w:asciiTheme="minorHAnsi" w:hAnsiTheme="minorHAnsi" w:cstheme="minorHAnsi"/>
          <w:sz w:val="22"/>
        </w:rPr>
        <w:t>hours</w:t>
      </w:r>
      <w:r w:rsidRPr="008B3905" w:rsidR="0087300E">
        <w:rPr>
          <w:rFonts w:asciiTheme="minorHAnsi" w:hAnsiTheme="minorHAnsi" w:cstheme="minorHAnsi"/>
          <w:sz w:val="22"/>
        </w:rPr>
        <w:t>.</w:t>
      </w:r>
    </w:p>
    <w:p w:rsidR="00FD4D13" w:rsidRPr="008B3905" w14:paraId="0229E063" w14:textId="139BC6F3">
      <w:pPr>
        <w:spacing w:after="0" w:line="259" w:lineRule="auto"/>
        <w:ind w:left="0" w:firstLine="0"/>
        <w:rPr>
          <w:rFonts w:asciiTheme="minorHAnsi" w:hAnsiTheme="minorHAnsi" w:cstheme="minorHAnsi"/>
          <w:sz w:val="22"/>
        </w:rPr>
      </w:pPr>
    </w:p>
    <w:p w:rsidR="0087300E" w:rsidRPr="008B3905" w14:paraId="5A2C24A1" w14:textId="75AA3D1A">
      <w:pPr>
        <w:spacing w:after="0" w:line="259" w:lineRule="auto"/>
        <w:ind w:left="0" w:firstLine="0"/>
        <w:rPr>
          <w:rFonts w:asciiTheme="minorHAnsi" w:hAnsiTheme="minorHAnsi" w:cstheme="minorHAnsi"/>
          <w:sz w:val="22"/>
        </w:rPr>
      </w:pP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6"/>
        <w:gridCol w:w="1483"/>
        <w:gridCol w:w="1372"/>
        <w:gridCol w:w="1172"/>
        <w:gridCol w:w="2617"/>
      </w:tblGrid>
      <w:tr w14:paraId="074B7D75" w14:textId="77777777" w:rsidTr="00E56477">
        <w:tblPrEx>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8"/>
          <w:jc w:val="center"/>
        </w:trPr>
        <w:tc>
          <w:tcPr>
            <w:tcW w:w="1726" w:type="dxa"/>
            <w:vAlign w:val="bottom"/>
          </w:tcPr>
          <w:p w:rsidR="001D5396" w:rsidRPr="00F175B3" w:rsidP="0087300E" w14:paraId="0A7FAE25" w14:textId="7459109A">
            <w:pPr>
              <w:keepNext/>
              <w:keepLines/>
              <w:numPr>
                <w:ilvl w:val="12"/>
                <w:numId w:val="0"/>
              </w:numPr>
              <w:ind w:right="-41"/>
              <w:jc w:val="center"/>
              <w:rPr>
                <w:b/>
                <w:bCs/>
                <w:szCs w:val="20"/>
              </w:rPr>
            </w:pPr>
            <w:r w:rsidRPr="00F175B3">
              <w:rPr>
                <w:b/>
                <w:bCs/>
                <w:szCs w:val="20"/>
              </w:rPr>
              <w:t>Applicable Regulations</w:t>
            </w:r>
          </w:p>
        </w:tc>
        <w:tc>
          <w:tcPr>
            <w:tcW w:w="1483" w:type="dxa"/>
            <w:vAlign w:val="bottom"/>
          </w:tcPr>
          <w:p w:rsidR="001D5396" w:rsidRPr="00F175B3" w:rsidP="0087300E" w14:paraId="5F4881F4" w14:textId="6DF6862C">
            <w:pPr>
              <w:keepNext/>
              <w:keepLines/>
              <w:numPr>
                <w:ilvl w:val="12"/>
                <w:numId w:val="0"/>
              </w:numPr>
              <w:jc w:val="center"/>
              <w:rPr>
                <w:b/>
                <w:bCs/>
                <w:szCs w:val="20"/>
              </w:rPr>
            </w:pPr>
            <w:r w:rsidRPr="00F175B3">
              <w:rPr>
                <w:b/>
                <w:bCs/>
                <w:szCs w:val="20"/>
              </w:rPr>
              <w:t>Number of Respondents</w:t>
            </w:r>
          </w:p>
        </w:tc>
        <w:tc>
          <w:tcPr>
            <w:tcW w:w="1372" w:type="dxa"/>
            <w:vAlign w:val="bottom"/>
          </w:tcPr>
          <w:p w:rsidR="001D5396" w:rsidRPr="00F175B3" w:rsidP="0087300E" w14:paraId="7BAE5689" w14:textId="27AFD03A">
            <w:pPr>
              <w:keepNext/>
              <w:keepLines/>
              <w:numPr>
                <w:ilvl w:val="12"/>
                <w:numId w:val="0"/>
              </w:numPr>
              <w:jc w:val="center"/>
              <w:rPr>
                <w:b/>
                <w:bCs/>
                <w:szCs w:val="20"/>
              </w:rPr>
            </w:pPr>
            <w:r w:rsidRPr="00F175B3">
              <w:rPr>
                <w:b/>
                <w:bCs/>
                <w:szCs w:val="20"/>
              </w:rPr>
              <w:t xml:space="preserve"># Responses per Respondent </w:t>
            </w:r>
          </w:p>
        </w:tc>
        <w:tc>
          <w:tcPr>
            <w:tcW w:w="1172" w:type="dxa"/>
            <w:vAlign w:val="bottom"/>
          </w:tcPr>
          <w:p w:rsidR="001D5396" w:rsidRPr="00F175B3" w:rsidP="0087300E" w14:paraId="6A3AD15C" w14:textId="77777777">
            <w:pPr>
              <w:keepNext/>
              <w:keepLines/>
              <w:numPr>
                <w:ilvl w:val="12"/>
                <w:numId w:val="0"/>
              </w:numPr>
              <w:jc w:val="center"/>
              <w:rPr>
                <w:b/>
                <w:bCs/>
                <w:szCs w:val="20"/>
              </w:rPr>
            </w:pPr>
            <w:r w:rsidRPr="00F175B3">
              <w:rPr>
                <w:b/>
                <w:bCs/>
                <w:szCs w:val="20"/>
              </w:rPr>
              <w:t>Hours per Response</w:t>
            </w:r>
          </w:p>
        </w:tc>
        <w:tc>
          <w:tcPr>
            <w:tcW w:w="2617" w:type="dxa"/>
            <w:vAlign w:val="bottom"/>
          </w:tcPr>
          <w:p w:rsidR="001D5396" w:rsidRPr="00F175B3" w:rsidP="0087300E" w14:paraId="6D7E9F8B" w14:textId="38786979">
            <w:pPr>
              <w:keepNext/>
              <w:keepLines/>
              <w:numPr>
                <w:ilvl w:val="12"/>
                <w:numId w:val="0"/>
              </w:numPr>
              <w:jc w:val="center"/>
              <w:rPr>
                <w:b/>
                <w:bCs/>
                <w:szCs w:val="20"/>
              </w:rPr>
            </w:pPr>
            <w:r w:rsidRPr="00F175B3">
              <w:rPr>
                <w:b/>
                <w:bCs/>
                <w:szCs w:val="20"/>
              </w:rPr>
              <w:t xml:space="preserve">Total </w:t>
            </w:r>
            <w:r w:rsidRPr="00F175B3" w:rsidR="00823CE7">
              <w:rPr>
                <w:b/>
                <w:bCs/>
                <w:szCs w:val="20"/>
              </w:rPr>
              <w:t xml:space="preserve">Annual </w:t>
            </w:r>
            <w:r w:rsidRPr="00F175B3">
              <w:rPr>
                <w:b/>
                <w:bCs/>
                <w:szCs w:val="20"/>
              </w:rPr>
              <w:t>Burden</w:t>
            </w:r>
          </w:p>
        </w:tc>
      </w:tr>
      <w:tr w14:paraId="026A7357" w14:textId="77777777" w:rsidTr="00E56477">
        <w:tblPrEx>
          <w:tblW w:w="8370" w:type="dxa"/>
          <w:jc w:val="center"/>
          <w:tblLook w:val="04A0"/>
        </w:tblPrEx>
        <w:trPr>
          <w:trHeight w:val="229"/>
          <w:jc w:val="center"/>
        </w:trPr>
        <w:tc>
          <w:tcPr>
            <w:tcW w:w="1726" w:type="dxa"/>
            <w:vAlign w:val="bottom"/>
          </w:tcPr>
          <w:p w:rsidR="001D5396" w:rsidRPr="00F175B3" w:rsidP="0087300E" w14:paraId="7618A859" w14:textId="45CFE371">
            <w:pPr>
              <w:keepNext/>
              <w:keepLines/>
              <w:numPr>
                <w:ilvl w:val="12"/>
                <w:numId w:val="0"/>
              </w:numPr>
              <w:jc w:val="center"/>
              <w:rPr>
                <w:szCs w:val="20"/>
              </w:rPr>
            </w:pPr>
            <w:r w:rsidRPr="00F175B3">
              <w:rPr>
                <w:szCs w:val="20"/>
              </w:rPr>
              <w:t xml:space="preserve">1.987-1(g) </w:t>
            </w:r>
          </w:p>
        </w:tc>
        <w:tc>
          <w:tcPr>
            <w:tcW w:w="1483" w:type="dxa"/>
            <w:vAlign w:val="bottom"/>
          </w:tcPr>
          <w:p w:rsidR="001D5396" w:rsidRPr="00F175B3" w:rsidP="0087300E" w14:paraId="2AFF5D0A" w14:textId="4B19EA9A">
            <w:pPr>
              <w:keepNext/>
              <w:keepLines/>
              <w:numPr>
                <w:ilvl w:val="12"/>
                <w:numId w:val="0"/>
              </w:numPr>
              <w:jc w:val="center"/>
              <w:rPr>
                <w:szCs w:val="20"/>
              </w:rPr>
            </w:pPr>
            <w:r w:rsidRPr="00F175B3">
              <w:rPr>
                <w:szCs w:val="20"/>
              </w:rPr>
              <w:t>5</w:t>
            </w:r>
          </w:p>
        </w:tc>
        <w:tc>
          <w:tcPr>
            <w:tcW w:w="1372" w:type="dxa"/>
            <w:vAlign w:val="bottom"/>
          </w:tcPr>
          <w:p w:rsidR="001D5396" w:rsidRPr="00F175B3" w:rsidP="0087300E" w14:paraId="21A1021B" w14:textId="77777777">
            <w:pPr>
              <w:keepNext/>
              <w:keepLines/>
              <w:numPr>
                <w:ilvl w:val="12"/>
                <w:numId w:val="0"/>
              </w:numPr>
              <w:jc w:val="center"/>
              <w:rPr>
                <w:szCs w:val="20"/>
              </w:rPr>
            </w:pPr>
            <w:r w:rsidRPr="00F175B3">
              <w:rPr>
                <w:szCs w:val="20"/>
              </w:rPr>
              <w:t>1</w:t>
            </w:r>
          </w:p>
        </w:tc>
        <w:tc>
          <w:tcPr>
            <w:tcW w:w="1172" w:type="dxa"/>
            <w:vAlign w:val="bottom"/>
          </w:tcPr>
          <w:p w:rsidR="001D5396" w:rsidRPr="00F175B3" w:rsidP="0087300E" w14:paraId="38DA8580" w14:textId="77777777">
            <w:pPr>
              <w:keepNext/>
              <w:keepLines/>
              <w:numPr>
                <w:ilvl w:val="12"/>
                <w:numId w:val="0"/>
              </w:numPr>
              <w:jc w:val="center"/>
              <w:rPr>
                <w:szCs w:val="20"/>
              </w:rPr>
            </w:pPr>
            <w:r w:rsidRPr="00F175B3">
              <w:rPr>
                <w:szCs w:val="20"/>
              </w:rPr>
              <w:t>1.95</w:t>
            </w:r>
          </w:p>
        </w:tc>
        <w:tc>
          <w:tcPr>
            <w:tcW w:w="2617" w:type="dxa"/>
            <w:vAlign w:val="bottom"/>
          </w:tcPr>
          <w:p w:rsidR="001D5396" w:rsidRPr="00F175B3" w:rsidP="0087300E" w14:paraId="3240421D" w14:textId="4AE22B0D">
            <w:pPr>
              <w:keepNext/>
              <w:keepLines/>
              <w:numPr>
                <w:ilvl w:val="12"/>
                <w:numId w:val="0"/>
              </w:numPr>
              <w:jc w:val="center"/>
              <w:rPr>
                <w:szCs w:val="20"/>
              </w:rPr>
            </w:pPr>
            <w:r w:rsidRPr="00F175B3">
              <w:rPr>
                <w:szCs w:val="20"/>
              </w:rPr>
              <w:t>9.75</w:t>
            </w:r>
          </w:p>
        </w:tc>
      </w:tr>
      <w:tr w14:paraId="09463E63" w14:textId="77777777" w:rsidTr="00E56477">
        <w:tblPrEx>
          <w:tblW w:w="8370" w:type="dxa"/>
          <w:jc w:val="center"/>
          <w:tblLook w:val="04A0"/>
        </w:tblPrEx>
        <w:trPr>
          <w:trHeight w:val="229"/>
          <w:jc w:val="center"/>
        </w:trPr>
        <w:tc>
          <w:tcPr>
            <w:tcW w:w="1726" w:type="dxa"/>
            <w:vAlign w:val="bottom"/>
          </w:tcPr>
          <w:p w:rsidR="001D5396" w:rsidRPr="00F175B3" w:rsidP="0087300E" w14:paraId="48D7898D" w14:textId="5914E351">
            <w:pPr>
              <w:keepNext/>
              <w:keepLines/>
              <w:numPr>
                <w:ilvl w:val="12"/>
                <w:numId w:val="0"/>
              </w:numPr>
              <w:jc w:val="center"/>
              <w:rPr>
                <w:szCs w:val="20"/>
              </w:rPr>
            </w:pPr>
            <w:r w:rsidRPr="00F175B3">
              <w:rPr>
                <w:szCs w:val="20"/>
              </w:rPr>
              <w:t>§1.987-9</w:t>
            </w:r>
          </w:p>
        </w:tc>
        <w:tc>
          <w:tcPr>
            <w:tcW w:w="1483" w:type="dxa"/>
            <w:vAlign w:val="bottom"/>
          </w:tcPr>
          <w:p w:rsidR="001D5396" w:rsidRPr="00F175B3" w:rsidP="0087300E" w14:paraId="0FC4C1DE" w14:textId="1C607A0C">
            <w:pPr>
              <w:keepNext/>
              <w:keepLines/>
              <w:numPr>
                <w:ilvl w:val="12"/>
                <w:numId w:val="0"/>
              </w:numPr>
              <w:jc w:val="center"/>
              <w:rPr>
                <w:szCs w:val="20"/>
              </w:rPr>
            </w:pPr>
            <w:r w:rsidRPr="00F175B3">
              <w:rPr>
                <w:szCs w:val="20"/>
              </w:rPr>
              <w:t>5</w:t>
            </w:r>
          </w:p>
        </w:tc>
        <w:tc>
          <w:tcPr>
            <w:tcW w:w="1372" w:type="dxa"/>
            <w:vAlign w:val="bottom"/>
          </w:tcPr>
          <w:p w:rsidR="001D5396" w:rsidRPr="00F175B3" w:rsidP="0087300E" w14:paraId="0A4E0B63" w14:textId="77777777">
            <w:pPr>
              <w:keepNext/>
              <w:keepLines/>
              <w:numPr>
                <w:ilvl w:val="12"/>
                <w:numId w:val="0"/>
              </w:numPr>
              <w:jc w:val="center"/>
              <w:rPr>
                <w:szCs w:val="20"/>
              </w:rPr>
            </w:pPr>
            <w:r w:rsidRPr="00F175B3">
              <w:rPr>
                <w:szCs w:val="20"/>
              </w:rPr>
              <w:t>1</w:t>
            </w:r>
          </w:p>
        </w:tc>
        <w:tc>
          <w:tcPr>
            <w:tcW w:w="1172" w:type="dxa"/>
            <w:vAlign w:val="bottom"/>
          </w:tcPr>
          <w:p w:rsidR="001D5396" w:rsidRPr="00F175B3" w:rsidP="0087300E" w14:paraId="6F178F1B" w14:textId="77777777">
            <w:pPr>
              <w:keepNext/>
              <w:keepLines/>
              <w:numPr>
                <w:ilvl w:val="12"/>
                <w:numId w:val="0"/>
              </w:numPr>
              <w:jc w:val="center"/>
              <w:rPr>
                <w:szCs w:val="20"/>
              </w:rPr>
            </w:pPr>
            <w:r w:rsidRPr="00F175B3">
              <w:rPr>
                <w:szCs w:val="20"/>
              </w:rPr>
              <w:t>1.95</w:t>
            </w:r>
          </w:p>
        </w:tc>
        <w:tc>
          <w:tcPr>
            <w:tcW w:w="2617" w:type="dxa"/>
            <w:vAlign w:val="bottom"/>
          </w:tcPr>
          <w:p w:rsidR="001D5396" w:rsidRPr="00F175B3" w:rsidP="0087300E" w14:paraId="75D9FD36" w14:textId="13FB93ED">
            <w:pPr>
              <w:keepNext/>
              <w:keepLines/>
              <w:numPr>
                <w:ilvl w:val="12"/>
                <w:numId w:val="0"/>
              </w:numPr>
              <w:jc w:val="center"/>
              <w:rPr>
                <w:szCs w:val="20"/>
              </w:rPr>
            </w:pPr>
            <w:r w:rsidRPr="00F175B3">
              <w:rPr>
                <w:szCs w:val="20"/>
              </w:rPr>
              <w:t>9.75</w:t>
            </w:r>
          </w:p>
        </w:tc>
      </w:tr>
      <w:tr w14:paraId="6B87273B" w14:textId="77777777" w:rsidTr="00E56477">
        <w:tblPrEx>
          <w:tblW w:w="8370" w:type="dxa"/>
          <w:jc w:val="center"/>
          <w:tblLook w:val="04A0"/>
        </w:tblPrEx>
        <w:trPr>
          <w:trHeight w:val="229"/>
          <w:jc w:val="center"/>
        </w:trPr>
        <w:tc>
          <w:tcPr>
            <w:tcW w:w="1726" w:type="dxa"/>
            <w:vAlign w:val="bottom"/>
          </w:tcPr>
          <w:p w:rsidR="001D5396" w:rsidRPr="00F175B3" w:rsidP="0087300E" w14:paraId="66D42099" w14:textId="116183C7">
            <w:pPr>
              <w:keepNext/>
              <w:keepLines/>
              <w:numPr>
                <w:ilvl w:val="12"/>
                <w:numId w:val="0"/>
              </w:numPr>
              <w:jc w:val="center"/>
              <w:rPr>
                <w:szCs w:val="20"/>
              </w:rPr>
            </w:pPr>
            <w:r w:rsidRPr="00F175B3">
              <w:rPr>
                <w:szCs w:val="20"/>
              </w:rPr>
              <w:t>§1.987-10(k)</w:t>
            </w:r>
          </w:p>
        </w:tc>
        <w:tc>
          <w:tcPr>
            <w:tcW w:w="1483" w:type="dxa"/>
            <w:vAlign w:val="bottom"/>
          </w:tcPr>
          <w:p w:rsidR="001D5396" w:rsidRPr="00F175B3" w:rsidP="0087300E" w14:paraId="72F3761B" w14:textId="6A4E925E">
            <w:pPr>
              <w:keepNext/>
              <w:keepLines/>
              <w:numPr>
                <w:ilvl w:val="12"/>
                <w:numId w:val="0"/>
              </w:numPr>
              <w:jc w:val="center"/>
              <w:rPr>
                <w:szCs w:val="20"/>
              </w:rPr>
            </w:pPr>
            <w:r w:rsidRPr="00F175B3">
              <w:rPr>
                <w:szCs w:val="20"/>
              </w:rPr>
              <w:t>5</w:t>
            </w:r>
          </w:p>
        </w:tc>
        <w:tc>
          <w:tcPr>
            <w:tcW w:w="1372" w:type="dxa"/>
            <w:vAlign w:val="bottom"/>
          </w:tcPr>
          <w:p w:rsidR="001D5396" w:rsidRPr="00F175B3" w:rsidP="0087300E" w14:paraId="0106D290" w14:textId="77777777">
            <w:pPr>
              <w:keepNext/>
              <w:keepLines/>
              <w:numPr>
                <w:ilvl w:val="12"/>
                <w:numId w:val="0"/>
              </w:numPr>
              <w:jc w:val="center"/>
              <w:rPr>
                <w:szCs w:val="20"/>
              </w:rPr>
            </w:pPr>
            <w:r w:rsidRPr="00F175B3">
              <w:rPr>
                <w:szCs w:val="20"/>
              </w:rPr>
              <w:t>1</w:t>
            </w:r>
          </w:p>
        </w:tc>
        <w:tc>
          <w:tcPr>
            <w:tcW w:w="1172" w:type="dxa"/>
            <w:vAlign w:val="bottom"/>
          </w:tcPr>
          <w:p w:rsidR="001D5396" w:rsidRPr="00F175B3" w:rsidP="0087300E" w14:paraId="7DC88F63" w14:textId="77777777">
            <w:pPr>
              <w:keepNext/>
              <w:keepLines/>
              <w:numPr>
                <w:ilvl w:val="12"/>
                <w:numId w:val="0"/>
              </w:numPr>
              <w:jc w:val="center"/>
              <w:rPr>
                <w:szCs w:val="20"/>
              </w:rPr>
            </w:pPr>
            <w:r w:rsidRPr="00F175B3">
              <w:rPr>
                <w:szCs w:val="20"/>
              </w:rPr>
              <w:t>1.95</w:t>
            </w:r>
          </w:p>
        </w:tc>
        <w:tc>
          <w:tcPr>
            <w:tcW w:w="2617" w:type="dxa"/>
            <w:vAlign w:val="bottom"/>
          </w:tcPr>
          <w:p w:rsidR="001D5396" w:rsidRPr="00F175B3" w:rsidP="0087300E" w14:paraId="1231C833" w14:textId="20BC89AF">
            <w:pPr>
              <w:keepNext/>
              <w:keepLines/>
              <w:numPr>
                <w:ilvl w:val="12"/>
                <w:numId w:val="0"/>
              </w:numPr>
              <w:jc w:val="center"/>
              <w:rPr>
                <w:szCs w:val="20"/>
              </w:rPr>
            </w:pPr>
            <w:r w:rsidRPr="00F175B3">
              <w:rPr>
                <w:szCs w:val="20"/>
              </w:rPr>
              <w:t>9.75</w:t>
            </w:r>
          </w:p>
        </w:tc>
      </w:tr>
      <w:tr w14:paraId="02992D0D" w14:textId="77777777" w:rsidTr="00E56477">
        <w:tblPrEx>
          <w:tblW w:w="8370" w:type="dxa"/>
          <w:jc w:val="center"/>
          <w:tblLook w:val="04A0"/>
        </w:tblPrEx>
        <w:trPr>
          <w:trHeight w:val="218"/>
          <w:jc w:val="center"/>
        </w:trPr>
        <w:tc>
          <w:tcPr>
            <w:tcW w:w="1726" w:type="dxa"/>
            <w:vAlign w:val="bottom"/>
          </w:tcPr>
          <w:p w:rsidR="001D5396" w:rsidRPr="00F175B3" w:rsidP="0087300E" w14:paraId="3AF8EEDB" w14:textId="77777777">
            <w:pPr>
              <w:keepNext/>
              <w:keepLines/>
              <w:numPr>
                <w:ilvl w:val="12"/>
                <w:numId w:val="0"/>
              </w:numPr>
              <w:jc w:val="center"/>
              <w:rPr>
                <w:b/>
                <w:bCs/>
                <w:szCs w:val="20"/>
              </w:rPr>
            </w:pPr>
            <w:r w:rsidRPr="00F175B3">
              <w:rPr>
                <w:b/>
                <w:bCs/>
                <w:szCs w:val="20"/>
              </w:rPr>
              <w:t>Totals</w:t>
            </w:r>
          </w:p>
        </w:tc>
        <w:tc>
          <w:tcPr>
            <w:tcW w:w="1483" w:type="dxa"/>
            <w:vAlign w:val="bottom"/>
          </w:tcPr>
          <w:p w:rsidR="001D5396" w:rsidRPr="00F175B3" w:rsidP="0087300E" w14:paraId="7AF01B1A" w14:textId="77777777">
            <w:pPr>
              <w:keepNext/>
              <w:keepLines/>
              <w:numPr>
                <w:ilvl w:val="12"/>
                <w:numId w:val="0"/>
              </w:numPr>
              <w:jc w:val="center"/>
              <w:rPr>
                <w:b/>
                <w:bCs/>
                <w:szCs w:val="20"/>
              </w:rPr>
            </w:pPr>
          </w:p>
        </w:tc>
        <w:tc>
          <w:tcPr>
            <w:tcW w:w="1372" w:type="dxa"/>
            <w:vAlign w:val="bottom"/>
          </w:tcPr>
          <w:p w:rsidR="001D5396" w:rsidRPr="00F175B3" w:rsidP="0087300E" w14:paraId="684CA296" w14:textId="77777777">
            <w:pPr>
              <w:keepNext/>
              <w:keepLines/>
              <w:numPr>
                <w:ilvl w:val="12"/>
                <w:numId w:val="0"/>
              </w:numPr>
              <w:jc w:val="center"/>
              <w:rPr>
                <w:b/>
                <w:bCs/>
                <w:szCs w:val="20"/>
              </w:rPr>
            </w:pPr>
            <w:r w:rsidRPr="00F175B3">
              <w:rPr>
                <w:b/>
                <w:bCs/>
                <w:szCs w:val="20"/>
              </w:rPr>
              <w:t>3</w:t>
            </w:r>
          </w:p>
        </w:tc>
        <w:tc>
          <w:tcPr>
            <w:tcW w:w="1172" w:type="dxa"/>
            <w:vAlign w:val="bottom"/>
          </w:tcPr>
          <w:p w:rsidR="001D5396" w:rsidRPr="00F175B3" w:rsidP="0087300E" w14:paraId="5F06554B" w14:textId="3F455179">
            <w:pPr>
              <w:keepNext/>
              <w:keepLines/>
              <w:numPr>
                <w:ilvl w:val="12"/>
                <w:numId w:val="0"/>
              </w:numPr>
              <w:jc w:val="center"/>
              <w:rPr>
                <w:b/>
                <w:bCs/>
                <w:szCs w:val="20"/>
              </w:rPr>
            </w:pPr>
            <w:r w:rsidRPr="00F175B3">
              <w:rPr>
                <w:b/>
                <w:bCs/>
                <w:szCs w:val="20"/>
              </w:rPr>
              <w:t>5.85</w:t>
            </w:r>
          </w:p>
        </w:tc>
        <w:tc>
          <w:tcPr>
            <w:tcW w:w="2617" w:type="dxa"/>
            <w:vAlign w:val="bottom"/>
          </w:tcPr>
          <w:p w:rsidR="001D5396" w:rsidRPr="00F175B3" w:rsidP="0087300E" w14:paraId="1103014E" w14:textId="7AC4661A">
            <w:pPr>
              <w:keepNext/>
              <w:keepLines/>
              <w:numPr>
                <w:ilvl w:val="12"/>
                <w:numId w:val="0"/>
              </w:numPr>
              <w:jc w:val="center"/>
              <w:rPr>
                <w:b/>
                <w:bCs/>
                <w:szCs w:val="20"/>
              </w:rPr>
            </w:pPr>
            <w:r w:rsidRPr="00F175B3">
              <w:rPr>
                <w:b/>
                <w:bCs/>
                <w:szCs w:val="20"/>
              </w:rPr>
              <w:t>29.25</w:t>
            </w:r>
          </w:p>
        </w:tc>
      </w:tr>
    </w:tbl>
    <w:p w:rsidR="00101E3C" w:rsidRPr="00F175B3" w14:paraId="3CC5AFE5" w14:textId="77777777">
      <w:pPr>
        <w:spacing w:after="0" w:line="259" w:lineRule="auto"/>
        <w:ind w:left="0" w:firstLine="0"/>
        <w:rPr>
          <w:szCs w:val="20"/>
        </w:rPr>
      </w:pPr>
    </w:p>
    <w:p w:rsidR="00E242B1" w:rsidRPr="008B3905" w:rsidP="00AF7DE7" w14:paraId="62290C59" w14:textId="68F7D5DF">
      <w:pPr>
        <w:ind w:left="14"/>
        <w:rPr>
          <w:rFonts w:asciiTheme="minorHAnsi" w:hAnsiTheme="minorHAnsi" w:cstheme="minorHAnsi"/>
          <w:sz w:val="22"/>
          <w:highlight w:val="yellow"/>
        </w:rPr>
      </w:pPr>
    </w:p>
    <w:p w:rsidR="00C337B5" w:rsidRPr="008B3905" w14:paraId="1E3A652C"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C337B5" w:rsidRPr="008B3905" w:rsidP="00155C35" w14:paraId="4147FA36" w14:textId="77777777">
      <w:pPr>
        <w:numPr>
          <w:ilvl w:val="0"/>
          <w:numId w:val="1"/>
        </w:numPr>
        <w:ind w:left="360" w:hanging="356"/>
        <w:rPr>
          <w:rFonts w:asciiTheme="minorHAnsi" w:hAnsiTheme="minorHAnsi" w:cstheme="minorHAnsi"/>
          <w:sz w:val="22"/>
        </w:rPr>
      </w:pPr>
      <w:r w:rsidRPr="008B3905">
        <w:rPr>
          <w:rFonts w:asciiTheme="minorHAnsi" w:hAnsiTheme="minorHAnsi" w:cstheme="minorHAnsi"/>
          <w:sz w:val="22"/>
        </w:rPr>
        <w:t xml:space="preserve">ESTIMATED TOTAL ANNUAL COST BURDEN TO RESPONDENTS </w:t>
      </w:r>
    </w:p>
    <w:p w:rsidR="00C337B5" w:rsidRPr="008B3905" w14:paraId="0156D06C"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E242B1" w:rsidRPr="008B3905" w:rsidP="00BC22F9" w14:paraId="0DE93BE4" w14:textId="670182C2">
      <w:pPr>
        <w:ind w:left="360"/>
        <w:rPr>
          <w:rFonts w:asciiTheme="minorHAnsi" w:hAnsiTheme="minorHAnsi" w:cstheme="minorHAnsi"/>
          <w:sz w:val="22"/>
        </w:rPr>
      </w:pPr>
      <w:r w:rsidRPr="008B3905">
        <w:rPr>
          <w:rFonts w:asciiTheme="minorHAnsi" w:hAnsiTheme="minorHAnsi" w:cstheme="minorHAnsi"/>
          <w:sz w:val="22"/>
        </w:rPr>
        <w:t xml:space="preserve">IRS estimates that taxpayers will use an accountant to assist with completing the collection requirements.  </w:t>
      </w:r>
      <w:r w:rsidRPr="008B3905">
        <w:rPr>
          <w:rFonts w:asciiTheme="minorHAnsi" w:hAnsiTheme="minorHAnsi" w:cstheme="minorHAnsi"/>
          <w:sz w:val="22"/>
        </w:rPr>
        <w:t>At an estimated cost of $</w:t>
      </w:r>
      <w:r w:rsidRPr="008B3905" w:rsidR="008F670C">
        <w:rPr>
          <w:rFonts w:asciiTheme="minorHAnsi" w:hAnsiTheme="minorHAnsi" w:cstheme="minorHAnsi"/>
          <w:sz w:val="22"/>
        </w:rPr>
        <w:t>60.41</w:t>
      </w:r>
      <w:r>
        <w:rPr>
          <w:rStyle w:val="FootnoteReference"/>
          <w:rFonts w:asciiTheme="minorHAnsi" w:hAnsiTheme="minorHAnsi" w:cstheme="minorHAnsi"/>
          <w:sz w:val="22"/>
        </w:rPr>
        <w:footnoteReference w:id="2"/>
      </w:r>
      <w:r w:rsidRPr="008B3905">
        <w:rPr>
          <w:rFonts w:asciiTheme="minorHAnsi" w:hAnsiTheme="minorHAnsi" w:cstheme="minorHAnsi"/>
          <w:sz w:val="22"/>
        </w:rPr>
        <w:t xml:space="preserve"> per hour for reporting and recordkeeping, the estimated </w:t>
      </w:r>
      <w:r w:rsidRPr="008B3905" w:rsidR="008F670C">
        <w:rPr>
          <w:rFonts w:asciiTheme="minorHAnsi" w:hAnsiTheme="minorHAnsi" w:cstheme="minorHAnsi"/>
          <w:sz w:val="22"/>
        </w:rPr>
        <w:t xml:space="preserve">out-of-pocket </w:t>
      </w:r>
      <w:r w:rsidRPr="008B3905">
        <w:rPr>
          <w:rFonts w:asciiTheme="minorHAnsi" w:hAnsiTheme="minorHAnsi" w:cstheme="minorHAnsi"/>
          <w:sz w:val="22"/>
        </w:rPr>
        <w:t>cost</w:t>
      </w:r>
      <w:r w:rsidRPr="008B3905" w:rsidR="008F670C">
        <w:rPr>
          <w:rFonts w:asciiTheme="minorHAnsi" w:hAnsiTheme="minorHAnsi" w:cstheme="minorHAnsi"/>
          <w:sz w:val="22"/>
        </w:rPr>
        <w:t>s</w:t>
      </w:r>
      <w:r w:rsidRPr="008B3905">
        <w:rPr>
          <w:rFonts w:asciiTheme="minorHAnsi" w:hAnsiTheme="minorHAnsi" w:cstheme="minorHAnsi"/>
          <w:sz w:val="22"/>
        </w:rPr>
        <w:t xml:space="preserve"> to </w:t>
      </w:r>
      <w:r w:rsidRPr="008B3905" w:rsidR="001D5396">
        <w:rPr>
          <w:rFonts w:asciiTheme="minorHAnsi" w:hAnsiTheme="minorHAnsi" w:cstheme="minorHAnsi"/>
          <w:sz w:val="22"/>
        </w:rPr>
        <w:t xml:space="preserve">trust and estate </w:t>
      </w:r>
      <w:r w:rsidRPr="008B3905">
        <w:rPr>
          <w:rFonts w:asciiTheme="minorHAnsi" w:hAnsiTheme="minorHAnsi" w:cstheme="minorHAnsi"/>
          <w:sz w:val="22"/>
        </w:rPr>
        <w:t>respondent</w:t>
      </w:r>
      <w:r w:rsidRPr="008B3905" w:rsidR="001552D4">
        <w:rPr>
          <w:rFonts w:asciiTheme="minorHAnsi" w:hAnsiTheme="minorHAnsi" w:cstheme="minorHAnsi"/>
          <w:sz w:val="22"/>
        </w:rPr>
        <w:t>s</w:t>
      </w:r>
      <w:r w:rsidRPr="008B3905">
        <w:rPr>
          <w:rFonts w:asciiTheme="minorHAnsi" w:hAnsiTheme="minorHAnsi" w:cstheme="minorHAnsi"/>
          <w:sz w:val="22"/>
        </w:rPr>
        <w:t xml:space="preserve"> </w:t>
      </w:r>
      <w:r w:rsidRPr="008B3905" w:rsidR="008F670C">
        <w:rPr>
          <w:rFonts w:asciiTheme="minorHAnsi" w:hAnsiTheme="minorHAnsi" w:cstheme="minorHAnsi"/>
          <w:sz w:val="22"/>
        </w:rPr>
        <w:t xml:space="preserve">could be </w:t>
      </w:r>
      <w:r w:rsidRPr="008B3905">
        <w:rPr>
          <w:rFonts w:asciiTheme="minorHAnsi" w:hAnsiTheme="minorHAnsi" w:cstheme="minorHAnsi"/>
          <w:sz w:val="22"/>
        </w:rPr>
        <w:t>$</w:t>
      </w:r>
      <w:r w:rsidRPr="008B3905" w:rsidR="008D0486">
        <w:rPr>
          <w:rFonts w:asciiTheme="minorHAnsi" w:hAnsiTheme="minorHAnsi" w:cstheme="minorHAnsi"/>
          <w:sz w:val="22"/>
        </w:rPr>
        <w:t>1,766.99</w:t>
      </w:r>
      <w:r w:rsidRPr="008B3905" w:rsidR="008F670C">
        <w:rPr>
          <w:rFonts w:asciiTheme="minorHAnsi" w:hAnsiTheme="minorHAnsi" w:cstheme="minorHAnsi"/>
          <w:sz w:val="22"/>
        </w:rPr>
        <w:t xml:space="preserve"> ($60.41x</w:t>
      </w:r>
      <w:r w:rsidRPr="008B3905" w:rsidR="008D0486">
        <w:rPr>
          <w:rFonts w:asciiTheme="minorHAnsi" w:hAnsiTheme="minorHAnsi" w:cstheme="minorHAnsi"/>
          <w:sz w:val="22"/>
        </w:rPr>
        <w:t>29.25</w:t>
      </w:r>
      <w:r w:rsidRPr="008B3905" w:rsidR="008F670C">
        <w:rPr>
          <w:rFonts w:asciiTheme="minorHAnsi" w:hAnsiTheme="minorHAnsi" w:cstheme="minorHAnsi"/>
          <w:sz w:val="22"/>
        </w:rPr>
        <w:t>=</w:t>
      </w:r>
      <w:r w:rsidRPr="008B3905" w:rsidR="00A6625A">
        <w:rPr>
          <w:rFonts w:asciiTheme="minorHAnsi" w:hAnsiTheme="minorHAnsi" w:cstheme="minorHAnsi"/>
          <w:sz w:val="22"/>
        </w:rPr>
        <w:t>$</w:t>
      </w:r>
      <w:r w:rsidRPr="008B3905" w:rsidR="008D0486">
        <w:rPr>
          <w:rFonts w:asciiTheme="minorHAnsi" w:hAnsiTheme="minorHAnsi" w:cstheme="minorHAnsi"/>
          <w:sz w:val="22"/>
        </w:rPr>
        <w:t>1,766.99</w:t>
      </w:r>
      <w:r w:rsidRPr="008B3905" w:rsidR="008F670C">
        <w:rPr>
          <w:rFonts w:asciiTheme="minorHAnsi" w:hAnsiTheme="minorHAnsi" w:cstheme="minorHAnsi"/>
          <w:sz w:val="22"/>
        </w:rPr>
        <w:t>)</w:t>
      </w:r>
      <w:r w:rsidRPr="008B3905">
        <w:rPr>
          <w:rFonts w:asciiTheme="minorHAnsi" w:hAnsiTheme="minorHAnsi" w:cstheme="minorHAnsi"/>
          <w:sz w:val="22"/>
        </w:rPr>
        <w:t xml:space="preserve">.  </w:t>
      </w:r>
    </w:p>
    <w:p w:rsidR="00C337B5" w:rsidRPr="008B3905" w:rsidP="00003BD1" w14:paraId="24179408" w14:textId="55C1F753">
      <w:pPr>
        <w:spacing w:after="0" w:line="259" w:lineRule="auto"/>
        <w:ind w:left="0" w:firstLine="0"/>
        <w:rPr>
          <w:rFonts w:asciiTheme="minorHAnsi" w:hAnsiTheme="minorHAnsi" w:cstheme="minorHAnsi"/>
          <w:sz w:val="22"/>
        </w:rPr>
      </w:pPr>
    </w:p>
    <w:p w:rsidR="00C337B5" w:rsidRPr="008B3905" w:rsidP="00155C35" w14:paraId="3796B193" w14:textId="77777777">
      <w:pPr>
        <w:numPr>
          <w:ilvl w:val="0"/>
          <w:numId w:val="1"/>
        </w:numPr>
        <w:ind w:left="360" w:hanging="356"/>
        <w:rPr>
          <w:rFonts w:asciiTheme="minorHAnsi" w:hAnsiTheme="minorHAnsi" w:cstheme="minorHAnsi"/>
          <w:sz w:val="22"/>
        </w:rPr>
      </w:pPr>
      <w:r w:rsidRPr="008B3905">
        <w:rPr>
          <w:rFonts w:asciiTheme="minorHAnsi" w:hAnsiTheme="minorHAnsi" w:cstheme="minorHAnsi"/>
          <w:sz w:val="22"/>
        </w:rPr>
        <w:t xml:space="preserve">ESTIMATED ANNUALIZED COST TO THE FEDERAL GOVERNMENT </w:t>
      </w:r>
    </w:p>
    <w:p w:rsidR="00C337B5" w:rsidRPr="008B3905" w14:paraId="2B2736DC"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C337B5" w:rsidRPr="008B3905" w:rsidP="00BC22F9" w14:paraId="1A706353" w14:textId="52C3DF2D">
      <w:pPr>
        <w:ind w:left="360"/>
        <w:rPr>
          <w:rFonts w:asciiTheme="minorHAnsi" w:hAnsiTheme="minorHAnsi" w:cstheme="minorHAnsi"/>
          <w:sz w:val="22"/>
        </w:rPr>
      </w:pPr>
      <w:r w:rsidRPr="008B3905">
        <w:rPr>
          <w:rFonts w:asciiTheme="minorHAnsi" w:hAnsiTheme="minorHAnsi" w:cstheme="minorHAnsi"/>
          <w:sz w:val="22"/>
        </w:rPr>
        <w:t>There are no estimated annualized costs to the federal government as the collection only imposes a recordkeeping burden on the taxpayer.</w:t>
      </w:r>
      <w:r w:rsidRPr="008B3905" w:rsidR="004A01EA">
        <w:rPr>
          <w:rFonts w:asciiTheme="minorHAnsi" w:hAnsiTheme="minorHAnsi" w:cstheme="minorHAnsi"/>
          <w:sz w:val="22"/>
        </w:rPr>
        <w:t xml:space="preserve">  IRS will be able to provide cost </w:t>
      </w:r>
      <w:r w:rsidRPr="008B3905" w:rsidR="004A0681">
        <w:rPr>
          <w:rFonts w:asciiTheme="minorHAnsi" w:hAnsiTheme="minorHAnsi" w:cstheme="minorHAnsi"/>
          <w:sz w:val="22"/>
        </w:rPr>
        <w:t xml:space="preserve">estimates </w:t>
      </w:r>
      <w:r w:rsidRPr="008B3905" w:rsidR="004A01EA">
        <w:rPr>
          <w:rFonts w:asciiTheme="minorHAnsi" w:hAnsiTheme="minorHAnsi" w:cstheme="minorHAnsi"/>
          <w:sz w:val="22"/>
        </w:rPr>
        <w:t xml:space="preserve">for the reporting requirement with the development of the forms.  </w:t>
      </w:r>
    </w:p>
    <w:p w:rsidR="00C337B5" w:rsidRPr="008B3905" w14:paraId="649F32FA"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C337B5" w:rsidRPr="008B3905" w:rsidP="00155C35" w14:paraId="4A739A21" w14:textId="77777777">
      <w:pPr>
        <w:numPr>
          <w:ilvl w:val="0"/>
          <w:numId w:val="1"/>
        </w:numPr>
        <w:ind w:left="360" w:hanging="356"/>
        <w:rPr>
          <w:rFonts w:asciiTheme="minorHAnsi" w:hAnsiTheme="minorHAnsi" w:cstheme="minorHAnsi"/>
          <w:sz w:val="22"/>
        </w:rPr>
      </w:pPr>
      <w:r w:rsidRPr="008B3905">
        <w:rPr>
          <w:rFonts w:asciiTheme="minorHAnsi" w:hAnsiTheme="minorHAnsi" w:cstheme="minorHAnsi"/>
          <w:sz w:val="22"/>
        </w:rPr>
        <w:t xml:space="preserve">REASONS FOR CHANGE IN BURDEN </w:t>
      </w:r>
    </w:p>
    <w:p w:rsidR="00C337B5" w:rsidRPr="008B3905" w14:paraId="4FECC0C0"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C337B5" w:rsidRPr="008B3905" w:rsidP="00BC22F9" w14:paraId="4076C8A6" w14:textId="49F5F37B">
      <w:pPr>
        <w:ind w:left="360"/>
        <w:rPr>
          <w:rFonts w:asciiTheme="minorHAnsi" w:hAnsiTheme="minorHAnsi" w:cstheme="minorHAnsi"/>
          <w:sz w:val="22"/>
        </w:rPr>
      </w:pPr>
      <w:r w:rsidRPr="008B3905">
        <w:rPr>
          <w:rFonts w:asciiTheme="minorHAnsi" w:hAnsiTheme="minorHAnsi" w:cstheme="minorHAnsi"/>
          <w:sz w:val="22"/>
        </w:rPr>
        <w:t>This is a new collection.</w:t>
      </w:r>
    </w:p>
    <w:p w:rsidR="00C337B5" w:rsidRPr="008B3905" w14:paraId="27FC643E"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C337B5" w:rsidRPr="008B3905" w:rsidP="00155C35" w14:paraId="189E737F" w14:textId="77777777">
      <w:pPr>
        <w:numPr>
          <w:ilvl w:val="0"/>
          <w:numId w:val="1"/>
        </w:numPr>
        <w:ind w:left="360" w:hanging="356"/>
        <w:rPr>
          <w:rFonts w:asciiTheme="minorHAnsi" w:hAnsiTheme="minorHAnsi" w:cstheme="minorHAnsi"/>
          <w:sz w:val="22"/>
        </w:rPr>
      </w:pPr>
      <w:r w:rsidRPr="008B3905">
        <w:rPr>
          <w:rFonts w:asciiTheme="minorHAnsi" w:hAnsiTheme="minorHAnsi" w:cstheme="minorHAnsi"/>
          <w:sz w:val="22"/>
        </w:rPr>
        <w:t xml:space="preserve">PLANS FOR TABULATION, STATISTICAL ANALYSIS AND PUBLICATION </w:t>
      </w:r>
    </w:p>
    <w:p w:rsidR="00C337B5" w:rsidRPr="008B3905" w14:paraId="11C181DE"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C337B5" w:rsidRPr="008B3905" w:rsidP="00BC22F9" w14:paraId="479FD400" w14:textId="7E1D85CE">
      <w:pPr>
        <w:ind w:left="360"/>
        <w:rPr>
          <w:rFonts w:asciiTheme="minorHAnsi" w:hAnsiTheme="minorHAnsi" w:cstheme="minorHAnsi"/>
          <w:sz w:val="22"/>
        </w:rPr>
      </w:pPr>
      <w:r w:rsidRPr="008B3905">
        <w:rPr>
          <w:rFonts w:asciiTheme="minorHAnsi" w:hAnsiTheme="minorHAnsi" w:cstheme="minorHAnsi"/>
          <w:sz w:val="22"/>
        </w:rPr>
        <w:t xml:space="preserve">There are no plans for tabulation, statistical analysis, and publication. </w:t>
      </w:r>
    </w:p>
    <w:p w:rsidR="00003BD1" w:rsidRPr="008B3905" w14:paraId="3EED72D8" w14:textId="77777777">
      <w:pPr>
        <w:ind w:left="715"/>
        <w:rPr>
          <w:rFonts w:asciiTheme="minorHAnsi" w:hAnsiTheme="minorHAnsi" w:cstheme="minorHAnsi"/>
          <w:sz w:val="22"/>
        </w:rPr>
      </w:pPr>
    </w:p>
    <w:p w:rsidR="00C337B5" w:rsidRPr="008B3905" w:rsidP="00155C35" w14:paraId="5994E03C" w14:textId="074FFCB2">
      <w:pPr>
        <w:numPr>
          <w:ilvl w:val="0"/>
          <w:numId w:val="1"/>
        </w:numPr>
        <w:ind w:left="360" w:hanging="356"/>
        <w:rPr>
          <w:rFonts w:asciiTheme="minorHAnsi" w:hAnsiTheme="minorHAnsi" w:cstheme="minorHAnsi"/>
          <w:sz w:val="22"/>
        </w:rPr>
      </w:pPr>
      <w:r w:rsidRPr="008B3905">
        <w:rPr>
          <w:rFonts w:asciiTheme="minorHAnsi" w:hAnsiTheme="minorHAnsi" w:cstheme="minorHAnsi"/>
          <w:sz w:val="22"/>
        </w:rPr>
        <w:t xml:space="preserve">REASONS WHY DISPLAYING THE OMB EXPIRATION DATE IS INAPPROPRIATE </w:t>
      </w:r>
    </w:p>
    <w:p w:rsidR="00C337B5" w:rsidRPr="008B3905" w14:paraId="3F6B4EA4"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C337B5" w:rsidRPr="008B3905" w:rsidP="00BC22F9" w14:paraId="12B4B230" w14:textId="15D463A7">
      <w:pPr>
        <w:ind w:left="360"/>
        <w:rPr>
          <w:rFonts w:asciiTheme="minorHAnsi" w:hAnsiTheme="minorHAnsi" w:cstheme="minorHAnsi"/>
          <w:sz w:val="22"/>
        </w:rPr>
      </w:pPr>
      <w:r w:rsidRPr="008B3905">
        <w:rPr>
          <w:rFonts w:asciiTheme="minorHAnsi" w:hAnsiTheme="minorHAnsi" w:cstheme="minorHAnsi"/>
          <w:sz w:val="22"/>
        </w:rPr>
        <w:t xml:space="preserve">IRS believe that displaying the OMB expiration date is inappropriate because it could cause confusion by leading taxpayers to believe that the regulation sunsets as of the expiration date.  Taxpayers are not likely to be aware that the IRS intends to request renewal of the OMB approval and obtain a new expiration date before the old one expires. </w:t>
      </w:r>
    </w:p>
    <w:p w:rsidR="00C337B5" w:rsidRPr="008B3905" w14:paraId="39248F4A"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C337B5" w:rsidRPr="008B3905" w:rsidP="00155C35" w14:paraId="4A99D808" w14:textId="1D19212C">
      <w:pPr>
        <w:numPr>
          <w:ilvl w:val="0"/>
          <w:numId w:val="1"/>
        </w:numPr>
        <w:ind w:left="360" w:hanging="356"/>
        <w:rPr>
          <w:rFonts w:asciiTheme="minorHAnsi" w:hAnsiTheme="minorHAnsi" w:cstheme="minorHAnsi"/>
          <w:sz w:val="22"/>
        </w:rPr>
      </w:pPr>
      <w:r w:rsidRPr="008B3905">
        <w:rPr>
          <w:rFonts w:asciiTheme="minorHAnsi" w:hAnsiTheme="minorHAnsi" w:cstheme="minorHAnsi"/>
          <w:sz w:val="22"/>
        </w:rPr>
        <w:t xml:space="preserve">EXCEPTIONS TO THE CERTIFICATION STATEMENT ON OMB </w:t>
      </w:r>
      <w:r w:rsidRPr="008B3905" w:rsidR="00154E83">
        <w:rPr>
          <w:rFonts w:asciiTheme="minorHAnsi" w:hAnsiTheme="minorHAnsi" w:cstheme="minorHAnsi"/>
          <w:sz w:val="22"/>
        </w:rPr>
        <w:t>PRA SUBMISSION FORM</w:t>
      </w:r>
    </w:p>
    <w:p w:rsidR="00C337B5" w:rsidRPr="008B3905" w14:paraId="0B01960F" w14:textId="77777777">
      <w:pPr>
        <w:spacing w:after="0" w:line="259" w:lineRule="auto"/>
        <w:ind w:left="0" w:firstLine="0"/>
        <w:rPr>
          <w:rFonts w:asciiTheme="minorHAnsi" w:hAnsiTheme="minorHAnsi" w:cstheme="minorHAnsi"/>
          <w:sz w:val="22"/>
        </w:rPr>
      </w:pPr>
      <w:r w:rsidRPr="008B3905">
        <w:rPr>
          <w:rFonts w:asciiTheme="minorHAnsi" w:hAnsiTheme="minorHAnsi" w:cstheme="minorHAnsi"/>
          <w:sz w:val="22"/>
        </w:rPr>
        <w:t xml:space="preserve"> </w:t>
      </w:r>
    </w:p>
    <w:p w:rsidR="00C337B5" w:rsidRPr="008B3905" w:rsidP="00155C35" w14:paraId="56E6672F" w14:textId="1DC23998">
      <w:pPr>
        <w:ind w:left="360"/>
        <w:rPr>
          <w:rFonts w:asciiTheme="minorHAnsi" w:hAnsiTheme="minorHAnsi" w:cstheme="minorHAnsi"/>
          <w:sz w:val="22"/>
        </w:rPr>
      </w:pPr>
      <w:r w:rsidRPr="008B3905">
        <w:rPr>
          <w:rFonts w:asciiTheme="minorHAnsi" w:hAnsiTheme="minorHAnsi" w:cstheme="minorHAnsi"/>
          <w:sz w:val="22"/>
        </w:rPr>
        <w:t xml:space="preserve">There are no exceptions to the certification statement. </w:t>
      </w:r>
    </w:p>
    <w:p w:rsidR="00154E83" w:rsidP="00BA214F" w14:paraId="583190CC" w14:textId="1AA38181">
      <w:pPr>
        <w:rPr>
          <w:rFonts w:asciiTheme="minorHAnsi" w:hAnsiTheme="minorHAnsi" w:cstheme="minorHAnsi"/>
          <w:sz w:val="22"/>
        </w:rPr>
      </w:pPr>
      <w:r>
        <w:rPr>
          <w:rFonts w:asciiTheme="minorHAnsi" w:hAnsiTheme="minorHAnsi" w:cstheme="minorHAnsi"/>
          <w:sz w:val="22"/>
        </w:rPr>
        <w:t xml:space="preserve">        </w:t>
      </w:r>
    </w:p>
    <w:p w:rsidR="00F175B3" w:rsidRPr="008B3905" w:rsidP="008B3905" w14:paraId="4253E366" w14:textId="4B26B4D1">
      <w:pPr>
        <w:ind w:left="288" w:right="-144" w:firstLine="0"/>
        <w:rPr>
          <w:rFonts w:asciiTheme="minorHAnsi" w:hAnsiTheme="minorHAnsi"/>
          <w:color w:val="auto"/>
          <w:sz w:val="22"/>
        </w:rPr>
      </w:pPr>
      <w:r w:rsidRPr="008B3905">
        <w:rPr>
          <w:rFonts w:asciiTheme="minorHAnsi" w:hAnsiTheme="minorHAnsi"/>
          <w:color w:val="auto"/>
          <w:sz w:val="22"/>
        </w:rPr>
        <w:t xml:space="preserve"> </w:t>
      </w:r>
      <w:r w:rsidRPr="008B3905">
        <w:rPr>
          <w:rFonts w:asciiTheme="minorHAnsi" w:hAnsiTheme="minorHAnsi"/>
          <w:color w:val="auto"/>
          <w:sz w:val="22"/>
        </w:rPr>
        <w:t xml:space="preserve">Note:   The following paragraph applies to </w:t>
      </w:r>
      <w:r w:rsidRPr="008B3905">
        <w:rPr>
          <w:rFonts w:asciiTheme="minorHAnsi" w:hAnsiTheme="minorHAnsi"/>
          <w:color w:val="auto"/>
          <w:sz w:val="22"/>
        </w:rPr>
        <w:t>all of</w:t>
      </w:r>
      <w:r w:rsidRPr="008B3905">
        <w:rPr>
          <w:rFonts w:asciiTheme="minorHAnsi" w:hAnsiTheme="minorHAnsi"/>
          <w:color w:val="auto"/>
          <w:sz w:val="22"/>
        </w:rPr>
        <w:t xml:space="preserve"> the collections of information in this submission:</w:t>
      </w:r>
    </w:p>
    <w:p w:rsidR="00F175B3" w:rsidRPr="008B3905" w:rsidP="008B3905" w14:paraId="27478B36" w14:textId="77777777">
      <w:pPr>
        <w:ind w:left="288" w:right="-144" w:firstLine="0"/>
        <w:rPr>
          <w:rFonts w:asciiTheme="minorHAnsi" w:hAnsiTheme="minorHAnsi"/>
          <w:color w:val="auto"/>
          <w:sz w:val="22"/>
        </w:rPr>
      </w:pPr>
    </w:p>
    <w:p w:rsidR="00F175B3" w:rsidRPr="008B3905" w:rsidP="008B3905" w14:paraId="7EB45135" w14:textId="26511C48">
      <w:pPr>
        <w:ind w:left="288" w:right="-144" w:firstLine="0"/>
        <w:rPr>
          <w:rFonts w:asciiTheme="minorHAnsi" w:hAnsiTheme="minorHAnsi"/>
          <w:color w:val="auto"/>
          <w:sz w:val="22"/>
        </w:rPr>
      </w:pPr>
      <w:r>
        <w:rPr>
          <w:rFonts w:asciiTheme="minorHAnsi" w:hAnsiTheme="minorHAnsi"/>
          <w:color w:val="auto"/>
          <w:sz w:val="22"/>
        </w:rPr>
        <w:t xml:space="preserve"> </w:t>
      </w:r>
      <w:r w:rsidRPr="008B3905">
        <w:rPr>
          <w:rFonts w:asciiTheme="minorHAnsi" w:hAnsiTheme="minorHAnsi"/>
          <w:color w:val="auto"/>
          <w:sz w:val="22"/>
        </w:rPr>
        <w:t xml:space="preserve">An agency may not conduct or sponsor, and a person is not required to respond to, a collection of </w:t>
      </w:r>
      <w:r w:rsidRPr="008B3905">
        <w:rPr>
          <w:rFonts w:asciiTheme="minorHAnsi" w:hAnsiTheme="minorHAnsi"/>
          <w:color w:val="auto"/>
          <w:sz w:val="22"/>
        </w:rPr>
        <w:t xml:space="preserve">          </w:t>
      </w:r>
      <w:r>
        <w:rPr>
          <w:rFonts w:asciiTheme="minorHAnsi" w:hAnsiTheme="minorHAnsi"/>
          <w:color w:val="auto"/>
          <w:sz w:val="22"/>
        </w:rPr>
        <w:t xml:space="preserve">              </w:t>
      </w:r>
      <w:r w:rsidR="00DA5B8F">
        <w:rPr>
          <w:rFonts w:asciiTheme="minorHAnsi" w:hAnsiTheme="minorHAnsi"/>
          <w:color w:val="auto"/>
          <w:sz w:val="22"/>
        </w:rPr>
        <w:t xml:space="preserve">     </w:t>
      </w:r>
      <w:r w:rsidRPr="008B3905">
        <w:rPr>
          <w:rFonts w:asciiTheme="minorHAnsi" w:hAnsiTheme="minorHAnsi"/>
          <w:color w:val="auto"/>
          <w:sz w:val="22"/>
        </w:rPr>
        <w:t xml:space="preserve">information unless the collection of information displays a valid OMB control number. Books or </w:t>
      </w:r>
      <w:r>
        <w:rPr>
          <w:rFonts w:asciiTheme="minorHAnsi" w:hAnsiTheme="minorHAnsi"/>
          <w:color w:val="auto"/>
          <w:sz w:val="22"/>
        </w:rPr>
        <w:t xml:space="preserve"> </w:t>
      </w:r>
      <w:r w:rsidRPr="008B3905">
        <w:rPr>
          <w:rFonts w:asciiTheme="minorHAnsi" w:hAnsiTheme="minorHAnsi"/>
          <w:color w:val="auto"/>
          <w:sz w:val="22"/>
        </w:rPr>
        <w:t xml:space="preserve"> </w:t>
      </w:r>
      <w:r w:rsidRPr="008B3905">
        <w:rPr>
          <w:rFonts w:asciiTheme="minorHAnsi" w:hAnsiTheme="minorHAnsi"/>
          <w:color w:val="auto"/>
          <w:sz w:val="22"/>
        </w:rPr>
        <w:t xml:space="preserve">records relating to a collection of information must be retained </w:t>
      </w:r>
      <w:r w:rsidRPr="008B3905">
        <w:rPr>
          <w:rFonts w:asciiTheme="minorHAnsi" w:hAnsiTheme="minorHAnsi"/>
          <w:color w:val="auto"/>
          <w:sz w:val="22"/>
        </w:rPr>
        <w:t>as long as</w:t>
      </w:r>
      <w:r w:rsidRPr="008B3905">
        <w:rPr>
          <w:rFonts w:asciiTheme="minorHAnsi" w:hAnsiTheme="minorHAnsi"/>
          <w:color w:val="auto"/>
          <w:sz w:val="22"/>
        </w:rPr>
        <w:t xml:space="preserve"> their contents may become material in the administration of any internal revenue law. Generally, tax returns and tax return </w:t>
      </w:r>
      <w:r>
        <w:rPr>
          <w:rFonts w:asciiTheme="minorHAnsi" w:hAnsiTheme="minorHAnsi"/>
          <w:color w:val="auto"/>
          <w:sz w:val="22"/>
        </w:rPr>
        <w:t xml:space="preserve">    </w:t>
      </w:r>
      <w:r w:rsidR="00DA5B8F">
        <w:rPr>
          <w:rFonts w:asciiTheme="minorHAnsi" w:hAnsiTheme="minorHAnsi"/>
          <w:color w:val="auto"/>
          <w:sz w:val="22"/>
        </w:rPr>
        <w:t xml:space="preserve"> </w:t>
      </w:r>
      <w:r w:rsidRPr="008B3905">
        <w:rPr>
          <w:rFonts w:asciiTheme="minorHAnsi" w:hAnsiTheme="minorHAnsi"/>
          <w:color w:val="auto"/>
          <w:sz w:val="22"/>
        </w:rPr>
        <w:t>information are confidential, as required by 26 U.S.C. 6103.</w:t>
      </w:r>
    </w:p>
    <w:p w:rsidR="00F175B3" w:rsidRPr="008B3905" w:rsidP="008B3905" w14:paraId="0DABEF02" w14:textId="0C45A7F0">
      <w:pPr>
        <w:ind w:right="-144"/>
        <w:rPr>
          <w:rFonts w:asciiTheme="minorHAnsi" w:hAnsiTheme="minorHAnsi" w:cstheme="minorHAnsi"/>
          <w:color w:val="auto"/>
          <w:sz w:val="22"/>
        </w:rPr>
      </w:pPr>
      <w:r w:rsidRPr="008B3905">
        <w:rPr>
          <w:rFonts w:asciiTheme="minorHAnsi" w:hAnsiTheme="minorHAnsi" w:cstheme="minorHAnsi"/>
          <w:color w:val="auto"/>
          <w:sz w:val="22"/>
        </w:rPr>
        <w:t xml:space="preserve">        </w:t>
      </w:r>
    </w:p>
    <w:p w:rsidR="00C337B5" w:rsidRPr="008B3905" w:rsidP="008B3905" w14:paraId="60115695" w14:textId="33554637">
      <w:pPr>
        <w:spacing w:after="0" w:line="259" w:lineRule="auto"/>
        <w:ind w:left="0" w:right="-144" w:firstLine="0"/>
        <w:rPr>
          <w:rFonts w:asciiTheme="minorHAnsi" w:hAnsiTheme="minorHAnsi" w:cstheme="minorHAnsi"/>
          <w:sz w:val="22"/>
        </w:rPr>
      </w:pPr>
    </w:p>
    <w:p w:rsidR="00154E83" w:rsidRPr="008B3905" w:rsidP="00154E83" w14:paraId="6C521F78" w14:textId="0B01B5BD">
      <w:pPr>
        <w:ind w:left="0" w:firstLine="0"/>
        <w:rPr>
          <w:rFonts w:asciiTheme="minorHAnsi" w:hAnsiTheme="minorHAnsi" w:cstheme="minorHAnsi"/>
          <w:sz w:val="22"/>
        </w:rPr>
      </w:pPr>
    </w:p>
    <w:p w:rsidR="00C337B5" w:rsidRPr="008B3905" w:rsidP="008B3905" w14:paraId="6AAC0B4F" w14:textId="29A34D0D">
      <w:pPr>
        <w:ind w:left="14" w:hanging="14"/>
        <w:rPr>
          <w:rFonts w:asciiTheme="minorHAnsi" w:hAnsiTheme="minorHAnsi" w:cstheme="minorHAnsi"/>
          <w:sz w:val="22"/>
        </w:rPr>
      </w:pPr>
      <w:r w:rsidRPr="008B3905">
        <w:rPr>
          <w:rFonts w:asciiTheme="minorHAnsi" w:hAnsiTheme="minorHAnsi" w:cstheme="minorHAnsi"/>
          <w:sz w:val="22"/>
        </w:rPr>
        <w:t xml:space="preserve"> </w:t>
      </w:r>
    </w:p>
    <w:sectPr>
      <w:pgSz w:w="12240" w:h="15840"/>
      <w:pgMar w:top="1444" w:right="1456" w:bottom="148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060F" w:rsidP="00F0272A" w14:paraId="22EAF09C" w14:textId="77777777">
      <w:pPr>
        <w:spacing w:after="0" w:line="240" w:lineRule="auto"/>
      </w:pPr>
      <w:r>
        <w:separator/>
      </w:r>
    </w:p>
  </w:footnote>
  <w:footnote w:type="continuationSeparator" w:id="1">
    <w:p w:rsidR="0082060F" w:rsidP="00F0272A" w14:paraId="417E43F3" w14:textId="77777777">
      <w:pPr>
        <w:spacing w:after="0" w:line="240" w:lineRule="auto"/>
      </w:pPr>
      <w:r>
        <w:continuationSeparator/>
      </w:r>
    </w:p>
  </w:footnote>
  <w:footnote w:id="2">
    <w:p w:rsidR="00F0272A" w:rsidP="00F0272A" w14:paraId="6927711E" w14:textId="4499C310">
      <w:pPr>
        <w:pStyle w:val="FootnoteText"/>
        <w:rPr>
          <w:rFonts w:ascii="Times New Roman" w:eastAsia="Times New Roman" w:hAnsi="Times New Roman" w:cs="Times New Roman"/>
          <w:color w:val="auto"/>
        </w:rPr>
      </w:pPr>
      <w:r>
        <w:rPr>
          <w:rStyle w:val="FootnoteReference"/>
        </w:rPr>
        <w:footnoteRef/>
      </w:r>
      <w:r>
        <w:t xml:space="preserve"> The above Hourly Wage Rate is the </w:t>
      </w:r>
      <w:hyperlink r:id="rId1" w:history="1">
        <w:r>
          <w:rPr>
            <w:rStyle w:val="Hyperlink"/>
          </w:rPr>
          <w:t>May 20</w:t>
        </w:r>
        <w:r w:rsidR="00944014">
          <w:rPr>
            <w:rStyle w:val="Hyperlink"/>
          </w:rPr>
          <w:t>22</w:t>
        </w:r>
        <w:r>
          <w:rPr>
            <w:rStyle w:val="Hyperlink"/>
          </w:rPr>
          <w:t xml:space="preserve"> Bureau of Labor Statistics</w:t>
        </w:r>
      </w:hyperlink>
      <w:r>
        <w:t xml:space="preserve"> </w:t>
      </w:r>
      <w:r w:rsidR="00944014">
        <w:t>mean</w:t>
      </w:r>
      <w:r>
        <w:t xml:space="preserve"> wage for “</w:t>
      </w:r>
      <w:r w:rsidR="00944014">
        <w:t>Accountants and Auditors</w:t>
      </w:r>
      <w:r>
        <w:t xml:space="preserve"> (Major Group (1</w:t>
      </w:r>
      <w:r w:rsidR="00944014">
        <w:t>3-2011</w:t>
      </w:r>
      <w:r>
        <w:t>))” of $</w:t>
      </w:r>
      <w:r w:rsidR="00944014">
        <w:t>41.70</w:t>
      </w:r>
      <w:r>
        <w:t xml:space="preserve"> times the wage rate benefit multiplier of 1.4</w:t>
      </w:r>
      <w:r w:rsidR="00944014">
        <w:t>488</w:t>
      </w:r>
      <w:r>
        <w:t xml:space="preserve"> (to account for fringe benefits) equaling $</w:t>
      </w:r>
      <w:r w:rsidR="00944014">
        <w:t>60.41</w:t>
      </w:r>
      <w:r>
        <w:t>. The benefits multiplier is estimated by dividing total compensation of $43.26 by salaries and wages of $</w:t>
      </w:r>
      <w:r w:rsidR="00944014">
        <w:t>29.86</w:t>
      </w:r>
      <w:r>
        <w:t xml:space="preserve">, based on Employer Cost for Employee Compensation, </w:t>
      </w:r>
      <w:r w:rsidR="00944014">
        <w:t>June</w:t>
      </w:r>
      <w:r>
        <w:t xml:space="preserve"> 202</w:t>
      </w:r>
      <w:r w:rsidR="00944014">
        <w:t>3</w:t>
      </w:r>
      <w:r>
        <w:t xml:space="preserve"> data, released </w:t>
      </w:r>
      <w:r w:rsidR="00944014">
        <w:t>September</w:t>
      </w:r>
      <w:r>
        <w:t xml:space="preserve"> 1</w:t>
      </w:r>
      <w:r w:rsidR="00944014">
        <w:t>2</w:t>
      </w:r>
      <w:r>
        <w:t>, 202</w:t>
      </w:r>
      <w:r w:rsidR="00944014">
        <w:t>3</w:t>
      </w:r>
      <w:r>
        <w:t xml:space="preserve"> (</w:t>
      </w:r>
      <w:hyperlink r:id="rId2" w:history="1">
        <w:r>
          <w:rPr>
            <w:rStyle w:val="Hyperlink"/>
          </w:rPr>
          <w:t>https://www.bls.gov/news.release/ecec.nr0.htm</w:t>
        </w:r>
      </w:hyperlink>
      <w:r>
        <w:t>).</w:t>
      </w:r>
    </w:p>
    <w:p w:rsidR="00F0272A" w14:paraId="0A30DCEC" w14:textId="292B73C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F374DF"/>
    <w:multiLevelType w:val="hybridMultilevel"/>
    <w:tmpl w:val="B9E8AB78"/>
    <w:lvl w:ilvl="0">
      <w:start w:val="1"/>
      <w:numFmt w:val="decimal"/>
      <w:lvlText w:val="%1."/>
      <w:lvlJc w:val="left"/>
      <w:pPr>
        <w:ind w:left="0"/>
      </w:pPr>
      <w:rPr>
        <w:rFonts w:ascii="Arial" w:eastAsia="Times New Roman" w:hAnsi="Arial" w:cs="Arial" w:hint="default"/>
        <w:b w:val="0"/>
        <w:bCs/>
        <w:i w:val="0"/>
        <w:strike w:val="0"/>
        <w:dstrike w:val="0"/>
        <w:color w:val="000000"/>
        <w:sz w:val="20"/>
        <w:szCs w:val="20"/>
        <w:u w:val="none" w:color="000000"/>
        <w:bdr w:val="none" w:sz="0" w:space="0" w:color="auto"/>
        <w:shd w:val="clear" w:color="auto" w:fill="auto"/>
        <w:vertAlign w:val="baseline"/>
      </w:rPr>
    </w:lvl>
    <w:lvl w:ilvl="1">
      <w:start w:val="1"/>
      <w:numFmt w:val="upperLetter"/>
      <w:lvlText w:val="%2"/>
      <w:lvlJc w:val="left"/>
      <w:pPr>
        <w:ind w:left="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46D04A55"/>
    <w:multiLevelType w:val="hybridMultilevel"/>
    <w:tmpl w:val="C8C023E8"/>
    <w:lvl w:ilvl="0">
      <w:start w:val="9"/>
      <w:numFmt w:val="decimal"/>
      <w:lvlText w:val="%1."/>
      <w:lvlJc w:val="left"/>
      <w:pPr>
        <w:ind w:left="7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num w:numId="1" w16cid:durableId="576210861">
    <w:abstractNumId w:val="0"/>
  </w:num>
  <w:num w:numId="2" w16cid:durableId="284501878">
    <w:abstractNumId w:val="1"/>
  </w:num>
  <w:num w:numId="3" w16cid:durableId="1680280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7B5"/>
    <w:rsid w:val="00000A81"/>
    <w:rsid w:val="000011F3"/>
    <w:rsid w:val="00003BD1"/>
    <w:rsid w:val="000073F1"/>
    <w:rsid w:val="00016EB0"/>
    <w:rsid w:val="000225EF"/>
    <w:rsid w:val="000B0665"/>
    <w:rsid w:val="000C0352"/>
    <w:rsid w:val="000D0DF4"/>
    <w:rsid w:val="00101E3C"/>
    <w:rsid w:val="00130AD0"/>
    <w:rsid w:val="001435D1"/>
    <w:rsid w:val="00154E83"/>
    <w:rsid w:val="001552D4"/>
    <w:rsid w:val="00155C35"/>
    <w:rsid w:val="001C3E30"/>
    <w:rsid w:val="001D5396"/>
    <w:rsid w:val="00241E24"/>
    <w:rsid w:val="00263768"/>
    <w:rsid w:val="00274D39"/>
    <w:rsid w:val="002765C9"/>
    <w:rsid w:val="002B5871"/>
    <w:rsid w:val="0031295B"/>
    <w:rsid w:val="00326130"/>
    <w:rsid w:val="00363B6C"/>
    <w:rsid w:val="003C3A44"/>
    <w:rsid w:val="003D7558"/>
    <w:rsid w:val="003E31E1"/>
    <w:rsid w:val="00424450"/>
    <w:rsid w:val="0046130E"/>
    <w:rsid w:val="00462EA4"/>
    <w:rsid w:val="00473CEF"/>
    <w:rsid w:val="00495BBA"/>
    <w:rsid w:val="004A01EA"/>
    <w:rsid w:val="004A0681"/>
    <w:rsid w:val="004B7742"/>
    <w:rsid w:val="004D1F4E"/>
    <w:rsid w:val="004D5104"/>
    <w:rsid w:val="005365C9"/>
    <w:rsid w:val="00550485"/>
    <w:rsid w:val="0058738A"/>
    <w:rsid w:val="005D3FFE"/>
    <w:rsid w:val="005D504B"/>
    <w:rsid w:val="0060561A"/>
    <w:rsid w:val="006105D8"/>
    <w:rsid w:val="00623CDA"/>
    <w:rsid w:val="006E5B3F"/>
    <w:rsid w:val="00706D60"/>
    <w:rsid w:val="007151D8"/>
    <w:rsid w:val="00733A66"/>
    <w:rsid w:val="00772ACD"/>
    <w:rsid w:val="007952C1"/>
    <w:rsid w:val="007A699C"/>
    <w:rsid w:val="007B15DC"/>
    <w:rsid w:val="007C0C7D"/>
    <w:rsid w:val="007F285E"/>
    <w:rsid w:val="007F5040"/>
    <w:rsid w:val="00817C68"/>
    <w:rsid w:val="0082060F"/>
    <w:rsid w:val="00823CE7"/>
    <w:rsid w:val="008440BD"/>
    <w:rsid w:val="00846C09"/>
    <w:rsid w:val="0085710F"/>
    <w:rsid w:val="00870373"/>
    <w:rsid w:val="0087300E"/>
    <w:rsid w:val="008A2E52"/>
    <w:rsid w:val="008B3905"/>
    <w:rsid w:val="008D0486"/>
    <w:rsid w:val="008F4036"/>
    <w:rsid w:val="008F670C"/>
    <w:rsid w:val="00914628"/>
    <w:rsid w:val="00944014"/>
    <w:rsid w:val="00962D6E"/>
    <w:rsid w:val="00985F66"/>
    <w:rsid w:val="009D0FC8"/>
    <w:rsid w:val="009D5309"/>
    <w:rsid w:val="00A00CF4"/>
    <w:rsid w:val="00A51D25"/>
    <w:rsid w:val="00A6625A"/>
    <w:rsid w:val="00AA15C8"/>
    <w:rsid w:val="00AF7DE7"/>
    <w:rsid w:val="00B01388"/>
    <w:rsid w:val="00B75029"/>
    <w:rsid w:val="00B8000A"/>
    <w:rsid w:val="00BA214F"/>
    <w:rsid w:val="00BA3E4E"/>
    <w:rsid w:val="00BC22F9"/>
    <w:rsid w:val="00BD11BD"/>
    <w:rsid w:val="00C03700"/>
    <w:rsid w:val="00C124E5"/>
    <w:rsid w:val="00C33348"/>
    <w:rsid w:val="00C337B5"/>
    <w:rsid w:val="00C45255"/>
    <w:rsid w:val="00CD2DAE"/>
    <w:rsid w:val="00D445D6"/>
    <w:rsid w:val="00D761C8"/>
    <w:rsid w:val="00DA5B8F"/>
    <w:rsid w:val="00DC5D8D"/>
    <w:rsid w:val="00E11C73"/>
    <w:rsid w:val="00E242B1"/>
    <w:rsid w:val="00E37C4E"/>
    <w:rsid w:val="00E552A5"/>
    <w:rsid w:val="00E56477"/>
    <w:rsid w:val="00E8415A"/>
    <w:rsid w:val="00ED0EE3"/>
    <w:rsid w:val="00EF7C0A"/>
    <w:rsid w:val="00F0272A"/>
    <w:rsid w:val="00F02B46"/>
    <w:rsid w:val="00F071B0"/>
    <w:rsid w:val="00F175B3"/>
    <w:rsid w:val="00F60BB7"/>
    <w:rsid w:val="00FA2A9C"/>
    <w:rsid w:val="00FD4D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780FC3"/>
  <w15:docId w15:val="{C293C6DA-A1B9-4495-9112-2F97ACDF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54E83"/>
    <w:pPr>
      <w:ind w:left="720"/>
      <w:contextualSpacing/>
    </w:pPr>
  </w:style>
  <w:style w:type="character" w:styleId="CommentReference">
    <w:name w:val="annotation reference"/>
    <w:basedOn w:val="DefaultParagraphFont"/>
    <w:uiPriority w:val="99"/>
    <w:semiHidden/>
    <w:unhideWhenUsed/>
    <w:rsid w:val="00B8000A"/>
    <w:rPr>
      <w:sz w:val="16"/>
      <w:szCs w:val="16"/>
    </w:rPr>
  </w:style>
  <w:style w:type="paragraph" w:styleId="CommentText">
    <w:name w:val="annotation text"/>
    <w:basedOn w:val="Normal"/>
    <w:link w:val="CommentTextChar"/>
    <w:uiPriority w:val="99"/>
    <w:unhideWhenUsed/>
    <w:rsid w:val="00B8000A"/>
    <w:pPr>
      <w:spacing w:line="240" w:lineRule="auto"/>
    </w:pPr>
    <w:rPr>
      <w:szCs w:val="20"/>
    </w:rPr>
  </w:style>
  <w:style w:type="character" w:customStyle="1" w:styleId="CommentTextChar">
    <w:name w:val="Comment Text Char"/>
    <w:basedOn w:val="DefaultParagraphFont"/>
    <w:link w:val="CommentText"/>
    <w:uiPriority w:val="99"/>
    <w:rsid w:val="00B8000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8000A"/>
    <w:rPr>
      <w:b/>
      <w:bCs/>
    </w:rPr>
  </w:style>
  <w:style w:type="character" w:customStyle="1" w:styleId="CommentSubjectChar">
    <w:name w:val="Comment Subject Char"/>
    <w:basedOn w:val="CommentTextChar"/>
    <w:link w:val="CommentSubject"/>
    <w:uiPriority w:val="99"/>
    <w:semiHidden/>
    <w:rsid w:val="00B8000A"/>
    <w:rPr>
      <w:rFonts w:ascii="Arial" w:eastAsia="Arial" w:hAnsi="Arial" w:cs="Arial"/>
      <w:b/>
      <w:bCs/>
      <w:color w:val="000000"/>
      <w:sz w:val="20"/>
      <w:szCs w:val="20"/>
    </w:rPr>
  </w:style>
  <w:style w:type="paragraph" w:styleId="Revision">
    <w:name w:val="Revision"/>
    <w:hidden/>
    <w:uiPriority w:val="99"/>
    <w:semiHidden/>
    <w:rsid w:val="00B8000A"/>
    <w:pPr>
      <w:spacing w:after="0" w:line="240" w:lineRule="auto"/>
    </w:pPr>
    <w:rPr>
      <w:rFonts w:ascii="Arial" w:eastAsia="Arial" w:hAnsi="Arial" w:cs="Arial"/>
      <w:color w:val="000000"/>
      <w:sz w:val="20"/>
    </w:rPr>
  </w:style>
  <w:style w:type="paragraph" w:styleId="FootnoteText">
    <w:name w:val="footnote text"/>
    <w:basedOn w:val="Normal"/>
    <w:link w:val="FootnoteTextChar"/>
    <w:unhideWhenUsed/>
    <w:rsid w:val="00F0272A"/>
    <w:pPr>
      <w:spacing w:after="0" w:line="240" w:lineRule="auto"/>
    </w:pPr>
    <w:rPr>
      <w:szCs w:val="20"/>
    </w:rPr>
  </w:style>
  <w:style w:type="character" w:customStyle="1" w:styleId="FootnoteTextChar">
    <w:name w:val="Footnote Text Char"/>
    <w:basedOn w:val="DefaultParagraphFont"/>
    <w:link w:val="FootnoteText"/>
    <w:rsid w:val="00F0272A"/>
    <w:rPr>
      <w:rFonts w:ascii="Arial" w:eastAsia="Arial" w:hAnsi="Arial" w:cs="Arial"/>
      <w:color w:val="000000"/>
      <w:sz w:val="20"/>
      <w:szCs w:val="20"/>
    </w:rPr>
  </w:style>
  <w:style w:type="character" w:styleId="FootnoteReference">
    <w:name w:val="footnote reference"/>
    <w:basedOn w:val="DefaultParagraphFont"/>
    <w:unhideWhenUsed/>
    <w:rsid w:val="00F0272A"/>
    <w:rPr>
      <w:vertAlign w:val="superscript"/>
    </w:rPr>
  </w:style>
  <w:style w:type="character" w:styleId="Hyperlink">
    <w:name w:val="Hyperlink"/>
    <w:semiHidden/>
    <w:unhideWhenUsed/>
    <w:rsid w:val="00F0272A"/>
    <w:rPr>
      <w:color w:val="0000FF"/>
      <w:u w:val="single"/>
    </w:rPr>
  </w:style>
  <w:style w:type="character" w:styleId="FollowedHyperlink">
    <w:name w:val="FollowedHyperlink"/>
    <w:basedOn w:val="DefaultParagraphFont"/>
    <w:uiPriority w:val="99"/>
    <w:semiHidden/>
    <w:unhideWhenUsed/>
    <w:rsid w:val="00F0272A"/>
    <w:rPr>
      <w:color w:val="954F72" w:themeColor="followedHyperlink"/>
      <w:u w:val="single"/>
    </w:rPr>
  </w:style>
  <w:style w:type="paragraph" w:customStyle="1" w:styleId="Default">
    <w:name w:val="Default"/>
    <w:rsid w:val="000B0665"/>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32011.htm" TargetMode="External" /><Relationship Id="rId2"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BD706-299E-4763-B081-478A24B0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Instructions.doc</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Instructions.doc</dc:title>
  <dc:creator>NOCLKMK1</dc:creator>
  <cp:lastModifiedBy>Covington Sara L</cp:lastModifiedBy>
  <cp:revision>10</cp:revision>
  <dcterms:created xsi:type="dcterms:W3CDTF">2023-10-18T22:22:00Z</dcterms:created>
  <dcterms:modified xsi:type="dcterms:W3CDTF">2023-11-06T19:19:00Z</dcterms:modified>
</cp:coreProperties>
</file>