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0140" w:rsidP="008208FE" w14:paraId="0AD036D9" w14:textId="77777777">
      <w:pPr>
        <w:tabs>
          <w:tab w:val="center" w:pos="4680"/>
        </w:tabs>
        <w:jc w:val="center"/>
        <w:rPr>
          <w:rFonts w:ascii="Arial" w:hAnsi="Arial" w:cs="Courier New"/>
          <w:b/>
          <w:bCs/>
        </w:rPr>
      </w:pPr>
      <w:r w:rsidRPr="008F4457">
        <w:rPr>
          <w:rFonts w:ascii="Arial" w:hAnsi="Arial" w:cs="Courier New"/>
          <w:b/>
          <w:bCs/>
        </w:rPr>
        <w:t>SUPPORTING STATEMENT</w:t>
      </w:r>
    </w:p>
    <w:p w:rsidR="008D0BBD" w:rsidRPr="00FE396C" w:rsidP="008208FE" w14:paraId="70D4E2AB" w14:textId="77835D2B">
      <w:pPr>
        <w:tabs>
          <w:tab w:val="center" w:pos="4680"/>
        </w:tabs>
        <w:jc w:val="center"/>
        <w:rPr>
          <w:rFonts w:ascii="Arial" w:hAnsi="Arial" w:cs="Courier New"/>
        </w:rPr>
      </w:pPr>
      <w:r>
        <w:rPr>
          <w:rFonts w:ascii="Arial" w:hAnsi="Arial" w:cs="Courier New"/>
        </w:rPr>
        <w:t>Like-Kind Exchanges</w:t>
      </w:r>
    </w:p>
    <w:p w:rsidR="00FE396C" w:rsidP="008208FE" w14:paraId="58B6A164" w14:textId="2E8E68F2">
      <w:pPr>
        <w:tabs>
          <w:tab w:val="center" w:pos="4680"/>
        </w:tabs>
        <w:jc w:val="center"/>
        <w:rPr>
          <w:rFonts w:ascii="Arial" w:hAnsi="Arial" w:cs="Courier New"/>
        </w:rPr>
      </w:pPr>
      <w:r w:rsidRPr="00FE396C">
        <w:rPr>
          <w:rFonts w:ascii="Arial" w:hAnsi="Arial" w:cs="Courier New"/>
        </w:rPr>
        <w:t xml:space="preserve">(Form </w:t>
      </w:r>
      <w:r w:rsidR="00525A80">
        <w:rPr>
          <w:rFonts w:ascii="Arial" w:hAnsi="Arial" w:cs="Courier New"/>
        </w:rPr>
        <w:t>8824</w:t>
      </w:r>
      <w:r w:rsidRPr="00FE396C">
        <w:rPr>
          <w:rFonts w:ascii="Arial" w:hAnsi="Arial" w:cs="Courier New"/>
        </w:rPr>
        <w:t>)</w:t>
      </w:r>
    </w:p>
    <w:p w:rsidR="008208FE" w:rsidRPr="008F4457" w:rsidP="008208FE" w14:paraId="3208B109" w14:textId="0D86D091">
      <w:pPr>
        <w:tabs>
          <w:tab w:val="center" w:pos="4680"/>
        </w:tabs>
        <w:jc w:val="center"/>
        <w:rPr>
          <w:rFonts w:ascii="Arial" w:hAnsi="Arial" w:cs="Courier New"/>
          <w:b/>
          <w:bCs/>
        </w:rPr>
      </w:pPr>
      <w:r w:rsidRPr="00FE396C">
        <w:rPr>
          <w:rFonts w:ascii="Arial" w:hAnsi="Arial" w:cs="Courier New"/>
        </w:rPr>
        <w:t xml:space="preserve">OMB Number </w:t>
      </w:r>
      <w:r w:rsidRPr="008F4457">
        <w:rPr>
          <w:rFonts w:ascii="Arial" w:hAnsi="Arial" w:cs="Courier New"/>
          <w:b/>
          <w:bCs/>
        </w:rPr>
        <w:t>1545-</w:t>
      </w:r>
      <w:r w:rsidR="00525A80">
        <w:rPr>
          <w:rFonts w:ascii="Arial" w:hAnsi="Arial" w:cs="Courier New"/>
          <w:b/>
          <w:bCs/>
        </w:rPr>
        <w:t>1190</w:t>
      </w:r>
    </w:p>
    <w:p w:rsidR="00B70140" w:rsidRPr="008F4457" w:rsidP="006130F7" w14:paraId="4912B478" w14:textId="47052200">
      <w:pPr>
        <w:tabs>
          <w:tab w:val="center" w:pos="4680"/>
        </w:tabs>
        <w:rPr>
          <w:rFonts w:ascii="Arial" w:hAnsi="Arial" w:cs="Elephant"/>
          <w:b/>
          <w:bCs/>
        </w:rPr>
      </w:pPr>
      <w:r w:rsidRPr="008F4457">
        <w:rPr>
          <w:rFonts w:ascii="Arial" w:hAnsi="Arial" w:cs="Courier New"/>
          <w:b/>
          <w:bCs/>
        </w:rPr>
        <w:tab/>
      </w:r>
    </w:p>
    <w:p w:rsidR="00B70140" w:rsidRPr="008F4457" w14:paraId="6DA247F7" w14:textId="77777777">
      <w:pPr>
        <w:pStyle w:val="Level1"/>
        <w:numPr>
          <w:ilvl w:val="0"/>
          <w:numId w:val="1"/>
        </w:numPr>
        <w:tabs>
          <w:tab w:val="left" w:pos="-1440"/>
          <w:tab w:val="num" w:pos="720"/>
        </w:tabs>
        <w:rPr>
          <w:rFonts w:ascii="Arial" w:hAnsi="Arial"/>
          <w:b/>
        </w:rPr>
      </w:pPr>
      <w:r w:rsidRPr="008F4457">
        <w:rPr>
          <w:rFonts w:ascii="Arial" w:hAnsi="Arial"/>
          <w:b/>
          <w:u w:val="single"/>
        </w:rPr>
        <w:t>CIRCUMSTANCES NECESSITATING COLLECTION OF INFORMATION</w:t>
      </w:r>
    </w:p>
    <w:p w:rsidR="00B70140" w:rsidRPr="008F4457" w14:paraId="05AFCFE9" w14:textId="77777777">
      <w:pPr>
        <w:rPr>
          <w:rFonts w:ascii="Arial" w:hAnsi="Arial"/>
        </w:rPr>
      </w:pPr>
    </w:p>
    <w:p w:rsidR="00525A80" w:rsidRPr="00525A80" w:rsidP="00525A80" w14:paraId="4EBDEAB8" w14:textId="5BB91C34">
      <w:pPr>
        <w:ind w:left="720"/>
        <w:rPr>
          <w:rFonts w:ascii="Arial" w:hAnsi="Arial"/>
        </w:rPr>
      </w:pPr>
      <w:r w:rsidRPr="00525A80">
        <w:rPr>
          <w:rFonts w:ascii="Arial" w:hAnsi="Arial"/>
        </w:rPr>
        <w:t>Section 1031 of the Internal Revenue Code allows for the non-recognition of gain or loss on the exchange of business or investment property.  Section 1043 allows for the non-recognition of gain from dispositions made by certain members of the executive branch of the Federal government because of a conflict of interest.</w:t>
      </w:r>
    </w:p>
    <w:p w:rsidR="00525A80" w:rsidRPr="00525A80" w:rsidP="00525A80" w14:paraId="66E27B58" w14:textId="77777777">
      <w:pPr>
        <w:ind w:left="720"/>
        <w:rPr>
          <w:rFonts w:ascii="Arial" w:hAnsi="Arial"/>
        </w:rPr>
      </w:pPr>
    </w:p>
    <w:p w:rsidR="00B70140" w:rsidP="00525A80" w14:paraId="4188DA1B" w14:textId="16846AC5">
      <w:pPr>
        <w:ind w:left="720"/>
        <w:rPr>
          <w:rFonts w:ascii="Arial" w:hAnsi="Arial"/>
        </w:rPr>
      </w:pPr>
      <w:r w:rsidRPr="00525A80">
        <w:rPr>
          <w:rFonts w:ascii="Arial" w:hAnsi="Arial"/>
        </w:rPr>
        <w:t xml:space="preserve">Form 8824 provides taxpayers with an easy method of </w:t>
      </w:r>
      <w:bookmarkStart w:id="0" w:name="_Hlk149131451"/>
      <w:r w:rsidRPr="00525A80">
        <w:rPr>
          <w:rFonts w:ascii="Arial" w:hAnsi="Arial"/>
        </w:rPr>
        <w:t>determining whether a transaction qualifies for like-kind exchange treatment, the gain or loss, if any recognized because of the exchange, and the basis in the new property received in the exchange</w:t>
      </w:r>
      <w:bookmarkEnd w:id="0"/>
      <w:r w:rsidRPr="00525A80">
        <w:rPr>
          <w:rFonts w:ascii="Arial" w:hAnsi="Arial"/>
        </w:rPr>
        <w:t>.</w:t>
      </w:r>
    </w:p>
    <w:p w:rsidR="00525A80" w:rsidRPr="008F4457" w:rsidP="00525A80" w14:paraId="5AB00F49" w14:textId="77777777">
      <w:pPr>
        <w:ind w:left="720"/>
        <w:rPr>
          <w:rFonts w:ascii="Arial" w:hAnsi="Arial"/>
        </w:rPr>
      </w:pPr>
    </w:p>
    <w:p w:rsidR="00B70140" w:rsidRPr="008F4457" w14:paraId="3A2410E8" w14:textId="77777777">
      <w:pPr>
        <w:pStyle w:val="Level1"/>
        <w:numPr>
          <w:ilvl w:val="0"/>
          <w:numId w:val="1"/>
        </w:numPr>
        <w:tabs>
          <w:tab w:val="left" w:pos="-1440"/>
          <w:tab w:val="num" w:pos="720"/>
        </w:tabs>
        <w:rPr>
          <w:rFonts w:ascii="Arial" w:hAnsi="Arial"/>
          <w:b/>
        </w:rPr>
      </w:pPr>
      <w:r w:rsidRPr="008F4457">
        <w:rPr>
          <w:rFonts w:ascii="Arial" w:hAnsi="Arial"/>
          <w:b/>
          <w:u w:val="single"/>
        </w:rPr>
        <w:t>USE OF DATA</w:t>
      </w:r>
      <w:r w:rsidRPr="008F4457">
        <w:rPr>
          <w:rFonts w:ascii="Arial" w:hAnsi="Arial"/>
          <w:b/>
        </w:rPr>
        <w:t xml:space="preserve">              </w:t>
      </w:r>
    </w:p>
    <w:p w:rsidR="00B70140" w:rsidRPr="008F4457" w14:paraId="14A9589E" w14:textId="77777777">
      <w:pPr>
        <w:rPr>
          <w:rFonts w:ascii="Arial" w:hAnsi="Arial"/>
        </w:rPr>
      </w:pPr>
    </w:p>
    <w:p w:rsidR="00B70140" w:rsidRPr="008F4457" w14:paraId="3FB9720D" w14:textId="2C783324">
      <w:pPr>
        <w:ind w:left="720"/>
        <w:rPr>
          <w:rFonts w:ascii="Arial" w:hAnsi="Arial"/>
        </w:rPr>
      </w:pPr>
      <w:r w:rsidRPr="00525A80">
        <w:rPr>
          <w:rFonts w:ascii="Arial" w:hAnsi="Arial"/>
        </w:rPr>
        <w:t xml:space="preserve">The information is used by </w:t>
      </w:r>
      <w:r w:rsidR="007C5281">
        <w:rPr>
          <w:rFonts w:ascii="Arial" w:hAnsi="Arial"/>
        </w:rPr>
        <w:t>the Internal Revenue Service (I</w:t>
      </w:r>
      <w:r w:rsidRPr="00525A80">
        <w:rPr>
          <w:rFonts w:ascii="Arial" w:hAnsi="Arial"/>
        </w:rPr>
        <w:t>RS</w:t>
      </w:r>
      <w:r w:rsidR="007C5281">
        <w:rPr>
          <w:rFonts w:ascii="Arial" w:hAnsi="Arial"/>
        </w:rPr>
        <w:t>)</w:t>
      </w:r>
      <w:r w:rsidRPr="00525A80">
        <w:rPr>
          <w:rFonts w:ascii="Arial" w:hAnsi="Arial"/>
        </w:rPr>
        <w:t xml:space="preserve"> to verify the provisions of sections 1031 and 1043 have been met and that the deferral of gain (or loss) under those sections is allowable to the taxpayer</w:t>
      </w:r>
      <w:r w:rsidRPr="008F4457">
        <w:rPr>
          <w:rFonts w:ascii="Arial" w:hAnsi="Arial"/>
        </w:rPr>
        <w:t xml:space="preserve">.  </w:t>
      </w:r>
    </w:p>
    <w:p w:rsidR="00B70140" w:rsidRPr="008F4457" w14:paraId="48592F98" w14:textId="77777777">
      <w:pPr>
        <w:rPr>
          <w:rFonts w:ascii="Arial" w:hAnsi="Arial"/>
        </w:rPr>
      </w:pPr>
      <w:r w:rsidRPr="008F4457">
        <w:rPr>
          <w:rFonts w:ascii="Arial" w:hAnsi="Arial"/>
        </w:rPr>
        <w:t xml:space="preserve">               </w:t>
      </w:r>
    </w:p>
    <w:p w:rsidR="00B70140" w:rsidRPr="008F4457" w14:paraId="2083B004" w14:textId="77777777">
      <w:pPr>
        <w:pStyle w:val="Level1"/>
        <w:numPr>
          <w:ilvl w:val="0"/>
          <w:numId w:val="1"/>
        </w:numPr>
        <w:tabs>
          <w:tab w:val="left" w:pos="-1440"/>
          <w:tab w:val="num" w:pos="720"/>
        </w:tabs>
        <w:rPr>
          <w:rFonts w:ascii="Arial" w:hAnsi="Arial"/>
          <w:b/>
        </w:rPr>
      </w:pPr>
      <w:r w:rsidRPr="008F4457">
        <w:rPr>
          <w:rFonts w:ascii="Arial" w:hAnsi="Arial"/>
          <w:b/>
          <w:u w:val="single"/>
        </w:rPr>
        <w:t>USE OF IMPROVED INFORMATION TECHNOLOGY TO REDUCE BURDEN</w:t>
      </w:r>
    </w:p>
    <w:p w:rsidR="00B70140" w:rsidRPr="008F4457" w14:paraId="77043C1A" w14:textId="77777777">
      <w:pPr>
        <w:rPr>
          <w:rFonts w:ascii="Arial" w:hAnsi="Arial"/>
          <w:b/>
        </w:rPr>
      </w:pPr>
    </w:p>
    <w:p w:rsidR="00EB23D2" w:rsidRPr="00EB23D2" w:rsidP="00EB23D2" w14:paraId="16714B0E" w14:textId="1C0E4F9A">
      <w:pPr>
        <w:ind w:left="720"/>
        <w:rPr>
          <w:rFonts w:ascii="Arial" w:hAnsi="Arial"/>
        </w:rPr>
      </w:pPr>
      <w:r w:rsidRPr="00525A80">
        <w:rPr>
          <w:rFonts w:ascii="Arial" w:hAnsi="Arial"/>
        </w:rPr>
        <w:t>We are currently offering electronic filing for Form 8824</w:t>
      </w:r>
      <w:r w:rsidRPr="00EB23D2">
        <w:rPr>
          <w:rFonts w:ascii="Arial" w:hAnsi="Arial"/>
        </w:rPr>
        <w:t>.</w:t>
      </w:r>
    </w:p>
    <w:p w:rsidR="00B70140" w:rsidRPr="008F4457" w14:paraId="59CA08BC" w14:textId="77777777">
      <w:pPr>
        <w:rPr>
          <w:rFonts w:ascii="Arial" w:hAnsi="Arial"/>
        </w:rPr>
      </w:pPr>
    </w:p>
    <w:p w:rsidR="00B70140" w:rsidRPr="008F4457" w14:paraId="36BDF21C" w14:textId="77777777">
      <w:pPr>
        <w:pStyle w:val="Level1"/>
        <w:numPr>
          <w:ilvl w:val="0"/>
          <w:numId w:val="1"/>
        </w:numPr>
        <w:tabs>
          <w:tab w:val="left" w:pos="-1440"/>
          <w:tab w:val="num" w:pos="720"/>
        </w:tabs>
        <w:rPr>
          <w:rFonts w:ascii="Arial" w:hAnsi="Arial"/>
          <w:b/>
        </w:rPr>
      </w:pPr>
      <w:r w:rsidRPr="008F4457">
        <w:rPr>
          <w:rFonts w:ascii="Arial" w:hAnsi="Arial"/>
          <w:b/>
          <w:u w:val="single"/>
        </w:rPr>
        <w:t>EFFORTS TO IDENTIFY DUPLICATION</w:t>
      </w:r>
    </w:p>
    <w:p w:rsidR="00B70140" w:rsidRPr="008F4457" w14:paraId="2FFDDF89" w14:textId="77777777">
      <w:pPr>
        <w:rPr>
          <w:rFonts w:ascii="Arial" w:hAnsi="Arial"/>
        </w:rPr>
      </w:pPr>
    </w:p>
    <w:p w:rsidR="00B70140" w:rsidRPr="008F4457" w14:paraId="3975498F" w14:textId="77777777">
      <w:pPr>
        <w:ind w:left="720"/>
        <w:rPr>
          <w:rFonts w:ascii="Arial" w:hAnsi="Arial"/>
        </w:rPr>
      </w:pPr>
      <w:r>
        <w:rPr>
          <w:rFonts w:ascii="Arial" w:hAnsi="Arial"/>
        </w:rPr>
        <w:t>The information obtained through this collection is unique and is not already available for use or adaptation from another source</w:t>
      </w:r>
      <w:r w:rsidRPr="008F4457">
        <w:rPr>
          <w:rFonts w:ascii="Arial" w:hAnsi="Arial"/>
        </w:rPr>
        <w:t xml:space="preserve">. </w:t>
      </w:r>
    </w:p>
    <w:p w:rsidR="00B70140" w:rsidRPr="008F4457" w14:paraId="6393D507" w14:textId="77777777">
      <w:pPr>
        <w:rPr>
          <w:rFonts w:ascii="Arial" w:hAnsi="Arial"/>
        </w:rPr>
      </w:pPr>
    </w:p>
    <w:p w:rsidR="00B70140" w:rsidRPr="008F4457" w14:paraId="396064D4" w14:textId="77777777">
      <w:pPr>
        <w:pStyle w:val="Level1"/>
        <w:numPr>
          <w:ilvl w:val="0"/>
          <w:numId w:val="1"/>
        </w:numPr>
        <w:tabs>
          <w:tab w:val="left" w:pos="-1440"/>
          <w:tab w:val="num" w:pos="720"/>
        </w:tabs>
        <w:rPr>
          <w:rFonts w:ascii="Arial" w:hAnsi="Arial"/>
          <w:b/>
        </w:rPr>
      </w:pPr>
      <w:r w:rsidRPr="008F4457">
        <w:rPr>
          <w:rFonts w:ascii="Arial" w:hAnsi="Arial"/>
          <w:b/>
          <w:u w:val="single"/>
        </w:rPr>
        <w:t>METHODS TO MINIMIZE BURDEN ON SMALL BUSINESSES OR OTHER</w:t>
      </w:r>
      <w:r w:rsidRPr="008F4457" w:rsidR="00B50637">
        <w:rPr>
          <w:rFonts w:ascii="Arial" w:hAnsi="Arial"/>
          <w:b/>
          <w:u w:val="single"/>
        </w:rPr>
        <w:t xml:space="preserve"> </w:t>
      </w:r>
      <w:r w:rsidRPr="008F4457">
        <w:rPr>
          <w:rFonts w:ascii="Arial" w:hAnsi="Arial"/>
          <w:b/>
          <w:u w:val="single"/>
        </w:rPr>
        <w:t>SMALL ENTITIES</w:t>
      </w:r>
    </w:p>
    <w:p w:rsidR="00B70140" w:rsidRPr="008F4457" w14:paraId="4208F973" w14:textId="77777777">
      <w:pPr>
        <w:rPr>
          <w:rFonts w:ascii="Arial" w:hAnsi="Arial"/>
        </w:rPr>
      </w:pPr>
    </w:p>
    <w:p w:rsidR="007644CE" w:rsidRPr="008F4457" w:rsidP="00106FC2" w14:paraId="6D5681D9" w14:textId="556365A2">
      <w:pPr>
        <w:ind w:left="720"/>
        <w:rPr>
          <w:rFonts w:ascii="Arial" w:hAnsi="Arial"/>
        </w:rPr>
      </w:pPr>
      <w:r w:rsidRPr="008D0BBD">
        <w:rPr>
          <w:rFonts w:ascii="Arial" w:hAnsi="Arial"/>
        </w:rPr>
        <w:t xml:space="preserve">This </w:t>
      </w:r>
      <w:r w:rsidRPr="008D0BBD" w:rsidR="00FE396C">
        <w:rPr>
          <w:rFonts w:ascii="Arial" w:hAnsi="Arial"/>
        </w:rPr>
        <w:t xml:space="preserve">collection </w:t>
      </w:r>
      <w:r w:rsidR="00FE396C">
        <w:rPr>
          <w:rFonts w:ascii="Arial" w:hAnsi="Arial"/>
        </w:rPr>
        <w:t>of</w:t>
      </w:r>
      <w:r w:rsidR="00966F8A">
        <w:rPr>
          <w:rFonts w:ascii="Arial" w:hAnsi="Arial"/>
        </w:rPr>
        <w:t xml:space="preserve"> information requirement will not have a significant economic impact on a substantial number of small entities.</w:t>
      </w:r>
    </w:p>
    <w:p w:rsidR="007644CE" w:rsidRPr="008F4457" w:rsidP="00106FC2" w14:paraId="2AC05034" w14:textId="77777777">
      <w:pPr>
        <w:ind w:left="720"/>
        <w:rPr>
          <w:rFonts w:ascii="Arial" w:hAnsi="Arial"/>
        </w:rPr>
      </w:pPr>
    </w:p>
    <w:p w:rsidR="00B70140" w:rsidRPr="008F4457" w14:paraId="2ED1A3CC" w14:textId="77777777">
      <w:pPr>
        <w:tabs>
          <w:tab w:val="left" w:pos="-1440"/>
        </w:tabs>
        <w:ind w:left="720" w:hanging="720"/>
        <w:rPr>
          <w:rFonts w:ascii="Arial" w:hAnsi="Arial"/>
        </w:rPr>
      </w:pPr>
      <w:r w:rsidRPr="008F4457">
        <w:rPr>
          <w:rFonts w:ascii="Arial" w:hAnsi="Arial"/>
        </w:rPr>
        <w:t xml:space="preserve">6. </w:t>
      </w:r>
      <w:r w:rsidRPr="008F4457">
        <w:rPr>
          <w:rFonts w:ascii="Arial" w:hAnsi="Arial"/>
        </w:rPr>
        <w:tab/>
      </w:r>
      <w:r w:rsidRPr="008F4457">
        <w:rPr>
          <w:rFonts w:ascii="Arial" w:hAnsi="Arial"/>
          <w:b/>
          <w:u w:val="single"/>
        </w:rPr>
        <w:t>CONSEQUENCES OF LESS FREQUENT COLLECTION ON FEDERAL PROGRAMS OR POLICY ACTIVITIES</w:t>
      </w:r>
    </w:p>
    <w:p w:rsidR="00B70140" w:rsidRPr="008F4457" w14:paraId="3B8598D5" w14:textId="77777777">
      <w:pPr>
        <w:rPr>
          <w:rFonts w:ascii="Arial" w:hAnsi="Arial"/>
        </w:rPr>
      </w:pPr>
    </w:p>
    <w:p w:rsidR="008F4457" w:rsidP="00BD72E3" w14:paraId="0F450769" w14:textId="7086084F">
      <w:pPr>
        <w:ind w:left="720"/>
        <w:rPr>
          <w:rFonts w:ascii="Arial" w:hAnsi="Arial"/>
        </w:rPr>
      </w:pPr>
      <w:r w:rsidRPr="00525A80">
        <w:rPr>
          <w:rFonts w:ascii="Arial" w:hAnsi="Arial"/>
        </w:rPr>
        <w:t>A less frequent collection would result in the IRS being unable to determine the amount of gain deferred on the like-kind exchange which would result in less taxes being collected on any future sale of the property and therefore not allow the IRS to meet its mission</w:t>
      </w:r>
      <w:r w:rsidRPr="00BD72E3" w:rsidR="00BD72E3">
        <w:rPr>
          <w:rFonts w:ascii="Arial" w:hAnsi="Arial"/>
        </w:rPr>
        <w:t>.</w:t>
      </w:r>
    </w:p>
    <w:p w:rsidR="00E845BF" w:rsidRPr="008F4457" w:rsidP="00BD72E3" w14:paraId="663A0D6D" w14:textId="77777777">
      <w:pPr>
        <w:ind w:left="720"/>
        <w:rPr>
          <w:rFonts w:ascii="Arial" w:hAnsi="Arial"/>
        </w:rPr>
      </w:pPr>
    </w:p>
    <w:p w:rsidR="00B70140" w:rsidRPr="008F4457" w14:paraId="5C21F6F9" w14:textId="77777777">
      <w:pPr>
        <w:pStyle w:val="Level1"/>
        <w:tabs>
          <w:tab w:val="left" w:pos="-1440"/>
          <w:tab w:val="num" w:pos="720"/>
        </w:tabs>
        <w:rPr>
          <w:rFonts w:ascii="Arial" w:hAnsi="Arial"/>
          <w:b/>
        </w:rPr>
      </w:pPr>
      <w:r w:rsidRPr="008F4457">
        <w:rPr>
          <w:rFonts w:ascii="Arial" w:hAnsi="Arial"/>
          <w:b/>
          <w:u w:val="single"/>
        </w:rPr>
        <w:t>SPECIAL CIRCUMSTANCES REQUIRING DATA COLLECTION TO BE</w:t>
      </w:r>
      <w:r w:rsidRPr="008F4457" w:rsidR="00FA042B">
        <w:rPr>
          <w:rFonts w:ascii="Arial" w:hAnsi="Arial"/>
          <w:b/>
          <w:u w:val="single"/>
        </w:rPr>
        <w:t xml:space="preserve"> </w:t>
      </w:r>
      <w:r w:rsidRPr="008F4457">
        <w:rPr>
          <w:rFonts w:ascii="Arial" w:hAnsi="Arial"/>
          <w:b/>
          <w:u w:val="single"/>
        </w:rPr>
        <w:t>INCONSISTENT WITH GUIDELINES IN 5 CFR 1320.5(d)(2)</w:t>
      </w:r>
    </w:p>
    <w:p w:rsidR="00B70140" w:rsidRPr="008F4457" w14:paraId="1E0C8946" w14:textId="77777777">
      <w:pPr>
        <w:rPr>
          <w:rFonts w:ascii="Arial" w:hAnsi="Arial"/>
        </w:rPr>
      </w:pPr>
    </w:p>
    <w:p w:rsidR="006130F7" w:rsidRPr="008F4457" w:rsidP="00106FC2" w14:paraId="40878D7E" w14:textId="68F50C0A">
      <w:pPr>
        <w:ind w:left="720"/>
        <w:rPr>
          <w:rFonts w:ascii="Arial" w:hAnsi="Arial"/>
        </w:rPr>
      </w:pPr>
      <w:r w:rsidRPr="008F4457">
        <w:rPr>
          <w:rFonts w:ascii="Arial" w:hAnsi="Arial"/>
        </w:rPr>
        <w:t>There are no special circumstances requiring data collection to be inconsistent with Guidelines in 5 CFR 1320.5(d)(2).</w:t>
      </w:r>
    </w:p>
    <w:p w:rsidR="00106FC2" w:rsidRPr="008F4457" w14:paraId="74930D1F" w14:textId="77777777">
      <w:pPr>
        <w:rPr>
          <w:rFonts w:ascii="Arial" w:hAnsi="Arial"/>
        </w:rPr>
      </w:pPr>
    </w:p>
    <w:p w:rsidR="00B70140" w:rsidRPr="008F4457" w14:paraId="486B57B8" w14:textId="77777777">
      <w:pPr>
        <w:pStyle w:val="Level1"/>
        <w:tabs>
          <w:tab w:val="left" w:pos="-1440"/>
          <w:tab w:val="num" w:pos="720"/>
        </w:tabs>
        <w:rPr>
          <w:rFonts w:ascii="Arial" w:hAnsi="Arial"/>
          <w:b/>
        </w:rPr>
      </w:pPr>
      <w:r w:rsidRPr="008F4457">
        <w:rPr>
          <w:rFonts w:ascii="Arial" w:hAnsi="Arial"/>
          <w:b/>
          <w:u w:val="single"/>
        </w:rPr>
        <w:t>CONSULTATION WITH INDIVIDUALS OUTSIDE OF THE AGENCY ON</w:t>
      </w:r>
      <w:r w:rsidRPr="008F4457" w:rsidR="00B50637">
        <w:rPr>
          <w:rFonts w:ascii="Arial" w:hAnsi="Arial"/>
          <w:b/>
          <w:u w:val="single"/>
        </w:rPr>
        <w:t xml:space="preserve"> </w:t>
      </w:r>
      <w:r w:rsidRPr="008F4457">
        <w:rPr>
          <w:rFonts w:ascii="Arial" w:hAnsi="Arial"/>
          <w:b/>
          <w:u w:val="single"/>
        </w:rPr>
        <w:t>AVAILABILITY OF DATA, FREQUENCY OF COLLECTION, CLARITY OF INSTRUCTIONS AND FORMS, AND DATA ELEMENTS</w:t>
      </w:r>
    </w:p>
    <w:p w:rsidR="006633D9" w14:paraId="5911189E" w14:textId="77777777">
      <w:pPr>
        <w:rPr>
          <w:rFonts w:ascii="Arial" w:hAnsi="Arial"/>
          <w:b/>
        </w:rPr>
      </w:pPr>
    </w:p>
    <w:p w:rsidR="0068201F" w:rsidRPr="0068201F" w:rsidP="0068201F" w14:paraId="4990D6F2" w14:textId="71362E33">
      <w:pPr>
        <w:ind w:left="720"/>
        <w:rPr>
          <w:rFonts w:ascii="Arial" w:hAnsi="Arial"/>
        </w:rPr>
      </w:pPr>
      <w:r w:rsidRPr="0068201F">
        <w:rPr>
          <w:rFonts w:ascii="Arial" w:hAnsi="Arial"/>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sidR="00525A80">
        <w:rPr>
          <w:rFonts w:ascii="Arial" w:hAnsi="Arial"/>
        </w:rPr>
        <w:t>8824</w:t>
      </w:r>
      <w:r w:rsidRPr="0068201F">
        <w:rPr>
          <w:rFonts w:ascii="Arial" w:hAnsi="Arial"/>
        </w:rPr>
        <w:t xml:space="preserve">.  </w:t>
      </w:r>
    </w:p>
    <w:p w:rsidR="0068201F" w:rsidRPr="0068201F" w:rsidP="0068201F" w14:paraId="5492E1D2" w14:textId="77777777">
      <w:pPr>
        <w:ind w:left="720"/>
        <w:rPr>
          <w:rFonts w:ascii="Arial" w:hAnsi="Arial"/>
        </w:rPr>
      </w:pPr>
    </w:p>
    <w:p w:rsidR="00EB23D2" w:rsidP="0068201F" w14:paraId="7FEA3904" w14:textId="67318FCB">
      <w:pPr>
        <w:ind w:left="720"/>
        <w:rPr>
          <w:rFonts w:ascii="Arial" w:hAnsi="Arial"/>
        </w:rPr>
      </w:pPr>
      <w:r w:rsidRPr="0068201F">
        <w:rPr>
          <w:rFonts w:ascii="Arial" w:hAnsi="Arial"/>
        </w:rPr>
        <w:t xml:space="preserve">In response to the Federal Register notice dated </w:t>
      </w:r>
      <w:r w:rsidR="00525A80">
        <w:rPr>
          <w:rFonts w:ascii="Arial" w:hAnsi="Arial"/>
        </w:rPr>
        <w:t xml:space="preserve">September </w:t>
      </w:r>
      <w:r w:rsidR="00606999">
        <w:rPr>
          <w:rFonts w:ascii="Arial" w:hAnsi="Arial"/>
        </w:rPr>
        <w:t>14</w:t>
      </w:r>
      <w:r w:rsidRPr="0068201F">
        <w:rPr>
          <w:rFonts w:ascii="Arial" w:hAnsi="Arial"/>
        </w:rPr>
        <w:t xml:space="preserve">, 2023, (88 FR </w:t>
      </w:r>
      <w:r w:rsidR="00606999">
        <w:rPr>
          <w:rFonts w:ascii="Arial" w:hAnsi="Arial"/>
        </w:rPr>
        <w:t>63199</w:t>
      </w:r>
      <w:r w:rsidRPr="0068201F">
        <w:rPr>
          <w:rFonts w:ascii="Arial" w:hAnsi="Arial"/>
        </w:rPr>
        <w:t xml:space="preserve">). We received </w:t>
      </w:r>
      <w:r w:rsidR="007840AE">
        <w:rPr>
          <w:rFonts w:ascii="Arial" w:hAnsi="Arial"/>
        </w:rPr>
        <w:t xml:space="preserve">one </w:t>
      </w:r>
      <w:r w:rsidRPr="0068201F">
        <w:rPr>
          <w:rFonts w:ascii="Arial" w:hAnsi="Arial"/>
        </w:rPr>
        <w:t>comment</w:t>
      </w:r>
      <w:r w:rsidR="007840AE">
        <w:rPr>
          <w:rFonts w:ascii="Arial" w:hAnsi="Arial"/>
        </w:rPr>
        <w:t xml:space="preserve"> letter</w:t>
      </w:r>
      <w:r w:rsidRPr="0068201F">
        <w:rPr>
          <w:rFonts w:ascii="Arial" w:hAnsi="Arial"/>
        </w:rPr>
        <w:t xml:space="preserve"> during the comment period regarding Form </w:t>
      </w:r>
      <w:r>
        <w:rPr>
          <w:rFonts w:ascii="Arial" w:hAnsi="Arial"/>
        </w:rPr>
        <w:t>88</w:t>
      </w:r>
      <w:r w:rsidR="00525A80">
        <w:rPr>
          <w:rFonts w:ascii="Arial" w:hAnsi="Arial"/>
        </w:rPr>
        <w:t>24</w:t>
      </w:r>
      <w:r w:rsidRPr="008F4457">
        <w:rPr>
          <w:rFonts w:ascii="Arial" w:hAnsi="Arial"/>
        </w:rPr>
        <w:t>.</w:t>
      </w:r>
      <w:r w:rsidR="007840AE">
        <w:rPr>
          <w:rFonts w:ascii="Arial" w:hAnsi="Arial"/>
        </w:rPr>
        <w:t xml:space="preserve">  </w:t>
      </w:r>
    </w:p>
    <w:p w:rsidR="007840AE" w:rsidP="0068201F" w14:paraId="73664984" w14:textId="361F46F0">
      <w:pPr>
        <w:ind w:left="720"/>
        <w:rPr>
          <w:rFonts w:ascii="Arial" w:hAnsi="Arial"/>
        </w:rPr>
      </w:pPr>
    </w:p>
    <w:p w:rsidR="007840AE" w:rsidP="007840AE" w14:paraId="68F133EF" w14:textId="1482011B">
      <w:pPr>
        <w:ind w:left="720"/>
        <w:rPr>
          <w:rFonts w:ascii="Arial" w:hAnsi="Arial"/>
        </w:rPr>
      </w:pPr>
      <w:r>
        <w:rPr>
          <w:rFonts w:ascii="Arial" w:hAnsi="Arial"/>
        </w:rPr>
        <w:t xml:space="preserve">This comment letter was related to the </w:t>
      </w:r>
      <w:r w:rsidRPr="007840AE">
        <w:rPr>
          <w:rFonts w:ascii="Arial" w:hAnsi="Arial"/>
        </w:rPr>
        <w:t>instructions to Form 8824 regarding Section 1245 recapture</w:t>
      </w:r>
      <w:r>
        <w:rPr>
          <w:rFonts w:ascii="Arial" w:hAnsi="Arial"/>
        </w:rPr>
        <w:t xml:space="preserve">.  The taxpayer suggested modifying the instructions for line 21 </w:t>
      </w:r>
      <w:r w:rsidRPr="007840AE">
        <w:rPr>
          <w:rFonts w:ascii="Arial" w:hAnsi="Arial"/>
        </w:rPr>
        <w:t>to include a discussion of the non-1245 language and how it affects the gain</w:t>
      </w:r>
      <w:r>
        <w:rPr>
          <w:rFonts w:ascii="Arial" w:hAnsi="Arial"/>
        </w:rPr>
        <w:t xml:space="preserve"> </w:t>
      </w:r>
      <w:r w:rsidRPr="007840AE">
        <w:rPr>
          <w:rFonts w:ascii="Arial" w:hAnsi="Arial"/>
        </w:rPr>
        <w:t>recognized from section 1245 recapture</w:t>
      </w:r>
      <w:r>
        <w:rPr>
          <w:rFonts w:ascii="Arial" w:hAnsi="Arial"/>
        </w:rPr>
        <w:t xml:space="preserve">.  The comment letter was forwarded to the office, within the Tax Forms &amp; Publication Division, for consideration and review in the upcoming revision cycle of the form and instructions.  </w:t>
      </w:r>
      <w:r w:rsidRPr="00093B39" w:rsidR="00093B39">
        <w:rPr>
          <w:rFonts w:ascii="Arial" w:hAnsi="Arial"/>
        </w:rPr>
        <w:t xml:space="preserve">In response, and as part of our ongoing review of the instructions to Form 8824, </w:t>
      </w:r>
      <w:r w:rsidR="00093B39">
        <w:rPr>
          <w:rFonts w:ascii="Arial" w:hAnsi="Arial"/>
        </w:rPr>
        <w:t xml:space="preserve">efforts will be made to </w:t>
      </w:r>
      <w:r w:rsidRPr="00093B39" w:rsidR="00093B39">
        <w:rPr>
          <w:rFonts w:ascii="Arial" w:hAnsi="Arial"/>
        </w:rPr>
        <w:t>amend or clarify the example to address Ms. Foster’s comment.</w:t>
      </w:r>
      <w:r>
        <w:rPr>
          <w:rFonts w:ascii="Arial" w:hAnsi="Arial"/>
        </w:rPr>
        <w:t xml:space="preserve"> </w:t>
      </w:r>
    </w:p>
    <w:p w:rsidR="00B70140" w14:paraId="6F1A0786" w14:textId="6E6984BD">
      <w:pPr>
        <w:rPr>
          <w:rFonts w:ascii="Arial" w:hAnsi="Arial"/>
        </w:rPr>
      </w:pPr>
    </w:p>
    <w:p w:rsidR="007840AE" w14:paraId="611628D1" w14:textId="2A28B1F8">
      <w:pPr>
        <w:rPr>
          <w:rFonts w:ascii="Arial" w:hAnsi="Arial"/>
        </w:rPr>
      </w:pPr>
    </w:p>
    <w:p w:rsidR="007840AE" w:rsidRPr="008F4457" w14:paraId="76403AFA" w14:textId="77777777">
      <w:pPr>
        <w:rPr>
          <w:rFonts w:ascii="Arial" w:hAnsi="Arial"/>
        </w:rPr>
      </w:pPr>
    </w:p>
    <w:p w:rsidR="00B70140" w:rsidRPr="008F4457" w14:paraId="549F9744" w14:textId="77777777">
      <w:pPr>
        <w:pStyle w:val="Level1"/>
        <w:tabs>
          <w:tab w:val="left" w:pos="-1440"/>
          <w:tab w:val="num" w:pos="720"/>
        </w:tabs>
        <w:rPr>
          <w:rFonts w:ascii="Arial" w:hAnsi="Arial"/>
          <w:b/>
        </w:rPr>
      </w:pPr>
      <w:r w:rsidRPr="008F4457">
        <w:rPr>
          <w:rFonts w:ascii="Arial" w:hAnsi="Arial"/>
          <w:b/>
          <w:u w:val="single"/>
        </w:rPr>
        <w:t>EXPLANATION OF DECISION TO PROVIDE ANY PAYMENT OR GIFT TO</w:t>
      </w:r>
      <w:r w:rsidRPr="008F4457">
        <w:rPr>
          <w:rFonts w:ascii="Arial" w:hAnsi="Arial"/>
          <w:b/>
        </w:rPr>
        <w:t xml:space="preserve">   </w:t>
      </w:r>
      <w:r w:rsidRPr="008F4457">
        <w:rPr>
          <w:rFonts w:ascii="Arial" w:hAnsi="Arial"/>
          <w:b/>
          <w:u w:val="single"/>
        </w:rPr>
        <w:t>RESPONDENTS</w:t>
      </w:r>
    </w:p>
    <w:p w:rsidR="00B70140" w:rsidRPr="008F4457" w14:paraId="097AE1A6" w14:textId="77777777">
      <w:pPr>
        <w:rPr>
          <w:rFonts w:ascii="Arial" w:hAnsi="Arial"/>
        </w:rPr>
      </w:pPr>
    </w:p>
    <w:p w:rsidR="00B70140" w:rsidRPr="008F4457" w:rsidP="00106FC2" w14:paraId="4A2F5DE5" w14:textId="77777777">
      <w:pPr>
        <w:ind w:left="720"/>
        <w:rPr>
          <w:rFonts w:ascii="Arial" w:hAnsi="Arial"/>
        </w:rPr>
      </w:pPr>
      <w:r w:rsidRPr="008F4457">
        <w:rPr>
          <w:rFonts w:ascii="Arial" w:hAnsi="Arial"/>
        </w:rPr>
        <w:t>No payment or gift has been provided to any respondents.</w:t>
      </w:r>
    </w:p>
    <w:p w:rsidR="00106FC2" w:rsidRPr="008F4457" w14:paraId="1631E3B3" w14:textId="77777777">
      <w:pPr>
        <w:rPr>
          <w:rFonts w:ascii="Arial" w:hAnsi="Arial"/>
        </w:rPr>
      </w:pPr>
    </w:p>
    <w:p w:rsidR="00B70140" w:rsidRPr="008F4457" w14:paraId="12F904C6" w14:textId="77777777">
      <w:pPr>
        <w:pStyle w:val="Level1"/>
        <w:tabs>
          <w:tab w:val="left" w:pos="-1440"/>
          <w:tab w:val="num" w:pos="720"/>
        </w:tabs>
        <w:rPr>
          <w:rFonts w:ascii="Arial" w:hAnsi="Arial"/>
          <w:b/>
        </w:rPr>
      </w:pPr>
      <w:r w:rsidRPr="008F4457">
        <w:rPr>
          <w:rFonts w:ascii="Arial" w:hAnsi="Arial"/>
          <w:b/>
          <w:u w:val="single"/>
        </w:rPr>
        <w:t>ASSURANCE OF CONFIDENTIALITY OF RESPONSES</w:t>
      </w:r>
    </w:p>
    <w:p w:rsidR="00B70140" w:rsidRPr="008F4457" w14:paraId="7638E2FD" w14:textId="77777777">
      <w:pPr>
        <w:rPr>
          <w:rFonts w:ascii="Arial" w:hAnsi="Arial"/>
        </w:rPr>
      </w:pPr>
    </w:p>
    <w:p w:rsidR="007644CE" w:rsidRPr="008F4457" w:rsidP="008F4457" w14:paraId="7F68F38D" w14:textId="77777777">
      <w:pPr>
        <w:ind w:left="720"/>
        <w:rPr>
          <w:rFonts w:ascii="Arial" w:hAnsi="Arial"/>
        </w:rPr>
      </w:pPr>
      <w:r w:rsidRPr="008F4457">
        <w:rPr>
          <w:rFonts w:ascii="Arial" w:hAnsi="Arial"/>
        </w:rPr>
        <w:t>Generally, tax returns and tax return information are confidential as required by 26 USC 6103.</w:t>
      </w:r>
    </w:p>
    <w:p w:rsidR="007644CE" w:rsidRPr="008F4457" w14:paraId="78545AEF" w14:textId="77777777">
      <w:pPr>
        <w:rPr>
          <w:rFonts w:ascii="Arial" w:hAnsi="Arial"/>
        </w:rPr>
      </w:pPr>
    </w:p>
    <w:p w:rsidR="00B70140" w:rsidRPr="008F4457" w14:paraId="5731869F" w14:textId="77777777">
      <w:pPr>
        <w:pStyle w:val="Level1"/>
        <w:tabs>
          <w:tab w:val="left" w:pos="-1440"/>
          <w:tab w:val="num" w:pos="720"/>
        </w:tabs>
        <w:rPr>
          <w:rFonts w:ascii="Arial" w:hAnsi="Arial"/>
          <w:b/>
          <w:u w:val="single"/>
        </w:rPr>
      </w:pPr>
      <w:r w:rsidRPr="008F4457">
        <w:rPr>
          <w:rFonts w:ascii="Arial" w:hAnsi="Arial"/>
          <w:b/>
          <w:u w:val="single"/>
        </w:rPr>
        <w:t>JUSTIFICATION OF SENSITIVE QUESTIONS</w:t>
      </w:r>
    </w:p>
    <w:p w:rsidR="00B70140" w:rsidRPr="008F4457" w14:paraId="22066F16" w14:textId="77777777">
      <w:pPr>
        <w:rPr>
          <w:rFonts w:ascii="Arial" w:hAnsi="Arial"/>
          <w:b/>
          <w:u w:val="single"/>
        </w:rPr>
      </w:pPr>
    </w:p>
    <w:p w:rsidR="00106FC2" w:rsidRPr="008F4457" w:rsidP="00106FC2" w14:paraId="6BE052FD" w14:textId="5E285ECF">
      <w:pPr>
        <w:ind w:left="720"/>
        <w:rPr>
          <w:rFonts w:ascii="Arial" w:hAnsi="Arial"/>
        </w:rPr>
      </w:pPr>
      <w:r w:rsidRPr="00525A80">
        <w:rPr>
          <w:rFonts w:ascii="Arial" w:hAnsi="Arial"/>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and IRS 34.037 IRS Audit Trail and Security Records System.  The Internal Revenue Service PIAs can be found at </w:t>
      </w:r>
      <w:hyperlink r:id="rId4" w:history="1">
        <w:r w:rsidRPr="00271EF8">
          <w:rPr>
            <w:rStyle w:val="Hyperlink"/>
            <w:rFonts w:ascii="Arial" w:hAnsi="Arial"/>
          </w:rPr>
          <w:t>https://www.irs.gov/uac/Privacy-Impact-Assessments-PIA</w:t>
        </w:r>
      </w:hyperlink>
      <w:r>
        <w:rPr>
          <w:rFonts w:ascii="Arial" w:hAnsi="Arial"/>
        </w:rPr>
        <w:t xml:space="preserve">. </w:t>
      </w:r>
      <w:r w:rsidRPr="008F4457">
        <w:rPr>
          <w:rFonts w:ascii="Arial" w:hAnsi="Arial"/>
        </w:rPr>
        <w:t xml:space="preserve"> </w:t>
      </w:r>
    </w:p>
    <w:p w:rsidR="00106FC2" w:rsidRPr="008F4457" w:rsidP="00106FC2" w14:paraId="17DCB65D" w14:textId="77777777">
      <w:pPr>
        <w:ind w:left="720"/>
        <w:rPr>
          <w:rFonts w:ascii="Arial" w:hAnsi="Arial"/>
        </w:rPr>
      </w:pPr>
    </w:p>
    <w:p w:rsidR="00B70140" w:rsidRPr="008F4457" w:rsidP="00106FC2" w14:paraId="094CCA68" w14:textId="77777777">
      <w:pPr>
        <w:ind w:left="720"/>
        <w:rPr>
          <w:rFonts w:ascii="Arial" w:hAnsi="Arial"/>
        </w:rPr>
      </w:pPr>
      <w:r w:rsidRPr="008F4457">
        <w:rPr>
          <w:rFonts w:ascii="Arial" w:hAnsi="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7004EA" w:rsidRPr="008F4457" w:rsidP="00106FC2" w14:paraId="5B523824" w14:textId="77777777">
      <w:pPr>
        <w:ind w:left="720"/>
        <w:rPr>
          <w:rFonts w:ascii="Arial" w:hAnsi="Arial"/>
        </w:rPr>
      </w:pPr>
    </w:p>
    <w:p w:rsidR="00B70140" w:rsidRPr="008F4457" w14:paraId="7C4092A5" w14:textId="77777777">
      <w:pPr>
        <w:pStyle w:val="Level1"/>
        <w:tabs>
          <w:tab w:val="left" w:pos="-1440"/>
          <w:tab w:val="num" w:pos="720"/>
        </w:tabs>
        <w:ind w:left="7920" w:hanging="7920"/>
        <w:rPr>
          <w:rFonts w:ascii="Arial" w:hAnsi="Arial"/>
        </w:rPr>
      </w:pPr>
      <w:r w:rsidRPr="008F4457">
        <w:rPr>
          <w:rFonts w:ascii="Arial" w:hAnsi="Arial"/>
          <w:b/>
          <w:u w:val="single"/>
        </w:rPr>
        <w:t>ESTIMATED BURDEN OF INFORMATION COLLECTION</w:t>
      </w:r>
    </w:p>
    <w:p w:rsidR="00B70140" w:rsidRPr="008F4457" w14:paraId="5446AE6A" w14:textId="77777777">
      <w:pPr>
        <w:rPr>
          <w:rFonts w:ascii="Arial" w:hAnsi="Arial"/>
        </w:rPr>
      </w:pPr>
    </w:p>
    <w:p w:rsidR="007F6791" w:rsidP="00056C6F" w14:paraId="030964C8" w14:textId="537A97EE">
      <w:pPr>
        <w:ind w:left="720"/>
        <w:rPr>
          <w:rFonts w:ascii="Arial" w:hAnsi="Arial"/>
        </w:rPr>
      </w:pPr>
      <w:r w:rsidRPr="00056C6F">
        <w:rPr>
          <w:rFonts w:ascii="Arial" w:hAnsi="Arial"/>
        </w:rPr>
        <w:t>Section 1031 requires individuals, partnerships, and other entities to report the exchange of business or investment property, and the deferral of gains from such transactions. Section 1043 allows certain members of the executive branch to defer the gain from conflict-of-interest sales.</w:t>
      </w:r>
      <w:r>
        <w:rPr>
          <w:rFonts w:ascii="Arial" w:hAnsi="Arial"/>
        </w:rPr>
        <w:t xml:space="preserve">  </w:t>
      </w:r>
      <w:r w:rsidRPr="007F6791">
        <w:rPr>
          <w:rFonts w:ascii="Arial" w:hAnsi="Arial"/>
        </w:rPr>
        <w:t xml:space="preserve">Form </w:t>
      </w:r>
      <w:r w:rsidR="00525A80">
        <w:rPr>
          <w:rFonts w:ascii="Arial" w:hAnsi="Arial"/>
        </w:rPr>
        <w:t>8824</w:t>
      </w:r>
      <w:r w:rsidRPr="007F6791">
        <w:rPr>
          <w:rFonts w:ascii="Arial" w:hAnsi="Arial"/>
        </w:rPr>
        <w:t xml:space="preserve">, </w:t>
      </w:r>
      <w:r w:rsidRPr="00056C6F">
        <w:rPr>
          <w:rFonts w:ascii="Arial" w:hAnsi="Arial"/>
          <w:i/>
          <w:iCs/>
        </w:rPr>
        <w:t>Like-Kind Exchanges</w:t>
      </w:r>
      <w:r>
        <w:rPr>
          <w:rFonts w:ascii="Arial" w:hAnsi="Arial"/>
          <w:i/>
          <w:iCs/>
        </w:rPr>
        <w:t>,</w:t>
      </w:r>
      <w:r w:rsidRPr="007F6791">
        <w:rPr>
          <w:rFonts w:ascii="Arial" w:hAnsi="Arial"/>
        </w:rPr>
        <w:t xml:space="preserve"> is used </w:t>
      </w:r>
      <w:r w:rsidRPr="00056C6F">
        <w:rPr>
          <w:rFonts w:ascii="Arial" w:hAnsi="Arial"/>
        </w:rPr>
        <w:t>to report each exchange of business or investment property for property of a like kind</w:t>
      </w:r>
      <w:r w:rsidRPr="007F6791">
        <w:rPr>
          <w:rFonts w:ascii="Arial" w:hAnsi="Arial"/>
        </w:rPr>
        <w:t xml:space="preserve">. </w:t>
      </w:r>
      <w:r w:rsidRPr="00056C6F">
        <w:rPr>
          <w:rFonts w:ascii="Arial" w:hAnsi="Arial"/>
        </w:rPr>
        <w:t xml:space="preserve">The total burden for these requirements is estimated to be </w:t>
      </w:r>
      <w:r w:rsidR="00EB4846">
        <w:rPr>
          <w:rFonts w:ascii="Arial" w:hAnsi="Arial"/>
        </w:rPr>
        <w:t>2,364,433</w:t>
      </w:r>
      <w:r w:rsidRPr="00056C6F">
        <w:rPr>
          <w:rFonts w:ascii="Arial" w:hAnsi="Arial"/>
        </w:rPr>
        <w:t xml:space="preserve"> hours</w:t>
      </w:r>
      <w:r>
        <w:rPr>
          <w:rFonts w:ascii="Arial" w:hAnsi="Arial"/>
        </w:rPr>
        <w:t>.</w:t>
      </w:r>
    </w:p>
    <w:p w:rsidR="007F6791" w14:paraId="3A0F03E4" w14:textId="19237864">
      <w:pPr>
        <w:ind w:left="720"/>
        <w:rPr>
          <w:rFonts w:ascii="Arial" w:hAnsi="Arial"/>
        </w:rPr>
      </w:pPr>
    </w:p>
    <w:p w:rsidR="007840AE" w14:paraId="00CE59A4" w14:textId="07519CBB">
      <w:pPr>
        <w:ind w:left="720"/>
        <w:rPr>
          <w:rFonts w:ascii="Arial" w:hAnsi="Arial"/>
        </w:rPr>
      </w:pPr>
    </w:p>
    <w:p w:rsidR="007840AE" w14:paraId="60F67598" w14:textId="6A0A2E62">
      <w:pPr>
        <w:ind w:left="720"/>
        <w:rPr>
          <w:rFonts w:ascii="Arial" w:hAnsi="Arial"/>
        </w:rPr>
      </w:pPr>
    </w:p>
    <w:p w:rsidR="007840AE" w14:paraId="23A245D0" w14:textId="77777777">
      <w:pPr>
        <w:ind w:left="720"/>
        <w:rPr>
          <w:rFonts w:ascii="Arial" w:hAnsi="Arial"/>
        </w:rPr>
      </w:pPr>
    </w:p>
    <w:p w:rsidR="00B70140" w:rsidRPr="008F4457" w14:paraId="369DF6B2" w14:textId="4EF22848">
      <w:pPr>
        <w:ind w:left="720"/>
        <w:rPr>
          <w:rFonts w:ascii="Arial" w:hAnsi="Arial"/>
        </w:rPr>
      </w:pPr>
      <w:r w:rsidRPr="008F4457">
        <w:rPr>
          <w:rFonts w:ascii="Arial" w:hAnsi="Arial"/>
        </w:rPr>
        <w:t xml:space="preserve">The </w:t>
      </w:r>
      <w:r w:rsidRPr="008F4457" w:rsidR="009C573E">
        <w:rPr>
          <w:rFonts w:ascii="Arial" w:hAnsi="Arial"/>
        </w:rPr>
        <w:t xml:space="preserve">Form </w:t>
      </w:r>
      <w:r w:rsidR="00525A80">
        <w:rPr>
          <w:rFonts w:ascii="Arial" w:hAnsi="Arial"/>
        </w:rPr>
        <w:t>8824</w:t>
      </w:r>
      <w:r w:rsidRPr="008F4457" w:rsidR="009C573E">
        <w:rPr>
          <w:rFonts w:ascii="Arial" w:hAnsi="Arial"/>
        </w:rPr>
        <w:t xml:space="preserve"> </w:t>
      </w:r>
      <w:r w:rsidRPr="008F4457">
        <w:rPr>
          <w:rFonts w:ascii="Arial" w:hAnsi="Arial"/>
        </w:rPr>
        <w:t>burden estimate is as follows:</w:t>
      </w: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
        <w:gridCol w:w="1916"/>
        <w:gridCol w:w="1170"/>
        <w:gridCol w:w="1170"/>
        <w:gridCol w:w="1080"/>
        <w:gridCol w:w="1170"/>
        <w:gridCol w:w="1170"/>
      </w:tblGrid>
      <w:tr w14:paraId="1C24A6E0" w14:textId="77777777" w:rsidTr="004C79B2">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1" w:type="dxa"/>
            <w:shd w:val="clear" w:color="auto" w:fill="auto"/>
            <w:vAlign w:val="bottom"/>
          </w:tcPr>
          <w:p w:rsidR="00CF6D0F" w:rsidRPr="00C94E69" w:rsidP="00476004" w14:paraId="650DCA80" w14:textId="77777777">
            <w:pPr>
              <w:keepNext/>
              <w:keepLines/>
              <w:numPr>
                <w:ilvl w:val="12"/>
                <w:numId w:val="0"/>
              </w:numPr>
              <w:jc w:val="center"/>
              <w:rPr>
                <w:rFonts w:ascii="Arial Narrow" w:hAnsi="Arial Narrow"/>
                <w:b/>
                <w:sz w:val="18"/>
                <w:szCs w:val="18"/>
              </w:rPr>
            </w:pPr>
            <w:bookmarkStart w:id="1" w:name="_Hlk495931810"/>
            <w:r w:rsidRPr="00C94E69">
              <w:rPr>
                <w:rFonts w:ascii="Arial Narrow" w:hAnsi="Arial Narrow"/>
                <w:b/>
                <w:sz w:val="18"/>
                <w:szCs w:val="18"/>
              </w:rPr>
              <w:t>Authority</w:t>
            </w:r>
          </w:p>
        </w:tc>
        <w:tc>
          <w:tcPr>
            <w:tcW w:w="1916" w:type="dxa"/>
            <w:vAlign w:val="bottom"/>
          </w:tcPr>
          <w:p w:rsidR="00CF6D0F" w:rsidRPr="00C94E69" w:rsidP="00476004" w14:paraId="5D1E876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CF6D0F" w:rsidRPr="00C94E69" w:rsidP="00476004" w14:paraId="773DAB1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CF6D0F" w:rsidRPr="00C94E69" w:rsidP="00476004" w14:paraId="13D9C3C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CF6D0F" w:rsidRPr="00C94E69" w:rsidP="00476004" w14:paraId="2437D60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CF6D0F" w:rsidRPr="00C94E69" w:rsidP="00476004" w14:paraId="0D1B6BC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CF6D0F" w:rsidRPr="00C94E69" w:rsidP="00476004" w14:paraId="70021D2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2BEBAE43" w14:textId="77777777" w:rsidTr="004C79B2">
        <w:tblPrEx>
          <w:tblW w:w="8687" w:type="dxa"/>
          <w:tblInd w:w="715" w:type="dxa"/>
          <w:tblLook w:val="04A0"/>
        </w:tblPrEx>
        <w:tc>
          <w:tcPr>
            <w:tcW w:w="1011" w:type="dxa"/>
            <w:shd w:val="clear" w:color="auto" w:fill="auto"/>
            <w:vAlign w:val="bottom"/>
          </w:tcPr>
          <w:p w:rsidR="00CF6D0F" w:rsidRPr="00C94E69" w:rsidP="00CF6D0F" w14:paraId="4522AD3A" w14:textId="2833FE1F">
            <w:pPr>
              <w:keepNext/>
              <w:keepLines/>
              <w:numPr>
                <w:ilvl w:val="12"/>
                <w:numId w:val="0"/>
              </w:numPr>
              <w:jc w:val="center"/>
              <w:rPr>
                <w:rFonts w:ascii="Arial Narrow" w:hAnsi="Arial Narrow"/>
                <w:sz w:val="18"/>
                <w:szCs w:val="18"/>
              </w:rPr>
            </w:pPr>
            <w:r>
              <w:rPr>
                <w:rFonts w:ascii="Arial Narrow" w:hAnsi="Arial Narrow"/>
                <w:sz w:val="18"/>
                <w:szCs w:val="18"/>
              </w:rPr>
              <w:t>IRC 1031/1043</w:t>
            </w:r>
          </w:p>
        </w:tc>
        <w:tc>
          <w:tcPr>
            <w:tcW w:w="1916" w:type="dxa"/>
            <w:vAlign w:val="bottom"/>
          </w:tcPr>
          <w:p w:rsidR="00CF6D0F" w:rsidRPr="00C94E69" w:rsidP="0084600A" w14:paraId="5E5C5958" w14:textId="7E844C2C">
            <w:pPr>
              <w:keepNext/>
              <w:keepLines/>
              <w:numPr>
                <w:ilvl w:val="12"/>
                <w:numId w:val="0"/>
              </w:numPr>
              <w:jc w:val="center"/>
              <w:rPr>
                <w:rFonts w:ascii="Arial Narrow" w:hAnsi="Arial Narrow"/>
                <w:sz w:val="18"/>
                <w:szCs w:val="18"/>
              </w:rPr>
            </w:pPr>
            <w:r>
              <w:rPr>
                <w:rFonts w:ascii="Arial Narrow" w:hAnsi="Arial Narrow"/>
                <w:sz w:val="18"/>
                <w:szCs w:val="18"/>
              </w:rPr>
              <w:t>Form 8824</w:t>
            </w:r>
          </w:p>
        </w:tc>
        <w:tc>
          <w:tcPr>
            <w:tcW w:w="1170" w:type="dxa"/>
            <w:vAlign w:val="bottom"/>
          </w:tcPr>
          <w:p w:rsidR="00CF6D0F" w:rsidRPr="00C94E69" w:rsidP="00CF6D0F" w14:paraId="17DC658E" w14:textId="3FA7530A">
            <w:pPr>
              <w:keepNext/>
              <w:keepLines/>
              <w:numPr>
                <w:ilvl w:val="12"/>
                <w:numId w:val="0"/>
              </w:numPr>
              <w:jc w:val="center"/>
              <w:rPr>
                <w:rFonts w:ascii="Arial Narrow" w:hAnsi="Arial Narrow"/>
                <w:sz w:val="18"/>
                <w:szCs w:val="18"/>
              </w:rPr>
            </w:pPr>
            <w:r>
              <w:rPr>
                <w:rFonts w:ascii="Arial Narrow" w:hAnsi="Arial Narrow"/>
                <w:sz w:val="18"/>
                <w:szCs w:val="18"/>
              </w:rPr>
              <w:t>137,547</w:t>
            </w:r>
          </w:p>
        </w:tc>
        <w:tc>
          <w:tcPr>
            <w:tcW w:w="1170" w:type="dxa"/>
            <w:vAlign w:val="bottom"/>
          </w:tcPr>
          <w:p w:rsidR="00CF6D0F" w:rsidRPr="00C94E69" w:rsidP="00CF6D0F" w14:paraId="7D30B13A"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CF6D0F" w:rsidRPr="00C94E69" w:rsidP="00CF6D0F" w14:paraId="500C0A8F" w14:textId="2C755057">
            <w:pPr>
              <w:keepNext/>
              <w:keepLines/>
              <w:numPr>
                <w:ilvl w:val="12"/>
                <w:numId w:val="0"/>
              </w:numPr>
              <w:jc w:val="center"/>
              <w:rPr>
                <w:rFonts w:ascii="Arial Narrow" w:hAnsi="Arial Narrow"/>
                <w:sz w:val="18"/>
                <w:szCs w:val="18"/>
              </w:rPr>
            </w:pPr>
            <w:r>
              <w:rPr>
                <w:rFonts w:ascii="Arial Narrow" w:hAnsi="Arial Narrow"/>
                <w:sz w:val="18"/>
                <w:szCs w:val="18"/>
              </w:rPr>
              <w:t>137,547</w:t>
            </w:r>
          </w:p>
        </w:tc>
        <w:tc>
          <w:tcPr>
            <w:tcW w:w="1170" w:type="dxa"/>
            <w:vAlign w:val="bottom"/>
          </w:tcPr>
          <w:p w:rsidR="00CF6D0F" w:rsidRPr="00C94E69" w:rsidP="00CF6D0F" w14:paraId="78FDFFF7" w14:textId="28028CF0">
            <w:pPr>
              <w:keepNext/>
              <w:keepLines/>
              <w:numPr>
                <w:ilvl w:val="12"/>
                <w:numId w:val="0"/>
              </w:numPr>
              <w:jc w:val="center"/>
              <w:rPr>
                <w:rFonts w:ascii="Arial Narrow" w:hAnsi="Arial Narrow"/>
                <w:sz w:val="18"/>
                <w:szCs w:val="18"/>
              </w:rPr>
            </w:pPr>
            <w:r>
              <w:rPr>
                <w:rFonts w:ascii="Arial Narrow" w:hAnsi="Arial Narrow"/>
                <w:sz w:val="18"/>
                <w:szCs w:val="18"/>
              </w:rPr>
              <w:t>17.1900005</w:t>
            </w:r>
          </w:p>
        </w:tc>
        <w:tc>
          <w:tcPr>
            <w:tcW w:w="1170" w:type="dxa"/>
            <w:shd w:val="clear" w:color="auto" w:fill="auto"/>
            <w:vAlign w:val="bottom"/>
          </w:tcPr>
          <w:p w:rsidR="00CF6D0F" w:rsidRPr="00C94E69" w:rsidP="00CF6D0F" w14:paraId="435195C6" w14:textId="5B402114">
            <w:pPr>
              <w:keepNext/>
              <w:keepLines/>
              <w:numPr>
                <w:ilvl w:val="12"/>
                <w:numId w:val="0"/>
              </w:numPr>
              <w:jc w:val="center"/>
              <w:rPr>
                <w:rFonts w:ascii="Arial Narrow" w:hAnsi="Arial Narrow"/>
                <w:sz w:val="18"/>
                <w:szCs w:val="18"/>
              </w:rPr>
            </w:pPr>
            <w:r>
              <w:rPr>
                <w:rFonts w:ascii="Arial Narrow" w:hAnsi="Arial Narrow"/>
                <w:sz w:val="18"/>
                <w:szCs w:val="18"/>
              </w:rPr>
              <w:t>2,364,433</w:t>
            </w:r>
          </w:p>
        </w:tc>
      </w:tr>
      <w:tr w14:paraId="143AC3B1" w14:textId="77777777" w:rsidTr="004C79B2">
        <w:tblPrEx>
          <w:tblW w:w="8687" w:type="dxa"/>
          <w:tblInd w:w="715" w:type="dxa"/>
          <w:tblLook w:val="04A0"/>
        </w:tblPrEx>
        <w:tc>
          <w:tcPr>
            <w:tcW w:w="1011" w:type="dxa"/>
            <w:shd w:val="clear" w:color="auto" w:fill="auto"/>
            <w:vAlign w:val="bottom"/>
          </w:tcPr>
          <w:p w:rsidR="00CF6D0F" w:rsidRPr="00C94E69" w:rsidP="00CF6D0F" w14:paraId="5782F408"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CF6D0F" w:rsidRPr="00C94E69" w:rsidP="00CF6D0F" w14:paraId="55D8AD26" w14:textId="77777777">
            <w:pPr>
              <w:keepNext/>
              <w:keepLines/>
              <w:numPr>
                <w:ilvl w:val="12"/>
                <w:numId w:val="0"/>
              </w:numPr>
              <w:jc w:val="center"/>
              <w:rPr>
                <w:rFonts w:ascii="Arial Narrow" w:hAnsi="Arial Narrow"/>
                <w:sz w:val="18"/>
                <w:szCs w:val="18"/>
              </w:rPr>
            </w:pPr>
          </w:p>
        </w:tc>
        <w:tc>
          <w:tcPr>
            <w:tcW w:w="1170" w:type="dxa"/>
            <w:vAlign w:val="bottom"/>
          </w:tcPr>
          <w:p w:rsidR="00CF6D0F" w:rsidRPr="00C94E69" w:rsidP="00CF6D0F" w14:paraId="74776743" w14:textId="54042104">
            <w:pPr>
              <w:keepNext/>
              <w:keepLines/>
              <w:numPr>
                <w:ilvl w:val="12"/>
                <w:numId w:val="0"/>
              </w:numPr>
              <w:jc w:val="center"/>
              <w:rPr>
                <w:rFonts w:ascii="Arial Narrow" w:hAnsi="Arial Narrow"/>
                <w:sz w:val="18"/>
                <w:szCs w:val="18"/>
              </w:rPr>
            </w:pPr>
            <w:r>
              <w:rPr>
                <w:rFonts w:ascii="Arial Narrow" w:hAnsi="Arial Narrow"/>
                <w:sz w:val="18"/>
                <w:szCs w:val="18"/>
              </w:rPr>
              <w:t>137,547</w:t>
            </w:r>
          </w:p>
        </w:tc>
        <w:tc>
          <w:tcPr>
            <w:tcW w:w="1170" w:type="dxa"/>
            <w:shd w:val="clear" w:color="auto" w:fill="000000" w:themeFill="text1"/>
            <w:vAlign w:val="bottom"/>
          </w:tcPr>
          <w:p w:rsidR="00CF6D0F" w:rsidRPr="00C94E69" w:rsidP="00CF6D0F" w14:paraId="23C17B17"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CF6D0F" w:rsidRPr="00C94E69" w:rsidP="00CF6D0F" w14:paraId="509BDDAC" w14:textId="6F9F9A68">
            <w:pPr>
              <w:keepNext/>
              <w:keepLines/>
              <w:numPr>
                <w:ilvl w:val="12"/>
                <w:numId w:val="0"/>
              </w:numPr>
              <w:jc w:val="center"/>
              <w:rPr>
                <w:rFonts w:ascii="Arial Narrow" w:hAnsi="Arial Narrow"/>
                <w:sz w:val="18"/>
                <w:szCs w:val="18"/>
              </w:rPr>
            </w:pPr>
            <w:r>
              <w:rPr>
                <w:rFonts w:ascii="Arial Narrow" w:hAnsi="Arial Narrow"/>
                <w:sz w:val="18"/>
                <w:szCs w:val="18"/>
              </w:rPr>
              <w:t>137,547</w:t>
            </w:r>
          </w:p>
        </w:tc>
        <w:tc>
          <w:tcPr>
            <w:tcW w:w="1170" w:type="dxa"/>
            <w:shd w:val="clear" w:color="auto" w:fill="000000" w:themeFill="text1"/>
            <w:vAlign w:val="bottom"/>
          </w:tcPr>
          <w:p w:rsidR="00CF6D0F" w:rsidRPr="00C94E69" w:rsidP="00CF6D0F" w14:paraId="0693F1CB"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CF6D0F" w:rsidRPr="00C94E69" w:rsidP="00CF6D0F" w14:paraId="74AFB835" w14:textId="2E40AD23">
            <w:pPr>
              <w:keepNext/>
              <w:keepLines/>
              <w:numPr>
                <w:ilvl w:val="12"/>
                <w:numId w:val="0"/>
              </w:numPr>
              <w:jc w:val="center"/>
              <w:rPr>
                <w:rFonts w:ascii="Arial Narrow" w:hAnsi="Arial Narrow"/>
                <w:sz w:val="18"/>
                <w:szCs w:val="18"/>
              </w:rPr>
            </w:pPr>
            <w:r>
              <w:rPr>
                <w:rFonts w:ascii="Arial Narrow" w:hAnsi="Arial Narrow"/>
                <w:sz w:val="18"/>
                <w:szCs w:val="18"/>
              </w:rPr>
              <w:t>2,364,433</w:t>
            </w:r>
          </w:p>
        </w:tc>
      </w:tr>
      <w:bookmarkEnd w:id="1"/>
    </w:tbl>
    <w:p w:rsidR="00B70140" w:rsidRPr="008F4457" w:rsidP="006130F7" w14:paraId="0ADB00E7" w14:textId="77777777">
      <w:pPr>
        <w:rPr>
          <w:rFonts w:ascii="Arial" w:hAnsi="Arial"/>
        </w:rPr>
      </w:pPr>
    </w:p>
    <w:p w:rsidR="00B70140" w:rsidRPr="008F4457" w14:paraId="0EBE470F" w14:textId="77777777">
      <w:pPr>
        <w:pStyle w:val="Level1"/>
        <w:tabs>
          <w:tab w:val="left" w:pos="-1440"/>
          <w:tab w:val="num" w:pos="720"/>
        </w:tabs>
        <w:ind w:left="8640" w:hanging="8640"/>
        <w:rPr>
          <w:rFonts w:ascii="Arial" w:hAnsi="Arial"/>
          <w:b/>
        </w:rPr>
      </w:pPr>
      <w:r w:rsidRPr="008F4457">
        <w:rPr>
          <w:rFonts w:ascii="Arial" w:hAnsi="Arial"/>
          <w:b/>
          <w:u w:val="single"/>
        </w:rPr>
        <w:t>ESTIMATED TOTAL ANNUAL COST BURDEN TO RESPONDENTS</w:t>
      </w:r>
      <w:r w:rsidRPr="008F4457">
        <w:rPr>
          <w:rFonts w:ascii="Arial" w:hAnsi="Arial"/>
          <w:b/>
        </w:rPr>
        <w:tab/>
      </w:r>
    </w:p>
    <w:p w:rsidR="00B70140" w:rsidRPr="008F4457" w14:paraId="34B8B336" w14:textId="77777777">
      <w:pPr>
        <w:rPr>
          <w:rFonts w:ascii="Arial" w:hAnsi="Arial"/>
          <w:b/>
        </w:rPr>
      </w:pPr>
    </w:p>
    <w:p w:rsidR="007644CE" w:rsidRPr="008F4457" w14:paraId="2CBFF144" w14:textId="25083D76">
      <w:pPr>
        <w:ind w:left="720"/>
        <w:rPr>
          <w:rFonts w:ascii="Arial" w:hAnsi="Arial"/>
        </w:rPr>
      </w:pPr>
      <w:r w:rsidRPr="0068201F">
        <w:rPr>
          <w:rFonts w:ascii="Arial" w:hAnsi="Arial"/>
        </w:rPr>
        <w:t xml:space="preserve">From our Federal Register notice dated </w:t>
      </w:r>
      <w:r w:rsidR="00056C6F">
        <w:rPr>
          <w:rFonts w:ascii="Arial" w:hAnsi="Arial"/>
        </w:rPr>
        <w:t xml:space="preserve">September </w:t>
      </w:r>
      <w:r w:rsidR="00606999">
        <w:rPr>
          <w:rFonts w:ascii="Arial" w:hAnsi="Arial"/>
        </w:rPr>
        <w:t>14</w:t>
      </w:r>
      <w:r w:rsidRPr="0068201F">
        <w:rPr>
          <w:rFonts w:ascii="Arial" w:hAnsi="Arial"/>
        </w:rPr>
        <w:t>, 2023, no public comments were received on the estimates of cost burden that are not captured in the estimates of burden hours, i.e., estimates of capital or start-up costs and costs of operation, maintenance, and purchase of services to provide information</w:t>
      </w:r>
      <w:r w:rsidR="00934B12">
        <w:rPr>
          <w:rFonts w:ascii="Arial" w:hAnsi="Arial"/>
        </w:rPr>
        <w:t>.</w:t>
      </w:r>
    </w:p>
    <w:p w:rsidR="00B70140" w:rsidRPr="004C79B2" w14:paraId="5A977E97" w14:textId="0EEA054D">
      <w:pPr>
        <w:rPr>
          <w:rFonts w:ascii="Arial" w:hAnsi="Arial" w:cs="Arial"/>
        </w:rPr>
      </w:pPr>
    </w:p>
    <w:p w:rsidR="0068201F" w:rsidRPr="004C79B2" w:rsidP="0068201F" w14:paraId="640D8C82" w14:textId="77777777">
      <w:pPr>
        <w:widowControl/>
        <w:autoSpaceDE/>
        <w:autoSpaceDN/>
        <w:adjustRightInd/>
        <w:jc w:val="center"/>
        <w:rPr>
          <w:rFonts w:ascii="Arial" w:hAnsi="Arial" w:cs="Arial"/>
          <w:i/>
          <w:szCs w:val="20"/>
        </w:rPr>
      </w:pPr>
      <w:r w:rsidRPr="004C79B2">
        <w:rPr>
          <w:rFonts w:ascii="Arial" w:hAnsi="Arial" w:cs="Arial"/>
          <w:b/>
          <w:szCs w:val="20"/>
        </w:rPr>
        <w:t>Estimated Annualized Respondent Cost and Hour Burden</w:t>
      </w:r>
    </w:p>
    <w:p w:rsidR="0068201F" w:rsidRPr="004C79B2" w:rsidP="0068201F" w14:paraId="48E08304" w14:textId="77777777">
      <w:pPr>
        <w:widowControl/>
        <w:autoSpaceDE/>
        <w:autoSpaceDN/>
        <w:adjustRightInd/>
        <w:rPr>
          <w:rFonts w:ascii="Arial" w:hAnsi="Arial" w:cs="Arial"/>
          <w:sz w:val="20"/>
          <w:szCs w:val="20"/>
        </w:rPr>
      </w:pPr>
    </w:p>
    <w:tbl>
      <w:tblPr>
        <w:tblW w:w="10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260"/>
        <w:gridCol w:w="1350"/>
        <w:gridCol w:w="1260"/>
        <w:gridCol w:w="1170"/>
        <w:gridCol w:w="1260"/>
        <w:gridCol w:w="1260"/>
        <w:gridCol w:w="1440"/>
      </w:tblGrid>
      <w:tr w14:paraId="7BB6A790" w14:textId="77777777" w:rsidTr="004C79B2">
        <w:tblPrEx>
          <w:tblW w:w="10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01F" w:rsidRPr="004C79B2" w:rsidP="00EF2874" w14:paraId="680F06B2" w14:textId="77777777">
            <w:pPr>
              <w:widowControl/>
              <w:autoSpaceDE/>
              <w:autoSpaceDN/>
              <w:adjustRightInd/>
              <w:spacing w:line="276" w:lineRule="auto"/>
              <w:jc w:val="center"/>
              <w:rPr>
                <w:rFonts w:ascii="Arial" w:hAnsi="Arial" w:cs="Arial"/>
                <w:b/>
                <w:sz w:val="18"/>
                <w:szCs w:val="18"/>
              </w:rPr>
            </w:pPr>
            <w:r w:rsidRPr="004C79B2">
              <w:rPr>
                <w:rFonts w:ascii="Arial" w:hAnsi="Arial" w:cs="Arial"/>
                <w:b/>
                <w:sz w:val="18"/>
                <w:szCs w:val="18"/>
              </w:rPr>
              <w:t>Authority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01F" w:rsidRPr="004C79B2" w:rsidP="00EF2874" w14:paraId="2380B721" w14:textId="77777777">
            <w:pPr>
              <w:widowControl/>
              <w:autoSpaceDE/>
              <w:autoSpaceDN/>
              <w:adjustRightInd/>
              <w:spacing w:line="276" w:lineRule="auto"/>
              <w:jc w:val="center"/>
              <w:rPr>
                <w:rFonts w:ascii="Arial" w:hAnsi="Arial" w:cs="Arial"/>
                <w:b/>
                <w:sz w:val="18"/>
                <w:szCs w:val="18"/>
              </w:rPr>
            </w:pPr>
            <w:r w:rsidRPr="004C79B2">
              <w:rPr>
                <w:rFonts w:ascii="Arial" w:hAnsi="Arial" w:cs="Arial"/>
                <w:b/>
                <w:sz w:val="18"/>
                <w:szCs w:val="18"/>
              </w:rPr>
              <w:t>No. of Respondents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01F" w:rsidRPr="004C79B2" w:rsidP="00EF2874" w14:paraId="1BFE2603" w14:textId="77777777">
            <w:pPr>
              <w:widowControl/>
              <w:autoSpaceDE/>
              <w:autoSpaceDN/>
              <w:adjustRightInd/>
              <w:spacing w:line="276" w:lineRule="auto"/>
              <w:jc w:val="center"/>
              <w:rPr>
                <w:rFonts w:ascii="Arial" w:hAnsi="Arial" w:cs="Arial"/>
                <w:b/>
                <w:sz w:val="18"/>
                <w:szCs w:val="18"/>
              </w:rPr>
            </w:pPr>
            <w:r w:rsidRPr="004C79B2">
              <w:rPr>
                <w:rFonts w:ascii="Arial" w:hAnsi="Arial" w:cs="Arial"/>
                <w:b/>
                <w:sz w:val="18"/>
                <w:szCs w:val="18"/>
              </w:rPr>
              <w:t xml:space="preserve">No. of Responses </w:t>
            </w:r>
          </w:p>
          <w:p w:rsidR="0068201F" w:rsidRPr="004C79B2" w:rsidP="00EF2874" w14:paraId="0004FD56" w14:textId="77777777">
            <w:pPr>
              <w:widowControl/>
              <w:autoSpaceDE/>
              <w:autoSpaceDN/>
              <w:adjustRightInd/>
              <w:spacing w:line="276" w:lineRule="auto"/>
              <w:jc w:val="center"/>
              <w:rPr>
                <w:rFonts w:ascii="Arial" w:hAnsi="Arial" w:cs="Arial"/>
                <w:b/>
                <w:sz w:val="18"/>
                <w:szCs w:val="18"/>
              </w:rPr>
            </w:pPr>
            <w:r w:rsidRPr="004C79B2">
              <w:rPr>
                <w:rFonts w:ascii="Arial" w:hAnsi="Arial" w:cs="Arial"/>
                <w:b/>
                <w:sz w:val="18"/>
                <w:szCs w:val="18"/>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01F" w:rsidRPr="004C79B2" w:rsidP="00EF2874" w14:paraId="5A778137" w14:textId="77777777">
            <w:pPr>
              <w:widowControl/>
              <w:autoSpaceDE/>
              <w:autoSpaceDN/>
              <w:adjustRightInd/>
              <w:spacing w:line="276" w:lineRule="auto"/>
              <w:jc w:val="center"/>
              <w:rPr>
                <w:rFonts w:ascii="Arial" w:hAnsi="Arial" w:cs="Arial"/>
                <w:b/>
                <w:sz w:val="18"/>
                <w:szCs w:val="18"/>
              </w:rPr>
            </w:pPr>
            <w:r w:rsidRPr="004C79B2">
              <w:rPr>
                <w:rFonts w:ascii="Arial" w:hAnsi="Arial" w:cs="Arial"/>
                <w:b/>
                <w:sz w:val="18"/>
                <w:szCs w:val="18"/>
              </w:rPr>
              <w:t>Total Responses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01F" w:rsidRPr="004C79B2" w:rsidP="00EF2874" w14:paraId="35A504EE" w14:textId="77777777">
            <w:pPr>
              <w:widowControl/>
              <w:autoSpaceDE/>
              <w:autoSpaceDN/>
              <w:adjustRightInd/>
              <w:spacing w:line="276" w:lineRule="auto"/>
              <w:jc w:val="center"/>
              <w:rPr>
                <w:rFonts w:ascii="Arial" w:hAnsi="Arial" w:cs="Arial"/>
                <w:b/>
                <w:sz w:val="18"/>
                <w:szCs w:val="18"/>
              </w:rPr>
            </w:pPr>
            <w:r w:rsidRPr="004C79B2">
              <w:rPr>
                <w:rFonts w:ascii="Arial" w:hAnsi="Arial" w:cs="Arial"/>
                <w:b/>
                <w:sz w:val="18"/>
                <w:szCs w:val="18"/>
              </w:rPr>
              <w:t>Average Burden (Hours)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01F" w:rsidRPr="004C79B2" w:rsidP="00EF2874" w14:paraId="16BB0005" w14:textId="77777777">
            <w:pPr>
              <w:widowControl/>
              <w:autoSpaceDE/>
              <w:autoSpaceDN/>
              <w:adjustRightInd/>
              <w:spacing w:line="276" w:lineRule="auto"/>
              <w:jc w:val="center"/>
              <w:rPr>
                <w:rFonts w:ascii="Arial" w:hAnsi="Arial" w:cs="Arial"/>
                <w:b/>
                <w:sz w:val="18"/>
                <w:szCs w:val="18"/>
              </w:rPr>
            </w:pPr>
            <w:r w:rsidRPr="004C79B2">
              <w:rPr>
                <w:rFonts w:ascii="Arial" w:hAnsi="Arial" w:cs="Arial"/>
                <w:b/>
                <w:sz w:val="18"/>
                <w:szCs w:val="18"/>
              </w:rPr>
              <w:t>Total Burden (Hours)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01F" w:rsidRPr="004C79B2" w:rsidP="00EF2874" w14:paraId="1EFC8654" w14:textId="77777777">
            <w:pPr>
              <w:widowControl/>
              <w:autoSpaceDE/>
              <w:autoSpaceDN/>
              <w:adjustRightInd/>
              <w:spacing w:line="276" w:lineRule="auto"/>
              <w:jc w:val="center"/>
              <w:rPr>
                <w:rFonts w:ascii="Arial" w:hAnsi="Arial" w:cs="Arial"/>
                <w:b/>
                <w:sz w:val="18"/>
                <w:szCs w:val="18"/>
              </w:rPr>
            </w:pPr>
            <w:r w:rsidRPr="004C79B2">
              <w:rPr>
                <w:rFonts w:ascii="Arial" w:hAnsi="Arial" w:cs="Arial"/>
                <w:b/>
                <w:sz w:val="18"/>
                <w:szCs w:val="18"/>
              </w:rPr>
              <w:t>Hourly</w:t>
            </w:r>
          </w:p>
          <w:p w:rsidR="0068201F" w:rsidRPr="004C79B2" w:rsidP="00EF2874" w14:paraId="58B9F511" w14:textId="77777777">
            <w:pPr>
              <w:widowControl/>
              <w:autoSpaceDE/>
              <w:autoSpaceDN/>
              <w:adjustRightInd/>
              <w:spacing w:line="276" w:lineRule="auto"/>
              <w:jc w:val="center"/>
              <w:rPr>
                <w:rFonts w:ascii="Arial" w:hAnsi="Arial" w:cs="Arial"/>
                <w:b/>
                <w:sz w:val="18"/>
                <w:szCs w:val="18"/>
              </w:rPr>
            </w:pPr>
            <w:r w:rsidRPr="004C79B2">
              <w:rPr>
                <w:rFonts w:ascii="Arial" w:hAnsi="Arial" w:cs="Arial"/>
                <w:b/>
                <w:sz w:val="18"/>
                <w:szCs w:val="18"/>
              </w:rPr>
              <w:t>Wage Rate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01F" w:rsidRPr="004C79B2" w:rsidP="00EF2874" w14:paraId="70FB81FC" w14:textId="77777777">
            <w:pPr>
              <w:widowControl/>
              <w:autoSpaceDE/>
              <w:autoSpaceDN/>
              <w:adjustRightInd/>
              <w:spacing w:line="276" w:lineRule="auto"/>
              <w:jc w:val="center"/>
              <w:rPr>
                <w:rFonts w:ascii="Arial" w:hAnsi="Arial" w:cs="Arial"/>
                <w:b/>
                <w:sz w:val="18"/>
                <w:szCs w:val="18"/>
              </w:rPr>
            </w:pPr>
            <w:r w:rsidRPr="004C79B2">
              <w:rPr>
                <w:rFonts w:ascii="Arial" w:hAnsi="Arial" w:cs="Arial"/>
                <w:b/>
                <w:sz w:val="18"/>
                <w:szCs w:val="18"/>
              </w:rPr>
              <w:t>Total Burden Cost</w:t>
            </w:r>
          </w:p>
        </w:tc>
      </w:tr>
      <w:tr w14:paraId="66D89723" w14:textId="77777777" w:rsidTr="004C79B2">
        <w:tblPrEx>
          <w:tblW w:w="10345" w:type="dxa"/>
          <w:tblInd w:w="-5" w:type="dxa"/>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hideMark/>
          </w:tcPr>
          <w:p w:rsidR="0068201F" w:rsidRPr="004C79B2" w:rsidP="00EF2874" w14:paraId="29474BCE" w14:textId="3DFE0544">
            <w:pPr>
              <w:widowControl/>
              <w:autoSpaceDE/>
              <w:autoSpaceDN/>
              <w:adjustRightInd/>
              <w:rPr>
                <w:rFonts w:ascii="Arial" w:hAnsi="Arial" w:cs="Arial"/>
                <w:sz w:val="18"/>
                <w:szCs w:val="18"/>
              </w:rPr>
            </w:pPr>
            <w:r w:rsidRPr="004C79B2">
              <w:rPr>
                <w:rFonts w:ascii="Arial" w:hAnsi="Arial" w:cs="Arial"/>
                <w:sz w:val="18"/>
                <w:szCs w:val="18"/>
              </w:rPr>
              <w:t xml:space="preserve">Form </w:t>
            </w:r>
            <w:r w:rsidRPr="004C79B2" w:rsidR="00056C6F">
              <w:rPr>
                <w:rFonts w:ascii="Arial" w:hAnsi="Arial" w:cs="Arial"/>
                <w:sz w:val="18"/>
                <w:szCs w:val="18"/>
              </w:rPr>
              <w:t>8824</w:t>
            </w:r>
          </w:p>
        </w:tc>
        <w:tc>
          <w:tcPr>
            <w:tcW w:w="1260" w:type="dxa"/>
            <w:tcBorders>
              <w:top w:val="single" w:sz="4" w:space="0" w:color="auto"/>
              <w:left w:val="single" w:sz="4" w:space="0" w:color="auto"/>
              <w:bottom w:val="single" w:sz="4" w:space="0" w:color="auto"/>
              <w:right w:val="single" w:sz="4" w:space="0" w:color="auto"/>
            </w:tcBorders>
            <w:vAlign w:val="center"/>
          </w:tcPr>
          <w:p w:rsidR="0068201F" w:rsidRPr="004C79B2" w:rsidP="00EB4846" w14:paraId="2F33E77E" w14:textId="57E10F43">
            <w:pPr>
              <w:widowControl/>
              <w:autoSpaceDE/>
              <w:autoSpaceDN/>
              <w:adjustRightInd/>
              <w:jc w:val="center"/>
              <w:rPr>
                <w:rFonts w:ascii="Arial" w:hAnsi="Arial" w:cs="Arial"/>
                <w:sz w:val="18"/>
                <w:szCs w:val="18"/>
              </w:rPr>
            </w:pPr>
            <w:r w:rsidRPr="004C79B2">
              <w:rPr>
                <w:rFonts w:ascii="Arial" w:hAnsi="Arial" w:cs="Arial"/>
                <w:color w:val="000000"/>
                <w:sz w:val="18"/>
                <w:szCs w:val="18"/>
              </w:rPr>
              <w:t>137,547</w:t>
            </w:r>
          </w:p>
          <w:p w:rsidR="0068201F" w:rsidRPr="004C79B2" w:rsidP="00EB4846" w14:paraId="75449573" w14:textId="77777777">
            <w:pPr>
              <w:widowControl/>
              <w:autoSpaceDE/>
              <w:autoSpaceDN/>
              <w:adjustRightInd/>
              <w:jc w:val="cente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68201F" w:rsidRPr="004C79B2" w:rsidP="00EB4846" w14:paraId="63266452" w14:textId="77777777">
            <w:pPr>
              <w:widowControl/>
              <w:autoSpaceDE/>
              <w:autoSpaceDN/>
              <w:adjustRightInd/>
              <w:jc w:val="center"/>
              <w:rPr>
                <w:rFonts w:ascii="Arial" w:hAnsi="Arial" w:cs="Arial"/>
                <w:sz w:val="18"/>
                <w:szCs w:val="18"/>
              </w:rPr>
            </w:pPr>
            <w:r w:rsidRPr="004C79B2">
              <w:rPr>
                <w:rFonts w:ascii="Arial" w:hAnsi="Arial" w:cs="Arial"/>
                <w:sz w:val="18"/>
                <w:szCs w:val="18"/>
              </w:rPr>
              <w:t>1</w:t>
            </w:r>
          </w:p>
          <w:p w:rsidR="0068201F" w:rsidRPr="004C79B2" w:rsidP="00EB4846" w14:paraId="52E38E41" w14:textId="77777777">
            <w:pPr>
              <w:widowControl/>
              <w:autoSpaceDE/>
              <w:autoSpaceDN/>
              <w:adjustRightInd/>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8201F" w:rsidRPr="004C79B2" w:rsidP="00EB4846" w14:paraId="7ED5461A" w14:textId="1D46B4C8">
            <w:pPr>
              <w:widowControl/>
              <w:autoSpaceDE/>
              <w:autoSpaceDN/>
              <w:adjustRightInd/>
              <w:jc w:val="center"/>
              <w:rPr>
                <w:rFonts w:ascii="Arial" w:hAnsi="Arial" w:cs="Arial"/>
                <w:sz w:val="18"/>
                <w:szCs w:val="18"/>
              </w:rPr>
            </w:pPr>
            <w:r w:rsidRPr="004C79B2">
              <w:rPr>
                <w:rFonts w:ascii="Arial" w:hAnsi="Arial" w:cs="Arial"/>
                <w:color w:val="000000"/>
                <w:sz w:val="18"/>
                <w:szCs w:val="18"/>
              </w:rPr>
              <w:t>137,547</w:t>
            </w:r>
          </w:p>
          <w:p w:rsidR="0068201F" w:rsidRPr="004C79B2" w:rsidP="00EB4846" w14:paraId="56EF4243" w14:textId="77777777">
            <w:pPr>
              <w:widowControl/>
              <w:autoSpaceDE/>
              <w:autoSpaceDN/>
              <w:adjustRightInd/>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68201F" w:rsidRPr="004C79B2" w:rsidP="00EB4846" w14:paraId="7F8BB171" w14:textId="6BCC1B7D">
            <w:pPr>
              <w:widowControl/>
              <w:autoSpaceDE/>
              <w:autoSpaceDN/>
              <w:adjustRightInd/>
              <w:jc w:val="center"/>
              <w:rPr>
                <w:rFonts w:ascii="Arial" w:hAnsi="Arial" w:cs="Arial"/>
                <w:sz w:val="18"/>
                <w:szCs w:val="18"/>
              </w:rPr>
            </w:pPr>
            <w:r w:rsidRPr="004C79B2">
              <w:rPr>
                <w:rFonts w:ascii="Arial" w:hAnsi="Arial" w:cs="Arial"/>
                <w:sz w:val="18"/>
                <w:szCs w:val="18"/>
              </w:rPr>
              <w:t>17.19</w:t>
            </w:r>
          </w:p>
        </w:tc>
        <w:tc>
          <w:tcPr>
            <w:tcW w:w="1260" w:type="dxa"/>
            <w:tcBorders>
              <w:top w:val="single" w:sz="4" w:space="0" w:color="auto"/>
              <w:left w:val="single" w:sz="4" w:space="0" w:color="auto"/>
              <w:bottom w:val="single" w:sz="4" w:space="0" w:color="auto"/>
              <w:right w:val="single" w:sz="4" w:space="0" w:color="auto"/>
            </w:tcBorders>
            <w:vAlign w:val="center"/>
          </w:tcPr>
          <w:p w:rsidR="0068201F" w:rsidRPr="004C79B2" w:rsidP="00EB4846" w14:paraId="3DA885E4" w14:textId="3951FA35">
            <w:pPr>
              <w:widowControl/>
              <w:autoSpaceDE/>
              <w:autoSpaceDN/>
              <w:adjustRightInd/>
              <w:jc w:val="center"/>
              <w:rPr>
                <w:rFonts w:ascii="Arial" w:hAnsi="Arial" w:cs="Arial"/>
                <w:sz w:val="18"/>
                <w:szCs w:val="18"/>
              </w:rPr>
            </w:pPr>
            <w:r w:rsidRPr="004C79B2">
              <w:rPr>
                <w:rFonts w:ascii="Arial" w:hAnsi="Arial" w:cs="Arial"/>
                <w:sz w:val="18"/>
                <w:szCs w:val="18"/>
              </w:rPr>
              <w:t>2,364,433</w:t>
            </w:r>
          </w:p>
        </w:tc>
        <w:tc>
          <w:tcPr>
            <w:tcW w:w="1260" w:type="dxa"/>
            <w:tcBorders>
              <w:top w:val="single" w:sz="4" w:space="0" w:color="auto"/>
              <w:left w:val="single" w:sz="4" w:space="0" w:color="auto"/>
              <w:bottom w:val="single" w:sz="4" w:space="0" w:color="auto"/>
              <w:right w:val="single" w:sz="4" w:space="0" w:color="auto"/>
            </w:tcBorders>
            <w:vAlign w:val="center"/>
          </w:tcPr>
          <w:p w:rsidR="0068201F" w:rsidRPr="004C79B2" w:rsidP="00EB4846" w14:paraId="052562A2" w14:textId="69A83133">
            <w:pPr>
              <w:widowControl/>
              <w:autoSpaceDE/>
              <w:autoSpaceDN/>
              <w:adjustRightInd/>
              <w:jc w:val="center"/>
              <w:rPr>
                <w:rFonts w:ascii="Arial" w:hAnsi="Arial" w:cs="Arial"/>
                <w:sz w:val="18"/>
                <w:szCs w:val="18"/>
              </w:rPr>
            </w:pPr>
            <w:r w:rsidRPr="004C79B2">
              <w:rPr>
                <w:rFonts w:ascii="Arial" w:hAnsi="Arial" w:cs="Arial"/>
                <w:sz w:val="18"/>
                <w:szCs w:val="18"/>
              </w:rPr>
              <w:t>$</w:t>
            </w:r>
            <w:r w:rsidRPr="004C79B2" w:rsidR="008D44FD">
              <w:rPr>
                <w:rFonts w:ascii="Arial" w:hAnsi="Arial" w:cs="Arial"/>
                <w:sz w:val="18"/>
                <w:szCs w:val="18"/>
              </w:rPr>
              <w:t>60.42</w:t>
            </w:r>
          </w:p>
          <w:p w:rsidR="0068201F" w:rsidRPr="004C79B2" w:rsidP="00EB4846" w14:paraId="06459C6C" w14:textId="77777777">
            <w:pPr>
              <w:widowControl/>
              <w:autoSpaceDE/>
              <w:autoSpaceDN/>
              <w:adjustRightInd/>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68201F" w:rsidRPr="004C79B2" w:rsidP="00EB4846" w14:paraId="7558B304" w14:textId="7026B3AC">
            <w:pPr>
              <w:widowControl/>
              <w:autoSpaceDE/>
              <w:autoSpaceDN/>
              <w:adjustRightInd/>
              <w:jc w:val="center"/>
              <w:rPr>
                <w:rFonts w:ascii="Arial" w:hAnsi="Arial" w:cs="Arial"/>
                <w:sz w:val="18"/>
                <w:szCs w:val="18"/>
              </w:rPr>
            </w:pPr>
            <w:r w:rsidRPr="004C79B2">
              <w:rPr>
                <w:rFonts w:ascii="Arial" w:hAnsi="Arial" w:cs="Arial"/>
                <w:sz w:val="18"/>
                <w:szCs w:val="18"/>
              </w:rPr>
              <w:t>$</w:t>
            </w:r>
            <w:r w:rsidR="00D73A8E">
              <w:rPr>
                <w:rFonts w:ascii="Arial" w:hAnsi="Arial" w:cs="Arial"/>
                <w:sz w:val="18"/>
                <w:szCs w:val="18"/>
              </w:rPr>
              <w:t>142,859,042</w:t>
            </w:r>
          </w:p>
        </w:tc>
      </w:tr>
      <w:tr w14:paraId="50E218FA" w14:textId="77777777" w:rsidTr="004C79B2">
        <w:tblPrEx>
          <w:tblW w:w="10345" w:type="dxa"/>
          <w:tblInd w:w="-5" w:type="dxa"/>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hideMark/>
          </w:tcPr>
          <w:p w:rsidR="0068201F" w:rsidRPr="004C79B2" w:rsidP="00EF2874" w14:paraId="1E2B0F21" w14:textId="77777777">
            <w:pPr>
              <w:widowControl/>
              <w:autoSpaceDE/>
              <w:autoSpaceDN/>
              <w:adjustRightInd/>
              <w:spacing w:line="276" w:lineRule="auto"/>
              <w:rPr>
                <w:rFonts w:ascii="Arial" w:hAnsi="Arial" w:cs="Arial"/>
                <w:sz w:val="18"/>
                <w:szCs w:val="18"/>
              </w:rPr>
            </w:pPr>
            <w:r w:rsidRPr="004C79B2">
              <w:rPr>
                <w:rFonts w:ascii="Arial" w:hAnsi="Arial" w:cs="Arial"/>
                <w:sz w:val="18"/>
                <w:szCs w:val="18"/>
              </w:rPr>
              <w:t>Totals</w:t>
            </w:r>
          </w:p>
        </w:tc>
        <w:tc>
          <w:tcPr>
            <w:tcW w:w="1260" w:type="dxa"/>
            <w:tcBorders>
              <w:top w:val="single" w:sz="4" w:space="0" w:color="auto"/>
              <w:left w:val="single" w:sz="4" w:space="0" w:color="auto"/>
              <w:bottom w:val="single" w:sz="4" w:space="0" w:color="auto"/>
              <w:right w:val="single" w:sz="4" w:space="0" w:color="auto"/>
            </w:tcBorders>
            <w:vAlign w:val="center"/>
            <w:hideMark/>
          </w:tcPr>
          <w:p w:rsidR="0068201F" w:rsidRPr="004C79B2" w:rsidP="00EF2874" w14:paraId="74F030AA" w14:textId="5353D1E3">
            <w:pPr>
              <w:widowControl/>
              <w:autoSpaceDE/>
              <w:autoSpaceDN/>
              <w:adjustRightInd/>
              <w:spacing w:line="276" w:lineRule="auto"/>
              <w:jc w:val="center"/>
              <w:rPr>
                <w:rFonts w:ascii="Arial" w:hAnsi="Arial" w:cs="Arial"/>
                <w:sz w:val="18"/>
                <w:szCs w:val="18"/>
              </w:rPr>
            </w:pPr>
            <w:r w:rsidRPr="004C79B2">
              <w:rPr>
                <w:rFonts w:ascii="Arial" w:hAnsi="Arial" w:cs="Arial"/>
                <w:sz w:val="18"/>
                <w:szCs w:val="18"/>
              </w:rPr>
              <w:t>137,547</w:t>
            </w:r>
          </w:p>
        </w:tc>
        <w:tc>
          <w:tcPr>
            <w:tcW w:w="1350" w:type="dxa"/>
            <w:tcBorders>
              <w:top w:val="single" w:sz="4" w:space="0" w:color="auto"/>
              <w:left w:val="single" w:sz="4" w:space="0" w:color="auto"/>
              <w:bottom w:val="single" w:sz="4" w:space="0" w:color="auto"/>
              <w:right w:val="single" w:sz="4" w:space="0" w:color="auto"/>
            </w:tcBorders>
            <w:shd w:val="clear" w:color="auto" w:fill="000000"/>
            <w:vAlign w:val="center"/>
          </w:tcPr>
          <w:p w:rsidR="0068201F" w:rsidRPr="004C79B2" w:rsidP="00EF2874" w14:paraId="3D87D521" w14:textId="77777777">
            <w:pPr>
              <w:widowControl/>
              <w:autoSpaceDE/>
              <w:autoSpaceDN/>
              <w:adjustRightInd/>
              <w:spacing w:line="276" w:lineRule="auto"/>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8201F" w:rsidRPr="004C79B2" w:rsidP="00EF2874" w14:paraId="1F083812" w14:textId="091DD91F">
            <w:pPr>
              <w:widowControl/>
              <w:autoSpaceDE/>
              <w:autoSpaceDN/>
              <w:adjustRightInd/>
              <w:spacing w:line="276" w:lineRule="auto"/>
              <w:jc w:val="center"/>
              <w:rPr>
                <w:rFonts w:ascii="Arial" w:hAnsi="Arial" w:cs="Arial"/>
                <w:sz w:val="18"/>
                <w:szCs w:val="18"/>
              </w:rPr>
            </w:pPr>
            <w:r w:rsidRPr="004C79B2">
              <w:rPr>
                <w:rFonts w:ascii="Arial" w:hAnsi="Arial" w:cs="Arial"/>
                <w:sz w:val="18"/>
                <w:szCs w:val="18"/>
              </w:rPr>
              <w:t>137,547</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68201F" w:rsidRPr="004C79B2" w:rsidP="00EF2874" w14:paraId="195BBF4B" w14:textId="77777777">
            <w:pPr>
              <w:widowControl/>
              <w:autoSpaceDE/>
              <w:autoSpaceDN/>
              <w:adjustRightInd/>
              <w:spacing w:line="276" w:lineRule="auto"/>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8201F" w:rsidRPr="004C79B2" w:rsidP="00EF2874" w14:paraId="6FC64EED" w14:textId="251589D3">
            <w:pPr>
              <w:widowControl/>
              <w:autoSpaceDE/>
              <w:autoSpaceDN/>
              <w:adjustRightInd/>
              <w:spacing w:line="276" w:lineRule="auto"/>
              <w:jc w:val="center"/>
              <w:rPr>
                <w:rFonts w:ascii="Arial" w:hAnsi="Arial" w:cs="Arial"/>
                <w:sz w:val="18"/>
                <w:szCs w:val="18"/>
              </w:rPr>
            </w:pPr>
            <w:r w:rsidRPr="004C79B2">
              <w:rPr>
                <w:rFonts w:ascii="Arial" w:hAnsi="Arial" w:cs="Arial"/>
                <w:sz w:val="18"/>
                <w:szCs w:val="18"/>
              </w:rPr>
              <w:t>2</w:t>
            </w:r>
            <w:r w:rsidR="004C79B2">
              <w:rPr>
                <w:rFonts w:ascii="Arial" w:hAnsi="Arial" w:cs="Arial"/>
                <w:sz w:val="18"/>
                <w:szCs w:val="18"/>
              </w:rPr>
              <w:t>,</w:t>
            </w:r>
            <w:r w:rsidRPr="004C79B2">
              <w:rPr>
                <w:rFonts w:ascii="Arial" w:hAnsi="Arial" w:cs="Arial"/>
                <w:sz w:val="18"/>
                <w:szCs w:val="18"/>
              </w:rPr>
              <w:t>364</w:t>
            </w:r>
            <w:r w:rsidR="004C79B2">
              <w:rPr>
                <w:rFonts w:ascii="Arial" w:hAnsi="Arial" w:cs="Arial"/>
                <w:sz w:val="18"/>
                <w:szCs w:val="18"/>
              </w:rPr>
              <w:t>,</w:t>
            </w:r>
            <w:r w:rsidRPr="004C79B2">
              <w:rPr>
                <w:rFonts w:ascii="Arial" w:hAnsi="Arial" w:cs="Arial"/>
                <w:sz w:val="18"/>
                <w:szCs w:val="18"/>
              </w:rPr>
              <w:t>433</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rsidR="0068201F" w:rsidRPr="004C79B2" w:rsidP="00EF2874" w14:paraId="25CEBA28" w14:textId="77777777">
            <w:pPr>
              <w:widowControl/>
              <w:autoSpaceDE/>
              <w:autoSpaceDN/>
              <w:adjustRightInd/>
              <w:spacing w:line="276" w:lineRule="auto"/>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68201F" w:rsidRPr="004C79B2" w:rsidP="00EF2874" w14:paraId="06C86547" w14:textId="35EC73CF">
            <w:pPr>
              <w:widowControl/>
              <w:autoSpaceDE/>
              <w:autoSpaceDN/>
              <w:adjustRightInd/>
              <w:spacing w:line="276" w:lineRule="auto"/>
              <w:jc w:val="center"/>
              <w:rPr>
                <w:rFonts w:ascii="Arial" w:hAnsi="Arial" w:cs="Arial"/>
                <w:sz w:val="18"/>
                <w:szCs w:val="18"/>
              </w:rPr>
            </w:pPr>
            <w:r w:rsidRPr="004C79B2">
              <w:rPr>
                <w:rFonts w:ascii="Arial" w:hAnsi="Arial" w:cs="Arial"/>
                <w:sz w:val="18"/>
                <w:szCs w:val="18"/>
              </w:rPr>
              <w:t>$</w:t>
            </w:r>
            <w:r w:rsidR="00D73A8E">
              <w:rPr>
                <w:rFonts w:ascii="Arial" w:hAnsi="Arial" w:cs="Arial"/>
                <w:sz w:val="18"/>
                <w:szCs w:val="18"/>
              </w:rPr>
              <w:t>142,859,042</w:t>
            </w:r>
          </w:p>
        </w:tc>
      </w:tr>
    </w:tbl>
    <w:p w:rsidR="0068201F" w:rsidRPr="004C79B2" w:rsidP="004C79B2" w14:paraId="0CE513E7" w14:textId="77777777">
      <w:pPr>
        <w:ind w:left="720"/>
        <w:rPr>
          <w:rFonts w:ascii="Arial" w:hAnsi="Arial"/>
        </w:rPr>
      </w:pPr>
    </w:p>
    <w:p w:rsidR="0068201F" w:rsidRPr="004C79B2" w:rsidP="004C79B2" w14:paraId="4B3939AB" w14:textId="152DE9BB">
      <w:pPr>
        <w:ind w:left="720"/>
        <w:rPr>
          <w:rFonts w:ascii="Arial" w:hAnsi="Arial"/>
        </w:rPr>
      </w:pPr>
      <w:r w:rsidRPr="00BE3C86">
        <w:rPr>
          <w:rFonts w:ascii="Arial" w:hAnsi="Arial"/>
        </w:rPr>
        <w:t>The IRS estimates the total annual cost to respondents at $</w:t>
      </w:r>
      <w:r w:rsidR="00D73A8E">
        <w:rPr>
          <w:rFonts w:ascii="Arial" w:hAnsi="Arial"/>
        </w:rPr>
        <w:t>142,859,042</w:t>
      </w:r>
      <w:r w:rsidRPr="00BE3C86">
        <w:rPr>
          <w:rFonts w:ascii="Arial" w:hAnsi="Arial"/>
        </w:rPr>
        <w:t xml:space="preserve">.  To arrive at this figure, the </w:t>
      </w:r>
      <w:r w:rsidR="00D73A8E">
        <w:rPr>
          <w:rFonts w:ascii="Arial" w:hAnsi="Arial"/>
        </w:rPr>
        <w:t xml:space="preserve">total burden hours </w:t>
      </w:r>
      <w:r w:rsidRPr="00BE3C86">
        <w:rPr>
          <w:rFonts w:ascii="Arial" w:hAnsi="Arial"/>
        </w:rPr>
        <w:t xml:space="preserve">of </w:t>
      </w:r>
      <w:r w:rsidR="00D73A8E">
        <w:rPr>
          <w:rFonts w:ascii="Arial" w:hAnsi="Arial"/>
        </w:rPr>
        <w:t>2,364,433</w:t>
      </w:r>
      <w:r w:rsidRPr="00BE3C86">
        <w:rPr>
          <w:rFonts w:ascii="Arial" w:hAnsi="Arial"/>
        </w:rPr>
        <w:t xml:space="preserve"> were multiplied by $</w:t>
      </w:r>
      <w:r w:rsidRPr="00BE3C86" w:rsidR="008D44FD">
        <w:rPr>
          <w:rFonts w:ascii="Arial" w:hAnsi="Arial"/>
        </w:rPr>
        <w:t>60.42</w:t>
      </w:r>
      <w:r w:rsidRPr="00BE3C86">
        <w:rPr>
          <w:rFonts w:ascii="Arial" w:hAnsi="Arial"/>
        </w:rPr>
        <w:t xml:space="preserve"> per hour.</w:t>
      </w:r>
      <w:r w:rsidRPr="004C79B2">
        <w:rPr>
          <w:rFonts w:ascii="Arial" w:hAnsi="Arial"/>
        </w:rPr>
        <w:t xml:space="preserve">  </w:t>
      </w:r>
    </w:p>
    <w:p w:rsidR="008D44FD" w:rsidRPr="004C79B2" w:rsidP="004C79B2" w14:paraId="2E60C926" w14:textId="55DABE44">
      <w:pPr>
        <w:ind w:left="720"/>
        <w:rPr>
          <w:rFonts w:ascii="Arial" w:hAnsi="Arial"/>
        </w:rPr>
      </w:pPr>
    </w:p>
    <w:p w:rsidR="008D44FD" w:rsidRPr="004C79B2" w:rsidP="004C79B2" w14:paraId="72ED8E97" w14:textId="2450A918">
      <w:pPr>
        <w:ind w:left="720"/>
        <w:rPr>
          <w:rFonts w:ascii="Arial" w:hAnsi="Arial"/>
        </w:rPr>
      </w:pPr>
      <w:r w:rsidRPr="004C79B2">
        <w:rPr>
          <w:rFonts w:ascii="Arial" w:hAnsi="Arial"/>
        </w:rPr>
        <w:t xml:space="preserve">IRS anticipates that taxpayers may use an accountant in determining whether a transaction qualifies for like-kind exchange treatment, the gain or loss, if any recognized because of the exchange, and the basis in the new property received in the exchange.   </w:t>
      </w:r>
    </w:p>
    <w:p w:rsidR="008D44FD" w:rsidRPr="004C79B2" w:rsidP="004C79B2" w14:paraId="1E841B09" w14:textId="77777777">
      <w:pPr>
        <w:ind w:left="720"/>
        <w:rPr>
          <w:rFonts w:ascii="Arial" w:hAnsi="Arial"/>
        </w:rPr>
      </w:pPr>
    </w:p>
    <w:p w:rsidR="008D44FD" w:rsidRPr="004C79B2" w:rsidP="004C79B2" w14:paraId="4D0DFC90" w14:textId="77777777">
      <w:pPr>
        <w:ind w:left="720"/>
        <w:rPr>
          <w:rFonts w:ascii="Arial" w:hAnsi="Arial"/>
        </w:rPr>
      </w:pPr>
      <w:r w:rsidRPr="004C79B2">
        <w:rPr>
          <w:rFonts w:ascii="Arial" w:hAnsi="Arial"/>
        </w:rPr>
        <w:t xml:space="preserve">The above Hourly Wage Rate is the </w:t>
      </w:r>
      <w:hyperlink r:id="rId5" w:history="1">
        <w:r w:rsidRPr="004C79B2">
          <w:rPr>
            <w:rFonts w:ascii="Arial" w:hAnsi="Arial"/>
          </w:rPr>
          <w:t>May 2022 Bureau of Labor Statistics</w:t>
        </w:r>
      </w:hyperlink>
      <w:r w:rsidRPr="004C79B2">
        <w:rPr>
          <w:rFonts w:ascii="Arial" w:hAnsi="Arial"/>
        </w:rPr>
        <w:t xml:space="preserve"> mean wage for “Accountants and Auditors” (Major Group (13-2011)” of $41.70 times the wage rate benefit multiplier of 1.4488 (to account for fringe benefits) equaling a fully-loaded wage rate of $60.42.</w:t>
      </w:r>
    </w:p>
    <w:p w:rsidR="008D44FD" w:rsidRPr="00703E49" w:rsidP="008D44FD" w14:paraId="2C9F076A" w14:textId="77777777">
      <w:pPr>
        <w:widowControl/>
        <w:autoSpaceDE/>
        <w:autoSpaceDN/>
        <w:adjustRightInd/>
        <w:ind w:left="720" w:right="-108"/>
        <w:rPr>
          <w:rFonts w:ascii="Times New Roman" w:hAnsi="Times New Roman"/>
        </w:rPr>
      </w:pPr>
    </w:p>
    <w:p w:rsidR="008D44FD" w:rsidRPr="004C79B2" w:rsidP="008D44FD" w14:paraId="6BEC44F2" w14:textId="77777777">
      <w:pPr>
        <w:widowControl/>
        <w:autoSpaceDE/>
        <w:autoSpaceDN/>
        <w:adjustRightInd/>
        <w:ind w:left="720" w:right="-108"/>
        <w:rPr>
          <w:rFonts w:ascii="Arial" w:hAnsi="Arial" w:cs="Arial"/>
        </w:rPr>
      </w:pPr>
      <w:r w:rsidRPr="004C79B2">
        <w:rPr>
          <w:rFonts w:ascii="Arial" w:hAnsi="Arial" w:cs="Arial"/>
        </w:rPr>
        <w:t>The benefits multiplier is estimated by dividing total compensation of $43.26 by salaries and wages of $29.86, based on Employer Cost for Employee Compensation, June 2023 data, released September 12, 2023 (</w:t>
      </w:r>
      <w:hyperlink r:id="rId6" w:history="1">
        <w:r w:rsidRPr="004C79B2">
          <w:rPr>
            <w:rStyle w:val="Hyperlink"/>
            <w:rFonts w:ascii="Arial" w:hAnsi="Arial" w:cs="Arial"/>
          </w:rPr>
          <w:t>https://www.bls.gov/news.release/ecec.nr0.htm</w:t>
        </w:r>
      </w:hyperlink>
      <w:r w:rsidRPr="004C79B2">
        <w:rPr>
          <w:rFonts w:ascii="Arial" w:hAnsi="Arial" w:cs="Arial"/>
        </w:rPr>
        <w:t xml:space="preserve">).  </w:t>
      </w:r>
    </w:p>
    <w:p w:rsidR="00B055EE" w:rsidRPr="008F4457" w14:paraId="6BBD21BC" w14:textId="77777777">
      <w:pPr>
        <w:rPr>
          <w:rFonts w:ascii="Arial" w:hAnsi="Arial"/>
        </w:rPr>
      </w:pPr>
    </w:p>
    <w:p w:rsidR="00B70140" w:rsidRPr="008F4457" w14:paraId="00E04C3D" w14:textId="77777777">
      <w:pPr>
        <w:pStyle w:val="Level1"/>
        <w:tabs>
          <w:tab w:val="left" w:pos="-1440"/>
          <w:tab w:val="num" w:pos="720"/>
        </w:tabs>
        <w:rPr>
          <w:rFonts w:ascii="Arial" w:hAnsi="Arial"/>
          <w:b/>
        </w:rPr>
      </w:pPr>
      <w:r w:rsidRPr="008F4457">
        <w:rPr>
          <w:rFonts w:ascii="Arial" w:hAnsi="Arial"/>
          <w:b/>
          <w:u w:val="single"/>
        </w:rPr>
        <w:t>ESTIMATED ANNUALIZED COST TO THE FEDERAL GOVERNMENT</w:t>
      </w:r>
    </w:p>
    <w:p w:rsidR="00B70140" w:rsidRPr="008F4457" w14:paraId="37D96A6C" w14:textId="77777777">
      <w:pPr>
        <w:rPr>
          <w:rFonts w:ascii="Arial" w:hAnsi="Arial"/>
          <w:b/>
        </w:rPr>
      </w:pPr>
    </w:p>
    <w:p w:rsidR="00AD2EF2" w:rsidRPr="00AD2EF2" w:rsidP="00AD2EF2" w14:paraId="2AD475CC" w14:textId="7A256731">
      <w:pPr>
        <w:ind w:left="720"/>
        <w:rPr>
          <w:rFonts w:ascii="Arial" w:hAnsi="Arial"/>
        </w:rPr>
      </w:pPr>
      <w:bookmarkStart w:id="2" w:name="_Hlk523834409"/>
      <w:r w:rsidRPr="00AD2EF2">
        <w:rPr>
          <w:rFonts w:ascii="Arial" w:hAnsi="Arial"/>
        </w:rPr>
        <w:t xml:space="preserve">The Federal government cost estimate is based on a model that considers the following three cost factors for each information product: aggregate labor costs for development, including annualized </w:t>
      </w:r>
      <w:r w:rsidRPr="00AD2EF2" w:rsidR="00FE396C">
        <w:rPr>
          <w:rFonts w:ascii="Arial" w:hAnsi="Arial"/>
        </w:rPr>
        <w:t>startup</w:t>
      </w:r>
      <w:r w:rsidRPr="00AD2EF2">
        <w:rPr>
          <w:rFonts w:ascii="Arial" w:hAnsi="Arial"/>
        </w:rPr>
        <w:t xml:space="preserve"> expenses, operating and maintenance expenses, and distribution of the product that collects the information.  </w:t>
      </w:r>
    </w:p>
    <w:p w:rsidR="00AD2EF2" w:rsidRPr="00AD2EF2" w:rsidP="00AD2EF2" w14:paraId="33B7D9C5" w14:textId="77777777">
      <w:pPr>
        <w:ind w:left="720"/>
        <w:rPr>
          <w:rFonts w:ascii="Arial" w:hAnsi="Arial"/>
        </w:rPr>
      </w:pPr>
    </w:p>
    <w:p w:rsidR="00AD2EF2" w:rsidRPr="00AD2EF2" w:rsidP="00AD2EF2" w14:paraId="2F2A190F" w14:textId="476A0FBD">
      <w:pPr>
        <w:ind w:left="720"/>
        <w:rPr>
          <w:rFonts w:ascii="Arial" w:hAnsi="Arial"/>
        </w:rPr>
      </w:pPr>
      <w:r w:rsidRPr="00AD2EF2">
        <w:rPr>
          <w:rFonts w:ascii="Arial" w:hAnsi="Arial"/>
        </w:rPr>
        <w:t xml:space="preserve">The government computes cost using a multi-step process.  First, the government creates a weighted factor for the level of effort to create each information collection product based on variables such </w:t>
      </w:r>
      <w:r w:rsidRPr="00AD2EF2" w:rsidR="0068201F">
        <w:rPr>
          <w:rFonts w:ascii="Arial" w:hAnsi="Arial"/>
        </w:rPr>
        <w:t>as</w:t>
      </w:r>
      <w:r w:rsidRPr="00AD2EF2">
        <w:rPr>
          <w:rFonts w:ascii="Arial" w:hAnsi="Arial"/>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AD2EF2" w:rsidR="0068201F">
        <w:rPr>
          <w:rFonts w:ascii="Arial" w:hAnsi="Arial"/>
        </w:rPr>
        <w:t>libraries,</w:t>
      </w:r>
      <w:r w:rsidRPr="00AD2EF2">
        <w:rPr>
          <w:rFonts w:ascii="Arial" w:hAnsi="Arial"/>
        </w:rPr>
        <w:t xml:space="preserve"> and other outlets. The result is the Government cost estimate per product.</w:t>
      </w:r>
    </w:p>
    <w:p w:rsidR="00AD2EF2" w:rsidRPr="00AD2EF2" w:rsidP="00AD2EF2" w14:paraId="7D101AA7" w14:textId="77777777">
      <w:pPr>
        <w:ind w:left="720"/>
        <w:rPr>
          <w:rFonts w:ascii="Arial" w:hAnsi="Arial"/>
        </w:rPr>
      </w:pPr>
    </w:p>
    <w:p w:rsidR="00AD2EF2" w:rsidRPr="00AD2EF2" w:rsidP="00AD2EF2" w14:paraId="6DDB8070" w14:textId="77777777">
      <w:pPr>
        <w:ind w:left="720"/>
        <w:rPr>
          <w:rFonts w:ascii="Arial" w:hAnsi="Arial"/>
        </w:rPr>
      </w:pPr>
      <w:r w:rsidRPr="00AD2EF2">
        <w:rPr>
          <w:rFonts w:ascii="Arial" w:hAnsi="Arial"/>
        </w:rPr>
        <w:t>The government cost estimate for this collection is summarized in the table below.</w:t>
      </w:r>
    </w:p>
    <w:p w:rsidR="00AD2EF2" w:rsidRPr="00AD2EF2" w:rsidP="00AD2EF2" w14:paraId="18DB27A0" w14:textId="77777777">
      <w:pPr>
        <w:ind w:left="720"/>
        <w:rPr>
          <w:rFonts w:ascii="Arial" w:hAnsi="Arial"/>
        </w:rPr>
      </w:pPr>
    </w:p>
    <w:tbl>
      <w:tblPr>
        <w:tblW w:w="8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1917"/>
        <w:gridCol w:w="287"/>
        <w:gridCol w:w="1765"/>
        <w:gridCol w:w="354"/>
        <w:gridCol w:w="1808"/>
      </w:tblGrid>
      <w:tr w14:paraId="51505A68" w14:textId="77777777" w:rsidTr="004C79B2">
        <w:tblPrEx>
          <w:tblW w:w="8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69" w:type="dxa"/>
            <w:shd w:val="clear" w:color="auto" w:fill="auto"/>
            <w:vAlign w:val="center"/>
          </w:tcPr>
          <w:p w:rsidR="00AD2EF2" w:rsidRPr="00E510BF" w:rsidP="004C79B2" w14:paraId="2A8BDDFF" w14:textId="77777777">
            <w:pPr>
              <w:keepNext/>
              <w:keepLines/>
              <w:ind w:left="720"/>
              <w:rPr>
                <w:rFonts w:ascii="Arial Narrow" w:hAnsi="Arial Narrow"/>
                <w:b/>
                <w:sz w:val="18"/>
                <w:szCs w:val="18"/>
                <w:u w:val="single"/>
              </w:rPr>
            </w:pPr>
            <w:r w:rsidRPr="00E510BF">
              <w:rPr>
                <w:rFonts w:ascii="Arial Narrow" w:hAnsi="Arial Narrow"/>
                <w:b/>
                <w:sz w:val="18"/>
                <w:szCs w:val="18"/>
                <w:u w:val="single"/>
              </w:rPr>
              <w:t>Product</w:t>
            </w:r>
          </w:p>
        </w:tc>
        <w:tc>
          <w:tcPr>
            <w:tcW w:w="1917" w:type="dxa"/>
            <w:tcBorders>
              <w:bottom w:val="single" w:sz="4" w:space="0" w:color="auto"/>
            </w:tcBorders>
            <w:shd w:val="clear" w:color="auto" w:fill="auto"/>
            <w:vAlign w:val="center"/>
          </w:tcPr>
          <w:p w:rsidR="00AD2EF2" w:rsidRPr="00E510BF" w:rsidP="004C79B2" w14:paraId="52D0544E" w14:textId="77777777">
            <w:pPr>
              <w:keepNext/>
              <w:keepLines/>
              <w:ind w:left="720"/>
              <w:jc w:val="center"/>
              <w:rPr>
                <w:rFonts w:ascii="Arial Narrow" w:hAnsi="Arial Narrow"/>
                <w:b/>
                <w:sz w:val="18"/>
                <w:szCs w:val="18"/>
                <w:u w:val="single"/>
              </w:rPr>
            </w:pPr>
            <w:r w:rsidRPr="00E510BF">
              <w:rPr>
                <w:rFonts w:ascii="Arial Narrow" w:hAnsi="Arial Narrow"/>
                <w:b/>
                <w:sz w:val="18"/>
                <w:szCs w:val="18"/>
                <w:u w:val="single"/>
              </w:rPr>
              <w:t>Aggregate Cost per Product (factor applied)</w:t>
            </w:r>
          </w:p>
        </w:tc>
        <w:tc>
          <w:tcPr>
            <w:tcW w:w="287" w:type="dxa"/>
            <w:shd w:val="clear" w:color="auto" w:fill="auto"/>
            <w:vAlign w:val="center"/>
          </w:tcPr>
          <w:p w:rsidR="00AD2EF2" w:rsidRPr="00E510BF" w:rsidP="004C79B2" w14:paraId="1D3F17EB" w14:textId="77777777">
            <w:pPr>
              <w:keepNext/>
              <w:keepLines/>
              <w:ind w:left="720"/>
              <w:jc w:val="center"/>
              <w:rPr>
                <w:rFonts w:ascii="Arial Narrow" w:hAnsi="Arial Narrow"/>
                <w:b/>
                <w:sz w:val="18"/>
                <w:szCs w:val="18"/>
                <w:u w:val="single"/>
              </w:rPr>
            </w:pPr>
          </w:p>
        </w:tc>
        <w:tc>
          <w:tcPr>
            <w:tcW w:w="1765" w:type="dxa"/>
            <w:shd w:val="clear" w:color="auto" w:fill="auto"/>
            <w:vAlign w:val="center"/>
          </w:tcPr>
          <w:p w:rsidR="00AD2EF2" w:rsidRPr="00E510BF" w:rsidP="004C79B2" w14:paraId="18855536" w14:textId="77777777">
            <w:pPr>
              <w:keepNext/>
              <w:keepLines/>
              <w:ind w:left="720"/>
              <w:jc w:val="center"/>
              <w:rPr>
                <w:rFonts w:ascii="Arial Narrow" w:hAnsi="Arial Narrow"/>
                <w:b/>
                <w:sz w:val="18"/>
                <w:szCs w:val="18"/>
                <w:u w:val="single"/>
              </w:rPr>
            </w:pPr>
            <w:r w:rsidRPr="00E510BF">
              <w:rPr>
                <w:rFonts w:ascii="Arial Narrow" w:hAnsi="Arial Narrow"/>
                <w:b/>
                <w:sz w:val="18"/>
                <w:szCs w:val="18"/>
                <w:u w:val="single"/>
              </w:rPr>
              <w:t>Printing and Distribution</w:t>
            </w:r>
          </w:p>
        </w:tc>
        <w:tc>
          <w:tcPr>
            <w:tcW w:w="354" w:type="dxa"/>
            <w:shd w:val="clear" w:color="auto" w:fill="auto"/>
          </w:tcPr>
          <w:p w:rsidR="00AD2EF2" w:rsidRPr="00E510BF" w:rsidP="00E510BF" w14:paraId="4E22ACFE" w14:textId="77777777">
            <w:pPr>
              <w:keepNext/>
              <w:keepLines/>
              <w:ind w:left="720"/>
              <w:rPr>
                <w:rFonts w:ascii="Arial Narrow" w:hAnsi="Arial Narrow"/>
                <w:b/>
                <w:sz w:val="18"/>
                <w:szCs w:val="18"/>
                <w:u w:val="single"/>
              </w:rPr>
            </w:pPr>
          </w:p>
        </w:tc>
        <w:tc>
          <w:tcPr>
            <w:tcW w:w="1808" w:type="dxa"/>
            <w:shd w:val="clear" w:color="auto" w:fill="auto"/>
            <w:vAlign w:val="bottom"/>
          </w:tcPr>
          <w:p w:rsidR="00AD2EF2" w:rsidRPr="00E510BF" w:rsidP="00E510BF" w14:paraId="235364D7" w14:textId="77777777">
            <w:pPr>
              <w:keepNext/>
              <w:keepLines/>
              <w:ind w:left="720"/>
              <w:rPr>
                <w:rFonts w:ascii="Arial Narrow" w:hAnsi="Arial Narrow"/>
                <w:b/>
                <w:sz w:val="18"/>
                <w:szCs w:val="18"/>
                <w:u w:val="single"/>
              </w:rPr>
            </w:pPr>
            <w:r w:rsidRPr="00E510BF">
              <w:rPr>
                <w:rFonts w:ascii="Arial Narrow" w:hAnsi="Arial Narrow"/>
                <w:b/>
                <w:sz w:val="18"/>
                <w:szCs w:val="18"/>
                <w:u w:val="single"/>
              </w:rPr>
              <w:t>Government Cost Estimate per Product</w:t>
            </w:r>
          </w:p>
        </w:tc>
      </w:tr>
      <w:tr w14:paraId="6F28D281" w14:textId="77777777" w:rsidTr="004C79B2">
        <w:tblPrEx>
          <w:tblW w:w="8000" w:type="dxa"/>
          <w:tblInd w:w="715" w:type="dxa"/>
          <w:tblLook w:val="04A0"/>
        </w:tblPrEx>
        <w:tc>
          <w:tcPr>
            <w:tcW w:w="1869" w:type="dxa"/>
            <w:shd w:val="clear" w:color="auto" w:fill="auto"/>
            <w:vAlign w:val="center"/>
          </w:tcPr>
          <w:p w:rsidR="007D5A0F" w:rsidRPr="00E510BF" w:rsidP="004C79B2" w14:paraId="12A91A81" w14:textId="17644D69">
            <w:pPr>
              <w:keepNext/>
              <w:keepLines/>
              <w:ind w:left="720"/>
              <w:rPr>
                <w:rFonts w:ascii="Arial Narrow" w:hAnsi="Arial Narrow"/>
                <w:sz w:val="18"/>
                <w:szCs w:val="18"/>
              </w:rPr>
            </w:pPr>
            <w:r w:rsidRPr="00E510BF">
              <w:rPr>
                <w:rFonts w:ascii="Arial Narrow" w:hAnsi="Arial Narrow"/>
                <w:sz w:val="18"/>
                <w:szCs w:val="18"/>
              </w:rPr>
              <w:t>Form</w:t>
            </w:r>
          </w:p>
        </w:tc>
        <w:tc>
          <w:tcPr>
            <w:tcW w:w="1917" w:type="dxa"/>
            <w:tcBorders>
              <w:top w:val="single" w:sz="4" w:space="0" w:color="auto"/>
              <w:left w:val="dashed" w:sz="4" w:space="0" w:color="auto"/>
              <w:bottom w:val="single" w:sz="4" w:space="0" w:color="auto"/>
              <w:right w:val="dashed" w:sz="4" w:space="0" w:color="auto"/>
            </w:tcBorders>
            <w:shd w:val="clear" w:color="auto" w:fill="auto"/>
            <w:vAlign w:val="center"/>
          </w:tcPr>
          <w:p w:rsidR="007D5A0F" w:rsidRPr="007D5A0F" w:rsidP="004C79B2" w14:paraId="7C6A8EB7" w14:textId="0ED39C2A">
            <w:pPr>
              <w:keepNext/>
              <w:keepLines/>
              <w:ind w:left="720"/>
              <w:jc w:val="center"/>
              <w:rPr>
                <w:rFonts w:ascii="Arial Narrow" w:hAnsi="Arial Narrow"/>
                <w:bCs/>
                <w:noProof/>
                <w:sz w:val="18"/>
                <w:szCs w:val="18"/>
              </w:rPr>
            </w:pPr>
            <w:r w:rsidRPr="007D5A0F">
              <w:rPr>
                <w:rFonts w:ascii="Arial Narrow" w:hAnsi="Arial Narrow"/>
                <w:bCs/>
                <w:noProof/>
                <w:sz w:val="18"/>
                <w:szCs w:val="18"/>
              </w:rPr>
              <w:t xml:space="preserve">$   </w:t>
            </w:r>
            <w:r w:rsidR="00EA60C5">
              <w:rPr>
                <w:rFonts w:ascii="Arial Narrow" w:hAnsi="Arial Narrow"/>
                <w:bCs/>
                <w:noProof/>
                <w:sz w:val="18"/>
                <w:szCs w:val="18"/>
              </w:rPr>
              <w:t>60,404</w:t>
            </w:r>
          </w:p>
        </w:tc>
        <w:tc>
          <w:tcPr>
            <w:tcW w:w="287" w:type="dxa"/>
            <w:shd w:val="clear" w:color="auto" w:fill="auto"/>
            <w:vAlign w:val="center"/>
          </w:tcPr>
          <w:p w:rsidR="007D5A0F" w:rsidRPr="00E510BF" w:rsidP="004C79B2" w14:paraId="1EF20A1A" w14:textId="77777777">
            <w:pPr>
              <w:keepNext/>
              <w:keepLines/>
              <w:ind w:left="720"/>
              <w:jc w:val="center"/>
              <w:rPr>
                <w:rFonts w:ascii="Arial Narrow" w:hAnsi="Arial Narrow"/>
                <w:sz w:val="18"/>
                <w:szCs w:val="18"/>
              </w:rPr>
            </w:pPr>
          </w:p>
        </w:tc>
        <w:tc>
          <w:tcPr>
            <w:tcW w:w="1765" w:type="dxa"/>
            <w:shd w:val="clear" w:color="auto" w:fill="auto"/>
            <w:vAlign w:val="center"/>
          </w:tcPr>
          <w:p w:rsidR="007D5A0F" w:rsidRPr="00E510BF" w:rsidP="004C79B2" w14:paraId="467A5898" w14:textId="0570BBD6">
            <w:pPr>
              <w:keepNext/>
              <w:keepLines/>
              <w:ind w:left="720"/>
              <w:jc w:val="center"/>
              <w:rPr>
                <w:rFonts w:ascii="Arial Narrow" w:hAnsi="Arial Narrow"/>
                <w:sz w:val="18"/>
                <w:szCs w:val="18"/>
              </w:rPr>
            </w:pPr>
            <w:r w:rsidRPr="007D5A0F">
              <w:rPr>
                <w:rFonts w:ascii="Arial Narrow" w:hAnsi="Arial Narrow"/>
                <w:bCs/>
                <w:noProof/>
                <w:sz w:val="18"/>
                <w:szCs w:val="18"/>
              </w:rPr>
              <w:t xml:space="preserve">$  </w:t>
            </w:r>
            <w:r>
              <w:rPr>
                <w:rFonts w:ascii="Arial Narrow" w:hAnsi="Arial Narrow"/>
                <w:bCs/>
                <w:noProof/>
                <w:sz w:val="18"/>
                <w:szCs w:val="18"/>
              </w:rPr>
              <w:t>0</w:t>
            </w:r>
          </w:p>
        </w:tc>
        <w:tc>
          <w:tcPr>
            <w:tcW w:w="354" w:type="dxa"/>
            <w:shd w:val="clear" w:color="auto" w:fill="auto"/>
          </w:tcPr>
          <w:p w:rsidR="007D5A0F" w:rsidRPr="00E510BF" w:rsidP="007D5A0F" w14:paraId="5EA58E31" w14:textId="77777777">
            <w:pPr>
              <w:keepNext/>
              <w:keepLines/>
              <w:ind w:left="720"/>
              <w:rPr>
                <w:rFonts w:ascii="Arial Narrow" w:hAnsi="Arial Narrow"/>
                <w:sz w:val="18"/>
                <w:szCs w:val="18"/>
              </w:rPr>
            </w:pPr>
          </w:p>
        </w:tc>
        <w:tc>
          <w:tcPr>
            <w:tcW w:w="1808" w:type="dxa"/>
            <w:shd w:val="clear" w:color="auto" w:fill="auto"/>
            <w:vAlign w:val="bottom"/>
          </w:tcPr>
          <w:p w:rsidR="007D5A0F" w:rsidRPr="00E510BF" w:rsidP="007D5A0F" w14:paraId="104CD8E0" w14:textId="12A32975">
            <w:pPr>
              <w:keepNext/>
              <w:keepLines/>
              <w:ind w:left="720"/>
              <w:rPr>
                <w:rFonts w:ascii="Arial Narrow" w:hAnsi="Arial Narrow"/>
                <w:sz w:val="18"/>
                <w:szCs w:val="18"/>
              </w:rPr>
            </w:pPr>
            <w:r w:rsidRPr="007D5A0F">
              <w:rPr>
                <w:rFonts w:ascii="Arial Narrow" w:hAnsi="Arial Narrow"/>
                <w:bCs/>
                <w:noProof/>
                <w:sz w:val="18"/>
                <w:szCs w:val="18"/>
              </w:rPr>
              <w:t xml:space="preserve"> $   </w:t>
            </w:r>
            <w:r w:rsidR="00EA60C5">
              <w:rPr>
                <w:rFonts w:ascii="Arial Narrow" w:hAnsi="Arial Narrow"/>
                <w:bCs/>
                <w:noProof/>
                <w:sz w:val="18"/>
                <w:szCs w:val="18"/>
              </w:rPr>
              <w:t>60,404</w:t>
            </w:r>
          </w:p>
        </w:tc>
      </w:tr>
      <w:tr w14:paraId="54EDD4DD" w14:textId="77777777" w:rsidTr="004C79B2">
        <w:tblPrEx>
          <w:tblW w:w="8000" w:type="dxa"/>
          <w:tblInd w:w="715" w:type="dxa"/>
          <w:tblLook w:val="04A0"/>
        </w:tblPrEx>
        <w:tc>
          <w:tcPr>
            <w:tcW w:w="1869" w:type="dxa"/>
            <w:shd w:val="clear" w:color="auto" w:fill="auto"/>
            <w:vAlign w:val="center"/>
          </w:tcPr>
          <w:p w:rsidR="007D5A0F" w:rsidRPr="00E510BF" w:rsidP="004C79B2" w14:paraId="0C20837F" w14:textId="01CAA4E4">
            <w:pPr>
              <w:keepNext/>
              <w:keepLines/>
              <w:ind w:left="720"/>
              <w:rPr>
                <w:rFonts w:ascii="Arial Narrow" w:hAnsi="Arial Narrow"/>
                <w:sz w:val="18"/>
                <w:szCs w:val="18"/>
              </w:rPr>
            </w:pPr>
            <w:r w:rsidRPr="00E510BF">
              <w:rPr>
                <w:rFonts w:ascii="Arial Narrow" w:hAnsi="Arial Narrow"/>
                <w:sz w:val="18"/>
                <w:szCs w:val="18"/>
              </w:rPr>
              <w:t>Instructions</w:t>
            </w:r>
          </w:p>
        </w:tc>
        <w:tc>
          <w:tcPr>
            <w:tcW w:w="1917"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7D5A0F" w:rsidRPr="007D5A0F" w:rsidP="004C79B2" w14:paraId="56615083" w14:textId="50E2A2FC">
            <w:pPr>
              <w:keepNext/>
              <w:keepLines/>
              <w:ind w:left="720"/>
              <w:jc w:val="center"/>
              <w:rPr>
                <w:rFonts w:ascii="Arial Narrow" w:hAnsi="Arial Narrow"/>
                <w:bCs/>
                <w:noProof/>
                <w:sz w:val="18"/>
                <w:szCs w:val="18"/>
              </w:rPr>
            </w:pPr>
            <w:r w:rsidRPr="007D5A0F">
              <w:rPr>
                <w:rFonts w:ascii="Arial Narrow" w:hAnsi="Arial Narrow"/>
                <w:bCs/>
                <w:noProof/>
                <w:sz w:val="18"/>
                <w:szCs w:val="18"/>
              </w:rPr>
              <w:t xml:space="preserve">$   </w:t>
            </w:r>
            <w:r w:rsidR="00EA60C5">
              <w:rPr>
                <w:rFonts w:ascii="Arial Narrow" w:hAnsi="Arial Narrow"/>
                <w:bCs/>
                <w:noProof/>
                <w:sz w:val="18"/>
                <w:szCs w:val="18"/>
              </w:rPr>
              <w:t>15,101</w:t>
            </w:r>
          </w:p>
        </w:tc>
        <w:tc>
          <w:tcPr>
            <w:tcW w:w="287" w:type="dxa"/>
            <w:shd w:val="clear" w:color="auto" w:fill="auto"/>
            <w:vAlign w:val="center"/>
          </w:tcPr>
          <w:p w:rsidR="007D5A0F" w:rsidRPr="00E510BF" w:rsidP="004C79B2" w14:paraId="6E5AA653" w14:textId="77777777">
            <w:pPr>
              <w:keepNext/>
              <w:keepLines/>
              <w:ind w:left="720"/>
              <w:jc w:val="center"/>
              <w:rPr>
                <w:rFonts w:ascii="Arial Narrow" w:hAnsi="Arial Narrow"/>
                <w:sz w:val="18"/>
                <w:szCs w:val="18"/>
              </w:rPr>
            </w:pPr>
          </w:p>
        </w:tc>
        <w:tc>
          <w:tcPr>
            <w:tcW w:w="1765" w:type="dxa"/>
            <w:shd w:val="clear" w:color="auto" w:fill="auto"/>
            <w:vAlign w:val="center"/>
          </w:tcPr>
          <w:p w:rsidR="007D5A0F" w:rsidRPr="00E510BF" w:rsidP="004C79B2" w14:paraId="26ABBE35" w14:textId="219377C3">
            <w:pPr>
              <w:keepNext/>
              <w:keepLines/>
              <w:ind w:left="720"/>
              <w:jc w:val="center"/>
              <w:rPr>
                <w:rFonts w:ascii="Arial Narrow" w:hAnsi="Arial Narrow"/>
                <w:sz w:val="18"/>
                <w:szCs w:val="18"/>
              </w:rPr>
            </w:pPr>
            <w:r w:rsidRPr="007D5A0F">
              <w:rPr>
                <w:rFonts w:ascii="Arial Narrow" w:hAnsi="Arial Narrow"/>
                <w:bCs/>
                <w:noProof/>
                <w:sz w:val="18"/>
                <w:szCs w:val="18"/>
              </w:rPr>
              <w:t xml:space="preserve">$  </w:t>
            </w:r>
            <w:r>
              <w:rPr>
                <w:rFonts w:ascii="Arial Narrow" w:hAnsi="Arial Narrow"/>
                <w:bCs/>
                <w:noProof/>
                <w:sz w:val="18"/>
                <w:szCs w:val="18"/>
              </w:rPr>
              <w:t>0</w:t>
            </w:r>
          </w:p>
        </w:tc>
        <w:tc>
          <w:tcPr>
            <w:tcW w:w="354" w:type="dxa"/>
            <w:shd w:val="clear" w:color="auto" w:fill="auto"/>
          </w:tcPr>
          <w:p w:rsidR="007D5A0F" w:rsidRPr="00E510BF" w:rsidP="007D5A0F" w14:paraId="25ACBB11" w14:textId="77777777">
            <w:pPr>
              <w:keepNext/>
              <w:keepLines/>
              <w:ind w:left="720"/>
              <w:rPr>
                <w:rFonts w:ascii="Arial Narrow" w:hAnsi="Arial Narrow"/>
                <w:sz w:val="18"/>
                <w:szCs w:val="18"/>
              </w:rPr>
            </w:pPr>
          </w:p>
        </w:tc>
        <w:tc>
          <w:tcPr>
            <w:tcW w:w="1808" w:type="dxa"/>
            <w:shd w:val="clear" w:color="auto" w:fill="auto"/>
            <w:vAlign w:val="bottom"/>
          </w:tcPr>
          <w:p w:rsidR="007D5A0F" w:rsidRPr="00E510BF" w:rsidP="007D5A0F" w14:paraId="6E913D69" w14:textId="35471A84">
            <w:pPr>
              <w:keepNext/>
              <w:keepLines/>
              <w:ind w:left="720"/>
              <w:rPr>
                <w:rFonts w:ascii="Arial Narrow" w:hAnsi="Arial Narrow"/>
                <w:sz w:val="18"/>
                <w:szCs w:val="18"/>
              </w:rPr>
            </w:pPr>
            <w:r w:rsidRPr="007D5A0F">
              <w:rPr>
                <w:rFonts w:ascii="Arial Narrow" w:hAnsi="Arial Narrow"/>
                <w:bCs/>
                <w:noProof/>
                <w:sz w:val="18"/>
                <w:szCs w:val="18"/>
              </w:rPr>
              <w:t xml:space="preserve"> $   </w:t>
            </w:r>
            <w:r w:rsidR="00EA60C5">
              <w:rPr>
                <w:rFonts w:ascii="Arial Narrow" w:hAnsi="Arial Narrow"/>
                <w:bCs/>
                <w:noProof/>
                <w:sz w:val="18"/>
                <w:szCs w:val="18"/>
              </w:rPr>
              <w:t>15,101</w:t>
            </w:r>
          </w:p>
        </w:tc>
      </w:tr>
      <w:tr w14:paraId="225699EE" w14:textId="77777777" w:rsidTr="004C79B2">
        <w:tblPrEx>
          <w:tblW w:w="8000" w:type="dxa"/>
          <w:tblInd w:w="715" w:type="dxa"/>
          <w:tblLook w:val="04A0"/>
        </w:tblPrEx>
        <w:tc>
          <w:tcPr>
            <w:tcW w:w="1869" w:type="dxa"/>
            <w:shd w:val="clear" w:color="auto" w:fill="auto"/>
            <w:vAlign w:val="center"/>
          </w:tcPr>
          <w:p w:rsidR="007D5A0F" w:rsidRPr="00E510BF" w:rsidP="004C79B2" w14:paraId="430BF588" w14:textId="77777777">
            <w:pPr>
              <w:keepNext/>
              <w:keepLines/>
              <w:ind w:left="720"/>
              <w:rPr>
                <w:rFonts w:ascii="Arial Narrow" w:hAnsi="Arial Narrow"/>
                <w:b/>
                <w:sz w:val="18"/>
                <w:szCs w:val="18"/>
              </w:rPr>
            </w:pPr>
            <w:r w:rsidRPr="00E510BF">
              <w:rPr>
                <w:rFonts w:ascii="Arial Narrow" w:hAnsi="Arial Narrow"/>
                <w:b/>
                <w:sz w:val="18"/>
                <w:szCs w:val="18"/>
              </w:rPr>
              <w:t>Grand Total</w:t>
            </w:r>
          </w:p>
        </w:tc>
        <w:tc>
          <w:tcPr>
            <w:tcW w:w="1917" w:type="dxa"/>
            <w:tcBorders>
              <w:top w:val="single" w:sz="4" w:space="0" w:color="auto"/>
            </w:tcBorders>
            <w:shd w:val="clear" w:color="auto" w:fill="000000" w:themeFill="text1"/>
            <w:vAlign w:val="center"/>
          </w:tcPr>
          <w:p w:rsidR="007D5A0F" w:rsidRPr="00E510BF" w:rsidP="004C79B2" w14:paraId="3CD734AE" w14:textId="520AAD1B">
            <w:pPr>
              <w:keepNext/>
              <w:keepLines/>
              <w:jc w:val="center"/>
              <w:rPr>
                <w:rFonts w:ascii="Arial Narrow" w:hAnsi="Arial Narrow"/>
                <w:b/>
                <w:sz w:val="18"/>
                <w:szCs w:val="18"/>
              </w:rPr>
            </w:pPr>
          </w:p>
        </w:tc>
        <w:tc>
          <w:tcPr>
            <w:tcW w:w="287" w:type="dxa"/>
            <w:shd w:val="clear" w:color="auto" w:fill="auto"/>
            <w:vAlign w:val="center"/>
          </w:tcPr>
          <w:p w:rsidR="007D5A0F" w:rsidRPr="00E510BF" w:rsidP="004C79B2" w14:paraId="270CBB9F" w14:textId="77777777">
            <w:pPr>
              <w:keepNext/>
              <w:keepLines/>
              <w:ind w:left="720"/>
              <w:jc w:val="center"/>
              <w:rPr>
                <w:rFonts w:ascii="Arial Narrow" w:hAnsi="Arial Narrow"/>
                <w:b/>
                <w:sz w:val="18"/>
                <w:szCs w:val="18"/>
              </w:rPr>
            </w:pPr>
          </w:p>
        </w:tc>
        <w:tc>
          <w:tcPr>
            <w:tcW w:w="1765" w:type="dxa"/>
            <w:shd w:val="clear" w:color="auto" w:fill="000000" w:themeFill="text1"/>
            <w:vAlign w:val="center"/>
          </w:tcPr>
          <w:p w:rsidR="007D5A0F" w:rsidRPr="00E510BF" w:rsidP="004C79B2" w14:paraId="2E869662" w14:textId="482BC3FD">
            <w:pPr>
              <w:keepNext/>
              <w:keepLines/>
              <w:ind w:left="720"/>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 xml:space="preserve"> </w:t>
            </w:r>
            <w:r>
              <w:rPr>
                <w:rFonts w:ascii="Arial Narrow" w:hAnsi="Arial Narrow"/>
                <w:b/>
                <w:sz w:val="18"/>
                <w:szCs w:val="18"/>
              </w:rPr>
              <w:fldChar w:fldCharType="end"/>
            </w:r>
          </w:p>
        </w:tc>
        <w:tc>
          <w:tcPr>
            <w:tcW w:w="354" w:type="dxa"/>
            <w:shd w:val="clear" w:color="auto" w:fill="auto"/>
          </w:tcPr>
          <w:p w:rsidR="007D5A0F" w:rsidRPr="00E510BF" w:rsidP="007D5A0F" w14:paraId="7C43FC59" w14:textId="77777777">
            <w:pPr>
              <w:keepNext/>
              <w:keepLines/>
              <w:ind w:left="720"/>
              <w:rPr>
                <w:rFonts w:ascii="Arial Narrow" w:hAnsi="Arial Narrow"/>
                <w:b/>
                <w:sz w:val="18"/>
                <w:szCs w:val="18"/>
              </w:rPr>
            </w:pPr>
          </w:p>
        </w:tc>
        <w:tc>
          <w:tcPr>
            <w:tcW w:w="1808" w:type="dxa"/>
            <w:shd w:val="clear" w:color="auto" w:fill="auto"/>
          </w:tcPr>
          <w:p w:rsidR="007D5A0F" w:rsidRPr="00E510BF" w:rsidP="007D5A0F" w14:paraId="5734DEDD" w14:textId="037B997D">
            <w:pPr>
              <w:keepNext/>
              <w:keepLines/>
              <w:ind w:left="720"/>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 xml:space="preserve">$    </w:t>
            </w:r>
            <w:r w:rsidR="00EA60C5">
              <w:rPr>
                <w:rFonts w:ascii="Arial Narrow" w:hAnsi="Arial Narrow"/>
                <w:b/>
                <w:noProof/>
                <w:sz w:val="18"/>
                <w:szCs w:val="18"/>
              </w:rPr>
              <w:t>75,505</w:t>
            </w:r>
            <w:r>
              <w:rPr>
                <w:rFonts w:ascii="Arial Narrow" w:hAnsi="Arial Narrow"/>
                <w:b/>
                <w:sz w:val="18"/>
                <w:szCs w:val="18"/>
              </w:rPr>
              <w:fldChar w:fldCharType="end"/>
            </w:r>
          </w:p>
        </w:tc>
      </w:tr>
      <w:tr w14:paraId="390D2A1F" w14:textId="77777777" w:rsidTr="004C79B2">
        <w:tblPrEx>
          <w:tblW w:w="8000" w:type="dxa"/>
          <w:tblInd w:w="715" w:type="dxa"/>
          <w:tblLook w:val="04A0"/>
        </w:tblPrEx>
        <w:tc>
          <w:tcPr>
            <w:tcW w:w="8000" w:type="dxa"/>
            <w:gridSpan w:val="6"/>
            <w:shd w:val="clear" w:color="auto" w:fill="auto"/>
            <w:vAlign w:val="center"/>
          </w:tcPr>
          <w:p w:rsidR="00AD2EF2" w:rsidRPr="00E510BF" w:rsidP="004C79B2" w14:paraId="6F5C0A89" w14:textId="6DE990CD">
            <w:pPr>
              <w:keepNext/>
              <w:keepLines/>
              <w:ind w:left="720"/>
              <w:jc w:val="center"/>
              <w:rPr>
                <w:rFonts w:ascii="Arial Narrow" w:hAnsi="Arial Narrow"/>
                <w:sz w:val="18"/>
                <w:szCs w:val="18"/>
              </w:rPr>
            </w:pPr>
            <w:r w:rsidRPr="00E510BF">
              <w:rPr>
                <w:rFonts w:ascii="Arial Narrow" w:hAnsi="Arial Narrow"/>
                <w:sz w:val="18"/>
                <w:szCs w:val="18"/>
              </w:rPr>
              <w:t>Table costs are based on 20</w:t>
            </w:r>
            <w:r w:rsidR="0068201F">
              <w:rPr>
                <w:rFonts w:ascii="Arial Narrow" w:hAnsi="Arial Narrow"/>
                <w:sz w:val="18"/>
                <w:szCs w:val="18"/>
              </w:rPr>
              <w:t>23</w:t>
            </w:r>
            <w:r w:rsidRPr="00E510BF">
              <w:rPr>
                <w:rFonts w:ascii="Arial Narrow" w:hAnsi="Arial Narrow"/>
                <w:sz w:val="18"/>
                <w:szCs w:val="18"/>
              </w:rPr>
              <w:t xml:space="preserve"> actuals obtained from IRS Chief Financial Office and Media and Publications</w:t>
            </w:r>
          </w:p>
        </w:tc>
      </w:tr>
      <w:bookmarkEnd w:id="2"/>
    </w:tbl>
    <w:p w:rsidR="00106FC2" w:rsidRPr="008F4457" w14:paraId="2424C0ED" w14:textId="77777777">
      <w:pPr>
        <w:rPr>
          <w:rFonts w:ascii="Arial" w:hAnsi="Arial"/>
        </w:rPr>
      </w:pPr>
    </w:p>
    <w:p w:rsidR="00B70140" w:rsidRPr="008F4457" w14:paraId="310A09DB" w14:textId="77777777">
      <w:pPr>
        <w:pStyle w:val="Level1"/>
        <w:tabs>
          <w:tab w:val="left" w:pos="-1440"/>
          <w:tab w:val="num" w:pos="720"/>
        </w:tabs>
        <w:rPr>
          <w:rFonts w:ascii="Arial" w:hAnsi="Arial"/>
          <w:b/>
        </w:rPr>
      </w:pPr>
      <w:r w:rsidRPr="008F4457">
        <w:rPr>
          <w:rFonts w:ascii="Arial" w:hAnsi="Arial"/>
          <w:b/>
          <w:u w:val="single"/>
        </w:rPr>
        <w:t>REASONS FOR CHANGE IN BURDEN</w:t>
      </w:r>
    </w:p>
    <w:p w:rsidR="00B70140" w:rsidRPr="008F4457" w14:paraId="6928F484" w14:textId="77777777">
      <w:pPr>
        <w:rPr>
          <w:rFonts w:ascii="Arial" w:hAnsi="Arial"/>
        </w:rPr>
      </w:pPr>
    </w:p>
    <w:p w:rsidR="006C3D30" w:rsidRPr="006C3D30" w:rsidP="006C3D30" w14:paraId="54ADFD3E" w14:textId="3B27F276">
      <w:pPr>
        <w:ind w:left="720"/>
        <w:rPr>
          <w:rFonts w:ascii="Arial" w:hAnsi="Arial"/>
        </w:rPr>
      </w:pPr>
      <w:r>
        <w:rPr>
          <w:rFonts w:ascii="Arial" w:hAnsi="Arial"/>
        </w:rPr>
        <w:t>S</w:t>
      </w:r>
      <w:r w:rsidRPr="006C3D30">
        <w:rPr>
          <w:rFonts w:ascii="Arial" w:hAnsi="Arial"/>
        </w:rPr>
        <w:t>ubstantial</w:t>
      </w:r>
      <w:r>
        <w:rPr>
          <w:rFonts w:ascii="Arial" w:hAnsi="Arial"/>
        </w:rPr>
        <w:t xml:space="preserve"> </w:t>
      </w:r>
      <w:r w:rsidRPr="006C3D30">
        <w:rPr>
          <w:rFonts w:ascii="Arial" w:hAnsi="Arial"/>
        </w:rPr>
        <w:t>changes</w:t>
      </w:r>
      <w:r>
        <w:rPr>
          <w:rFonts w:ascii="Arial" w:hAnsi="Arial"/>
        </w:rPr>
        <w:t xml:space="preserve"> are being made to the form and instructions</w:t>
      </w:r>
      <w:r w:rsidRPr="006C3D30">
        <w:rPr>
          <w:rFonts w:ascii="Arial" w:hAnsi="Arial"/>
        </w:rPr>
        <w:t>, based on Regulations sections 1.1031(a)-1(a)(3) and 1.1031(a)-3 (and IRC 1031 as</w:t>
      </w:r>
    </w:p>
    <w:p w:rsidR="002B4C91" w:rsidP="006C3D30" w14:paraId="0C698EBE" w14:textId="77777777">
      <w:pPr>
        <w:ind w:left="720"/>
        <w:rPr>
          <w:rFonts w:ascii="Arial" w:hAnsi="Arial"/>
        </w:rPr>
      </w:pPr>
      <w:r w:rsidRPr="006C3D30">
        <w:rPr>
          <w:rFonts w:ascii="Arial" w:hAnsi="Arial"/>
        </w:rPr>
        <w:t>updated by PL 115-97 (TCJA), section 13303). These rules limit the property eligible for like-kind exchanges. Under these rules, only</w:t>
      </w:r>
      <w:r>
        <w:rPr>
          <w:rFonts w:ascii="Arial" w:hAnsi="Arial"/>
        </w:rPr>
        <w:t xml:space="preserve"> </w:t>
      </w:r>
      <w:r w:rsidRPr="006C3D30">
        <w:rPr>
          <w:rFonts w:ascii="Arial" w:hAnsi="Arial"/>
        </w:rPr>
        <w:t>property meeting the definition of real property in IRC 1031 is like-kind property for purposes of like-kind exchanges</w:t>
      </w:r>
      <w:r w:rsidR="00934B12">
        <w:rPr>
          <w:rFonts w:ascii="Arial" w:hAnsi="Arial"/>
        </w:rPr>
        <w:t xml:space="preserve">.  </w:t>
      </w:r>
    </w:p>
    <w:p w:rsidR="002B4C91" w:rsidP="006C3D30" w14:paraId="70D023CC" w14:textId="77777777">
      <w:pPr>
        <w:ind w:left="720"/>
        <w:rPr>
          <w:rFonts w:ascii="Arial" w:hAnsi="Arial"/>
        </w:rPr>
      </w:pPr>
    </w:p>
    <w:p w:rsidR="00D81503" w:rsidP="006C3D30" w14:paraId="00F5F529" w14:textId="2A9D54EF">
      <w:pPr>
        <w:ind w:left="720"/>
        <w:rPr>
          <w:rFonts w:ascii="Arial" w:hAnsi="Arial"/>
        </w:rPr>
      </w:pPr>
      <w:r>
        <w:rPr>
          <w:rFonts w:ascii="Arial" w:hAnsi="Arial"/>
        </w:rPr>
        <w:t>IRS has made revisions to the form to include information about the property being given up and information about the property being received.</w:t>
      </w:r>
      <w:r w:rsidR="00636DDC">
        <w:rPr>
          <w:rFonts w:ascii="Arial" w:hAnsi="Arial"/>
        </w:rPr>
        <w:t xml:space="preserve">  This is increasing the burden by 1,699,164 hours due to a new statutory requirement.</w:t>
      </w:r>
      <w:r>
        <w:rPr>
          <w:rFonts w:ascii="Arial" w:hAnsi="Arial"/>
        </w:rPr>
        <w:t xml:space="preserve"> </w:t>
      </w:r>
    </w:p>
    <w:p w:rsidR="00D81503" w:rsidP="006C3D30" w14:paraId="45AA4A90" w14:textId="77777777">
      <w:pPr>
        <w:ind w:left="720"/>
        <w:rPr>
          <w:rFonts w:ascii="Arial" w:hAnsi="Arial"/>
        </w:rPr>
      </w:pPr>
    </w:p>
    <w:tbl>
      <w:tblPr>
        <w:tblDescription w:val="table that charts list of burden"/>
        <w:tblW w:w="4394" w:type="pct"/>
        <w:tblInd w:w="712"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
      <w:tblGrid>
        <w:gridCol w:w="1304"/>
        <w:gridCol w:w="1063"/>
        <w:gridCol w:w="1063"/>
        <w:gridCol w:w="1063"/>
        <w:gridCol w:w="1595"/>
        <w:gridCol w:w="1063"/>
        <w:gridCol w:w="1061"/>
      </w:tblGrid>
      <w:tr w14:paraId="4DDB16CA" w14:textId="77777777" w:rsidTr="002B4C91">
        <w:tblPrEx>
          <w:tblW w:w="4394" w:type="pct"/>
          <w:tblInd w:w="712"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Ex>
        <w:trPr>
          <w:trHeight w:val="289"/>
        </w:trPr>
        <w:tc>
          <w:tcPr>
            <w:tcW w:w="79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81503" w:rsidRPr="00D81503" w:rsidP="00D81503" w14:paraId="3B1200C3" w14:textId="77777777">
            <w:pPr>
              <w:widowControl/>
              <w:autoSpaceDE/>
              <w:autoSpaceDN/>
              <w:adjustRightInd/>
              <w:spacing w:line="195" w:lineRule="atLeast"/>
              <w:jc w:val="center"/>
              <w:rPr>
                <w:rFonts w:ascii="Arial" w:hAnsi="Arial" w:cs="Arial"/>
                <w:b/>
                <w:bCs/>
                <w:color w:val="FFFFFF"/>
                <w:sz w:val="17"/>
                <w:szCs w:val="17"/>
              </w:rPr>
            </w:pPr>
            <w:r w:rsidRPr="00D81503">
              <w:rPr>
                <w:rFonts w:ascii="Arial" w:hAnsi="Arial" w:cs="Arial"/>
                <w:b/>
                <w:bCs/>
                <w:color w:val="FFFFFF"/>
                <w:sz w:val="17"/>
                <w:szCs w:val="17"/>
              </w:rPr>
              <w:t> </w:t>
            </w:r>
          </w:p>
        </w:tc>
        <w:tc>
          <w:tcPr>
            <w:tcW w:w="647"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81503" w:rsidRPr="00D81503" w:rsidP="00D81503" w14:paraId="3CB400FF" w14:textId="5704DECA">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Requested</w:t>
            </w:r>
          </w:p>
        </w:tc>
        <w:tc>
          <w:tcPr>
            <w:tcW w:w="647"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81503" w:rsidRPr="00D81503" w:rsidP="00D81503" w14:paraId="60970D67" w14:textId="77777777">
            <w:pPr>
              <w:widowControl/>
              <w:autoSpaceDE/>
              <w:autoSpaceDN/>
              <w:adjustRightInd/>
              <w:spacing w:line="195" w:lineRule="atLeast"/>
              <w:jc w:val="center"/>
              <w:rPr>
                <w:rFonts w:ascii="Arial" w:hAnsi="Arial" w:cs="Arial"/>
                <w:b/>
                <w:bCs/>
                <w:color w:val="FFFFFF"/>
                <w:sz w:val="17"/>
                <w:szCs w:val="17"/>
              </w:rPr>
            </w:pPr>
            <w:r w:rsidRPr="00D81503">
              <w:rPr>
                <w:rFonts w:ascii="Arial" w:hAnsi="Arial" w:cs="Arial"/>
                <w:b/>
                <w:bCs/>
                <w:color w:val="FFFFFF"/>
                <w:sz w:val="17"/>
                <w:szCs w:val="17"/>
              </w:rPr>
              <w:t>Program Change Due to New Statute</w:t>
            </w:r>
          </w:p>
        </w:tc>
        <w:tc>
          <w:tcPr>
            <w:tcW w:w="647"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81503" w:rsidRPr="00D81503" w:rsidP="00D81503" w14:paraId="1DEA0F4C" w14:textId="77777777">
            <w:pPr>
              <w:widowControl/>
              <w:autoSpaceDE/>
              <w:autoSpaceDN/>
              <w:adjustRightInd/>
              <w:spacing w:line="195" w:lineRule="atLeast"/>
              <w:jc w:val="center"/>
              <w:rPr>
                <w:rFonts w:ascii="Arial" w:hAnsi="Arial" w:cs="Arial"/>
                <w:b/>
                <w:bCs/>
                <w:color w:val="FFFFFF"/>
                <w:sz w:val="17"/>
                <w:szCs w:val="17"/>
              </w:rPr>
            </w:pPr>
            <w:r w:rsidRPr="00D81503">
              <w:rPr>
                <w:rFonts w:ascii="Arial" w:hAnsi="Arial" w:cs="Arial"/>
                <w:b/>
                <w:bCs/>
                <w:color w:val="FFFFFF"/>
                <w:sz w:val="17"/>
                <w:szCs w:val="17"/>
              </w:rPr>
              <w:t>Program Change Due to Agency Discretion</w:t>
            </w:r>
          </w:p>
        </w:tc>
        <w:tc>
          <w:tcPr>
            <w:tcW w:w="97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81503" w:rsidRPr="00D81503" w:rsidP="00D81503" w14:paraId="37599926" w14:textId="77777777">
            <w:pPr>
              <w:widowControl/>
              <w:autoSpaceDE/>
              <w:autoSpaceDN/>
              <w:adjustRightInd/>
              <w:spacing w:line="195" w:lineRule="atLeast"/>
              <w:jc w:val="center"/>
              <w:rPr>
                <w:rFonts w:ascii="Arial" w:hAnsi="Arial" w:cs="Arial"/>
                <w:b/>
                <w:bCs/>
                <w:color w:val="FFFFFF"/>
                <w:sz w:val="17"/>
                <w:szCs w:val="17"/>
              </w:rPr>
            </w:pPr>
            <w:r w:rsidRPr="00D81503">
              <w:rPr>
                <w:rFonts w:ascii="Arial" w:hAnsi="Arial" w:cs="Arial"/>
                <w:b/>
                <w:bCs/>
                <w:color w:val="FFFFFF"/>
                <w:sz w:val="17"/>
                <w:szCs w:val="17"/>
              </w:rPr>
              <w:t>Change Due to Adjustment in Agency Estimate</w:t>
            </w:r>
          </w:p>
        </w:tc>
        <w:tc>
          <w:tcPr>
            <w:tcW w:w="647"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81503" w:rsidRPr="00D81503" w:rsidP="00D81503" w14:paraId="035505AC" w14:textId="77777777">
            <w:pPr>
              <w:widowControl/>
              <w:autoSpaceDE/>
              <w:autoSpaceDN/>
              <w:adjustRightInd/>
              <w:spacing w:line="195" w:lineRule="atLeast"/>
              <w:jc w:val="center"/>
              <w:rPr>
                <w:rFonts w:ascii="Arial" w:hAnsi="Arial" w:cs="Arial"/>
                <w:b/>
                <w:bCs/>
                <w:color w:val="FFFFFF"/>
                <w:sz w:val="17"/>
                <w:szCs w:val="17"/>
              </w:rPr>
            </w:pPr>
            <w:r w:rsidRPr="00D81503">
              <w:rPr>
                <w:rFonts w:ascii="Arial" w:hAnsi="Arial" w:cs="Arial"/>
                <w:b/>
                <w:bCs/>
                <w:color w:val="FFFFFF"/>
                <w:sz w:val="17"/>
                <w:szCs w:val="17"/>
              </w:rPr>
              <w:t>Change Due to Potential Violation of the PRA</w:t>
            </w:r>
          </w:p>
        </w:tc>
        <w:tc>
          <w:tcPr>
            <w:tcW w:w="64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81503" w:rsidRPr="00D81503" w:rsidP="00D81503" w14:paraId="6FC75A2B" w14:textId="77777777">
            <w:pPr>
              <w:widowControl/>
              <w:autoSpaceDE/>
              <w:autoSpaceDN/>
              <w:adjustRightInd/>
              <w:spacing w:line="195" w:lineRule="atLeast"/>
              <w:jc w:val="center"/>
              <w:rPr>
                <w:rFonts w:ascii="Arial" w:hAnsi="Arial" w:cs="Arial"/>
                <w:b/>
                <w:bCs/>
                <w:color w:val="FFFFFF"/>
                <w:sz w:val="17"/>
                <w:szCs w:val="17"/>
              </w:rPr>
            </w:pPr>
            <w:r w:rsidRPr="00D81503">
              <w:rPr>
                <w:rFonts w:ascii="Arial" w:hAnsi="Arial" w:cs="Arial"/>
                <w:b/>
                <w:bCs/>
                <w:color w:val="FFFFFF"/>
                <w:sz w:val="17"/>
                <w:szCs w:val="17"/>
              </w:rPr>
              <w:t>Previously Approved</w:t>
            </w:r>
          </w:p>
        </w:tc>
      </w:tr>
      <w:tr w14:paraId="2F5FEC96" w14:textId="77777777" w:rsidTr="002B4C91">
        <w:tblPrEx>
          <w:tblW w:w="4394" w:type="pct"/>
          <w:tblInd w:w="712" w:type="dxa"/>
          <w:shd w:val="clear" w:color="auto" w:fill="FFFFFF"/>
          <w:tblCellMar>
            <w:left w:w="0" w:type="dxa"/>
            <w:right w:w="0" w:type="dxa"/>
          </w:tblCellMar>
          <w:tblLook w:val="04A0"/>
        </w:tblPrEx>
        <w:trPr>
          <w:trHeight w:val="289"/>
        </w:trPr>
        <w:tc>
          <w:tcPr>
            <w:tcW w:w="794"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690614D4"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Annual Number of Responses for this IC</w:t>
            </w:r>
          </w:p>
        </w:tc>
        <w:tc>
          <w:tcPr>
            <w:tcW w:w="647"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2959F3DD"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137,547</w:t>
            </w:r>
          </w:p>
        </w:tc>
        <w:tc>
          <w:tcPr>
            <w:tcW w:w="647"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7AED3FDF"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0</w:t>
            </w:r>
          </w:p>
        </w:tc>
        <w:tc>
          <w:tcPr>
            <w:tcW w:w="647"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7AB83F00"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0</w:t>
            </w:r>
          </w:p>
        </w:tc>
        <w:tc>
          <w:tcPr>
            <w:tcW w:w="97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0955DFE9"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0</w:t>
            </w:r>
          </w:p>
        </w:tc>
        <w:tc>
          <w:tcPr>
            <w:tcW w:w="647"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3E7B9954"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0</w:t>
            </w:r>
          </w:p>
        </w:tc>
        <w:tc>
          <w:tcPr>
            <w:tcW w:w="646"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26B60163"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137,547</w:t>
            </w:r>
          </w:p>
        </w:tc>
      </w:tr>
      <w:tr w14:paraId="4120F51E" w14:textId="77777777" w:rsidTr="002B4C91">
        <w:tblPrEx>
          <w:tblW w:w="4394" w:type="pct"/>
          <w:tblInd w:w="712" w:type="dxa"/>
          <w:shd w:val="clear" w:color="auto" w:fill="FFFFFF"/>
          <w:tblCellMar>
            <w:left w:w="0" w:type="dxa"/>
            <w:right w:w="0" w:type="dxa"/>
          </w:tblCellMar>
          <w:tblLook w:val="04A0"/>
        </w:tblPrEx>
        <w:trPr>
          <w:trHeight w:val="289"/>
        </w:trPr>
        <w:tc>
          <w:tcPr>
            <w:tcW w:w="794"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0E04041F"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Annual IC Time Burden (Hours)</w:t>
            </w:r>
          </w:p>
        </w:tc>
        <w:tc>
          <w:tcPr>
            <w:tcW w:w="647"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4B1ED3A1" w14:textId="1E4FBAAE">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2,364,433</w:t>
            </w:r>
          </w:p>
        </w:tc>
        <w:tc>
          <w:tcPr>
            <w:tcW w:w="647"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78A9B46E" w14:textId="4A27BCDD">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1,699,164</w:t>
            </w:r>
          </w:p>
        </w:tc>
        <w:tc>
          <w:tcPr>
            <w:tcW w:w="647"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217BE436"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0</w:t>
            </w:r>
          </w:p>
        </w:tc>
        <w:tc>
          <w:tcPr>
            <w:tcW w:w="97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28EEB606"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0</w:t>
            </w:r>
          </w:p>
        </w:tc>
        <w:tc>
          <w:tcPr>
            <w:tcW w:w="647"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68C9C5D1"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0</w:t>
            </w:r>
          </w:p>
        </w:tc>
        <w:tc>
          <w:tcPr>
            <w:tcW w:w="646"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D81503" w:rsidRPr="00D81503" w:rsidP="00D81503" w14:paraId="1FB6C143" w14:textId="77777777">
            <w:pPr>
              <w:widowControl/>
              <w:autoSpaceDE/>
              <w:autoSpaceDN/>
              <w:adjustRightInd/>
              <w:spacing w:line="225" w:lineRule="atLeast"/>
              <w:rPr>
                <w:rFonts w:ascii="Arial" w:hAnsi="Arial" w:cs="Arial"/>
                <w:color w:val="56606F"/>
                <w:sz w:val="17"/>
                <w:szCs w:val="17"/>
              </w:rPr>
            </w:pPr>
            <w:r w:rsidRPr="00D81503">
              <w:rPr>
                <w:rFonts w:ascii="Arial" w:hAnsi="Arial" w:cs="Arial"/>
                <w:color w:val="56606F"/>
                <w:sz w:val="17"/>
                <w:szCs w:val="17"/>
              </w:rPr>
              <w:t>665,269</w:t>
            </w:r>
          </w:p>
        </w:tc>
      </w:tr>
    </w:tbl>
    <w:p w:rsidR="00B70140" w:rsidRPr="008F4457" w:rsidP="006C3D30" w14:paraId="6339639D" w14:textId="77429F3E">
      <w:pPr>
        <w:ind w:left="720"/>
        <w:rPr>
          <w:rFonts w:ascii="Arial" w:hAnsi="Arial"/>
        </w:rPr>
      </w:pPr>
      <w:r w:rsidRPr="00D81503">
        <w:rPr>
          <w:rFonts w:ascii="Arial" w:hAnsi="Arial" w:cs="Arial"/>
          <w:color w:val="000000"/>
          <w:sz w:val="18"/>
          <w:szCs w:val="18"/>
        </w:rPr>
        <w:br/>
      </w:r>
      <w:r w:rsidR="00934B12">
        <w:rPr>
          <w:rFonts w:ascii="Arial" w:hAnsi="Arial"/>
        </w:rPr>
        <w:t xml:space="preserve">We are making this submission to </w:t>
      </w:r>
      <w:r w:rsidR="006C3D30">
        <w:rPr>
          <w:rFonts w:ascii="Arial" w:hAnsi="Arial"/>
        </w:rPr>
        <w:t>update the</w:t>
      </w:r>
      <w:r w:rsidR="00934B12">
        <w:rPr>
          <w:rFonts w:ascii="Arial" w:hAnsi="Arial"/>
        </w:rPr>
        <w:t xml:space="preserve"> OMB</w:t>
      </w:r>
      <w:r w:rsidRPr="008F4457" w:rsidR="00615AC5">
        <w:rPr>
          <w:rFonts w:ascii="Arial" w:hAnsi="Arial"/>
        </w:rPr>
        <w:t xml:space="preserve"> approval.</w:t>
      </w:r>
    </w:p>
    <w:p w:rsidR="00B70140" w:rsidRPr="008F4457" w14:paraId="2BAF5AF3" w14:textId="77777777">
      <w:pPr>
        <w:rPr>
          <w:rFonts w:ascii="Arial" w:hAnsi="Arial"/>
        </w:rPr>
      </w:pPr>
    </w:p>
    <w:p w:rsidR="00B70140" w:rsidRPr="008F4457" w14:paraId="0140D8C0" w14:textId="77777777">
      <w:pPr>
        <w:pStyle w:val="Level1"/>
        <w:tabs>
          <w:tab w:val="left" w:pos="-1440"/>
          <w:tab w:val="num" w:pos="720"/>
        </w:tabs>
        <w:rPr>
          <w:rFonts w:ascii="Arial" w:hAnsi="Arial"/>
          <w:b/>
        </w:rPr>
      </w:pPr>
      <w:r w:rsidRPr="008F4457">
        <w:rPr>
          <w:rFonts w:ascii="Arial" w:hAnsi="Arial"/>
          <w:b/>
          <w:u w:val="single"/>
        </w:rPr>
        <w:t>PLANS FOR TABULATION, STATISTICAL ANALYSIS AND PUBLICATION</w:t>
      </w:r>
    </w:p>
    <w:p w:rsidR="00B70140" w:rsidRPr="008F4457" w14:paraId="2FC7E144" w14:textId="77777777">
      <w:pPr>
        <w:rPr>
          <w:rFonts w:ascii="Arial" w:hAnsi="Arial"/>
          <w:b/>
        </w:rPr>
      </w:pPr>
    </w:p>
    <w:p w:rsidR="00B70140" w:rsidP="00106FC2" w14:paraId="2219CB4B" w14:textId="78C3AB35">
      <w:pPr>
        <w:ind w:left="720"/>
        <w:rPr>
          <w:rFonts w:ascii="Arial" w:hAnsi="Arial"/>
        </w:rPr>
      </w:pPr>
      <w:r w:rsidRPr="008F4457">
        <w:rPr>
          <w:rFonts w:ascii="Arial" w:hAnsi="Arial"/>
        </w:rPr>
        <w:t xml:space="preserve">There are no plans for tabulation, statistical </w:t>
      </w:r>
      <w:r w:rsidRPr="008F4457" w:rsidR="006C3D30">
        <w:rPr>
          <w:rFonts w:ascii="Arial" w:hAnsi="Arial"/>
        </w:rPr>
        <w:t>analysis,</w:t>
      </w:r>
      <w:r w:rsidRPr="008F4457">
        <w:rPr>
          <w:rFonts w:ascii="Arial" w:hAnsi="Arial"/>
        </w:rPr>
        <w:t xml:space="preserve"> and publication.</w:t>
      </w:r>
    </w:p>
    <w:p w:rsidR="00106FC2" w:rsidRPr="008F4457" w14:paraId="5298B634" w14:textId="77777777">
      <w:pPr>
        <w:rPr>
          <w:rFonts w:ascii="Arial" w:hAnsi="Arial"/>
        </w:rPr>
      </w:pPr>
    </w:p>
    <w:p w:rsidR="00B70140" w:rsidRPr="008F4457" w14:paraId="4792C2B1" w14:textId="77777777">
      <w:pPr>
        <w:pStyle w:val="Level1"/>
        <w:tabs>
          <w:tab w:val="left" w:pos="-1440"/>
          <w:tab w:val="num" w:pos="720"/>
        </w:tabs>
        <w:rPr>
          <w:rFonts w:ascii="Arial" w:hAnsi="Arial"/>
          <w:b/>
        </w:rPr>
      </w:pPr>
      <w:r w:rsidRPr="008F4457">
        <w:rPr>
          <w:rFonts w:ascii="Arial" w:hAnsi="Arial"/>
          <w:b/>
          <w:u w:val="single"/>
        </w:rPr>
        <w:t>REASONS WHY DISPLAYING THE OMB EXPIRATION DATE IS</w:t>
      </w:r>
      <w:r w:rsidRPr="008F4457" w:rsidR="00B50637">
        <w:rPr>
          <w:rFonts w:ascii="Arial" w:hAnsi="Arial"/>
          <w:b/>
          <w:u w:val="single"/>
        </w:rPr>
        <w:t xml:space="preserve"> </w:t>
      </w:r>
      <w:r w:rsidRPr="008F4457">
        <w:rPr>
          <w:rFonts w:ascii="Arial" w:hAnsi="Arial"/>
          <w:b/>
          <w:u w:val="single"/>
        </w:rPr>
        <w:t>INAPPROPRIATE</w:t>
      </w:r>
    </w:p>
    <w:p w:rsidR="00B70140" w:rsidRPr="008F4457" w14:paraId="6443E1B5" w14:textId="77777777">
      <w:pPr>
        <w:rPr>
          <w:rFonts w:ascii="Arial" w:hAnsi="Arial"/>
          <w:b/>
        </w:rPr>
      </w:pPr>
    </w:p>
    <w:p w:rsidR="00B70140" w:rsidRPr="008F4457" w14:paraId="1B36BBB1" w14:textId="05067868">
      <w:pPr>
        <w:ind w:left="720"/>
        <w:rPr>
          <w:rFonts w:ascii="Arial" w:hAnsi="Arial"/>
        </w:rPr>
      </w:pPr>
      <w:r>
        <w:rPr>
          <w:rFonts w:ascii="Arial" w:hAnsi="Arial"/>
        </w:rPr>
        <w:t xml:space="preserve">The IRS believes that displaying the OMB expiration date is inappropriate because it could cause confusion by leading </w:t>
      </w:r>
      <w:r w:rsidR="001A2ADD">
        <w:rPr>
          <w:rFonts w:ascii="Arial" w:hAnsi="Arial"/>
        </w:rPr>
        <w:t xml:space="preserve">taxpayers to believe that the regulations sunsets as of the expiration date.  Taxpayers are not likely to be aware that the </w:t>
      </w:r>
      <w:r w:rsidR="005A550B">
        <w:rPr>
          <w:rFonts w:ascii="Arial" w:hAnsi="Arial"/>
        </w:rPr>
        <w:t>IRS</w:t>
      </w:r>
      <w:r w:rsidR="001A2ADD">
        <w:rPr>
          <w:rFonts w:ascii="Arial" w:hAnsi="Arial"/>
        </w:rPr>
        <w:t xml:space="preserve"> intends to request renewal of the OMB approval and obtain a new expiration date before the o</w:t>
      </w:r>
      <w:r w:rsidR="00E9375D">
        <w:rPr>
          <w:rFonts w:ascii="Arial" w:hAnsi="Arial"/>
        </w:rPr>
        <w:t>ld one expires.</w:t>
      </w:r>
    </w:p>
    <w:p w:rsidR="00BD72E3" w:rsidRPr="008F4457" w14:paraId="1DCB2E19" w14:textId="77777777">
      <w:pPr>
        <w:rPr>
          <w:rFonts w:ascii="Arial" w:hAnsi="Arial"/>
        </w:rPr>
      </w:pPr>
    </w:p>
    <w:p w:rsidR="00B70140" w:rsidRPr="008F4457" w14:paraId="16B442C9" w14:textId="77777777">
      <w:pPr>
        <w:pStyle w:val="Level1"/>
        <w:tabs>
          <w:tab w:val="left" w:pos="-1440"/>
          <w:tab w:val="num" w:pos="720"/>
        </w:tabs>
        <w:rPr>
          <w:rFonts w:ascii="Arial" w:hAnsi="Arial"/>
          <w:b/>
        </w:rPr>
      </w:pPr>
      <w:r w:rsidRPr="008F4457">
        <w:rPr>
          <w:rFonts w:ascii="Arial" w:hAnsi="Arial"/>
          <w:b/>
          <w:u w:val="single"/>
        </w:rPr>
        <w:t xml:space="preserve">EXCEPTIONS TO THE CERTIFICATION STATEMENT </w:t>
      </w:r>
    </w:p>
    <w:p w:rsidR="00B70140" w:rsidRPr="008F4457" w14:paraId="1C72DA5C" w14:textId="77777777">
      <w:pPr>
        <w:rPr>
          <w:rFonts w:ascii="Arial" w:hAnsi="Arial"/>
          <w:b/>
        </w:rPr>
      </w:pPr>
    </w:p>
    <w:p w:rsidR="00B70140" w:rsidRPr="008F4457" w:rsidP="008208FE" w14:paraId="7D2FBDE1" w14:textId="77777777">
      <w:pPr>
        <w:ind w:left="720"/>
        <w:rPr>
          <w:rFonts w:ascii="Arial" w:hAnsi="Arial"/>
        </w:rPr>
      </w:pPr>
      <w:r w:rsidRPr="008F4457">
        <w:rPr>
          <w:rFonts w:ascii="Arial" w:hAnsi="Arial"/>
        </w:rPr>
        <w:t>There are no exceptions to the certification statement.</w:t>
      </w:r>
    </w:p>
    <w:p w:rsidR="008208FE" w:rsidRPr="008F4457" w14:paraId="2B94655D" w14:textId="77777777">
      <w:pPr>
        <w:rPr>
          <w:rFonts w:ascii="Arial" w:hAnsi="Arial"/>
        </w:rPr>
      </w:pPr>
    </w:p>
    <w:p w:rsidR="00B70140" w:rsidRPr="008F4457" w14:paraId="770167BD" w14:textId="412FD550">
      <w:pPr>
        <w:rPr>
          <w:rFonts w:ascii="Arial" w:hAnsi="Arial"/>
        </w:rPr>
      </w:pPr>
      <w:r w:rsidRPr="008F4457">
        <w:rPr>
          <w:rFonts w:ascii="Arial" w:hAnsi="Arial"/>
          <w:b/>
          <w:bCs/>
          <w:u w:val="single"/>
        </w:rPr>
        <w:t>Note:</w:t>
      </w:r>
      <w:r w:rsidRPr="008F4457">
        <w:rPr>
          <w:rFonts w:ascii="Arial" w:hAnsi="Arial"/>
        </w:rPr>
        <w:t xml:space="preserve">  The following paragraph applies to </w:t>
      </w:r>
      <w:r w:rsidRPr="008F4457" w:rsidR="007F6791">
        <w:rPr>
          <w:rFonts w:ascii="Arial" w:hAnsi="Arial"/>
        </w:rPr>
        <w:t>all</w:t>
      </w:r>
      <w:r w:rsidRPr="008F4457">
        <w:rPr>
          <w:rFonts w:ascii="Arial" w:hAnsi="Arial"/>
        </w:rPr>
        <w:t xml:space="preserve"> the collections of information in this submission:</w:t>
      </w:r>
    </w:p>
    <w:p w:rsidR="00B70140" w:rsidRPr="008F4457" w14:paraId="0BF5BE64" w14:textId="77777777">
      <w:pPr>
        <w:rPr>
          <w:rFonts w:ascii="Arial" w:hAnsi="Arial"/>
        </w:rPr>
      </w:pPr>
    </w:p>
    <w:p w:rsidR="00B70140" w:rsidRPr="008F4457" w14:paraId="6D95B833" w14:textId="5E3D9C02">
      <w:pPr>
        <w:rPr>
          <w:rFonts w:ascii="Arial" w:hAnsi="Arial"/>
        </w:rPr>
      </w:pPr>
      <w:r w:rsidRPr="008F4457">
        <w:rPr>
          <w:rFonts w:ascii="Arial" w:hAnsi="Arial"/>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r w:rsidRPr="008F4457" w:rsidR="007F6791">
        <w:rPr>
          <w:rFonts w:ascii="Arial" w:hAnsi="Arial"/>
        </w:rPr>
        <w:t>if</w:t>
      </w:r>
      <w:r w:rsidRPr="008F4457">
        <w:rPr>
          <w:rFonts w:ascii="Arial" w:hAnsi="Arial"/>
        </w:rPr>
        <w:t xml:space="preserve"> their contents may become material in the administration of any internal revenue law.  Generally, tax returns and tax return information are confidential, as required by 26 U.S.C. 6103.</w:t>
      </w:r>
    </w:p>
    <w:p w:rsidR="00B70140" w:rsidRPr="008F4457" w14:paraId="23C86D5F" w14:textId="77777777">
      <w:pPr>
        <w:rPr>
          <w:rFonts w:ascii="Arial" w:hAnsi="Arial"/>
        </w:rPr>
      </w:pPr>
    </w:p>
    <w:sectPr w:rsidSect="008D44FD">
      <w:headerReference w:type="default" r:id="rId7"/>
      <w:type w:val="continuous"/>
      <w:pgSz w:w="12240" w:h="15840"/>
      <w:pgMar w:top="1440" w:right="1440" w:bottom="297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A50" w14:paraId="3612521F"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3C638C">
      <w:rPr>
        <w:rFonts w:cs="Courier"/>
        <w:b/>
        <w:bCs/>
        <w:noProof/>
      </w:rPr>
      <w:t>1</w:t>
    </w:r>
    <w:r>
      <w:rPr>
        <w:rFonts w:cs="Courier"/>
        <w:b/>
        <w:bCs/>
      </w:rPr>
      <w:fldChar w:fldCharType="end"/>
    </w:r>
  </w:p>
  <w:p w:rsidR="00D00A50" w14:paraId="77E54739" w14:textId="77777777"/>
  <w:p w:rsidR="00D00A50" w14:paraId="31EA5F5A"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13849213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6960898">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40"/>
    <w:rsid w:val="00056C6F"/>
    <w:rsid w:val="00064F9A"/>
    <w:rsid w:val="00073844"/>
    <w:rsid w:val="00092BA6"/>
    <w:rsid w:val="00093B39"/>
    <w:rsid w:val="000D7D5A"/>
    <w:rsid w:val="00103E25"/>
    <w:rsid w:val="00106FC2"/>
    <w:rsid w:val="00170166"/>
    <w:rsid w:val="001A2ADD"/>
    <w:rsid w:val="00202B67"/>
    <w:rsid w:val="00235681"/>
    <w:rsid w:val="00271EF8"/>
    <w:rsid w:val="002A7F9B"/>
    <w:rsid w:val="002B4C91"/>
    <w:rsid w:val="002E55EF"/>
    <w:rsid w:val="003C638C"/>
    <w:rsid w:val="00420798"/>
    <w:rsid w:val="00436F85"/>
    <w:rsid w:val="004543DC"/>
    <w:rsid w:val="00476004"/>
    <w:rsid w:val="004A6ADA"/>
    <w:rsid w:val="004C4D4E"/>
    <w:rsid w:val="004C79B2"/>
    <w:rsid w:val="00503079"/>
    <w:rsid w:val="00525A80"/>
    <w:rsid w:val="00535057"/>
    <w:rsid w:val="005478FC"/>
    <w:rsid w:val="005A550B"/>
    <w:rsid w:val="005C13B6"/>
    <w:rsid w:val="005F1923"/>
    <w:rsid w:val="00606999"/>
    <w:rsid w:val="006130F7"/>
    <w:rsid w:val="00615AC5"/>
    <w:rsid w:val="00636DDC"/>
    <w:rsid w:val="006470D0"/>
    <w:rsid w:val="006633D9"/>
    <w:rsid w:val="00674C31"/>
    <w:rsid w:val="0068201F"/>
    <w:rsid w:val="00682CED"/>
    <w:rsid w:val="006A0BF8"/>
    <w:rsid w:val="006B26D0"/>
    <w:rsid w:val="006C3D30"/>
    <w:rsid w:val="006D1625"/>
    <w:rsid w:val="006D272B"/>
    <w:rsid w:val="007004EA"/>
    <w:rsid w:val="00703E49"/>
    <w:rsid w:val="00762E05"/>
    <w:rsid w:val="007644CE"/>
    <w:rsid w:val="007840AE"/>
    <w:rsid w:val="007C5281"/>
    <w:rsid w:val="007D5A0F"/>
    <w:rsid w:val="007F6791"/>
    <w:rsid w:val="008208FE"/>
    <w:rsid w:val="0084600A"/>
    <w:rsid w:val="008C1BCC"/>
    <w:rsid w:val="008D0BBD"/>
    <w:rsid w:val="008D44FD"/>
    <w:rsid w:val="008F4457"/>
    <w:rsid w:val="008F56A1"/>
    <w:rsid w:val="00934B12"/>
    <w:rsid w:val="00966F8A"/>
    <w:rsid w:val="00981863"/>
    <w:rsid w:val="009C573E"/>
    <w:rsid w:val="009E75A2"/>
    <w:rsid w:val="00A03733"/>
    <w:rsid w:val="00A111D9"/>
    <w:rsid w:val="00AD2EF2"/>
    <w:rsid w:val="00B055EE"/>
    <w:rsid w:val="00B22E31"/>
    <w:rsid w:val="00B36784"/>
    <w:rsid w:val="00B40490"/>
    <w:rsid w:val="00B45ADF"/>
    <w:rsid w:val="00B50637"/>
    <w:rsid w:val="00B50BEF"/>
    <w:rsid w:val="00B70140"/>
    <w:rsid w:val="00BD72E3"/>
    <w:rsid w:val="00BE3C86"/>
    <w:rsid w:val="00C20A51"/>
    <w:rsid w:val="00C94E69"/>
    <w:rsid w:val="00CA383B"/>
    <w:rsid w:val="00CB6FC7"/>
    <w:rsid w:val="00CF6D0F"/>
    <w:rsid w:val="00D00A50"/>
    <w:rsid w:val="00D10DEF"/>
    <w:rsid w:val="00D55DF0"/>
    <w:rsid w:val="00D56A74"/>
    <w:rsid w:val="00D73A8E"/>
    <w:rsid w:val="00D81503"/>
    <w:rsid w:val="00DA6D8B"/>
    <w:rsid w:val="00DD3BFF"/>
    <w:rsid w:val="00DE1F3B"/>
    <w:rsid w:val="00DE5C26"/>
    <w:rsid w:val="00E05EF5"/>
    <w:rsid w:val="00E510BF"/>
    <w:rsid w:val="00E71E45"/>
    <w:rsid w:val="00E845BF"/>
    <w:rsid w:val="00E9375D"/>
    <w:rsid w:val="00EA60C5"/>
    <w:rsid w:val="00EB23D2"/>
    <w:rsid w:val="00EB4846"/>
    <w:rsid w:val="00EC5F14"/>
    <w:rsid w:val="00ED0913"/>
    <w:rsid w:val="00EF2874"/>
    <w:rsid w:val="00EF4BC0"/>
    <w:rsid w:val="00F96BE1"/>
    <w:rsid w:val="00FA042B"/>
    <w:rsid w:val="00FE3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4B81B0"/>
  <w15:chartTrackingRefBased/>
  <w15:docId w15:val="{BB56E143-7E77-4B9A-A6AD-57460F95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106FC2"/>
    <w:rPr>
      <w:color w:val="0000FF"/>
      <w:u w:val="single"/>
    </w:rPr>
  </w:style>
  <w:style w:type="paragraph" w:styleId="BalloonText">
    <w:name w:val="Balloon Text"/>
    <w:basedOn w:val="Normal"/>
    <w:link w:val="BalloonTextChar"/>
    <w:rsid w:val="00AD2EF2"/>
    <w:rPr>
      <w:rFonts w:ascii="Segoe UI" w:hAnsi="Segoe UI" w:cs="Segoe UI"/>
      <w:sz w:val="18"/>
      <w:szCs w:val="18"/>
    </w:rPr>
  </w:style>
  <w:style w:type="character" w:customStyle="1" w:styleId="BalloonTextChar">
    <w:name w:val="Balloon Text Char"/>
    <w:link w:val="BalloonText"/>
    <w:rsid w:val="00AD2EF2"/>
    <w:rPr>
      <w:rFonts w:ascii="Segoe UI" w:hAnsi="Segoe UI" w:cs="Segoe UI"/>
      <w:sz w:val="18"/>
      <w:szCs w:val="18"/>
    </w:rPr>
  </w:style>
  <w:style w:type="character" w:styleId="CommentReference">
    <w:name w:val="annotation reference"/>
    <w:rsid w:val="00AD2EF2"/>
    <w:rPr>
      <w:sz w:val="16"/>
      <w:szCs w:val="16"/>
    </w:rPr>
  </w:style>
  <w:style w:type="paragraph" w:styleId="CommentText">
    <w:name w:val="annotation text"/>
    <w:basedOn w:val="Normal"/>
    <w:link w:val="CommentTextChar"/>
    <w:rsid w:val="00AD2EF2"/>
    <w:rPr>
      <w:sz w:val="20"/>
      <w:szCs w:val="20"/>
    </w:rPr>
  </w:style>
  <w:style w:type="character" w:customStyle="1" w:styleId="CommentTextChar">
    <w:name w:val="Comment Text Char"/>
    <w:link w:val="CommentText"/>
    <w:rsid w:val="00AD2EF2"/>
    <w:rPr>
      <w:rFonts w:ascii="Courier" w:hAnsi="Courier"/>
    </w:rPr>
  </w:style>
  <w:style w:type="paragraph" w:styleId="CommentSubject">
    <w:name w:val="annotation subject"/>
    <w:basedOn w:val="CommentText"/>
    <w:next w:val="CommentText"/>
    <w:link w:val="CommentSubjectChar"/>
    <w:rsid w:val="00AD2EF2"/>
    <w:rPr>
      <w:b/>
      <w:bCs/>
    </w:rPr>
  </w:style>
  <w:style w:type="character" w:customStyle="1" w:styleId="CommentSubjectChar">
    <w:name w:val="Comment Subject Char"/>
    <w:link w:val="CommentSubject"/>
    <w:rsid w:val="00AD2EF2"/>
    <w:rPr>
      <w:rFonts w:ascii="Courier" w:hAnsi="Courier"/>
      <w:b/>
      <w:bCs/>
    </w:rPr>
  </w:style>
  <w:style w:type="character" w:styleId="UnresolvedMention">
    <w:name w:val="Unresolved Mention"/>
    <w:basedOn w:val="DefaultParagraphFont"/>
    <w:uiPriority w:val="99"/>
    <w:semiHidden/>
    <w:unhideWhenUsed/>
    <w:rsid w:val="00525A80"/>
    <w:rPr>
      <w:color w:val="605E5C"/>
      <w:shd w:val="clear" w:color="auto" w:fill="E1DFDD"/>
    </w:rPr>
  </w:style>
  <w:style w:type="paragraph" w:styleId="Revision">
    <w:name w:val="Revision"/>
    <w:hidden/>
    <w:uiPriority w:val="99"/>
    <w:semiHidden/>
    <w:rsid w:val="004C79B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yperlink" Target="https://www.bls.gov/oes/current/oes132011.htm" TargetMode="External" /><Relationship Id="rId6" Type="http://schemas.openxmlformats.org/officeDocument/2006/relationships/hyperlink" Target="https://www.bls.gov/news.release/ecec.nr0.htm"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1632</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Durbala R Joseph</cp:lastModifiedBy>
  <cp:revision>11</cp:revision>
  <cp:lastPrinted>2006-11-17T16:40:00Z</cp:lastPrinted>
  <dcterms:created xsi:type="dcterms:W3CDTF">2023-11-15T22:12:00Z</dcterms:created>
  <dcterms:modified xsi:type="dcterms:W3CDTF">2023-11-21T14:18:00Z</dcterms:modified>
</cp:coreProperties>
</file>