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6CFA" w:rsidRPr="00705036" w:rsidP="00C56CFA" w14:paraId="406623E8" w14:textId="77777777">
      <w:pPr>
        <w:tabs>
          <w:tab w:val="center" w:pos="4680"/>
        </w:tabs>
        <w:jc w:val="center"/>
        <w:rPr>
          <w:rFonts w:asciiTheme="minorHAnsi" w:hAnsiTheme="minorHAnsi" w:cstheme="minorHAnsi"/>
          <w:sz w:val="22"/>
          <w:szCs w:val="22"/>
        </w:rPr>
      </w:pPr>
      <w:r w:rsidRPr="00705036">
        <w:rPr>
          <w:rFonts w:asciiTheme="minorHAnsi" w:hAnsiTheme="minorHAnsi" w:cstheme="minorHAnsi"/>
          <w:sz w:val="22"/>
          <w:szCs w:val="22"/>
        </w:rPr>
        <w:t>SUPPORTING STATEMENT</w:t>
      </w:r>
    </w:p>
    <w:p w:rsidR="00C56CFA" w:rsidRPr="00705036" w:rsidP="00C56CFA" w14:paraId="297C4683" w14:textId="0A148728">
      <w:pPr>
        <w:tabs>
          <w:tab w:val="center" w:pos="4680"/>
        </w:tabs>
        <w:jc w:val="center"/>
        <w:rPr>
          <w:rFonts w:asciiTheme="minorHAnsi" w:hAnsiTheme="minorHAnsi" w:cstheme="minorHAnsi"/>
          <w:sz w:val="22"/>
          <w:szCs w:val="22"/>
        </w:rPr>
      </w:pPr>
      <w:r w:rsidRPr="00705036">
        <w:rPr>
          <w:rFonts w:asciiTheme="minorHAnsi" w:hAnsiTheme="minorHAnsi" w:cstheme="minorHAnsi"/>
          <w:sz w:val="22"/>
          <w:szCs w:val="22"/>
        </w:rPr>
        <w:t>Internal Revenue Service (</w:t>
      </w:r>
      <w:r w:rsidR="002C3D53">
        <w:rPr>
          <w:rFonts w:asciiTheme="minorHAnsi" w:hAnsiTheme="minorHAnsi" w:cstheme="minorHAnsi"/>
          <w:sz w:val="22"/>
          <w:szCs w:val="22"/>
        </w:rPr>
        <w:t>IRS</w:t>
      </w:r>
      <w:r w:rsidRPr="00705036">
        <w:rPr>
          <w:rFonts w:asciiTheme="minorHAnsi" w:hAnsiTheme="minorHAnsi" w:cstheme="minorHAnsi"/>
          <w:sz w:val="22"/>
          <w:szCs w:val="22"/>
        </w:rPr>
        <w:t>)</w:t>
      </w:r>
    </w:p>
    <w:p w:rsidR="00C56CFA" w:rsidRPr="00705036" w:rsidP="00C56CFA" w14:paraId="50C99C89" w14:textId="76BEBDEA">
      <w:pPr>
        <w:tabs>
          <w:tab w:val="center" w:pos="4680"/>
        </w:tabs>
        <w:jc w:val="center"/>
        <w:rPr>
          <w:rFonts w:asciiTheme="minorHAnsi" w:hAnsiTheme="minorHAnsi" w:cstheme="minorHAnsi"/>
          <w:sz w:val="22"/>
          <w:szCs w:val="22"/>
        </w:rPr>
      </w:pPr>
      <w:r w:rsidRPr="00705036">
        <w:rPr>
          <w:rFonts w:asciiTheme="minorHAnsi" w:hAnsiTheme="minorHAnsi" w:cstheme="minorHAnsi"/>
          <w:sz w:val="22"/>
          <w:szCs w:val="22"/>
        </w:rPr>
        <w:t>Form 1041-QFT, U.S. Income Tax Return for Qualified Funeral Trusts</w:t>
      </w:r>
    </w:p>
    <w:p w:rsidR="007E787E" w:rsidRPr="00705036" w:rsidP="00C56CFA" w14:paraId="0E88BE69" w14:textId="77777777">
      <w:pPr>
        <w:tabs>
          <w:tab w:val="center" w:pos="4680"/>
        </w:tabs>
        <w:jc w:val="center"/>
        <w:rPr>
          <w:rFonts w:asciiTheme="minorHAnsi" w:hAnsiTheme="minorHAnsi" w:cstheme="minorHAnsi"/>
          <w:sz w:val="22"/>
          <w:szCs w:val="22"/>
        </w:rPr>
      </w:pPr>
    </w:p>
    <w:p w:rsidR="00F44DF2" w:rsidRPr="00705036" w:rsidP="00C56CFA" w14:paraId="73BD7508" w14:textId="08774BF6">
      <w:pPr>
        <w:jc w:val="center"/>
        <w:rPr>
          <w:rFonts w:asciiTheme="minorHAnsi" w:hAnsiTheme="minorHAnsi" w:cstheme="minorHAnsi"/>
          <w:sz w:val="22"/>
          <w:szCs w:val="22"/>
        </w:rPr>
      </w:pPr>
      <w:r w:rsidRPr="00705036">
        <w:rPr>
          <w:rFonts w:asciiTheme="minorHAnsi" w:hAnsiTheme="minorHAnsi" w:cstheme="minorHAnsi"/>
          <w:sz w:val="22"/>
          <w:szCs w:val="22"/>
        </w:rPr>
        <w:t xml:space="preserve">OMB </w:t>
      </w:r>
      <w:r w:rsidR="002C3D53">
        <w:rPr>
          <w:rFonts w:asciiTheme="minorHAnsi" w:hAnsiTheme="minorHAnsi" w:cstheme="minorHAnsi"/>
          <w:sz w:val="22"/>
          <w:szCs w:val="22"/>
        </w:rPr>
        <w:t xml:space="preserve">Control </w:t>
      </w:r>
      <w:r w:rsidRPr="00705036">
        <w:rPr>
          <w:rFonts w:asciiTheme="minorHAnsi" w:hAnsiTheme="minorHAnsi" w:cstheme="minorHAnsi"/>
          <w:sz w:val="22"/>
          <w:szCs w:val="22"/>
        </w:rPr>
        <w:t>Number 1545-1</w:t>
      </w:r>
      <w:r w:rsidRPr="00705036" w:rsidR="007E787E">
        <w:rPr>
          <w:rFonts w:asciiTheme="minorHAnsi" w:hAnsiTheme="minorHAnsi" w:cstheme="minorHAnsi"/>
          <w:sz w:val="22"/>
          <w:szCs w:val="22"/>
        </w:rPr>
        <w:t>593</w:t>
      </w:r>
    </w:p>
    <w:p w:rsidR="00C56CFA" w:rsidRPr="00705036" w:rsidP="00C56CFA" w14:paraId="73D83CA1" w14:textId="499AF263">
      <w:pPr>
        <w:rPr>
          <w:rFonts w:asciiTheme="minorHAnsi" w:hAnsiTheme="minorHAnsi" w:cstheme="minorHAnsi"/>
          <w:sz w:val="22"/>
          <w:szCs w:val="22"/>
        </w:rPr>
      </w:pPr>
    </w:p>
    <w:p w:rsidR="00C56CFA" w:rsidRPr="00705036" w:rsidP="00C56CFA" w14:paraId="58518A38" w14:textId="4B306068">
      <w:pPr>
        <w:rPr>
          <w:rFonts w:asciiTheme="minorHAnsi" w:hAnsiTheme="minorHAnsi" w:cstheme="minorHAnsi"/>
          <w:sz w:val="22"/>
          <w:szCs w:val="22"/>
        </w:rPr>
      </w:pPr>
    </w:p>
    <w:p w:rsidR="00C56CFA" w:rsidRPr="00705036" w:rsidP="00C56CFA" w14:paraId="12C8442E" w14:textId="77777777">
      <w:pPr>
        <w:pStyle w:val="Level1"/>
        <w:numPr>
          <w:ilvl w:val="0"/>
          <w:numId w:val="2"/>
        </w:numPr>
        <w:tabs>
          <w:tab w:val="left" w:pos="-1440"/>
          <w:tab w:val="num" w:pos="720"/>
        </w:tabs>
        <w:ind w:left="720" w:hanging="720"/>
        <w:rPr>
          <w:rFonts w:asciiTheme="minorHAnsi" w:hAnsiTheme="minorHAnsi" w:cstheme="minorHAnsi"/>
          <w:sz w:val="22"/>
          <w:szCs w:val="22"/>
        </w:rPr>
      </w:pPr>
      <w:r w:rsidRPr="00705036">
        <w:rPr>
          <w:rFonts w:asciiTheme="minorHAnsi" w:hAnsiTheme="minorHAnsi" w:cstheme="minorHAnsi"/>
          <w:sz w:val="22"/>
          <w:szCs w:val="22"/>
          <w:u w:val="single"/>
        </w:rPr>
        <w:t>CIRCUMSTANCES NECESSITATING COLLECTION OF INFORMATION</w:t>
      </w:r>
    </w:p>
    <w:p w:rsidR="00C56CFA" w:rsidRPr="00705036" w:rsidP="00C56CFA" w14:paraId="19EF5C5C" w14:textId="47DB75FB">
      <w:pPr>
        <w:ind w:left="720"/>
        <w:rPr>
          <w:rFonts w:asciiTheme="minorHAnsi" w:hAnsiTheme="minorHAnsi" w:cstheme="minorHAnsi"/>
          <w:sz w:val="22"/>
          <w:szCs w:val="22"/>
        </w:rPr>
      </w:pPr>
    </w:p>
    <w:p w:rsidR="00C56CFA" w:rsidP="00C56CFA" w14:paraId="37651042" w14:textId="7B5E8CF7">
      <w:pPr>
        <w:ind w:left="720"/>
        <w:rPr>
          <w:rFonts w:asciiTheme="minorHAnsi" w:hAnsiTheme="minorHAnsi" w:cstheme="minorHAnsi"/>
          <w:sz w:val="22"/>
          <w:szCs w:val="22"/>
        </w:rPr>
      </w:pPr>
      <w:r>
        <w:rPr>
          <w:rFonts w:asciiTheme="minorHAnsi" w:hAnsiTheme="minorHAnsi" w:cstheme="minorHAnsi"/>
          <w:sz w:val="22"/>
          <w:szCs w:val="22"/>
        </w:rPr>
        <w:t>Internal Revenue Code (IRC) section</w:t>
      </w:r>
      <w:r w:rsidRPr="00705036" w:rsidR="007E787E">
        <w:rPr>
          <w:rFonts w:asciiTheme="minorHAnsi" w:hAnsiTheme="minorHAnsi" w:cstheme="minorHAnsi"/>
          <w:sz w:val="22"/>
          <w:szCs w:val="22"/>
        </w:rPr>
        <w:t xml:space="preserve"> 671 provides that when the grantor or another person is treated as the owner of any portion of a trust (grantor trusts), then the income, deductions, and credits from that portion of the trust shall be included in figuring the income and credits of the grantor or other person treated as owing that portion of the trust. </w:t>
      </w:r>
      <w:r>
        <w:rPr>
          <w:rFonts w:asciiTheme="minorHAnsi" w:hAnsiTheme="minorHAnsi" w:cstheme="minorHAnsi"/>
          <w:sz w:val="22"/>
          <w:szCs w:val="22"/>
        </w:rPr>
        <w:t xml:space="preserve">IRC section </w:t>
      </w:r>
      <w:r w:rsidRPr="00705036" w:rsidR="007E787E">
        <w:rPr>
          <w:rFonts w:asciiTheme="minorHAnsi" w:hAnsiTheme="minorHAnsi" w:cstheme="minorHAnsi"/>
          <w:sz w:val="22"/>
          <w:szCs w:val="22"/>
        </w:rPr>
        <w:t>685 provides that in the case of qualified funeral trusts</w:t>
      </w:r>
      <w:r w:rsidRPr="00705036" w:rsidR="00ED744D">
        <w:rPr>
          <w:rFonts w:asciiTheme="minorHAnsi" w:hAnsiTheme="minorHAnsi" w:cstheme="minorHAnsi"/>
          <w:sz w:val="22"/>
          <w:szCs w:val="22"/>
        </w:rPr>
        <w:t xml:space="preserve"> (QFT)</w:t>
      </w:r>
      <w:r w:rsidRPr="00705036" w:rsidR="007E787E">
        <w:rPr>
          <w:rFonts w:asciiTheme="minorHAnsi" w:hAnsiTheme="minorHAnsi" w:cstheme="minorHAnsi"/>
          <w:sz w:val="22"/>
          <w:szCs w:val="22"/>
        </w:rPr>
        <w:t xml:space="preserve"> that would otherwise be treated as grantor trusts, the trustee can elect to have the trust not treated as a grantor trust and to pay the tax on the income earned by the trust. </w:t>
      </w:r>
      <w:r>
        <w:rPr>
          <w:rFonts w:asciiTheme="minorHAnsi" w:hAnsiTheme="minorHAnsi" w:cstheme="minorHAnsi"/>
          <w:sz w:val="22"/>
          <w:szCs w:val="22"/>
        </w:rPr>
        <w:t>IRC section</w:t>
      </w:r>
      <w:r w:rsidRPr="00705036" w:rsidR="007E787E">
        <w:rPr>
          <w:rFonts w:asciiTheme="minorHAnsi" w:hAnsiTheme="minorHAnsi" w:cstheme="minorHAnsi"/>
          <w:sz w:val="22"/>
          <w:szCs w:val="22"/>
        </w:rPr>
        <w:t xml:space="preserve"> 685(f) provides that the Secretary may prescribe rules for simplified reporting of all trusts having a single trustee.</w:t>
      </w:r>
    </w:p>
    <w:p w:rsidR="00FB4824" w:rsidP="00C56CFA" w14:paraId="7552CF12" w14:textId="1C38894D">
      <w:pPr>
        <w:ind w:left="720"/>
        <w:rPr>
          <w:rFonts w:asciiTheme="minorHAnsi" w:hAnsiTheme="minorHAnsi" w:cstheme="minorHAnsi"/>
          <w:sz w:val="22"/>
          <w:szCs w:val="22"/>
        </w:rPr>
      </w:pPr>
    </w:p>
    <w:p w:rsidR="00FB4824" w:rsidRPr="00705036" w:rsidP="00FB4824" w14:paraId="3FF80A3E" w14:textId="2B664D0D">
      <w:pPr>
        <w:ind w:left="720"/>
        <w:rPr>
          <w:rFonts w:asciiTheme="minorHAnsi" w:hAnsiTheme="minorHAnsi" w:cstheme="minorHAnsi"/>
          <w:sz w:val="22"/>
          <w:szCs w:val="22"/>
        </w:rPr>
      </w:pPr>
      <w:r w:rsidRPr="00FB4824">
        <w:rPr>
          <w:rFonts w:asciiTheme="minorHAnsi" w:hAnsiTheme="minorHAnsi" w:cstheme="minorHAnsi"/>
          <w:sz w:val="22"/>
          <w:szCs w:val="22"/>
        </w:rPr>
        <w:t>The trustee of a trust that has elected to be taxed as a</w:t>
      </w:r>
      <w:r>
        <w:rPr>
          <w:rFonts w:asciiTheme="minorHAnsi" w:hAnsiTheme="minorHAnsi" w:cstheme="minorHAnsi"/>
          <w:sz w:val="22"/>
          <w:szCs w:val="22"/>
        </w:rPr>
        <w:t xml:space="preserve"> QFT</w:t>
      </w:r>
      <w:r w:rsidRPr="00FB4824">
        <w:rPr>
          <w:rFonts w:asciiTheme="minorHAnsi" w:hAnsiTheme="minorHAnsi" w:cstheme="minorHAnsi"/>
          <w:sz w:val="22"/>
          <w:szCs w:val="22"/>
        </w:rPr>
        <w:t xml:space="preserve"> files Form 1041-QFT to report</w:t>
      </w:r>
      <w:r>
        <w:rPr>
          <w:rFonts w:asciiTheme="minorHAnsi" w:hAnsiTheme="minorHAnsi" w:cstheme="minorHAnsi"/>
          <w:sz w:val="22"/>
          <w:szCs w:val="22"/>
        </w:rPr>
        <w:t xml:space="preserve"> </w:t>
      </w:r>
      <w:r w:rsidRPr="00FB4824">
        <w:rPr>
          <w:rFonts w:asciiTheme="minorHAnsi" w:hAnsiTheme="minorHAnsi" w:cstheme="minorHAnsi"/>
          <w:sz w:val="22"/>
          <w:szCs w:val="22"/>
        </w:rPr>
        <w:t>the income, deductions, gains, losses, and tax liability of the</w:t>
      </w:r>
      <w:r>
        <w:rPr>
          <w:rFonts w:asciiTheme="minorHAnsi" w:hAnsiTheme="minorHAnsi" w:cstheme="minorHAnsi"/>
          <w:sz w:val="22"/>
          <w:szCs w:val="22"/>
        </w:rPr>
        <w:t xml:space="preserve"> </w:t>
      </w:r>
      <w:r w:rsidRPr="00FB4824">
        <w:rPr>
          <w:rFonts w:asciiTheme="minorHAnsi" w:hAnsiTheme="minorHAnsi" w:cstheme="minorHAnsi"/>
          <w:sz w:val="22"/>
          <w:szCs w:val="22"/>
        </w:rPr>
        <w:t xml:space="preserve">QFT. The </w:t>
      </w:r>
      <w:r>
        <w:rPr>
          <w:rFonts w:asciiTheme="minorHAnsi" w:hAnsiTheme="minorHAnsi" w:cstheme="minorHAnsi"/>
          <w:sz w:val="22"/>
          <w:szCs w:val="22"/>
        </w:rPr>
        <w:t>t</w:t>
      </w:r>
      <w:r w:rsidRPr="00FB4824">
        <w:rPr>
          <w:rFonts w:asciiTheme="minorHAnsi" w:hAnsiTheme="minorHAnsi" w:cstheme="minorHAnsi"/>
          <w:sz w:val="22"/>
          <w:szCs w:val="22"/>
        </w:rPr>
        <w:t>rustee can use the form to report information for a</w:t>
      </w:r>
      <w:r>
        <w:rPr>
          <w:rFonts w:asciiTheme="minorHAnsi" w:hAnsiTheme="minorHAnsi" w:cstheme="minorHAnsi"/>
          <w:sz w:val="22"/>
          <w:szCs w:val="22"/>
        </w:rPr>
        <w:t xml:space="preserve"> </w:t>
      </w:r>
      <w:r w:rsidRPr="00FB4824">
        <w:rPr>
          <w:rFonts w:asciiTheme="minorHAnsi" w:hAnsiTheme="minorHAnsi" w:cstheme="minorHAnsi"/>
          <w:sz w:val="22"/>
          <w:szCs w:val="22"/>
        </w:rPr>
        <w:t>single QFT or for multiple QFTs having the same trustee.</w:t>
      </w:r>
    </w:p>
    <w:p w:rsidR="007E787E" w:rsidRPr="00705036" w:rsidP="00C56CFA" w14:paraId="377C02EF" w14:textId="77777777">
      <w:pPr>
        <w:ind w:left="720"/>
        <w:rPr>
          <w:rFonts w:asciiTheme="minorHAnsi" w:hAnsiTheme="minorHAnsi" w:cstheme="minorHAnsi"/>
          <w:sz w:val="22"/>
          <w:szCs w:val="22"/>
        </w:rPr>
      </w:pPr>
    </w:p>
    <w:p w:rsidR="00C56CFA" w:rsidRPr="00705036" w:rsidP="00C56CFA" w14:paraId="3E8AFC39" w14:textId="77777777">
      <w:pPr>
        <w:pStyle w:val="Level1"/>
        <w:numPr>
          <w:ilvl w:val="0"/>
          <w:numId w:val="2"/>
        </w:numPr>
        <w:tabs>
          <w:tab w:val="left" w:pos="-1440"/>
          <w:tab w:val="num" w:pos="720"/>
        </w:tabs>
        <w:ind w:left="720" w:hanging="720"/>
        <w:rPr>
          <w:rFonts w:asciiTheme="minorHAnsi" w:hAnsiTheme="minorHAnsi" w:cstheme="minorHAnsi"/>
          <w:sz w:val="22"/>
          <w:szCs w:val="22"/>
        </w:rPr>
      </w:pPr>
      <w:r w:rsidRPr="00705036">
        <w:rPr>
          <w:rFonts w:asciiTheme="minorHAnsi" w:hAnsiTheme="minorHAnsi" w:cstheme="minorHAnsi"/>
          <w:sz w:val="22"/>
          <w:szCs w:val="22"/>
          <w:u w:val="single"/>
        </w:rPr>
        <w:t>USE OF DATA</w:t>
      </w:r>
      <w:r w:rsidRPr="00705036">
        <w:rPr>
          <w:rFonts w:asciiTheme="minorHAnsi" w:hAnsiTheme="minorHAnsi" w:cstheme="minorHAnsi"/>
          <w:sz w:val="22"/>
          <w:szCs w:val="22"/>
        </w:rPr>
        <w:t xml:space="preserve"> </w:t>
      </w:r>
    </w:p>
    <w:p w:rsidR="00C56CFA" w:rsidRPr="00705036" w:rsidP="00C56CFA" w14:paraId="5CAC47D9" w14:textId="4EB8584E">
      <w:pPr>
        <w:ind w:left="720"/>
        <w:rPr>
          <w:rFonts w:asciiTheme="minorHAnsi" w:hAnsiTheme="minorHAnsi" w:cstheme="minorHAnsi"/>
          <w:sz w:val="22"/>
          <w:szCs w:val="22"/>
        </w:rPr>
      </w:pPr>
    </w:p>
    <w:p w:rsidR="00D33F60" w:rsidRPr="00705036" w:rsidP="00C56CFA" w14:paraId="5411103B" w14:textId="4E37607F">
      <w:pPr>
        <w:ind w:left="720"/>
        <w:rPr>
          <w:rFonts w:asciiTheme="minorHAnsi" w:hAnsiTheme="minorHAnsi" w:cstheme="minorHAnsi"/>
          <w:sz w:val="22"/>
          <w:szCs w:val="22"/>
        </w:rPr>
      </w:pPr>
      <w:r w:rsidRPr="00705036">
        <w:rPr>
          <w:rFonts w:asciiTheme="minorHAnsi" w:hAnsiTheme="minorHAnsi" w:cstheme="minorHAnsi"/>
          <w:sz w:val="22"/>
          <w:szCs w:val="22"/>
        </w:rPr>
        <w:t xml:space="preserve">Form 1041-QFT is used by </w:t>
      </w:r>
      <w:r w:rsidR="002C3D53">
        <w:rPr>
          <w:rFonts w:asciiTheme="minorHAnsi" w:hAnsiTheme="minorHAnsi" w:cstheme="minorHAnsi"/>
          <w:sz w:val="22"/>
          <w:szCs w:val="22"/>
        </w:rPr>
        <w:t xml:space="preserve">the </w:t>
      </w:r>
      <w:r w:rsidRPr="00705036">
        <w:rPr>
          <w:rFonts w:asciiTheme="minorHAnsi" w:hAnsiTheme="minorHAnsi" w:cstheme="minorHAnsi"/>
          <w:sz w:val="22"/>
          <w:szCs w:val="22"/>
        </w:rPr>
        <w:t>IRS to verify that the income tax reported is correct. The trustee can use the form to report information for a single QFT</w:t>
      </w:r>
      <w:r w:rsidRPr="00705036" w:rsidR="00ED744D">
        <w:rPr>
          <w:rFonts w:asciiTheme="minorHAnsi" w:hAnsiTheme="minorHAnsi" w:cstheme="minorHAnsi"/>
          <w:sz w:val="22"/>
          <w:szCs w:val="22"/>
        </w:rPr>
        <w:t>s</w:t>
      </w:r>
      <w:r w:rsidRPr="00705036">
        <w:rPr>
          <w:rFonts w:asciiTheme="minorHAnsi" w:hAnsiTheme="minorHAnsi" w:cstheme="minorHAnsi"/>
          <w:sz w:val="22"/>
          <w:szCs w:val="22"/>
        </w:rPr>
        <w:t xml:space="preserve"> or for multiple QFTs having the same trustee.</w:t>
      </w:r>
    </w:p>
    <w:p w:rsidR="007E787E" w:rsidRPr="00705036" w:rsidP="00C56CFA" w14:paraId="172F3FF4" w14:textId="77777777">
      <w:pPr>
        <w:ind w:left="720"/>
        <w:rPr>
          <w:rFonts w:asciiTheme="minorHAnsi" w:hAnsiTheme="minorHAnsi" w:cstheme="minorHAnsi"/>
          <w:sz w:val="22"/>
          <w:szCs w:val="22"/>
        </w:rPr>
      </w:pPr>
    </w:p>
    <w:p w:rsidR="00D33F60" w:rsidRPr="00705036" w:rsidP="00D33F60" w14:paraId="4F5233F3" w14:textId="77777777">
      <w:pPr>
        <w:pStyle w:val="Level1"/>
        <w:numPr>
          <w:ilvl w:val="0"/>
          <w:numId w:val="2"/>
        </w:numPr>
        <w:tabs>
          <w:tab w:val="left" w:pos="-1440"/>
          <w:tab w:val="num" w:pos="720"/>
        </w:tabs>
        <w:ind w:left="720" w:hanging="720"/>
        <w:rPr>
          <w:rFonts w:asciiTheme="minorHAnsi" w:hAnsiTheme="minorHAnsi" w:cstheme="minorHAnsi"/>
          <w:sz w:val="22"/>
          <w:szCs w:val="22"/>
        </w:rPr>
      </w:pPr>
      <w:r w:rsidRPr="00705036">
        <w:rPr>
          <w:rFonts w:asciiTheme="minorHAnsi" w:hAnsiTheme="minorHAnsi" w:cstheme="minorHAnsi"/>
          <w:sz w:val="22"/>
          <w:szCs w:val="22"/>
          <w:u w:val="single"/>
        </w:rPr>
        <w:t>USE OF IMPROVED INFORMATION TECHNOLOGY TO REDUCE BURDEN</w:t>
      </w:r>
    </w:p>
    <w:p w:rsidR="00D33F60" w:rsidRPr="00705036" w:rsidP="00C56CFA" w14:paraId="356E40DA" w14:textId="24EA8439">
      <w:pPr>
        <w:ind w:left="720"/>
        <w:rPr>
          <w:rFonts w:asciiTheme="minorHAnsi" w:hAnsiTheme="minorHAnsi" w:cstheme="minorHAnsi"/>
          <w:sz w:val="22"/>
          <w:szCs w:val="22"/>
        </w:rPr>
      </w:pPr>
    </w:p>
    <w:p w:rsidR="00D33F60" w:rsidRPr="00705036" w:rsidP="00C56CFA" w14:paraId="53DF4151" w14:textId="5D4E22C3">
      <w:pPr>
        <w:ind w:left="720"/>
        <w:rPr>
          <w:rFonts w:asciiTheme="minorHAnsi" w:hAnsiTheme="minorHAnsi" w:cstheme="minorHAnsi"/>
          <w:sz w:val="22"/>
          <w:szCs w:val="22"/>
        </w:rPr>
      </w:pPr>
      <w:r w:rsidRPr="002C3D53">
        <w:rPr>
          <w:rFonts w:asciiTheme="minorHAnsi" w:hAnsiTheme="minorHAnsi" w:cstheme="minorHAnsi"/>
          <w:sz w:val="22"/>
          <w:szCs w:val="22"/>
        </w:rPr>
        <w:t>There is no plan to offer electronic filing for this collection due to the low volume of filers.</w:t>
      </w:r>
    </w:p>
    <w:p w:rsidR="00D33F60" w:rsidRPr="00705036" w:rsidP="00C56CFA" w14:paraId="38F04D94" w14:textId="75DD028D">
      <w:pPr>
        <w:ind w:left="720"/>
        <w:rPr>
          <w:rFonts w:asciiTheme="minorHAnsi" w:hAnsiTheme="minorHAnsi" w:cstheme="minorHAnsi"/>
          <w:sz w:val="22"/>
          <w:szCs w:val="22"/>
        </w:rPr>
      </w:pPr>
    </w:p>
    <w:p w:rsidR="00D33F60" w:rsidRPr="00705036" w:rsidP="00D33F60" w14:paraId="411862C0" w14:textId="77777777">
      <w:pPr>
        <w:pStyle w:val="Level1"/>
        <w:numPr>
          <w:ilvl w:val="0"/>
          <w:numId w:val="2"/>
        </w:numPr>
        <w:tabs>
          <w:tab w:val="left" w:pos="-1440"/>
          <w:tab w:val="num" w:pos="720"/>
        </w:tabs>
        <w:ind w:left="720" w:hanging="720"/>
        <w:rPr>
          <w:rFonts w:asciiTheme="minorHAnsi" w:hAnsiTheme="minorHAnsi" w:cstheme="minorHAnsi"/>
          <w:sz w:val="22"/>
          <w:szCs w:val="22"/>
        </w:rPr>
      </w:pPr>
      <w:r w:rsidRPr="00705036">
        <w:rPr>
          <w:rFonts w:asciiTheme="minorHAnsi" w:hAnsiTheme="minorHAnsi" w:cstheme="minorHAnsi"/>
          <w:sz w:val="22"/>
          <w:szCs w:val="22"/>
          <w:u w:val="single"/>
        </w:rPr>
        <w:t>EFFORTS TO IDENTIFY DUPLICATION</w:t>
      </w:r>
    </w:p>
    <w:p w:rsidR="00D33F60" w:rsidRPr="00705036" w:rsidP="00C56CFA" w14:paraId="3AB7D415" w14:textId="434A26EB">
      <w:pPr>
        <w:ind w:left="720"/>
        <w:rPr>
          <w:rFonts w:asciiTheme="minorHAnsi" w:hAnsiTheme="minorHAnsi" w:cstheme="minorHAnsi"/>
          <w:sz w:val="22"/>
          <w:szCs w:val="22"/>
        </w:rPr>
      </w:pPr>
    </w:p>
    <w:p w:rsidR="00D33F60" w:rsidRPr="00705036" w:rsidP="00C56CFA" w14:paraId="0EC3DA91" w14:textId="15118394">
      <w:pPr>
        <w:ind w:left="720"/>
        <w:rPr>
          <w:rFonts w:asciiTheme="minorHAnsi" w:hAnsiTheme="minorHAnsi" w:cstheme="minorHAnsi"/>
          <w:iCs/>
          <w:sz w:val="22"/>
          <w:szCs w:val="22"/>
        </w:rPr>
      </w:pPr>
      <w:r w:rsidRPr="00705036">
        <w:rPr>
          <w:rFonts w:asciiTheme="minorHAnsi" w:hAnsiTheme="minorHAnsi" w:cstheme="minorHAnsi"/>
          <w:iCs/>
          <w:sz w:val="22"/>
          <w:szCs w:val="22"/>
        </w:rPr>
        <w:t>The information obtained through this collection is unique and is not already available for use or adaptation from another source.</w:t>
      </w:r>
    </w:p>
    <w:p w:rsidR="00D33F60" w:rsidRPr="00705036" w:rsidP="00C56CFA" w14:paraId="5BF17D69" w14:textId="5A650B45">
      <w:pPr>
        <w:ind w:left="720"/>
        <w:rPr>
          <w:rFonts w:asciiTheme="minorHAnsi" w:hAnsiTheme="minorHAnsi" w:cstheme="minorHAnsi"/>
          <w:iCs/>
          <w:sz w:val="22"/>
          <w:szCs w:val="22"/>
        </w:rPr>
      </w:pPr>
    </w:p>
    <w:p w:rsidR="00691597" w:rsidRPr="00705036" w:rsidP="00691597" w14:paraId="53DADB73" w14:textId="0B1DD966">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METHODS TO MINIMIZE BURDEN ON SMALL BUSINESSES OR OTHER SMALL ENTITIES</w:t>
      </w:r>
    </w:p>
    <w:p w:rsidR="00D33F60" w:rsidRPr="00705036" w:rsidP="00C56CFA" w14:paraId="716E4602" w14:textId="75FBEE58">
      <w:pPr>
        <w:ind w:left="720"/>
        <w:rPr>
          <w:rFonts w:asciiTheme="minorHAnsi" w:hAnsiTheme="minorHAnsi" w:cstheme="minorHAnsi"/>
          <w:sz w:val="22"/>
          <w:szCs w:val="22"/>
        </w:rPr>
      </w:pPr>
    </w:p>
    <w:p w:rsidR="00691597" w:rsidRPr="00705036" w:rsidP="00C56CFA" w14:paraId="44B5E62D" w14:textId="487A1C10">
      <w:pPr>
        <w:ind w:left="720"/>
        <w:rPr>
          <w:rFonts w:asciiTheme="minorHAnsi" w:hAnsiTheme="minorHAnsi" w:cstheme="minorHAnsi"/>
          <w:sz w:val="22"/>
          <w:szCs w:val="22"/>
        </w:rPr>
      </w:pPr>
      <w:r w:rsidRPr="00E55F23">
        <w:rPr>
          <w:rFonts w:asciiTheme="minorHAnsi" w:hAnsiTheme="minorHAnsi" w:cstheme="minorHAnsi"/>
          <w:sz w:val="22"/>
          <w:szCs w:val="22"/>
        </w:rPr>
        <w:t>Small businesses should not be disadvantaged as the form has been structured to request the least amount of information and still satisfy the requirements of the statute</w:t>
      </w:r>
      <w:r>
        <w:rPr>
          <w:rFonts w:asciiTheme="minorHAnsi" w:hAnsiTheme="minorHAnsi" w:cstheme="minorHAnsi"/>
          <w:sz w:val="22"/>
          <w:szCs w:val="22"/>
        </w:rPr>
        <w:t>s</w:t>
      </w:r>
      <w:r w:rsidRPr="00E55F23">
        <w:rPr>
          <w:rFonts w:asciiTheme="minorHAnsi" w:hAnsiTheme="minorHAnsi" w:cstheme="minorHAnsi"/>
          <w:sz w:val="22"/>
          <w:szCs w:val="22"/>
        </w:rPr>
        <w:t xml:space="preserve"> and the needs of the </w:t>
      </w:r>
      <w:r>
        <w:rPr>
          <w:rFonts w:asciiTheme="minorHAnsi" w:hAnsiTheme="minorHAnsi" w:cstheme="minorHAnsi"/>
          <w:sz w:val="22"/>
          <w:szCs w:val="22"/>
        </w:rPr>
        <w:t>IRS</w:t>
      </w:r>
      <w:r w:rsidRPr="00E55F23">
        <w:rPr>
          <w:rFonts w:asciiTheme="minorHAnsi" w:hAnsiTheme="minorHAnsi" w:cstheme="minorHAnsi"/>
          <w:sz w:val="22"/>
          <w:szCs w:val="22"/>
        </w:rPr>
        <w:t>.</w:t>
      </w:r>
    </w:p>
    <w:p w:rsidR="008139E0" w:rsidRPr="00705036" w:rsidP="00C56CFA" w14:paraId="4061F1B3" w14:textId="77777777">
      <w:pPr>
        <w:ind w:left="720"/>
        <w:rPr>
          <w:rFonts w:asciiTheme="minorHAnsi" w:hAnsiTheme="minorHAnsi" w:cstheme="minorHAnsi"/>
          <w:sz w:val="22"/>
          <w:szCs w:val="22"/>
        </w:rPr>
      </w:pPr>
    </w:p>
    <w:p w:rsidR="00691597" w:rsidRPr="00705036" w:rsidP="00691597" w14:paraId="6A5E9524"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CONSEQUENCES OF LESS FREQUENT COLLECTION ON FEDERAL PROGRAMS OR POLICY ACTIVITIES</w:t>
      </w:r>
    </w:p>
    <w:p w:rsidR="00691597" w:rsidRPr="00705036" w:rsidP="00C56CFA" w14:paraId="32FA15C0" w14:textId="3F212D55">
      <w:pPr>
        <w:ind w:left="720"/>
        <w:rPr>
          <w:rFonts w:asciiTheme="minorHAnsi" w:hAnsiTheme="minorHAnsi" w:cstheme="minorHAnsi"/>
          <w:sz w:val="22"/>
          <w:szCs w:val="22"/>
        </w:rPr>
      </w:pPr>
    </w:p>
    <w:p w:rsidR="00F14806" w:rsidRPr="00705036" w:rsidP="00C56CFA" w14:paraId="1703B86B" w14:textId="00946077">
      <w:pPr>
        <w:ind w:left="720"/>
        <w:rPr>
          <w:rFonts w:asciiTheme="minorHAnsi" w:hAnsiTheme="minorHAnsi" w:cstheme="minorHAnsi"/>
          <w:bCs/>
          <w:sz w:val="22"/>
          <w:szCs w:val="22"/>
        </w:rPr>
      </w:pPr>
      <w:r w:rsidRPr="00705036">
        <w:rPr>
          <w:rFonts w:asciiTheme="minorHAnsi" w:hAnsiTheme="minorHAnsi" w:cstheme="minorHAnsi"/>
          <w:bCs/>
          <w:sz w:val="22"/>
          <w:szCs w:val="22"/>
        </w:rPr>
        <w:t xml:space="preserve">Consequences of less frequent collection on Form 1041-QFT would not allow </w:t>
      </w:r>
      <w:r w:rsidR="00E55F23">
        <w:rPr>
          <w:rFonts w:asciiTheme="minorHAnsi" w:hAnsiTheme="minorHAnsi" w:cstheme="minorHAnsi"/>
          <w:bCs/>
          <w:sz w:val="22"/>
          <w:szCs w:val="22"/>
        </w:rPr>
        <w:t xml:space="preserve">the </w:t>
      </w:r>
      <w:r w:rsidRPr="00705036">
        <w:rPr>
          <w:rFonts w:asciiTheme="minorHAnsi" w:hAnsiTheme="minorHAnsi" w:cstheme="minorHAnsi"/>
          <w:bCs/>
          <w:sz w:val="22"/>
          <w:szCs w:val="22"/>
        </w:rPr>
        <w:t>IRS to verify that the income tax reported is correct and therefore not allow the IRS to meet its mission.</w:t>
      </w:r>
    </w:p>
    <w:p w:rsidR="000009F2" w:rsidRPr="00705036" w:rsidP="00C56CFA" w14:paraId="26B5E10E" w14:textId="77777777">
      <w:pPr>
        <w:ind w:left="720"/>
        <w:rPr>
          <w:rFonts w:asciiTheme="minorHAnsi" w:hAnsiTheme="minorHAnsi" w:cstheme="minorHAnsi"/>
          <w:bCs/>
          <w:sz w:val="22"/>
          <w:szCs w:val="22"/>
        </w:rPr>
      </w:pPr>
    </w:p>
    <w:p w:rsidR="00F14806" w:rsidRPr="00705036" w:rsidP="00F14806" w14:paraId="0DC55857"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SPECIAL CIRCUMSTANCES REQUIRING DATA COLLECTION TO BE INCONSISTENT WITH GUIDELINES IN 5 CFR 1320.5(d)(2)</w:t>
      </w:r>
    </w:p>
    <w:p w:rsidR="00F14806" w:rsidRPr="00705036" w:rsidP="00C56CFA" w14:paraId="51752928" w14:textId="16B8D55A">
      <w:pPr>
        <w:ind w:left="720"/>
        <w:rPr>
          <w:rFonts w:asciiTheme="minorHAnsi" w:hAnsiTheme="minorHAnsi" w:cstheme="minorHAnsi"/>
          <w:bCs/>
          <w:sz w:val="22"/>
          <w:szCs w:val="22"/>
        </w:rPr>
      </w:pPr>
    </w:p>
    <w:p w:rsidR="00F14806" w:rsidRPr="00705036" w:rsidP="00C56CFA" w14:paraId="4BDD8DCD" w14:textId="220A4D45">
      <w:pPr>
        <w:ind w:left="720"/>
        <w:rPr>
          <w:rFonts w:asciiTheme="minorHAnsi" w:hAnsiTheme="minorHAnsi" w:cstheme="minorHAnsi"/>
          <w:sz w:val="22"/>
          <w:szCs w:val="22"/>
        </w:rPr>
      </w:pPr>
      <w:r w:rsidRPr="00705036">
        <w:rPr>
          <w:rFonts w:asciiTheme="minorHAnsi" w:hAnsiTheme="minorHAnsi" w:cstheme="minorHAnsi"/>
          <w:sz w:val="22"/>
          <w:szCs w:val="22"/>
        </w:rPr>
        <w:t>There are no special circumstances requiring data collection to be inconsistent with guidelines in 5 CFR 1320.5(d)(2).</w:t>
      </w:r>
    </w:p>
    <w:p w:rsidR="00F14806" w:rsidRPr="00705036" w:rsidP="00C56CFA" w14:paraId="00430652" w14:textId="26561863">
      <w:pPr>
        <w:ind w:left="720"/>
        <w:rPr>
          <w:rFonts w:asciiTheme="minorHAnsi" w:hAnsiTheme="minorHAnsi" w:cstheme="minorHAnsi"/>
          <w:sz w:val="22"/>
          <w:szCs w:val="22"/>
        </w:rPr>
      </w:pPr>
    </w:p>
    <w:p w:rsidR="00F14806" w:rsidRPr="00705036" w:rsidP="00F14806" w14:paraId="67ECE1CF"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CONSULTATION WITH INDIVIDUALS OUTSIDE OF THE AGENCY ON AVAILABILITY OF DATA, FREQUENCY OF COLLECTION, CLARITY OF INSTRUCTIONS AND FORMS, AND DATA ELEMENTS</w:t>
      </w:r>
    </w:p>
    <w:p w:rsidR="00F14806" w:rsidRPr="00705036" w:rsidP="00C56CFA" w14:paraId="4FF241F7" w14:textId="1BD98B35">
      <w:pPr>
        <w:ind w:left="720"/>
        <w:rPr>
          <w:rFonts w:asciiTheme="minorHAnsi" w:hAnsiTheme="minorHAnsi" w:cstheme="minorHAnsi"/>
          <w:sz w:val="22"/>
          <w:szCs w:val="22"/>
        </w:rPr>
      </w:pPr>
    </w:p>
    <w:p w:rsidR="00F14806" w:rsidRPr="00705036" w:rsidP="00C56CFA" w14:paraId="03BE2801" w14:textId="38C7881F">
      <w:pPr>
        <w:ind w:left="720"/>
        <w:rPr>
          <w:rFonts w:asciiTheme="minorHAnsi" w:hAnsiTheme="minorHAnsi" w:cstheme="minorHAnsi"/>
          <w:sz w:val="22"/>
          <w:szCs w:val="22"/>
        </w:rPr>
      </w:pPr>
      <w:bookmarkStart w:id="0" w:name="_Hlk90540128"/>
      <w:r w:rsidRPr="00705036">
        <w:rPr>
          <w:rFonts w:asciiTheme="minorHAnsi" w:hAnsiTheme="minorHAnsi" w:cstheme="minorHAnsi"/>
          <w:sz w:val="22"/>
          <w:szCs w:val="22"/>
        </w:rPr>
        <w:t>The IRS received no comments during the public comment period in response to the</w:t>
      </w:r>
      <w:r w:rsidRPr="00705036">
        <w:rPr>
          <w:rFonts w:asciiTheme="minorHAnsi" w:hAnsiTheme="minorHAnsi" w:cstheme="minorHAnsi"/>
          <w:b/>
          <w:bCs/>
          <w:sz w:val="22"/>
          <w:szCs w:val="22"/>
        </w:rPr>
        <w:t xml:space="preserve"> </w:t>
      </w:r>
      <w:r w:rsidRPr="00705036">
        <w:rPr>
          <w:rFonts w:asciiTheme="minorHAnsi" w:hAnsiTheme="minorHAnsi" w:cstheme="minorHAnsi"/>
          <w:sz w:val="22"/>
          <w:szCs w:val="22"/>
        </w:rPr>
        <w:t>Federal Register notice (</w:t>
      </w:r>
      <w:r w:rsidRPr="00E55F23" w:rsidR="00E55F23">
        <w:rPr>
          <w:rFonts w:asciiTheme="minorHAnsi" w:hAnsiTheme="minorHAnsi" w:cstheme="minorHAnsi"/>
          <w:sz w:val="22"/>
          <w:szCs w:val="22"/>
        </w:rPr>
        <w:t>88 FR 67438</w:t>
      </w:r>
      <w:r w:rsidRPr="00705036">
        <w:rPr>
          <w:rFonts w:asciiTheme="minorHAnsi" w:hAnsiTheme="minorHAnsi" w:cstheme="minorHAnsi"/>
          <w:sz w:val="22"/>
          <w:szCs w:val="22"/>
        </w:rPr>
        <w:t xml:space="preserve">), dated </w:t>
      </w:r>
      <w:bookmarkEnd w:id="0"/>
      <w:r w:rsidR="00E55F23">
        <w:rPr>
          <w:rFonts w:asciiTheme="minorHAnsi" w:hAnsiTheme="minorHAnsi" w:cstheme="minorHAnsi"/>
          <w:sz w:val="22"/>
          <w:szCs w:val="22"/>
        </w:rPr>
        <w:t>September 29, 2023</w:t>
      </w:r>
      <w:r w:rsidRPr="00705036" w:rsidR="00DD1113">
        <w:rPr>
          <w:rFonts w:asciiTheme="minorHAnsi" w:hAnsiTheme="minorHAnsi" w:cstheme="minorHAnsi"/>
          <w:sz w:val="22"/>
          <w:szCs w:val="22"/>
        </w:rPr>
        <w:t>.</w:t>
      </w:r>
    </w:p>
    <w:p w:rsidR="00F14806" w:rsidRPr="00705036" w:rsidP="00C56CFA" w14:paraId="405304B1" w14:textId="4BE7D304">
      <w:pPr>
        <w:ind w:left="720"/>
        <w:rPr>
          <w:rFonts w:asciiTheme="minorHAnsi" w:hAnsiTheme="minorHAnsi" w:cstheme="minorHAnsi"/>
          <w:sz w:val="22"/>
          <w:szCs w:val="22"/>
        </w:rPr>
      </w:pPr>
    </w:p>
    <w:p w:rsidR="00F14806" w:rsidRPr="00705036" w:rsidP="00F14806" w14:paraId="6F02EB8E"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EXPLANATION OF DECISION TO PROVIDE ANY PAYMENT OR GIFT TO RESPONDENTS</w:t>
      </w:r>
    </w:p>
    <w:p w:rsidR="00F14806" w:rsidRPr="00705036" w:rsidP="00C56CFA" w14:paraId="17972B14" w14:textId="1D5C63F4">
      <w:pPr>
        <w:ind w:left="720"/>
        <w:rPr>
          <w:rFonts w:asciiTheme="minorHAnsi" w:hAnsiTheme="minorHAnsi" w:cstheme="minorHAnsi"/>
          <w:sz w:val="22"/>
          <w:szCs w:val="22"/>
        </w:rPr>
      </w:pPr>
    </w:p>
    <w:p w:rsidR="00F14806" w:rsidRPr="00705036" w:rsidP="00C56CFA" w14:paraId="7C733844" w14:textId="59B30B70">
      <w:pPr>
        <w:ind w:left="720"/>
        <w:rPr>
          <w:rFonts w:asciiTheme="minorHAnsi" w:hAnsiTheme="minorHAnsi" w:cstheme="minorHAnsi"/>
          <w:sz w:val="22"/>
          <w:szCs w:val="22"/>
        </w:rPr>
      </w:pPr>
      <w:bookmarkStart w:id="1" w:name="_Hlk103317405"/>
      <w:r w:rsidRPr="00705036">
        <w:rPr>
          <w:rFonts w:asciiTheme="minorHAnsi" w:hAnsiTheme="minorHAnsi" w:cstheme="minorHAnsi"/>
          <w:sz w:val="22"/>
          <w:szCs w:val="22"/>
        </w:rPr>
        <w:t>No payment or gift has been provided to any respondents.</w:t>
      </w:r>
      <w:bookmarkEnd w:id="1"/>
    </w:p>
    <w:p w:rsidR="00F14806" w:rsidRPr="00705036" w:rsidP="00C56CFA" w14:paraId="44CAA08D" w14:textId="2C7E2B66">
      <w:pPr>
        <w:ind w:left="720"/>
        <w:rPr>
          <w:rFonts w:asciiTheme="minorHAnsi" w:hAnsiTheme="minorHAnsi" w:cstheme="minorHAnsi"/>
          <w:sz w:val="22"/>
          <w:szCs w:val="22"/>
        </w:rPr>
      </w:pPr>
    </w:p>
    <w:p w:rsidR="00F14806" w:rsidRPr="00705036" w:rsidP="00F14806" w14:paraId="1C689EAF"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ASSURANCE OF CONFIDENTIALITY OF RESPONSES</w:t>
      </w:r>
    </w:p>
    <w:p w:rsidR="00F14806" w:rsidRPr="00705036" w:rsidP="00C56CFA" w14:paraId="7F53AA4A" w14:textId="47B8C89A">
      <w:pPr>
        <w:ind w:left="720"/>
        <w:rPr>
          <w:rFonts w:asciiTheme="minorHAnsi" w:hAnsiTheme="minorHAnsi" w:cstheme="minorHAnsi"/>
          <w:sz w:val="22"/>
          <w:szCs w:val="22"/>
        </w:rPr>
      </w:pPr>
    </w:p>
    <w:p w:rsidR="00F14806" w:rsidRPr="00705036" w:rsidP="00C56CFA" w14:paraId="16F48F32" w14:textId="57B183BD">
      <w:pPr>
        <w:ind w:left="720"/>
        <w:rPr>
          <w:rFonts w:asciiTheme="minorHAnsi" w:hAnsiTheme="minorHAnsi" w:cstheme="minorHAnsi"/>
          <w:sz w:val="22"/>
          <w:szCs w:val="22"/>
        </w:rPr>
      </w:pPr>
      <w:bookmarkStart w:id="2" w:name="_Hlk95473991"/>
      <w:r w:rsidRPr="00705036">
        <w:rPr>
          <w:rFonts w:asciiTheme="minorHAnsi" w:hAnsiTheme="minorHAnsi" w:cstheme="minorHAnsi"/>
          <w:sz w:val="22"/>
          <w:szCs w:val="22"/>
        </w:rPr>
        <w:t>Generally, tax returns and tax return information are confidential as required by 26 U.S.C. 6103.</w:t>
      </w:r>
      <w:bookmarkEnd w:id="2"/>
    </w:p>
    <w:p w:rsidR="00F14806" w:rsidRPr="00705036" w:rsidP="00C56CFA" w14:paraId="5017BEA1" w14:textId="39F8FF94">
      <w:pPr>
        <w:ind w:left="720"/>
        <w:rPr>
          <w:rFonts w:asciiTheme="minorHAnsi" w:hAnsiTheme="minorHAnsi" w:cstheme="minorHAnsi"/>
          <w:sz w:val="22"/>
          <w:szCs w:val="22"/>
        </w:rPr>
      </w:pPr>
    </w:p>
    <w:p w:rsidR="00F14806" w:rsidRPr="00705036" w:rsidP="00F14806" w14:paraId="2071A97C" w14:textId="723CCEE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JUSTIFICATION OF SENSITIVE QUESTIONS</w:t>
      </w:r>
    </w:p>
    <w:p w:rsidR="00F14806" w:rsidRPr="00705036" w:rsidP="00C56CFA" w14:paraId="148CBB37" w14:textId="608130DD">
      <w:pPr>
        <w:ind w:left="720"/>
        <w:rPr>
          <w:rFonts w:asciiTheme="minorHAnsi" w:hAnsiTheme="minorHAnsi" w:cstheme="minorHAnsi"/>
          <w:sz w:val="22"/>
          <w:szCs w:val="22"/>
        </w:rPr>
      </w:pPr>
    </w:p>
    <w:p w:rsidR="00F14806" w:rsidRPr="00705036" w:rsidP="00F14806" w14:paraId="25D26008" w14:textId="3DED80F1">
      <w:pPr>
        <w:numPr>
          <w:ilvl w:val="12"/>
          <w:numId w:val="0"/>
        </w:numPr>
        <w:ind w:left="720"/>
        <w:rPr>
          <w:rFonts w:asciiTheme="minorHAnsi" w:hAnsiTheme="minorHAnsi" w:cstheme="minorHAnsi"/>
          <w:bCs/>
          <w:sz w:val="22"/>
          <w:szCs w:val="22"/>
        </w:rPr>
      </w:pPr>
      <w:bookmarkStart w:id="3" w:name="_Hlk125524792"/>
      <w:bookmarkStart w:id="4" w:name="_Hlk129670057"/>
      <w:r w:rsidRPr="00705036">
        <w:rPr>
          <w:rFonts w:asciiTheme="minorHAnsi" w:hAnsiTheme="minorHAnsi" w:cstheme="minorHAnsi"/>
          <w:bCs/>
          <w:sz w:val="22"/>
          <w:szCs w:val="22"/>
        </w:rPr>
        <w:t>A privacy impact assessment (PIA) has been conducted for information collected under this request</w:t>
      </w:r>
      <w:r w:rsidR="00E55F23">
        <w:rPr>
          <w:rFonts w:asciiTheme="minorHAnsi" w:hAnsiTheme="minorHAnsi" w:cstheme="minorHAnsi"/>
          <w:bCs/>
          <w:sz w:val="22"/>
          <w:szCs w:val="22"/>
        </w:rPr>
        <w:t xml:space="preserve"> </w:t>
      </w:r>
      <w:r w:rsidRPr="00E55F23" w:rsidR="00E55F23">
        <w:rPr>
          <w:rFonts w:asciiTheme="minorHAnsi" w:hAnsiTheme="minorHAnsi" w:cstheme="minorHAnsi"/>
          <w:bCs/>
          <w:sz w:val="22"/>
          <w:szCs w:val="22"/>
        </w:rPr>
        <w:t>as part of the “Business Master File (BMF)</w:t>
      </w:r>
      <w:r w:rsidR="00E55F23">
        <w:rPr>
          <w:rFonts w:asciiTheme="minorHAnsi" w:hAnsiTheme="minorHAnsi" w:cstheme="minorHAnsi"/>
          <w:bCs/>
          <w:sz w:val="22"/>
          <w:szCs w:val="22"/>
        </w:rPr>
        <w:t>,</w:t>
      </w:r>
      <w:r w:rsidRPr="00E55F23" w:rsidR="00E55F23">
        <w:rPr>
          <w:rFonts w:asciiTheme="minorHAnsi" w:hAnsiTheme="minorHAnsi" w:cstheme="minorHAnsi"/>
          <w:bCs/>
          <w:sz w:val="22"/>
          <w:szCs w:val="22"/>
        </w:rPr>
        <w:t>”</w:t>
      </w:r>
      <w:r w:rsidRPr="00705036">
        <w:rPr>
          <w:rFonts w:asciiTheme="minorHAnsi" w:hAnsiTheme="minorHAnsi" w:cstheme="minorHAnsi"/>
          <w:bCs/>
          <w:sz w:val="22"/>
          <w:szCs w:val="22"/>
        </w:rPr>
        <w:t xml:space="preserve"> and a Privacy Act System of Records notice (SORN) has been issued for </w:t>
      </w:r>
      <w:bookmarkStart w:id="5" w:name="_Hlk94249110"/>
      <w:r w:rsidRPr="00705036">
        <w:rPr>
          <w:rFonts w:asciiTheme="minorHAnsi" w:hAnsiTheme="minorHAnsi" w:cstheme="minorHAnsi"/>
          <w:bCs/>
          <w:sz w:val="22"/>
          <w:szCs w:val="22"/>
        </w:rPr>
        <w:t xml:space="preserve">these systems under </w:t>
      </w:r>
      <w:bookmarkStart w:id="6" w:name="_Hlk95474527"/>
      <w:r w:rsidRPr="00705036">
        <w:rPr>
          <w:rFonts w:asciiTheme="minorHAnsi" w:hAnsiTheme="minorHAnsi" w:cstheme="minorHAnsi"/>
          <w:bCs/>
          <w:sz w:val="22"/>
          <w:szCs w:val="22"/>
        </w:rPr>
        <w:t xml:space="preserve">Treasury/IRS 24.030 - Customer Account Data Engine (CADE) Individual Master File; Treasury/IRS 24.046 - CADE Business Master File (BMF); Treasury/IRS 34.037 - Audit Trail and Security Records. </w:t>
      </w:r>
      <w:bookmarkStart w:id="7" w:name="_Hlk90540730"/>
      <w:r w:rsidRPr="00705036">
        <w:rPr>
          <w:rFonts w:asciiTheme="minorHAnsi" w:hAnsiTheme="minorHAnsi" w:cstheme="minorHAnsi"/>
          <w:bCs/>
          <w:sz w:val="22"/>
          <w:szCs w:val="22"/>
        </w:rPr>
        <w:t xml:space="preserve">The Internal Revenue Service PIAs can be found </w:t>
      </w:r>
      <w:bookmarkStart w:id="8" w:name="_Hlk96425022"/>
      <w:r w:rsidRPr="00705036">
        <w:rPr>
          <w:rFonts w:asciiTheme="minorHAnsi" w:hAnsiTheme="minorHAnsi" w:cstheme="minorHAnsi"/>
          <w:bCs/>
          <w:sz w:val="22"/>
          <w:szCs w:val="22"/>
        </w:rPr>
        <w:t xml:space="preserve">at </w:t>
      </w:r>
      <w:bookmarkStart w:id="9" w:name="_Hlk90530558"/>
      <w:hyperlink r:id="rId4" w:history="1">
        <w:r w:rsidRPr="00705036">
          <w:rPr>
            <w:rStyle w:val="Hyperlink"/>
            <w:rFonts w:asciiTheme="minorHAnsi" w:hAnsiTheme="minorHAnsi" w:cstheme="minorHAnsi"/>
            <w:bCs/>
            <w:sz w:val="22"/>
            <w:szCs w:val="22"/>
          </w:rPr>
          <w:t>https://www.irs.gov/privacy-disclosure/privacy-impact-assessments-pia</w:t>
        </w:r>
      </w:hyperlink>
      <w:bookmarkEnd w:id="9"/>
      <w:r w:rsidRPr="00705036">
        <w:rPr>
          <w:rFonts w:asciiTheme="minorHAnsi" w:hAnsiTheme="minorHAnsi" w:cstheme="minorHAnsi"/>
          <w:bCs/>
          <w:sz w:val="22"/>
          <w:szCs w:val="22"/>
        </w:rPr>
        <w:t>.</w:t>
      </w:r>
      <w:bookmarkEnd w:id="3"/>
      <w:bookmarkEnd w:id="5"/>
      <w:bookmarkEnd w:id="6"/>
      <w:bookmarkEnd w:id="7"/>
      <w:bookmarkEnd w:id="8"/>
    </w:p>
    <w:p w:rsidR="00F14806" w:rsidRPr="00705036" w:rsidP="00F14806" w14:paraId="12BAEBED" w14:textId="77777777">
      <w:pPr>
        <w:numPr>
          <w:ilvl w:val="12"/>
          <w:numId w:val="0"/>
        </w:numPr>
        <w:ind w:left="720"/>
        <w:rPr>
          <w:rFonts w:asciiTheme="minorHAnsi" w:hAnsiTheme="minorHAnsi" w:cstheme="minorHAnsi"/>
          <w:bCs/>
          <w:sz w:val="22"/>
          <w:szCs w:val="22"/>
        </w:rPr>
      </w:pPr>
    </w:p>
    <w:p w:rsidR="00F14806" w:rsidRPr="00705036" w:rsidP="00F14806" w14:paraId="27F98E7C" w14:textId="77777777">
      <w:pPr>
        <w:numPr>
          <w:ilvl w:val="12"/>
          <w:numId w:val="0"/>
        </w:numPr>
        <w:ind w:left="720"/>
        <w:rPr>
          <w:rFonts w:asciiTheme="minorHAnsi" w:hAnsiTheme="minorHAnsi" w:cstheme="minorHAnsi"/>
          <w:bCs/>
          <w:sz w:val="22"/>
          <w:szCs w:val="22"/>
        </w:rPr>
      </w:pPr>
      <w:r w:rsidRPr="00705036">
        <w:rPr>
          <w:rFonts w:asciiTheme="minorHAnsi" w:hAnsiTheme="minorHAnsi" w:cstheme="minorHAnsi"/>
          <w:bCs/>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bookmarkEnd w:id="4"/>
    </w:p>
    <w:p w:rsidR="00F14806" w:rsidRPr="00705036" w:rsidP="00F14806" w14:paraId="2BDBE50B" w14:textId="77777777">
      <w:pPr>
        <w:ind w:left="720"/>
        <w:rPr>
          <w:rFonts w:asciiTheme="minorHAnsi" w:hAnsiTheme="minorHAnsi" w:cstheme="minorHAnsi"/>
          <w:sz w:val="22"/>
          <w:szCs w:val="22"/>
        </w:rPr>
      </w:pPr>
    </w:p>
    <w:p w:rsidR="00F14806" w:rsidRPr="00705036" w:rsidP="00F14806" w14:paraId="0D7D6AE8"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ESTIMATED BURDEN OF INFORMATION COLLECTION</w:t>
      </w:r>
    </w:p>
    <w:p w:rsidR="00F14806" w:rsidRPr="00705036" w:rsidP="00F14806" w14:paraId="027C4D80" w14:textId="75B5E6E3">
      <w:pPr>
        <w:ind w:left="720"/>
        <w:rPr>
          <w:rFonts w:asciiTheme="minorHAnsi" w:hAnsiTheme="minorHAnsi" w:cstheme="minorHAnsi"/>
          <w:sz w:val="22"/>
          <w:szCs w:val="22"/>
        </w:rPr>
      </w:pPr>
    </w:p>
    <w:p w:rsidR="00F14806" w:rsidP="00F14806" w14:paraId="5E6785EE" w14:textId="110BF868">
      <w:pPr>
        <w:ind w:left="720"/>
        <w:rPr>
          <w:rFonts w:asciiTheme="minorHAnsi" w:hAnsiTheme="minorHAnsi" w:cstheme="minorHAnsi"/>
          <w:sz w:val="22"/>
          <w:szCs w:val="22"/>
        </w:rPr>
      </w:pPr>
      <w:bookmarkStart w:id="10" w:name="_Hlk103748842"/>
      <w:r>
        <w:rPr>
          <w:rFonts w:asciiTheme="minorHAnsi" w:hAnsiTheme="minorHAnsi" w:cstheme="minorHAnsi"/>
          <w:sz w:val="22"/>
          <w:szCs w:val="22"/>
        </w:rPr>
        <w:t xml:space="preserve">IRC sections 671 and 685 require trustees to disclose information and keep records. Trustees use </w:t>
      </w:r>
      <w:r w:rsidRPr="00FB4824">
        <w:rPr>
          <w:rFonts w:asciiTheme="minorHAnsi" w:hAnsiTheme="minorHAnsi" w:cstheme="minorHAnsi"/>
          <w:sz w:val="22"/>
          <w:szCs w:val="22"/>
        </w:rPr>
        <w:t>Form 1041-QFT to report</w:t>
      </w:r>
      <w:r>
        <w:rPr>
          <w:rFonts w:asciiTheme="minorHAnsi" w:hAnsiTheme="minorHAnsi" w:cstheme="minorHAnsi"/>
          <w:sz w:val="22"/>
          <w:szCs w:val="22"/>
        </w:rPr>
        <w:t xml:space="preserve"> </w:t>
      </w:r>
      <w:r w:rsidRPr="00FB4824">
        <w:rPr>
          <w:rFonts w:asciiTheme="minorHAnsi" w:hAnsiTheme="minorHAnsi" w:cstheme="minorHAnsi"/>
          <w:sz w:val="22"/>
          <w:szCs w:val="22"/>
        </w:rPr>
        <w:t>the income, deductions, gains, losses, and tax liability of the</w:t>
      </w:r>
      <w:r>
        <w:rPr>
          <w:rFonts w:asciiTheme="minorHAnsi" w:hAnsiTheme="minorHAnsi" w:cstheme="minorHAnsi"/>
          <w:sz w:val="22"/>
          <w:szCs w:val="22"/>
        </w:rPr>
        <w:t xml:space="preserve"> </w:t>
      </w:r>
      <w:r w:rsidRPr="00FB4824">
        <w:rPr>
          <w:rFonts w:asciiTheme="minorHAnsi" w:hAnsiTheme="minorHAnsi" w:cstheme="minorHAnsi"/>
          <w:sz w:val="22"/>
          <w:szCs w:val="22"/>
        </w:rPr>
        <w:t>QFT</w:t>
      </w:r>
      <w:r>
        <w:rPr>
          <w:rFonts w:asciiTheme="minorHAnsi" w:hAnsiTheme="minorHAnsi" w:cstheme="minorHAnsi"/>
          <w:sz w:val="22"/>
          <w:szCs w:val="22"/>
        </w:rPr>
        <w:t>.</w:t>
      </w:r>
      <w:r w:rsidRPr="00705036" w:rsidR="00840F64">
        <w:rPr>
          <w:rFonts w:asciiTheme="minorHAnsi" w:hAnsiTheme="minorHAnsi" w:cstheme="minorHAnsi"/>
          <w:sz w:val="22"/>
          <w:szCs w:val="22"/>
        </w:rPr>
        <w:t xml:space="preserve"> </w:t>
      </w:r>
      <w:bookmarkEnd w:id="10"/>
      <w:r w:rsidRPr="00FB4824">
        <w:rPr>
          <w:rFonts w:asciiTheme="minorHAnsi" w:hAnsiTheme="minorHAnsi" w:cstheme="minorHAnsi"/>
          <w:sz w:val="22"/>
          <w:szCs w:val="22"/>
        </w:rPr>
        <w:t xml:space="preserve">The IRS anticipates that there will be approximately </w:t>
      </w:r>
      <w:r w:rsidR="00385ADB">
        <w:rPr>
          <w:rFonts w:asciiTheme="minorHAnsi" w:hAnsiTheme="minorHAnsi" w:cstheme="minorHAnsi"/>
          <w:sz w:val="22"/>
          <w:szCs w:val="22"/>
        </w:rPr>
        <w:t>15,000</w:t>
      </w:r>
      <w:r w:rsidRPr="00FB4824">
        <w:rPr>
          <w:rFonts w:asciiTheme="minorHAnsi" w:hAnsiTheme="minorHAnsi" w:cstheme="minorHAnsi"/>
          <w:sz w:val="22"/>
          <w:szCs w:val="22"/>
        </w:rPr>
        <w:t xml:space="preserve"> respondents annually, with a total estimated burden of </w:t>
      </w:r>
      <w:r w:rsidR="00385ADB">
        <w:rPr>
          <w:rFonts w:asciiTheme="minorHAnsi" w:hAnsiTheme="minorHAnsi" w:cstheme="minorHAnsi"/>
          <w:sz w:val="22"/>
          <w:szCs w:val="22"/>
        </w:rPr>
        <w:t>310,350</w:t>
      </w:r>
      <w:r w:rsidRPr="00FB4824">
        <w:rPr>
          <w:rFonts w:asciiTheme="minorHAnsi" w:hAnsiTheme="minorHAnsi" w:cstheme="minorHAnsi"/>
          <w:sz w:val="22"/>
          <w:szCs w:val="22"/>
        </w:rPr>
        <w:t xml:space="preserve"> hours annually. The estimated burden is shown below.</w:t>
      </w:r>
    </w:p>
    <w:p w:rsidR="00FB4824" w:rsidP="00F14806" w14:paraId="305D8259" w14:textId="79A6AB57">
      <w:pPr>
        <w:ind w:left="720"/>
        <w:rPr>
          <w:rFonts w:asciiTheme="minorHAnsi" w:hAnsiTheme="minorHAnsi" w:cstheme="minorHAnsi"/>
          <w:sz w:val="22"/>
          <w:szCs w:val="22"/>
        </w:rPr>
      </w:pPr>
    </w:p>
    <w:tbl>
      <w:tblPr>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3"/>
        <w:gridCol w:w="1712"/>
        <w:gridCol w:w="1255"/>
        <w:gridCol w:w="1170"/>
        <w:gridCol w:w="1091"/>
        <w:gridCol w:w="1158"/>
        <w:gridCol w:w="1101"/>
      </w:tblGrid>
      <w:tr w14:paraId="3E40CC58" w14:textId="77777777" w:rsidTr="00E82A7E">
        <w:tblPrEx>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170" w:type="dxa"/>
            <w:shd w:val="clear" w:color="auto" w:fill="auto"/>
            <w:vAlign w:val="bottom"/>
          </w:tcPr>
          <w:p w:rsidR="00FB4824" w:rsidRPr="001222FC" w:rsidP="00E82A7E" w14:paraId="73BF59A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Authority</w:t>
            </w:r>
          </w:p>
        </w:tc>
        <w:tc>
          <w:tcPr>
            <w:tcW w:w="1757" w:type="dxa"/>
            <w:vAlign w:val="bottom"/>
          </w:tcPr>
          <w:p w:rsidR="00FB4824" w:rsidRPr="001222FC" w:rsidP="00E82A7E" w14:paraId="0EDECB0A"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Description</w:t>
            </w:r>
          </w:p>
        </w:tc>
        <w:tc>
          <w:tcPr>
            <w:tcW w:w="1170" w:type="dxa"/>
            <w:vAlign w:val="bottom"/>
          </w:tcPr>
          <w:p w:rsidR="00FB4824" w:rsidRPr="001222FC" w:rsidP="00E82A7E" w14:paraId="141FE5D3"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of Respondents</w:t>
            </w:r>
          </w:p>
        </w:tc>
        <w:tc>
          <w:tcPr>
            <w:tcW w:w="1170" w:type="dxa"/>
            <w:vAlign w:val="bottom"/>
          </w:tcPr>
          <w:p w:rsidR="00FB4824" w:rsidRPr="001222FC" w:rsidP="00E82A7E" w14:paraId="26C0830E"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 Responses per Respondent</w:t>
            </w:r>
          </w:p>
        </w:tc>
        <w:tc>
          <w:tcPr>
            <w:tcW w:w="1080" w:type="dxa"/>
            <w:shd w:val="clear" w:color="auto" w:fill="auto"/>
            <w:vAlign w:val="bottom"/>
          </w:tcPr>
          <w:p w:rsidR="00FB4824" w:rsidRPr="001222FC" w:rsidP="00E82A7E" w14:paraId="42707ACA"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Annual Responses</w:t>
            </w:r>
          </w:p>
        </w:tc>
        <w:tc>
          <w:tcPr>
            <w:tcW w:w="1170" w:type="dxa"/>
            <w:vAlign w:val="bottom"/>
          </w:tcPr>
          <w:p w:rsidR="00FB4824" w:rsidRPr="001222FC" w:rsidP="00E82A7E" w14:paraId="702374E4"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Hours per Response</w:t>
            </w:r>
          </w:p>
        </w:tc>
        <w:tc>
          <w:tcPr>
            <w:tcW w:w="1123" w:type="dxa"/>
            <w:shd w:val="clear" w:color="auto" w:fill="auto"/>
            <w:vAlign w:val="bottom"/>
          </w:tcPr>
          <w:p w:rsidR="00FB4824" w:rsidRPr="001222FC" w:rsidP="00E82A7E" w14:paraId="1B48430B" w14:textId="77777777">
            <w:pPr>
              <w:keepNext/>
              <w:keepLines/>
              <w:numPr>
                <w:ilvl w:val="12"/>
                <w:numId w:val="0"/>
              </w:numPr>
              <w:jc w:val="center"/>
              <w:rPr>
                <w:rFonts w:ascii="Arial Narrow" w:hAnsi="Arial Narrow"/>
                <w:b/>
                <w:sz w:val="20"/>
                <w:szCs w:val="20"/>
              </w:rPr>
            </w:pPr>
            <w:r w:rsidRPr="001222FC">
              <w:rPr>
                <w:rFonts w:ascii="Arial Narrow" w:hAnsi="Arial Narrow"/>
                <w:b/>
                <w:sz w:val="20"/>
                <w:szCs w:val="20"/>
              </w:rPr>
              <w:t>Total Burden Hours</w:t>
            </w:r>
          </w:p>
        </w:tc>
      </w:tr>
      <w:tr w14:paraId="501FC1BF" w14:textId="77777777" w:rsidTr="00E82A7E">
        <w:tblPrEx>
          <w:tblW w:w="8640" w:type="dxa"/>
          <w:tblInd w:w="715" w:type="dxa"/>
          <w:tblLook w:val="04A0"/>
        </w:tblPrEx>
        <w:tc>
          <w:tcPr>
            <w:tcW w:w="1170" w:type="dxa"/>
            <w:shd w:val="clear" w:color="auto" w:fill="auto"/>
            <w:vAlign w:val="bottom"/>
          </w:tcPr>
          <w:p w:rsidR="00FB4824" w:rsidRPr="001222FC" w:rsidP="00E82A7E" w14:paraId="56EC3385" w14:textId="017DF631">
            <w:pPr>
              <w:keepNext/>
              <w:keepLines/>
              <w:numPr>
                <w:ilvl w:val="12"/>
                <w:numId w:val="0"/>
              </w:numPr>
              <w:jc w:val="center"/>
              <w:rPr>
                <w:rFonts w:ascii="Arial Narrow" w:hAnsi="Arial Narrow"/>
                <w:sz w:val="20"/>
                <w:szCs w:val="20"/>
              </w:rPr>
            </w:pPr>
            <w:r>
              <w:rPr>
                <w:rFonts w:ascii="Arial Narrow" w:hAnsi="Arial Narrow"/>
                <w:sz w:val="20"/>
                <w:szCs w:val="20"/>
              </w:rPr>
              <w:t>IRC 671 &amp; 685</w:t>
            </w:r>
          </w:p>
        </w:tc>
        <w:tc>
          <w:tcPr>
            <w:tcW w:w="1757" w:type="dxa"/>
            <w:vAlign w:val="bottom"/>
          </w:tcPr>
          <w:p w:rsidR="00FB4824" w:rsidRPr="001222FC" w:rsidP="00E82A7E" w14:paraId="3E815034" w14:textId="326B9F48">
            <w:pPr>
              <w:keepNext/>
              <w:keepLines/>
              <w:numPr>
                <w:ilvl w:val="12"/>
                <w:numId w:val="0"/>
              </w:numPr>
              <w:jc w:val="center"/>
              <w:rPr>
                <w:rFonts w:ascii="Arial Narrow" w:hAnsi="Arial Narrow"/>
                <w:sz w:val="20"/>
                <w:szCs w:val="20"/>
              </w:rPr>
            </w:pPr>
            <w:r>
              <w:rPr>
                <w:rFonts w:ascii="Arial Narrow" w:hAnsi="Arial Narrow"/>
                <w:sz w:val="20"/>
                <w:szCs w:val="20"/>
              </w:rPr>
              <w:t>Form 1041-QFT</w:t>
            </w:r>
          </w:p>
        </w:tc>
        <w:tc>
          <w:tcPr>
            <w:tcW w:w="1170" w:type="dxa"/>
            <w:vAlign w:val="bottom"/>
          </w:tcPr>
          <w:p w:rsidR="00FB4824" w:rsidRPr="001222FC" w:rsidP="00E82A7E" w14:paraId="01EEC166" w14:textId="3CA68789">
            <w:pPr>
              <w:keepNext/>
              <w:keepLines/>
              <w:numPr>
                <w:ilvl w:val="12"/>
                <w:numId w:val="0"/>
              </w:numPr>
              <w:jc w:val="center"/>
              <w:rPr>
                <w:rFonts w:ascii="Arial Narrow" w:hAnsi="Arial Narrow"/>
                <w:sz w:val="20"/>
                <w:szCs w:val="20"/>
              </w:rPr>
            </w:pPr>
            <w:r>
              <w:rPr>
                <w:rFonts w:ascii="Arial Narrow" w:hAnsi="Arial Narrow"/>
                <w:sz w:val="20"/>
                <w:szCs w:val="20"/>
              </w:rPr>
              <w:t>15,000</w:t>
            </w:r>
          </w:p>
        </w:tc>
        <w:tc>
          <w:tcPr>
            <w:tcW w:w="1170" w:type="dxa"/>
            <w:vAlign w:val="bottom"/>
          </w:tcPr>
          <w:p w:rsidR="00FB4824" w:rsidRPr="001222FC" w:rsidP="00E82A7E" w14:paraId="3F7E05C0" w14:textId="5BAA74B3">
            <w:pPr>
              <w:keepNext/>
              <w:keepLines/>
              <w:numPr>
                <w:ilvl w:val="12"/>
                <w:numId w:val="0"/>
              </w:numPr>
              <w:jc w:val="center"/>
              <w:rPr>
                <w:rFonts w:ascii="Arial Narrow" w:hAnsi="Arial Narrow"/>
                <w:sz w:val="20"/>
                <w:szCs w:val="20"/>
              </w:rPr>
            </w:pPr>
            <w:r>
              <w:rPr>
                <w:rFonts w:ascii="Arial Narrow" w:hAnsi="Arial Narrow"/>
                <w:sz w:val="20"/>
                <w:szCs w:val="20"/>
              </w:rPr>
              <w:t>1</w:t>
            </w:r>
          </w:p>
        </w:tc>
        <w:tc>
          <w:tcPr>
            <w:tcW w:w="1080" w:type="dxa"/>
            <w:shd w:val="clear" w:color="auto" w:fill="auto"/>
            <w:vAlign w:val="bottom"/>
          </w:tcPr>
          <w:p w:rsidR="00FB4824" w:rsidRPr="001222FC" w:rsidP="00E82A7E" w14:paraId="60AF6A39" w14:textId="29A7FDF0">
            <w:pPr>
              <w:keepNext/>
              <w:keepLines/>
              <w:numPr>
                <w:ilvl w:val="12"/>
                <w:numId w:val="0"/>
              </w:numPr>
              <w:jc w:val="center"/>
              <w:rPr>
                <w:rFonts w:ascii="Arial Narrow" w:hAnsi="Arial Narrow"/>
                <w:sz w:val="20"/>
                <w:szCs w:val="20"/>
              </w:rPr>
            </w:pPr>
            <w:r>
              <w:rPr>
                <w:rFonts w:ascii="Arial Narrow" w:hAnsi="Arial Narrow"/>
                <w:sz w:val="20"/>
                <w:szCs w:val="20"/>
              </w:rPr>
              <w:t>15,000</w:t>
            </w:r>
          </w:p>
        </w:tc>
        <w:tc>
          <w:tcPr>
            <w:tcW w:w="1170" w:type="dxa"/>
            <w:vAlign w:val="bottom"/>
          </w:tcPr>
          <w:p w:rsidR="00FB4824" w:rsidRPr="001222FC" w:rsidP="00E82A7E" w14:paraId="448AE486" w14:textId="6C69C82B">
            <w:pPr>
              <w:keepNext/>
              <w:keepLines/>
              <w:numPr>
                <w:ilvl w:val="12"/>
                <w:numId w:val="0"/>
              </w:numPr>
              <w:jc w:val="center"/>
              <w:rPr>
                <w:rFonts w:ascii="Arial Narrow" w:hAnsi="Arial Narrow"/>
                <w:sz w:val="20"/>
                <w:szCs w:val="20"/>
              </w:rPr>
            </w:pPr>
            <w:r>
              <w:rPr>
                <w:rFonts w:ascii="Arial Narrow" w:hAnsi="Arial Narrow"/>
                <w:sz w:val="20"/>
                <w:szCs w:val="20"/>
              </w:rPr>
              <w:t>20.69</w:t>
            </w:r>
          </w:p>
        </w:tc>
        <w:tc>
          <w:tcPr>
            <w:tcW w:w="1123" w:type="dxa"/>
            <w:shd w:val="clear" w:color="auto" w:fill="auto"/>
            <w:vAlign w:val="bottom"/>
          </w:tcPr>
          <w:p w:rsidR="00FB4824" w:rsidRPr="001222FC" w:rsidP="00E82A7E" w14:paraId="1F6DBE06" w14:textId="7B1DFC85">
            <w:pPr>
              <w:keepNext/>
              <w:keepLines/>
              <w:numPr>
                <w:ilvl w:val="12"/>
                <w:numId w:val="0"/>
              </w:numPr>
              <w:jc w:val="center"/>
              <w:rPr>
                <w:rFonts w:ascii="Arial Narrow" w:hAnsi="Arial Narrow"/>
                <w:sz w:val="20"/>
                <w:szCs w:val="20"/>
              </w:rPr>
            </w:pPr>
            <w:r>
              <w:rPr>
                <w:rFonts w:ascii="Arial Narrow" w:hAnsi="Arial Narrow"/>
                <w:sz w:val="20"/>
                <w:szCs w:val="20"/>
              </w:rPr>
              <w:t>310,350</w:t>
            </w:r>
          </w:p>
        </w:tc>
      </w:tr>
      <w:tr w14:paraId="311582AA" w14:textId="77777777" w:rsidTr="00E82A7E">
        <w:tblPrEx>
          <w:tblW w:w="8640" w:type="dxa"/>
          <w:tblInd w:w="715" w:type="dxa"/>
          <w:tblLook w:val="04A0"/>
        </w:tblPrEx>
        <w:tc>
          <w:tcPr>
            <w:tcW w:w="1170" w:type="dxa"/>
            <w:shd w:val="clear" w:color="auto" w:fill="auto"/>
            <w:vAlign w:val="bottom"/>
          </w:tcPr>
          <w:p w:rsidR="00FB4824" w:rsidRPr="001222FC" w:rsidP="00E82A7E" w14:paraId="6D58A6DB" w14:textId="77777777">
            <w:pPr>
              <w:keepNext/>
              <w:keepLines/>
              <w:numPr>
                <w:ilvl w:val="12"/>
                <w:numId w:val="0"/>
              </w:numPr>
              <w:jc w:val="center"/>
              <w:rPr>
                <w:rFonts w:ascii="Arial Narrow" w:hAnsi="Arial Narrow"/>
                <w:b/>
                <w:bCs/>
                <w:sz w:val="20"/>
                <w:szCs w:val="20"/>
              </w:rPr>
            </w:pPr>
            <w:r w:rsidRPr="001222FC">
              <w:rPr>
                <w:rFonts w:ascii="Arial Narrow" w:hAnsi="Arial Narrow"/>
                <w:b/>
                <w:bCs/>
                <w:sz w:val="20"/>
                <w:szCs w:val="20"/>
              </w:rPr>
              <w:t>Totals</w:t>
            </w:r>
          </w:p>
        </w:tc>
        <w:tc>
          <w:tcPr>
            <w:tcW w:w="1757" w:type="dxa"/>
            <w:vAlign w:val="bottom"/>
          </w:tcPr>
          <w:p w:rsidR="00FB4824" w:rsidRPr="001222FC" w:rsidP="00E82A7E" w14:paraId="7D062407" w14:textId="77777777">
            <w:pPr>
              <w:keepNext/>
              <w:keepLines/>
              <w:numPr>
                <w:ilvl w:val="12"/>
                <w:numId w:val="0"/>
              </w:numPr>
              <w:jc w:val="center"/>
              <w:rPr>
                <w:rFonts w:ascii="Arial Narrow" w:hAnsi="Arial Narrow"/>
                <w:b/>
                <w:bCs/>
                <w:sz w:val="20"/>
                <w:szCs w:val="20"/>
              </w:rPr>
            </w:pPr>
          </w:p>
        </w:tc>
        <w:tc>
          <w:tcPr>
            <w:tcW w:w="1170" w:type="dxa"/>
            <w:vAlign w:val="bottom"/>
          </w:tcPr>
          <w:p w:rsidR="00FB4824" w:rsidRPr="001222FC" w:rsidP="00E82A7E" w14:paraId="6FA12623" w14:textId="4D08AC1F">
            <w:pPr>
              <w:keepNext/>
              <w:keepLines/>
              <w:numPr>
                <w:ilvl w:val="12"/>
                <w:numId w:val="0"/>
              </w:numPr>
              <w:jc w:val="center"/>
              <w:rPr>
                <w:rFonts w:ascii="Arial Narrow" w:hAnsi="Arial Narrow"/>
                <w:b/>
                <w:bCs/>
                <w:sz w:val="20"/>
                <w:szCs w:val="20"/>
              </w:rPr>
            </w:pPr>
            <w:r>
              <w:rPr>
                <w:rFonts w:ascii="Arial Narrow" w:hAnsi="Arial Narrow"/>
                <w:b/>
                <w:bCs/>
                <w:sz w:val="20"/>
                <w:szCs w:val="20"/>
              </w:rPr>
              <w:t>15,000</w:t>
            </w:r>
          </w:p>
        </w:tc>
        <w:tc>
          <w:tcPr>
            <w:tcW w:w="1170" w:type="dxa"/>
            <w:vAlign w:val="bottom"/>
          </w:tcPr>
          <w:p w:rsidR="00FB4824" w:rsidRPr="001222FC" w:rsidP="00E82A7E" w14:paraId="144107D3" w14:textId="77777777">
            <w:pPr>
              <w:keepNext/>
              <w:keepLines/>
              <w:numPr>
                <w:ilvl w:val="12"/>
                <w:numId w:val="0"/>
              </w:numPr>
              <w:jc w:val="center"/>
              <w:rPr>
                <w:rFonts w:ascii="Arial Narrow" w:hAnsi="Arial Narrow"/>
                <w:b/>
                <w:bCs/>
                <w:sz w:val="20"/>
                <w:szCs w:val="20"/>
              </w:rPr>
            </w:pPr>
          </w:p>
        </w:tc>
        <w:tc>
          <w:tcPr>
            <w:tcW w:w="1080" w:type="dxa"/>
            <w:shd w:val="clear" w:color="auto" w:fill="auto"/>
            <w:vAlign w:val="bottom"/>
          </w:tcPr>
          <w:p w:rsidR="00FB4824" w:rsidRPr="001222FC" w:rsidP="00E82A7E" w14:paraId="1DD5EDEA" w14:textId="6B4930E8">
            <w:pPr>
              <w:keepNext/>
              <w:keepLines/>
              <w:numPr>
                <w:ilvl w:val="12"/>
                <w:numId w:val="0"/>
              </w:numPr>
              <w:jc w:val="center"/>
              <w:rPr>
                <w:rFonts w:ascii="Arial Narrow" w:hAnsi="Arial Narrow"/>
                <w:b/>
                <w:bCs/>
                <w:sz w:val="20"/>
                <w:szCs w:val="20"/>
              </w:rPr>
            </w:pPr>
            <w:r>
              <w:rPr>
                <w:rFonts w:ascii="Arial Narrow" w:hAnsi="Arial Narrow"/>
                <w:b/>
                <w:bCs/>
                <w:sz w:val="20"/>
                <w:szCs w:val="20"/>
              </w:rPr>
              <w:t>15,000</w:t>
            </w:r>
          </w:p>
        </w:tc>
        <w:tc>
          <w:tcPr>
            <w:tcW w:w="1170" w:type="dxa"/>
            <w:vAlign w:val="bottom"/>
          </w:tcPr>
          <w:p w:rsidR="00FB4824" w:rsidRPr="001222FC" w:rsidP="00E82A7E" w14:paraId="3314EFB1" w14:textId="77777777">
            <w:pPr>
              <w:keepNext/>
              <w:keepLines/>
              <w:numPr>
                <w:ilvl w:val="12"/>
                <w:numId w:val="0"/>
              </w:numPr>
              <w:jc w:val="center"/>
              <w:rPr>
                <w:rFonts w:ascii="Arial Narrow" w:hAnsi="Arial Narrow"/>
                <w:b/>
                <w:bCs/>
                <w:sz w:val="20"/>
                <w:szCs w:val="20"/>
              </w:rPr>
            </w:pPr>
          </w:p>
        </w:tc>
        <w:tc>
          <w:tcPr>
            <w:tcW w:w="1123" w:type="dxa"/>
            <w:shd w:val="clear" w:color="auto" w:fill="auto"/>
            <w:vAlign w:val="bottom"/>
          </w:tcPr>
          <w:p w:rsidR="00FB4824" w:rsidRPr="001222FC" w:rsidP="00E82A7E" w14:paraId="453C304B" w14:textId="7574B743">
            <w:pPr>
              <w:keepNext/>
              <w:keepLines/>
              <w:numPr>
                <w:ilvl w:val="12"/>
                <w:numId w:val="0"/>
              </w:numPr>
              <w:jc w:val="center"/>
              <w:rPr>
                <w:rFonts w:ascii="Arial Narrow" w:hAnsi="Arial Narrow"/>
                <w:b/>
                <w:bCs/>
                <w:sz w:val="20"/>
                <w:szCs w:val="20"/>
              </w:rPr>
            </w:pPr>
            <w:r>
              <w:rPr>
                <w:rFonts w:ascii="Arial Narrow" w:hAnsi="Arial Narrow"/>
                <w:b/>
                <w:bCs/>
                <w:sz w:val="20"/>
                <w:szCs w:val="20"/>
              </w:rPr>
              <w:t>310,350</w:t>
            </w:r>
          </w:p>
        </w:tc>
      </w:tr>
    </w:tbl>
    <w:p w:rsidR="00FB4824" w:rsidRPr="00705036" w:rsidP="00F14806" w14:paraId="0A08194D" w14:textId="77777777">
      <w:pPr>
        <w:ind w:left="720"/>
        <w:rPr>
          <w:rFonts w:asciiTheme="minorHAnsi" w:hAnsiTheme="minorHAnsi" w:cstheme="minorHAnsi"/>
          <w:sz w:val="22"/>
          <w:szCs w:val="22"/>
        </w:rPr>
      </w:pPr>
    </w:p>
    <w:p w:rsidR="00F14806" w:rsidRPr="00705036" w:rsidP="00F14806" w14:paraId="13303137" w14:textId="3ADCD409">
      <w:pPr>
        <w:ind w:left="720"/>
        <w:rPr>
          <w:rFonts w:asciiTheme="minorHAnsi" w:hAnsiTheme="minorHAnsi" w:cstheme="minorHAnsi"/>
          <w:sz w:val="22"/>
          <w:szCs w:val="22"/>
        </w:rPr>
      </w:pPr>
    </w:p>
    <w:p w:rsidR="00F14806" w:rsidRPr="00705036" w:rsidP="00F14806" w14:paraId="374938BE" w14:textId="77777777">
      <w:pPr>
        <w:ind w:left="720"/>
        <w:rPr>
          <w:rFonts w:asciiTheme="minorHAnsi" w:hAnsiTheme="minorHAnsi" w:cstheme="minorHAnsi"/>
          <w:sz w:val="22"/>
          <w:szCs w:val="22"/>
        </w:rPr>
      </w:pPr>
    </w:p>
    <w:p w:rsidR="00F14806" w:rsidRPr="00705036" w:rsidP="00F14806" w14:paraId="421419F9"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ESTIMATED TOTAL ANNUAL COST BURDEN TO RESPONDENTS</w:t>
      </w:r>
    </w:p>
    <w:p w:rsidR="00F14806" w:rsidRPr="00705036" w:rsidP="00F14806" w14:paraId="1D919649" w14:textId="6E39DA4D">
      <w:pPr>
        <w:ind w:left="720"/>
        <w:rPr>
          <w:rFonts w:asciiTheme="minorHAnsi" w:hAnsiTheme="minorHAnsi" w:cstheme="minorHAnsi"/>
          <w:sz w:val="22"/>
          <w:szCs w:val="22"/>
        </w:rPr>
      </w:pPr>
    </w:p>
    <w:p w:rsidR="00F14806" w:rsidRPr="00705036" w:rsidP="00F14806" w14:paraId="3C78A5EC" w14:textId="4333B4F6">
      <w:pPr>
        <w:ind w:left="720"/>
        <w:rPr>
          <w:rFonts w:asciiTheme="minorHAnsi" w:hAnsiTheme="minorHAnsi" w:cstheme="minorHAnsi"/>
          <w:sz w:val="22"/>
          <w:szCs w:val="22"/>
        </w:rPr>
      </w:pPr>
      <w:r w:rsidRPr="00961C53">
        <w:rPr>
          <w:rFonts w:asciiTheme="minorHAnsi" w:hAnsiTheme="minorHAnsi" w:cstheme="minorHAnsi"/>
          <w:sz w:val="22"/>
          <w:szCs w:val="22"/>
        </w:rPr>
        <w:t xml:space="preserve">From our Federal Register notice, dated </w:t>
      </w:r>
      <w:r>
        <w:rPr>
          <w:rFonts w:asciiTheme="minorHAnsi" w:hAnsiTheme="minorHAnsi" w:cstheme="minorHAnsi"/>
          <w:sz w:val="22"/>
          <w:szCs w:val="22"/>
        </w:rPr>
        <w:t>September 29, 2023</w:t>
      </w:r>
      <w:r w:rsidRPr="00961C53">
        <w:rPr>
          <w:rFonts w:asciiTheme="minorHAnsi" w:hAnsiTheme="minorHAnsi" w:cstheme="minorHAnsi"/>
          <w:sz w:val="22"/>
          <w:szCs w:val="22"/>
        </w:rPr>
        <w:t>, no public comments on the estimates of capital or start-up costs and costs of operation, maintenance, and purchase of services to provide information were received. However, to ensure more accuracy and consistency across its information collections, the IRS is currently in the process of revising the methodology it uses to estimate burden and costs. Once this methodology is complete, the IRS will update this information collection to reflect a more precise estimate of burden and costs.</w:t>
      </w:r>
    </w:p>
    <w:p w:rsidR="00F14806" w:rsidRPr="00705036" w:rsidP="00F14806" w14:paraId="1084544F" w14:textId="3FA3094E">
      <w:pPr>
        <w:ind w:left="720"/>
        <w:rPr>
          <w:rFonts w:asciiTheme="minorHAnsi" w:hAnsiTheme="minorHAnsi" w:cstheme="minorHAnsi"/>
          <w:sz w:val="22"/>
          <w:szCs w:val="22"/>
        </w:rPr>
      </w:pPr>
    </w:p>
    <w:p w:rsidR="00F14806" w:rsidRPr="00705036" w:rsidP="00F14806" w14:paraId="5765F057"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ESTIMATED ANNUALIZED COST TO THE FEDERAL GOVERNMENT</w:t>
      </w:r>
    </w:p>
    <w:p w:rsidR="00F14806" w:rsidRPr="00705036" w:rsidP="00F14806" w14:paraId="6CA8CE6C" w14:textId="23040451">
      <w:pPr>
        <w:ind w:left="720"/>
        <w:rPr>
          <w:rFonts w:asciiTheme="minorHAnsi" w:hAnsiTheme="minorHAnsi" w:cstheme="minorHAnsi"/>
          <w:sz w:val="22"/>
          <w:szCs w:val="22"/>
        </w:rPr>
      </w:pPr>
    </w:p>
    <w:p w:rsidR="00961C53" w:rsidP="00961C53" w14:paraId="502B9BF4" w14:textId="77777777">
      <w:pPr>
        <w:ind w:left="720"/>
        <w:rPr>
          <w:rFonts w:asciiTheme="minorHAnsi" w:hAnsiTheme="minorHAnsi"/>
          <w:sz w:val="22"/>
          <w:szCs w:val="22"/>
        </w:rPr>
      </w:pPr>
      <w:bookmarkStart w:id="11" w:name="_Hlk523834409"/>
      <w:bookmarkStart w:id="12" w:name="_Hlk90531343"/>
      <w:bookmarkStart w:id="13" w:name="_Hlk91161430"/>
      <w:r w:rsidRPr="003B2E51">
        <w:rPr>
          <w:rFonts w:asciiTheme="minorHAnsi" w:hAnsiTheme="minorHAnsi"/>
          <w:sz w:val="22"/>
          <w:szCs w:val="22"/>
        </w:rPr>
        <w:t xml:space="preserve">The </w:t>
      </w:r>
      <w:r>
        <w:rPr>
          <w:rFonts w:asciiTheme="minorHAnsi" w:hAnsiTheme="minorHAnsi"/>
          <w:sz w:val="22"/>
          <w:szCs w:val="22"/>
        </w:rPr>
        <w:t>f</w:t>
      </w:r>
      <w:r w:rsidRPr="003B2E51">
        <w:rPr>
          <w:rFonts w:asciiTheme="minorHAnsi" w:hAnsiTheme="minorHAnsi"/>
          <w:sz w:val="22"/>
          <w:szCs w:val="22"/>
        </w:rPr>
        <w:t xml:space="preserve">ederal </w:t>
      </w:r>
      <w:r>
        <w:rPr>
          <w:rFonts w:asciiTheme="minorHAnsi" w:hAnsiTheme="minorHAnsi"/>
          <w:sz w:val="22"/>
          <w:szCs w:val="22"/>
        </w:rPr>
        <w:t>g</w:t>
      </w:r>
      <w:r w:rsidRPr="003B2E51">
        <w:rPr>
          <w:rFonts w:asciiTheme="minorHAnsi" w:hAnsiTheme="minorHAnsi"/>
          <w:sz w:val="22"/>
          <w:szCs w:val="22"/>
        </w:rPr>
        <w:t xml:space="preserve">overnment cost estimate is based on a model that considers the following three cost factors for each information </w:t>
      </w:r>
      <w:r>
        <w:rPr>
          <w:rFonts w:asciiTheme="minorHAnsi" w:hAnsiTheme="minorHAnsi"/>
          <w:sz w:val="22"/>
          <w:szCs w:val="22"/>
        </w:rPr>
        <w:t>product</w:t>
      </w:r>
      <w:r w:rsidRPr="003B2E51">
        <w:rPr>
          <w:rFonts w:asciiTheme="minorHAnsi" w:hAnsiTheme="minorHAnsi"/>
          <w:sz w:val="22"/>
          <w:szCs w:val="22"/>
        </w:rPr>
        <w:t>: aggregate labor costs for development</w:t>
      </w:r>
      <w:r>
        <w:rPr>
          <w:rFonts w:asciiTheme="minorHAnsi" w:hAnsiTheme="minorHAnsi"/>
          <w:sz w:val="22"/>
          <w:szCs w:val="22"/>
        </w:rPr>
        <w:t>, including annualized startup expenses</w:t>
      </w:r>
      <w:r w:rsidRPr="003B2E51">
        <w:rPr>
          <w:rFonts w:asciiTheme="minorHAnsi" w:hAnsiTheme="minorHAnsi"/>
          <w:sz w:val="22"/>
          <w:szCs w:val="22"/>
        </w:rPr>
        <w:t xml:space="preserve">, operating and maintenance expenses, and distribution of the </w:t>
      </w:r>
      <w:r>
        <w:rPr>
          <w:rFonts w:asciiTheme="minorHAnsi" w:hAnsiTheme="minorHAnsi"/>
          <w:sz w:val="22"/>
          <w:szCs w:val="22"/>
        </w:rPr>
        <w:t>product that collects the information</w:t>
      </w:r>
      <w:r w:rsidRPr="003B2E51">
        <w:rPr>
          <w:rFonts w:asciiTheme="minorHAnsi" w:hAnsiTheme="minorHAnsi"/>
          <w:sz w:val="22"/>
          <w:szCs w:val="22"/>
        </w:rPr>
        <w:t xml:space="preserve">. </w:t>
      </w:r>
      <w:r w:rsidRPr="002241D6">
        <w:rPr>
          <w:rFonts w:asciiTheme="minorHAnsi" w:hAnsiTheme="minorHAnsi"/>
          <w:sz w:val="22"/>
          <w:szCs w:val="22"/>
        </w:rPr>
        <w:t>These costs do not include any activities such as taxpayer assistance and enforcement.</w:t>
      </w:r>
    </w:p>
    <w:p w:rsidR="00961C53" w:rsidP="00961C53" w14:paraId="340AC086" w14:textId="77777777">
      <w:pPr>
        <w:ind w:left="720"/>
        <w:rPr>
          <w:rFonts w:asciiTheme="minorHAnsi" w:hAnsiTheme="minorHAnsi"/>
          <w:sz w:val="22"/>
          <w:szCs w:val="22"/>
        </w:rPr>
      </w:pPr>
    </w:p>
    <w:p w:rsidR="00961C53" w:rsidP="00961C53" w14:paraId="1B88A934" w14:textId="77777777">
      <w:pPr>
        <w:ind w:left="720"/>
        <w:rPr>
          <w:rFonts w:asciiTheme="minorHAnsi" w:hAnsiTheme="minorHAnsi"/>
          <w:sz w:val="22"/>
          <w:szCs w:val="22"/>
        </w:rPr>
      </w:pPr>
      <w:r w:rsidRPr="002241D6">
        <w:rPr>
          <w:rFonts w:asciiTheme="minorHAnsi" w:hAnsiTheme="minorHAnsi"/>
          <w:sz w:val="22"/>
          <w:szCs w:val="22"/>
        </w:rPr>
        <w:t>The government computes cost using a multi-step process. First, the government creates a weighted factor for the level of effort to create each information collection product based on variables, such as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libraries, and other outlets.</w:t>
      </w:r>
      <w:bookmarkEnd w:id="12"/>
      <w:r w:rsidRPr="002241D6">
        <w:rPr>
          <w:rFonts w:asciiTheme="minorHAnsi" w:hAnsiTheme="minorHAnsi"/>
          <w:sz w:val="22"/>
          <w:szCs w:val="22"/>
        </w:rPr>
        <w:t xml:space="preserve"> The result is the government cost estimate per product.</w:t>
      </w:r>
    </w:p>
    <w:p w:rsidR="00961C53" w:rsidP="00961C53" w14:paraId="64CFDF2B" w14:textId="77777777">
      <w:pPr>
        <w:ind w:left="720"/>
        <w:rPr>
          <w:rFonts w:asciiTheme="minorHAnsi" w:hAnsiTheme="minorHAnsi"/>
          <w:sz w:val="22"/>
          <w:szCs w:val="22"/>
        </w:rPr>
      </w:pPr>
    </w:p>
    <w:p w:rsidR="00F14806" w:rsidP="00961C53" w14:paraId="4649B16A" w14:textId="681222A4">
      <w:pPr>
        <w:ind w:left="720"/>
        <w:rPr>
          <w:rFonts w:asciiTheme="minorHAnsi" w:hAnsiTheme="minorHAnsi"/>
          <w:sz w:val="22"/>
          <w:szCs w:val="22"/>
        </w:rPr>
      </w:pPr>
      <w:r>
        <w:rPr>
          <w:rFonts w:asciiTheme="minorHAnsi" w:hAnsiTheme="minorHAnsi"/>
          <w:sz w:val="22"/>
          <w:szCs w:val="22"/>
        </w:rPr>
        <w:t>The government cost estimate for this collection is summarized in the table below.</w:t>
      </w:r>
      <w:bookmarkEnd w:id="13"/>
    </w:p>
    <w:p w:rsidR="00961C53" w:rsidP="00961C53" w14:paraId="1AC7DE1F" w14:textId="00A11E5D">
      <w:pPr>
        <w:ind w:left="720"/>
        <w:rPr>
          <w:rFonts w:asciiTheme="minorHAnsi" w:hAnsiTheme="minorHAnsi"/>
          <w:sz w:val="22"/>
          <w:szCs w:val="22"/>
        </w:rPr>
      </w:pPr>
    </w:p>
    <w:tbl>
      <w:tblPr>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85"/>
        <w:gridCol w:w="1969"/>
        <w:gridCol w:w="312"/>
        <w:gridCol w:w="1593"/>
        <w:gridCol w:w="386"/>
        <w:gridCol w:w="1699"/>
      </w:tblGrid>
      <w:tr w14:paraId="0B303CA9" w14:textId="77777777" w:rsidTr="00961C53">
        <w:tblPrEx>
          <w:tblW w:w="8644"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685" w:type="dxa"/>
            <w:shd w:val="clear" w:color="auto" w:fill="auto"/>
            <w:vAlign w:val="bottom"/>
          </w:tcPr>
          <w:p w:rsidR="00961C53" w:rsidRPr="004E1F21" w:rsidP="00E82A7E" w14:paraId="3863A621"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Product</w:t>
            </w:r>
          </w:p>
        </w:tc>
        <w:tc>
          <w:tcPr>
            <w:tcW w:w="1969" w:type="dxa"/>
            <w:shd w:val="clear" w:color="auto" w:fill="auto"/>
            <w:vAlign w:val="bottom"/>
          </w:tcPr>
          <w:p w:rsidR="00961C53" w:rsidRPr="004E1F21" w:rsidP="00E82A7E" w14:paraId="61E91E52"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Aggregate Cost per Product (factor applied)</w:t>
            </w:r>
          </w:p>
        </w:tc>
        <w:tc>
          <w:tcPr>
            <w:tcW w:w="312" w:type="dxa"/>
            <w:shd w:val="clear" w:color="auto" w:fill="auto"/>
          </w:tcPr>
          <w:p w:rsidR="00961C53" w:rsidRPr="004E1F21" w:rsidP="00E82A7E" w14:paraId="473D23EE" w14:textId="77777777">
            <w:pPr>
              <w:keepNext/>
              <w:keepLines/>
              <w:jc w:val="center"/>
              <w:rPr>
                <w:rFonts w:ascii="Arial Narrow" w:hAnsi="Arial Narrow"/>
                <w:b/>
                <w:sz w:val="20"/>
                <w:szCs w:val="20"/>
                <w:u w:val="single"/>
              </w:rPr>
            </w:pPr>
          </w:p>
        </w:tc>
        <w:tc>
          <w:tcPr>
            <w:tcW w:w="1593" w:type="dxa"/>
            <w:shd w:val="clear" w:color="auto" w:fill="auto"/>
            <w:vAlign w:val="bottom"/>
          </w:tcPr>
          <w:p w:rsidR="00961C53" w:rsidRPr="004E1F21" w:rsidP="00E82A7E" w14:paraId="0F9829C5"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Printing and Distribution</w:t>
            </w:r>
          </w:p>
        </w:tc>
        <w:tc>
          <w:tcPr>
            <w:tcW w:w="386" w:type="dxa"/>
            <w:shd w:val="clear" w:color="auto" w:fill="auto"/>
          </w:tcPr>
          <w:p w:rsidR="00961C53" w:rsidRPr="004E1F21" w:rsidP="00E82A7E" w14:paraId="5B8728E8" w14:textId="77777777">
            <w:pPr>
              <w:keepNext/>
              <w:keepLines/>
              <w:jc w:val="center"/>
              <w:rPr>
                <w:rFonts w:ascii="Arial Narrow" w:hAnsi="Arial Narrow"/>
                <w:b/>
                <w:sz w:val="20"/>
                <w:szCs w:val="20"/>
                <w:u w:val="single"/>
              </w:rPr>
            </w:pPr>
          </w:p>
        </w:tc>
        <w:tc>
          <w:tcPr>
            <w:tcW w:w="1699" w:type="dxa"/>
            <w:shd w:val="clear" w:color="auto" w:fill="auto"/>
            <w:vAlign w:val="bottom"/>
          </w:tcPr>
          <w:p w:rsidR="00961C53" w:rsidRPr="004E1F21" w:rsidP="00E82A7E" w14:paraId="6B392AEA" w14:textId="77777777">
            <w:pPr>
              <w:keepNext/>
              <w:keepLines/>
              <w:jc w:val="center"/>
              <w:rPr>
                <w:rFonts w:ascii="Arial Narrow" w:hAnsi="Arial Narrow"/>
                <w:b/>
                <w:sz w:val="20"/>
                <w:szCs w:val="20"/>
                <w:u w:val="single"/>
              </w:rPr>
            </w:pPr>
            <w:r w:rsidRPr="004E1F21">
              <w:rPr>
                <w:rFonts w:ascii="Arial Narrow" w:hAnsi="Arial Narrow"/>
                <w:b/>
                <w:sz w:val="20"/>
                <w:szCs w:val="20"/>
                <w:u w:val="single"/>
              </w:rPr>
              <w:t>Government Cost Estimate per Product</w:t>
            </w:r>
          </w:p>
        </w:tc>
      </w:tr>
      <w:tr w14:paraId="244FE4C2" w14:textId="77777777" w:rsidTr="00961C53">
        <w:tblPrEx>
          <w:tblW w:w="8644" w:type="dxa"/>
          <w:tblInd w:w="715" w:type="dxa"/>
          <w:tblLook w:val="04A0"/>
        </w:tblPrEx>
        <w:tc>
          <w:tcPr>
            <w:tcW w:w="2685" w:type="dxa"/>
            <w:shd w:val="clear" w:color="auto" w:fill="auto"/>
            <w:vAlign w:val="bottom"/>
          </w:tcPr>
          <w:p w:rsidR="00961C53" w:rsidRPr="004E1F21" w:rsidP="00E82A7E" w14:paraId="5493D75D" w14:textId="46AA7B6F">
            <w:pPr>
              <w:keepNext/>
              <w:keepLines/>
              <w:numPr>
                <w:ilvl w:val="12"/>
                <w:numId w:val="0"/>
              </w:numPr>
              <w:rPr>
                <w:rFonts w:ascii="Arial Narrow" w:hAnsi="Arial Narrow"/>
                <w:sz w:val="20"/>
                <w:szCs w:val="20"/>
              </w:rPr>
            </w:pPr>
            <w:r w:rsidRPr="004E1F21">
              <w:rPr>
                <w:rFonts w:ascii="Arial Narrow" w:hAnsi="Arial Narrow"/>
                <w:sz w:val="20"/>
                <w:szCs w:val="20"/>
              </w:rPr>
              <w:t xml:space="preserve">Form </w:t>
            </w:r>
            <w:r>
              <w:rPr>
                <w:rFonts w:ascii="Arial Narrow" w:hAnsi="Arial Narrow"/>
                <w:sz w:val="20"/>
                <w:szCs w:val="20"/>
              </w:rPr>
              <w:t>1041-QFT</w:t>
            </w:r>
          </w:p>
        </w:tc>
        <w:tc>
          <w:tcPr>
            <w:tcW w:w="1969" w:type="dxa"/>
            <w:shd w:val="clear" w:color="auto" w:fill="auto"/>
          </w:tcPr>
          <w:p w:rsidR="00961C53" w:rsidRPr="004E1F21" w:rsidP="00E82A7E" w14:paraId="46B9FEED" w14:textId="5A9B9452">
            <w:pPr>
              <w:keepNext/>
              <w:keepLines/>
              <w:jc w:val="center"/>
              <w:rPr>
                <w:rFonts w:ascii="Arial Narrow" w:hAnsi="Arial Narrow"/>
                <w:sz w:val="20"/>
                <w:szCs w:val="20"/>
              </w:rPr>
            </w:pPr>
            <w:r>
              <w:rPr>
                <w:rFonts w:ascii="Arial Narrow" w:hAnsi="Arial Narrow"/>
                <w:sz w:val="20"/>
                <w:szCs w:val="20"/>
              </w:rPr>
              <w:t>$87,748</w:t>
            </w:r>
          </w:p>
        </w:tc>
        <w:tc>
          <w:tcPr>
            <w:tcW w:w="312" w:type="dxa"/>
            <w:shd w:val="clear" w:color="auto" w:fill="auto"/>
          </w:tcPr>
          <w:p w:rsidR="00961C53" w:rsidRPr="004E1F21" w:rsidP="00E82A7E" w14:paraId="68759267" w14:textId="77777777">
            <w:pPr>
              <w:keepNext/>
              <w:keepLines/>
              <w:jc w:val="center"/>
              <w:rPr>
                <w:rFonts w:ascii="Arial Narrow" w:hAnsi="Arial Narrow"/>
                <w:sz w:val="20"/>
                <w:szCs w:val="20"/>
              </w:rPr>
            </w:pPr>
            <w:r>
              <w:rPr>
                <w:rFonts w:ascii="Arial Narrow" w:hAnsi="Arial Narrow"/>
                <w:sz w:val="20"/>
                <w:szCs w:val="20"/>
              </w:rPr>
              <w:t>+</w:t>
            </w:r>
          </w:p>
        </w:tc>
        <w:tc>
          <w:tcPr>
            <w:tcW w:w="1593" w:type="dxa"/>
            <w:shd w:val="clear" w:color="auto" w:fill="auto"/>
          </w:tcPr>
          <w:p w:rsidR="00961C53" w:rsidRPr="004E1F21" w:rsidP="00E82A7E" w14:paraId="017E5E20" w14:textId="1D875EC5">
            <w:pPr>
              <w:keepNext/>
              <w:keepLines/>
              <w:jc w:val="center"/>
              <w:rPr>
                <w:rFonts w:ascii="Arial Narrow" w:hAnsi="Arial Narrow"/>
                <w:sz w:val="20"/>
                <w:szCs w:val="20"/>
              </w:rPr>
            </w:pPr>
            <w:r>
              <w:rPr>
                <w:rFonts w:ascii="Arial Narrow" w:hAnsi="Arial Narrow"/>
                <w:sz w:val="20"/>
                <w:szCs w:val="20"/>
              </w:rPr>
              <w:t>$0</w:t>
            </w:r>
          </w:p>
        </w:tc>
        <w:tc>
          <w:tcPr>
            <w:tcW w:w="386" w:type="dxa"/>
            <w:shd w:val="clear" w:color="auto" w:fill="auto"/>
          </w:tcPr>
          <w:p w:rsidR="00961C53" w:rsidRPr="004E1F21" w:rsidP="00E82A7E" w14:paraId="67EDA9E5" w14:textId="77777777">
            <w:pPr>
              <w:keepNext/>
              <w:keepLines/>
              <w:jc w:val="center"/>
              <w:rPr>
                <w:rFonts w:ascii="Arial Narrow" w:hAnsi="Arial Narrow"/>
                <w:sz w:val="20"/>
                <w:szCs w:val="20"/>
              </w:rPr>
            </w:pPr>
            <w:r>
              <w:rPr>
                <w:rFonts w:ascii="Arial Narrow" w:hAnsi="Arial Narrow"/>
                <w:sz w:val="20"/>
                <w:szCs w:val="20"/>
              </w:rPr>
              <w:t>=</w:t>
            </w:r>
          </w:p>
        </w:tc>
        <w:tc>
          <w:tcPr>
            <w:tcW w:w="1699" w:type="dxa"/>
            <w:shd w:val="clear" w:color="auto" w:fill="auto"/>
          </w:tcPr>
          <w:p w:rsidR="00961C53" w:rsidRPr="004E1F21" w:rsidP="00E82A7E" w14:paraId="239B9FD8" w14:textId="5FCC939E">
            <w:pPr>
              <w:keepNext/>
              <w:keepLines/>
              <w:jc w:val="center"/>
              <w:rPr>
                <w:rFonts w:ascii="Arial Narrow" w:hAnsi="Arial Narrow"/>
                <w:sz w:val="20"/>
                <w:szCs w:val="20"/>
              </w:rPr>
            </w:pPr>
            <w:r w:rsidRPr="00961C53">
              <w:rPr>
                <w:rFonts w:ascii="Arial Narrow" w:hAnsi="Arial Narrow"/>
                <w:sz w:val="20"/>
                <w:szCs w:val="20"/>
              </w:rPr>
              <w:t>$87,748</w:t>
            </w:r>
          </w:p>
        </w:tc>
      </w:tr>
      <w:tr w14:paraId="73E9DE48" w14:textId="77777777" w:rsidTr="00961C53">
        <w:tblPrEx>
          <w:tblW w:w="8644" w:type="dxa"/>
          <w:tblInd w:w="715" w:type="dxa"/>
          <w:tblLook w:val="04A0"/>
        </w:tblPrEx>
        <w:tc>
          <w:tcPr>
            <w:tcW w:w="2685" w:type="dxa"/>
            <w:shd w:val="clear" w:color="auto" w:fill="auto"/>
          </w:tcPr>
          <w:p w:rsidR="00961C53" w:rsidRPr="004E1F21" w:rsidP="00E82A7E" w14:paraId="113DA81D" w14:textId="77777777">
            <w:pPr>
              <w:keepNext/>
              <w:keepLines/>
              <w:rPr>
                <w:rFonts w:ascii="Arial Narrow" w:hAnsi="Arial Narrow"/>
                <w:b/>
                <w:sz w:val="20"/>
                <w:szCs w:val="20"/>
              </w:rPr>
            </w:pPr>
            <w:r w:rsidRPr="004E1F21">
              <w:rPr>
                <w:rFonts w:ascii="Arial Narrow" w:hAnsi="Arial Narrow"/>
                <w:b/>
                <w:sz w:val="20"/>
                <w:szCs w:val="20"/>
              </w:rPr>
              <w:t>Grand Total</w:t>
            </w:r>
          </w:p>
        </w:tc>
        <w:tc>
          <w:tcPr>
            <w:tcW w:w="1969" w:type="dxa"/>
            <w:shd w:val="clear" w:color="auto" w:fill="auto"/>
          </w:tcPr>
          <w:p w:rsidR="00961C53" w:rsidRPr="004E1F21" w:rsidP="00E82A7E" w14:paraId="05671537" w14:textId="07C8D4CE">
            <w:pPr>
              <w:keepNext/>
              <w:keepLines/>
              <w:jc w:val="center"/>
              <w:rPr>
                <w:rFonts w:ascii="Arial Narrow" w:hAnsi="Arial Narrow"/>
                <w:b/>
                <w:sz w:val="20"/>
                <w:szCs w:val="20"/>
              </w:rPr>
            </w:pPr>
            <w:r w:rsidRPr="00961C53">
              <w:rPr>
                <w:rFonts w:ascii="Arial Narrow" w:hAnsi="Arial Narrow"/>
                <w:b/>
                <w:sz w:val="20"/>
                <w:szCs w:val="20"/>
              </w:rPr>
              <w:t>$87,748</w:t>
            </w:r>
          </w:p>
        </w:tc>
        <w:tc>
          <w:tcPr>
            <w:tcW w:w="312" w:type="dxa"/>
            <w:shd w:val="clear" w:color="auto" w:fill="auto"/>
          </w:tcPr>
          <w:p w:rsidR="00961C53" w:rsidRPr="004E1F21" w:rsidP="00E82A7E" w14:paraId="5EA586B1" w14:textId="77777777">
            <w:pPr>
              <w:keepNext/>
              <w:keepLines/>
              <w:jc w:val="center"/>
              <w:rPr>
                <w:rFonts w:ascii="Arial Narrow" w:hAnsi="Arial Narrow"/>
                <w:b/>
                <w:sz w:val="20"/>
                <w:szCs w:val="20"/>
              </w:rPr>
            </w:pPr>
            <w:r>
              <w:rPr>
                <w:rFonts w:ascii="Arial Narrow" w:hAnsi="Arial Narrow"/>
                <w:b/>
                <w:sz w:val="20"/>
                <w:szCs w:val="20"/>
              </w:rPr>
              <w:t>+</w:t>
            </w:r>
          </w:p>
        </w:tc>
        <w:tc>
          <w:tcPr>
            <w:tcW w:w="1593" w:type="dxa"/>
            <w:shd w:val="clear" w:color="auto" w:fill="auto"/>
          </w:tcPr>
          <w:p w:rsidR="00961C53" w:rsidRPr="004E1F21" w:rsidP="00E82A7E" w14:paraId="0F2D187C" w14:textId="7D080109">
            <w:pPr>
              <w:keepNext/>
              <w:keepLines/>
              <w:jc w:val="center"/>
              <w:rPr>
                <w:rFonts w:ascii="Arial Narrow" w:hAnsi="Arial Narrow"/>
                <w:b/>
                <w:sz w:val="20"/>
                <w:szCs w:val="20"/>
              </w:rPr>
            </w:pPr>
            <w:r>
              <w:rPr>
                <w:rFonts w:ascii="Arial Narrow" w:hAnsi="Arial Narrow"/>
                <w:b/>
                <w:sz w:val="20"/>
                <w:szCs w:val="20"/>
              </w:rPr>
              <w:t>$0</w:t>
            </w:r>
          </w:p>
        </w:tc>
        <w:tc>
          <w:tcPr>
            <w:tcW w:w="386" w:type="dxa"/>
            <w:shd w:val="clear" w:color="auto" w:fill="auto"/>
          </w:tcPr>
          <w:p w:rsidR="00961C53" w:rsidRPr="004E1F21" w:rsidP="00E82A7E" w14:paraId="5010FAE7" w14:textId="77777777">
            <w:pPr>
              <w:keepNext/>
              <w:keepLines/>
              <w:jc w:val="center"/>
              <w:rPr>
                <w:rFonts w:ascii="Arial Narrow" w:hAnsi="Arial Narrow"/>
                <w:b/>
                <w:sz w:val="20"/>
                <w:szCs w:val="20"/>
              </w:rPr>
            </w:pPr>
            <w:r>
              <w:rPr>
                <w:rFonts w:ascii="Arial Narrow" w:hAnsi="Arial Narrow"/>
                <w:b/>
                <w:sz w:val="20"/>
                <w:szCs w:val="20"/>
              </w:rPr>
              <w:t>=</w:t>
            </w:r>
          </w:p>
        </w:tc>
        <w:tc>
          <w:tcPr>
            <w:tcW w:w="1699" w:type="dxa"/>
            <w:shd w:val="clear" w:color="auto" w:fill="auto"/>
          </w:tcPr>
          <w:p w:rsidR="00961C53" w:rsidRPr="004E1F21" w:rsidP="00E82A7E" w14:paraId="3676500D" w14:textId="55B24D43">
            <w:pPr>
              <w:keepNext/>
              <w:keepLines/>
              <w:jc w:val="center"/>
              <w:rPr>
                <w:rFonts w:ascii="Arial Narrow" w:hAnsi="Arial Narrow"/>
                <w:b/>
                <w:sz w:val="20"/>
                <w:szCs w:val="20"/>
              </w:rPr>
            </w:pPr>
            <w:r w:rsidRPr="00961C53">
              <w:rPr>
                <w:rFonts w:ascii="Arial Narrow" w:hAnsi="Arial Narrow"/>
                <w:b/>
                <w:sz w:val="20"/>
                <w:szCs w:val="20"/>
              </w:rPr>
              <w:t>$87,748</w:t>
            </w:r>
          </w:p>
        </w:tc>
      </w:tr>
      <w:tr w14:paraId="480C8D7F" w14:textId="77777777" w:rsidTr="00961C53">
        <w:tblPrEx>
          <w:tblW w:w="8644" w:type="dxa"/>
          <w:tblInd w:w="715" w:type="dxa"/>
          <w:tblLook w:val="04A0"/>
        </w:tblPrEx>
        <w:tc>
          <w:tcPr>
            <w:tcW w:w="8644" w:type="dxa"/>
            <w:gridSpan w:val="6"/>
            <w:shd w:val="clear" w:color="auto" w:fill="auto"/>
          </w:tcPr>
          <w:p w:rsidR="00961C53" w:rsidRPr="004E1F21" w:rsidP="00E82A7E" w14:paraId="6E016F02" w14:textId="70A47567">
            <w:pPr>
              <w:keepNext/>
              <w:keepLines/>
              <w:rPr>
                <w:rFonts w:ascii="Arial Narrow" w:hAnsi="Arial Narrow"/>
                <w:sz w:val="20"/>
                <w:szCs w:val="20"/>
              </w:rPr>
            </w:pPr>
            <w:r w:rsidRPr="004E1F21">
              <w:rPr>
                <w:rFonts w:ascii="Arial Narrow" w:hAnsi="Arial Narrow"/>
                <w:sz w:val="20"/>
                <w:szCs w:val="20"/>
              </w:rPr>
              <w:t>Table costs are based on 202</w:t>
            </w:r>
            <w:r>
              <w:rPr>
                <w:rFonts w:ascii="Arial Narrow" w:hAnsi="Arial Narrow"/>
                <w:sz w:val="20"/>
                <w:szCs w:val="20"/>
              </w:rPr>
              <w:t>3</w:t>
            </w:r>
            <w:r w:rsidRPr="004E1F21">
              <w:rPr>
                <w:rFonts w:ascii="Arial Narrow" w:hAnsi="Arial Narrow"/>
                <w:sz w:val="20"/>
                <w:szCs w:val="20"/>
              </w:rPr>
              <w:t xml:space="preserve"> actuals obtained from IRS Chief Financial Office</w:t>
            </w:r>
            <w:r>
              <w:rPr>
                <w:rFonts w:ascii="Arial Narrow" w:hAnsi="Arial Narrow"/>
                <w:sz w:val="20"/>
                <w:szCs w:val="20"/>
              </w:rPr>
              <w:t>r</w:t>
            </w:r>
            <w:r w:rsidRPr="004E1F21">
              <w:rPr>
                <w:rFonts w:ascii="Arial Narrow" w:hAnsi="Arial Narrow"/>
                <w:sz w:val="20"/>
                <w:szCs w:val="20"/>
              </w:rPr>
              <w:t xml:space="preserve"> and Media and Publications</w:t>
            </w:r>
          </w:p>
        </w:tc>
      </w:tr>
      <w:tr w14:paraId="3ABBF382" w14:textId="77777777" w:rsidTr="00961C53">
        <w:tblPrEx>
          <w:tblW w:w="8644" w:type="dxa"/>
          <w:tblInd w:w="715" w:type="dxa"/>
          <w:tblLook w:val="04A0"/>
        </w:tblPrEx>
        <w:tc>
          <w:tcPr>
            <w:tcW w:w="8644" w:type="dxa"/>
            <w:gridSpan w:val="6"/>
            <w:shd w:val="clear" w:color="auto" w:fill="auto"/>
          </w:tcPr>
          <w:p w:rsidR="00961C53" w:rsidRPr="004E1F21" w:rsidP="00E82A7E" w14:paraId="249D1F06" w14:textId="77777777">
            <w:pPr>
              <w:keepNext/>
              <w:keepLines/>
              <w:rPr>
                <w:rFonts w:ascii="Arial Narrow" w:hAnsi="Arial Narrow"/>
                <w:sz w:val="20"/>
                <w:szCs w:val="20"/>
              </w:rPr>
            </w:pPr>
            <w:r w:rsidRPr="004E1F21">
              <w:rPr>
                <w:rFonts w:ascii="Arial Narrow" w:hAnsi="Arial Narrow"/>
                <w:sz w:val="20"/>
                <w:szCs w:val="20"/>
              </w:rPr>
              <w:t xml:space="preserve">* New product costs will be included in the next collection update. </w:t>
            </w:r>
          </w:p>
        </w:tc>
      </w:tr>
      <w:bookmarkEnd w:id="11"/>
    </w:tbl>
    <w:p w:rsidR="00F14806" w:rsidRPr="00705036" w:rsidP="00F14806" w14:paraId="6C264D4C" w14:textId="18D88E6B">
      <w:pPr>
        <w:ind w:left="720"/>
        <w:rPr>
          <w:rFonts w:asciiTheme="minorHAnsi" w:hAnsiTheme="minorHAnsi" w:cstheme="minorHAnsi"/>
          <w:sz w:val="22"/>
          <w:szCs w:val="22"/>
        </w:rPr>
      </w:pPr>
    </w:p>
    <w:p w:rsidR="00F14806" w:rsidRPr="00705036" w:rsidP="00F14806" w14:paraId="20BA1153"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REASONS FOR CHANGE IN BURDEN</w:t>
      </w:r>
    </w:p>
    <w:p w:rsidR="00F14806" w:rsidRPr="00705036" w:rsidP="00F14806" w14:paraId="46DC54F8" w14:textId="579A566F">
      <w:pPr>
        <w:ind w:left="720"/>
        <w:rPr>
          <w:rFonts w:asciiTheme="minorHAnsi" w:hAnsiTheme="minorHAnsi" w:cstheme="minorHAnsi"/>
          <w:sz w:val="22"/>
          <w:szCs w:val="22"/>
        </w:rPr>
      </w:pPr>
    </w:p>
    <w:p w:rsidR="00F14806" w:rsidP="00F14806" w14:paraId="56F2CA46" w14:textId="50CC78C4">
      <w:pPr>
        <w:ind w:left="720"/>
        <w:rPr>
          <w:rFonts w:asciiTheme="minorHAnsi" w:hAnsiTheme="minorHAnsi" w:cstheme="minorHAnsi"/>
          <w:sz w:val="22"/>
          <w:szCs w:val="22"/>
        </w:rPr>
      </w:pPr>
      <w:r>
        <w:rPr>
          <w:rFonts w:asciiTheme="minorHAnsi" w:hAnsiTheme="minorHAnsi" w:cstheme="minorHAnsi"/>
          <w:sz w:val="22"/>
          <w:szCs w:val="22"/>
        </w:rPr>
        <w:t xml:space="preserve">To comply with </w:t>
      </w:r>
      <w:r w:rsidRPr="00961C53">
        <w:rPr>
          <w:rFonts w:asciiTheme="minorHAnsi" w:hAnsiTheme="minorHAnsi" w:cstheme="minorHAnsi"/>
          <w:sz w:val="22"/>
          <w:szCs w:val="22"/>
        </w:rPr>
        <w:t xml:space="preserve">13801 of </w:t>
      </w:r>
      <w:r>
        <w:rPr>
          <w:rFonts w:asciiTheme="minorHAnsi" w:hAnsiTheme="minorHAnsi" w:cstheme="minorHAnsi"/>
          <w:sz w:val="22"/>
          <w:szCs w:val="22"/>
        </w:rPr>
        <w:t>the Inflation Reduction Act</w:t>
      </w:r>
      <w:r w:rsidRPr="00961C53">
        <w:rPr>
          <w:rFonts w:asciiTheme="minorHAnsi" w:hAnsiTheme="minorHAnsi" w:cstheme="minorHAnsi"/>
          <w:sz w:val="22"/>
          <w:szCs w:val="22"/>
        </w:rPr>
        <w:t xml:space="preserve"> (P.L. 117-169)</w:t>
      </w:r>
      <w:r>
        <w:rPr>
          <w:rFonts w:asciiTheme="minorHAnsi" w:hAnsiTheme="minorHAnsi" w:cstheme="minorHAnsi"/>
          <w:sz w:val="22"/>
          <w:szCs w:val="22"/>
        </w:rPr>
        <w:t xml:space="preserve">, line 18 was added to the form </w:t>
      </w:r>
      <w:r w:rsidRPr="00961C53">
        <w:rPr>
          <w:rFonts w:asciiTheme="minorHAnsi" w:hAnsiTheme="minorHAnsi" w:cstheme="minorHAnsi"/>
          <w:sz w:val="22"/>
          <w:szCs w:val="22"/>
        </w:rPr>
        <w:t>to include the elective payment election amount reported on Form 3800.</w:t>
      </w:r>
      <w:r>
        <w:rPr>
          <w:rFonts w:asciiTheme="minorHAnsi" w:hAnsiTheme="minorHAnsi" w:cstheme="minorHAnsi"/>
          <w:sz w:val="22"/>
          <w:szCs w:val="22"/>
        </w:rPr>
        <w:t xml:space="preserve"> This increases the </w:t>
      </w:r>
      <w:r w:rsidR="00385ADB">
        <w:rPr>
          <w:rFonts w:asciiTheme="minorHAnsi" w:hAnsiTheme="minorHAnsi" w:cstheme="minorHAnsi"/>
          <w:sz w:val="22"/>
          <w:szCs w:val="22"/>
        </w:rPr>
        <w:t>burden by 32,850 hours due to New Statute.</w:t>
      </w:r>
    </w:p>
    <w:p w:rsidR="00961C53" w:rsidP="00F14806" w14:paraId="1FA9CFF8" w14:textId="509C2912">
      <w:pPr>
        <w:ind w:left="720"/>
        <w:rPr>
          <w:rFonts w:asciiTheme="minorHAnsi" w:hAnsiTheme="minorHAnsi" w:cstheme="minorHAnsi"/>
          <w:sz w:val="22"/>
          <w:szCs w:val="22"/>
        </w:rPr>
      </w:pPr>
    </w:p>
    <w:tbl>
      <w:tblPr>
        <w:tblDescription w:val="table that charts list of burden"/>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
      <w:tblGrid>
        <w:gridCol w:w="1170"/>
        <w:gridCol w:w="1170"/>
        <w:gridCol w:w="1170"/>
        <w:gridCol w:w="1350"/>
        <w:gridCol w:w="1350"/>
        <w:gridCol w:w="1350"/>
        <w:gridCol w:w="1020"/>
      </w:tblGrid>
      <w:tr w14:paraId="35F65CEE" w14:textId="77777777" w:rsidTr="00E82A7E">
        <w:tblPrEx>
          <w:tblW w:w="4591" w:type="pct"/>
          <w:tblInd w:w="712" w:type="dxa"/>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49F140A8" w14:textId="77777777">
            <w:pPr>
              <w:keepNext/>
              <w:keepLines/>
              <w:autoSpaceDE/>
              <w:autoSpaceDN/>
              <w:adjustRightInd/>
              <w:jc w:val="center"/>
              <w:rPr>
                <w:rFonts w:ascii="Arial Narrow" w:hAnsi="Arial Narrow" w:cs="Arial"/>
                <w:b/>
                <w:bCs/>
                <w:color w:val="000000"/>
                <w:sz w:val="20"/>
                <w:szCs w:val="20"/>
              </w:rPr>
            </w:pPr>
          </w:p>
        </w:tc>
        <w:tc>
          <w:tcPr>
            <w:tcW w:w="117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474A39D5"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Total Requested</w:t>
            </w:r>
          </w:p>
        </w:tc>
        <w:tc>
          <w:tcPr>
            <w:tcW w:w="117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05998131"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New Statute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6CFDDBFC"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Agency Discretion</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61ED52AC"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Adjustment in Estimate</w:t>
            </w:r>
          </w:p>
        </w:tc>
        <w:tc>
          <w:tcPr>
            <w:tcW w:w="1350" w:type="dxa"/>
            <w:tcBorders>
              <w:top w:val="outset" w:sz="6" w:space="0" w:color="auto"/>
              <w:left w:val="outset" w:sz="6" w:space="0" w:color="auto"/>
              <w:bottom w:val="outset" w:sz="6" w:space="0" w:color="auto"/>
              <w:right w:val="outset" w:sz="6" w:space="0" w:color="auto"/>
            </w:tcBorders>
            <w:vAlign w:val="center"/>
            <w:hideMark/>
          </w:tcPr>
          <w:p w:rsidR="00961C53" w:rsidRPr="00524E32" w:rsidP="00E82A7E" w14:paraId="688981B3"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Change Due to Potential Violation of the PRA</w:t>
            </w:r>
          </w:p>
        </w:tc>
        <w:tc>
          <w:tcPr>
            <w:tcW w:w="1020" w:type="dxa"/>
            <w:tcBorders>
              <w:top w:val="outset" w:sz="6" w:space="0" w:color="auto"/>
              <w:left w:val="outset" w:sz="6" w:space="0" w:color="auto"/>
              <w:bottom w:val="outset" w:sz="6" w:space="0" w:color="auto"/>
              <w:right w:val="outset" w:sz="6" w:space="0" w:color="auto"/>
            </w:tcBorders>
            <w:vAlign w:val="center"/>
          </w:tcPr>
          <w:p w:rsidR="00961C53" w:rsidRPr="00524E32" w:rsidP="00E82A7E" w14:paraId="7E419B79" w14:textId="77777777">
            <w:pPr>
              <w:keepNext/>
              <w:keepLines/>
              <w:autoSpaceDE/>
              <w:autoSpaceDN/>
              <w:adjustRightInd/>
              <w:jc w:val="center"/>
              <w:rPr>
                <w:rFonts w:ascii="Arial Narrow" w:hAnsi="Arial Narrow" w:cs="Arial"/>
                <w:b/>
                <w:bCs/>
                <w:color w:val="000000"/>
                <w:sz w:val="20"/>
                <w:szCs w:val="20"/>
              </w:rPr>
            </w:pPr>
            <w:r w:rsidRPr="00524E32">
              <w:rPr>
                <w:rFonts w:ascii="Arial Narrow" w:hAnsi="Arial Narrow" w:cs="Arial"/>
                <w:b/>
                <w:bCs/>
                <w:color w:val="000000"/>
                <w:sz w:val="20"/>
                <w:szCs w:val="20"/>
              </w:rPr>
              <w:t>Previously Approved</w:t>
            </w:r>
          </w:p>
        </w:tc>
      </w:tr>
      <w:tr w14:paraId="231F409D" w14:textId="77777777" w:rsidTr="00E82A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4757E68F"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Number of Responses</w:t>
            </w:r>
          </w:p>
        </w:tc>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1234DC76" w14:textId="5DF74E69">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15,000</w:t>
            </w:r>
          </w:p>
        </w:tc>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10FA4C8C"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6D575ABE"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4B411A97" w14:textId="2CBA301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1BA5FE88"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961C53" w:rsidRPr="00524E32" w:rsidP="00E82A7E" w14:paraId="4A225B8E" w14:textId="40C2EAA2">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15,000</w:t>
            </w:r>
          </w:p>
        </w:tc>
      </w:tr>
      <w:tr w14:paraId="51351686" w14:textId="77777777" w:rsidTr="00E82A7E">
        <w:tblPrEx>
          <w:tblW w:w="4591" w:type="pct"/>
          <w:tblInd w:w="712" w:type="dxa"/>
          <w:tblCellMar>
            <w:top w:w="15" w:type="dxa"/>
            <w:left w:w="15" w:type="dxa"/>
            <w:bottom w:w="15" w:type="dxa"/>
            <w:right w:w="15" w:type="dxa"/>
          </w:tblCellMar>
          <w:tblLook w:val="04A0"/>
        </w:tblPrEx>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00FE7B57" w14:textId="77777777">
            <w:pPr>
              <w:keepNext/>
              <w:keepLines/>
              <w:autoSpaceDE/>
              <w:autoSpaceDN/>
              <w:adjustRightInd/>
              <w:rPr>
                <w:rFonts w:ascii="Arial Narrow" w:hAnsi="Arial Narrow" w:cs="Arial"/>
                <w:color w:val="000000"/>
                <w:sz w:val="20"/>
                <w:szCs w:val="20"/>
              </w:rPr>
            </w:pPr>
            <w:r w:rsidRPr="00524E32">
              <w:rPr>
                <w:rFonts w:ascii="Arial Narrow" w:hAnsi="Arial Narrow" w:cs="Arial"/>
                <w:color w:val="000000"/>
                <w:sz w:val="20"/>
                <w:szCs w:val="20"/>
              </w:rPr>
              <w:t>Annual Time Burden (Hr)</w:t>
            </w:r>
          </w:p>
        </w:tc>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3DCE63D7" w14:textId="7E9F61B9">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310,350</w:t>
            </w:r>
          </w:p>
        </w:tc>
        <w:tc>
          <w:tcPr>
            <w:tcW w:w="1170" w:type="dxa"/>
            <w:tcBorders>
              <w:top w:val="outset" w:sz="6" w:space="0" w:color="auto"/>
              <w:left w:val="outset" w:sz="6" w:space="0" w:color="auto"/>
              <w:bottom w:val="outset" w:sz="6" w:space="0" w:color="auto"/>
              <w:right w:val="outset" w:sz="6" w:space="0" w:color="auto"/>
            </w:tcBorders>
            <w:hideMark/>
          </w:tcPr>
          <w:p w:rsidR="00961C53" w:rsidRPr="00524E32" w:rsidP="00E82A7E" w14:paraId="31D90187" w14:textId="3BF2A50D">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32,850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6D1C75DA"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77E215EB" w14:textId="65143196">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0</w:t>
            </w:r>
          </w:p>
        </w:tc>
        <w:tc>
          <w:tcPr>
            <w:tcW w:w="1350" w:type="dxa"/>
            <w:tcBorders>
              <w:top w:val="outset" w:sz="6" w:space="0" w:color="auto"/>
              <w:left w:val="outset" w:sz="6" w:space="0" w:color="auto"/>
              <w:bottom w:val="outset" w:sz="6" w:space="0" w:color="auto"/>
              <w:right w:val="outset" w:sz="6" w:space="0" w:color="auto"/>
            </w:tcBorders>
            <w:hideMark/>
          </w:tcPr>
          <w:p w:rsidR="00961C53" w:rsidRPr="00524E32" w:rsidP="00E82A7E" w14:paraId="376FBD9A" w14:textId="77777777">
            <w:pPr>
              <w:keepNext/>
              <w:keepLines/>
              <w:autoSpaceDE/>
              <w:autoSpaceDN/>
              <w:adjustRightInd/>
              <w:jc w:val="center"/>
              <w:rPr>
                <w:rFonts w:ascii="Arial Narrow" w:hAnsi="Arial Narrow" w:cs="Arial"/>
                <w:color w:val="000000"/>
                <w:sz w:val="20"/>
                <w:szCs w:val="20"/>
              </w:rPr>
            </w:pPr>
            <w:r w:rsidRPr="00524E32">
              <w:rPr>
                <w:rFonts w:ascii="Arial Narrow" w:hAnsi="Arial Narrow" w:cs="Arial"/>
                <w:color w:val="000000"/>
                <w:sz w:val="20"/>
                <w:szCs w:val="20"/>
              </w:rPr>
              <w:t>0</w:t>
            </w:r>
          </w:p>
        </w:tc>
        <w:tc>
          <w:tcPr>
            <w:tcW w:w="1020" w:type="dxa"/>
            <w:tcBorders>
              <w:top w:val="outset" w:sz="6" w:space="0" w:color="auto"/>
              <w:left w:val="outset" w:sz="6" w:space="0" w:color="auto"/>
              <w:bottom w:val="outset" w:sz="6" w:space="0" w:color="auto"/>
              <w:right w:val="outset" w:sz="6" w:space="0" w:color="auto"/>
            </w:tcBorders>
          </w:tcPr>
          <w:p w:rsidR="00961C53" w:rsidRPr="00524E32" w:rsidP="00E82A7E" w14:paraId="54C97FB5" w14:textId="53F0E2B2">
            <w:pPr>
              <w:keepNext/>
              <w:keepLines/>
              <w:autoSpaceDE/>
              <w:autoSpaceDN/>
              <w:adjustRightInd/>
              <w:jc w:val="center"/>
              <w:rPr>
                <w:rFonts w:ascii="Arial Narrow" w:hAnsi="Arial Narrow" w:cs="Arial"/>
                <w:color w:val="000000"/>
                <w:sz w:val="20"/>
                <w:szCs w:val="20"/>
              </w:rPr>
            </w:pPr>
            <w:r>
              <w:rPr>
                <w:rFonts w:ascii="Arial Narrow" w:hAnsi="Arial Narrow" w:cs="Arial"/>
                <w:color w:val="000000"/>
                <w:sz w:val="20"/>
                <w:szCs w:val="20"/>
              </w:rPr>
              <w:t>277,500</w:t>
            </w:r>
          </w:p>
        </w:tc>
      </w:tr>
    </w:tbl>
    <w:p w:rsidR="00F14806" w:rsidRPr="00705036" w:rsidP="00F14806" w14:paraId="2252A858" w14:textId="3F968E7D">
      <w:pPr>
        <w:ind w:left="720"/>
        <w:rPr>
          <w:rFonts w:asciiTheme="minorHAnsi" w:hAnsiTheme="minorHAnsi" w:cstheme="minorHAnsi"/>
          <w:sz w:val="22"/>
          <w:szCs w:val="22"/>
        </w:rPr>
      </w:pPr>
    </w:p>
    <w:p w:rsidR="00F14806" w:rsidRPr="00705036" w:rsidP="00F14806" w14:paraId="74429E91"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PLANS FOR TABULATION, STATISTICAL ANALYSIS AND PUBLICATION</w:t>
      </w:r>
    </w:p>
    <w:p w:rsidR="00F14806" w:rsidRPr="00705036" w:rsidP="00F14806" w14:paraId="0DE523FC" w14:textId="5C7ED73A">
      <w:pPr>
        <w:ind w:left="720"/>
        <w:rPr>
          <w:rFonts w:asciiTheme="minorHAnsi" w:hAnsiTheme="minorHAnsi" w:cstheme="minorHAnsi"/>
          <w:sz w:val="22"/>
          <w:szCs w:val="22"/>
        </w:rPr>
      </w:pPr>
    </w:p>
    <w:p w:rsidR="00F14806" w:rsidRPr="00705036" w:rsidP="00F14806" w14:paraId="0913BCFE" w14:textId="0C892EEC">
      <w:pPr>
        <w:ind w:left="720"/>
        <w:rPr>
          <w:rFonts w:asciiTheme="minorHAnsi" w:hAnsiTheme="minorHAnsi" w:cstheme="minorHAnsi"/>
          <w:sz w:val="22"/>
          <w:szCs w:val="22"/>
        </w:rPr>
      </w:pPr>
      <w:r w:rsidRPr="00705036">
        <w:rPr>
          <w:rFonts w:asciiTheme="minorHAnsi" w:hAnsiTheme="minorHAnsi" w:cstheme="minorHAnsi"/>
          <w:sz w:val="22"/>
          <w:szCs w:val="22"/>
        </w:rPr>
        <w:t>There are no plans for tabulation, statistical analysis, and publication.</w:t>
      </w:r>
    </w:p>
    <w:p w:rsidR="00F14806" w:rsidRPr="00705036" w:rsidP="00F14806" w14:paraId="05D9C33E" w14:textId="0E23DB26">
      <w:pPr>
        <w:ind w:left="720"/>
        <w:rPr>
          <w:rFonts w:asciiTheme="minorHAnsi" w:hAnsiTheme="minorHAnsi" w:cstheme="minorHAnsi"/>
          <w:sz w:val="22"/>
          <w:szCs w:val="22"/>
        </w:rPr>
      </w:pPr>
    </w:p>
    <w:p w:rsidR="00F14806" w:rsidRPr="00705036" w:rsidP="00202025" w14:paraId="400861E9"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REASONS WHY DISPLAYING THE OMB EXPIRATION DATE IS INAPPROPRIATE</w:t>
      </w:r>
    </w:p>
    <w:p w:rsidR="00F14806" w:rsidRPr="00705036" w:rsidP="00202025" w14:paraId="109AE812" w14:textId="21C5B4E9">
      <w:pPr>
        <w:pStyle w:val="Level1"/>
        <w:tabs>
          <w:tab w:val="left" w:pos="-1440"/>
          <w:tab w:val="num" w:pos="720"/>
        </w:tabs>
        <w:ind w:left="720" w:hanging="720"/>
        <w:rPr>
          <w:rFonts w:asciiTheme="minorHAnsi" w:hAnsiTheme="minorHAnsi" w:cstheme="minorHAnsi"/>
          <w:sz w:val="22"/>
          <w:szCs w:val="22"/>
          <w:u w:val="single"/>
        </w:rPr>
      </w:pPr>
    </w:p>
    <w:p w:rsidR="00F14806" w:rsidRPr="00705036" w:rsidP="00F14806" w14:paraId="38BA153A" w14:textId="703718FD">
      <w:pPr>
        <w:ind w:left="720"/>
        <w:rPr>
          <w:rFonts w:asciiTheme="minorHAnsi" w:hAnsiTheme="minorHAnsi" w:cstheme="minorHAnsi"/>
          <w:sz w:val="22"/>
          <w:szCs w:val="22"/>
        </w:rPr>
      </w:pPr>
      <w:bookmarkStart w:id="14" w:name="_Hlk91075794"/>
      <w:r w:rsidRPr="00705036">
        <w:rPr>
          <w:rFonts w:asciiTheme="minorHAnsi" w:hAnsiTheme="minorHAnsi" w:cstheme="minorHAnsi"/>
          <w:sz w:val="22"/>
          <w:szCs w:val="22"/>
        </w:rPr>
        <w:t>The IRS believes that displaying the OMB expiration date is inappropriate because it could cause confusion by leading taxpayers to believe that the regulation expires as of the expiration date. Taxpayers are not likely to be aware that the IRS intends to request renewal of the OMB approval and obtain a new expiration date before the old one expires.</w:t>
      </w:r>
      <w:bookmarkEnd w:id="14"/>
    </w:p>
    <w:p w:rsidR="00202025" w:rsidRPr="00705036" w:rsidP="00F14806" w14:paraId="0CC69E25" w14:textId="3AADAB36">
      <w:pPr>
        <w:ind w:left="720"/>
        <w:rPr>
          <w:rFonts w:asciiTheme="minorHAnsi" w:hAnsiTheme="minorHAnsi" w:cstheme="minorHAnsi"/>
          <w:sz w:val="22"/>
          <w:szCs w:val="22"/>
        </w:rPr>
      </w:pPr>
    </w:p>
    <w:p w:rsidR="00202025" w:rsidRPr="00705036" w:rsidP="00202025" w14:paraId="51AD202B" w14:textId="77777777">
      <w:pPr>
        <w:pStyle w:val="Level1"/>
        <w:numPr>
          <w:ilvl w:val="0"/>
          <w:numId w:val="2"/>
        </w:numPr>
        <w:tabs>
          <w:tab w:val="left" w:pos="-1440"/>
          <w:tab w:val="num" w:pos="720"/>
        </w:tabs>
        <w:ind w:left="720" w:hanging="720"/>
        <w:rPr>
          <w:rFonts w:asciiTheme="minorHAnsi" w:hAnsiTheme="minorHAnsi" w:cstheme="minorHAnsi"/>
          <w:sz w:val="22"/>
          <w:szCs w:val="22"/>
          <w:u w:val="single"/>
        </w:rPr>
      </w:pPr>
      <w:r w:rsidRPr="00705036">
        <w:rPr>
          <w:rFonts w:asciiTheme="minorHAnsi" w:hAnsiTheme="minorHAnsi" w:cstheme="minorHAnsi"/>
          <w:sz w:val="22"/>
          <w:szCs w:val="22"/>
          <w:u w:val="single"/>
        </w:rPr>
        <w:t xml:space="preserve">EXCEPTIONS TO THE CERTIFICATION STATEMENT </w:t>
      </w:r>
    </w:p>
    <w:p w:rsidR="00202025" w:rsidRPr="00705036" w:rsidP="00F14806" w14:paraId="338E122E" w14:textId="6C5C4733">
      <w:pPr>
        <w:ind w:left="720"/>
        <w:rPr>
          <w:rFonts w:asciiTheme="minorHAnsi" w:hAnsiTheme="minorHAnsi" w:cstheme="minorHAnsi"/>
          <w:sz w:val="22"/>
          <w:szCs w:val="22"/>
        </w:rPr>
      </w:pPr>
    </w:p>
    <w:p w:rsidR="00202025" w:rsidRPr="00705036" w:rsidP="00202025" w14:paraId="7CF7F2A5" w14:textId="77777777">
      <w:pPr>
        <w:ind w:left="720"/>
        <w:rPr>
          <w:rFonts w:asciiTheme="minorHAnsi" w:hAnsiTheme="minorHAnsi" w:cstheme="minorHAnsi"/>
          <w:sz w:val="22"/>
          <w:szCs w:val="22"/>
        </w:rPr>
      </w:pPr>
      <w:bookmarkStart w:id="15" w:name="_Hlk95714878"/>
      <w:r w:rsidRPr="00705036">
        <w:rPr>
          <w:rFonts w:asciiTheme="minorHAnsi" w:hAnsiTheme="minorHAnsi" w:cstheme="minorHAnsi"/>
          <w:sz w:val="22"/>
          <w:szCs w:val="22"/>
        </w:rPr>
        <w:t>There are no exceptions to the certification statement.</w:t>
      </w:r>
    </w:p>
    <w:p w:rsidR="00202025" w:rsidRPr="00705036" w:rsidP="00202025" w14:paraId="4F24A74A" w14:textId="77777777">
      <w:pPr>
        <w:ind w:left="720"/>
        <w:rPr>
          <w:rFonts w:asciiTheme="minorHAnsi" w:hAnsiTheme="minorHAnsi" w:cstheme="minorHAnsi"/>
          <w:sz w:val="22"/>
          <w:szCs w:val="22"/>
        </w:rPr>
      </w:pPr>
    </w:p>
    <w:p w:rsidR="00202025" w:rsidRPr="00705036" w:rsidP="00202025" w14:paraId="4C32ABC2" w14:textId="77777777">
      <w:pPr>
        <w:ind w:left="720"/>
        <w:rPr>
          <w:rFonts w:asciiTheme="minorHAnsi" w:hAnsiTheme="minorHAnsi" w:cstheme="minorHAnsi"/>
          <w:sz w:val="22"/>
          <w:szCs w:val="22"/>
        </w:rPr>
      </w:pPr>
      <w:r w:rsidRPr="00705036">
        <w:rPr>
          <w:rFonts w:asciiTheme="minorHAnsi" w:hAnsiTheme="minorHAnsi" w:cstheme="minorHAnsi"/>
          <w:sz w:val="22"/>
          <w:szCs w:val="22"/>
          <w:u w:val="single"/>
        </w:rPr>
        <w:t>Note</w:t>
      </w:r>
      <w:r w:rsidRPr="00705036">
        <w:rPr>
          <w:rFonts w:asciiTheme="minorHAnsi" w:hAnsiTheme="minorHAnsi" w:cstheme="minorHAnsi"/>
          <w:sz w:val="22"/>
          <w:szCs w:val="22"/>
        </w:rPr>
        <w:t>:   The following paragraph applies to all of the collections of information in this submission:</w:t>
      </w:r>
    </w:p>
    <w:p w:rsidR="00202025" w:rsidRPr="00705036" w:rsidP="00202025" w14:paraId="4EF3FE34" w14:textId="77777777">
      <w:pPr>
        <w:ind w:left="720"/>
        <w:rPr>
          <w:rFonts w:asciiTheme="minorHAnsi" w:hAnsiTheme="minorHAnsi" w:cstheme="minorHAnsi"/>
          <w:sz w:val="22"/>
          <w:szCs w:val="22"/>
        </w:rPr>
      </w:pPr>
    </w:p>
    <w:p w:rsidR="00202025" w:rsidRPr="00705036" w:rsidP="00202025" w14:paraId="2B245D39" w14:textId="016BEABC">
      <w:pPr>
        <w:ind w:left="720"/>
        <w:rPr>
          <w:rFonts w:asciiTheme="minorHAnsi" w:hAnsiTheme="minorHAnsi" w:cstheme="minorHAnsi"/>
          <w:sz w:val="22"/>
          <w:szCs w:val="22"/>
        </w:rPr>
      </w:pPr>
      <w:r w:rsidRPr="00705036">
        <w:rPr>
          <w:rFonts w:asciiTheme="minorHAnsi" w:hAnsiTheme="minorHAnsi" w:cstheme="minorHAnsi"/>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bookmarkEnd w:id="15"/>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26DE3BE0"/>
    <w:multiLevelType w:val="multilevel"/>
    <w:tmpl w:val="1EC85234"/>
    <w:styleLink w:val="QA"/>
    <w:lvl w:ilvl="0">
      <w:start w:val="1"/>
      <w:numFmt w:val="none"/>
      <w:lvlText w:val="Q."/>
      <w:lvlJc w:val="left"/>
      <w:pPr>
        <w:ind w:left="720" w:hanging="360"/>
      </w:pPr>
      <w:rPr>
        <w:rFonts w:ascii="Arial" w:hAnsi="Arial" w:hint="default"/>
        <w:sz w:val="24"/>
      </w:rPr>
    </w:lvl>
    <w:lvl w:ilvl="1">
      <w:start w:val="1"/>
      <w:numFmt w:val="none"/>
      <w:lvlText w:val="A."/>
      <w:lvlJc w:val="left"/>
      <w:pPr>
        <w:ind w:left="1440" w:hanging="360"/>
      </w:pPr>
      <w:rPr>
        <w:rFonts w:hint="default"/>
      </w:rPr>
    </w:lvl>
    <w:lvl w:ilvl="2">
      <w:start w:val="1"/>
      <w:numFmt w:val="none"/>
      <w:lvlText w:val="%3"/>
      <w:lvlJc w:val="right"/>
      <w:pPr>
        <w:ind w:left="2160" w:hanging="180"/>
      </w:pPr>
      <w:rPr>
        <w:rFonts w:hint="default"/>
      </w:rPr>
    </w:lvl>
    <w:lvl w:ilvl="3">
      <w:start w:val="1"/>
      <w:numFmt w:val="none"/>
      <w:lvlJc w:val="left"/>
      <w:pPr>
        <w:ind w:left="2880" w:hanging="360"/>
      </w:pPr>
      <w:rPr>
        <w:rFonts w:hint="default"/>
      </w:rPr>
    </w:lvl>
    <w:lvl w:ilvl="4">
      <w:start w:val="1"/>
      <w:numFmt w:val="none"/>
      <w:lvlJc w:val="left"/>
      <w:pPr>
        <w:ind w:left="3600" w:hanging="360"/>
      </w:pPr>
      <w:rPr>
        <w:rFonts w:hint="default"/>
      </w:rPr>
    </w:lvl>
    <w:lvl w:ilvl="5">
      <w:start w:val="1"/>
      <w:numFmt w:val="none"/>
      <w:lvlJc w:val="right"/>
      <w:pPr>
        <w:ind w:left="4320" w:hanging="180"/>
      </w:pPr>
      <w:rPr>
        <w:rFonts w:hint="default"/>
      </w:rPr>
    </w:lvl>
    <w:lvl w:ilvl="6">
      <w:start w:val="1"/>
      <w:numFmt w:val="none"/>
      <w:lvlJc w:val="left"/>
      <w:pPr>
        <w:ind w:left="5040" w:hanging="360"/>
      </w:pPr>
      <w:rPr>
        <w:rFonts w:hint="default"/>
      </w:rPr>
    </w:lvl>
    <w:lvl w:ilvl="7">
      <w:start w:val="1"/>
      <w:numFmt w:val="none"/>
      <w:lvlJc w:val="left"/>
      <w:pPr>
        <w:ind w:left="5760" w:hanging="360"/>
      </w:pPr>
      <w:rPr>
        <w:rFonts w:hint="default"/>
      </w:rPr>
    </w:lvl>
    <w:lvl w:ilvl="8">
      <w:start w:val="0"/>
      <w:numFmt w:val="none"/>
      <w:lvlRestart w:val="0"/>
      <w:lvlJc w:val="right"/>
      <w:pPr>
        <w:ind w:left="6480" w:hanging="180"/>
      </w:pPr>
      <w:rPr>
        <w:rFonts w:hint="default"/>
      </w:rPr>
    </w:lvl>
  </w:abstractNum>
  <w:abstractNum w:abstractNumId="3">
    <w:nsid w:val="4C977EE2"/>
    <w:multiLevelType w:val="hybridMultilevel"/>
    <w:tmpl w:val="0E2036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60080217">
    <w:abstractNumId w:val="2"/>
  </w:num>
  <w:num w:numId="2" w16cid:durableId="807822414">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17114457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82951608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16cid:durableId="2077625040">
    <w:abstractNumId w:val="3"/>
  </w:num>
  <w:num w:numId="6" w16cid:durableId="1477262013">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7" w16cid:durableId="185696657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69149559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9" w16cid:durableId="1920165519">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0" w16cid:durableId="91050739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1" w16cid:durableId="429349342">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2" w16cid:durableId="50917658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16cid:durableId="2069919014">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16cid:durableId="1078939147">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5" w16cid:durableId="1347974370">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6" w16cid:durableId="1728147061">
    <w:abstractNumId w:val="1"/>
    <w:lvlOverride w:ilvl="0">
      <w:startOverride w:val="6"/>
      <w:lvl w:ilvl="0">
        <w:start w:val="6"/>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CFA"/>
    <w:rsid w:val="000009F2"/>
    <w:rsid w:val="001222FC"/>
    <w:rsid w:val="00202025"/>
    <w:rsid w:val="00214FD0"/>
    <w:rsid w:val="002241D6"/>
    <w:rsid w:val="0028518C"/>
    <w:rsid w:val="002C3D53"/>
    <w:rsid w:val="002C55CC"/>
    <w:rsid w:val="00385ADB"/>
    <w:rsid w:val="003B2E51"/>
    <w:rsid w:val="0041161A"/>
    <w:rsid w:val="00490E73"/>
    <w:rsid w:val="004E1F21"/>
    <w:rsid w:val="00524E32"/>
    <w:rsid w:val="00691597"/>
    <w:rsid w:val="00705036"/>
    <w:rsid w:val="007E787E"/>
    <w:rsid w:val="008139E0"/>
    <w:rsid w:val="00840F64"/>
    <w:rsid w:val="00961C53"/>
    <w:rsid w:val="00B41331"/>
    <w:rsid w:val="00C236C9"/>
    <w:rsid w:val="00C56CFA"/>
    <w:rsid w:val="00D33F60"/>
    <w:rsid w:val="00DD1113"/>
    <w:rsid w:val="00E55F23"/>
    <w:rsid w:val="00E82A7E"/>
    <w:rsid w:val="00ED744D"/>
    <w:rsid w:val="00F14806"/>
    <w:rsid w:val="00F44DF2"/>
    <w:rsid w:val="00FB48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2E7FF33"/>
  <w15:chartTrackingRefBased/>
  <w15:docId w15:val="{3166EA09-AF04-4C07-9FFA-01E098AD9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6CFA"/>
    <w:pPr>
      <w:widowControl w:val="0"/>
      <w:autoSpaceDE w:val="0"/>
      <w:autoSpaceDN w:val="0"/>
      <w:adjustRightInd w:val="0"/>
      <w:spacing w:after="0" w:line="240" w:lineRule="auto"/>
    </w:pPr>
    <w:rPr>
      <w:rFonts w:ascii="Courier" w:eastAsia="Times New Roman" w:hAnsi="Courier"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QA">
    <w:name w:val="Q&amp;A"/>
    <w:uiPriority w:val="99"/>
    <w:rsid w:val="0041161A"/>
    <w:pPr>
      <w:numPr>
        <w:numId w:val="1"/>
      </w:numPr>
    </w:pPr>
  </w:style>
  <w:style w:type="paragraph" w:customStyle="1" w:styleId="Level1">
    <w:name w:val="Level 1"/>
    <w:basedOn w:val="Normal"/>
    <w:rsid w:val="00C56CFA"/>
    <w:pPr>
      <w:outlineLvl w:val="0"/>
    </w:pPr>
  </w:style>
  <w:style w:type="character" w:styleId="Hyperlink">
    <w:name w:val="Hyperlink"/>
    <w:basedOn w:val="DefaultParagraphFont"/>
    <w:unhideWhenUsed/>
    <w:rsid w:val="00F1480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privacy-disclosure/privacy-impact-assessments-pia"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4</Pages>
  <Words>1311</Words>
  <Characters>7477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R. Callahan</dc:creator>
  <cp:lastModifiedBy>Jon R. Callahan</cp:lastModifiedBy>
  <cp:revision>3</cp:revision>
  <dcterms:created xsi:type="dcterms:W3CDTF">2023-11-29T14:07:00Z</dcterms:created>
  <dcterms:modified xsi:type="dcterms:W3CDTF">2023-11-29T15:50:00Z</dcterms:modified>
</cp:coreProperties>
</file>