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B3C" w14:paraId="365E757B" w14:textId="77777777">
      <w:pPr>
        <w:jc w:val="center"/>
        <w:rPr>
          <w:rFonts w:asciiTheme="minorHAnsi" w:hAnsiTheme="minorHAnsi"/>
          <w:b/>
          <w:sz w:val="22"/>
          <w:szCs w:val="22"/>
        </w:rPr>
      </w:pPr>
      <w:r>
        <w:rPr>
          <w:rFonts w:asciiTheme="minorHAnsi" w:hAnsiTheme="minorHAnsi"/>
          <w:b/>
          <w:sz w:val="22"/>
          <w:szCs w:val="22"/>
        </w:rPr>
        <w:t>SUPPORTING STATEMENT</w:t>
      </w:r>
    </w:p>
    <w:p w:rsidR="006C1B3C" w14:paraId="60CDCF37" w14:textId="2190F296">
      <w:pPr>
        <w:jc w:val="center"/>
        <w:rPr>
          <w:rFonts w:asciiTheme="minorHAnsi" w:hAnsiTheme="minorHAnsi"/>
          <w:b/>
          <w:sz w:val="22"/>
          <w:szCs w:val="22"/>
        </w:rPr>
      </w:pPr>
      <w:r>
        <w:rPr>
          <w:rFonts w:asciiTheme="minorHAnsi" w:hAnsiTheme="minorHAnsi"/>
          <w:b/>
          <w:sz w:val="22"/>
          <w:szCs w:val="22"/>
        </w:rPr>
        <w:t>Internal Revenue Service</w:t>
      </w:r>
      <w:r w:rsidR="001C6C9B">
        <w:rPr>
          <w:rFonts w:asciiTheme="minorHAnsi" w:hAnsiTheme="minorHAnsi"/>
          <w:b/>
          <w:sz w:val="22"/>
          <w:szCs w:val="22"/>
        </w:rPr>
        <w:t xml:space="preserve"> (IRS)</w:t>
      </w:r>
    </w:p>
    <w:p w:rsidR="006C1B3C" w14:paraId="52936186" w14:textId="47EF2777">
      <w:pPr>
        <w:jc w:val="center"/>
        <w:rPr>
          <w:rFonts w:asciiTheme="minorHAnsi" w:hAnsiTheme="minorHAnsi"/>
          <w:bCs/>
          <w:sz w:val="22"/>
          <w:szCs w:val="22"/>
        </w:rPr>
      </w:pPr>
      <w:r w:rsidRPr="00B55006">
        <w:rPr>
          <w:rFonts w:asciiTheme="minorHAnsi" w:hAnsiTheme="minorHAnsi"/>
          <w:bCs/>
          <w:sz w:val="22"/>
          <w:szCs w:val="22"/>
        </w:rPr>
        <w:t xml:space="preserve">Taxes on Taxable Distributions under Section 4966 </w:t>
      </w:r>
      <w:r w:rsidR="00FD681B">
        <w:rPr>
          <w:rFonts w:asciiTheme="minorHAnsi" w:hAnsiTheme="minorHAnsi"/>
          <w:bCs/>
          <w:sz w:val="22"/>
          <w:szCs w:val="22"/>
        </w:rPr>
        <w:t xml:space="preserve"> </w:t>
      </w:r>
    </w:p>
    <w:p w:rsidR="006C1B3C" w14:paraId="7B1124C6" w14:textId="4FBF8CA9">
      <w:pPr>
        <w:jc w:val="center"/>
        <w:rPr>
          <w:rFonts w:asciiTheme="minorHAnsi" w:hAnsiTheme="minorHAnsi"/>
          <w:bCs/>
          <w:sz w:val="22"/>
          <w:szCs w:val="22"/>
        </w:rPr>
      </w:pPr>
      <w:r>
        <w:rPr>
          <w:rFonts w:asciiTheme="minorHAnsi" w:hAnsiTheme="minorHAnsi"/>
          <w:bCs/>
          <w:sz w:val="22"/>
          <w:szCs w:val="22"/>
        </w:rPr>
        <w:t xml:space="preserve">OMB Control Number </w:t>
      </w:r>
      <w:r>
        <w:rPr>
          <w:rFonts w:asciiTheme="minorHAnsi" w:hAnsiTheme="minorHAnsi"/>
          <w:b/>
          <w:sz w:val="22"/>
          <w:szCs w:val="22"/>
        </w:rPr>
        <w:t>1545-</w:t>
      </w:r>
      <w:r w:rsidR="00B55006">
        <w:rPr>
          <w:rFonts w:asciiTheme="minorHAnsi" w:hAnsiTheme="minorHAnsi"/>
          <w:b/>
          <w:sz w:val="22"/>
          <w:szCs w:val="22"/>
        </w:rPr>
        <w:t>New</w:t>
      </w:r>
    </w:p>
    <w:p w:rsidR="006C1B3C" w14:paraId="5BBCAAA0" w14:textId="77777777">
      <w:pPr>
        <w:rPr>
          <w:rFonts w:asciiTheme="minorHAnsi" w:hAnsiTheme="minorHAnsi"/>
          <w:sz w:val="22"/>
          <w:szCs w:val="22"/>
        </w:rPr>
      </w:pPr>
    </w:p>
    <w:p w:rsidR="006C1B3C" w14:paraId="6FEAAF23"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CIRCUMSTANCES NECESSITATING COLLECTION OF INFORMATION</w:t>
      </w:r>
    </w:p>
    <w:p w:rsidR="006C1B3C" w14:paraId="194DCAF4" w14:textId="77777777">
      <w:pPr>
        <w:rPr>
          <w:rFonts w:asciiTheme="minorHAnsi" w:hAnsiTheme="minorHAnsi"/>
          <w:sz w:val="22"/>
          <w:szCs w:val="22"/>
        </w:rPr>
      </w:pPr>
    </w:p>
    <w:p w:rsidR="00B55006" w:rsidRPr="00B55006" w:rsidP="00B55006" w14:paraId="3AFF412F" w14:textId="31F172C5">
      <w:pPr>
        <w:ind w:left="720"/>
        <w:rPr>
          <w:rFonts w:asciiTheme="minorHAnsi" w:hAnsiTheme="minorHAnsi"/>
          <w:sz w:val="22"/>
          <w:szCs w:val="22"/>
        </w:rPr>
      </w:pPr>
      <w:bookmarkStart w:id="0" w:name="_Hlk498325090"/>
      <w:r w:rsidRPr="00B55006">
        <w:rPr>
          <w:rFonts w:asciiTheme="minorHAnsi" w:hAnsiTheme="minorHAnsi"/>
          <w:sz w:val="22"/>
          <w:szCs w:val="22"/>
        </w:rPr>
        <w:t>Some charitable organizations</w:t>
      </w:r>
      <w:r>
        <w:rPr>
          <w:rFonts w:asciiTheme="minorHAnsi" w:hAnsiTheme="minorHAnsi"/>
          <w:sz w:val="22"/>
          <w:szCs w:val="22"/>
        </w:rPr>
        <w:t xml:space="preserve"> </w:t>
      </w:r>
      <w:r w:rsidRPr="00B55006">
        <w:rPr>
          <w:rFonts w:asciiTheme="minorHAnsi" w:hAnsiTheme="minorHAnsi"/>
          <w:sz w:val="22"/>
          <w:szCs w:val="22"/>
        </w:rPr>
        <w:t>(including community foundations)</w:t>
      </w:r>
      <w:r>
        <w:rPr>
          <w:rFonts w:asciiTheme="minorHAnsi" w:hAnsiTheme="minorHAnsi"/>
          <w:sz w:val="22"/>
          <w:szCs w:val="22"/>
        </w:rPr>
        <w:t xml:space="preserve"> </w:t>
      </w:r>
      <w:r w:rsidRPr="00B55006">
        <w:rPr>
          <w:rFonts w:asciiTheme="minorHAnsi" w:hAnsiTheme="minorHAnsi"/>
          <w:sz w:val="22"/>
          <w:szCs w:val="22"/>
        </w:rPr>
        <w:t>establish accounts to which donors may</w:t>
      </w:r>
      <w:r>
        <w:rPr>
          <w:rFonts w:asciiTheme="minorHAnsi" w:hAnsiTheme="minorHAnsi"/>
          <w:sz w:val="22"/>
          <w:szCs w:val="22"/>
        </w:rPr>
        <w:t xml:space="preserve"> </w:t>
      </w:r>
      <w:r w:rsidRPr="00B55006">
        <w:rPr>
          <w:rFonts w:asciiTheme="minorHAnsi" w:hAnsiTheme="minorHAnsi"/>
          <w:sz w:val="22"/>
          <w:szCs w:val="22"/>
        </w:rPr>
        <w:t>contribute and thereafter provide</w:t>
      </w:r>
      <w:r>
        <w:rPr>
          <w:rFonts w:asciiTheme="minorHAnsi" w:hAnsiTheme="minorHAnsi"/>
          <w:sz w:val="22"/>
          <w:szCs w:val="22"/>
        </w:rPr>
        <w:t xml:space="preserve"> </w:t>
      </w:r>
      <w:r w:rsidRPr="00B55006">
        <w:rPr>
          <w:rFonts w:asciiTheme="minorHAnsi" w:hAnsiTheme="minorHAnsi"/>
          <w:sz w:val="22"/>
          <w:szCs w:val="22"/>
        </w:rPr>
        <w:t>nonbinding advice or</w:t>
      </w:r>
      <w:r>
        <w:rPr>
          <w:rFonts w:asciiTheme="minorHAnsi" w:hAnsiTheme="minorHAnsi"/>
          <w:sz w:val="22"/>
          <w:szCs w:val="22"/>
        </w:rPr>
        <w:t xml:space="preserve"> </w:t>
      </w:r>
      <w:r w:rsidRPr="00B55006">
        <w:rPr>
          <w:rFonts w:asciiTheme="minorHAnsi" w:hAnsiTheme="minorHAnsi"/>
          <w:sz w:val="22"/>
          <w:szCs w:val="22"/>
        </w:rPr>
        <w:t>recommendations</w:t>
      </w:r>
      <w:r>
        <w:rPr>
          <w:rFonts w:asciiTheme="minorHAnsi" w:hAnsiTheme="minorHAnsi"/>
          <w:sz w:val="22"/>
          <w:szCs w:val="22"/>
        </w:rPr>
        <w:t xml:space="preserve"> </w:t>
      </w:r>
      <w:r w:rsidRPr="00B55006" w:rsidR="006C02CB">
        <w:rPr>
          <w:rFonts w:asciiTheme="minorHAnsi" w:hAnsiTheme="minorHAnsi"/>
          <w:sz w:val="22"/>
          <w:szCs w:val="22"/>
        </w:rPr>
        <w:t>about</w:t>
      </w:r>
      <w:r w:rsidRPr="00B55006">
        <w:rPr>
          <w:rFonts w:asciiTheme="minorHAnsi" w:hAnsiTheme="minorHAnsi"/>
          <w:sz w:val="22"/>
          <w:szCs w:val="22"/>
        </w:rPr>
        <w:t xml:space="preserve"> distributions from the</w:t>
      </w:r>
      <w:r>
        <w:rPr>
          <w:rFonts w:asciiTheme="minorHAnsi" w:hAnsiTheme="minorHAnsi"/>
          <w:sz w:val="22"/>
          <w:szCs w:val="22"/>
        </w:rPr>
        <w:t xml:space="preserve"> </w:t>
      </w:r>
      <w:r w:rsidRPr="00B55006">
        <w:rPr>
          <w:rFonts w:asciiTheme="minorHAnsi" w:hAnsiTheme="minorHAnsi"/>
          <w:sz w:val="22"/>
          <w:szCs w:val="22"/>
        </w:rPr>
        <w:t>account or the investment of assets in</w:t>
      </w:r>
      <w:r>
        <w:rPr>
          <w:rFonts w:asciiTheme="minorHAnsi" w:hAnsiTheme="minorHAnsi"/>
          <w:sz w:val="22"/>
          <w:szCs w:val="22"/>
        </w:rPr>
        <w:t xml:space="preserve"> </w:t>
      </w:r>
      <w:r w:rsidRPr="00B55006">
        <w:rPr>
          <w:rFonts w:asciiTheme="minorHAnsi" w:hAnsiTheme="minorHAnsi"/>
          <w:sz w:val="22"/>
          <w:szCs w:val="22"/>
        </w:rPr>
        <w:t>the account. Such accounts are</w:t>
      </w:r>
      <w:r>
        <w:rPr>
          <w:rFonts w:asciiTheme="minorHAnsi" w:hAnsiTheme="minorHAnsi"/>
          <w:sz w:val="22"/>
          <w:szCs w:val="22"/>
        </w:rPr>
        <w:t xml:space="preserve"> </w:t>
      </w:r>
      <w:r w:rsidRPr="00B55006">
        <w:rPr>
          <w:rFonts w:asciiTheme="minorHAnsi" w:hAnsiTheme="minorHAnsi"/>
          <w:sz w:val="22"/>
          <w:szCs w:val="22"/>
        </w:rPr>
        <w:t>commonly referred to as ‘‘donor advised</w:t>
      </w:r>
      <w:r>
        <w:rPr>
          <w:rFonts w:asciiTheme="minorHAnsi" w:hAnsiTheme="minorHAnsi"/>
          <w:sz w:val="22"/>
          <w:szCs w:val="22"/>
        </w:rPr>
        <w:t xml:space="preserve"> </w:t>
      </w:r>
      <w:r w:rsidRPr="00B55006">
        <w:rPr>
          <w:rFonts w:asciiTheme="minorHAnsi" w:hAnsiTheme="minorHAnsi"/>
          <w:sz w:val="22"/>
          <w:szCs w:val="22"/>
        </w:rPr>
        <w:t>funds’’ or ‘‘DAFs.’’ Sections 1231–1235</w:t>
      </w:r>
      <w:r>
        <w:rPr>
          <w:rFonts w:asciiTheme="minorHAnsi" w:hAnsiTheme="minorHAnsi"/>
          <w:sz w:val="22"/>
          <w:szCs w:val="22"/>
        </w:rPr>
        <w:t xml:space="preserve"> </w:t>
      </w:r>
      <w:r w:rsidRPr="00B55006">
        <w:rPr>
          <w:rFonts w:asciiTheme="minorHAnsi" w:hAnsiTheme="minorHAnsi"/>
          <w:sz w:val="22"/>
          <w:szCs w:val="22"/>
        </w:rPr>
        <w:t>of the Pension Protection Act of 2006</w:t>
      </w:r>
      <w:r>
        <w:rPr>
          <w:rFonts w:asciiTheme="minorHAnsi" w:hAnsiTheme="minorHAnsi"/>
          <w:sz w:val="22"/>
          <w:szCs w:val="22"/>
        </w:rPr>
        <w:t xml:space="preserve"> </w:t>
      </w:r>
      <w:r w:rsidRPr="00B55006">
        <w:rPr>
          <w:rFonts w:asciiTheme="minorHAnsi" w:hAnsiTheme="minorHAnsi"/>
          <w:sz w:val="22"/>
          <w:szCs w:val="22"/>
        </w:rPr>
        <w:t>(PPA), Public Law 109–280, 120 Stat.</w:t>
      </w:r>
      <w:r>
        <w:rPr>
          <w:rFonts w:asciiTheme="minorHAnsi" w:hAnsiTheme="minorHAnsi"/>
          <w:sz w:val="22"/>
          <w:szCs w:val="22"/>
        </w:rPr>
        <w:t xml:space="preserve"> </w:t>
      </w:r>
      <w:r w:rsidRPr="00B55006">
        <w:rPr>
          <w:rFonts w:asciiTheme="minorHAnsi" w:hAnsiTheme="minorHAnsi"/>
          <w:sz w:val="22"/>
          <w:szCs w:val="22"/>
        </w:rPr>
        <w:t>780, 1094–1102 (August 17, 2006),</w:t>
      </w:r>
      <w:r>
        <w:rPr>
          <w:rFonts w:asciiTheme="minorHAnsi" w:hAnsiTheme="minorHAnsi"/>
          <w:sz w:val="22"/>
          <w:szCs w:val="22"/>
        </w:rPr>
        <w:t xml:space="preserve"> </w:t>
      </w:r>
      <w:r w:rsidRPr="00B55006">
        <w:rPr>
          <w:rFonts w:asciiTheme="minorHAnsi" w:hAnsiTheme="minorHAnsi"/>
          <w:sz w:val="22"/>
          <w:szCs w:val="22"/>
        </w:rPr>
        <w:t>enacted various amendments to the</w:t>
      </w:r>
    </w:p>
    <w:p w:rsidR="00B55006" w:rsidP="00B55006" w14:paraId="1C3686BB" w14:textId="49B08872">
      <w:pPr>
        <w:ind w:left="720"/>
        <w:rPr>
          <w:rFonts w:asciiTheme="minorHAnsi" w:hAnsiTheme="minorHAnsi"/>
          <w:sz w:val="22"/>
          <w:szCs w:val="22"/>
        </w:rPr>
      </w:pPr>
      <w:r w:rsidRPr="00B55006">
        <w:rPr>
          <w:rFonts w:asciiTheme="minorHAnsi" w:hAnsiTheme="minorHAnsi"/>
          <w:sz w:val="22"/>
          <w:szCs w:val="22"/>
        </w:rPr>
        <w:t>Internal Revenue Code (Code) regarding</w:t>
      </w:r>
      <w:r>
        <w:rPr>
          <w:rFonts w:asciiTheme="minorHAnsi" w:hAnsiTheme="minorHAnsi"/>
          <w:sz w:val="22"/>
          <w:szCs w:val="22"/>
        </w:rPr>
        <w:t xml:space="preserve"> </w:t>
      </w:r>
      <w:r w:rsidRPr="00B55006">
        <w:rPr>
          <w:rFonts w:asciiTheme="minorHAnsi" w:hAnsiTheme="minorHAnsi"/>
          <w:sz w:val="22"/>
          <w:szCs w:val="22"/>
        </w:rPr>
        <w:t>DAFs. Among these, section 1232 of the</w:t>
      </w:r>
      <w:r>
        <w:rPr>
          <w:rFonts w:asciiTheme="minorHAnsi" w:hAnsiTheme="minorHAnsi"/>
          <w:sz w:val="22"/>
          <w:szCs w:val="22"/>
        </w:rPr>
        <w:t xml:space="preserve"> </w:t>
      </w:r>
      <w:r w:rsidRPr="00B55006">
        <w:rPr>
          <w:rFonts w:asciiTheme="minorHAnsi" w:hAnsiTheme="minorHAnsi"/>
          <w:sz w:val="22"/>
          <w:szCs w:val="22"/>
        </w:rPr>
        <w:t>PPA amended section 4958 of the Code</w:t>
      </w:r>
      <w:r>
        <w:rPr>
          <w:rFonts w:asciiTheme="minorHAnsi" w:hAnsiTheme="minorHAnsi"/>
          <w:sz w:val="22"/>
          <w:szCs w:val="22"/>
        </w:rPr>
        <w:t xml:space="preserve"> </w:t>
      </w:r>
      <w:r w:rsidRPr="00B55006">
        <w:rPr>
          <w:rFonts w:asciiTheme="minorHAnsi" w:hAnsiTheme="minorHAnsi"/>
          <w:sz w:val="22"/>
          <w:szCs w:val="22"/>
        </w:rPr>
        <w:t>to add special rules relating to excess</w:t>
      </w:r>
      <w:r>
        <w:rPr>
          <w:rFonts w:asciiTheme="minorHAnsi" w:hAnsiTheme="minorHAnsi"/>
          <w:sz w:val="22"/>
          <w:szCs w:val="22"/>
        </w:rPr>
        <w:t xml:space="preserve"> </w:t>
      </w:r>
      <w:r w:rsidRPr="00B55006">
        <w:rPr>
          <w:rFonts w:asciiTheme="minorHAnsi" w:hAnsiTheme="minorHAnsi"/>
          <w:sz w:val="22"/>
          <w:szCs w:val="22"/>
        </w:rPr>
        <w:t>benefit transactions with DAFs; section</w:t>
      </w:r>
      <w:r>
        <w:rPr>
          <w:rFonts w:asciiTheme="minorHAnsi" w:hAnsiTheme="minorHAnsi"/>
          <w:sz w:val="22"/>
          <w:szCs w:val="22"/>
        </w:rPr>
        <w:t xml:space="preserve"> </w:t>
      </w:r>
      <w:r w:rsidRPr="00B55006">
        <w:rPr>
          <w:rFonts w:asciiTheme="minorHAnsi" w:hAnsiTheme="minorHAnsi"/>
          <w:sz w:val="22"/>
          <w:szCs w:val="22"/>
        </w:rPr>
        <w:t>1231(b) of the PPA added section 4967</w:t>
      </w:r>
      <w:r>
        <w:rPr>
          <w:rFonts w:asciiTheme="minorHAnsi" w:hAnsiTheme="minorHAnsi"/>
          <w:sz w:val="22"/>
          <w:szCs w:val="22"/>
        </w:rPr>
        <w:t xml:space="preserve"> </w:t>
      </w:r>
      <w:r w:rsidRPr="00B55006">
        <w:rPr>
          <w:rFonts w:asciiTheme="minorHAnsi" w:hAnsiTheme="minorHAnsi"/>
          <w:sz w:val="22"/>
          <w:szCs w:val="22"/>
        </w:rPr>
        <w:t>to the Code, which imposes an excise</w:t>
      </w:r>
      <w:r>
        <w:rPr>
          <w:rFonts w:asciiTheme="minorHAnsi" w:hAnsiTheme="minorHAnsi"/>
          <w:sz w:val="22"/>
          <w:szCs w:val="22"/>
        </w:rPr>
        <w:t xml:space="preserve"> </w:t>
      </w:r>
      <w:r w:rsidRPr="00B55006">
        <w:rPr>
          <w:rFonts w:asciiTheme="minorHAnsi" w:hAnsiTheme="minorHAnsi"/>
          <w:sz w:val="22"/>
          <w:szCs w:val="22"/>
        </w:rPr>
        <w:t>tax on prohibited benefits resulting from</w:t>
      </w:r>
      <w:r>
        <w:rPr>
          <w:rFonts w:asciiTheme="minorHAnsi" w:hAnsiTheme="minorHAnsi"/>
          <w:sz w:val="22"/>
          <w:szCs w:val="22"/>
        </w:rPr>
        <w:t xml:space="preserve"> </w:t>
      </w:r>
      <w:r w:rsidRPr="00B55006">
        <w:rPr>
          <w:rFonts w:asciiTheme="minorHAnsi" w:hAnsiTheme="minorHAnsi"/>
          <w:sz w:val="22"/>
          <w:szCs w:val="22"/>
        </w:rPr>
        <w:t>distributions from DAFs; and section</w:t>
      </w:r>
      <w:r>
        <w:rPr>
          <w:rFonts w:asciiTheme="minorHAnsi" w:hAnsiTheme="minorHAnsi"/>
          <w:sz w:val="22"/>
          <w:szCs w:val="22"/>
        </w:rPr>
        <w:t xml:space="preserve"> </w:t>
      </w:r>
      <w:r w:rsidRPr="00B55006">
        <w:rPr>
          <w:rFonts w:asciiTheme="minorHAnsi" w:hAnsiTheme="minorHAnsi"/>
          <w:sz w:val="22"/>
          <w:szCs w:val="22"/>
        </w:rPr>
        <w:t>1231(a) of the PPA added section 4966</w:t>
      </w:r>
      <w:r>
        <w:rPr>
          <w:rFonts w:asciiTheme="minorHAnsi" w:hAnsiTheme="minorHAnsi"/>
          <w:sz w:val="22"/>
          <w:szCs w:val="22"/>
        </w:rPr>
        <w:t xml:space="preserve"> </w:t>
      </w:r>
      <w:r w:rsidRPr="00B55006">
        <w:rPr>
          <w:rFonts w:asciiTheme="minorHAnsi" w:hAnsiTheme="minorHAnsi"/>
          <w:sz w:val="22"/>
          <w:szCs w:val="22"/>
        </w:rPr>
        <w:t>of the Code, which imposes excise taxes</w:t>
      </w:r>
      <w:r>
        <w:rPr>
          <w:rFonts w:asciiTheme="minorHAnsi" w:hAnsiTheme="minorHAnsi"/>
          <w:sz w:val="22"/>
          <w:szCs w:val="22"/>
        </w:rPr>
        <w:t xml:space="preserve"> </w:t>
      </w:r>
      <w:r w:rsidRPr="00B55006">
        <w:rPr>
          <w:rFonts w:asciiTheme="minorHAnsi" w:hAnsiTheme="minorHAnsi"/>
          <w:sz w:val="22"/>
          <w:szCs w:val="22"/>
        </w:rPr>
        <w:t>on taxable distributions made by</w:t>
      </w:r>
      <w:r>
        <w:rPr>
          <w:rFonts w:asciiTheme="minorHAnsi" w:hAnsiTheme="minorHAnsi"/>
          <w:sz w:val="22"/>
          <w:szCs w:val="22"/>
        </w:rPr>
        <w:t xml:space="preserve"> </w:t>
      </w:r>
      <w:r w:rsidRPr="00B55006">
        <w:rPr>
          <w:rFonts w:asciiTheme="minorHAnsi" w:hAnsiTheme="minorHAnsi"/>
          <w:sz w:val="22"/>
          <w:szCs w:val="22"/>
        </w:rPr>
        <w:t>sponsoring organizations from a DAF,</w:t>
      </w:r>
      <w:r>
        <w:rPr>
          <w:rFonts w:asciiTheme="minorHAnsi" w:hAnsiTheme="minorHAnsi"/>
          <w:sz w:val="22"/>
          <w:szCs w:val="22"/>
        </w:rPr>
        <w:t xml:space="preserve"> </w:t>
      </w:r>
      <w:r w:rsidRPr="00B55006">
        <w:rPr>
          <w:rFonts w:asciiTheme="minorHAnsi" w:hAnsiTheme="minorHAnsi"/>
          <w:sz w:val="22"/>
          <w:szCs w:val="22"/>
        </w:rPr>
        <w:t>and on the agreement of certain fund</w:t>
      </w:r>
      <w:r>
        <w:rPr>
          <w:rFonts w:asciiTheme="minorHAnsi" w:hAnsiTheme="minorHAnsi"/>
          <w:sz w:val="22"/>
          <w:szCs w:val="22"/>
        </w:rPr>
        <w:t xml:space="preserve"> </w:t>
      </w:r>
      <w:r w:rsidRPr="00B55006">
        <w:rPr>
          <w:rFonts w:asciiTheme="minorHAnsi" w:hAnsiTheme="minorHAnsi"/>
          <w:sz w:val="22"/>
          <w:szCs w:val="22"/>
        </w:rPr>
        <w:t>managers to the making of such</w:t>
      </w:r>
      <w:r>
        <w:rPr>
          <w:rFonts w:asciiTheme="minorHAnsi" w:hAnsiTheme="minorHAnsi"/>
          <w:sz w:val="22"/>
          <w:szCs w:val="22"/>
        </w:rPr>
        <w:t xml:space="preserve"> </w:t>
      </w:r>
      <w:r w:rsidRPr="00B55006">
        <w:rPr>
          <w:rFonts w:asciiTheme="minorHAnsi" w:hAnsiTheme="minorHAnsi"/>
          <w:sz w:val="22"/>
          <w:szCs w:val="22"/>
        </w:rPr>
        <w:t>distributions.</w:t>
      </w:r>
      <w:r w:rsidR="006C02CB">
        <w:rPr>
          <w:rFonts w:asciiTheme="minorHAnsi" w:hAnsiTheme="minorHAnsi"/>
          <w:sz w:val="22"/>
          <w:szCs w:val="22"/>
        </w:rPr>
        <w:t xml:space="preserve">  </w:t>
      </w:r>
    </w:p>
    <w:p w:rsidR="00B55006" w:rsidP="00B55006" w14:paraId="67236CEB" w14:textId="77777777">
      <w:pPr>
        <w:ind w:left="720"/>
        <w:rPr>
          <w:rFonts w:asciiTheme="minorHAnsi" w:hAnsiTheme="minorHAnsi"/>
          <w:sz w:val="22"/>
          <w:szCs w:val="22"/>
        </w:rPr>
      </w:pPr>
    </w:p>
    <w:p w:rsidR="00B55006" w:rsidP="00B55006" w14:paraId="46DF6681" w14:textId="77777777">
      <w:pPr>
        <w:ind w:left="720"/>
        <w:rPr>
          <w:rFonts w:asciiTheme="minorHAnsi" w:hAnsiTheme="minorHAnsi"/>
          <w:sz w:val="22"/>
          <w:szCs w:val="22"/>
        </w:rPr>
      </w:pPr>
      <w:r w:rsidRPr="00B55006">
        <w:rPr>
          <w:rFonts w:asciiTheme="minorHAnsi" w:hAnsiTheme="minorHAnsi"/>
          <w:sz w:val="22"/>
          <w:szCs w:val="22"/>
        </w:rPr>
        <w:t>This document contains</w:t>
      </w:r>
      <w:r>
        <w:rPr>
          <w:rFonts w:asciiTheme="minorHAnsi" w:hAnsiTheme="minorHAnsi"/>
          <w:sz w:val="22"/>
          <w:szCs w:val="22"/>
        </w:rPr>
        <w:t xml:space="preserve"> </w:t>
      </w:r>
      <w:r w:rsidRPr="00B55006">
        <w:rPr>
          <w:rFonts w:asciiTheme="minorHAnsi" w:hAnsiTheme="minorHAnsi"/>
          <w:sz w:val="22"/>
          <w:szCs w:val="22"/>
        </w:rPr>
        <w:t>proposed regulations regarding excise</w:t>
      </w:r>
      <w:r>
        <w:rPr>
          <w:rFonts w:asciiTheme="minorHAnsi" w:hAnsiTheme="minorHAnsi"/>
          <w:sz w:val="22"/>
          <w:szCs w:val="22"/>
        </w:rPr>
        <w:t xml:space="preserve"> </w:t>
      </w:r>
      <w:r w:rsidRPr="00B55006">
        <w:rPr>
          <w:rFonts w:asciiTheme="minorHAnsi" w:hAnsiTheme="minorHAnsi"/>
          <w:sz w:val="22"/>
          <w:szCs w:val="22"/>
        </w:rPr>
        <w:t>taxes on taxable distributions made by</w:t>
      </w:r>
      <w:r>
        <w:rPr>
          <w:rFonts w:asciiTheme="minorHAnsi" w:hAnsiTheme="minorHAnsi"/>
          <w:sz w:val="22"/>
          <w:szCs w:val="22"/>
        </w:rPr>
        <w:t xml:space="preserve"> </w:t>
      </w:r>
      <w:r w:rsidRPr="00B55006">
        <w:rPr>
          <w:rFonts w:asciiTheme="minorHAnsi" w:hAnsiTheme="minorHAnsi"/>
          <w:sz w:val="22"/>
          <w:szCs w:val="22"/>
        </w:rPr>
        <w:t>a sponsoring organization from a donor</w:t>
      </w:r>
      <w:r>
        <w:rPr>
          <w:rFonts w:asciiTheme="minorHAnsi" w:hAnsiTheme="minorHAnsi"/>
          <w:sz w:val="22"/>
          <w:szCs w:val="22"/>
        </w:rPr>
        <w:t xml:space="preserve"> </w:t>
      </w:r>
      <w:r w:rsidRPr="00B55006">
        <w:rPr>
          <w:rFonts w:asciiTheme="minorHAnsi" w:hAnsiTheme="minorHAnsi"/>
          <w:sz w:val="22"/>
          <w:szCs w:val="22"/>
        </w:rPr>
        <w:t>advised fund (DAF), and on the</w:t>
      </w:r>
      <w:r>
        <w:rPr>
          <w:rFonts w:asciiTheme="minorHAnsi" w:hAnsiTheme="minorHAnsi"/>
          <w:sz w:val="22"/>
          <w:szCs w:val="22"/>
        </w:rPr>
        <w:t xml:space="preserve"> </w:t>
      </w:r>
      <w:r w:rsidRPr="00B55006">
        <w:rPr>
          <w:rFonts w:asciiTheme="minorHAnsi" w:hAnsiTheme="minorHAnsi"/>
          <w:sz w:val="22"/>
          <w:szCs w:val="22"/>
        </w:rPr>
        <w:t>agreement of certain fund managers to</w:t>
      </w:r>
      <w:r>
        <w:rPr>
          <w:rFonts w:asciiTheme="minorHAnsi" w:hAnsiTheme="minorHAnsi"/>
          <w:sz w:val="22"/>
          <w:szCs w:val="22"/>
        </w:rPr>
        <w:t xml:space="preserve"> </w:t>
      </w:r>
      <w:r w:rsidRPr="00B55006">
        <w:rPr>
          <w:rFonts w:asciiTheme="minorHAnsi" w:hAnsiTheme="minorHAnsi"/>
          <w:sz w:val="22"/>
          <w:szCs w:val="22"/>
        </w:rPr>
        <w:t>the making of such distributions. The</w:t>
      </w:r>
      <w:r>
        <w:rPr>
          <w:rFonts w:asciiTheme="minorHAnsi" w:hAnsiTheme="minorHAnsi"/>
          <w:sz w:val="22"/>
          <w:szCs w:val="22"/>
        </w:rPr>
        <w:t xml:space="preserve"> </w:t>
      </w:r>
      <w:r w:rsidRPr="00B55006">
        <w:rPr>
          <w:rFonts w:asciiTheme="minorHAnsi" w:hAnsiTheme="minorHAnsi"/>
          <w:sz w:val="22"/>
          <w:szCs w:val="22"/>
        </w:rPr>
        <w:t>proposed regulations would provide</w:t>
      </w:r>
      <w:r>
        <w:rPr>
          <w:rFonts w:asciiTheme="minorHAnsi" w:hAnsiTheme="minorHAnsi"/>
          <w:sz w:val="22"/>
          <w:szCs w:val="22"/>
        </w:rPr>
        <w:t xml:space="preserve"> </w:t>
      </w:r>
      <w:r w:rsidRPr="00B55006">
        <w:rPr>
          <w:rFonts w:asciiTheme="minorHAnsi" w:hAnsiTheme="minorHAnsi"/>
          <w:sz w:val="22"/>
          <w:szCs w:val="22"/>
        </w:rPr>
        <w:t>guidance regarding DAFs and taxable</w:t>
      </w:r>
      <w:r>
        <w:rPr>
          <w:rFonts w:asciiTheme="minorHAnsi" w:hAnsiTheme="minorHAnsi"/>
          <w:sz w:val="22"/>
          <w:szCs w:val="22"/>
        </w:rPr>
        <w:t xml:space="preserve"> </w:t>
      </w:r>
      <w:r w:rsidRPr="00B55006">
        <w:rPr>
          <w:rFonts w:asciiTheme="minorHAnsi" w:hAnsiTheme="minorHAnsi"/>
          <w:sz w:val="22"/>
          <w:szCs w:val="22"/>
        </w:rPr>
        <w:t>distributions. The proposed regulations</w:t>
      </w:r>
      <w:r>
        <w:rPr>
          <w:rFonts w:asciiTheme="minorHAnsi" w:hAnsiTheme="minorHAnsi"/>
          <w:sz w:val="22"/>
          <w:szCs w:val="22"/>
        </w:rPr>
        <w:t xml:space="preserve"> </w:t>
      </w:r>
      <w:r w:rsidRPr="00B55006">
        <w:rPr>
          <w:rFonts w:asciiTheme="minorHAnsi" w:hAnsiTheme="minorHAnsi"/>
          <w:sz w:val="22"/>
          <w:szCs w:val="22"/>
        </w:rPr>
        <w:t>generally would apply to certain</w:t>
      </w:r>
      <w:r>
        <w:rPr>
          <w:rFonts w:asciiTheme="minorHAnsi" w:hAnsiTheme="minorHAnsi"/>
          <w:sz w:val="22"/>
          <w:szCs w:val="22"/>
        </w:rPr>
        <w:t xml:space="preserve"> </w:t>
      </w:r>
      <w:r w:rsidRPr="00B55006">
        <w:rPr>
          <w:rFonts w:asciiTheme="minorHAnsi" w:hAnsiTheme="minorHAnsi"/>
          <w:sz w:val="22"/>
          <w:szCs w:val="22"/>
        </w:rPr>
        <w:t>organizations, including community</w:t>
      </w:r>
      <w:r>
        <w:rPr>
          <w:rFonts w:asciiTheme="minorHAnsi" w:hAnsiTheme="minorHAnsi"/>
          <w:sz w:val="22"/>
          <w:szCs w:val="22"/>
        </w:rPr>
        <w:t xml:space="preserve"> </w:t>
      </w:r>
      <w:r w:rsidRPr="00B55006">
        <w:rPr>
          <w:rFonts w:asciiTheme="minorHAnsi" w:hAnsiTheme="minorHAnsi"/>
          <w:sz w:val="22"/>
          <w:szCs w:val="22"/>
        </w:rPr>
        <w:t>foundations and other charitable</w:t>
      </w:r>
      <w:r>
        <w:rPr>
          <w:rFonts w:asciiTheme="minorHAnsi" w:hAnsiTheme="minorHAnsi"/>
          <w:sz w:val="22"/>
          <w:szCs w:val="22"/>
        </w:rPr>
        <w:t xml:space="preserve"> </w:t>
      </w:r>
      <w:r w:rsidRPr="00B55006">
        <w:rPr>
          <w:rFonts w:asciiTheme="minorHAnsi" w:hAnsiTheme="minorHAnsi"/>
          <w:sz w:val="22"/>
          <w:szCs w:val="22"/>
        </w:rPr>
        <w:t>organizations, that maintain one or more</w:t>
      </w:r>
      <w:r>
        <w:rPr>
          <w:rFonts w:asciiTheme="minorHAnsi" w:hAnsiTheme="minorHAnsi"/>
          <w:sz w:val="22"/>
          <w:szCs w:val="22"/>
        </w:rPr>
        <w:t xml:space="preserve"> </w:t>
      </w:r>
      <w:r w:rsidRPr="00B55006">
        <w:rPr>
          <w:rFonts w:asciiTheme="minorHAnsi" w:hAnsiTheme="minorHAnsi"/>
          <w:sz w:val="22"/>
          <w:szCs w:val="22"/>
        </w:rPr>
        <w:t>DAFs, and to other persons involved</w:t>
      </w:r>
      <w:r>
        <w:rPr>
          <w:rFonts w:asciiTheme="minorHAnsi" w:hAnsiTheme="minorHAnsi"/>
          <w:sz w:val="22"/>
          <w:szCs w:val="22"/>
        </w:rPr>
        <w:t xml:space="preserve"> </w:t>
      </w:r>
      <w:r w:rsidRPr="00B55006">
        <w:rPr>
          <w:rFonts w:asciiTheme="minorHAnsi" w:hAnsiTheme="minorHAnsi"/>
          <w:sz w:val="22"/>
          <w:szCs w:val="22"/>
        </w:rPr>
        <w:t>with the DAFs, including donors,</w:t>
      </w:r>
      <w:r>
        <w:rPr>
          <w:rFonts w:asciiTheme="minorHAnsi" w:hAnsiTheme="minorHAnsi"/>
          <w:sz w:val="22"/>
          <w:szCs w:val="22"/>
        </w:rPr>
        <w:t xml:space="preserve"> </w:t>
      </w:r>
      <w:r w:rsidRPr="00B55006">
        <w:rPr>
          <w:rFonts w:asciiTheme="minorHAnsi" w:hAnsiTheme="minorHAnsi"/>
          <w:sz w:val="22"/>
          <w:szCs w:val="22"/>
        </w:rPr>
        <w:t>donor-advisors, related persons, and</w:t>
      </w:r>
      <w:r>
        <w:rPr>
          <w:rFonts w:asciiTheme="minorHAnsi" w:hAnsiTheme="minorHAnsi"/>
          <w:sz w:val="22"/>
          <w:szCs w:val="22"/>
        </w:rPr>
        <w:t xml:space="preserve"> </w:t>
      </w:r>
      <w:r w:rsidRPr="00B55006">
        <w:rPr>
          <w:rFonts w:asciiTheme="minorHAnsi" w:hAnsiTheme="minorHAnsi"/>
          <w:sz w:val="22"/>
          <w:szCs w:val="22"/>
        </w:rPr>
        <w:t>certain fund managers.</w:t>
      </w:r>
      <w:r>
        <w:rPr>
          <w:rFonts w:asciiTheme="minorHAnsi" w:hAnsiTheme="minorHAnsi"/>
          <w:sz w:val="22"/>
          <w:szCs w:val="22"/>
        </w:rPr>
        <w:t xml:space="preserve">  </w:t>
      </w:r>
    </w:p>
    <w:p w:rsidR="00B55006" w:rsidP="00B55006" w14:paraId="6CF0F993" w14:textId="77777777">
      <w:pPr>
        <w:ind w:left="720"/>
        <w:rPr>
          <w:rFonts w:asciiTheme="minorHAnsi" w:hAnsiTheme="minorHAnsi"/>
          <w:sz w:val="22"/>
          <w:szCs w:val="22"/>
        </w:rPr>
      </w:pPr>
    </w:p>
    <w:p w:rsidR="006C1B3C" w:rsidP="00B55006" w14:paraId="3B147904" w14:textId="65ECC74B">
      <w:pPr>
        <w:ind w:left="720"/>
        <w:rPr>
          <w:rFonts w:asciiTheme="minorHAnsi" w:hAnsiTheme="minorHAnsi"/>
          <w:sz w:val="22"/>
          <w:szCs w:val="22"/>
        </w:rPr>
      </w:pPr>
      <w:r w:rsidRPr="00B55006">
        <w:rPr>
          <w:rFonts w:asciiTheme="minorHAnsi" w:hAnsiTheme="minorHAnsi"/>
          <w:sz w:val="22"/>
          <w:szCs w:val="22"/>
        </w:rPr>
        <w:t>This notice of proposed</w:t>
      </w:r>
      <w:r>
        <w:rPr>
          <w:rFonts w:asciiTheme="minorHAnsi" w:hAnsiTheme="minorHAnsi"/>
          <w:sz w:val="22"/>
          <w:szCs w:val="22"/>
        </w:rPr>
        <w:t xml:space="preserve"> </w:t>
      </w:r>
      <w:r w:rsidRPr="00B55006">
        <w:rPr>
          <w:rFonts w:asciiTheme="minorHAnsi" w:hAnsiTheme="minorHAnsi"/>
          <w:sz w:val="22"/>
          <w:szCs w:val="22"/>
        </w:rPr>
        <w:t>rulemaking contains proposed</w:t>
      </w:r>
      <w:r>
        <w:rPr>
          <w:rFonts w:asciiTheme="minorHAnsi" w:hAnsiTheme="minorHAnsi"/>
          <w:sz w:val="22"/>
          <w:szCs w:val="22"/>
        </w:rPr>
        <w:t xml:space="preserve"> </w:t>
      </w:r>
      <w:r w:rsidRPr="00B55006">
        <w:rPr>
          <w:rFonts w:asciiTheme="minorHAnsi" w:hAnsiTheme="minorHAnsi"/>
          <w:sz w:val="22"/>
          <w:szCs w:val="22"/>
        </w:rPr>
        <w:t>amendments to 26 CFR part</w:t>
      </w:r>
      <w:r>
        <w:rPr>
          <w:rFonts w:asciiTheme="minorHAnsi" w:hAnsiTheme="minorHAnsi"/>
          <w:sz w:val="22"/>
          <w:szCs w:val="22"/>
        </w:rPr>
        <w:t xml:space="preserve"> </w:t>
      </w:r>
      <w:r w:rsidRPr="00B55006">
        <w:rPr>
          <w:rFonts w:asciiTheme="minorHAnsi" w:hAnsiTheme="minorHAnsi"/>
          <w:sz w:val="22"/>
          <w:szCs w:val="22"/>
        </w:rPr>
        <w:t>53</w:t>
      </w:r>
      <w:r>
        <w:rPr>
          <w:rFonts w:asciiTheme="minorHAnsi" w:hAnsiTheme="minorHAnsi"/>
          <w:sz w:val="22"/>
          <w:szCs w:val="22"/>
        </w:rPr>
        <w:t xml:space="preserve"> </w:t>
      </w:r>
      <w:r w:rsidRPr="00B55006">
        <w:rPr>
          <w:rFonts w:asciiTheme="minorHAnsi" w:hAnsiTheme="minorHAnsi"/>
          <w:sz w:val="22"/>
          <w:szCs w:val="22"/>
        </w:rPr>
        <w:t>(Foundation and Similar Excise Taxes)</w:t>
      </w:r>
      <w:r>
        <w:rPr>
          <w:rFonts w:asciiTheme="minorHAnsi" w:hAnsiTheme="minorHAnsi"/>
          <w:sz w:val="22"/>
          <w:szCs w:val="22"/>
        </w:rPr>
        <w:t xml:space="preserve"> </w:t>
      </w:r>
      <w:r w:rsidRPr="00B55006">
        <w:rPr>
          <w:rFonts w:asciiTheme="minorHAnsi" w:hAnsiTheme="minorHAnsi"/>
          <w:sz w:val="22"/>
          <w:szCs w:val="22"/>
        </w:rPr>
        <w:t>under section 4966 (proposed</w:t>
      </w:r>
      <w:r>
        <w:rPr>
          <w:rFonts w:asciiTheme="minorHAnsi" w:hAnsiTheme="minorHAnsi"/>
          <w:sz w:val="22"/>
          <w:szCs w:val="22"/>
        </w:rPr>
        <w:t xml:space="preserve"> </w:t>
      </w:r>
      <w:r w:rsidRPr="00B55006">
        <w:rPr>
          <w:rFonts w:asciiTheme="minorHAnsi" w:hAnsiTheme="minorHAnsi"/>
          <w:sz w:val="22"/>
          <w:szCs w:val="22"/>
        </w:rPr>
        <w:t>regulations).</w:t>
      </w:r>
      <w:r>
        <w:rPr>
          <w:rFonts w:asciiTheme="minorHAnsi" w:hAnsiTheme="minorHAnsi"/>
          <w:sz w:val="22"/>
          <w:szCs w:val="22"/>
        </w:rPr>
        <w:t xml:space="preserve">  </w:t>
      </w:r>
    </w:p>
    <w:bookmarkEnd w:id="0"/>
    <w:p w:rsidR="006C1B3C" w14:paraId="1B7359C2" w14:textId="77777777">
      <w:pPr>
        <w:rPr>
          <w:rFonts w:asciiTheme="minorHAnsi" w:hAnsiTheme="minorHAnsi"/>
          <w:sz w:val="22"/>
          <w:szCs w:val="22"/>
        </w:rPr>
      </w:pPr>
      <w:r>
        <w:rPr>
          <w:rFonts w:asciiTheme="minorHAnsi" w:hAnsiTheme="minorHAnsi" w:cs="Courier New"/>
          <w:sz w:val="22"/>
          <w:szCs w:val="22"/>
        </w:rPr>
        <w:t xml:space="preserve">  </w:t>
      </w:r>
    </w:p>
    <w:p w:rsidR="006C1B3C" w14:paraId="33473002"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USE OF DATA</w:t>
      </w:r>
    </w:p>
    <w:p w:rsidR="006C1B3C" w:rsidP="00293689" w14:paraId="4D098FF9" w14:textId="5662DF55">
      <w:pPr>
        <w:ind w:left="630"/>
        <w:rPr>
          <w:rFonts w:asciiTheme="minorHAnsi" w:hAnsiTheme="minorHAnsi"/>
          <w:sz w:val="22"/>
          <w:szCs w:val="22"/>
        </w:rPr>
      </w:pPr>
    </w:p>
    <w:p w:rsidR="00293689" w:rsidP="00293689" w14:paraId="2A1E9274" w14:textId="6CBEF5C5">
      <w:pPr>
        <w:ind w:left="720"/>
        <w:rPr>
          <w:rFonts w:asciiTheme="minorHAnsi" w:hAnsiTheme="minorHAnsi"/>
          <w:sz w:val="22"/>
          <w:szCs w:val="22"/>
        </w:rPr>
      </w:pPr>
      <w:r w:rsidRPr="00293689">
        <w:rPr>
          <w:rFonts w:asciiTheme="minorHAnsi" w:hAnsiTheme="minorHAnsi"/>
          <w:sz w:val="22"/>
          <w:szCs w:val="22"/>
        </w:rPr>
        <w:t>The information</w:t>
      </w:r>
      <w:r w:rsidR="006612FA">
        <w:rPr>
          <w:rFonts w:asciiTheme="minorHAnsi" w:hAnsiTheme="minorHAnsi"/>
          <w:sz w:val="22"/>
          <w:szCs w:val="22"/>
        </w:rPr>
        <w:t xml:space="preserve"> collections are recordkeeping and third-party disclosures, that</w:t>
      </w:r>
      <w:r w:rsidRPr="00293689">
        <w:rPr>
          <w:rFonts w:asciiTheme="minorHAnsi" w:hAnsiTheme="minorHAnsi"/>
          <w:sz w:val="22"/>
          <w:szCs w:val="22"/>
        </w:rPr>
        <w:t xml:space="preserve"> is used and will be used by the IRS to enforce the Internal Revenue laws discussed above.  The IRS </w:t>
      </w:r>
      <w:r w:rsidR="006612FA">
        <w:rPr>
          <w:rFonts w:asciiTheme="minorHAnsi" w:hAnsiTheme="minorHAnsi"/>
          <w:sz w:val="22"/>
          <w:szCs w:val="22"/>
        </w:rPr>
        <w:t xml:space="preserve">may </w:t>
      </w:r>
      <w:r w:rsidRPr="00293689">
        <w:rPr>
          <w:rFonts w:asciiTheme="minorHAnsi" w:hAnsiTheme="minorHAnsi"/>
          <w:sz w:val="22"/>
          <w:szCs w:val="22"/>
        </w:rPr>
        <w:t xml:space="preserve">review the information during examinations.  </w:t>
      </w:r>
    </w:p>
    <w:p w:rsidR="00E27E4D" w14:paraId="7F4764F3" w14:textId="77777777">
      <w:pPr>
        <w:rPr>
          <w:rFonts w:asciiTheme="minorHAnsi" w:hAnsiTheme="minorHAnsi"/>
          <w:sz w:val="22"/>
          <w:szCs w:val="22"/>
        </w:rPr>
      </w:pPr>
    </w:p>
    <w:p w:rsidR="006C1B3C" w14:paraId="01A84DC7"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USE OF IMPROVED INFORMATION TECHNOLOGY TO REDUCE BURDEN</w:t>
      </w:r>
    </w:p>
    <w:p w:rsidR="006C1B3C" w14:paraId="30BC7B40" w14:textId="77777777">
      <w:pPr>
        <w:ind w:firstLine="720"/>
        <w:rPr>
          <w:rFonts w:asciiTheme="minorHAnsi" w:hAnsiTheme="minorHAnsi"/>
          <w:sz w:val="22"/>
          <w:szCs w:val="22"/>
        </w:rPr>
      </w:pPr>
    </w:p>
    <w:p w:rsidR="00950E26" w:rsidP="009B5713" w14:paraId="09C412DE" w14:textId="2DB0CA7D">
      <w:pPr>
        <w:ind w:left="720"/>
        <w:rPr>
          <w:rFonts w:asciiTheme="minorHAnsi" w:hAnsiTheme="minorHAnsi"/>
          <w:sz w:val="22"/>
          <w:szCs w:val="22"/>
        </w:rPr>
      </w:pPr>
      <w:r>
        <w:rPr>
          <w:rFonts w:asciiTheme="minorHAnsi" w:hAnsiTheme="minorHAnsi"/>
          <w:sz w:val="22"/>
          <w:szCs w:val="22"/>
        </w:rPr>
        <w:t xml:space="preserve">IRS has no plans to offer electronic filing as these are recordkeeping and third-party disclosure requirements. </w:t>
      </w:r>
    </w:p>
    <w:p w:rsidR="009B5713" w:rsidP="009B5713" w14:paraId="3CC5AB71" w14:textId="77777777">
      <w:pPr>
        <w:ind w:left="720"/>
        <w:rPr>
          <w:rFonts w:asciiTheme="minorHAnsi" w:hAnsiTheme="minorHAnsi"/>
          <w:sz w:val="22"/>
          <w:szCs w:val="22"/>
        </w:rPr>
      </w:pPr>
    </w:p>
    <w:p w:rsidR="006C1B3C" w14:paraId="503496F6"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EFFORTS TO IDENTIFY DUPLICATION</w:t>
      </w:r>
    </w:p>
    <w:p w:rsidR="006C1B3C" w14:paraId="0C902D44" w14:textId="77777777">
      <w:pPr>
        <w:rPr>
          <w:rFonts w:asciiTheme="minorHAnsi" w:hAnsiTheme="minorHAnsi"/>
          <w:sz w:val="22"/>
          <w:szCs w:val="22"/>
        </w:rPr>
      </w:pPr>
    </w:p>
    <w:p w:rsidR="006C1B3C" w14:paraId="122551A3" w14:textId="77777777">
      <w:pPr>
        <w:ind w:left="720"/>
        <w:rPr>
          <w:rFonts w:asciiTheme="minorHAnsi" w:hAnsiTheme="minorHAnsi" w:cs="Courier New"/>
          <w:sz w:val="22"/>
          <w:szCs w:val="22"/>
        </w:rPr>
      </w:pPr>
      <w:r>
        <w:rPr>
          <w:rFonts w:asciiTheme="minorHAnsi" w:hAnsiTheme="minorHAnsi"/>
          <w:iCs/>
          <w:sz w:val="22"/>
          <w:szCs w:val="22"/>
        </w:rPr>
        <w:t>The information obtained through this collection is unique and is not already available for use or adaptation from another source.</w:t>
      </w:r>
    </w:p>
    <w:p w:rsidR="006C1B3C" w14:paraId="3CB99C14" w14:textId="77777777">
      <w:pPr>
        <w:rPr>
          <w:rFonts w:ascii="Courier New" w:hAnsi="Courier New"/>
        </w:rPr>
      </w:pPr>
    </w:p>
    <w:p w:rsidR="006C1B3C" w14:paraId="37A57825"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METHODS TO MINIMIZE BURDEN ON SMALL BUSINESSES OR OTHER SMALL ENTITIES</w:t>
      </w:r>
    </w:p>
    <w:p w:rsidR="006C1B3C" w14:paraId="61FEE4DA" w14:textId="77777777">
      <w:pPr>
        <w:rPr>
          <w:rFonts w:asciiTheme="minorHAnsi" w:hAnsiTheme="minorHAnsi"/>
          <w:sz w:val="22"/>
          <w:szCs w:val="22"/>
        </w:rPr>
      </w:pPr>
    </w:p>
    <w:p w:rsidR="006C1B3C" w14:paraId="0A9E6EFE" w14:textId="2DE458B3">
      <w:pPr>
        <w:ind w:left="720"/>
        <w:rPr>
          <w:rFonts w:asciiTheme="minorHAnsi" w:hAnsiTheme="minorHAnsi"/>
          <w:sz w:val="22"/>
          <w:szCs w:val="22"/>
        </w:rPr>
      </w:pPr>
      <w:r>
        <w:rPr>
          <w:rFonts w:asciiTheme="minorHAnsi" w:hAnsiTheme="minorHAnsi"/>
          <w:sz w:val="22"/>
          <w:szCs w:val="22"/>
        </w:rPr>
        <w:t>Th</w:t>
      </w:r>
      <w:r w:rsidRPr="00CC7108">
        <w:rPr>
          <w:rFonts w:asciiTheme="minorHAnsi" w:hAnsiTheme="minorHAnsi"/>
          <w:sz w:val="22"/>
          <w:szCs w:val="22"/>
        </w:rPr>
        <w:t>e collection of information is not expected to have a significant economic impact on a substantial number of small entities</w:t>
      </w:r>
      <w:r w:rsidR="00FD681B">
        <w:rPr>
          <w:rFonts w:asciiTheme="minorHAnsi" w:hAnsiTheme="minorHAnsi"/>
          <w:sz w:val="22"/>
          <w:szCs w:val="22"/>
        </w:rPr>
        <w:t>.</w:t>
      </w:r>
    </w:p>
    <w:p w:rsidR="006C1B3C" w14:paraId="7B14BA0C" w14:textId="77777777">
      <w:pPr>
        <w:rPr>
          <w:rFonts w:asciiTheme="minorHAnsi" w:hAnsiTheme="minorHAnsi"/>
          <w:sz w:val="22"/>
          <w:szCs w:val="22"/>
        </w:rPr>
      </w:pPr>
    </w:p>
    <w:p w:rsidR="006C1B3C" w14:paraId="65324BE7" w14:textId="77777777">
      <w:pPr>
        <w:pStyle w:val="Quick1"/>
        <w:numPr>
          <w:ilvl w:val="0"/>
          <w:numId w:val="1"/>
        </w:numPr>
        <w:tabs>
          <w:tab w:val="left" w:pos="-1440"/>
          <w:tab w:val="num" w:pos="720"/>
        </w:tabs>
        <w:rPr>
          <w:rFonts w:asciiTheme="minorHAnsi" w:hAnsiTheme="minorHAnsi"/>
          <w:b/>
          <w:bCs/>
          <w:sz w:val="22"/>
          <w:szCs w:val="22"/>
        </w:rPr>
      </w:pPr>
      <w:r>
        <w:rPr>
          <w:rFonts w:asciiTheme="minorHAnsi" w:hAnsiTheme="minorHAnsi"/>
          <w:b/>
          <w:bCs/>
          <w:sz w:val="22"/>
          <w:szCs w:val="22"/>
          <w:u w:val="single"/>
        </w:rPr>
        <w:t>CONSEQUENCES OF LESS FREQUENT COLLECTION ON FEDERAL PROGRAMS OR POLICY ACTIVITIES</w:t>
      </w:r>
    </w:p>
    <w:p w:rsidR="006C1B3C" w14:paraId="5596CC56" w14:textId="77777777">
      <w:pPr>
        <w:ind w:left="720"/>
        <w:rPr>
          <w:rFonts w:asciiTheme="minorHAnsi" w:hAnsiTheme="minorHAnsi"/>
          <w:sz w:val="22"/>
          <w:szCs w:val="22"/>
        </w:rPr>
      </w:pPr>
    </w:p>
    <w:p w:rsidR="006C1B3C" w14:paraId="1529DCE8" w14:textId="774AD5AE">
      <w:pPr>
        <w:ind w:left="720"/>
        <w:rPr>
          <w:rFonts w:asciiTheme="minorHAnsi" w:hAnsiTheme="minorHAnsi"/>
          <w:sz w:val="22"/>
          <w:szCs w:val="22"/>
        </w:rPr>
      </w:pPr>
      <w:r>
        <w:rPr>
          <w:rFonts w:asciiTheme="minorHAnsi" w:hAnsiTheme="minorHAnsi"/>
          <w:sz w:val="22"/>
          <w:szCs w:val="22"/>
        </w:rPr>
        <w:t xml:space="preserve">Consequences of less frequent collection would </w:t>
      </w:r>
      <w:r w:rsidR="00CC7108">
        <w:rPr>
          <w:rFonts w:asciiTheme="minorHAnsi" w:hAnsiTheme="minorHAnsi"/>
          <w:sz w:val="22"/>
          <w:szCs w:val="22"/>
        </w:rPr>
        <w:t>affect</w:t>
      </w:r>
      <w:r>
        <w:rPr>
          <w:rFonts w:asciiTheme="minorHAnsi" w:hAnsiTheme="minorHAnsi"/>
          <w:sz w:val="22"/>
          <w:szCs w:val="22"/>
        </w:rPr>
        <w:t xml:space="preserve"> the IRS </w:t>
      </w:r>
      <w:r w:rsidRPr="00CC7108" w:rsidR="00CC7108">
        <w:rPr>
          <w:rFonts w:asciiTheme="minorHAnsi" w:hAnsiTheme="minorHAnsi"/>
          <w:sz w:val="22"/>
          <w:szCs w:val="22"/>
        </w:rPr>
        <w:t>ability to enforce laws governing such donor advised funds and similar funds or accounts would suffer.  The collection of information is required by law to establish compliance with the laws governing such donor advised funds and similar funds or accounts.</w:t>
      </w:r>
    </w:p>
    <w:p w:rsidR="006C1B3C" w14:paraId="020C65B6" w14:textId="77777777">
      <w:pPr>
        <w:ind w:left="720"/>
        <w:rPr>
          <w:rFonts w:asciiTheme="minorHAnsi" w:hAnsiTheme="minorHAnsi"/>
          <w:sz w:val="22"/>
          <w:szCs w:val="22"/>
        </w:rPr>
      </w:pPr>
    </w:p>
    <w:p w:rsidR="006C1B3C" w14:paraId="30A697CA" w14:textId="7254DB60">
      <w:pPr>
        <w:ind w:left="720"/>
        <w:rPr>
          <w:rFonts w:asciiTheme="minorHAnsi" w:hAnsiTheme="minorHAnsi"/>
          <w:sz w:val="22"/>
          <w:szCs w:val="22"/>
        </w:rPr>
      </w:pPr>
      <w:r>
        <w:rPr>
          <w:rFonts w:asciiTheme="minorHAnsi" w:hAnsiTheme="minorHAnsi"/>
          <w:sz w:val="22"/>
          <w:szCs w:val="22"/>
        </w:rPr>
        <w:t xml:space="preserve">Consequences of less frequent collection on federal programs or policy activities would consist of decreased amount of taxes collected by the </w:t>
      </w:r>
      <w:r w:rsidR="00950E26">
        <w:rPr>
          <w:rFonts w:asciiTheme="minorHAnsi" w:hAnsiTheme="minorHAnsi"/>
          <w:sz w:val="22"/>
          <w:szCs w:val="22"/>
        </w:rPr>
        <w:t>IRS</w:t>
      </w:r>
      <w:r>
        <w:rPr>
          <w:rFonts w:asciiTheme="minorHAnsi" w:hAnsiTheme="minorHAnsi"/>
          <w:sz w:val="22"/>
          <w:szCs w:val="22"/>
        </w:rPr>
        <w:t>, inaccurate and untimely filing of tax returns, and an increase in tax violations.</w:t>
      </w:r>
    </w:p>
    <w:p w:rsidR="006C1B3C" w14:paraId="0219DB5C" w14:textId="77777777">
      <w:pPr>
        <w:rPr>
          <w:rFonts w:asciiTheme="minorHAnsi" w:hAnsiTheme="minorHAnsi"/>
          <w:sz w:val="22"/>
          <w:szCs w:val="22"/>
        </w:rPr>
      </w:pPr>
    </w:p>
    <w:p w:rsidR="006C1B3C" w14:paraId="3500FAAA" w14:textId="77777777">
      <w:pPr>
        <w:tabs>
          <w:tab w:val="left" w:pos="-1440"/>
        </w:tabs>
        <w:ind w:left="720" w:hanging="720"/>
        <w:rPr>
          <w:rFonts w:asciiTheme="minorHAnsi" w:hAnsiTheme="minorHAnsi"/>
          <w:b/>
          <w:bCs/>
          <w:sz w:val="22"/>
          <w:szCs w:val="22"/>
        </w:rPr>
      </w:pPr>
      <w:r>
        <w:rPr>
          <w:rFonts w:asciiTheme="minorHAnsi" w:hAnsiTheme="minorHAnsi"/>
          <w:sz w:val="22"/>
          <w:szCs w:val="22"/>
        </w:rPr>
        <w:t>7.</w:t>
      </w:r>
      <w:r>
        <w:rPr>
          <w:rFonts w:asciiTheme="minorHAnsi" w:hAnsiTheme="minorHAnsi"/>
          <w:sz w:val="22"/>
          <w:szCs w:val="22"/>
        </w:rPr>
        <w:tab/>
      </w:r>
      <w:r>
        <w:rPr>
          <w:rFonts w:asciiTheme="minorHAnsi" w:hAnsiTheme="minorHAnsi"/>
          <w:b/>
          <w:bCs/>
          <w:sz w:val="22"/>
          <w:szCs w:val="22"/>
          <w:u w:val="single"/>
        </w:rPr>
        <w:t>SPECIAL CIRCUMSTANCES REQUIRING DATA COLLECTION TO BE INCONSISTENT WITH GUIDELINES IN 5 C.F.R. 1320.5(d)(2)</w:t>
      </w:r>
    </w:p>
    <w:p w:rsidR="006C1B3C" w14:paraId="019D25FA" w14:textId="77777777">
      <w:pPr>
        <w:rPr>
          <w:rFonts w:asciiTheme="minorHAnsi" w:hAnsiTheme="minorHAnsi"/>
          <w:sz w:val="22"/>
          <w:szCs w:val="22"/>
        </w:rPr>
      </w:pPr>
    </w:p>
    <w:p w:rsidR="006C1B3C" w14:paraId="04C6A69D" w14:textId="77777777">
      <w:pPr>
        <w:ind w:left="720"/>
        <w:rPr>
          <w:rFonts w:asciiTheme="minorHAnsi" w:hAnsiTheme="minorHAnsi"/>
          <w:sz w:val="22"/>
          <w:szCs w:val="22"/>
        </w:rPr>
      </w:pPr>
      <w:r>
        <w:rPr>
          <w:rFonts w:asciiTheme="minorHAnsi" w:hAnsiTheme="minorHAnsi"/>
          <w:sz w:val="22"/>
          <w:szCs w:val="22"/>
        </w:rPr>
        <w:t xml:space="preserve">There are no special circumstances requiring data collection to be inconsistent with Guidelines in 5 CFR 1320.5(d)(2).  </w:t>
      </w:r>
    </w:p>
    <w:p w:rsidR="006C1B3C" w14:paraId="53F290C1" w14:textId="77777777">
      <w:pPr>
        <w:rPr>
          <w:rFonts w:ascii="Courier New" w:hAnsi="Courier New"/>
        </w:rPr>
      </w:pPr>
    </w:p>
    <w:p w:rsidR="006C1B3C" w14:paraId="1BA81889" w14:textId="77777777">
      <w:pPr>
        <w:pStyle w:val="Quick1"/>
        <w:tabs>
          <w:tab w:val="left" w:pos="-1440"/>
          <w:tab w:val="num" w:pos="720"/>
        </w:tabs>
        <w:rPr>
          <w:rFonts w:asciiTheme="minorHAnsi" w:hAnsiTheme="minorHAnsi"/>
          <w:b/>
          <w:bCs/>
          <w:sz w:val="22"/>
          <w:szCs w:val="22"/>
        </w:rPr>
      </w:pPr>
      <w:r>
        <w:rPr>
          <w:rFonts w:asciiTheme="minorHAnsi" w:hAnsiTheme="minorHAnsi"/>
          <w:b/>
          <w:bCs/>
          <w:sz w:val="22"/>
          <w:szCs w:val="22"/>
          <w:u w:val="single"/>
        </w:rPr>
        <w:t>CONSULTATION WITH INDIVIDUALS OUTSIDE THE AGENCY ON AVAILABILITY OF DATA, FREQUENCY OF COLLECTION, CLARITY OF INSTRUCTIONS AND FORMS, AND DATA ELEMENTS</w:t>
      </w:r>
    </w:p>
    <w:p w:rsidR="006C1B3C" w14:paraId="1AC200E3" w14:textId="77777777">
      <w:pPr>
        <w:pStyle w:val="Quick1"/>
        <w:numPr>
          <w:ilvl w:val="0"/>
          <w:numId w:val="0"/>
        </w:numPr>
        <w:ind w:left="720"/>
        <w:rPr>
          <w:rFonts w:ascii="Courier New" w:hAnsi="Courier New" w:cs="Courier New"/>
        </w:rPr>
      </w:pPr>
    </w:p>
    <w:p w:rsidR="000A3629" w:rsidRPr="000A3629" w:rsidP="000A3629" w14:paraId="151A750C" w14:textId="5FD16CDE">
      <w:pPr>
        <w:ind w:left="720"/>
        <w:rPr>
          <w:rFonts w:asciiTheme="minorHAnsi" w:hAnsiTheme="minorHAnsi"/>
          <w:sz w:val="22"/>
          <w:szCs w:val="22"/>
        </w:rPr>
      </w:pPr>
      <w:r w:rsidRPr="000A3629">
        <w:rPr>
          <w:rFonts w:asciiTheme="minorHAnsi" w:hAnsiTheme="minorHAnsi"/>
          <w:sz w:val="22"/>
          <w:szCs w:val="22"/>
        </w:rPr>
        <w:t>In December 2006, the Treasury</w:t>
      </w:r>
      <w:r>
        <w:rPr>
          <w:rFonts w:asciiTheme="minorHAnsi" w:hAnsiTheme="minorHAnsi"/>
          <w:sz w:val="22"/>
          <w:szCs w:val="22"/>
        </w:rPr>
        <w:t xml:space="preserve"> </w:t>
      </w:r>
      <w:r w:rsidRPr="000A3629">
        <w:rPr>
          <w:rFonts w:asciiTheme="minorHAnsi" w:hAnsiTheme="minorHAnsi"/>
          <w:sz w:val="22"/>
          <w:szCs w:val="22"/>
        </w:rPr>
        <w:t>Department and the IRS issued Notice</w:t>
      </w:r>
      <w:r>
        <w:rPr>
          <w:rFonts w:asciiTheme="minorHAnsi" w:hAnsiTheme="minorHAnsi"/>
          <w:sz w:val="22"/>
          <w:szCs w:val="22"/>
        </w:rPr>
        <w:t xml:space="preserve"> </w:t>
      </w:r>
      <w:r w:rsidRPr="000A3629">
        <w:rPr>
          <w:rFonts w:asciiTheme="minorHAnsi" w:hAnsiTheme="minorHAnsi"/>
          <w:sz w:val="22"/>
          <w:szCs w:val="22"/>
        </w:rPr>
        <w:t>2006–109, 2006–2 C.B. 1121, to provide</w:t>
      </w:r>
      <w:r>
        <w:rPr>
          <w:rFonts w:asciiTheme="minorHAnsi" w:hAnsiTheme="minorHAnsi"/>
          <w:sz w:val="22"/>
          <w:szCs w:val="22"/>
        </w:rPr>
        <w:t xml:space="preserve"> </w:t>
      </w:r>
      <w:r w:rsidRPr="000A3629">
        <w:rPr>
          <w:rFonts w:asciiTheme="minorHAnsi" w:hAnsiTheme="minorHAnsi"/>
          <w:sz w:val="22"/>
          <w:szCs w:val="22"/>
        </w:rPr>
        <w:t>interim guidance on certain</w:t>
      </w:r>
      <w:r>
        <w:rPr>
          <w:rFonts w:asciiTheme="minorHAnsi" w:hAnsiTheme="minorHAnsi"/>
          <w:sz w:val="22"/>
          <w:szCs w:val="22"/>
        </w:rPr>
        <w:t xml:space="preserve"> </w:t>
      </w:r>
      <w:r w:rsidRPr="000A3629">
        <w:rPr>
          <w:rFonts w:asciiTheme="minorHAnsi" w:hAnsiTheme="minorHAnsi"/>
          <w:sz w:val="22"/>
          <w:szCs w:val="22"/>
        </w:rPr>
        <w:t>requirements enacted by the PPA,</w:t>
      </w:r>
    </w:p>
    <w:p w:rsidR="000A3629" w:rsidP="000A3629" w14:paraId="41B881BC" w14:textId="3C70D408">
      <w:pPr>
        <w:ind w:left="720"/>
        <w:rPr>
          <w:rFonts w:asciiTheme="minorHAnsi" w:hAnsiTheme="minorHAnsi"/>
          <w:sz w:val="22"/>
          <w:szCs w:val="22"/>
        </w:rPr>
      </w:pPr>
      <w:r w:rsidRPr="000A3629">
        <w:rPr>
          <w:rFonts w:asciiTheme="minorHAnsi" w:hAnsiTheme="minorHAnsi"/>
          <w:sz w:val="22"/>
          <w:szCs w:val="22"/>
        </w:rPr>
        <w:t>including those that affect DAFs</w:t>
      </w:r>
      <w:r>
        <w:rPr>
          <w:rStyle w:val="FootnoteReference"/>
          <w:rFonts w:asciiTheme="minorHAnsi" w:hAnsiTheme="minorHAnsi"/>
          <w:sz w:val="22"/>
          <w:szCs w:val="22"/>
          <w:vertAlign w:val="superscript"/>
        </w:rPr>
        <w:footnoteReference w:id="2"/>
      </w:r>
      <w:r w:rsidR="00622DFF">
        <w:rPr>
          <w:rFonts w:asciiTheme="minorHAnsi" w:hAnsiTheme="minorHAnsi"/>
          <w:sz w:val="22"/>
          <w:szCs w:val="22"/>
        </w:rPr>
        <w:t xml:space="preserve">. </w:t>
      </w:r>
      <w:r w:rsidRPr="000A3629">
        <w:rPr>
          <w:rFonts w:asciiTheme="minorHAnsi" w:hAnsiTheme="minorHAnsi"/>
          <w:sz w:val="22"/>
          <w:szCs w:val="22"/>
        </w:rPr>
        <w:t>Notice 2006–109 also requested</w:t>
      </w:r>
      <w:r>
        <w:rPr>
          <w:rFonts w:asciiTheme="minorHAnsi" w:hAnsiTheme="minorHAnsi"/>
          <w:sz w:val="22"/>
          <w:szCs w:val="22"/>
        </w:rPr>
        <w:t xml:space="preserve"> </w:t>
      </w:r>
      <w:r w:rsidRPr="000A3629">
        <w:rPr>
          <w:rFonts w:asciiTheme="minorHAnsi" w:hAnsiTheme="minorHAnsi"/>
          <w:sz w:val="22"/>
          <w:szCs w:val="22"/>
        </w:rPr>
        <w:t>comments regarding the notice and</w:t>
      </w:r>
      <w:r>
        <w:rPr>
          <w:rFonts w:asciiTheme="minorHAnsi" w:hAnsiTheme="minorHAnsi"/>
          <w:sz w:val="22"/>
          <w:szCs w:val="22"/>
        </w:rPr>
        <w:t xml:space="preserve"> </w:t>
      </w:r>
      <w:r w:rsidRPr="000A3629">
        <w:rPr>
          <w:rFonts w:asciiTheme="minorHAnsi" w:hAnsiTheme="minorHAnsi"/>
          <w:sz w:val="22"/>
          <w:szCs w:val="22"/>
        </w:rPr>
        <w:t>suggestions for future guidance.</w:t>
      </w:r>
    </w:p>
    <w:p w:rsidR="000A3629" w:rsidRPr="000A3629" w:rsidP="000A3629" w14:paraId="0EC9CED3" w14:textId="77777777">
      <w:pPr>
        <w:ind w:left="720"/>
        <w:rPr>
          <w:rFonts w:asciiTheme="minorHAnsi" w:hAnsiTheme="minorHAnsi"/>
          <w:sz w:val="22"/>
          <w:szCs w:val="22"/>
        </w:rPr>
      </w:pPr>
    </w:p>
    <w:p w:rsidR="000A3629" w:rsidP="000A3629" w14:paraId="410DF761" w14:textId="3E252E6E">
      <w:pPr>
        <w:ind w:left="720"/>
        <w:rPr>
          <w:rFonts w:asciiTheme="minorHAnsi" w:hAnsiTheme="minorHAnsi"/>
          <w:sz w:val="22"/>
          <w:szCs w:val="22"/>
        </w:rPr>
      </w:pPr>
      <w:r w:rsidRPr="000A3629">
        <w:rPr>
          <w:rFonts w:asciiTheme="minorHAnsi" w:hAnsiTheme="minorHAnsi"/>
          <w:sz w:val="22"/>
          <w:szCs w:val="22"/>
        </w:rPr>
        <w:t>In February 2007, the Treasury</w:t>
      </w:r>
      <w:r>
        <w:rPr>
          <w:rFonts w:asciiTheme="minorHAnsi" w:hAnsiTheme="minorHAnsi"/>
          <w:sz w:val="22"/>
          <w:szCs w:val="22"/>
        </w:rPr>
        <w:t xml:space="preserve"> </w:t>
      </w:r>
      <w:r w:rsidRPr="000A3629">
        <w:rPr>
          <w:rFonts w:asciiTheme="minorHAnsi" w:hAnsiTheme="minorHAnsi"/>
          <w:sz w:val="22"/>
          <w:szCs w:val="22"/>
        </w:rPr>
        <w:t>Department and the IRS issued Notice</w:t>
      </w:r>
      <w:r>
        <w:rPr>
          <w:rFonts w:asciiTheme="minorHAnsi" w:hAnsiTheme="minorHAnsi"/>
          <w:sz w:val="22"/>
          <w:szCs w:val="22"/>
        </w:rPr>
        <w:t xml:space="preserve"> </w:t>
      </w:r>
      <w:r w:rsidRPr="000A3629">
        <w:rPr>
          <w:rFonts w:asciiTheme="minorHAnsi" w:hAnsiTheme="minorHAnsi"/>
          <w:sz w:val="22"/>
          <w:szCs w:val="22"/>
        </w:rPr>
        <w:t>2007–21, 2007–1 C.B. 611, requesting</w:t>
      </w:r>
      <w:r>
        <w:rPr>
          <w:rFonts w:asciiTheme="minorHAnsi" w:hAnsiTheme="minorHAnsi"/>
          <w:sz w:val="22"/>
          <w:szCs w:val="22"/>
        </w:rPr>
        <w:t xml:space="preserve"> </w:t>
      </w:r>
      <w:r w:rsidRPr="000A3629">
        <w:rPr>
          <w:rFonts w:asciiTheme="minorHAnsi" w:hAnsiTheme="minorHAnsi"/>
          <w:sz w:val="22"/>
          <w:szCs w:val="22"/>
        </w:rPr>
        <w:t>comments in connection with a study</w:t>
      </w:r>
      <w:r>
        <w:rPr>
          <w:rFonts w:asciiTheme="minorHAnsi" w:hAnsiTheme="minorHAnsi"/>
          <w:sz w:val="22"/>
          <w:szCs w:val="22"/>
        </w:rPr>
        <w:t xml:space="preserve"> </w:t>
      </w:r>
      <w:r w:rsidRPr="000A3629">
        <w:rPr>
          <w:rFonts w:asciiTheme="minorHAnsi" w:hAnsiTheme="minorHAnsi"/>
          <w:sz w:val="22"/>
          <w:szCs w:val="22"/>
        </w:rPr>
        <w:t>conducted by the Treasury Department</w:t>
      </w:r>
      <w:r>
        <w:rPr>
          <w:rFonts w:asciiTheme="minorHAnsi" w:hAnsiTheme="minorHAnsi"/>
          <w:sz w:val="22"/>
          <w:szCs w:val="22"/>
        </w:rPr>
        <w:t xml:space="preserve"> </w:t>
      </w:r>
      <w:r w:rsidRPr="000A3629">
        <w:rPr>
          <w:rFonts w:asciiTheme="minorHAnsi" w:hAnsiTheme="minorHAnsi"/>
          <w:sz w:val="22"/>
          <w:szCs w:val="22"/>
        </w:rPr>
        <w:t>and the IRS on the organization and</w:t>
      </w:r>
      <w:r>
        <w:rPr>
          <w:rFonts w:asciiTheme="minorHAnsi" w:hAnsiTheme="minorHAnsi"/>
          <w:sz w:val="22"/>
          <w:szCs w:val="22"/>
        </w:rPr>
        <w:t xml:space="preserve"> </w:t>
      </w:r>
      <w:r w:rsidRPr="000A3629">
        <w:rPr>
          <w:rFonts w:asciiTheme="minorHAnsi" w:hAnsiTheme="minorHAnsi"/>
          <w:sz w:val="22"/>
          <w:szCs w:val="22"/>
        </w:rPr>
        <w:t>operation of DAFs and supporting</w:t>
      </w:r>
      <w:r>
        <w:rPr>
          <w:rFonts w:asciiTheme="minorHAnsi" w:hAnsiTheme="minorHAnsi"/>
          <w:sz w:val="22"/>
          <w:szCs w:val="22"/>
        </w:rPr>
        <w:t xml:space="preserve"> </w:t>
      </w:r>
      <w:r w:rsidRPr="000A3629">
        <w:rPr>
          <w:rFonts w:asciiTheme="minorHAnsi" w:hAnsiTheme="minorHAnsi"/>
          <w:sz w:val="22"/>
          <w:szCs w:val="22"/>
        </w:rPr>
        <w:t>organizations, as required by section</w:t>
      </w:r>
      <w:r>
        <w:rPr>
          <w:rFonts w:asciiTheme="minorHAnsi" w:hAnsiTheme="minorHAnsi"/>
          <w:sz w:val="22"/>
          <w:szCs w:val="22"/>
        </w:rPr>
        <w:t xml:space="preserve"> </w:t>
      </w:r>
      <w:r w:rsidRPr="000A3629">
        <w:rPr>
          <w:rFonts w:asciiTheme="minorHAnsi" w:hAnsiTheme="minorHAnsi"/>
          <w:sz w:val="22"/>
          <w:szCs w:val="22"/>
        </w:rPr>
        <w:t>1226 of the PPA.</w:t>
      </w:r>
    </w:p>
    <w:p w:rsidR="000A3629" w:rsidRPr="000A3629" w:rsidP="000A3629" w14:paraId="33730F19" w14:textId="77777777">
      <w:pPr>
        <w:ind w:left="720"/>
        <w:rPr>
          <w:rFonts w:asciiTheme="minorHAnsi" w:hAnsiTheme="minorHAnsi"/>
          <w:sz w:val="22"/>
          <w:szCs w:val="22"/>
        </w:rPr>
      </w:pPr>
    </w:p>
    <w:p w:rsidR="000A3629" w:rsidRPr="000A3629" w:rsidP="000A3629" w14:paraId="2C049375" w14:textId="52B595A1">
      <w:pPr>
        <w:ind w:left="720"/>
        <w:rPr>
          <w:rFonts w:asciiTheme="minorHAnsi" w:hAnsiTheme="minorHAnsi"/>
          <w:sz w:val="22"/>
          <w:szCs w:val="22"/>
        </w:rPr>
      </w:pPr>
      <w:r w:rsidRPr="000A3629">
        <w:rPr>
          <w:rFonts w:asciiTheme="minorHAnsi" w:hAnsiTheme="minorHAnsi"/>
          <w:sz w:val="22"/>
          <w:szCs w:val="22"/>
        </w:rPr>
        <w:t>In December 2017, the Treasury</w:t>
      </w:r>
      <w:r>
        <w:rPr>
          <w:rFonts w:asciiTheme="minorHAnsi" w:hAnsiTheme="minorHAnsi"/>
          <w:sz w:val="22"/>
          <w:szCs w:val="22"/>
        </w:rPr>
        <w:t xml:space="preserve"> </w:t>
      </w:r>
      <w:r w:rsidRPr="000A3629">
        <w:rPr>
          <w:rFonts w:asciiTheme="minorHAnsi" w:hAnsiTheme="minorHAnsi"/>
          <w:sz w:val="22"/>
          <w:szCs w:val="22"/>
        </w:rPr>
        <w:t>Department and the IRS issued Notice</w:t>
      </w:r>
      <w:r>
        <w:rPr>
          <w:rFonts w:asciiTheme="minorHAnsi" w:hAnsiTheme="minorHAnsi"/>
          <w:sz w:val="22"/>
          <w:szCs w:val="22"/>
        </w:rPr>
        <w:t xml:space="preserve"> </w:t>
      </w:r>
      <w:r w:rsidRPr="000A3629">
        <w:rPr>
          <w:rFonts w:asciiTheme="minorHAnsi" w:hAnsiTheme="minorHAnsi"/>
          <w:sz w:val="22"/>
          <w:szCs w:val="22"/>
        </w:rPr>
        <w:t xml:space="preserve">2017–73, 2017–51 </w:t>
      </w:r>
      <w:r w:rsidRPr="000A3629">
        <w:rPr>
          <w:rFonts w:asciiTheme="minorHAnsi" w:hAnsiTheme="minorHAnsi"/>
          <w:sz w:val="22"/>
          <w:szCs w:val="22"/>
        </w:rPr>
        <w:t>I.R.B. 562, describing</w:t>
      </w:r>
      <w:r>
        <w:rPr>
          <w:rFonts w:asciiTheme="minorHAnsi" w:hAnsiTheme="minorHAnsi"/>
          <w:sz w:val="22"/>
          <w:szCs w:val="22"/>
        </w:rPr>
        <w:t xml:space="preserve"> </w:t>
      </w:r>
      <w:r w:rsidRPr="000A3629">
        <w:rPr>
          <w:rFonts w:asciiTheme="minorHAnsi" w:hAnsiTheme="minorHAnsi"/>
          <w:sz w:val="22"/>
          <w:szCs w:val="22"/>
        </w:rPr>
        <w:t>approaches being considered to address</w:t>
      </w:r>
      <w:r>
        <w:rPr>
          <w:rFonts w:asciiTheme="minorHAnsi" w:hAnsiTheme="minorHAnsi"/>
          <w:sz w:val="22"/>
          <w:szCs w:val="22"/>
        </w:rPr>
        <w:t xml:space="preserve"> </w:t>
      </w:r>
      <w:r w:rsidRPr="000A3629">
        <w:rPr>
          <w:rFonts w:asciiTheme="minorHAnsi" w:hAnsiTheme="minorHAnsi"/>
          <w:sz w:val="22"/>
          <w:szCs w:val="22"/>
        </w:rPr>
        <w:t>certain issues regarding DAFs and</w:t>
      </w:r>
      <w:r>
        <w:rPr>
          <w:rFonts w:asciiTheme="minorHAnsi" w:hAnsiTheme="minorHAnsi"/>
          <w:sz w:val="22"/>
          <w:szCs w:val="22"/>
        </w:rPr>
        <w:t xml:space="preserve"> </w:t>
      </w:r>
      <w:r w:rsidRPr="000A3629">
        <w:rPr>
          <w:rFonts w:asciiTheme="minorHAnsi" w:hAnsiTheme="minorHAnsi"/>
          <w:sz w:val="22"/>
          <w:szCs w:val="22"/>
        </w:rPr>
        <w:t>requesting comments on those</w:t>
      </w:r>
      <w:r>
        <w:rPr>
          <w:rFonts w:asciiTheme="minorHAnsi" w:hAnsiTheme="minorHAnsi"/>
          <w:sz w:val="22"/>
          <w:szCs w:val="22"/>
        </w:rPr>
        <w:t xml:space="preserve"> </w:t>
      </w:r>
      <w:r w:rsidRPr="000A3629">
        <w:rPr>
          <w:rFonts w:asciiTheme="minorHAnsi" w:hAnsiTheme="minorHAnsi"/>
          <w:sz w:val="22"/>
          <w:szCs w:val="22"/>
        </w:rPr>
        <w:t>approaches. In particular, Notice 2017–73 stated, among other things, that the</w:t>
      </w:r>
      <w:r>
        <w:rPr>
          <w:rFonts w:asciiTheme="minorHAnsi" w:hAnsiTheme="minorHAnsi"/>
          <w:sz w:val="22"/>
          <w:szCs w:val="22"/>
        </w:rPr>
        <w:t xml:space="preserve"> </w:t>
      </w:r>
      <w:r w:rsidRPr="000A3629">
        <w:rPr>
          <w:rFonts w:asciiTheme="minorHAnsi" w:hAnsiTheme="minorHAnsi"/>
          <w:sz w:val="22"/>
          <w:szCs w:val="22"/>
        </w:rPr>
        <w:t>Treasury Department and the IRS are</w:t>
      </w:r>
      <w:r>
        <w:rPr>
          <w:rFonts w:asciiTheme="minorHAnsi" w:hAnsiTheme="minorHAnsi"/>
          <w:sz w:val="22"/>
          <w:szCs w:val="22"/>
        </w:rPr>
        <w:t xml:space="preserve"> </w:t>
      </w:r>
      <w:r w:rsidRPr="000A3629">
        <w:rPr>
          <w:rFonts w:asciiTheme="minorHAnsi" w:hAnsiTheme="minorHAnsi"/>
          <w:sz w:val="22"/>
          <w:szCs w:val="22"/>
        </w:rPr>
        <w:t>considering developing proposed</w:t>
      </w:r>
      <w:r>
        <w:rPr>
          <w:rFonts w:asciiTheme="minorHAnsi" w:hAnsiTheme="minorHAnsi"/>
          <w:sz w:val="22"/>
          <w:szCs w:val="22"/>
        </w:rPr>
        <w:t xml:space="preserve"> </w:t>
      </w:r>
      <w:r w:rsidRPr="000A3629">
        <w:rPr>
          <w:rFonts w:asciiTheme="minorHAnsi" w:hAnsiTheme="minorHAnsi"/>
          <w:sz w:val="22"/>
          <w:szCs w:val="22"/>
        </w:rPr>
        <w:t>regulations under section 4967 that</w:t>
      </w:r>
      <w:r>
        <w:rPr>
          <w:rFonts w:asciiTheme="minorHAnsi" w:hAnsiTheme="minorHAnsi"/>
          <w:sz w:val="22"/>
          <w:szCs w:val="22"/>
        </w:rPr>
        <w:t xml:space="preserve"> </w:t>
      </w:r>
      <w:r w:rsidRPr="000A3629">
        <w:rPr>
          <w:rFonts w:asciiTheme="minorHAnsi" w:hAnsiTheme="minorHAnsi"/>
          <w:sz w:val="22"/>
          <w:szCs w:val="22"/>
        </w:rPr>
        <w:t>would, if finalized, provide that (1)</w:t>
      </w:r>
    </w:p>
    <w:p w:rsidR="000A3629" w:rsidRPr="000A3629" w:rsidP="000A3629" w14:paraId="5735DCFD" w14:textId="6CD4128B">
      <w:pPr>
        <w:ind w:left="720"/>
        <w:rPr>
          <w:rFonts w:asciiTheme="minorHAnsi" w:hAnsiTheme="minorHAnsi"/>
          <w:sz w:val="22"/>
          <w:szCs w:val="22"/>
        </w:rPr>
      </w:pPr>
      <w:r w:rsidRPr="000A3629">
        <w:rPr>
          <w:rFonts w:asciiTheme="minorHAnsi" w:hAnsiTheme="minorHAnsi"/>
          <w:sz w:val="22"/>
          <w:szCs w:val="22"/>
        </w:rPr>
        <w:t>certain distributions from a DAF that</w:t>
      </w:r>
      <w:r>
        <w:rPr>
          <w:rFonts w:asciiTheme="minorHAnsi" w:hAnsiTheme="minorHAnsi"/>
          <w:sz w:val="22"/>
          <w:szCs w:val="22"/>
        </w:rPr>
        <w:t xml:space="preserve"> </w:t>
      </w:r>
      <w:r w:rsidRPr="000A3629">
        <w:rPr>
          <w:rFonts w:asciiTheme="minorHAnsi" w:hAnsiTheme="minorHAnsi"/>
          <w:sz w:val="22"/>
          <w:szCs w:val="22"/>
        </w:rPr>
        <w:t>pay for the purchase of tickets that</w:t>
      </w:r>
      <w:r>
        <w:rPr>
          <w:rFonts w:asciiTheme="minorHAnsi" w:hAnsiTheme="minorHAnsi"/>
          <w:sz w:val="22"/>
          <w:szCs w:val="22"/>
        </w:rPr>
        <w:t xml:space="preserve"> </w:t>
      </w:r>
      <w:r w:rsidRPr="000A3629">
        <w:rPr>
          <w:rFonts w:asciiTheme="minorHAnsi" w:hAnsiTheme="minorHAnsi"/>
          <w:sz w:val="22"/>
          <w:szCs w:val="22"/>
        </w:rPr>
        <w:t>enable a donor, donor-advisor, or</w:t>
      </w:r>
      <w:r>
        <w:rPr>
          <w:rFonts w:asciiTheme="minorHAnsi" w:hAnsiTheme="minorHAnsi"/>
          <w:sz w:val="22"/>
          <w:szCs w:val="22"/>
        </w:rPr>
        <w:t xml:space="preserve"> </w:t>
      </w:r>
      <w:r w:rsidRPr="000A3629">
        <w:rPr>
          <w:rFonts w:asciiTheme="minorHAnsi" w:hAnsiTheme="minorHAnsi"/>
          <w:sz w:val="22"/>
          <w:szCs w:val="22"/>
        </w:rPr>
        <w:t>related person under section 4958(f)(7)</w:t>
      </w:r>
      <w:r>
        <w:rPr>
          <w:rFonts w:asciiTheme="minorHAnsi" w:hAnsiTheme="minorHAnsi"/>
          <w:sz w:val="22"/>
          <w:szCs w:val="22"/>
        </w:rPr>
        <w:t xml:space="preserve"> </w:t>
      </w:r>
      <w:r w:rsidRPr="000A3629">
        <w:rPr>
          <w:rFonts w:asciiTheme="minorHAnsi" w:hAnsiTheme="minorHAnsi"/>
          <w:sz w:val="22"/>
          <w:szCs w:val="22"/>
        </w:rPr>
        <w:t>to attend or participate in a charity sponsored</w:t>
      </w:r>
      <w:r>
        <w:rPr>
          <w:rFonts w:asciiTheme="minorHAnsi" w:hAnsiTheme="minorHAnsi"/>
          <w:sz w:val="22"/>
          <w:szCs w:val="22"/>
        </w:rPr>
        <w:t xml:space="preserve"> </w:t>
      </w:r>
      <w:r w:rsidRPr="000A3629">
        <w:rPr>
          <w:rFonts w:asciiTheme="minorHAnsi" w:hAnsiTheme="minorHAnsi"/>
          <w:sz w:val="22"/>
          <w:szCs w:val="22"/>
        </w:rPr>
        <w:t>event result in a more than</w:t>
      </w:r>
      <w:r>
        <w:rPr>
          <w:rFonts w:asciiTheme="minorHAnsi" w:hAnsiTheme="minorHAnsi"/>
          <w:sz w:val="22"/>
          <w:szCs w:val="22"/>
        </w:rPr>
        <w:t xml:space="preserve"> </w:t>
      </w:r>
      <w:r w:rsidRPr="000A3629">
        <w:rPr>
          <w:rFonts w:asciiTheme="minorHAnsi" w:hAnsiTheme="minorHAnsi"/>
          <w:sz w:val="22"/>
          <w:szCs w:val="22"/>
        </w:rPr>
        <w:t>incidental benefit to such person under</w:t>
      </w:r>
    </w:p>
    <w:p w:rsidR="000A3629" w:rsidRPr="000A3629" w:rsidP="000A3629" w14:paraId="1769533E" w14:textId="2C58EAC7">
      <w:pPr>
        <w:ind w:left="720"/>
        <w:rPr>
          <w:rFonts w:asciiTheme="minorHAnsi" w:hAnsiTheme="minorHAnsi"/>
          <w:sz w:val="22"/>
          <w:szCs w:val="22"/>
        </w:rPr>
      </w:pPr>
      <w:r w:rsidRPr="000A3629">
        <w:rPr>
          <w:rFonts w:asciiTheme="minorHAnsi" w:hAnsiTheme="minorHAnsi"/>
          <w:sz w:val="22"/>
          <w:szCs w:val="22"/>
        </w:rPr>
        <w:t>section 4967, and (2) certain</w:t>
      </w:r>
      <w:r>
        <w:rPr>
          <w:rFonts w:asciiTheme="minorHAnsi" w:hAnsiTheme="minorHAnsi"/>
          <w:sz w:val="22"/>
          <w:szCs w:val="22"/>
        </w:rPr>
        <w:t xml:space="preserve"> </w:t>
      </w:r>
      <w:r w:rsidRPr="000A3629">
        <w:rPr>
          <w:rFonts w:asciiTheme="minorHAnsi" w:hAnsiTheme="minorHAnsi"/>
          <w:sz w:val="22"/>
          <w:szCs w:val="22"/>
        </w:rPr>
        <w:t>distributions from a DAF that the</w:t>
      </w:r>
      <w:r>
        <w:rPr>
          <w:rFonts w:asciiTheme="minorHAnsi" w:hAnsiTheme="minorHAnsi"/>
          <w:sz w:val="22"/>
          <w:szCs w:val="22"/>
        </w:rPr>
        <w:t xml:space="preserve"> </w:t>
      </w:r>
      <w:r w:rsidRPr="000A3629">
        <w:rPr>
          <w:rFonts w:asciiTheme="minorHAnsi" w:hAnsiTheme="minorHAnsi"/>
          <w:sz w:val="22"/>
          <w:szCs w:val="22"/>
        </w:rPr>
        <w:t>distributee charity treats as fulfilling a</w:t>
      </w:r>
      <w:r>
        <w:rPr>
          <w:rFonts w:asciiTheme="minorHAnsi" w:hAnsiTheme="minorHAnsi"/>
          <w:sz w:val="22"/>
          <w:szCs w:val="22"/>
        </w:rPr>
        <w:t xml:space="preserve"> </w:t>
      </w:r>
      <w:r w:rsidRPr="000A3629">
        <w:rPr>
          <w:rFonts w:asciiTheme="minorHAnsi" w:hAnsiTheme="minorHAnsi"/>
          <w:sz w:val="22"/>
          <w:szCs w:val="22"/>
        </w:rPr>
        <w:t>pledge made by a donor, donor-advisor,</w:t>
      </w:r>
      <w:r>
        <w:rPr>
          <w:rFonts w:asciiTheme="minorHAnsi" w:hAnsiTheme="minorHAnsi"/>
          <w:sz w:val="22"/>
          <w:szCs w:val="22"/>
        </w:rPr>
        <w:t xml:space="preserve"> </w:t>
      </w:r>
      <w:r w:rsidRPr="000A3629">
        <w:rPr>
          <w:rFonts w:asciiTheme="minorHAnsi" w:hAnsiTheme="minorHAnsi"/>
          <w:sz w:val="22"/>
          <w:szCs w:val="22"/>
        </w:rPr>
        <w:t>or related person, do not result in a</w:t>
      </w:r>
    </w:p>
    <w:p w:rsidR="000A3629" w:rsidP="000A3629" w14:paraId="427F0D14" w14:textId="189DEFE3">
      <w:pPr>
        <w:ind w:left="720"/>
        <w:rPr>
          <w:rFonts w:asciiTheme="minorHAnsi" w:hAnsiTheme="minorHAnsi"/>
          <w:sz w:val="22"/>
          <w:szCs w:val="22"/>
        </w:rPr>
      </w:pPr>
      <w:r w:rsidRPr="000A3629">
        <w:rPr>
          <w:rFonts w:asciiTheme="minorHAnsi" w:hAnsiTheme="minorHAnsi"/>
          <w:sz w:val="22"/>
          <w:szCs w:val="22"/>
        </w:rPr>
        <w:t>more than incidental benefit under</w:t>
      </w:r>
      <w:r>
        <w:rPr>
          <w:rFonts w:asciiTheme="minorHAnsi" w:hAnsiTheme="minorHAnsi"/>
          <w:sz w:val="22"/>
          <w:szCs w:val="22"/>
        </w:rPr>
        <w:t xml:space="preserve"> </w:t>
      </w:r>
      <w:r w:rsidRPr="000A3629">
        <w:rPr>
          <w:rFonts w:asciiTheme="minorHAnsi" w:hAnsiTheme="minorHAnsi"/>
          <w:sz w:val="22"/>
          <w:szCs w:val="22"/>
        </w:rPr>
        <w:t>section 4967 if certain requirements are</w:t>
      </w:r>
      <w:r>
        <w:rPr>
          <w:rFonts w:asciiTheme="minorHAnsi" w:hAnsiTheme="minorHAnsi"/>
          <w:sz w:val="22"/>
          <w:szCs w:val="22"/>
        </w:rPr>
        <w:t xml:space="preserve"> </w:t>
      </w:r>
      <w:r w:rsidRPr="000A3629">
        <w:rPr>
          <w:rFonts w:asciiTheme="minorHAnsi" w:hAnsiTheme="minorHAnsi"/>
          <w:sz w:val="22"/>
          <w:szCs w:val="22"/>
        </w:rPr>
        <w:t>met.</w:t>
      </w:r>
    </w:p>
    <w:p w:rsidR="000A3629" w:rsidRPr="000A3629" w:rsidP="000A3629" w14:paraId="7E089235" w14:textId="77777777">
      <w:pPr>
        <w:ind w:left="720"/>
        <w:rPr>
          <w:rFonts w:asciiTheme="minorHAnsi" w:hAnsiTheme="minorHAnsi"/>
          <w:sz w:val="22"/>
          <w:szCs w:val="22"/>
        </w:rPr>
      </w:pPr>
    </w:p>
    <w:p w:rsidR="000C0D25" w:rsidRPr="00A85BE3" w:rsidP="00A85BE3" w14:paraId="3CD07585" w14:textId="14075F6C">
      <w:pPr>
        <w:ind w:left="720"/>
        <w:rPr>
          <w:rFonts w:asciiTheme="minorHAnsi" w:hAnsiTheme="minorHAnsi"/>
          <w:sz w:val="22"/>
          <w:szCs w:val="22"/>
        </w:rPr>
      </w:pPr>
      <w:r w:rsidRPr="00A85BE3">
        <w:rPr>
          <w:rFonts w:asciiTheme="minorHAnsi" w:hAnsiTheme="minorHAnsi"/>
          <w:sz w:val="22"/>
          <w:szCs w:val="22"/>
        </w:rPr>
        <w:t xml:space="preserve">A notice of proposed rulemaking (NPRM) published on </w:t>
      </w:r>
      <w:r>
        <w:rPr>
          <w:rFonts w:asciiTheme="minorHAnsi" w:hAnsiTheme="minorHAnsi"/>
          <w:sz w:val="22"/>
          <w:szCs w:val="22"/>
        </w:rPr>
        <w:t>November 14, 2023,</w:t>
      </w:r>
      <w:r w:rsidRPr="00A85BE3">
        <w:rPr>
          <w:rFonts w:asciiTheme="minorHAnsi" w:hAnsiTheme="minorHAnsi"/>
          <w:sz w:val="22"/>
          <w:szCs w:val="22"/>
        </w:rPr>
        <w:t xml:space="preserve"> at </w:t>
      </w:r>
      <w:r>
        <w:rPr>
          <w:rFonts w:asciiTheme="minorHAnsi" w:hAnsiTheme="minorHAnsi"/>
          <w:sz w:val="22"/>
          <w:szCs w:val="22"/>
        </w:rPr>
        <w:t>88</w:t>
      </w:r>
      <w:r w:rsidRPr="00A85BE3">
        <w:rPr>
          <w:rFonts w:asciiTheme="minorHAnsi" w:hAnsiTheme="minorHAnsi"/>
          <w:sz w:val="22"/>
          <w:szCs w:val="22"/>
        </w:rPr>
        <w:t xml:space="preserve"> FR </w:t>
      </w:r>
      <w:r>
        <w:rPr>
          <w:rFonts w:asciiTheme="minorHAnsi" w:hAnsiTheme="minorHAnsi"/>
          <w:sz w:val="22"/>
          <w:szCs w:val="22"/>
        </w:rPr>
        <w:t>77922</w:t>
      </w:r>
      <w:r w:rsidRPr="00A85BE3">
        <w:rPr>
          <w:rFonts w:asciiTheme="minorHAnsi" w:hAnsiTheme="minorHAnsi"/>
          <w:sz w:val="22"/>
          <w:szCs w:val="22"/>
        </w:rPr>
        <w:t xml:space="preserve">, soliciting comments and requests for public hearing.  Comments will be addressed in the final rule. </w:t>
      </w:r>
    </w:p>
    <w:p w:rsidR="000A3629" w:rsidP="000A3629" w14:paraId="6A7C13EE" w14:textId="77777777">
      <w:pPr>
        <w:ind w:left="720"/>
        <w:rPr>
          <w:rFonts w:asciiTheme="minorHAnsi" w:hAnsiTheme="minorHAnsi"/>
          <w:sz w:val="22"/>
          <w:szCs w:val="22"/>
        </w:rPr>
      </w:pPr>
    </w:p>
    <w:p w:rsidR="006C1B3C" w14:paraId="12C26716" w14:textId="77777777">
      <w:pPr>
        <w:pStyle w:val="Quick1"/>
        <w:tabs>
          <w:tab w:val="left" w:pos="-1440"/>
          <w:tab w:val="num" w:pos="720"/>
        </w:tabs>
        <w:rPr>
          <w:rFonts w:asciiTheme="minorHAnsi" w:hAnsiTheme="minorHAnsi"/>
          <w:b/>
          <w:bCs/>
          <w:sz w:val="22"/>
          <w:szCs w:val="22"/>
        </w:rPr>
      </w:pPr>
      <w:r>
        <w:rPr>
          <w:rFonts w:asciiTheme="minorHAnsi" w:hAnsiTheme="minorHAnsi"/>
          <w:b/>
          <w:bCs/>
          <w:sz w:val="22"/>
          <w:szCs w:val="22"/>
          <w:u w:val="single"/>
        </w:rPr>
        <w:t>EXPLANATION OF DECISION TO PROVIDE ANY PAYMENT OR GIFT TO RESPONDENTS</w:t>
      </w:r>
    </w:p>
    <w:p w:rsidR="006C1B3C" w14:paraId="46F9848B" w14:textId="77777777">
      <w:pPr>
        <w:rPr>
          <w:rFonts w:asciiTheme="minorHAnsi" w:hAnsiTheme="minorHAnsi"/>
          <w:sz w:val="22"/>
          <w:szCs w:val="22"/>
        </w:rPr>
      </w:pPr>
    </w:p>
    <w:p w:rsidR="006C1B3C" w14:paraId="6D5EA242" w14:textId="77777777">
      <w:pPr>
        <w:ind w:firstLine="720"/>
        <w:rPr>
          <w:rFonts w:asciiTheme="minorHAnsi" w:hAnsiTheme="minorHAnsi"/>
          <w:sz w:val="22"/>
          <w:szCs w:val="22"/>
        </w:rPr>
      </w:pPr>
      <w:r>
        <w:rPr>
          <w:rFonts w:asciiTheme="minorHAnsi" w:hAnsiTheme="minorHAnsi"/>
          <w:sz w:val="22"/>
          <w:szCs w:val="22"/>
        </w:rPr>
        <w:t xml:space="preserve">No payment or gift has been provided to any respondents. </w:t>
      </w:r>
    </w:p>
    <w:p w:rsidR="006C1B3C" w14:paraId="6283AF0B" w14:textId="77777777">
      <w:pPr>
        <w:rPr>
          <w:rFonts w:asciiTheme="minorHAnsi" w:hAnsiTheme="minorHAnsi"/>
          <w:sz w:val="22"/>
          <w:szCs w:val="22"/>
        </w:rPr>
      </w:pPr>
    </w:p>
    <w:p w:rsidR="006C1B3C" w14:paraId="70DF1694" w14:textId="77777777">
      <w:pPr>
        <w:pStyle w:val="Quick1"/>
        <w:tabs>
          <w:tab w:val="left" w:pos="-1440"/>
          <w:tab w:val="num" w:pos="720"/>
        </w:tabs>
        <w:rPr>
          <w:rFonts w:asciiTheme="minorHAnsi" w:hAnsiTheme="minorHAnsi"/>
          <w:b/>
          <w:bCs/>
          <w:sz w:val="22"/>
          <w:szCs w:val="22"/>
        </w:rPr>
      </w:pPr>
      <w:r>
        <w:rPr>
          <w:rFonts w:asciiTheme="minorHAnsi" w:hAnsiTheme="minorHAnsi"/>
          <w:b/>
          <w:bCs/>
          <w:sz w:val="22"/>
          <w:szCs w:val="22"/>
          <w:u w:val="single"/>
        </w:rPr>
        <w:t>ASSURANCE OF CONFIDENTIALITY OF RESPONSES</w:t>
      </w:r>
    </w:p>
    <w:p w:rsidR="006C1B3C" w14:paraId="397226F3" w14:textId="77777777">
      <w:pPr>
        <w:rPr>
          <w:rFonts w:asciiTheme="minorHAnsi" w:hAnsiTheme="minorHAnsi"/>
          <w:sz w:val="22"/>
          <w:szCs w:val="22"/>
        </w:rPr>
      </w:pPr>
    </w:p>
    <w:p w:rsidR="006C1B3C" w:rsidRPr="00CD65D3" w14:paraId="6B4D036E" w14:textId="77777777">
      <w:pPr>
        <w:ind w:left="720"/>
        <w:rPr>
          <w:rFonts w:asciiTheme="minorHAnsi" w:hAnsiTheme="minorHAnsi"/>
          <w:sz w:val="22"/>
          <w:szCs w:val="22"/>
        </w:rPr>
      </w:pPr>
      <w:r w:rsidRPr="00CD65D3">
        <w:rPr>
          <w:rFonts w:asciiTheme="minorHAnsi" w:hAnsiTheme="minorHAnsi"/>
          <w:sz w:val="22"/>
          <w:szCs w:val="22"/>
        </w:rPr>
        <w:t>Generally, tax returns and tax return information are confidential as required by 26 USC 6103.</w:t>
      </w:r>
    </w:p>
    <w:p w:rsidR="006C1B3C" w14:paraId="048973EC" w14:textId="77777777">
      <w:pPr>
        <w:ind w:left="720"/>
        <w:rPr>
          <w:rFonts w:asciiTheme="minorHAnsi" w:hAnsiTheme="minorHAnsi"/>
          <w:sz w:val="22"/>
          <w:szCs w:val="22"/>
        </w:rPr>
      </w:pPr>
    </w:p>
    <w:p w:rsidR="006C1B3C" w14:paraId="2830DA03" w14:textId="77777777">
      <w:pPr>
        <w:pStyle w:val="Quick1"/>
        <w:tabs>
          <w:tab w:val="left" w:pos="-1440"/>
          <w:tab w:val="num" w:pos="720"/>
        </w:tabs>
        <w:rPr>
          <w:rFonts w:asciiTheme="minorHAnsi" w:hAnsiTheme="minorHAnsi"/>
          <w:b/>
          <w:bCs/>
          <w:sz w:val="22"/>
          <w:szCs w:val="22"/>
        </w:rPr>
      </w:pPr>
      <w:r>
        <w:rPr>
          <w:rFonts w:asciiTheme="minorHAnsi" w:hAnsiTheme="minorHAnsi"/>
          <w:b/>
          <w:bCs/>
          <w:sz w:val="22"/>
          <w:szCs w:val="22"/>
          <w:u w:val="single"/>
        </w:rPr>
        <w:t>JUSTIFICATION OF SENSITIVE QUESTIONS</w:t>
      </w:r>
    </w:p>
    <w:p w:rsidR="006C1B3C" w14:paraId="75285E2F" w14:textId="77777777">
      <w:pPr>
        <w:pStyle w:val="Default"/>
        <w:ind w:left="720"/>
        <w:rPr>
          <w:rFonts w:asciiTheme="minorHAnsi" w:hAnsiTheme="minorHAnsi" w:cs="Times New Roman"/>
          <w:sz w:val="22"/>
          <w:szCs w:val="22"/>
        </w:rPr>
      </w:pPr>
    </w:p>
    <w:p w:rsidR="006C1B3C" w14:paraId="53EC76A4" w14:textId="565CE990">
      <w:pPr>
        <w:pStyle w:val="Quick1"/>
        <w:numPr>
          <w:ilvl w:val="0"/>
          <w:numId w:val="0"/>
        </w:numPr>
        <w:tabs>
          <w:tab w:val="left" w:pos="720"/>
        </w:tabs>
        <w:ind w:left="720"/>
        <w:rPr>
          <w:rFonts w:asciiTheme="minorHAnsi" w:hAnsiTheme="minorHAnsi"/>
          <w:sz w:val="22"/>
          <w:szCs w:val="22"/>
        </w:rPr>
      </w:pPr>
      <w:r w:rsidRPr="00B42AA8">
        <w:rPr>
          <w:rFonts w:asciiTheme="minorHAnsi" w:hAnsiTheme="minorHAnsi"/>
          <w:color w:val="000000"/>
          <w:sz w:val="22"/>
          <w:szCs w:val="22"/>
        </w:rPr>
        <w:t>No personally identifiable information (PII) is collected</w:t>
      </w:r>
      <w:r w:rsidR="00FD681B">
        <w:rPr>
          <w:rFonts w:asciiTheme="minorHAnsi" w:hAnsiTheme="minorHAnsi"/>
          <w:sz w:val="22"/>
          <w:szCs w:val="22"/>
        </w:rPr>
        <w:t>.</w:t>
      </w:r>
    </w:p>
    <w:p w:rsidR="006C1B3C" w14:paraId="3190596E" w14:textId="77777777">
      <w:pPr>
        <w:rPr>
          <w:rFonts w:asciiTheme="minorHAnsi" w:hAnsiTheme="minorHAnsi"/>
          <w:sz w:val="22"/>
          <w:szCs w:val="22"/>
        </w:rPr>
      </w:pPr>
    </w:p>
    <w:p w:rsidR="006C1B3C" w14:paraId="09C3A15D" w14:textId="77777777">
      <w:pPr>
        <w:pStyle w:val="Quick1"/>
        <w:tabs>
          <w:tab w:val="left" w:pos="-1440"/>
          <w:tab w:val="num" w:pos="720"/>
        </w:tabs>
        <w:rPr>
          <w:rFonts w:asciiTheme="minorHAnsi" w:hAnsiTheme="minorHAnsi"/>
          <w:b/>
          <w:bCs/>
          <w:sz w:val="22"/>
          <w:szCs w:val="22"/>
        </w:rPr>
      </w:pPr>
      <w:r>
        <w:rPr>
          <w:rFonts w:asciiTheme="minorHAnsi" w:hAnsiTheme="minorHAnsi"/>
          <w:b/>
          <w:bCs/>
          <w:sz w:val="22"/>
          <w:szCs w:val="22"/>
          <w:u w:val="single"/>
        </w:rPr>
        <w:t>ESTIMATED BURDEN OF INFORMATION COLLECTION</w:t>
      </w:r>
    </w:p>
    <w:p w:rsidR="006C1B3C" w14:paraId="31121C71" w14:textId="77777777">
      <w:pPr>
        <w:rPr>
          <w:rFonts w:asciiTheme="minorHAnsi" w:hAnsiTheme="minorHAnsi"/>
          <w:sz w:val="22"/>
          <w:szCs w:val="22"/>
        </w:rPr>
      </w:pPr>
    </w:p>
    <w:p w:rsidR="006C1B3C" w14:paraId="1ED9E29C" w14:textId="0383441E">
      <w:pPr>
        <w:ind w:left="720"/>
        <w:rPr>
          <w:rFonts w:asciiTheme="minorHAnsi" w:hAnsiTheme="minorHAnsi"/>
          <w:sz w:val="22"/>
          <w:szCs w:val="22"/>
        </w:rPr>
      </w:pPr>
      <w:r>
        <w:rPr>
          <w:rFonts w:asciiTheme="minorHAnsi" w:hAnsiTheme="minorHAnsi"/>
          <w:sz w:val="22"/>
          <w:szCs w:val="22"/>
        </w:rPr>
        <w:t xml:space="preserve">This </w:t>
      </w:r>
      <w:r w:rsidR="00F20040">
        <w:rPr>
          <w:rFonts w:asciiTheme="minorHAnsi" w:hAnsiTheme="minorHAnsi"/>
          <w:sz w:val="22"/>
          <w:szCs w:val="22"/>
        </w:rPr>
        <w:t>proposed rulemaking</w:t>
      </w:r>
      <w:r>
        <w:rPr>
          <w:rFonts w:asciiTheme="minorHAnsi" w:hAnsiTheme="minorHAnsi"/>
          <w:sz w:val="22"/>
          <w:szCs w:val="22"/>
        </w:rPr>
        <w:t xml:space="preserve"> involves the collection of five types of information.</w:t>
      </w:r>
    </w:p>
    <w:p w:rsidR="006C1B3C" w14:paraId="27D7400F" w14:textId="77777777">
      <w:pPr>
        <w:rPr>
          <w:rFonts w:asciiTheme="minorHAnsi" w:hAnsiTheme="minorHAnsi"/>
          <w:sz w:val="22"/>
          <w:szCs w:val="22"/>
        </w:rPr>
      </w:pPr>
    </w:p>
    <w:p w:rsidR="007D6DF5" w:rsidRPr="00DC28AB" w:rsidP="007D6DF5" w14:paraId="589D557B" w14:textId="77777777">
      <w:pPr>
        <w:ind w:left="720"/>
        <w:rPr>
          <w:rFonts w:asciiTheme="minorHAnsi" w:hAnsiTheme="minorHAnsi"/>
          <w:sz w:val="22"/>
          <w:szCs w:val="22"/>
        </w:rPr>
      </w:pPr>
      <w:r w:rsidRPr="007D6DF5">
        <w:rPr>
          <w:rFonts w:asciiTheme="minorHAnsi" w:hAnsiTheme="minorHAnsi"/>
          <w:sz w:val="22"/>
          <w:szCs w:val="22"/>
        </w:rPr>
        <w:t>The collections of information in</w:t>
      </w:r>
      <w:r>
        <w:rPr>
          <w:rFonts w:asciiTheme="minorHAnsi" w:hAnsiTheme="minorHAnsi"/>
          <w:sz w:val="22"/>
          <w:szCs w:val="22"/>
        </w:rPr>
        <w:t xml:space="preserve"> </w:t>
      </w:r>
      <w:r w:rsidRPr="007D6DF5">
        <w:rPr>
          <w:rFonts w:asciiTheme="minorHAnsi" w:hAnsiTheme="minorHAnsi"/>
          <w:sz w:val="22"/>
          <w:szCs w:val="22"/>
        </w:rPr>
        <w:t>these proposed regulations are as</w:t>
      </w:r>
      <w:r>
        <w:rPr>
          <w:rFonts w:asciiTheme="minorHAnsi" w:hAnsiTheme="minorHAnsi"/>
          <w:sz w:val="22"/>
          <w:szCs w:val="22"/>
        </w:rPr>
        <w:t xml:space="preserve"> </w:t>
      </w:r>
      <w:r w:rsidRPr="007D6DF5">
        <w:rPr>
          <w:rFonts w:asciiTheme="minorHAnsi" w:hAnsiTheme="minorHAnsi"/>
          <w:sz w:val="22"/>
          <w:szCs w:val="22"/>
        </w:rPr>
        <w:t xml:space="preserve">follows. </w:t>
      </w:r>
      <w:r w:rsidRPr="00DC28AB">
        <w:rPr>
          <w:rFonts w:asciiTheme="minorHAnsi" w:hAnsiTheme="minorHAnsi"/>
          <w:i/>
          <w:iCs/>
          <w:sz w:val="22"/>
          <w:szCs w:val="22"/>
        </w:rPr>
        <w:t>Section 53.4966–4(a)(4)(ii)</w:t>
      </w:r>
      <w:r w:rsidRPr="00DC28AB">
        <w:rPr>
          <w:rFonts w:asciiTheme="minorHAnsi" w:hAnsiTheme="minorHAnsi"/>
          <w:sz w:val="22"/>
          <w:szCs w:val="22"/>
        </w:rPr>
        <w:t xml:space="preserve"> allows a sponsoring organization to rely on a certification from the donor that all distributions satisfy the special rules relating to the single identified organization exception.</w:t>
      </w:r>
      <w:r w:rsidRPr="00DC28AB">
        <w:rPr>
          <w:rFonts w:asciiTheme="minorHAnsi" w:hAnsiTheme="minorHAnsi"/>
          <w:i/>
          <w:iCs/>
          <w:sz w:val="22"/>
          <w:szCs w:val="22"/>
        </w:rPr>
        <w:t xml:space="preserve"> Section 53.4966–4(b), (c), and (d)</w:t>
      </w:r>
      <w:r w:rsidRPr="00DC28AB">
        <w:rPr>
          <w:rFonts w:asciiTheme="minorHAnsi" w:hAnsiTheme="minorHAnsi"/>
          <w:sz w:val="22"/>
          <w:szCs w:val="22"/>
        </w:rPr>
        <w:t xml:space="preserve"> require an organization with a fund excepted from the definition of a DAF to maintain records regarding recipients and the</w:t>
      </w:r>
    </w:p>
    <w:p w:rsidR="007D6DF5" w:rsidRPr="007D6DF5" w:rsidP="007D6DF5" w14:paraId="26E5409A" w14:textId="77777777">
      <w:pPr>
        <w:ind w:left="720"/>
        <w:rPr>
          <w:rFonts w:asciiTheme="minorHAnsi" w:hAnsiTheme="minorHAnsi"/>
          <w:sz w:val="22"/>
          <w:szCs w:val="22"/>
        </w:rPr>
      </w:pPr>
      <w:r w:rsidRPr="00DC28AB">
        <w:rPr>
          <w:rFonts w:asciiTheme="minorHAnsi" w:hAnsiTheme="minorHAnsi"/>
          <w:sz w:val="22"/>
          <w:szCs w:val="22"/>
        </w:rPr>
        <w:t xml:space="preserve">selection process for recipients. </w:t>
      </w:r>
      <w:r w:rsidRPr="00DC28AB">
        <w:rPr>
          <w:rFonts w:asciiTheme="minorHAnsi" w:hAnsiTheme="minorHAnsi"/>
          <w:i/>
          <w:iCs/>
          <w:sz w:val="22"/>
          <w:szCs w:val="22"/>
        </w:rPr>
        <w:t>Section 53.4966–4(c)</w:t>
      </w:r>
      <w:r w:rsidRPr="00DC28AB">
        <w:rPr>
          <w:rFonts w:asciiTheme="minorHAnsi" w:hAnsiTheme="minorHAnsi"/>
          <w:sz w:val="22"/>
          <w:szCs w:val="22"/>
        </w:rPr>
        <w:t xml:space="preserve"> also requires the organization to approve in writing the selection committee whose members are nominated by a section 501(c)(4) organization. </w:t>
      </w:r>
      <w:r w:rsidRPr="00DC28AB">
        <w:rPr>
          <w:rFonts w:asciiTheme="minorHAnsi" w:hAnsiTheme="minorHAnsi"/>
          <w:i/>
          <w:iCs/>
          <w:sz w:val="22"/>
          <w:szCs w:val="22"/>
        </w:rPr>
        <w:t>Section 53.4966–5(c)</w:t>
      </w:r>
      <w:r w:rsidRPr="00DC28AB">
        <w:rPr>
          <w:rFonts w:asciiTheme="minorHAnsi" w:hAnsiTheme="minorHAnsi"/>
          <w:sz w:val="22"/>
          <w:szCs w:val="22"/>
        </w:rPr>
        <w:t xml:space="preserve"> allows a sponsoring organizat</w:t>
      </w:r>
      <w:r w:rsidRPr="007D6DF5">
        <w:rPr>
          <w:rFonts w:asciiTheme="minorHAnsi" w:hAnsiTheme="minorHAnsi"/>
          <w:sz w:val="22"/>
          <w:szCs w:val="22"/>
        </w:rPr>
        <w:t>ion to</w:t>
      </w:r>
    </w:p>
    <w:p w:rsidR="007D6DF5" w:rsidP="007D6DF5" w14:paraId="43EC2385" w14:textId="77777777">
      <w:pPr>
        <w:ind w:left="720"/>
        <w:rPr>
          <w:rFonts w:asciiTheme="minorHAnsi" w:hAnsiTheme="minorHAnsi"/>
          <w:sz w:val="22"/>
          <w:szCs w:val="22"/>
        </w:rPr>
      </w:pPr>
      <w:r w:rsidRPr="007D6DF5">
        <w:rPr>
          <w:rFonts w:asciiTheme="minorHAnsi" w:hAnsiTheme="minorHAnsi"/>
          <w:sz w:val="22"/>
          <w:szCs w:val="22"/>
        </w:rPr>
        <w:t>avoid a taxable distribution to certain</w:t>
      </w:r>
      <w:r>
        <w:rPr>
          <w:rFonts w:asciiTheme="minorHAnsi" w:hAnsiTheme="minorHAnsi"/>
          <w:sz w:val="22"/>
          <w:szCs w:val="22"/>
        </w:rPr>
        <w:t xml:space="preserve"> </w:t>
      </w:r>
      <w:r w:rsidRPr="007D6DF5">
        <w:rPr>
          <w:rFonts w:asciiTheme="minorHAnsi" w:hAnsiTheme="minorHAnsi"/>
          <w:sz w:val="22"/>
          <w:szCs w:val="22"/>
        </w:rPr>
        <w:t>foreign organization distributees if it</w:t>
      </w:r>
      <w:r>
        <w:rPr>
          <w:rFonts w:asciiTheme="minorHAnsi" w:hAnsiTheme="minorHAnsi"/>
          <w:sz w:val="22"/>
          <w:szCs w:val="22"/>
        </w:rPr>
        <w:t xml:space="preserve"> </w:t>
      </w:r>
      <w:r w:rsidRPr="007D6DF5">
        <w:rPr>
          <w:rFonts w:asciiTheme="minorHAnsi" w:hAnsiTheme="minorHAnsi"/>
          <w:sz w:val="22"/>
          <w:szCs w:val="22"/>
        </w:rPr>
        <w:t>makes a good faith determination</w:t>
      </w:r>
      <w:r>
        <w:rPr>
          <w:rFonts w:asciiTheme="minorHAnsi" w:hAnsiTheme="minorHAnsi"/>
          <w:sz w:val="22"/>
          <w:szCs w:val="22"/>
        </w:rPr>
        <w:t xml:space="preserve"> </w:t>
      </w:r>
      <w:r w:rsidRPr="007D6DF5">
        <w:rPr>
          <w:rFonts w:asciiTheme="minorHAnsi" w:hAnsiTheme="minorHAnsi"/>
          <w:sz w:val="22"/>
          <w:szCs w:val="22"/>
        </w:rPr>
        <w:t>regarding their tax-exempt status.</w:t>
      </w:r>
      <w:r>
        <w:rPr>
          <w:rFonts w:asciiTheme="minorHAnsi" w:hAnsiTheme="minorHAnsi"/>
          <w:sz w:val="22"/>
          <w:szCs w:val="22"/>
        </w:rPr>
        <w:t xml:space="preserve">  </w:t>
      </w:r>
      <w:r w:rsidRPr="00DC28AB">
        <w:rPr>
          <w:rFonts w:asciiTheme="minorHAnsi" w:hAnsiTheme="minorHAnsi"/>
          <w:i/>
          <w:iCs/>
          <w:sz w:val="22"/>
          <w:szCs w:val="22"/>
        </w:rPr>
        <w:t xml:space="preserve">Section 53.4966–5(a)(1)(ii)(B) </w:t>
      </w:r>
      <w:r w:rsidRPr="00DC28AB">
        <w:rPr>
          <w:rFonts w:asciiTheme="minorHAnsi" w:hAnsiTheme="minorHAnsi"/>
          <w:sz w:val="22"/>
          <w:szCs w:val="22"/>
        </w:rPr>
        <w:t>requires a sponsoring organization to exercise expenditure responsibility with respect t</w:t>
      </w:r>
      <w:r w:rsidRPr="007D6DF5">
        <w:rPr>
          <w:rFonts w:asciiTheme="minorHAnsi" w:hAnsiTheme="minorHAnsi"/>
          <w:sz w:val="22"/>
          <w:szCs w:val="22"/>
        </w:rPr>
        <w:t>o certain distributions.</w:t>
      </w:r>
    </w:p>
    <w:p w:rsidR="007D6DF5" w:rsidRPr="007D6DF5" w:rsidP="007D6DF5" w14:paraId="551B7B68" w14:textId="77777777">
      <w:pPr>
        <w:ind w:left="720"/>
        <w:rPr>
          <w:rFonts w:asciiTheme="minorHAnsi" w:hAnsiTheme="minorHAnsi"/>
          <w:sz w:val="22"/>
          <w:szCs w:val="22"/>
        </w:rPr>
      </w:pPr>
    </w:p>
    <w:p w:rsidR="007D6DF5" w:rsidRPr="007D6DF5" w:rsidP="007D6DF5" w14:paraId="1A5A39AC" w14:textId="77777777">
      <w:pPr>
        <w:ind w:left="720"/>
        <w:rPr>
          <w:rFonts w:asciiTheme="minorHAnsi" w:hAnsiTheme="minorHAnsi"/>
          <w:sz w:val="22"/>
          <w:szCs w:val="22"/>
        </w:rPr>
      </w:pPr>
      <w:r w:rsidRPr="007D6DF5">
        <w:rPr>
          <w:rFonts w:asciiTheme="minorHAnsi" w:hAnsiTheme="minorHAnsi"/>
          <w:sz w:val="22"/>
          <w:szCs w:val="22"/>
        </w:rPr>
        <w:t>The expected recordkeepers are</w:t>
      </w:r>
      <w:r>
        <w:rPr>
          <w:rFonts w:asciiTheme="minorHAnsi" w:hAnsiTheme="minorHAnsi"/>
          <w:sz w:val="22"/>
          <w:szCs w:val="22"/>
        </w:rPr>
        <w:t xml:space="preserve"> </w:t>
      </w:r>
      <w:r w:rsidRPr="007D6DF5">
        <w:rPr>
          <w:rFonts w:asciiTheme="minorHAnsi" w:hAnsiTheme="minorHAnsi"/>
          <w:sz w:val="22"/>
          <w:szCs w:val="22"/>
        </w:rPr>
        <w:t>sponsoring organizations of DAFs</w:t>
      </w:r>
      <w:r>
        <w:rPr>
          <w:rFonts w:asciiTheme="minorHAnsi" w:hAnsiTheme="minorHAnsi"/>
          <w:sz w:val="22"/>
          <w:szCs w:val="22"/>
        </w:rPr>
        <w:t xml:space="preserve"> </w:t>
      </w:r>
      <w:r w:rsidRPr="007D6DF5">
        <w:rPr>
          <w:rFonts w:asciiTheme="minorHAnsi" w:hAnsiTheme="minorHAnsi"/>
          <w:sz w:val="22"/>
          <w:szCs w:val="22"/>
        </w:rPr>
        <w:t>described in section 4966(d)(1), other</w:t>
      </w:r>
      <w:r>
        <w:rPr>
          <w:rFonts w:asciiTheme="minorHAnsi" w:hAnsiTheme="minorHAnsi"/>
          <w:sz w:val="22"/>
          <w:szCs w:val="22"/>
        </w:rPr>
        <w:t xml:space="preserve"> </w:t>
      </w:r>
      <w:r w:rsidRPr="007D6DF5">
        <w:rPr>
          <w:rFonts w:asciiTheme="minorHAnsi" w:hAnsiTheme="minorHAnsi"/>
          <w:sz w:val="22"/>
          <w:szCs w:val="22"/>
        </w:rPr>
        <w:t>organizations described in section</w:t>
      </w:r>
      <w:r>
        <w:rPr>
          <w:rFonts w:asciiTheme="minorHAnsi" w:hAnsiTheme="minorHAnsi"/>
          <w:sz w:val="22"/>
          <w:szCs w:val="22"/>
        </w:rPr>
        <w:t xml:space="preserve"> </w:t>
      </w:r>
      <w:r w:rsidRPr="007D6DF5">
        <w:rPr>
          <w:rFonts w:asciiTheme="minorHAnsi" w:hAnsiTheme="minorHAnsi"/>
          <w:sz w:val="22"/>
          <w:szCs w:val="22"/>
        </w:rPr>
        <w:t>4966(d)(1)(A) and (B) that maintain</w:t>
      </w:r>
      <w:r>
        <w:rPr>
          <w:rFonts w:asciiTheme="minorHAnsi" w:hAnsiTheme="minorHAnsi"/>
          <w:sz w:val="22"/>
          <w:szCs w:val="22"/>
        </w:rPr>
        <w:t xml:space="preserve"> </w:t>
      </w:r>
      <w:r w:rsidRPr="007D6DF5">
        <w:rPr>
          <w:rFonts w:asciiTheme="minorHAnsi" w:hAnsiTheme="minorHAnsi"/>
          <w:sz w:val="22"/>
          <w:szCs w:val="22"/>
        </w:rPr>
        <w:t>funds excepted from the definition of a</w:t>
      </w:r>
      <w:r>
        <w:rPr>
          <w:rFonts w:asciiTheme="minorHAnsi" w:hAnsiTheme="minorHAnsi"/>
          <w:sz w:val="22"/>
          <w:szCs w:val="22"/>
        </w:rPr>
        <w:t xml:space="preserve"> </w:t>
      </w:r>
      <w:r w:rsidRPr="007D6DF5">
        <w:rPr>
          <w:rFonts w:asciiTheme="minorHAnsi" w:hAnsiTheme="minorHAnsi"/>
          <w:sz w:val="22"/>
          <w:szCs w:val="22"/>
        </w:rPr>
        <w:t>DAF under section 4966(d)(2)(B) or (C)</w:t>
      </w:r>
      <w:r>
        <w:rPr>
          <w:rFonts w:asciiTheme="minorHAnsi" w:hAnsiTheme="minorHAnsi"/>
          <w:sz w:val="22"/>
          <w:szCs w:val="22"/>
        </w:rPr>
        <w:t xml:space="preserve"> </w:t>
      </w:r>
      <w:r w:rsidRPr="007D6DF5">
        <w:rPr>
          <w:rFonts w:asciiTheme="minorHAnsi" w:hAnsiTheme="minorHAnsi"/>
          <w:sz w:val="22"/>
          <w:szCs w:val="22"/>
        </w:rPr>
        <w:t xml:space="preserve">(and certain </w:t>
      </w:r>
      <w:r w:rsidRPr="007D6DF5">
        <w:rPr>
          <w:rFonts w:asciiTheme="minorHAnsi" w:hAnsiTheme="minorHAnsi"/>
          <w:sz w:val="22"/>
          <w:szCs w:val="22"/>
        </w:rPr>
        <w:t>donors to funds described</w:t>
      </w:r>
      <w:r>
        <w:rPr>
          <w:rFonts w:asciiTheme="minorHAnsi" w:hAnsiTheme="minorHAnsi"/>
          <w:sz w:val="22"/>
          <w:szCs w:val="22"/>
        </w:rPr>
        <w:t xml:space="preserve"> </w:t>
      </w:r>
      <w:r w:rsidRPr="007D6DF5">
        <w:rPr>
          <w:rFonts w:asciiTheme="minorHAnsi" w:hAnsiTheme="minorHAnsi"/>
          <w:sz w:val="22"/>
          <w:szCs w:val="22"/>
        </w:rPr>
        <w:t>in section 4966(d)(2)(B)(i)), foreign</w:t>
      </w:r>
      <w:r>
        <w:rPr>
          <w:rFonts w:asciiTheme="minorHAnsi" w:hAnsiTheme="minorHAnsi"/>
          <w:sz w:val="22"/>
          <w:szCs w:val="22"/>
        </w:rPr>
        <w:t xml:space="preserve"> </w:t>
      </w:r>
      <w:r w:rsidRPr="007D6DF5">
        <w:rPr>
          <w:rFonts w:asciiTheme="minorHAnsi" w:hAnsiTheme="minorHAnsi"/>
          <w:sz w:val="22"/>
          <w:szCs w:val="22"/>
        </w:rPr>
        <w:t>organization distributees that are the</w:t>
      </w:r>
      <w:r>
        <w:rPr>
          <w:rFonts w:asciiTheme="minorHAnsi" w:hAnsiTheme="minorHAnsi"/>
          <w:sz w:val="22"/>
          <w:szCs w:val="22"/>
        </w:rPr>
        <w:t xml:space="preserve"> </w:t>
      </w:r>
      <w:r w:rsidRPr="007D6DF5">
        <w:rPr>
          <w:rFonts w:asciiTheme="minorHAnsi" w:hAnsiTheme="minorHAnsi"/>
          <w:sz w:val="22"/>
          <w:szCs w:val="22"/>
        </w:rPr>
        <w:t>subject of equivalency determinations</w:t>
      </w:r>
      <w:r>
        <w:rPr>
          <w:rFonts w:asciiTheme="minorHAnsi" w:hAnsiTheme="minorHAnsi"/>
          <w:sz w:val="22"/>
          <w:szCs w:val="22"/>
        </w:rPr>
        <w:t xml:space="preserve"> </w:t>
      </w:r>
      <w:r w:rsidRPr="007D6DF5">
        <w:rPr>
          <w:rFonts w:asciiTheme="minorHAnsi" w:hAnsiTheme="minorHAnsi"/>
          <w:sz w:val="22"/>
          <w:szCs w:val="22"/>
        </w:rPr>
        <w:t>by sponsoring organizations, and</w:t>
      </w:r>
    </w:p>
    <w:p w:rsidR="007D6DF5" w:rsidP="007D6DF5" w14:paraId="12633CC0" w14:textId="77777777">
      <w:pPr>
        <w:ind w:left="720"/>
        <w:rPr>
          <w:rFonts w:asciiTheme="minorHAnsi" w:hAnsiTheme="minorHAnsi" w:cs="Courier New"/>
          <w:sz w:val="22"/>
          <w:szCs w:val="22"/>
        </w:rPr>
      </w:pPr>
      <w:r w:rsidRPr="007D6DF5">
        <w:rPr>
          <w:rFonts w:asciiTheme="minorHAnsi" w:hAnsiTheme="minorHAnsi"/>
          <w:sz w:val="22"/>
          <w:szCs w:val="22"/>
        </w:rPr>
        <w:t>recipients of expenditure responsibility</w:t>
      </w:r>
      <w:r>
        <w:rPr>
          <w:rFonts w:asciiTheme="minorHAnsi" w:hAnsiTheme="minorHAnsi"/>
          <w:sz w:val="22"/>
          <w:szCs w:val="22"/>
        </w:rPr>
        <w:t xml:space="preserve"> </w:t>
      </w:r>
      <w:r w:rsidRPr="007D6DF5">
        <w:rPr>
          <w:rFonts w:asciiTheme="minorHAnsi" w:hAnsiTheme="minorHAnsi"/>
          <w:sz w:val="22"/>
          <w:szCs w:val="22"/>
        </w:rPr>
        <w:t>distributions.</w:t>
      </w:r>
      <w:r>
        <w:rPr>
          <w:rFonts w:asciiTheme="minorHAnsi" w:hAnsiTheme="minorHAnsi"/>
          <w:sz w:val="22"/>
          <w:szCs w:val="22"/>
        </w:rPr>
        <w:t xml:space="preserve">  </w:t>
      </w:r>
    </w:p>
    <w:p w:rsidR="006C1B3C" w:rsidP="00CD65D3" w14:paraId="584D882A" w14:textId="77777777">
      <w:pPr>
        <w:ind w:left="720"/>
        <w:rPr>
          <w:rFonts w:asciiTheme="minorHAnsi" w:hAnsiTheme="minorHAnsi"/>
          <w:color w:val="000000"/>
          <w:sz w:val="22"/>
          <w:szCs w:val="22"/>
        </w:rPr>
      </w:pPr>
    </w:p>
    <w:tbl>
      <w:tblPr>
        <w:tblW w:w="89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1440"/>
        <w:gridCol w:w="1717"/>
        <w:gridCol w:w="1191"/>
        <w:gridCol w:w="1959"/>
        <w:gridCol w:w="987"/>
      </w:tblGrid>
      <w:tr w14:paraId="28C75F02" w14:textId="77777777" w:rsidTr="00A85BE3">
        <w:tblPrEx>
          <w:tblW w:w="89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80" w:type="dxa"/>
            <w:shd w:val="clear" w:color="auto" w:fill="auto"/>
            <w:vAlign w:val="bottom"/>
          </w:tcPr>
          <w:p w:rsidR="00064F6B" w:rsidRPr="00A85BE3" w:rsidP="00064F6B" w14:paraId="379331C6" w14:textId="1A32B03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Authority</w:t>
            </w:r>
          </w:p>
        </w:tc>
        <w:tc>
          <w:tcPr>
            <w:tcW w:w="1440" w:type="dxa"/>
            <w:vAlign w:val="bottom"/>
          </w:tcPr>
          <w:p w:rsidR="00064F6B" w:rsidRPr="00A85BE3" w:rsidP="004F43EE" w14:paraId="24E94236"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 of Respondents</w:t>
            </w:r>
          </w:p>
        </w:tc>
        <w:tc>
          <w:tcPr>
            <w:tcW w:w="1717" w:type="dxa"/>
            <w:vAlign w:val="bottom"/>
          </w:tcPr>
          <w:p w:rsidR="00064F6B" w:rsidRPr="00A85BE3" w:rsidP="004F43EE" w14:paraId="239DDDD2"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 Responses per Respondent</w:t>
            </w:r>
          </w:p>
        </w:tc>
        <w:tc>
          <w:tcPr>
            <w:tcW w:w="1191" w:type="dxa"/>
            <w:shd w:val="clear" w:color="auto" w:fill="auto"/>
            <w:vAlign w:val="bottom"/>
          </w:tcPr>
          <w:p w:rsidR="00064F6B" w:rsidRPr="00A85BE3" w:rsidP="004F43EE" w14:paraId="7A5390B6"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Annual Responses</w:t>
            </w:r>
          </w:p>
        </w:tc>
        <w:tc>
          <w:tcPr>
            <w:tcW w:w="1959" w:type="dxa"/>
            <w:vAlign w:val="bottom"/>
          </w:tcPr>
          <w:p w:rsidR="00064F6B" w:rsidRPr="00A85BE3" w:rsidP="004F43EE" w14:paraId="72E384A2"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Estimated Hours per Response</w:t>
            </w:r>
          </w:p>
        </w:tc>
        <w:tc>
          <w:tcPr>
            <w:tcW w:w="987" w:type="dxa"/>
            <w:shd w:val="clear" w:color="auto" w:fill="auto"/>
            <w:vAlign w:val="bottom"/>
          </w:tcPr>
          <w:p w:rsidR="00064F6B" w:rsidRPr="00A85BE3" w:rsidP="004F43EE" w14:paraId="1D64380F"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Total Burden</w:t>
            </w:r>
          </w:p>
        </w:tc>
      </w:tr>
      <w:tr w14:paraId="32517D3D" w14:textId="77777777" w:rsidTr="00A85BE3">
        <w:tblPrEx>
          <w:tblW w:w="8974" w:type="dxa"/>
          <w:tblInd w:w="648" w:type="dxa"/>
          <w:tblLook w:val="04A0"/>
        </w:tblPrEx>
        <w:tc>
          <w:tcPr>
            <w:tcW w:w="1680" w:type="dxa"/>
            <w:shd w:val="clear" w:color="auto" w:fill="auto"/>
            <w:vAlign w:val="bottom"/>
          </w:tcPr>
          <w:p w:rsidR="00064F6B" w:rsidP="004F43EE" w14:paraId="6A5A6FC0" w14:textId="67E5133C">
            <w:pPr>
              <w:keepNext/>
              <w:keepLines/>
              <w:numPr>
                <w:ilvl w:val="12"/>
                <w:numId w:val="0"/>
              </w:numPr>
              <w:rPr>
                <w:rFonts w:asciiTheme="minorHAnsi" w:hAnsiTheme="minorHAnsi"/>
                <w:color w:val="000000" w:themeColor="text1"/>
                <w:sz w:val="20"/>
                <w:szCs w:val="20"/>
              </w:rPr>
            </w:pPr>
            <w:r w:rsidRPr="00A85BE3">
              <w:rPr>
                <w:rFonts w:asciiTheme="minorHAnsi" w:hAnsiTheme="minorHAnsi"/>
                <w:color w:val="000000" w:themeColor="text1"/>
                <w:sz w:val="20"/>
                <w:szCs w:val="20"/>
              </w:rPr>
              <w:t>Reg 142338-07</w:t>
            </w:r>
          </w:p>
          <w:p w:rsidR="002D0C63" w:rsidP="004F43EE" w14:paraId="5A1FC8D3" w14:textId="77777777">
            <w:pPr>
              <w:keepNext/>
              <w:keepLines/>
              <w:numPr>
                <w:ilvl w:val="12"/>
                <w:numId w:val="0"/>
              </w:numPr>
              <w:rPr>
                <w:rFonts w:asciiTheme="minorHAnsi" w:hAnsiTheme="minorHAnsi"/>
                <w:color w:val="000000" w:themeColor="text1"/>
                <w:sz w:val="20"/>
                <w:szCs w:val="20"/>
              </w:rPr>
            </w:pPr>
          </w:p>
          <w:p w:rsidR="00950E26" w:rsidRPr="00A85BE3" w:rsidP="004F43EE" w14:paraId="0394951D" w14:textId="7C68CE68">
            <w:pPr>
              <w:keepNext/>
              <w:keepLines/>
              <w:numPr>
                <w:ilvl w:val="12"/>
                <w:numId w:val="0"/>
              </w:numPr>
              <w:rPr>
                <w:rFonts w:asciiTheme="minorHAnsi" w:hAnsiTheme="minorHAnsi"/>
                <w:color w:val="000000" w:themeColor="text1"/>
                <w:sz w:val="20"/>
                <w:szCs w:val="20"/>
              </w:rPr>
            </w:pPr>
            <w:r>
              <w:rPr>
                <w:rFonts w:asciiTheme="minorHAnsi" w:hAnsiTheme="minorHAnsi"/>
                <w:color w:val="000000" w:themeColor="text1"/>
                <w:sz w:val="20"/>
                <w:szCs w:val="20"/>
              </w:rPr>
              <w:t>(Third-party disclosure and recordkeeping burden)</w:t>
            </w:r>
          </w:p>
        </w:tc>
        <w:tc>
          <w:tcPr>
            <w:tcW w:w="1440" w:type="dxa"/>
            <w:vAlign w:val="bottom"/>
          </w:tcPr>
          <w:p w:rsidR="00064F6B" w:rsidRPr="00A85BE3" w:rsidP="004F43EE" w14:paraId="762934A7" w14:textId="34CAA8F3">
            <w:pPr>
              <w:keepNext/>
              <w:keepLines/>
              <w:numPr>
                <w:ilvl w:val="12"/>
                <w:numId w:val="0"/>
              </w:numPr>
              <w:jc w:val="center"/>
              <w:rPr>
                <w:rFonts w:asciiTheme="minorHAnsi" w:hAnsiTheme="minorHAnsi"/>
                <w:color w:val="000000" w:themeColor="text1"/>
                <w:sz w:val="20"/>
                <w:szCs w:val="20"/>
              </w:rPr>
            </w:pPr>
            <w:r w:rsidRPr="00A85BE3">
              <w:rPr>
                <w:rFonts w:asciiTheme="minorHAnsi" w:hAnsiTheme="minorHAnsi"/>
                <w:color w:val="000000" w:themeColor="text1"/>
                <w:sz w:val="20"/>
                <w:szCs w:val="20"/>
              </w:rPr>
              <w:t>13,961</w:t>
            </w:r>
          </w:p>
        </w:tc>
        <w:tc>
          <w:tcPr>
            <w:tcW w:w="1717" w:type="dxa"/>
            <w:vAlign w:val="bottom"/>
          </w:tcPr>
          <w:p w:rsidR="00064F6B" w:rsidRPr="00A85BE3" w:rsidP="004F43EE" w14:paraId="25D5D093" w14:textId="2EB479B1">
            <w:pPr>
              <w:keepNext/>
              <w:keepLines/>
              <w:numPr>
                <w:ilvl w:val="12"/>
                <w:numId w:val="0"/>
              </w:numPr>
              <w:jc w:val="center"/>
              <w:rPr>
                <w:rFonts w:asciiTheme="minorHAnsi" w:hAnsiTheme="minorHAnsi"/>
                <w:color w:val="000000" w:themeColor="text1"/>
                <w:sz w:val="20"/>
                <w:szCs w:val="20"/>
              </w:rPr>
            </w:pPr>
            <w:r w:rsidRPr="00A85BE3">
              <w:rPr>
                <w:rFonts w:asciiTheme="minorHAnsi" w:hAnsiTheme="minorHAnsi"/>
                <w:color w:val="000000" w:themeColor="text1"/>
                <w:sz w:val="20"/>
                <w:szCs w:val="20"/>
              </w:rPr>
              <w:t>1</w:t>
            </w:r>
          </w:p>
        </w:tc>
        <w:tc>
          <w:tcPr>
            <w:tcW w:w="1191" w:type="dxa"/>
            <w:shd w:val="clear" w:color="auto" w:fill="auto"/>
            <w:vAlign w:val="bottom"/>
          </w:tcPr>
          <w:p w:rsidR="00064F6B" w:rsidRPr="00A85BE3" w:rsidP="004F43EE" w14:paraId="16AF4C14" w14:textId="27D2A038">
            <w:pPr>
              <w:keepNext/>
              <w:keepLines/>
              <w:numPr>
                <w:ilvl w:val="12"/>
                <w:numId w:val="0"/>
              </w:numPr>
              <w:jc w:val="center"/>
              <w:rPr>
                <w:rFonts w:asciiTheme="minorHAnsi" w:hAnsiTheme="minorHAnsi"/>
                <w:color w:val="000000" w:themeColor="text1"/>
                <w:sz w:val="20"/>
                <w:szCs w:val="20"/>
              </w:rPr>
            </w:pPr>
            <w:r w:rsidRPr="00A85BE3">
              <w:rPr>
                <w:rFonts w:asciiTheme="minorHAnsi" w:hAnsiTheme="minorHAnsi"/>
                <w:color w:val="000000" w:themeColor="text1"/>
                <w:sz w:val="20"/>
                <w:szCs w:val="20"/>
              </w:rPr>
              <w:t>13,961</w:t>
            </w:r>
          </w:p>
        </w:tc>
        <w:tc>
          <w:tcPr>
            <w:tcW w:w="1959" w:type="dxa"/>
            <w:vAlign w:val="bottom"/>
          </w:tcPr>
          <w:p w:rsidR="00064F6B" w:rsidRPr="00A85BE3" w:rsidP="004F43EE" w14:paraId="5E066957" w14:textId="29595822">
            <w:pPr>
              <w:keepNext/>
              <w:keepLines/>
              <w:numPr>
                <w:ilvl w:val="12"/>
                <w:numId w:val="0"/>
              </w:numPr>
              <w:jc w:val="center"/>
              <w:rPr>
                <w:rFonts w:asciiTheme="minorHAnsi" w:hAnsiTheme="minorHAnsi"/>
                <w:sz w:val="20"/>
                <w:szCs w:val="20"/>
              </w:rPr>
            </w:pPr>
            <w:r w:rsidRPr="00A85BE3">
              <w:rPr>
                <w:rFonts w:asciiTheme="minorHAnsi" w:hAnsiTheme="minorHAnsi"/>
                <w:sz w:val="20"/>
                <w:szCs w:val="20"/>
              </w:rPr>
              <w:t>3 hours and 47 minutes (3.787 hr.)</w:t>
            </w:r>
          </w:p>
        </w:tc>
        <w:tc>
          <w:tcPr>
            <w:tcW w:w="987" w:type="dxa"/>
            <w:shd w:val="clear" w:color="auto" w:fill="auto"/>
            <w:vAlign w:val="bottom"/>
          </w:tcPr>
          <w:p w:rsidR="00064F6B" w:rsidRPr="00A85BE3" w:rsidP="004F43EE" w14:paraId="370412C9" w14:textId="21C2FA08">
            <w:pPr>
              <w:keepNext/>
              <w:keepLines/>
              <w:numPr>
                <w:ilvl w:val="12"/>
                <w:numId w:val="0"/>
              </w:numPr>
              <w:jc w:val="center"/>
              <w:rPr>
                <w:rFonts w:asciiTheme="minorHAnsi" w:hAnsiTheme="minorHAnsi"/>
                <w:sz w:val="20"/>
                <w:szCs w:val="20"/>
              </w:rPr>
            </w:pPr>
            <w:r w:rsidRPr="00A85BE3">
              <w:rPr>
                <w:rFonts w:asciiTheme="minorHAnsi" w:hAnsiTheme="minorHAnsi"/>
                <w:sz w:val="20"/>
                <w:szCs w:val="20"/>
              </w:rPr>
              <w:t>52,874</w:t>
            </w:r>
          </w:p>
        </w:tc>
      </w:tr>
      <w:tr w14:paraId="39B3FBD5" w14:textId="77777777" w:rsidTr="00A85BE3">
        <w:tblPrEx>
          <w:tblW w:w="8974" w:type="dxa"/>
          <w:tblInd w:w="648" w:type="dxa"/>
          <w:tblLook w:val="04A0"/>
        </w:tblPrEx>
        <w:tc>
          <w:tcPr>
            <w:tcW w:w="1680" w:type="dxa"/>
            <w:shd w:val="clear" w:color="auto" w:fill="auto"/>
            <w:vAlign w:val="bottom"/>
          </w:tcPr>
          <w:p w:rsidR="00064F6B" w:rsidRPr="00A85BE3" w:rsidP="004F43EE" w14:paraId="1EC2D8F5" w14:textId="77777777">
            <w:pPr>
              <w:keepNext/>
              <w:keepLines/>
              <w:numPr>
                <w:ilvl w:val="12"/>
                <w:numId w:val="0"/>
              </w:numPr>
              <w:rPr>
                <w:rFonts w:asciiTheme="minorHAnsi" w:hAnsiTheme="minorHAnsi"/>
                <w:b/>
                <w:color w:val="000000" w:themeColor="text1"/>
                <w:sz w:val="20"/>
                <w:szCs w:val="20"/>
              </w:rPr>
            </w:pPr>
            <w:r w:rsidRPr="00A85BE3">
              <w:rPr>
                <w:rFonts w:asciiTheme="minorHAnsi" w:hAnsiTheme="minorHAnsi"/>
                <w:b/>
                <w:color w:val="000000" w:themeColor="text1"/>
                <w:sz w:val="20"/>
                <w:szCs w:val="20"/>
              </w:rPr>
              <w:t>Totals</w:t>
            </w:r>
          </w:p>
        </w:tc>
        <w:tc>
          <w:tcPr>
            <w:tcW w:w="1440" w:type="dxa"/>
            <w:vAlign w:val="bottom"/>
          </w:tcPr>
          <w:p w:rsidR="00064F6B" w:rsidRPr="00A85BE3" w:rsidP="004F43EE" w14:paraId="3409E33B" w14:textId="77777777">
            <w:pPr>
              <w:keepNext/>
              <w:keepLines/>
              <w:numPr>
                <w:ilvl w:val="12"/>
                <w:numId w:val="0"/>
              </w:numPr>
              <w:jc w:val="center"/>
              <w:rPr>
                <w:rFonts w:asciiTheme="minorHAnsi" w:hAnsiTheme="minorHAnsi"/>
                <w:b/>
                <w:color w:val="000000" w:themeColor="text1"/>
                <w:sz w:val="20"/>
                <w:szCs w:val="20"/>
              </w:rPr>
            </w:pPr>
          </w:p>
        </w:tc>
        <w:tc>
          <w:tcPr>
            <w:tcW w:w="1717" w:type="dxa"/>
            <w:vAlign w:val="bottom"/>
          </w:tcPr>
          <w:p w:rsidR="00064F6B" w:rsidRPr="00A85BE3" w:rsidP="004F43EE" w14:paraId="7A5F190F" w14:textId="77777777">
            <w:pPr>
              <w:keepNext/>
              <w:keepLines/>
              <w:numPr>
                <w:ilvl w:val="12"/>
                <w:numId w:val="0"/>
              </w:numPr>
              <w:jc w:val="center"/>
              <w:rPr>
                <w:rFonts w:asciiTheme="minorHAnsi" w:hAnsiTheme="minorHAnsi"/>
                <w:b/>
                <w:color w:val="000000" w:themeColor="text1"/>
                <w:sz w:val="20"/>
                <w:szCs w:val="20"/>
              </w:rPr>
            </w:pPr>
          </w:p>
        </w:tc>
        <w:tc>
          <w:tcPr>
            <w:tcW w:w="1191" w:type="dxa"/>
            <w:shd w:val="clear" w:color="auto" w:fill="auto"/>
            <w:vAlign w:val="bottom"/>
          </w:tcPr>
          <w:p w:rsidR="00064F6B" w:rsidRPr="00A85BE3" w:rsidP="004F43EE" w14:paraId="2D51515B" w14:textId="77777777">
            <w:pPr>
              <w:keepNext/>
              <w:keepLines/>
              <w:numPr>
                <w:ilvl w:val="12"/>
                <w:numId w:val="0"/>
              </w:numPr>
              <w:jc w:val="center"/>
              <w:rPr>
                <w:rFonts w:asciiTheme="minorHAnsi" w:hAnsiTheme="minorHAnsi"/>
                <w:b/>
                <w:color w:val="000000" w:themeColor="text1"/>
                <w:sz w:val="20"/>
                <w:szCs w:val="20"/>
              </w:rPr>
            </w:pPr>
            <w:r w:rsidRPr="00A85BE3">
              <w:rPr>
                <w:rFonts w:asciiTheme="minorHAnsi" w:hAnsiTheme="minorHAnsi"/>
                <w:b/>
                <w:color w:val="000000" w:themeColor="text1"/>
                <w:sz w:val="20"/>
                <w:szCs w:val="20"/>
              </w:rPr>
              <w:t>13,961</w:t>
            </w:r>
          </w:p>
        </w:tc>
        <w:tc>
          <w:tcPr>
            <w:tcW w:w="1959" w:type="dxa"/>
            <w:vAlign w:val="bottom"/>
          </w:tcPr>
          <w:p w:rsidR="00064F6B" w:rsidRPr="00A85BE3" w:rsidP="004F43EE" w14:paraId="23AAE21B" w14:textId="08BE8E43">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3.78</w:t>
            </w:r>
            <w:r w:rsidRPr="00A85BE3" w:rsidR="00851596">
              <w:rPr>
                <w:rFonts w:asciiTheme="minorHAnsi" w:hAnsiTheme="minorHAnsi"/>
                <w:b/>
                <w:sz w:val="20"/>
                <w:szCs w:val="20"/>
              </w:rPr>
              <w:t>7</w:t>
            </w:r>
          </w:p>
        </w:tc>
        <w:tc>
          <w:tcPr>
            <w:tcW w:w="987" w:type="dxa"/>
            <w:shd w:val="clear" w:color="auto" w:fill="auto"/>
            <w:vAlign w:val="bottom"/>
          </w:tcPr>
          <w:p w:rsidR="00064F6B" w:rsidRPr="00A85BE3" w:rsidP="004F43EE" w14:paraId="6DB0FBAD" w14:textId="77777777">
            <w:pPr>
              <w:keepNext/>
              <w:keepLines/>
              <w:numPr>
                <w:ilvl w:val="12"/>
                <w:numId w:val="0"/>
              </w:numPr>
              <w:jc w:val="center"/>
              <w:rPr>
                <w:rFonts w:asciiTheme="minorHAnsi" w:hAnsiTheme="minorHAnsi"/>
                <w:b/>
                <w:sz w:val="20"/>
                <w:szCs w:val="20"/>
              </w:rPr>
            </w:pPr>
            <w:r w:rsidRPr="00A85BE3">
              <w:rPr>
                <w:rFonts w:asciiTheme="minorHAnsi" w:hAnsiTheme="minorHAnsi"/>
                <w:b/>
                <w:sz w:val="20"/>
                <w:szCs w:val="20"/>
              </w:rPr>
              <w:t>52,874</w:t>
            </w:r>
          </w:p>
        </w:tc>
      </w:tr>
    </w:tbl>
    <w:p w:rsidR="00064F6B" w14:paraId="6912B108" w14:textId="1D7E6783">
      <w:pPr>
        <w:ind w:left="720"/>
        <w:rPr>
          <w:rFonts w:asciiTheme="minorHAnsi" w:hAnsiTheme="minorHAnsi"/>
          <w:sz w:val="22"/>
          <w:szCs w:val="22"/>
        </w:rPr>
      </w:pPr>
    </w:p>
    <w:p w:rsidR="006C1B3C" w14:paraId="5DE950C8" w14:textId="45FFE6B5">
      <w:pPr>
        <w:ind w:left="720"/>
        <w:rPr>
          <w:rFonts w:asciiTheme="minorHAnsi" w:hAnsiTheme="minorHAnsi"/>
          <w:b/>
          <w:sz w:val="22"/>
          <w:szCs w:val="22"/>
        </w:rPr>
      </w:pPr>
    </w:p>
    <w:p w:rsidR="006C1B3C" w:rsidP="005E7E9B" w14:paraId="6E8EB52A" w14:textId="6D7E624D">
      <w:pPr>
        <w:ind w:left="720" w:hanging="720"/>
        <w:rPr>
          <w:rFonts w:asciiTheme="minorHAnsi" w:hAnsiTheme="minorHAnsi"/>
          <w:u w:val="single"/>
        </w:rPr>
      </w:pPr>
      <w:r>
        <w:rPr>
          <w:rFonts w:asciiTheme="minorHAnsi" w:hAnsiTheme="minorHAnsi"/>
        </w:rPr>
        <w:t xml:space="preserve">13.  </w:t>
      </w:r>
      <w:r w:rsidR="005E7E9B">
        <w:rPr>
          <w:rFonts w:asciiTheme="minorHAnsi" w:hAnsiTheme="minorHAnsi"/>
        </w:rPr>
        <w:tab/>
      </w:r>
      <w:r>
        <w:rPr>
          <w:rFonts w:asciiTheme="minorHAnsi" w:hAnsiTheme="minorHAnsi"/>
          <w:b/>
          <w:bCs/>
          <w:u w:val="single"/>
        </w:rPr>
        <w:t>ESTIMATED TOTAL ANNUAL COST BURDEN TO RESPONDENTS</w:t>
      </w:r>
      <w:r>
        <w:rPr>
          <w:rFonts w:asciiTheme="minorHAnsi" w:hAnsiTheme="minorHAnsi"/>
          <w:u w:val="single"/>
        </w:rPr>
        <w:t xml:space="preserve"> </w:t>
      </w:r>
    </w:p>
    <w:p w:rsidR="006C1B3C" w14:paraId="73C90AF5" w14:textId="77777777">
      <w:pPr>
        <w:ind w:left="720"/>
        <w:rPr>
          <w:rFonts w:asciiTheme="minorHAnsi" w:hAnsiTheme="minorHAnsi"/>
          <w:u w:val="single"/>
        </w:rPr>
      </w:pPr>
    </w:p>
    <w:p w:rsidR="000C0D25" w:rsidRPr="00A85BE3" w:rsidP="000C0D25" w14:paraId="5C8AD2A6" w14:textId="1111A91A">
      <w:pPr>
        <w:widowControl/>
        <w:autoSpaceDE/>
        <w:autoSpaceDN/>
        <w:adjustRightInd/>
        <w:ind w:left="720" w:right="-108"/>
        <w:rPr>
          <w:rFonts w:asciiTheme="minorHAnsi" w:hAnsiTheme="minorHAnsi"/>
          <w:sz w:val="22"/>
          <w:szCs w:val="22"/>
        </w:rPr>
      </w:pPr>
      <w:r w:rsidRPr="00A85BE3">
        <w:rPr>
          <w:rFonts w:asciiTheme="minorHAnsi" w:hAnsiTheme="minorHAnsi"/>
          <w:sz w:val="22"/>
          <w:szCs w:val="22"/>
        </w:rPr>
        <w:t xml:space="preserve">The IRS estimates the total </w:t>
      </w:r>
      <w:r w:rsidR="00EA53C0">
        <w:rPr>
          <w:rFonts w:asciiTheme="minorHAnsi" w:hAnsiTheme="minorHAnsi"/>
          <w:sz w:val="22"/>
          <w:szCs w:val="22"/>
        </w:rPr>
        <w:t xml:space="preserve">burden </w:t>
      </w:r>
      <w:r w:rsidRPr="00A85BE3">
        <w:rPr>
          <w:rFonts w:asciiTheme="minorHAnsi" w:hAnsiTheme="minorHAnsi"/>
          <w:sz w:val="22"/>
          <w:szCs w:val="22"/>
        </w:rPr>
        <w:t xml:space="preserve">cost </w:t>
      </w:r>
      <w:r w:rsidR="00EA53C0">
        <w:rPr>
          <w:rFonts w:asciiTheme="minorHAnsi" w:hAnsiTheme="minorHAnsi"/>
          <w:sz w:val="22"/>
          <w:szCs w:val="22"/>
        </w:rPr>
        <w:t xml:space="preserve">per </w:t>
      </w:r>
      <w:r w:rsidRPr="00A85BE3">
        <w:rPr>
          <w:rFonts w:asciiTheme="minorHAnsi" w:hAnsiTheme="minorHAnsi"/>
          <w:sz w:val="22"/>
          <w:szCs w:val="22"/>
        </w:rPr>
        <w:t>respon</w:t>
      </w:r>
      <w:r w:rsidR="002D0C63">
        <w:rPr>
          <w:rFonts w:asciiTheme="minorHAnsi" w:hAnsiTheme="minorHAnsi"/>
          <w:sz w:val="22"/>
          <w:szCs w:val="22"/>
        </w:rPr>
        <w:t>se</w:t>
      </w:r>
      <w:r w:rsidRPr="00A85BE3">
        <w:rPr>
          <w:rFonts w:asciiTheme="minorHAnsi" w:hAnsiTheme="minorHAnsi"/>
          <w:sz w:val="22"/>
          <w:szCs w:val="22"/>
        </w:rPr>
        <w:t xml:space="preserve"> at </w:t>
      </w:r>
      <w:r w:rsidR="00EA53C0">
        <w:rPr>
          <w:rFonts w:asciiTheme="minorHAnsi" w:hAnsiTheme="minorHAnsi"/>
          <w:sz w:val="22"/>
          <w:szCs w:val="22"/>
        </w:rPr>
        <w:t>$228.83</w:t>
      </w:r>
      <w:r w:rsidRPr="00A85BE3">
        <w:rPr>
          <w:rFonts w:asciiTheme="minorHAnsi" w:hAnsiTheme="minorHAnsi"/>
          <w:sz w:val="22"/>
          <w:szCs w:val="22"/>
        </w:rPr>
        <w:t xml:space="preserve">.  To arrive at this figure, the </w:t>
      </w:r>
      <w:r w:rsidR="00EA53C0">
        <w:rPr>
          <w:rFonts w:asciiTheme="minorHAnsi" w:hAnsiTheme="minorHAnsi"/>
          <w:sz w:val="22"/>
          <w:szCs w:val="22"/>
        </w:rPr>
        <w:t xml:space="preserve">estimated hours per response </w:t>
      </w:r>
      <w:r w:rsidRPr="00A85BE3">
        <w:rPr>
          <w:rFonts w:asciiTheme="minorHAnsi" w:hAnsiTheme="minorHAnsi"/>
          <w:sz w:val="22"/>
          <w:szCs w:val="22"/>
        </w:rPr>
        <w:t xml:space="preserve">of </w:t>
      </w:r>
      <w:r w:rsidR="00EA53C0">
        <w:rPr>
          <w:rFonts w:asciiTheme="minorHAnsi" w:hAnsiTheme="minorHAnsi"/>
          <w:sz w:val="22"/>
          <w:szCs w:val="22"/>
        </w:rPr>
        <w:t>3.78726</w:t>
      </w:r>
      <w:r w:rsidRPr="00A85BE3">
        <w:rPr>
          <w:rFonts w:asciiTheme="minorHAnsi" w:hAnsiTheme="minorHAnsi"/>
          <w:sz w:val="22"/>
          <w:szCs w:val="22"/>
        </w:rPr>
        <w:t xml:space="preserve"> were multiplied by $60.42 per hour. IRS anticipates that taxpayers may use an accountant in </w:t>
      </w:r>
      <w:r w:rsidR="002D0C63">
        <w:rPr>
          <w:rFonts w:asciiTheme="minorHAnsi" w:hAnsiTheme="minorHAnsi"/>
          <w:sz w:val="22"/>
          <w:szCs w:val="22"/>
        </w:rPr>
        <w:t>meeting these regulatory obligations</w:t>
      </w:r>
      <w:r w:rsidRPr="00A85BE3">
        <w:rPr>
          <w:rFonts w:asciiTheme="minorHAnsi" w:hAnsiTheme="minorHAnsi"/>
          <w:sz w:val="22"/>
          <w:szCs w:val="22"/>
        </w:rPr>
        <w:t xml:space="preserve">.   </w:t>
      </w:r>
    </w:p>
    <w:p w:rsidR="000C0D25" w:rsidRPr="00A85BE3" w:rsidP="000C0D25" w14:paraId="52246114" w14:textId="77777777">
      <w:pPr>
        <w:widowControl/>
        <w:autoSpaceDE/>
        <w:autoSpaceDN/>
        <w:adjustRightInd/>
        <w:ind w:left="720" w:right="-108"/>
        <w:rPr>
          <w:rFonts w:asciiTheme="minorHAnsi" w:hAnsiTheme="minorHAnsi"/>
          <w:sz w:val="22"/>
          <w:szCs w:val="22"/>
        </w:rPr>
      </w:pPr>
    </w:p>
    <w:p w:rsidR="006C1B3C" w:rsidRPr="00A85BE3" w:rsidP="0099179C" w14:paraId="296F0DA8" w14:textId="153FFDF2">
      <w:pPr>
        <w:ind w:left="450"/>
        <w:jc w:val="center"/>
        <w:rPr>
          <w:rFonts w:asciiTheme="minorHAnsi" w:hAnsiTheme="minorHAnsi"/>
          <w:sz w:val="22"/>
          <w:szCs w:val="22"/>
        </w:rPr>
      </w:pPr>
      <w:r w:rsidRPr="00A85BE3">
        <w:rPr>
          <w:rFonts w:asciiTheme="minorHAnsi" w:hAnsiTheme="minorHAnsi"/>
          <w:sz w:val="22"/>
          <w:szCs w:val="22"/>
        </w:rPr>
        <w:t>Estimated Annualized Respondent Cost and Hour Burden</w:t>
      </w:r>
    </w:p>
    <w:tbl>
      <w:tblPr>
        <w:tblW w:w="7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25"/>
        <w:gridCol w:w="1255"/>
        <w:gridCol w:w="1705"/>
        <w:gridCol w:w="1705"/>
      </w:tblGrid>
      <w:tr w14:paraId="7E4DBB1F" w14:textId="77777777" w:rsidTr="00A85BE3">
        <w:tblPrEx>
          <w:tblW w:w="7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3C0" w:rsidRPr="00A85BE3" w:rsidP="00540AD6" w14:paraId="3270CB89" w14:textId="77777777">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Total Responses</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3C0" w:rsidRPr="00A85BE3" w:rsidP="00540AD6" w14:paraId="409D0C65" w14:textId="4C527FAD">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Total</w:t>
            </w:r>
            <w:r>
              <w:rPr>
                <w:rFonts w:asciiTheme="minorHAnsi" w:hAnsiTheme="minorHAnsi"/>
                <w:sz w:val="22"/>
                <w:szCs w:val="22"/>
              </w:rPr>
              <w:t xml:space="preserve"> </w:t>
            </w:r>
            <w:r w:rsidRPr="00A85BE3">
              <w:rPr>
                <w:rFonts w:asciiTheme="minorHAnsi" w:hAnsiTheme="minorHAnsi"/>
                <w:sz w:val="22"/>
                <w:szCs w:val="22"/>
              </w:rPr>
              <w:t xml:space="preserve"> Burden (Hours)</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3C0" w:rsidRPr="00A85BE3" w:rsidP="00540AD6" w14:paraId="63F15A54" w14:textId="77777777">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Hourly</w:t>
            </w:r>
          </w:p>
          <w:p w:rsidR="00EA53C0" w:rsidRPr="00A85BE3" w:rsidP="00540AD6" w14:paraId="3D2327FA" w14:textId="77777777">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Wage Rate</w:t>
            </w:r>
          </w:p>
        </w:tc>
        <w:tc>
          <w:tcPr>
            <w:tcW w:w="1705" w:type="dxa"/>
            <w:tcBorders>
              <w:top w:val="single" w:sz="4" w:space="0" w:color="auto"/>
              <w:left w:val="single" w:sz="4" w:space="0" w:color="auto"/>
              <w:bottom w:val="single" w:sz="4" w:space="0" w:color="auto"/>
              <w:right w:val="single" w:sz="4" w:space="0" w:color="auto"/>
            </w:tcBorders>
          </w:tcPr>
          <w:p w:rsidR="00EA53C0" w:rsidP="00540AD6" w14:paraId="443856EF" w14:textId="4384B1D9">
            <w:pPr>
              <w:widowControl/>
              <w:autoSpaceDE/>
              <w:autoSpaceDN/>
              <w:adjustRightInd/>
              <w:spacing w:line="276" w:lineRule="auto"/>
              <w:jc w:val="center"/>
              <w:rPr>
                <w:rFonts w:asciiTheme="minorHAnsi" w:hAnsiTheme="minorHAnsi"/>
                <w:sz w:val="22"/>
                <w:szCs w:val="22"/>
              </w:rPr>
            </w:pPr>
            <w:r>
              <w:rPr>
                <w:rFonts w:asciiTheme="minorHAnsi" w:hAnsiTheme="minorHAnsi"/>
                <w:sz w:val="22"/>
                <w:szCs w:val="22"/>
              </w:rPr>
              <w:t>Estimated Hours per Response</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3C0" w:rsidRPr="00A85BE3" w:rsidP="00540AD6" w14:paraId="08C16509" w14:textId="591D5A5A">
            <w:pPr>
              <w:widowControl/>
              <w:autoSpaceDE/>
              <w:autoSpaceDN/>
              <w:adjustRightInd/>
              <w:spacing w:line="276" w:lineRule="auto"/>
              <w:jc w:val="center"/>
              <w:rPr>
                <w:rFonts w:asciiTheme="minorHAnsi" w:hAnsiTheme="minorHAnsi"/>
                <w:sz w:val="22"/>
                <w:szCs w:val="22"/>
              </w:rPr>
            </w:pPr>
            <w:r>
              <w:rPr>
                <w:rFonts w:asciiTheme="minorHAnsi" w:hAnsiTheme="minorHAnsi"/>
                <w:sz w:val="22"/>
                <w:szCs w:val="22"/>
              </w:rPr>
              <w:t xml:space="preserve">Estimated </w:t>
            </w:r>
            <w:r w:rsidRPr="00A85BE3">
              <w:rPr>
                <w:rFonts w:asciiTheme="minorHAnsi" w:hAnsiTheme="minorHAnsi"/>
                <w:sz w:val="22"/>
                <w:szCs w:val="22"/>
              </w:rPr>
              <w:t>Total Burden Cost</w:t>
            </w:r>
            <w:r w:rsidR="002D0C63">
              <w:rPr>
                <w:rFonts w:asciiTheme="minorHAnsi" w:hAnsiTheme="minorHAnsi"/>
                <w:sz w:val="22"/>
                <w:szCs w:val="22"/>
              </w:rPr>
              <w:t xml:space="preserve"> per Response</w:t>
            </w:r>
          </w:p>
        </w:tc>
      </w:tr>
      <w:tr w14:paraId="1972C763" w14:textId="77777777" w:rsidTr="00A85BE3">
        <w:tblPrEx>
          <w:tblW w:w="7450" w:type="dxa"/>
          <w:jc w:val="center"/>
          <w:tblLayout w:type="fixed"/>
          <w:tblLook w:val="04A0"/>
        </w:tblPrEx>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A53C0" w:rsidRPr="00A85BE3" w:rsidP="00540AD6" w14:paraId="1CFBBFD6" w14:textId="06221FAB">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13,961</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EA53C0" w:rsidRPr="00A85BE3" w:rsidP="00540AD6" w14:paraId="42B22AEF" w14:textId="2EB7D162">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52,874</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EA53C0" w:rsidRPr="00A85BE3" w:rsidP="00540AD6" w14:paraId="4825DBA8" w14:textId="2E3B04F4">
            <w:pPr>
              <w:widowControl/>
              <w:autoSpaceDE/>
              <w:autoSpaceDN/>
              <w:adjustRightInd/>
              <w:spacing w:line="276" w:lineRule="auto"/>
              <w:jc w:val="center"/>
              <w:rPr>
                <w:rFonts w:asciiTheme="minorHAnsi" w:hAnsiTheme="minorHAnsi"/>
                <w:sz w:val="22"/>
                <w:szCs w:val="22"/>
              </w:rPr>
            </w:pPr>
            <w:r w:rsidRPr="00A85BE3">
              <w:rPr>
                <w:rFonts w:asciiTheme="minorHAnsi" w:hAnsiTheme="minorHAnsi"/>
                <w:sz w:val="22"/>
                <w:szCs w:val="22"/>
              </w:rPr>
              <w:t>60.42</w:t>
            </w:r>
          </w:p>
        </w:tc>
        <w:tc>
          <w:tcPr>
            <w:tcW w:w="1705" w:type="dxa"/>
            <w:tcBorders>
              <w:top w:val="single" w:sz="4" w:space="0" w:color="auto"/>
              <w:left w:val="single" w:sz="4" w:space="0" w:color="auto"/>
              <w:bottom w:val="single" w:sz="4" w:space="0" w:color="auto"/>
              <w:right w:val="single" w:sz="4" w:space="0" w:color="auto"/>
            </w:tcBorders>
          </w:tcPr>
          <w:p w:rsidR="00EA53C0" w:rsidRPr="00EA53C0" w:rsidP="00540AD6" w14:paraId="03EA7EEF" w14:textId="0E4659D7">
            <w:pPr>
              <w:widowControl/>
              <w:autoSpaceDE/>
              <w:autoSpaceDN/>
              <w:adjustRightInd/>
              <w:spacing w:line="276" w:lineRule="auto"/>
              <w:jc w:val="center"/>
              <w:rPr>
                <w:rFonts w:asciiTheme="minorHAnsi" w:hAnsiTheme="minorHAnsi"/>
                <w:sz w:val="22"/>
                <w:szCs w:val="22"/>
              </w:rPr>
            </w:pPr>
            <w:r>
              <w:rPr>
                <w:rFonts w:asciiTheme="minorHAnsi" w:hAnsiTheme="minorHAnsi"/>
                <w:sz w:val="22"/>
                <w:szCs w:val="22"/>
              </w:rPr>
              <w:t>3.78726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A53C0" w:rsidRPr="00A85BE3" w:rsidP="00540AD6" w14:paraId="6F689040" w14:textId="7B9D474A">
            <w:pPr>
              <w:widowControl/>
              <w:autoSpaceDE/>
              <w:autoSpaceDN/>
              <w:adjustRightInd/>
              <w:spacing w:line="276" w:lineRule="auto"/>
              <w:jc w:val="center"/>
              <w:rPr>
                <w:rFonts w:asciiTheme="minorHAnsi" w:hAnsiTheme="minorHAnsi"/>
                <w:sz w:val="22"/>
                <w:szCs w:val="22"/>
              </w:rPr>
            </w:pPr>
            <w:r>
              <w:rPr>
                <w:rFonts w:asciiTheme="minorHAnsi" w:hAnsiTheme="minorHAnsi"/>
                <w:sz w:val="22"/>
                <w:szCs w:val="22"/>
              </w:rPr>
              <w:t>228.83</w:t>
            </w:r>
          </w:p>
        </w:tc>
      </w:tr>
    </w:tbl>
    <w:p w:rsidR="00540AD6" w:rsidRPr="00A85BE3" w:rsidP="00163CAD" w14:paraId="020E77F3" w14:textId="77777777">
      <w:pPr>
        <w:widowControl/>
        <w:autoSpaceDE/>
        <w:autoSpaceDN/>
        <w:adjustRightInd/>
        <w:ind w:left="720" w:right="-108"/>
        <w:rPr>
          <w:rFonts w:asciiTheme="minorHAnsi" w:hAnsiTheme="minorHAnsi"/>
          <w:sz w:val="22"/>
          <w:szCs w:val="22"/>
        </w:rPr>
      </w:pPr>
    </w:p>
    <w:p w:rsidR="00163CAD" w:rsidRPr="00A85BE3" w:rsidP="00163CAD" w14:paraId="3FE51E53" w14:textId="77777777">
      <w:pPr>
        <w:widowControl/>
        <w:autoSpaceDE/>
        <w:autoSpaceDN/>
        <w:adjustRightInd/>
        <w:ind w:left="720" w:right="-108"/>
        <w:rPr>
          <w:rFonts w:asciiTheme="minorHAnsi" w:hAnsiTheme="minorHAnsi"/>
          <w:sz w:val="22"/>
          <w:szCs w:val="22"/>
        </w:rPr>
      </w:pPr>
      <w:r w:rsidRPr="00A85BE3">
        <w:rPr>
          <w:rFonts w:asciiTheme="minorHAnsi" w:hAnsiTheme="minorHAnsi"/>
          <w:sz w:val="22"/>
          <w:szCs w:val="22"/>
        </w:rPr>
        <w:t xml:space="preserve">The above Hourly Wage Rate is the </w:t>
      </w:r>
      <w:hyperlink r:id="rId6" w:history="1">
        <w:r w:rsidRPr="00A85BE3">
          <w:rPr>
            <w:rStyle w:val="Hyperlink"/>
            <w:rFonts w:asciiTheme="minorHAnsi" w:hAnsiTheme="minorHAnsi"/>
            <w:sz w:val="22"/>
            <w:szCs w:val="22"/>
          </w:rPr>
          <w:t>May 2022 Bureau of Labor Statistics</w:t>
        </w:r>
      </w:hyperlink>
      <w:r w:rsidRPr="00A85BE3">
        <w:rPr>
          <w:rFonts w:asciiTheme="minorHAnsi" w:hAnsiTheme="minorHAnsi"/>
          <w:sz w:val="22"/>
          <w:szCs w:val="22"/>
        </w:rPr>
        <w:t xml:space="preserve"> mean wage for “Accountants and Auditors” (Major Group (13-2011)” of $41.70 times the wage rate benefit multiplier of 1.4488 (to account for fringe benefits) equaling a fully-loaded wage rate of $60.42.</w:t>
      </w:r>
    </w:p>
    <w:p w:rsidR="00163CAD" w:rsidRPr="00A85BE3" w:rsidP="00163CAD" w14:paraId="53C93F80" w14:textId="77777777">
      <w:pPr>
        <w:widowControl/>
        <w:autoSpaceDE/>
        <w:autoSpaceDN/>
        <w:adjustRightInd/>
        <w:ind w:left="720" w:right="-108"/>
        <w:rPr>
          <w:rFonts w:asciiTheme="minorHAnsi" w:hAnsiTheme="minorHAnsi"/>
          <w:sz w:val="22"/>
          <w:szCs w:val="22"/>
        </w:rPr>
      </w:pPr>
    </w:p>
    <w:p w:rsidR="00163CAD" w:rsidRPr="00A85BE3" w:rsidP="00163CAD" w14:paraId="6A95FA2C" w14:textId="77777777">
      <w:pPr>
        <w:widowControl/>
        <w:autoSpaceDE/>
        <w:autoSpaceDN/>
        <w:adjustRightInd/>
        <w:ind w:left="720" w:right="-108"/>
        <w:rPr>
          <w:rFonts w:asciiTheme="minorHAnsi" w:hAnsiTheme="minorHAnsi"/>
          <w:sz w:val="22"/>
          <w:szCs w:val="22"/>
        </w:rPr>
      </w:pPr>
      <w:r w:rsidRPr="00A85BE3">
        <w:rPr>
          <w:rFonts w:asciiTheme="minorHAnsi" w:hAnsiTheme="minorHAnsi"/>
          <w:sz w:val="22"/>
          <w:szCs w:val="22"/>
        </w:rPr>
        <w:t>The benefits multiplier is estimated by dividing total compensation of $43.26 by salaries and wages of $29.86, based on Employer Cost for Employee Compensation, June 2023 data, released September 12, 2023 (</w:t>
      </w:r>
      <w:hyperlink r:id="rId7" w:history="1">
        <w:r w:rsidRPr="00A85BE3">
          <w:rPr>
            <w:rStyle w:val="Hyperlink"/>
            <w:rFonts w:asciiTheme="minorHAnsi" w:hAnsiTheme="minorHAnsi"/>
            <w:sz w:val="22"/>
            <w:szCs w:val="22"/>
          </w:rPr>
          <w:t>https://www.bls.gov/news.release/ecec.nr0.htm</w:t>
        </w:r>
      </w:hyperlink>
      <w:r w:rsidRPr="00A85BE3">
        <w:rPr>
          <w:rFonts w:asciiTheme="minorHAnsi" w:hAnsiTheme="minorHAnsi"/>
          <w:sz w:val="22"/>
          <w:szCs w:val="22"/>
        </w:rPr>
        <w:t xml:space="preserve">).  </w:t>
      </w:r>
    </w:p>
    <w:p w:rsidR="00163CAD" w:rsidP="00163CAD" w14:paraId="0BB9B67E" w14:textId="77777777">
      <w:pPr>
        <w:widowControl/>
        <w:autoSpaceDE/>
        <w:autoSpaceDN/>
        <w:adjustRightInd/>
        <w:ind w:left="720" w:right="-108"/>
        <w:rPr>
          <w:rFonts w:asciiTheme="minorHAnsi" w:hAnsiTheme="minorHAnsi"/>
        </w:rPr>
      </w:pPr>
    </w:p>
    <w:p w:rsidR="006C1B3C" w14:paraId="246BAF9D" w14:textId="77777777">
      <w:pPr>
        <w:pStyle w:val="Quick1"/>
        <w:numPr>
          <w:ilvl w:val="0"/>
          <w:numId w:val="7"/>
        </w:numPr>
        <w:tabs>
          <w:tab w:val="left" w:pos="-1440"/>
        </w:tabs>
        <w:rPr>
          <w:rFonts w:asciiTheme="minorHAnsi" w:hAnsiTheme="minorHAnsi"/>
          <w:b/>
          <w:bCs/>
        </w:rPr>
      </w:pPr>
      <w:r>
        <w:rPr>
          <w:rFonts w:asciiTheme="minorHAnsi" w:hAnsiTheme="minorHAnsi"/>
          <w:b/>
          <w:bCs/>
          <w:u w:val="single"/>
        </w:rPr>
        <w:t>ESTIMATED ANNUALIZED COST TO THE FEDERAL GOVERNMENT</w:t>
      </w:r>
    </w:p>
    <w:p w:rsidR="006C1B3C" w14:paraId="523CF2C0" w14:textId="77777777">
      <w:pPr>
        <w:rPr>
          <w:rFonts w:asciiTheme="minorHAnsi" w:hAnsiTheme="minorHAnsi"/>
        </w:rPr>
      </w:pPr>
    </w:p>
    <w:p w:rsidR="005E7E9B" w:rsidRPr="00A85BE3" w:rsidP="00A85BE3" w14:paraId="49DF723D" w14:textId="71DB59DD">
      <w:pPr>
        <w:ind w:left="720"/>
        <w:rPr>
          <w:rFonts w:asciiTheme="minorHAnsi" w:hAnsiTheme="minorHAnsi"/>
          <w:sz w:val="22"/>
          <w:szCs w:val="22"/>
        </w:rPr>
      </w:pPr>
      <w:r w:rsidRPr="00A85BE3">
        <w:rPr>
          <w:rFonts w:asciiTheme="minorHAnsi" w:hAnsiTheme="minorHAnsi"/>
          <w:sz w:val="22"/>
          <w:szCs w:val="22"/>
        </w:rPr>
        <w:t xml:space="preserve">There </w:t>
      </w:r>
      <w:r w:rsidR="005430EA">
        <w:rPr>
          <w:rFonts w:asciiTheme="minorHAnsi" w:hAnsiTheme="minorHAnsi"/>
          <w:sz w:val="22"/>
          <w:szCs w:val="22"/>
        </w:rPr>
        <w:t>are</w:t>
      </w:r>
      <w:r w:rsidRPr="00A85BE3">
        <w:rPr>
          <w:rFonts w:asciiTheme="minorHAnsi" w:hAnsiTheme="minorHAnsi"/>
          <w:sz w:val="22"/>
          <w:szCs w:val="22"/>
        </w:rPr>
        <w:t xml:space="preserve"> no annualized cost to the federal government</w:t>
      </w:r>
      <w:r w:rsidR="005430EA">
        <w:rPr>
          <w:rFonts w:asciiTheme="minorHAnsi" w:hAnsiTheme="minorHAnsi"/>
          <w:sz w:val="22"/>
          <w:szCs w:val="22"/>
        </w:rPr>
        <w:t xml:space="preserve"> as these are recordkeeping and third-party disclosure requirements. </w:t>
      </w:r>
    </w:p>
    <w:p w:rsidR="00851596" w14:paraId="3210F762" w14:textId="6469E8FB">
      <w:pPr>
        <w:widowControl/>
        <w:autoSpaceDE/>
        <w:autoSpaceDN/>
        <w:adjustRightInd/>
      </w:pPr>
      <w:r>
        <w:br w:type="page"/>
      </w:r>
    </w:p>
    <w:p w:rsidR="0050336D" w:rsidRPr="005E7E9B" w:rsidP="005E7E9B" w14:paraId="4E1BE383" w14:textId="77777777"/>
    <w:p w:rsidR="006C1B3C" w14:paraId="600C4BEF" w14:textId="77777777">
      <w:pPr>
        <w:pStyle w:val="Quick1"/>
        <w:numPr>
          <w:ilvl w:val="0"/>
          <w:numId w:val="6"/>
        </w:numPr>
        <w:tabs>
          <w:tab w:val="left" w:pos="-1440"/>
        </w:tabs>
        <w:rPr>
          <w:rFonts w:asciiTheme="minorHAnsi" w:hAnsiTheme="minorHAnsi"/>
          <w:b/>
          <w:bCs/>
        </w:rPr>
      </w:pPr>
      <w:r>
        <w:rPr>
          <w:rFonts w:asciiTheme="minorHAnsi" w:hAnsiTheme="minorHAnsi"/>
          <w:b/>
          <w:bCs/>
          <w:u w:val="single"/>
        </w:rPr>
        <w:t>REASONS FOR CHANGE IN BURDEN</w:t>
      </w:r>
    </w:p>
    <w:p w:rsidR="006C1B3C" w14:paraId="52C9EA09" w14:textId="77777777">
      <w:pPr>
        <w:ind w:left="720"/>
        <w:rPr>
          <w:rFonts w:asciiTheme="minorHAnsi" w:hAnsiTheme="minorHAnsi"/>
        </w:rPr>
      </w:pPr>
    </w:p>
    <w:p w:rsidR="00163CAD" w:rsidRPr="00A85BE3" w14:paraId="5F31B1FA" w14:textId="2F3AEA3F">
      <w:pPr>
        <w:ind w:left="720"/>
        <w:rPr>
          <w:rFonts w:asciiTheme="minorHAnsi" w:hAnsiTheme="minorHAnsi"/>
          <w:sz w:val="22"/>
          <w:szCs w:val="22"/>
        </w:rPr>
      </w:pPr>
      <w:r w:rsidRPr="00A85BE3">
        <w:rPr>
          <w:rFonts w:asciiTheme="minorHAnsi" w:hAnsiTheme="minorHAnsi"/>
          <w:sz w:val="22"/>
          <w:szCs w:val="22"/>
        </w:rPr>
        <w:t>This is a proposed new collection:</w:t>
      </w:r>
    </w:p>
    <w:p w:rsidR="003841CD" w:rsidRPr="00A85BE3" w:rsidP="003841CD" w14:paraId="4083EAC2" w14:textId="77777777">
      <w:pPr>
        <w:widowControl/>
        <w:autoSpaceDE/>
        <w:autoSpaceDN/>
        <w:adjustRightInd/>
        <w:rPr>
          <w:rFonts w:asciiTheme="minorHAnsi" w:hAnsiTheme="minorHAnsi"/>
          <w:sz w:val="22"/>
          <w:szCs w:val="22"/>
        </w:rPr>
      </w:pPr>
    </w:p>
    <w:tbl>
      <w:tblPr>
        <w:tblDescription w:val="table that charts list of burden"/>
        <w:tblW w:w="457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345"/>
        <w:gridCol w:w="984"/>
        <w:gridCol w:w="1344"/>
        <w:gridCol w:w="1436"/>
        <w:gridCol w:w="1434"/>
        <w:gridCol w:w="1076"/>
        <w:gridCol w:w="938"/>
      </w:tblGrid>
      <w:tr w14:paraId="12D047D2" w14:textId="77777777" w:rsidTr="00A85BE3">
        <w:tblPrEx>
          <w:tblW w:w="457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Ex>
        <w:trPr>
          <w:trHeight w:val="375"/>
        </w:trPr>
        <w:tc>
          <w:tcPr>
            <w:tcW w:w="789" w:type="pct"/>
            <w:shd w:val="clear" w:color="auto" w:fill="auto"/>
            <w:tcMar>
              <w:top w:w="60" w:type="dxa"/>
              <w:left w:w="60" w:type="dxa"/>
              <w:bottom w:w="60" w:type="dxa"/>
              <w:right w:w="60" w:type="dxa"/>
            </w:tcMar>
            <w:vAlign w:val="center"/>
            <w:hideMark/>
          </w:tcPr>
          <w:p w:rsidR="003841CD" w:rsidRPr="00A85BE3" w:rsidP="00A85BE3" w14:paraId="1FD1E7B9"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 </w:t>
            </w:r>
          </w:p>
        </w:tc>
        <w:tc>
          <w:tcPr>
            <w:tcW w:w="578" w:type="pct"/>
            <w:shd w:val="clear" w:color="auto" w:fill="auto"/>
            <w:tcMar>
              <w:top w:w="60" w:type="dxa"/>
              <w:left w:w="60" w:type="dxa"/>
              <w:bottom w:w="60" w:type="dxa"/>
              <w:right w:w="60" w:type="dxa"/>
            </w:tcMar>
            <w:vAlign w:val="center"/>
            <w:hideMark/>
          </w:tcPr>
          <w:p w:rsidR="003841CD" w:rsidRPr="00A85BE3" w:rsidP="00A85BE3" w14:paraId="52B3767A"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Approved</w:t>
            </w:r>
          </w:p>
        </w:tc>
        <w:tc>
          <w:tcPr>
            <w:tcW w:w="788" w:type="pct"/>
            <w:shd w:val="clear" w:color="auto" w:fill="auto"/>
            <w:tcMar>
              <w:top w:w="60" w:type="dxa"/>
              <w:left w:w="60" w:type="dxa"/>
              <w:bottom w:w="60" w:type="dxa"/>
              <w:right w:w="60" w:type="dxa"/>
            </w:tcMar>
            <w:vAlign w:val="center"/>
            <w:hideMark/>
          </w:tcPr>
          <w:p w:rsidR="003841CD" w:rsidRPr="00A85BE3" w:rsidP="00A85BE3" w14:paraId="49D51118"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Program Change Due to New Statute</w:t>
            </w:r>
          </w:p>
        </w:tc>
        <w:tc>
          <w:tcPr>
            <w:tcW w:w="842" w:type="pct"/>
            <w:shd w:val="clear" w:color="auto" w:fill="auto"/>
            <w:tcMar>
              <w:top w:w="60" w:type="dxa"/>
              <w:left w:w="60" w:type="dxa"/>
              <w:bottom w:w="60" w:type="dxa"/>
              <w:right w:w="60" w:type="dxa"/>
            </w:tcMar>
            <w:vAlign w:val="center"/>
            <w:hideMark/>
          </w:tcPr>
          <w:p w:rsidR="003841CD" w:rsidRPr="00A85BE3" w:rsidP="00A85BE3" w14:paraId="0DFD9958"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Program Change Due to Agency Discretion</w:t>
            </w:r>
          </w:p>
        </w:tc>
        <w:tc>
          <w:tcPr>
            <w:tcW w:w="841" w:type="pct"/>
            <w:shd w:val="clear" w:color="auto" w:fill="auto"/>
            <w:tcMar>
              <w:top w:w="60" w:type="dxa"/>
              <w:left w:w="60" w:type="dxa"/>
              <w:bottom w:w="60" w:type="dxa"/>
              <w:right w:w="60" w:type="dxa"/>
            </w:tcMar>
            <w:vAlign w:val="center"/>
            <w:hideMark/>
          </w:tcPr>
          <w:p w:rsidR="003841CD" w:rsidRPr="00A85BE3" w:rsidP="00A85BE3" w14:paraId="54F06D5B"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Change Due to Adjustment in Agency Estimate</w:t>
            </w:r>
          </w:p>
        </w:tc>
        <w:tc>
          <w:tcPr>
            <w:tcW w:w="631" w:type="pct"/>
            <w:shd w:val="clear" w:color="auto" w:fill="auto"/>
            <w:tcMar>
              <w:top w:w="60" w:type="dxa"/>
              <w:left w:w="60" w:type="dxa"/>
              <w:bottom w:w="60" w:type="dxa"/>
              <w:right w:w="60" w:type="dxa"/>
            </w:tcMar>
            <w:vAlign w:val="center"/>
            <w:hideMark/>
          </w:tcPr>
          <w:p w:rsidR="003841CD" w:rsidRPr="00A85BE3" w:rsidP="00A85BE3" w14:paraId="26A0123A"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Change Due to Potential Violation of the PRA</w:t>
            </w:r>
          </w:p>
        </w:tc>
        <w:tc>
          <w:tcPr>
            <w:tcW w:w="530" w:type="pct"/>
            <w:shd w:val="clear" w:color="auto" w:fill="auto"/>
            <w:tcMar>
              <w:top w:w="60" w:type="dxa"/>
              <w:left w:w="60" w:type="dxa"/>
              <w:bottom w:w="60" w:type="dxa"/>
              <w:right w:w="60" w:type="dxa"/>
            </w:tcMar>
            <w:vAlign w:val="center"/>
            <w:hideMark/>
          </w:tcPr>
          <w:p w:rsidR="003841CD" w:rsidRPr="00A85BE3" w:rsidP="00A85BE3" w14:paraId="65E81090"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Previously Approved</w:t>
            </w:r>
          </w:p>
        </w:tc>
      </w:tr>
      <w:tr w14:paraId="12D18EE0" w14:textId="77777777" w:rsidTr="001C6C9B">
        <w:tblPrEx>
          <w:tblW w:w="4576" w:type="pct"/>
          <w:tblInd w:w="715" w:type="dxa"/>
          <w:shd w:val="clear" w:color="auto" w:fill="FFFFFF"/>
          <w:tblCellMar>
            <w:left w:w="0" w:type="dxa"/>
            <w:right w:w="0" w:type="dxa"/>
          </w:tblCellMar>
          <w:tblLook w:val="04A0"/>
        </w:tblPrEx>
        <w:trPr>
          <w:trHeight w:val="375"/>
        </w:trPr>
        <w:tc>
          <w:tcPr>
            <w:tcW w:w="789" w:type="pct"/>
            <w:shd w:val="clear" w:color="auto" w:fill="FFFFFF"/>
            <w:tcMar>
              <w:top w:w="60" w:type="dxa"/>
              <w:left w:w="60" w:type="dxa"/>
              <w:bottom w:w="60" w:type="dxa"/>
              <w:right w:w="60" w:type="dxa"/>
            </w:tcMar>
            <w:hideMark/>
          </w:tcPr>
          <w:p w:rsidR="003841CD" w:rsidRPr="00A85BE3" w:rsidP="00A85BE3" w14:paraId="5B5FFF28" w14:textId="77777777">
            <w:pPr>
              <w:widowControl/>
              <w:autoSpaceDE/>
              <w:autoSpaceDN/>
              <w:adjustRightInd/>
              <w:spacing w:line="276" w:lineRule="auto"/>
              <w:rPr>
                <w:rFonts w:asciiTheme="minorHAnsi" w:hAnsiTheme="minorHAnsi"/>
                <w:sz w:val="18"/>
                <w:szCs w:val="18"/>
              </w:rPr>
            </w:pPr>
            <w:r w:rsidRPr="00A85BE3">
              <w:rPr>
                <w:rFonts w:asciiTheme="minorHAnsi" w:hAnsiTheme="minorHAnsi"/>
                <w:sz w:val="18"/>
                <w:szCs w:val="18"/>
              </w:rPr>
              <w:t>Annual Number of Responses for this IC</w:t>
            </w:r>
          </w:p>
        </w:tc>
        <w:tc>
          <w:tcPr>
            <w:tcW w:w="578" w:type="pct"/>
            <w:shd w:val="clear" w:color="auto" w:fill="FFFFFF"/>
            <w:tcMar>
              <w:top w:w="60" w:type="dxa"/>
              <w:left w:w="60" w:type="dxa"/>
              <w:bottom w:w="60" w:type="dxa"/>
              <w:right w:w="60" w:type="dxa"/>
            </w:tcMar>
            <w:hideMark/>
          </w:tcPr>
          <w:p w:rsidR="003841CD" w:rsidRPr="00A85BE3" w:rsidP="00A85BE3" w14:paraId="0CCC8065" w14:textId="7D804D14">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13,961</w:t>
            </w:r>
          </w:p>
        </w:tc>
        <w:tc>
          <w:tcPr>
            <w:tcW w:w="788" w:type="pct"/>
            <w:shd w:val="clear" w:color="auto" w:fill="FFFFFF"/>
            <w:tcMar>
              <w:top w:w="60" w:type="dxa"/>
              <w:left w:w="60" w:type="dxa"/>
              <w:bottom w:w="60" w:type="dxa"/>
              <w:right w:w="60" w:type="dxa"/>
            </w:tcMar>
            <w:hideMark/>
          </w:tcPr>
          <w:p w:rsidR="003841CD" w:rsidRPr="00A85BE3" w:rsidP="00A85BE3" w14:paraId="1C665485" w14:textId="00C8124E">
            <w:pPr>
              <w:widowControl/>
              <w:autoSpaceDE/>
              <w:autoSpaceDN/>
              <w:adjustRightInd/>
              <w:spacing w:line="276" w:lineRule="auto"/>
              <w:jc w:val="center"/>
              <w:rPr>
                <w:rFonts w:asciiTheme="minorHAnsi" w:hAnsiTheme="minorHAnsi"/>
                <w:sz w:val="18"/>
                <w:szCs w:val="18"/>
              </w:rPr>
            </w:pPr>
            <w:r>
              <w:rPr>
                <w:rFonts w:asciiTheme="minorHAnsi" w:hAnsiTheme="minorHAnsi"/>
                <w:sz w:val="18"/>
                <w:szCs w:val="18"/>
              </w:rPr>
              <w:t>0</w:t>
            </w:r>
          </w:p>
        </w:tc>
        <w:tc>
          <w:tcPr>
            <w:tcW w:w="842" w:type="pct"/>
            <w:shd w:val="clear" w:color="auto" w:fill="FFFFFF"/>
            <w:tcMar>
              <w:top w:w="60" w:type="dxa"/>
              <w:left w:w="60" w:type="dxa"/>
              <w:bottom w:w="60" w:type="dxa"/>
              <w:right w:w="60" w:type="dxa"/>
            </w:tcMar>
            <w:hideMark/>
          </w:tcPr>
          <w:p w:rsidR="003841CD" w:rsidRPr="00A85BE3" w:rsidP="00A85BE3" w14:paraId="1CC54424" w14:textId="1672E187">
            <w:pPr>
              <w:widowControl/>
              <w:autoSpaceDE/>
              <w:autoSpaceDN/>
              <w:adjustRightInd/>
              <w:spacing w:line="276" w:lineRule="auto"/>
              <w:jc w:val="center"/>
              <w:rPr>
                <w:rFonts w:asciiTheme="minorHAnsi" w:hAnsiTheme="minorHAnsi"/>
                <w:sz w:val="18"/>
                <w:szCs w:val="18"/>
              </w:rPr>
            </w:pPr>
            <w:r>
              <w:rPr>
                <w:rFonts w:asciiTheme="minorHAnsi" w:hAnsiTheme="minorHAnsi"/>
                <w:sz w:val="18"/>
                <w:szCs w:val="18"/>
              </w:rPr>
              <w:t>13,961</w:t>
            </w:r>
          </w:p>
        </w:tc>
        <w:tc>
          <w:tcPr>
            <w:tcW w:w="841" w:type="pct"/>
            <w:shd w:val="clear" w:color="auto" w:fill="FFFFFF"/>
            <w:tcMar>
              <w:top w:w="60" w:type="dxa"/>
              <w:left w:w="60" w:type="dxa"/>
              <w:bottom w:w="60" w:type="dxa"/>
              <w:right w:w="60" w:type="dxa"/>
            </w:tcMar>
            <w:hideMark/>
          </w:tcPr>
          <w:p w:rsidR="003841CD" w:rsidRPr="00A85BE3" w:rsidP="00A85BE3" w14:paraId="56D3DA0A" w14:textId="68EA8658">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 xml:space="preserve"> </w:t>
            </w:r>
            <w:r w:rsidRPr="00A85BE3" w:rsidR="007D50F0">
              <w:rPr>
                <w:rFonts w:asciiTheme="minorHAnsi" w:hAnsiTheme="minorHAnsi"/>
                <w:sz w:val="18"/>
                <w:szCs w:val="18"/>
              </w:rPr>
              <w:t>0</w:t>
            </w:r>
          </w:p>
        </w:tc>
        <w:tc>
          <w:tcPr>
            <w:tcW w:w="631" w:type="pct"/>
            <w:shd w:val="clear" w:color="auto" w:fill="FFFFFF"/>
            <w:tcMar>
              <w:top w:w="60" w:type="dxa"/>
              <w:left w:w="60" w:type="dxa"/>
              <w:bottom w:w="60" w:type="dxa"/>
              <w:right w:w="60" w:type="dxa"/>
            </w:tcMar>
            <w:hideMark/>
          </w:tcPr>
          <w:p w:rsidR="003841CD" w:rsidRPr="00A85BE3" w:rsidP="00A85BE3" w14:paraId="18609DFB"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0</w:t>
            </w:r>
          </w:p>
        </w:tc>
        <w:tc>
          <w:tcPr>
            <w:tcW w:w="530" w:type="pct"/>
            <w:shd w:val="clear" w:color="auto" w:fill="FFFFFF"/>
            <w:tcMar>
              <w:top w:w="60" w:type="dxa"/>
              <w:left w:w="60" w:type="dxa"/>
              <w:bottom w:w="60" w:type="dxa"/>
              <w:right w:w="60" w:type="dxa"/>
            </w:tcMar>
            <w:hideMark/>
          </w:tcPr>
          <w:p w:rsidR="003841CD" w:rsidRPr="00A85BE3" w:rsidP="00A85BE3" w14:paraId="4D9972AF" w14:textId="68C329F3">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0</w:t>
            </w:r>
          </w:p>
        </w:tc>
      </w:tr>
      <w:tr w14:paraId="22033AFC" w14:textId="77777777" w:rsidTr="001C6C9B">
        <w:tblPrEx>
          <w:tblW w:w="4576" w:type="pct"/>
          <w:tblInd w:w="715" w:type="dxa"/>
          <w:shd w:val="clear" w:color="auto" w:fill="FFFFFF"/>
          <w:tblCellMar>
            <w:left w:w="0" w:type="dxa"/>
            <w:right w:w="0" w:type="dxa"/>
          </w:tblCellMar>
          <w:tblLook w:val="04A0"/>
        </w:tblPrEx>
        <w:trPr>
          <w:trHeight w:val="375"/>
        </w:trPr>
        <w:tc>
          <w:tcPr>
            <w:tcW w:w="789" w:type="pct"/>
            <w:shd w:val="clear" w:color="auto" w:fill="FFFFFF"/>
            <w:tcMar>
              <w:top w:w="60" w:type="dxa"/>
              <w:left w:w="60" w:type="dxa"/>
              <w:bottom w:w="60" w:type="dxa"/>
              <w:right w:w="60" w:type="dxa"/>
            </w:tcMar>
            <w:hideMark/>
          </w:tcPr>
          <w:p w:rsidR="003841CD" w:rsidRPr="00A85BE3" w:rsidP="00A85BE3" w14:paraId="0C62DF0D" w14:textId="77777777">
            <w:pPr>
              <w:widowControl/>
              <w:autoSpaceDE/>
              <w:autoSpaceDN/>
              <w:adjustRightInd/>
              <w:spacing w:line="276" w:lineRule="auto"/>
              <w:rPr>
                <w:rFonts w:asciiTheme="minorHAnsi" w:hAnsiTheme="minorHAnsi"/>
                <w:sz w:val="18"/>
                <w:szCs w:val="18"/>
              </w:rPr>
            </w:pPr>
            <w:r w:rsidRPr="00A85BE3">
              <w:rPr>
                <w:rFonts w:asciiTheme="minorHAnsi" w:hAnsiTheme="minorHAnsi"/>
                <w:sz w:val="18"/>
                <w:szCs w:val="18"/>
              </w:rPr>
              <w:t>Annual IC Time Burden (Hours)</w:t>
            </w:r>
          </w:p>
        </w:tc>
        <w:tc>
          <w:tcPr>
            <w:tcW w:w="578" w:type="pct"/>
            <w:shd w:val="clear" w:color="auto" w:fill="FFFFFF"/>
            <w:tcMar>
              <w:top w:w="60" w:type="dxa"/>
              <w:left w:w="60" w:type="dxa"/>
              <w:bottom w:w="60" w:type="dxa"/>
              <w:right w:w="60" w:type="dxa"/>
            </w:tcMar>
            <w:hideMark/>
          </w:tcPr>
          <w:p w:rsidR="003841CD" w:rsidRPr="00A85BE3" w:rsidP="00A85BE3" w14:paraId="4813A7A0" w14:textId="749F1672">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52,874</w:t>
            </w:r>
          </w:p>
        </w:tc>
        <w:tc>
          <w:tcPr>
            <w:tcW w:w="788" w:type="pct"/>
            <w:shd w:val="clear" w:color="auto" w:fill="FFFFFF"/>
            <w:tcMar>
              <w:top w:w="60" w:type="dxa"/>
              <w:left w:w="60" w:type="dxa"/>
              <w:bottom w:w="60" w:type="dxa"/>
              <w:right w:w="60" w:type="dxa"/>
            </w:tcMar>
            <w:hideMark/>
          </w:tcPr>
          <w:p w:rsidR="003841CD" w:rsidRPr="00A85BE3" w:rsidP="00A85BE3" w14:paraId="35127DEB" w14:textId="47ADB814">
            <w:pPr>
              <w:widowControl/>
              <w:autoSpaceDE/>
              <w:autoSpaceDN/>
              <w:adjustRightInd/>
              <w:spacing w:line="276" w:lineRule="auto"/>
              <w:jc w:val="center"/>
              <w:rPr>
                <w:rFonts w:asciiTheme="minorHAnsi" w:hAnsiTheme="minorHAnsi"/>
                <w:sz w:val="18"/>
                <w:szCs w:val="18"/>
              </w:rPr>
            </w:pPr>
            <w:r>
              <w:rPr>
                <w:rFonts w:asciiTheme="minorHAnsi" w:hAnsiTheme="minorHAnsi"/>
                <w:sz w:val="18"/>
                <w:szCs w:val="18"/>
              </w:rPr>
              <w:t>0</w:t>
            </w:r>
          </w:p>
        </w:tc>
        <w:tc>
          <w:tcPr>
            <w:tcW w:w="842" w:type="pct"/>
            <w:shd w:val="clear" w:color="auto" w:fill="FFFFFF"/>
            <w:tcMar>
              <w:top w:w="60" w:type="dxa"/>
              <w:left w:w="60" w:type="dxa"/>
              <w:bottom w:w="60" w:type="dxa"/>
              <w:right w:w="60" w:type="dxa"/>
            </w:tcMar>
            <w:hideMark/>
          </w:tcPr>
          <w:p w:rsidR="003841CD" w:rsidRPr="00A85BE3" w:rsidP="00A85BE3" w14:paraId="21755D37" w14:textId="6E7BA749">
            <w:pPr>
              <w:widowControl/>
              <w:autoSpaceDE/>
              <w:autoSpaceDN/>
              <w:adjustRightInd/>
              <w:spacing w:line="276" w:lineRule="auto"/>
              <w:jc w:val="center"/>
              <w:rPr>
                <w:rFonts w:asciiTheme="minorHAnsi" w:hAnsiTheme="minorHAnsi"/>
                <w:sz w:val="18"/>
                <w:szCs w:val="18"/>
              </w:rPr>
            </w:pPr>
            <w:r>
              <w:rPr>
                <w:rFonts w:asciiTheme="minorHAnsi" w:hAnsiTheme="minorHAnsi"/>
                <w:sz w:val="18"/>
                <w:szCs w:val="18"/>
              </w:rPr>
              <w:t>52,874</w:t>
            </w:r>
          </w:p>
        </w:tc>
        <w:tc>
          <w:tcPr>
            <w:tcW w:w="841" w:type="pct"/>
            <w:shd w:val="clear" w:color="auto" w:fill="FFFFFF"/>
            <w:tcMar>
              <w:top w:w="60" w:type="dxa"/>
              <w:left w:w="60" w:type="dxa"/>
              <w:bottom w:w="60" w:type="dxa"/>
              <w:right w:w="60" w:type="dxa"/>
            </w:tcMar>
            <w:hideMark/>
          </w:tcPr>
          <w:p w:rsidR="003841CD" w:rsidRPr="00A85BE3" w:rsidP="00A85BE3" w14:paraId="2E85CD57" w14:textId="12E6971B">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0</w:t>
            </w:r>
          </w:p>
        </w:tc>
        <w:tc>
          <w:tcPr>
            <w:tcW w:w="631" w:type="pct"/>
            <w:shd w:val="clear" w:color="auto" w:fill="FFFFFF"/>
            <w:tcMar>
              <w:top w:w="60" w:type="dxa"/>
              <w:left w:w="60" w:type="dxa"/>
              <w:bottom w:w="60" w:type="dxa"/>
              <w:right w:w="60" w:type="dxa"/>
            </w:tcMar>
            <w:hideMark/>
          </w:tcPr>
          <w:p w:rsidR="003841CD" w:rsidRPr="00A85BE3" w:rsidP="00A85BE3" w14:paraId="5E234B96" w14:textId="77777777">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0</w:t>
            </w:r>
          </w:p>
        </w:tc>
        <w:tc>
          <w:tcPr>
            <w:tcW w:w="530" w:type="pct"/>
            <w:shd w:val="clear" w:color="auto" w:fill="FFFFFF"/>
            <w:tcMar>
              <w:top w:w="60" w:type="dxa"/>
              <w:left w:w="60" w:type="dxa"/>
              <w:bottom w:w="60" w:type="dxa"/>
              <w:right w:w="60" w:type="dxa"/>
            </w:tcMar>
            <w:hideMark/>
          </w:tcPr>
          <w:p w:rsidR="003841CD" w:rsidRPr="00A85BE3" w:rsidP="00A85BE3" w14:paraId="0B179030" w14:textId="3E5D9539">
            <w:pPr>
              <w:widowControl/>
              <w:autoSpaceDE/>
              <w:autoSpaceDN/>
              <w:adjustRightInd/>
              <w:spacing w:line="276" w:lineRule="auto"/>
              <w:jc w:val="center"/>
              <w:rPr>
                <w:rFonts w:asciiTheme="minorHAnsi" w:hAnsiTheme="minorHAnsi"/>
                <w:sz w:val="18"/>
                <w:szCs w:val="18"/>
              </w:rPr>
            </w:pPr>
            <w:r w:rsidRPr="00A85BE3">
              <w:rPr>
                <w:rFonts w:asciiTheme="minorHAnsi" w:hAnsiTheme="minorHAnsi"/>
                <w:sz w:val="18"/>
                <w:szCs w:val="18"/>
              </w:rPr>
              <w:t>0</w:t>
            </w:r>
          </w:p>
        </w:tc>
      </w:tr>
    </w:tbl>
    <w:p w:rsidR="003841CD" w:rsidRPr="00A85BE3" w14:paraId="1417054F" w14:textId="77777777">
      <w:pPr>
        <w:ind w:left="720"/>
        <w:rPr>
          <w:rFonts w:asciiTheme="minorHAnsi" w:hAnsiTheme="minorHAnsi"/>
          <w:sz w:val="22"/>
          <w:szCs w:val="22"/>
        </w:rPr>
      </w:pPr>
    </w:p>
    <w:p w:rsidR="00CA0808" w:rsidRPr="00A85BE3" w:rsidP="00CA0808" w14:paraId="6FCA17F6" w14:textId="08B3F73C">
      <w:pPr>
        <w:ind w:left="720"/>
        <w:rPr>
          <w:rFonts w:asciiTheme="minorHAnsi" w:hAnsiTheme="minorHAnsi"/>
          <w:sz w:val="22"/>
          <w:szCs w:val="22"/>
        </w:rPr>
      </w:pPr>
      <w:r w:rsidRPr="00A85BE3">
        <w:rPr>
          <w:rFonts w:asciiTheme="minorHAnsi" w:hAnsiTheme="minorHAnsi"/>
          <w:sz w:val="22"/>
          <w:szCs w:val="22"/>
        </w:rPr>
        <w:t xml:space="preserve">IRS is making this submission to </w:t>
      </w:r>
      <w:r w:rsidRPr="00A85BE3" w:rsidR="00D931CB">
        <w:rPr>
          <w:rFonts w:asciiTheme="minorHAnsi" w:hAnsiTheme="minorHAnsi"/>
          <w:sz w:val="22"/>
          <w:szCs w:val="22"/>
        </w:rPr>
        <w:t xml:space="preserve">request a new </w:t>
      </w:r>
      <w:r w:rsidRPr="00A85BE3">
        <w:rPr>
          <w:rFonts w:asciiTheme="minorHAnsi" w:hAnsiTheme="minorHAnsi"/>
          <w:sz w:val="22"/>
          <w:szCs w:val="22"/>
        </w:rPr>
        <w:t>OMB approval.</w:t>
      </w:r>
    </w:p>
    <w:p w:rsidR="004431DD" w:rsidRPr="00A85BE3" w14:paraId="61D2285E" w14:textId="77777777">
      <w:pPr>
        <w:ind w:left="720"/>
        <w:rPr>
          <w:rFonts w:asciiTheme="minorHAnsi" w:hAnsiTheme="minorHAnsi"/>
          <w:sz w:val="22"/>
          <w:szCs w:val="22"/>
        </w:rPr>
      </w:pPr>
    </w:p>
    <w:p w:rsidR="006C1B3C" w14:paraId="52472CEF" w14:textId="77777777">
      <w:pPr>
        <w:pStyle w:val="Quick1"/>
        <w:numPr>
          <w:ilvl w:val="0"/>
          <w:numId w:val="5"/>
        </w:numPr>
        <w:tabs>
          <w:tab w:val="left" w:pos="-1440"/>
        </w:tabs>
        <w:rPr>
          <w:rFonts w:asciiTheme="minorHAnsi" w:hAnsiTheme="minorHAnsi"/>
          <w:b/>
          <w:bCs/>
          <w:sz w:val="22"/>
          <w:szCs w:val="22"/>
        </w:rPr>
      </w:pPr>
      <w:r>
        <w:rPr>
          <w:rFonts w:asciiTheme="minorHAnsi" w:hAnsiTheme="minorHAnsi"/>
          <w:b/>
          <w:bCs/>
          <w:sz w:val="22"/>
          <w:szCs w:val="22"/>
          <w:u w:val="single"/>
        </w:rPr>
        <w:t>PLANS FOR TABULATION, STATISTICAL ANALYSIS AND PUBLICATION</w:t>
      </w:r>
    </w:p>
    <w:p w:rsidR="006C1B3C" w14:paraId="0F93AD56" w14:textId="77777777">
      <w:pPr>
        <w:rPr>
          <w:rFonts w:asciiTheme="minorHAnsi" w:hAnsiTheme="minorHAnsi"/>
          <w:sz w:val="22"/>
          <w:szCs w:val="22"/>
        </w:rPr>
      </w:pPr>
    </w:p>
    <w:p w:rsidR="00A0003A" w:rsidP="00163CAD" w14:paraId="7A150996" w14:textId="374FC59E">
      <w:pPr>
        <w:ind w:left="720"/>
        <w:rPr>
          <w:rFonts w:asciiTheme="minorHAnsi" w:hAnsiTheme="minorHAnsi"/>
          <w:sz w:val="22"/>
          <w:szCs w:val="22"/>
        </w:rPr>
      </w:pPr>
      <w:r>
        <w:rPr>
          <w:rFonts w:asciiTheme="minorHAnsi" w:hAnsiTheme="minorHAnsi"/>
          <w:sz w:val="22"/>
          <w:szCs w:val="22"/>
        </w:rPr>
        <w:t xml:space="preserve">There are no plans for tabulation, statistical </w:t>
      </w:r>
      <w:r w:rsidR="00163CAD">
        <w:rPr>
          <w:rFonts w:asciiTheme="minorHAnsi" w:hAnsiTheme="minorHAnsi"/>
          <w:sz w:val="22"/>
          <w:szCs w:val="22"/>
        </w:rPr>
        <w:t>analysis,</w:t>
      </w:r>
      <w:r>
        <w:rPr>
          <w:rFonts w:asciiTheme="minorHAnsi" w:hAnsiTheme="minorHAnsi"/>
          <w:sz w:val="22"/>
          <w:szCs w:val="22"/>
        </w:rPr>
        <w:t xml:space="preserve"> and</w:t>
      </w:r>
      <w:r>
        <w:rPr>
          <w:rFonts w:asciiTheme="minorHAnsi" w:hAnsiTheme="minorHAnsi" w:cs="Courier New"/>
          <w:sz w:val="22"/>
          <w:szCs w:val="22"/>
        </w:rPr>
        <w:t xml:space="preserve"> </w:t>
      </w:r>
      <w:r>
        <w:rPr>
          <w:rFonts w:asciiTheme="minorHAnsi" w:hAnsiTheme="minorHAnsi"/>
          <w:sz w:val="22"/>
          <w:szCs w:val="22"/>
        </w:rPr>
        <w:t>publication.</w:t>
      </w:r>
    </w:p>
    <w:p w:rsidR="00A0003A" w14:paraId="510B66F8" w14:textId="77777777">
      <w:pPr>
        <w:rPr>
          <w:rFonts w:asciiTheme="minorHAnsi" w:hAnsiTheme="minorHAnsi"/>
          <w:sz w:val="22"/>
          <w:szCs w:val="22"/>
        </w:rPr>
      </w:pPr>
    </w:p>
    <w:p w:rsidR="006C1B3C" w14:paraId="79EA2EF7" w14:textId="77777777">
      <w:pPr>
        <w:pStyle w:val="Quick1"/>
        <w:numPr>
          <w:ilvl w:val="0"/>
          <w:numId w:val="4"/>
        </w:numPr>
        <w:tabs>
          <w:tab w:val="left" w:pos="-1440"/>
        </w:tabs>
        <w:rPr>
          <w:rFonts w:asciiTheme="minorHAnsi" w:hAnsiTheme="minorHAnsi"/>
          <w:b/>
          <w:bCs/>
          <w:sz w:val="22"/>
          <w:szCs w:val="22"/>
        </w:rPr>
      </w:pPr>
      <w:r>
        <w:rPr>
          <w:rFonts w:asciiTheme="minorHAnsi" w:hAnsiTheme="minorHAnsi"/>
          <w:b/>
          <w:bCs/>
          <w:sz w:val="22"/>
          <w:szCs w:val="22"/>
          <w:u w:val="single"/>
        </w:rPr>
        <w:t>REASONS WHY DISPLAYING THE OMB EXPIRATION DATE IS INAPPROPRIATE</w:t>
      </w:r>
    </w:p>
    <w:p w:rsidR="006C1B3C" w14:paraId="2818A554" w14:textId="77777777">
      <w:pPr>
        <w:rPr>
          <w:rFonts w:asciiTheme="minorHAnsi" w:hAnsiTheme="minorHAnsi"/>
          <w:sz w:val="22"/>
          <w:szCs w:val="22"/>
        </w:rPr>
      </w:pPr>
    </w:p>
    <w:p w:rsidR="006C1B3C" w14:paraId="548B5B0F" w14:textId="77777777">
      <w:pPr>
        <w:ind w:left="720"/>
        <w:rPr>
          <w:rFonts w:asciiTheme="minorHAnsi" w:hAnsiTheme="minorHAnsi"/>
          <w:sz w:val="22"/>
          <w:szCs w:val="22"/>
        </w:rPr>
      </w:pPr>
      <w:r>
        <w:rPr>
          <w:rFonts w:asciiTheme="minorHAnsi" w:hAnsiTheme="minorHAnsi"/>
          <w:sz w:val="22"/>
          <w:szCs w:val="22"/>
        </w:rPr>
        <w:t>We believe that displaying the OMB expiration date is inappropriate because it would cause confusion by leading taxpayers to believe that the revenue procedure sunsets as of the expiration date.  Taxpayers may not be aware that, if needed, the Service intends to request renewal of the OMB approval and obtain a new expiration date before the old one expires.</w:t>
      </w:r>
    </w:p>
    <w:p w:rsidR="006C1B3C" w14:paraId="01313C99" w14:textId="77777777">
      <w:pPr>
        <w:rPr>
          <w:rFonts w:asciiTheme="minorHAnsi" w:hAnsiTheme="minorHAnsi"/>
          <w:sz w:val="22"/>
          <w:szCs w:val="22"/>
        </w:rPr>
      </w:pPr>
    </w:p>
    <w:p w:rsidR="006C1B3C" w14:paraId="58EE6D82" w14:textId="77777777">
      <w:pPr>
        <w:pStyle w:val="Quick1"/>
        <w:numPr>
          <w:ilvl w:val="0"/>
          <w:numId w:val="3"/>
        </w:numPr>
        <w:tabs>
          <w:tab w:val="left" w:pos="-1440"/>
        </w:tabs>
        <w:rPr>
          <w:rFonts w:asciiTheme="minorHAnsi" w:hAnsiTheme="minorHAnsi"/>
          <w:b/>
          <w:bCs/>
          <w:sz w:val="22"/>
          <w:szCs w:val="22"/>
        </w:rPr>
      </w:pPr>
      <w:r>
        <w:rPr>
          <w:rFonts w:asciiTheme="minorHAnsi" w:hAnsiTheme="minorHAnsi"/>
          <w:b/>
          <w:bCs/>
          <w:sz w:val="22"/>
          <w:szCs w:val="22"/>
          <w:u w:val="single"/>
        </w:rPr>
        <w:t>EXCEPTIONS TO THE CERTIFICATION STATEMENT</w:t>
      </w:r>
    </w:p>
    <w:p w:rsidR="006C1B3C" w14:paraId="4DEBE959" w14:textId="77777777">
      <w:pPr>
        <w:rPr>
          <w:rFonts w:asciiTheme="minorHAnsi" w:hAnsiTheme="minorHAnsi"/>
          <w:sz w:val="22"/>
          <w:szCs w:val="22"/>
        </w:rPr>
      </w:pPr>
    </w:p>
    <w:p w:rsidR="006C1B3C" w14:paraId="6E63C775" w14:textId="77777777">
      <w:pPr>
        <w:ind w:firstLine="720"/>
        <w:rPr>
          <w:rFonts w:asciiTheme="minorHAnsi" w:hAnsiTheme="minorHAnsi"/>
          <w:sz w:val="22"/>
          <w:szCs w:val="22"/>
        </w:rPr>
      </w:pPr>
      <w:r>
        <w:rPr>
          <w:rFonts w:asciiTheme="minorHAnsi" w:hAnsiTheme="minorHAnsi"/>
          <w:sz w:val="22"/>
          <w:szCs w:val="22"/>
        </w:rPr>
        <w:t>There are no exceptions to the certification statement.</w:t>
      </w:r>
    </w:p>
    <w:p w:rsidR="006C1B3C" w14:paraId="04E7C254" w14:textId="77777777">
      <w:pPr>
        <w:rPr>
          <w:rFonts w:asciiTheme="minorHAnsi" w:hAnsiTheme="minorHAnsi"/>
          <w:sz w:val="22"/>
          <w:szCs w:val="22"/>
        </w:rPr>
      </w:pPr>
    </w:p>
    <w:p w:rsidR="006C1B3C" w14:paraId="4A16B681" w14:textId="10DB6CF1">
      <w:pPr>
        <w:ind w:left="720"/>
        <w:rPr>
          <w:rFonts w:asciiTheme="minorHAnsi" w:hAnsiTheme="minorHAnsi"/>
          <w:sz w:val="22"/>
          <w:szCs w:val="22"/>
        </w:rPr>
      </w:pPr>
      <w:r>
        <w:rPr>
          <w:rFonts w:asciiTheme="minorHAnsi" w:hAnsiTheme="minorHAnsi"/>
          <w:b/>
          <w:sz w:val="22"/>
          <w:szCs w:val="22"/>
          <w:u w:val="single"/>
        </w:rPr>
        <w:t xml:space="preserve">Note: </w:t>
      </w:r>
      <w:r>
        <w:rPr>
          <w:rFonts w:asciiTheme="minorHAnsi" w:hAnsiTheme="minorHAnsi"/>
          <w:sz w:val="22"/>
          <w:szCs w:val="22"/>
        </w:rPr>
        <w:t xml:space="preserve">The following paragraph applies to </w:t>
      </w:r>
      <w:r w:rsidR="00163CAD">
        <w:rPr>
          <w:rFonts w:asciiTheme="minorHAnsi" w:hAnsiTheme="minorHAnsi"/>
          <w:sz w:val="22"/>
          <w:szCs w:val="22"/>
        </w:rPr>
        <w:t>all</w:t>
      </w:r>
      <w:r>
        <w:rPr>
          <w:rFonts w:asciiTheme="minorHAnsi" w:hAnsiTheme="minorHAnsi"/>
          <w:sz w:val="22"/>
          <w:szCs w:val="22"/>
        </w:rPr>
        <w:t xml:space="preserve"> the collections of information in this submission.</w:t>
      </w:r>
    </w:p>
    <w:p w:rsidR="006C1B3C" w14:paraId="64645039" w14:textId="77777777">
      <w:pPr>
        <w:rPr>
          <w:rFonts w:asciiTheme="minorHAnsi" w:hAnsiTheme="minorHAnsi"/>
          <w:sz w:val="22"/>
          <w:szCs w:val="22"/>
        </w:rPr>
      </w:pPr>
    </w:p>
    <w:p w:rsidR="006C1B3C" w14:paraId="776680FB" w14:textId="2DD14C5B">
      <w:pPr>
        <w:ind w:left="720"/>
        <w:rPr>
          <w:rFonts w:asciiTheme="minorHAnsi" w:hAnsiTheme="minorHAnsi"/>
          <w:sz w:val="22"/>
          <w:szCs w:val="22"/>
        </w:rPr>
      </w:pPr>
      <w:r>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w:t>
      </w:r>
      <w:r w:rsidR="00163CAD">
        <w:rPr>
          <w:rFonts w:asciiTheme="minorHAnsi" w:hAnsiTheme="minorHAnsi"/>
          <w:sz w:val="22"/>
          <w:szCs w:val="22"/>
        </w:rPr>
        <w:t>if</w:t>
      </w:r>
      <w:r>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section 6103.</w:t>
      </w:r>
    </w:p>
    <w:p w:rsidR="006C1B3C" w14:paraId="326F1B10" w14:textId="77777777">
      <w:pPr>
        <w:rPr>
          <w:rFonts w:asciiTheme="minorHAnsi" w:hAnsiTheme="minorHAnsi" w:cs="Courier New"/>
          <w:sz w:val="22"/>
          <w:szCs w:val="22"/>
        </w:rPr>
      </w:pPr>
    </w:p>
    <w:sectPr>
      <w:headerReference w:type="default" r:id="rId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2636" w14:paraId="2E00EA81" w14:textId="77777777">
      <w:r>
        <w:separator/>
      </w:r>
    </w:p>
  </w:footnote>
  <w:footnote w:type="continuationSeparator" w:id="1">
    <w:p w:rsidR="004D2636" w14:paraId="1AED402E" w14:textId="77777777">
      <w:r>
        <w:continuationSeparator/>
      </w:r>
    </w:p>
  </w:footnote>
  <w:footnote w:id="2">
    <w:p w:rsidR="000A3629" w:rsidRPr="00A85BE3" w:rsidP="000A3629" w14:paraId="77107340" w14:textId="57E3A144">
      <w:pPr>
        <w:pStyle w:val="FootnoteText"/>
        <w:rPr>
          <w:rFonts w:asciiTheme="minorHAnsi" w:hAnsiTheme="minorHAnsi"/>
          <w:sz w:val="18"/>
          <w:szCs w:val="18"/>
        </w:rPr>
      </w:pPr>
      <w:r w:rsidRPr="00A85BE3">
        <w:rPr>
          <w:rStyle w:val="FootnoteReference"/>
          <w:rFonts w:asciiTheme="minorHAnsi" w:hAnsiTheme="minorHAnsi"/>
          <w:sz w:val="18"/>
          <w:szCs w:val="18"/>
          <w:vertAlign w:val="superscript"/>
        </w:rPr>
        <w:footnoteRef/>
      </w:r>
      <w:r w:rsidRPr="00A85BE3">
        <w:rPr>
          <w:rFonts w:asciiTheme="minorHAnsi" w:hAnsiTheme="minorHAnsi"/>
          <w:sz w:val="18"/>
          <w:szCs w:val="18"/>
        </w:rPr>
        <w:t xml:space="preserve"> For example, section 5.01 of Notice 2006–109 excludes from the definition of a DAF an employer sponsored disaster relief fund that meets certain requirements. To be excluded, the fund must: (1) serve a single identified charitable purpose, which is to provide relief from one or more qualified disasters within the meaning of section 139(c)(1), (2), or (3); (2) serve a large or indefinite class, i.e., a charitable class; (3) select recipients of grants based on objective determinations of need; (4) select recipients of grants using either an independent selection committee or adequate substitute procedures to ensure that any benefit to the employer is incidental and tenuous; (5) make no payment from the fund to or for the benefit of any director, officer, or trustee of the sponsoring organization of the fund or for the benefit of any member of the fund’s selection committee; and (6) maintain adequate records that demonstrate the recipients’ needs for the disaster relief 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B3C" w14:paraId="0BB10596" w14:textId="77777777">
    <w:pPr>
      <w:framePr w:w="9361" w:wrap="notBeside" w:vAnchor="text" w:hAnchor="text" w:x="1" w:y="1"/>
      <w:jc w:val="center"/>
    </w:pPr>
    <w:r>
      <w:fldChar w:fldCharType="begin"/>
    </w:r>
    <w:r>
      <w:instrText xml:space="preserve">PAGE </w:instrText>
    </w:r>
    <w:r>
      <w:fldChar w:fldCharType="separate"/>
    </w:r>
    <w:r>
      <w:rPr>
        <w:noProof/>
      </w:rPr>
      <w:t>2</w:t>
    </w:r>
    <w:r>
      <w:fldChar w:fldCharType="end"/>
    </w:r>
  </w:p>
  <w:p w:rsidR="006C1B3C" w14:paraId="21300FF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Times New Roman" w:cs="Shruti"/>
        <w:sz w:val="22"/>
        <w:szCs w:val="22"/>
      </w:rPr>
    </w:lvl>
  </w:abstractNum>
  <w:abstractNum w:abstractNumId="1">
    <w:nsid w:val="3BFF6A42"/>
    <w:multiLevelType w:val="multilevel"/>
    <w:tmpl w:val="54E4F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1519857">
    <w:abstractNumId w:val="0"/>
    <w:lvlOverride w:ilvl="0">
      <w:startOverride w:val="1"/>
      <w:lvl w:ilvl="0">
        <w:start w:val="1"/>
        <w:numFmt w:val="decimal"/>
        <w:pStyle w:val="Quick1"/>
        <w:lvlText w:val="%1."/>
        <w:lvlJc w:val="left"/>
      </w:lvl>
    </w:lvlOverride>
  </w:num>
  <w:num w:numId="2" w16cid:durableId="599801350">
    <w:abstractNumId w:val="0"/>
    <w:lvlOverride w:ilvl="0">
      <w:startOverride w:val="8"/>
      <w:lvl w:ilvl="0">
        <w:start w:val="8"/>
        <w:numFmt w:val="decimal"/>
        <w:pStyle w:val="Quick1"/>
        <w:lvlText w:val="%1."/>
        <w:lvlJc w:val="left"/>
      </w:lvl>
    </w:lvlOverride>
  </w:num>
  <w:num w:numId="3" w16cid:durableId="632179229">
    <w:abstractNumId w:val="0"/>
    <w:lvlOverride w:ilvl="0">
      <w:startOverride w:val="18"/>
      <w:lvl w:ilvl="0">
        <w:start w:val="18"/>
        <w:numFmt w:val="decimal"/>
        <w:pStyle w:val="Quick1"/>
        <w:lvlText w:val="%1."/>
        <w:lvlJc w:val="left"/>
      </w:lvl>
    </w:lvlOverride>
  </w:num>
  <w:num w:numId="4" w16cid:durableId="1113860829">
    <w:abstractNumId w:val="0"/>
    <w:lvlOverride w:ilvl="0">
      <w:startOverride w:val="17"/>
      <w:lvl w:ilvl="0">
        <w:start w:val="17"/>
        <w:numFmt w:val="decimal"/>
        <w:pStyle w:val="Quick1"/>
        <w:lvlText w:val="%1."/>
        <w:lvlJc w:val="left"/>
      </w:lvl>
    </w:lvlOverride>
  </w:num>
  <w:num w:numId="5" w16cid:durableId="1705130726">
    <w:abstractNumId w:val="0"/>
    <w:lvlOverride w:ilvl="0">
      <w:startOverride w:val="16"/>
      <w:lvl w:ilvl="0">
        <w:start w:val="16"/>
        <w:numFmt w:val="decimal"/>
        <w:pStyle w:val="Quick1"/>
        <w:lvlText w:val="%1."/>
        <w:lvlJc w:val="left"/>
      </w:lvl>
    </w:lvlOverride>
  </w:num>
  <w:num w:numId="6" w16cid:durableId="1505197550">
    <w:abstractNumId w:val="0"/>
    <w:lvlOverride w:ilvl="0">
      <w:startOverride w:val="15"/>
      <w:lvl w:ilvl="0">
        <w:start w:val="15"/>
        <w:numFmt w:val="decimal"/>
        <w:pStyle w:val="Quick1"/>
        <w:lvlText w:val="%1."/>
        <w:lvlJc w:val="left"/>
      </w:lvl>
    </w:lvlOverride>
  </w:num>
  <w:num w:numId="7" w16cid:durableId="1397781874">
    <w:abstractNumId w:val="0"/>
    <w:lvlOverride w:ilvl="0">
      <w:startOverride w:val="14"/>
      <w:lvl w:ilvl="0">
        <w:start w:val="14"/>
        <w:numFmt w:val="decimal"/>
        <w:pStyle w:val="Quick1"/>
        <w:lvlText w:val="%1."/>
        <w:lvlJc w:val="left"/>
      </w:lvl>
    </w:lvlOverride>
  </w:num>
  <w:num w:numId="8" w16cid:durableId="341708630">
    <w:abstractNumId w:val="1"/>
  </w:num>
  <w:num w:numId="9" w16cid:durableId="164477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3C"/>
    <w:rsid w:val="00064F6B"/>
    <w:rsid w:val="00067785"/>
    <w:rsid w:val="000868A2"/>
    <w:rsid w:val="000A3629"/>
    <w:rsid w:val="000C0D25"/>
    <w:rsid w:val="000D299B"/>
    <w:rsid w:val="000F5DA3"/>
    <w:rsid w:val="00106620"/>
    <w:rsid w:val="001264B8"/>
    <w:rsid w:val="00163CAD"/>
    <w:rsid w:val="001701ED"/>
    <w:rsid w:val="001C6C9B"/>
    <w:rsid w:val="002119E5"/>
    <w:rsid w:val="002202C4"/>
    <w:rsid w:val="00247193"/>
    <w:rsid w:val="00293689"/>
    <w:rsid w:val="002D0C63"/>
    <w:rsid w:val="003841CD"/>
    <w:rsid w:val="003A6724"/>
    <w:rsid w:val="00400B1A"/>
    <w:rsid w:val="004057EB"/>
    <w:rsid w:val="004431DD"/>
    <w:rsid w:val="00456AE9"/>
    <w:rsid w:val="00494011"/>
    <w:rsid w:val="00497912"/>
    <w:rsid w:val="004D2636"/>
    <w:rsid w:val="004F43EE"/>
    <w:rsid w:val="004F528B"/>
    <w:rsid w:val="0050336D"/>
    <w:rsid w:val="00521F3F"/>
    <w:rsid w:val="00540AD6"/>
    <w:rsid w:val="00542041"/>
    <w:rsid w:val="005430EA"/>
    <w:rsid w:val="0055413D"/>
    <w:rsid w:val="0058014D"/>
    <w:rsid w:val="005E7E9B"/>
    <w:rsid w:val="005F1923"/>
    <w:rsid w:val="005F5A31"/>
    <w:rsid w:val="00622DFF"/>
    <w:rsid w:val="0064354A"/>
    <w:rsid w:val="006612FA"/>
    <w:rsid w:val="006A2036"/>
    <w:rsid w:val="006A7735"/>
    <w:rsid w:val="006B4A2A"/>
    <w:rsid w:val="006B5F88"/>
    <w:rsid w:val="006C02CB"/>
    <w:rsid w:val="006C1B3C"/>
    <w:rsid w:val="006E7F1D"/>
    <w:rsid w:val="00757D80"/>
    <w:rsid w:val="007B1120"/>
    <w:rsid w:val="007D50F0"/>
    <w:rsid w:val="007D6DF5"/>
    <w:rsid w:val="007F0F89"/>
    <w:rsid w:val="00851596"/>
    <w:rsid w:val="0092378D"/>
    <w:rsid w:val="00950E26"/>
    <w:rsid w:val="00955D04"/>
    <w:rsid w:val="0099179C"/>
    <w:rsid w:val="009B5713"/>
    <w:rsid w:val="009E52E8"/>
    <w:rsid w:val="00A0003A"/>
    <w:rsid w:val="00A85BE3"/>
    <w:rsid w:val="00AD279B"/>
    <w:rsid w:val="00B24EAE"/>
    <w:rsid w:val="00B42AA8"/>
    <w:rsid w:val="00B55006"/>
    <w:rsid w:val="00BA4A25"/>
    <w:rsid w:val="00BD276A"/>
    <w:rsid w:val="00BF6E66"/>
    <w:rsid w:val="00C01724"/>
    <w:rsid w:val="00C34202"/>
    <w:rsid w:val="00C51EBA"/>
    <w:rsid w:val="00CA0808"/>
    <w:rsid w:val="00CC650F"/>
    <w:rsid w:val="00CC7108"/>
    <w:rsid w:val="00CD65D3"/>
    <w:rsid w:val="00CF6B53"/>
    <w:rsid w:val="00D13C32"/>
    <w:rsid w:val="00D62B30"/>
    <w:rsid w:val="00D86EC5"/>
    <w:rsid w:val="00D931CB"/>
    <w:rsid w:val="00DC28AB"/>
    <w:rsid w:val="00E27E4D"/>
    <w:rsid w:val="00E36CFD"/>
    <w:rsid w:val="00E56115"/>
    <w:rsid w:val="00E90103"/>
    <w:rsid w:val="00EA53C0"/>
    <w:rsid w:val="00EB2F0D"/>
    <w:rsid w:val="00ED591C"/>
    <w:rsid w:val="00F12AC8"/>
    <w:rsid w:val="00F20040"/>
    <w:rsid w:val="00F3456F"/>
    <w:rsid w:val="00F53912"/>
    <w:rsid w:val="00F940AC"/>
    <w:rsid w:val="00FD6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3B8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PlainText">
    <w:name w:val="Plain Text"/>
    <w:basedOn w:val="Normal"/>
    <w:pPr>
      <w:widowControl/>
      <w:autoSpaceDE/>
      <w:autoSpaceDN/>
      <w:adjustRightInd/>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styleId="Hyperlink">
    <w:name w:val="Hyperlink"/>
    <w:basedOn w:val="DefaultParagraphFont"/>
    <w:uiPriority w:val="99"/>
    <w:unhideWhenUsed/>
    <w:rPr>
      <w:strike w:val="0"/>
      <w:dstrike w:val="0"/>
      <w:color w:val="004B91"/>
      <w:u w:val="none"/>
      <w:effect w:val="non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autoSpaceDE/>
      <w:autoSpaceDN/>
      <w:adjustRightInd/>
      <w:ind w:left="720"/>
    </w:pPr>
    <w:rPr>
      <w:rFonts w:eastAsia="Calibri"/>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Pr>
      <w:color w:val="800080" w:themeColor="followedHyperlink"/>
      <w:u w:val="single"/>
    </w:rPr>
  </w:style>
  <w:style w:type="paragraph" w:styleId="FootnoteText">
    <w:name w:val="footnote text"/>
    <w:basedOn w:val="Normal"/>
    <w:link w:val="FootnoteTextChar"/>
    <w:uiPriority w:val="99"/>
    <w:unhideWhenUsed/>
    <w:rsid w:val="002119E5"/>
    <w:pPr>
      <w:adjustRightInd/>
    </w:pPr>
    <w:rPr>
      <w:rFonts w:ascii="Arial" w:eastAsia="Arial" w:hAnsi="Arial" w:cs="Arial"/>
      <w:sz w:val="20"/>
      <w:szCs w:val="20"/>
      <w:lang w:bidi="en-US"/>
    </w:rPr>
  </w:style>
  <w:style w:type="character" w:customStyle="1" w:styleId="FootnoteTextChar">
    <w:name w:val="Footnote Text Char"/>
    <w:basedOn w:val="DefaultParagraphFont"/>
    <w:link w:val="FootnoteText"/>
    <w:uiPriority w:val="99"/>
    <w:rsid w:val="002119E5"/>
    <w:rPr>
      <w:rFonts w:ascii="Arial" w:eastAsia="Arial" w:hAnsi="Arial" w:cs="Arial"/>
      <w:lang w:bidi="en-US"/>
    </w:rPr>
  </w:style>
  <w:style w:type="character" w:styleId="UnresolvedMention">
    <w:name w:val="Unresolved Mention"/>
    <w:basedOn w:val="DefaultParagraphFont"/>
    <w:uiPriority w:val="99"/>
    <w:semiHidden/>
    <w:unhideWhenUsed/>
    <w:rsid w:val="0016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132011.htm" TargetMode="External" /><Relationship Id="rId7" Type="http://schemas.openxmlformats.org/officeDocument/2006/relationships/hyperlink" Target="https://www.bls.gov/news.release/ecec.nr0.ht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328D-A46A-485E-8D75-2C3976E6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2023-11-30T22:03:00Z</dcterms:created>
  <dcterms:modified xsi:type="dcterms:W3CDTF">2023-11-30T22:03:00Z</dcterms:modified>
</cp:coreProperties>
</file>