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12E7567C">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w:t>
      </w:r>
      <w:r w:rsidR="00C80528">
        <w:rPr>
          <w:sz w:val="28"/>
        </w:rPr>
        <w:t>349</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1FC3B5AA">
      <w:r>
        <w:t xml:space="preserve">Automated Underreporter (AUR) Non-Response </w:t>
      </w:r>
      <w:r w:rsidR="00C80528">
        <w:t>Interviews</w:t>
      </w:r>
      <w:r w:rsidRPr="00B36959">
        <w:t xml:space="preserve"> </w:t>
      </w:r>
      <w:r w:rsidR="00BF6F19">
        <w:t>- 2024</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E95EAF" w14:paraId="3B3A47EE" w14:textId="693EDDE5">
      <w:pPr>
        <w:ind w:left="360"/>
      </w:pPr>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E95EAF" w14:paraId="48539A38" w14:textId="77777777">
      <w:pPr>
        <w:ind w:left="360"/>
      </w:pPr>
    </w:p>
    <w:p w:rsidR="00A523E1" w:rsidP="00E95EAF" w14:paraId="5459A3A2" w14:textId="708C59B7">
      <w:pPr>
        <w:ind w:left="360"/>
      </w:pPr>
      <w:r w:rsidRPr="00DA0362">
        <w:t>The</w:t>
      </w:r>
      <w:r>
        <w:t xml:space="preserve"> Automated Underreporter (AUR) Non-Response interviews will be conducted in the Spring of 2024 to IRS customers who failed to respond to a CP2000 Notice and</w:t>
      </w:r>
      <w:r w:rsidR="00E7557A">
        <w:t xml:space="preserve"> to</w:t>
      </w:r>
      <w:r>
        <w:t xml:space="preserve"> a Statutory Notice of Deficiency. The in-depth interviews will be used to gather information about the Campus Examination AUR notification process</w:t>
      </w:r>
      <w:r w:rsidR="00723616">
        <w:t xml:space="preserve">. Results will be used to </w:t>
      </w:r>
      <w:r w:rsidR="000A3CD1">
        <w:t xml:space="preserve">gain a deeper understanding of the customer experience and to </w:t>
      </w:r>
      <w:r w:rsidR="00723616">
        <w:t xml:space="preserve">determine </w:t>
      </w:r>
      <w:r>
        <w:t>how the IRS can better meet customer expectations and needs</w:t>
      </w:r>
      <w:r w:rsidR="000A3CD1">
        <w:t>. With this knowledge, the IRS can potentially reduce the number of unr</w:t>
      </w:r>
      <w:r>
        <w:t>esolved cases following issuance of a CP2000 Notice.</w:t>
      </w:r>
    </w:p>
    <w:p w:rsidR="00A523E1" w:rsidP="00567D6B" w14:paraId="7E8C396F"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0A3CD1" w:rsidP="00E95EAF" w14:paraId="1BD16193" w14:textId="77777777">
      <w:pPr>
        <w:ind w:left="360"/>
      </w:pPr>
      <w:r>
        <w:t xml:space="preserve">Respondents for this study are </w:t>
      </w:r>
      <w:r w:rsidRPr="000A3CD1">
        <w:t>IRS customers who</w:t>
      </w:r>
      <w:r>
        <w:t xml:space="preserve"> recently </w:t>
      </w:r>
      <w:r w:rsidRPr="000A3CD1">
        <w:t>received a CP2000 Notice</w:t>
      </w:r>
      <w:r>
        <w:t xml:space="preserve">, failed to respond, and subsequently received a Statutory Notice of Deficiency. </w:t>
      </w:r>
    </w:p>
    <w:p w:rsidR="000A3CD1" w:rsidP="00E95EAF" w14:paraId="6BAEEA49" w14:textId="77777777">
      <w:pPr>
        <w:ind w:left="36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3D459522">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0071758C">
        <w:rPr>
          <w:bCs/>
          <w:sz w:val="24"/>
        </w:rPr>
        <w:t xml:space="preserve">  </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7F3B9C96">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w:t>
      </w:r>
      <w:r w:rsidRPr="0071758C" w:rsidR="0071758C">
        <w:rPr>
          <w:b/>
          <w:sz w:val="24"/>
        </w:rPr>
        <w:t>X</w:t>
      </w:r>
      <w:r w:rsidRPr="0071758C">
        <w:rPr>
          <w:b/>
          <w:sz w:val="24"/>
        </w:rPr>
        <w:t>]</w:t>
      </w:r>
      <w:r w:rsidRPr="00B36959">
        <w:rPr>
          <w:bCs/>
          <w:sz w:val="24"/>
        </w:rPr>
        <w:t xml:space="preserve"> Other:</w:t>
      </w:r>
      <w:r w:rsidR="0071758C">
        <w:rPr>
          <w:bCs/>
          <w:sz w:val="24"/>
        </w:rPr>
        <w:t xml:space="preserve"> </w:t>
      </w:r>
      <w:r w:rsidR="000A3CD1">
        <w:rPr>
          <w:b/>
          <w:sz w:val="24"/>
        </w:rPr>
        <w:t xml:space="preserve">Individual </w:t>
      </w:r>
      <w:r w:rsidR="00E95EAF">
        <w:rPr>
          <w:b/>
          <w:sz w:val="24"/>
        </w:rPr>
        <w:t>I</w:t>
      </w:r>
      <w:r w:rsidRPr="0071758C" w:rsidR="0071758C">
        <w:rPr>
          <w:b/>
          <w:sz w:val="24"/>
        </w:rPr>
        <w:t>nterview</w:t>
      </w:r>
      <w:r w:rsidRPr="000C33DD" w:rsidR="000C33DD">
        <w:rPr>
          <w:b/>
          <w:sz w:val="24"/>
        </w:rPr>
        <w:t>s</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61336E" w:rsidP="00C86E91" w14:paraId="536BAA2D" w14:textId="09B05993">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Pr="0061336E" w:rsidR="0061336E">
        <w:rPr>
          <w:b/>
          <w:bCs/>
        </w:rPr>
        <w:t>X</w:t>
      </w:r>
      <w:r w:rsidRPr="0061336E" w:rsidR="009239AA">
        <w:t xml:space="preserve">] Yes </w:t>
      </w:r>
      <w:r w:rsidRPr="0061336E" w:rsidR="009239AA">
        <w:t>[</w:t>
      </w:r>
      <w:r w:rsidR="00164352">
        <w:t xml:space="preserve"> </w:t>
      </w:r>
      <w:r w:rsidRPr="0061336E" w:rsidR="000C33DD">
        <w:t xml:space="preserve"> </w:t>
      </w:r>
      <w:r w:rsidRPr="0061336E" w:rsidR="009239AA">
        <w:t>]</w:t>
      </w:r>
      <w:r w:rsidRPr="0061336E" w:rsidR="009239AA">
        <w:t xml:space="preserve">  No </w:t>
      </w:r>
    </w:p>
    <w:p w:rsidR="00C86E91" w:rsidRPr="0061336E" w:rsidP="00C86E91" w14:paraId="646C64D3" w14:textId="66C0821B">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is the information that will be collected included in records that are subject to the Privacy Act of 1974?   [</w:t>
      </w:r>
      <w:r w:rsidRPr="0061336E" w:rsidR="0061336E">
        <w:rPr>
          <w:b/>
          <w:bCs/>
        </w:rPr>
        <w:t>X</w:t>
      </w:r>
      <w:r w:rsidRPr="0061336E" w:rsidR="009239AA">
        <w:t xml:space="preserve">] Yes </w:t>
      </w:r>
      <w:r w:rsidRPr="0061336E" w:rsidR="009239AA">
        <w:t>[</w:t>
      </w:r>
      <w:r w:rsidRPr="0061336E" w:rsidR="00567D6B">
        <w:t xml:space="preserve"> </w:t>
      </w:r>
      <w:r w:rsidRPr="0061336E" w:rsidR="009239AA">
        <w:t>]</w:t>
      </w:r>
      <w:r w:rsidRPr="0061336E" w:rsidR="009239AA">
        <w:t xml:space="preserve"> No</w:t>
      </w:r>
      <w:r w:rsidRPr="0061336E">
        <w:t xml:space="preserve">   </w:t>
      </w:r>
    </w:p>
    <w:p w:rsidR="00C86E91" w:rsidRPr="0061336E" w:rsidP="00C86E91" w14:paraId="2D64E2BF" w14:textId="1D63CDB2">
      <w:pPr>
        <w:pStyle w:val="ListParagraph"/>
        <w:numPr>
          <w:ilvl w:val="0"/>
          <w:numId w:val="18"/>
        </w:numPr>
      </w:pPr>
      <w:r w:rsidRPr="0061336E">
        <w:t>If Applicable, has a System or Records Notice been published?  [</w:t>
      </w:r>
      <w:r w:rsidRPr="0061336E" w:rsidR="0061336E">
        <w:rPr>
          <w:b/>
          <w:bCs/>
        </w:rPr>
        <w:t>X</w:t>
      </w:r>
      <w:r w:rsidRPr="0061336E">
        <w:t xml:space="preserve">] Yes </w:t>
      </w:r>
      <w:r w:rsidRPr="0061336E">
        <w:t>[</w:t>
      </w:r>
      <w:r w:rsidR="00164352">
        <w:t xml:space="preserve"> </w:t>
      </w:r>
      <w:r w:rsidRPr="0061336E">
        <w:t xml:space="preserve"> ]</w:t>
      </w:r>
      <w:r w:rsidRPr="0061336E">
        <w:t xml:space="preserve"> 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61336E">
        <w:rPr>
          <w:b/>
        </w:rPr>
        <w:t>Gifts or Payments</w:t>
      </w:r>
      <w:r w:rsidRPr="0061336E">
        <w:rPr>
          <w:b/>
        </w:rPr>
        <w:t>:</w:t>
      </w:r>
    </w:p>
    <w:p w:rsidR="00C86E91" w:rsidRPr="00B36959" w:rsidP="00C86E91" w14:paraId="5CA4FB54" w14:textId="4BEDAB4A">
      <w:bookmarkStart w:id="1" w:name="_Hlk149659000"/>
      <w:r w:rsidRPr="0061336E">
        <w:t>Is an incentive (e.g., money or reimbursement of expenses, token of appreciation) provided to participants?  [</w:t>
      </w:r>
      <w:r w:rsidRPr="0061336E" w:rsidR="000C33DD">
        <w:rPr>
          <w:b/>
          <w:bCs/>
        </w:rPr>
        <w:t>X</w:t>
      </w:r>
      <w:r w:rsidRPr="0061336E">
        <w:rPr>
          <w:b/>
          <w:bCs/>
        </w:rPr>
        <w:t>]</w:t>
      </w:r>
      <w:r w:rsidRPr="0061336E">
        <w:t xml:space="preserve"> Yes </w:t>
      </w:r>
      <w:r w:rsidRPr="0061336E">
        <w:t xml:space="preserve">[ </w:t>
      </w:r>
      <w:r w:rsidRPr="0061336E" w:rsidR="000C33DD">
        <w:t xml:space="preserve"> </w:t>
      </w:r>
      <w:r w:rsidRPr="0061336E">
        <w:t>]</w:t>
      </w:r>
      <w:r w:rsidRPr="0061336E">
        <w:t xml:space="preserve"> No</w:t>
      </w:r>
      <w:r w:rsidRPr="00B36959">
        <w:t xml:space="preserve">  </w:t>
      </w:r>
    </w:p>
    <w:bookmarkEnd w:id="1"/>
    <w:p w:rsidR="000A3CD1" w14:paraId="41546FA6" w14:textId="77777777">
      <w:pPr>
        <w:rPr>
          <w:b/>
        </w:rPr>
      </w:pPr>
    </w:p>
    <w:p w:rsidR="00C86E91" w:rsidRPr="000A3CD1" w:rsidP="000A3CD1" w14:paraId="64216CDD" w14:textId="42CD9ACA">
      <w:pPr>
        <w:ind w:left="360"/>
        <w:rPr>
          <w:bCs/>
        </w:rPr>
      </w:pPr>
      <w:r>
        <w:rPr>
          <w:bCs/>
        </w:rPr>
        <w:t xml:space="preserve">The contractor will provide </w:t>
      </w:r>
      <w:r w:rsidR="005137C1">
        <w:rPr>
          <w:bCs/>
        </w:rPr>
        <w:t xml:space="preserve">a </w:t>
      </w:r>
      <w:r w:rsidRPr="000A3CD1">
        <w:rPr>
          <w:bCs/>
        </w:rPr>
        <w:t xml:space="preserve">$100 </w:t>
      </w:r>
      <w:r w:rsidR="005137C1">
        <w:rPr>
          <w:bCs/>
        </w:rPr>
        <w:t xml:space="preserve">electronic gift card </w:t>
      </w:r>
      <w:r w:rsidRPr="000A3CD1">
        <w:rPr>
          <w:bCs/>
        </w:rPr>
        <w:t xml:space="preserve">per </w:t>
      </w:r>
      <w:r w:rsidR="00AC515A">
        <w:rPr>
          <w:bCs/>
        </w:rPr>
        <w:t xml:space="preserve">interview </w:t>
      </w:r>
      <w:r w:rsidRPr="000A3CD1">
        <w:rPr>
          <w:bCs/>
        </w:rPr>
        <w:t>participant.</w:t>
      </w:r>
      <w:r w:rsidR="00CD2A75">
        <w:rPr>
          <w:bCs/>
        </w:rPr>
        <w:t xml:space="preserve"> In</w:t>
      </w:r>
      <w:r w:rsidRPr="000A3CD1">
        <w:rPr>
          <w:bCs/>
        </w:rPr>
        <w:t>centives reduce the level of overrecruiting needed to meet the goal sample size and reduce the likelihood of having of no-shows and cancellation</w:t>
      </w:r>
      <w:r w:rsidR="00CD2A75">
        <w:rPr>
          <w:bCs/>
        </w:rPr>
        <w:t>s.</w:t>
      </w:r>
      <w:r w:rsidR="00164352">
        <w:t xml:space="preserve"> </w:t>
      </w:r>
      <w:r w:rsidRPr="00164352" w:rsidR="00164352">
        <w:rPr>
          <w:bCs/>
        </w:rPr>
        <w:t>Offering incentives for participating in this type of research is a standard industry practice.</w:t>
      </w:r>
    </w:p>
    <w:p w:rsidR="000A3CD1" w:rsidRPr="000A3CD1" w:rsidP="000A3CD1" w14:paraId="57660756" w14:textId="77777777">
      <w:pPr>
        <w:ind w:left="360"/>
        <w:rPr>
          <w:bCs/>
        </w:rPr>
      </w:pPr>
    </w:p>
    <w:p w:rsidR="005E714A" w:rsidRPr="001F1E06" w:rsidP="00C86E91" w14:paraId="307F73E8" w14:textId="23B3676A">
      <w:bookmarkStart w:id="2" w:name="_Hlk149659133"/>
      <w:r w:rsidRPr="001F1E06">
        <w:rPr>
          <w:b/>
        </w:rPr>
        <w:t>BURDEN HOUR</w:t>
      </w:r>
      <w:r w:rsidRPr="001F1E06" w:rsidR="00441434">
        <w:rPr>
          <w:b/>
        </w:rPr>
        <w:t>S</w:t>
      </w:r>
      <w:r w:rsidRPr="001F1E06">
        <w:t xml:space="preserve"> </w:t>
      </w:r>
    </w:p>
    <w:p w:rsidR="00095C82" w:rsidRPr="001F1E06" w:rsidP="00C86E91" w14:paraId="34930CC0" w14:textId="085CE0EB"/>
    <w:p w:rsidR="00D77E28" w:rsidRPr="001F1E06" w:rsidP="00CD2A75" w14:paraId="24F04AF9" w14:textId="14D3A707">
      <w:pPr>
        <w:ind w:left="360"/>
        <w:jc w:val="both"/>
        <w:rPr>
          <w:b/>
          <w:color w:val="000000"/>
          <w:u w:val="single"/>
        </w:rPr>
      </w:pPr>
      <w:r w:rsidRPr="001F1E06">
        <w:rPr>
          <w:color w:val="000000"/>
        </w:rPr>
        <w:t xml:space="preserve">The total burden hours for the </w:t>
      </w:r>
      <w:r w:rsidRPr="001F1E06" w:rsidR="00EB04B2">
        <w:rPr>
          <w:color w:val="000000"/>
        </w:rPr>
        <w:t xml:space="preserve">cognitive interviews </w:t>
      </w:r>
      <w:r w:rsidRPr="001F1E06">
        <w:rPr>
          <w:color w:val="000000"/>
        </w:rPr>
        <w:t xml:space="preserve">is </w:t>
      </w:r>
      <w:r w:rsidR="00CD2A75">
        <w:rPr>
          <w:color w:val="000000"/>
        </w:rPr>
        <w:t xml:space="preserve">= </w:t>
      </w:r>
      <w:r w:rsidR="00CD2A75">
        <w:rPr>
          <w:b/>
          <w:color w:val="000000"/>
          <w:u w:val="single"/>
        </w:rPr>
        <w:t xml:space="preserve">45 </w:t>
      </w:r>
      <w:r w:rsidRPr="001F1E06">
        <w:rPr>
          <w:b/>
          <w:color w:val="000000"/>
          <w:u w:val="single"/>
        </w:rPr>
        <w:t>burden hours</w:t>
      </w:r>
    </w:p>
    <w:bookmarkEnd w:id="2"/>
    <w:p w:rsidR="006832D9" w:rsidRPr="001F1E06" w:rsidP="00F3170F" w14:paraId="248E49B3" w14:textId="77777777">
      <w:pPr>
        <w:keepNext/>
        <w:keepLines/>
        <w:rPr>
          <w:b/>
        </w:rPr>
      </w:pPr>
    </w:p>
    <w:tbl>
      <w:tblPr>
        <w:tblStyle w:val="TableGrid"/>
        <w:tblW w:w="8686" w:type="dxa"/>
        <w:jc w:val="center"/>
        <w:tblLayout w:type="fixed"/>
        <w:tblLook w:val="01E0"/>
      </w:tblPr>
      <w:tblGrid>
        <w:gridCol w:w="4443"/>
        <w:gridCol w:w="1530"/>
        <w:gridCol w:w="1710"/>
        <w:gridCol w:w="1003"/>
      </w:tblGrid>
      <w:tr w14:paraId="0C6D2DAB" w14:textId="77777777" w:rsidTr="00CD2A75">
        <w:tblPrEx>
          <w:tblW w:w="8686" w:type="dxa"/>
          <w:jc w:val="center"/>
          <w:tblLayout w:type="fixed"/>
          <w:tblLook w:val="01E0"/>
        </w:tblPrEx>
        <w:trPr>
          <w:trHeight w:val="274"/>
          <w:jc w:val="center"/>
        </w:trPr>
        <w:tc>
          <w:tcPr>
            <w:tcW w:w="4443" w:type="dxa"/>
            <w:vAlign w:val="center"/>
          </w:tcPr>
          <w:p w:rsidR="00EB04B2" w:rsidRPr="00B36959" w:rsidP="0051268D" w14:paraId="0A0C9A27" w14:textId="26FCCCCC">
            <w:pPr>
              <w:jc w:val="center"/>
              <w:rPr>
                <w:b/>
              </w:rPr>
            </w:pPr>
            <w:r w:rsidRPr="00B36959">
              <w:rPr>
                <w:b/>
              </w:rPr>
              <w:t>Respondent</w:t>
            </w:r>
            <w:r w:rsidR="00CD2A75">
              <w:rPr>
                <w:b/>
              </w:rPr>
              <w:t xml:space="preserve"> Category</w:t>
            </w:r>
          </w:p>
        </w:tc>
        <w:tc>
          <w:tcPr>
            <w:tcW w:w="1530" w:type="dxa"/>
            <w:vAlign w:val="center"/>
          </w:tcPr>
          <w:p w:rsidR="00EB04B2" w:rsidRPr="00B36959" w:rsidP="0051268D" w14:paraId="208273FB" w14:textId="77777777">
            <w:pPr>
              <w:jc w:val="center"/>
              <w:rPr>
                <w:b/>
              </w:rPr>
            </w:pPr>
            <w:r w:rsidRPr="00B36959">
              <w:rPr>
                <w:b/>
              </w:rPr>
              <w:t>Number of Respondents</w:t>
            </w:r>
          </w:p>
        </w:tc>
        <w:tc>
          <w:tcPr>
            <w:tcW w:w="1710" w:type="dxa"/>
            <w:vAlign w:val="center"/>
          </w:tcPr>
          <w:p w:rsidR="00EB04B2" w:rsidRPr="00B36959" w:rsidP="0051268D" w14:paraId="47A8254C" w14:textId="77777777">
            <w:pPr>
              <w:jc w:val="center"/>
              <w:rPr>
                <w:b/>
              </w:rPr>
            </w:pPr>
            <w:r w:rsidRPr="00B36959">
              <w:rPr>
                <w:b/>
              </w:rPr>
              <w:t>Participation Time</w:t>
            </w:r>
          </w:p>
        </w:tc>
        <w:tc>
          <w:tcPr>
            <w:tcW w:w="1003" w:type="dxa"/>
            <w:vAlign w:val="center"/>
          </w:tcPr>
          <w:p w:rsidR="00EB04B2" w:rsidRPr="00B36959" w:rsidP="0051268D" w14:paraId="18ABA888" w14:textId="77777777">
            <w:pPr>
              <w:jc w:val="center"/>
              <w:rPr>
                <w:b/>
              </w:rPr>
            </w:pPr>
            <w:r w:rsidRPr="00B36959">
              <w:rPr>
                <w:b/>
              </w:rPr>
              <w:t>Burden</w:t>
            </w:r>
            <w:r>
              <w:rPr>
                <w:b/>
              </w:rPr>
              <w:t xml:space="preserve"> Hours</w:t>
            </w:r>
          </w:p>
        </w:tc>
      </w:tr>
      <w:tr w14:paraId="5CAC3546" w14:textId="77777777" w:rsidTr="00CD2A75">
        <w:tblPrEx>
          <w:tblW w:w="8686" w:type="dxa"/>
          <w:jc w:val="center"/>
          <w:tblLayout w:type="fixed"/>
          <w:tblLook w:val="01E0"/>
        </w:tblPrEx>
        <w:trPr>
          <w:trHeight w:val="274"/>
          <w:jc w:val="center"/>
        </w:trPr>
        <w:tc>
          <w:tcPr>
            <w:tcW w:w="4443" w:type="dxa"/>
          </w:tcPr>
          <w:p w:rsidR="00CD2A75" w:rsidRPr="00B36959" w:rsidP="00CD2A75" w14:paraId="537DBECE" w14:textId="251A191D">
            <w:r>
              <w:t>S</w:t>
            </w:r>
            <w:r w:rsidRPr="00BA438E">
              <w:t>creened</w:t>
            </w:r>
            <w:r>
              <w:t xml:space="preserve"> b</w:t>
            </w:r>
            <w:r w:rsidRPr="00BA438E">
              <w:t>ut did not participate</w:t>
            </w:r>
          </w:p>
        </w:tc>
        <w:tc>
          <w:tcPr>
            <w:tcW w:w="1530" w:type="dxa"/>
          </w:tcPr>
          <w:p w:rsidR="00CD2A75" w:rsidRPr="00B36959" w:rsidP="00CD2A75" w14:paraId="1A0DBBD5" w14:textId="5BD333E8">
            <w:pPr>
              <w:jc w:val="center"/>
            </w:pPr>
            <w:r w:rsidRPr="00BA438E">
              <w:t>226</w:t>
            </w:r>
          </w:p>
        </w:tc>
        <w:tc>
          <w:tcPr>
            <w:tcW w:w="1710" w:type="dxa"/>
          </w:tcPr>
          <w:p w:rsidR="00CD2A75" w:rsidRPr="00B36959" w:rsidP="00CD2A75" w14:paraId="1BEB8970" w14:textId="20D89617">
            <w:pPr>
              <w:jc w:val="center"/>
            </w:pPr>
            <w:r w:rsidRPr="00BA438E">
              <w:t>5 minutes</w:t>
            </w:r>
          </w:p>
        </w:tc>
        <w:tc>
          <w:tcPr>
            <w:tcW w:w="1003" w:type="dxa"/>
          </w:tcPr>
          <w:p w:rsidR="00CD2A75" w:rsidRPr="00B36959" w:rsidP="00CD2A75" w14:paraId="360443DD" w14:textId="025A8934">
            <w:pPr>
              <w:jc w:val="center"/>
            </w:pPr>
            <w:r w:rsidRPr="00BA438E">
              <w:t>19</w:t>
            </w:r>
            <w:r>
              <w:t xml:space="preserve"> h</w:t>
            </w:r>
          </w:p>
        </w:tc>
      </w:tr>
      <w:tr w14:paraId="08EC8AE9" w14:textId="77777777" w:rsidTr="00CD2A75">
        <w:tblPrEx>
          <w:tblW w:w="8686" w:type="dxa"/>
          <w:jc w:val="center"/>
          <w:tblLayout w:type="fixed"/>
          <w:tblLook w:val="01E0"/>
        </w:tblPrEx>
        <w:trPr>
          <w:trHeight w:val="274"/>
          <w:jc w:val="center"/>
        </w:trPr>
        <w:tc>
          <w:tcPr>
            <w:tcW w:w="4443" w:type="dxa"/>
          </w:tcPr>
          <w:p w:rsidR="00CD2A75" w:rsidRPr="00B36959" w:rsidP="00CD2A75" w14:paraId="55849CEA" w14:textId="2D5CFB04">
            <w:r>
              <w:t>S</w:t>
            </w:r>
            <w:r w:rsidRPr="007B2745">
              <w:t>creened</w:t>
            </w:r>
            <w:r>
              <w:t xml:space="preserve"> </w:t>
            </w:r>
            <w:r w:rsidRPr="007B2745">
              <w:t>but did not participate due to overrecruit</w:t>
            </w:r>
          </w:p>
        </w:tc>
        <w:tc>
          <w:tcPr>
            <w:tcW w:w="1530" w:type="dxa"/>
          </w:tcPr>
          <w:p w:rsidR="00CD2A75" w:rsidRPr="00B36959" w:rsidP="00CD2A75" w14:paraId="5B8498B8" w14:textId="2303407F">
            <w:pPr>
              <w:jc w:val="center"/>
            </w:pPr>
            <w:r w:rsidRPr="007B2745">
              <w:t>4</w:t>
            </w:r>
          </w:p>
        </w:tc>
        <w:tc>
          <w:tcPr>
            <w:tcW w:w="1710" w:type="dxa"/>
          </w:tcPr>
          <w:p w:rsidR="00CD2A75" w:rsidRPr="00B36959" w:rsidP="00CD2A75" w14:paraId="08E3B146" w14:textId="5403109D">
            <w:pPr>
              <w:jc w:val="center"/>
            </w:pPr>
            <w:r w:rsidRPr="007B2745">
              <w:t>15 minutes</w:t>
            </w:r>
          </w:p>
        </w:tc>
        <w:tc>
          <w:tcPr>
            <w:tcW w:w="1003" w:type="dxa"/>
          </w:tcPr>
          <w:p w:rsidR="00CD2A75" w:rsidRPr="00B36959" w:rsidP="00CD2A75" w14:paraId="22148985" w14:textId="0523F80E">
            <w:pPr>
              <w:jc w:val="center"/>
            </w:pPr>
            <w:r w:rsidRPr="007B2745">
              <w:t>1 h</w:t>
            </w:r>
          </w:p>
        </w:tc>
      </w:tr>
      <w:tr w14:paraId="5D2EEDBE" w14:textId="77777777" w:rsidTr="00CD2A75">
        <w:tblPrEx>
          <w:tblW w:w="8686" w:type="dxa"/>
          <w:jc w:val="center"/>
          <w:tblLayout w:type="fixed"/>
          <w:tblLook w:val="01E0"/>
        </w:tblPrEx>
        <w:trPr>
          <w:trHeight w:val="274"/>
          <w:jc w:val="center"/>
        </w:trPr>
        <w:tc>
          <w:tcPr>
            <w:tcW w:w="4443" w:type="dxa"/>
          </w:tcPr>
          <w:p w:rsidR="00CD2A75" w:rsidP="00CD2A75" w14:paraId="33064E76" w14:textId="317D1987">
            <w:r>
              <w:t>Participated in interviews</w:t>
            </w:r>
          </w:p>
        </w:tc>
        <w:tc>
          <w:tcPr>
            <w:tcW w:w="1530" w:type="dxa"/>
          </w:tcPr>
          <w:p w:rsidR="00CD2A75" w:rsidP="00CD2A75" w14:paraId="13FCDEEF" w14:textId="668D2985">
            <w:pPr>
              <w:jc w:val="center"/>
            </w:pPr>
            <w:r w:rsidRPr="007D1984">
              <w:t>20</w:t>
            </w:r>
          </w:p>
        </w:tc>
        <w:tc>
          <w:tcPr>
            <w:tcW w:w="1710" w:type="dxa"/>
          </w:tcPr>
          <w:p w:rsidR="00CD2A75" w:rsidP="00CD2A75" w14:paraId="67013709" w14:textId="289A3420">
            <w:pPr>
              <w:jc w:val="center"/>
            </w:pPr>
            <w:r w:rsidRPr="007D1984">
              <w:t>75 minutes</w:t>
            </w:r>
          </w:p>
        </w:tc>
        <w:tc>
          <w:tcPr>
            <w:tcW w:w="1003" w:type="dxa"/>
          </w:tcPr>
          <w:p w:rsidR="00CD2A75" w:rsidP="00CD2A75" w14:paraId="34A947A9" w14:textId="75D9CF05">
            <w:pPr>
              <w:jc w:val="center"/>
            </w:pPr>
            <w:r w:rsidRPr="007D1984">
              <w:t xml:space="preserve">25 </w:t>
            </w:r>
            <w:r>
              <w:t>h</w:t>
            </w:r>
          </w:p>
        </w:tc>
      </w:tr>
      <w:tr w14:paraId="2A71670F" w14:textId="77777777" w:rsidTr="00CD2A75">
        <w:tblPrEx>
          <w:tblW w:w="8686" w:type="dxa"/>
          <w:jc w:val="center"/>
          <w:tblLayout w:type="fixed"/>
          <w:tblLook w:val="01E0"/>
        </w:tblPrEx>
        <w:trPr>
          <w:trHeight w:val="274"/>
          <w:jc w:val="center"/>
        </w:trPr>
        <w:tc>
          <w:tcPr>
            <w:tcW w:w="4443" w:type="dxa"/>
          </w:tcPr>
          <w:p w:rsidR="00EB04B2" w:rsidRPr="00EB04B2" w:rsidP="0051268D" w14:paraId="0A431CB9" w14:textId="77777777">
            <w:pPr>
              <w:rPr>
                <w:b/>
                <w:bCs/>
              </w:rPr>
            </w:pPr>
            <w:r w:rsidRPr="00EB04B2">
              <w:rPr>
                <w:b/>
                <w:bCs/>
              </w:rPr>
              <w:t>Total Burden</w:t>
            </w:r>
          </w:p>
        </w:tc>
        <w:tc>
          <w:tcPr>
            <w:tcW w:w="1530" w:type="dxa"/>
          </w:tcPr>
          <w:p w:rsidR="00EB04B2" w:rsidRPr="00CD2A75" w:rsidP="0051268D" w14:paraId="4BB1AD5D" w14:textId="3676390A">
            <w:pPr>
              <w:jc w:val="center"/>
              <w:rPr>
                <w:b/>
                <w:bCs/>
              </w:rPr>
            </w:pPr>
            <w:r w:rsidRPr="00CD2A75">
              <w:rPr>
                <w:b/>
                <w:bCs/>
              </w:rPr>
              <w:t>250</w:t>
            </w:r>
          </w:p>
        </w:tc>
        <w:tc>
          <w:tcPr>
            <w:tcW w:w="1710" w:type="dxa"/>
          </w:tcPr>
          <w:p w:rsidR="00EB04B2" w:rsidRPr="00B36959" w:rsidP="0051268D" w14:paraId="7A549F8D" w14:textId="77777777">
            <w:pPr>
              <w:jc w:val="center"/>
            </w:pPr>
          </w:p>
        </w:tc>
        <w:tc>
          <w:tcPr>
            <w:tcW w:w="1003" w:type="dxa"/>
          </w:tcPr>
          <w:p w:rsidR="00EB04B2" w:rsidRPr="00EB04B2" w:rsidP="0051268D" w14:paraId="1B79CB1A" w14:textId="61C4FF0A">
            <w:pPr>
              <w:jc w:val="center"/>
              <w:rPr>
                <w:b/>
                <w:bCs/>
              </w:rPr>
            </w:pPr>
            <w:r>
              <w:rPr>
                <w:b/>
                <w:bCs/>
              </w:rPr>
              <w:t>45 h</w:t>
            </w:r>
          </w:p>
        </w:tc>
      </w:tr>
    </w:tbl>
    <w:p w:rsidR="00441434" w:rsidP="00F3170F" w14:paraId="3AA9BF68" w14:textId="2166239E"/>
    <w:p w:rsidR="00AC515A" w14:paraId="039C3357" w14:textId="77777777">
      <w:pPr>
        <w:rPr>
          <w:b/>
        </w:rPr>
      </w:pPr>
    </w:p>
    <w:p w:rsidR="005E714A" w:rsidRPr="00B36959" w14:paraId="1D20D791" w14:textId="64B80B73">
      <w:r w:rsidRPr="00B36959">
        <w:rPr>
          <w:b/>
        </w:rPr>
        <w:t xml:space="preserve">FEDERAL </w:t>
      </w:r>
      <w:r w:rsidRPr="00B36959" w:rsidR="009F5923">
        <w:rPr>
          <w:b/>
        </w:rPr>
        <w:t>COST</w:t>
      </w:r>
      <w:r w:rsidRPr="00B36959" w:rsidR="00F06866">
        <w:rPr>
          <w:b/>
        </w:rPr>
        <w:t>:</w:t>
      </w:r>
      <w:r w:rsidRPr="00B36959" w:rsidR="00C9790E">
        <w:t xml:space="preserve"> </w:t>
      </w:r>
    </w:p>
    <w:p w:rsidR="00AC515A" w:rsidP="00E95EAF" w14:paraId="7B40FA19" w14:textId="77777777">
      <w:pPr>
        <w:tabs>
          <w:tab w:val="left" w:pos="360"/>
        </w:tabs>
        <w:ind w:left="360"/>
      </w:pPr>
      <w:bookmarkStart w:id="3" w:name="_Hlk149658931"/>
    </w:p>
    <w:p w:rsidR="00613A8C" w:rsidRPr="00B36959" w:rsidP="00E95EAF" w14:paraId="59809541" w14:textId="1A6A4E0D">
      <w:pPr>
        <w:tabs>
          <w:tab w:val="left" w:pos="360"/>
        </w:tabs>
        <w:ind w:left="360"/>
      </w:pPr>
      <w:r w:rsidRPr="007E59ED">
        <w:t>The cost of th</w:t>
      </w:r>
      <w:r w:rsidRPr="007E59ED" w:rsidR="00EB04B2">
        <w:t>e</w:t>
      </w:r>
      <w:r w:rsidRPr="007E59ED" w:rsidR="00CD2A75">
        <w:t xml:space="preserve"> AUR interviews </w:t>
      </w:r>
      <w:r w:rsidRPr="007E59ED" w:rsidR="0009502B">
        <w:t>wi</w:t>
      </w:r>
      <w:r w:rsidRPr="007E59ED">
        <w:t>th the contractor is $</w:t>
      </w:r>
      <w:r w:rsidRPr="007E59ED" w:rsidR="00CD2A75">
        <w:t>40</w:t>
      </w:r>
      <w:r w:rsidRPr="007E59ED" w:rsidR="004C0D99">
        <w:t>,</w:t>
      </w:r>
      <w:r w:rsidRPr="007E59ED" w:rsidR="00CD2A75">
        <w:t>340</w:t>
      </w:r>
      <w:r w:rsidRPr="007E59ED" w:rsidR="004C0D99">
        <w:t>.</w:t>
      </w:r>
      <w:r w:rsidRPr="00B36959">
        <w:t xml:space="preserve"> </w:t>
      </w:r>
      <w:r w:rsidRPr="00B36959" w:rsidR="00510757">
        <w:t xml:space="preserve"> </w:t>
      </w:r>
    </w:p>
    <w:bookmarkEnd w:id="3"/>
    <w:p w:rsidR="00ED6492" w:rsidRPr="00B36959" w14:paraId="0FFAA6E7" w14:textId="58AACF4B">
      <w:pPr>
        <w:rPr>
          <w:b/>
          <w:bCs/>
          <w:u w:val="single"/>
        </w:rPr>
      </w:pPr>
    </w:p>
    <w:p w:rsidR="00DA0EA8" w14:paraId="6256B834" w14:textId="77777777">
      <w:pPr>
        <w:rPr>
          <w:b/>
          <w:bCs/>
          <w:u w:val="single"/>
        </w:rPr>
      </w:pPr>
      <w:r>
        <w:rPr>
          <w:b/>
          <w:bCs/>
          <w:u w:val="single"/>
        </w:rPr>
        <w:br w:type="page"/>
      </w:r>
    </w:p>
    <w:p w:rsidR="004246CB" w:rsidRPr="00B36959" w14:paraId="1754854A" w14:textId="7A17139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18666769">
      <w:pPr>
        <w:pStyle w:val="ListParagraph"/>
        <w:numPr>
          <w:ilvl w:val="0"/>
          <w:numId w:val="15"/>
        </w:numPr>
      </w:pPr>
      <w:r w:rsidRPr="00B36959">
        <w:t xml:space="preserve">Do you have a customer list or something similar that defines the universe of potential </w:t>
      </w:r>
      <w:r w:rsidRPr="00B36959" w:rsidR="007E59ED">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w:t>
      </w:r>
      <w:r w:rsidRPr="00B36959" w:rsidR="00A403BB">
        <w:t>or</w:t>
      </w:r>
      <w:r w:rsidRPr="00B36959" w:rsidR="00A403BB">
        <w:t xml:space="preserve">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09502B" w:rsidP="00CD2A75" w14:paraId="7D434635" w14:textId="653C20E3">
      <w:pPr>
        <w:autoSpaceDE w:val="0"/>
        <w:autoSpaceDN w:val="0"/>
        <w:adjustRightInd w:val="0"/>
        <w:ind w:left="720"/>
      </w:pPr>
      <w:r>
        <w:t xml:space="preserve">For the interviews, </w:t>
      </w:r>
      <w:r w:rsidR="000A3CD1">
        <w:t xml:space="preserve">Fors Marsh will recruit </w:t>
      </w:r>
      <w:r>
        <w:t xml:space="preserve">IRS </w:t>
      </w:r>
      <w:r w:rsidR="000A3CD1">
        <w:t>customers who recently received the final Statutory Notice of Deficiency after failing to respond to their initial CP2000 Notice.</w:t>
      </w:r>
      <w:r>
        <w:t xml:space="preserve"> The IRS will provide Fors Marsh with l</w:t>
      </w:r>
      <w:r w:rsidR="000A3CD1">
        <w:t>ists</w:t>
      </w:r>
      <w:r>
        <w:t xml:space="preserve"> of customers that meet these criteria. Fors Marsh will </w:t>
      </w:r>
      <w:r w:rsidR="000A3CD1">
        <w:t>develop a recruitment screener to ensure eligibility and to recruit a demographically diverse sample with representation across AUR categories (e.g., wages, debt cancellation, NEC) and call status, as possible.</w:t>
      </w:r>
      <w:r>
        <w:t xml:space="preserve"> A total of </w:t>
      </w:r>
      <w:r w:rsidR="000A3CD1">
        <w:t xml:space="preserve">24 individuals </w:t>
      </w:r>
      <w:r>
        <w:t xml:space="preserve">will be recruited </w:t>
      </w:r>
      <w:r w:rsidR="000A3CD1">
        <w:t>to complete 20 interviews (4 over</w:t>
      </w:r>
      <w:r>
        <w:t>-</w:t>
      </w:r>
      <w:r w:rsidR="000A3CD1">
        <w:t>recruits).</w:t>
      </w:r>
    </w:p>
    <w:p w:rsidR="000A3CD1" w:rsidP="000A3CD1" w14:paraId="1513D955" w14:textId="77777777">
      <w:pPr>
        <w:autoSpaceDE w:val="0"/>
        <w:autoSpaceDN w:val="0"/>
        <w:adjustRightInd w:val="0"/>
        <w:ind w:left="36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2C7BD3E8">
      <w:pPr>
        <w:ind w:left="720"/>
      </w:pPr>
      <w:r w:rsidRPr="00B36959">
        <w:t>[</w:t>
      </w:r>
      <w:r w:rsidR="00F7183F">
        <w:rPr>
          <w:b/>
          <w:bCs/>
        </w:rPr>
        <w:t xml:space="preserve">  </w:t>
      </w:r>
      <w:r w:rsidRPr="00B36959">
        <w:t>]</w:t>
      </w:r>
      <w:r w:rsidRPr="00B36959">
        <w:t xml:space="preserve"> Web-based</w:t>
      </w:r>
      <w:r w:rsidRPr="00B36959">
        <w:t xml:space="preserve"> or other forms of Social Media</w:t>
      </w:r>
    </w:p>
    <w:p w:rsidR="001B0AAA" w:rsidRPr="00B36959" w:rsidP="001B0AAA" w14:paraId="196C8915" w14:textId="63373C31">
      <w:pPr>
        <w:ind w:left="720"/>
      </w:pPr>
      <w:r w:rsidRPr="00B36959">
        <w:t>[</w:t>
      </w:r>
      <w:r w:rsidR="001F1E06">
        <w:t xml:space="preserve">  </w:t>
      </w:r>
      <w:r w:rsidRPr="00B36959">
        <w:t>]</w:t>
      </w:r>
      <w:r w:rsidRPr="00B36959">
        <w:t xml:space="preserve">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RPr="00E95EAF" w:rsidP="001B0AAA" w14:paraId="08FFBC26" w14:textId="1CD70232">
      <w:pPr>
        <w:ind w:left="720"/>
        <w:rPr>
          <w:b/>
          <w:bCs/>
        </w:rPr>
      </w:pPr>
      <w:r w:rsidRPr="00B36959">
        <w:t>[</w:t>
      </w:r>
      <w:r w:rsidRPr="001F1E06" w:rsidR="001F1E06">
        <w:rPr>
          <w:b/>
          <w:bCs/>
        </w:rPr>
        <w:t>X</w:t>
      </w:r>
      <w:r w:rsidRPr="00B36959">
        <w:t xml:space="preserve">] Other, </w:t>
      </w:r>
      <w:r w:rsidRPr="00B36959">
        <w:t>Explain</w:t>
      </w:r>
      <w:r w:rsidRPr="00B36959" w:rsidR="00E07184">
        <w:t xml:space="preserve"> – </w:t>
      </w:r>
      <w:r w:rsidRPr="00E95EAF" w:rsidR="00E07184">
        <w:rPr>
          <w:b/>
          <w:bCs/>
        </w:rPr>
        <w:t>Microsoft T</w:t>
      </w:r>
      <w:r w:rsidR="00F7183F">
        <w:rPr>
          <w:b/>
          <w:bCs/>
        </w:rPr>
        <w:t xml:space="preserve">eams or Zoom for </w:t>
      </w:r>
      <w:r w:rsidRPr="00E95EAF" w:rsidR="001F1E06">
        <w:rPr>
          <w:b/>
          <w:bCs/>
        </w:rPr>
        <w:t>conducting the interviews</w:t>
      </w:r>
    </w:p>
    <w:p w:rsidR="00D85C39" w:rsidRPr="00B36959" w:rsidP="001B0AAA" w14:paraId="4CD8FF42" w14:textId="77777777">
      <w:pPr>
        <w:ind w:left="720"/>
      </w:pPr>
    </w:p>
    <w:p w:rsidR="00F24CFC" w:rsidRPr="00E85C6C" w:rsidP="00F24CFC" w14:paraId="55E1C609" w14:textId="743303E8">
      <w:pPr>
        <w:pStyle w:val="ListParagraph"/>
        <w:numPr>
          <w:ilvl w:val="0"/>
          <w:numId w:val="17"/>
        </w:numPr>
      </w:pPr>
      <w:bookmarkStart w:id="4" w:name="_Hlk149659106"/>
      <w:r w:rsidRPr="00E85C6C">
        <w:t>Will interviewers or facilitators be used?  [</w:t>
      </w:r>
      <w:r w:rsidRPr="00E85C6C" w:rsidR="00E85C6C">
        <w:rPr>
          <w:b/>
          <w:bCs/>
        </w:rPr>
        <w:t>X</w:t>
      </w:r>
      <w:r w:rsidRPr="00E85C6C">
        <w:t xml:space="preserve">] Yes </w:t>
      </w:r>
      <w:r w:rsidRPr="00E85C6C">
        <w:t>[</w:t>
      </w:r>
      <w:r w:rsidRPr="00E85C6C" w:rsidR="00E85C6C">
        <w:t xml:space="preserve">  </w:t>
      </w:r>
      <w:r w:rsidRPr="00E85C6C">
        <w:t>]</w:t>
      </w:r>
      <w:r w:rsidRPr="00E85C6C">
        <w:t xml:space="preserve">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164352" w14:paraId="6F055A74" w14:textId="43E8F3CB">
      <w:pPr>
        <w:rPr>
          <w:b/>
        </w:rPr>
      </w:pPr>
      <w:r>
        <w:rPr>
          <w:b/>
        </w:rPr>
        <w:br w:type="page"/>
      </w:r>
    </w:p>
    <w:p w:rsidR="004C0CB0" w:rsidRPr="00B36959" w:rsidP="0024521E" w14:paraId="5ADD7A60" w14:textId="77777777">
      <w:pPr>
        <w:rPr>
          <w:b/>
        </w:rPr>
      </w:pPr>
    </w:p>
    <w:p w:rsidR="004C0CB0" w:rsidRPr="00B36959" w:rsidP="0024521E" w14:paraId="3C7D83E8" w14:textId="363A284F">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w:t>
      </w:r>
      <w:r w:rsidRPr="00B36959">
        <w:rPr>
          <w:sz w:val="28"/>
        </w:rPr>
        <w:t>Feedback</w:t>
      </w:r>
      <w:r w:rsidRPr="00B36959">
        <w:rPr>
          <w:sz w:val="28"/>
        </w:rPr>
        <w:t xml:space="preserve">”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w:t>
      </w:r>
      <w:r w:rsidRPr="00B36959" w:rsidR="008F50D4">
        <w:t>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5E714A" w:rsidRPr="00B36959" w:rsidP="002A0E98" w14:paraId="3F9DC0A8" w14:textId="57929044">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4431D"/>
    <w:rsid w:val="00047A64"/>
    <w:rsid w:val="00060BC4"/>
    <w:rsid w:val="00062915"/>
    <w:rsid w:val="00067329"/>
    <w:rsid w:val="00072E5B"/>
    <w:rsid w:val="0009502B"/>
    <w:rsid w:val="00095C82"/>
    <w:rsid w:val="00095D81"/>
    <w:rsid w:val="000A283E"/>
    <w:rsid w:val="000A3CD1"/>
    <w:rsid w:val="000B2838"/>
    <w:rsid w:val="000C33DD"/>
    <w:rsid w:val="000C742F"/>
    <w:rsid w:val="000D44CA"/>
    <w:rsid w:val="000E200B"/>
    <w:rsid w:val="000E4491"/>
    <w:rsid w:val="000F68BE"/>
    <w:rsid w:val="000F6F5A"/>
    <w:rsid w:val="00107853"/>
    <w:rsid w:val="001134DA"/>
    <w:rsid w:val="0011359D"/>
    <w:rsid w:val="00116BC9"/>
    <w:rsid w:val="0012605F"/>
    <w:rsid w:val="0013420E"/>
    <w:rsid w:val="00137D6A"/>
    <w:rsid w:val="0014541B"/>
    <w:rsid w:val="001632FA"/>
    <w:rsid w:val="00164352"/>
    <w:rsid w:val="00172A45"/>
    <w:rsid w:val="00186F76"/>
    <w:rsid w:val="001927A4"/>
    <w:rsid w:val="00194AC6"/>
    <w:rsid w:val="001A23B0"/>
    <w:rsid w:val="001A25CC"/>
    <w:rsid w:val="001B0AAA"/>
    <w:rsid w:val="001B4316"/>
    <w:rsid w:val="001B498D"/>
    <w:rsid w:val="001C39F7"/>
    <w:rsid w:val="001C4606"/>
    <w:rsid w:val="001C6DE0"/>
    <w:rsid w:val="001D1445"/>
    <w:rsid w:val="001D5477"/>
    <w:rsid w:val="001E3FBD"/>
    <w:rsid w:val="001E6E1D"/>
    <w:rsid w:val="001F1E06"/>
    <w:rsid w:val="002211CC"/>
    <w:rsid w:val="00224B75"/>
    <w:rsid w:val="002251DD"/>
    <w:rsid w:val="002277C1"/>
    <w:rsid w:val="00237B48"/>
    <w:rsid w:val="0024521E"/>
    <w:rsid w:val="002502AF"/>
    <w:rsid w:val="00252032"/>
    <w:rsid w:val="00263C3D"/>
    <w:rsid w:val="0027322E"/>
    <w:rsid w:val="00274D0B"/>
    <w:rsid w:val="00275699"/>
    <w:rsid w:val="00291387"/>
    <w:rsid w:val="002A0E98"/>
    <w:rsid w:val="002A1737"/>
    <w:rsid w:val="002A52ED"/>
    <w:rsid w:val="002A7029"/>
    <w:rsid w:val="002B0906"/>
    <w:rsid w:val="002B3C95"/>
    <w:rsid w:val="002B7E7B"/>
    <w:rsid w:val="002D0B92"/>
    <w:rsid w:val="002E0375"/>
    <w:rsid w:val="00313A13"/>
    <w:rsid w:val="00317CCD"/>
    <w:rsid w:val="00326E42"/>
    <w:rsid w:val="00353F1C"/>
    <w:rsid w:val="00377647"/>
    <w:rsid w:val="00391D7F"/>
    <w:rsid w:val="00394C57"/>
    <w:rsid w:val="003C0B19"/>
    <w:rsid w:val="003D3073"/>
    <w:rsid w:val="003D5BBE"/>
    <w:rsid w:val="003E3C61"/>
    <w:rsid w:val="003F1C5B"/>
    <w:rsid w:val="003F3988"/>
    <w:rsid w:val="003F7EF8"/>
    <w:rsid w:val="00400FF8"/>
    <w:rsid w:val="00404604"/>
    <w:rsid w:val="00410AED"/>
    <w:rsid w:val="00421EDC"/>
    <w:rsid w:val="004246CB"/>
    <w:rsid w:val="004318FA"/>
    <w:rsid w:val="00432CB0"/>
    <w:rsid w:val="00434E33"/>
    <w:rsid w:val="00435DDC"/>
    <w:rsid w:val="00441434"/>
    <w:rsid w:val="0045177B"/>
    <w:rsid w:val="0045264C"/>
    <w:rsid w:val="00464784"/>
    <w:rsid w:val="00473D0C"/>
    <w:rsid w:val="004876EC"/>
    <w:rsid w:val="00496FD4"/>
    <w:rsid w:val="004C0CB0"/>
    <w:rsid w:val="004C0D99"/>
    <w:rsid w:val="004C43E5"/>
    <w:rsid w:val="004C6B9D"/>
    <w:rsid w:val="004D6E14"/>
    <w:rsid w:val="004F2A87"/>
    <w:rsid w:val="00500547"/>
    <w:rsid w:val="005009B0"/>
    <w:rsid w:val="00501154"/>
    <w:rsid w:val="00510757"/>
    <w:rsid w:val="00511914"/>
    <w:rsid w:val="0051268D"/>
    <w:rsid w:val="005137C1"/>
    <w:rsid w:val="00541AEA"/>
    <w:rsid w:val="005430D8"/>
    <w:rsid w:val="00560845"/>
    <w:rsid w:val="00564FA9"/>
    <w:rsid w:val="00566D95"/>
    <w:rsid w:val="005674FD"/>
    <w:rsid w:val="00567D6B"/>
    <w:rsid w:val="0058651D"/>
    <w:rsid w:val="005911A9"/>
    <w:rsid w:val="00591794"/>
    <w:rsid w:val="0059484D"/>
    <w:rsid w:val="005A0728"/>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7508"/>
    <w:rsid w:val="006546B0"/>
    <w:rsid w:val="00661CF6"/>
    <w:rsid w:val="00661DBB"/>
    <w:rsid w:val="00667DC9"/>
    <w:rsid w:val="00673660"/>
    <w:rsid w:val="00673CCC"/>
    <w:rsid w:val="006832D9"/>
    <w:rsid w:val="0069403B"/>
    <w:rsid w:val="006B03D2"/>
    <w:rsid w:val="006C0BFB"/>
    <w:rsid w:val="006D6B6E"/>
    <w:rsid w:val="006F3DDE"/>
    <w:rsid w:val="00704678"/>
    <w:rsid w:val="0071758C"/>
    <w:rsid w:val="007204C2"/>
    <w:rsid w:val="00723616"/>
    <w:rsid w:val="007425E7"/>
    <w:rsid w:val="00754B33"/>
    <w:rsid w:val="00764EAB"/>
    <w:rsid w:val="007771F6"/>
    <w:rsid w:val="007A2243"/>
    <w:rsid w:val="007B0B1D"/>
    <w:rsid w:val="007B2745"/>
    <w:rsid w:val="007C0198"/>
    <w:rsid w:val="007C7816"/>
    <w:rsid w:val="007D1688"/>
    <w:rsid w:val="007D1984"/>
    <w:rsid w:val="007D6E53"/>
    <w:rsid w:val="007D6F11"/>
    <w:rsid w:val="007E369A"/>
    <w:rsid w:val="007E59ED"/>
    <w:rsid w:val="007F24A1"/>
    <w:rsid w:val="00802607"/>
    <w:rsid w:val="008047F7"/>
    <w:rsid w:val="008054EA"/>
    <w:rsid w:val="008101A5"/>
    <w:rsid w:val="0081637D"/>
    <w:rsid w:val="00816784"/>
    <w:rsid w:val="00816A31"/>
    <w:rsid w:val="00822664"/>
    <w:rsid w:val="00822D62"/>
    <w:rsid w:val="00831F4E"/>
    <w:rsid w:val="00843796"/>
    <w:rsid w:val="00895229"/>
    <w:rsid w:val="00897C33"/>
    <w:rsid w:val="008A32FA"/>
    <w:rsid w:val="008C28D1"/>
    <w:rsid w:val="008D1EED"/>
    <w:rsid w:val="008E17C5"/>
    <w:rsid w:val="008E6156"/>
    <w:rsid w:val="008E6D88"/>
    <w:rsid w:val="008F0203"/>
    <w:rsid w:val="008F50D4"/>
    <w:rsid w:val="00911A62"/>
    <w:rsid w:val="009239AA"/>
    <w:rsid w:val="00924EE6"/>
    <w:rsid w:val="00935ADA"/>
    <w:rsid w:val="009447E0"/>
    <w:rsid w:val="00946B6C"/>
    <w:rsid w:val="00950EA4"/>
    <w:rsid w:val="00951846"/>
    <w:rsid w:val="00955A71"/>
    <w:rsid w:val="0096108F"/>
    <w:rsid w:val="00971EF9"/>
    <w:rsid w:val="0098457C"/>
    <w:rsid w:val="00993443"/>
    <w:rsid w:val="009A55BB"/>
    <w:rsid w:val="009A5EFA"/>
    <w:rsid w:val="009A71D1"/>
    <w:rsid w:val="009C13B9"/>
    <w:rsid w:val="009D01A2"/>
    <w:rsid w:val="009D304E"/>
    <w:rsid w:val="009D5166"/>
    <w:rsid w:val="009D544F"/>
    <w:rsid w:val="009E2D58"/>
    <w:rsid w:val="009E47CC"/>
    <w:rsid w:val="009F4D6A"/>
    <w:rsid w:val="009F5923"/>
    <w:rsid w:val="00A11E6A"/>
    <w:rsid w:val="00A15355"/>
    <w:rsid w:val="00A21E51"/>
    <w:rsid w:val="00A30C61"/>
    <w:rsid w:val="00A31E91"/>
    <w:rsid w:val="00A403BB"/>
    <w:rsid w:val="00A523E1"/>
    <w:rsid w:val="00A67255"/>
    <w:rsid w:val="00A674DF"/>
    <w:rsid w:val="00A806E9"/>
    <w:rsid w:val="00A83AA6"/>
    <w:rsid w:val="00AB09D9"/>
    <w:rsid w:val="00AB18EA"/>
    <w:rsid w:val="00AB6137"/>
    <w:rsid w:val="00AC515A"/>
    <w:rsid w:val="00AD7894"/>
    <w:rsid w:val="00AE1809"/>
    <w:rsid w:val="00AE7DA2"/>
    <w:rsid w:val="00B212C1"/>
    <w:rsid w:val="00B343AC"/>
    <w:rsid w:val="00B36959"/>
    <w:rsid w:val="00B47230"/>
    <w:rsid w:val="00B80D76"/>
    <w:rsid w:val="00BA2105"/>
    <w:rsid w:val="00BA438E"/>
    <w:rsid w:val="00BA7E06"/>
    <w:rsid w:val="00BB43B5"/>
    <w:rsid w:val="00BB6219"/>
    <w:rsid w:val="00BC37EE"/>
    <w:rsid w:val="00BC41C2"/>
    <w:rsid w:val="00BD290F"/>
    <w:rsid w:val="00BE3FDA"/>
    <w:rsid w:val="00BE6FD0"/>
    <w:rsid w:val="00BF18A3"/>
    <w:rsid w:val="00BF6F19"/>
    <w:rsid w:val="00C11ABE"/>
    <w:rsid w:val="00C14CC4"/>
    <w:rsid w:val="00C16976"/>
    <w:rsid w:val="00C33C52"/>
    <w:rsid w:val="00C40D8B"/>
    <w:rsid w:val="00C4364A"/>
    <w:rsid w:val="00C519F4"/>
    <w:rsid w:val="00C64A9E"/>
    <w:rsid w:val="00C6535B"/>
    <w:rsid w:val="00C80528"/>
    <w:rsid w:val="00C8407A"/>
    <w:rsid w:val="00C8488C"/>
    <w:rsid w:val="00C86E91"/>
    <w:rsid w:val="00C96EF0"/>
    <w:rsid w:val="00C9790E"/>
    <w:rsid w:val="00CA2650"/>
    <w:rsid w:val="00CB1078"/>
    <w:rsid w:val="00CB7856"/>
    <w:rsid w:val="00CC204B"/>
    <w:rsid w:val="00CC2D2A"/>
    <w:rsid w:val="00CC3125"/>
    <w:rsid w:val="00CC6FAF"/>
    <w:rsid w:val="00CD2A75"/>
    <w:rsid w:val="00CD4905"/>
    <w:rsid w:val="00CE3D7F"/>
    <w:rsid w:val="00CE771B"/>
    <w:rsid w:val="00D0347C"/>
    <w:rsid w:val="00D064D2"/>
    <w:rsid w:val="00D07E2E"/>
    <w:rsid w:val="00D24698"/>
    <w:rsid w:val="00D25371"/>
    <w:rsid w:val="00D3028F"/>
    <w:rsid w:val="00D30A25"/>
    <w:rsid w:val="00D443E3"/>
    <w:rsid w:val="00D61F3A"/>
    <w:rsid w:val="00D6383F"/>
    <w:rsid w:val="00D77E28"/>
    <w:rsid w:val="00D8001C"/>
    <w:rsid w:val="00D85C39"/>
    <w:rsid w:val="00DA0362"/>
    <w:rsid w:val="00DA0EA8"/>
    <w:rsid w:val="00DA5701"/>
    <w:rsid w:val="00DB37BC"/>
    <w:rsid w:val="00DB59D0"/>
    <w:rsid w:val="00DC33D3"/>
    <w:rsid w:val="00DC734C"/>
    <w:rsid w:val="00DE6088"/>
    <w:rsid w:val="00E07184"/>
    <w:rsid w:val="00E14415"/>
    <w:rsid w:val="00E16987"/>
    <w:rsid w:val="00E26329"/>
    <w:rsid w:val="00E348F6"/>
    <w:rsid w:val="00E40B50"/>
    <w:rsid w:val="00E50293"/>
    <w:rsid w:val="00E51602"/>
    <w:rsid w:val="00E533E3"/>
    <w:rsid w:val="00E54877"/>
    <w:rsid w:val="00E65FFC"/>
    <w:rsid w:val="00E7557A"/>
    <w:rsid w:val="00E80951"/>
    <w:rsid w:val="00E841CA"/>
    <w:rsid w:val="00E85C6C"/>
    <w:rsid w:val="00E86168"/>
    <w:rsid w:val="00E86CC6"/>
    <w:rsid w:val="00E95EAF"/>
    <w:rsid w:val="00EA22C3"/>
    <w:rsid w:val="00EB04B2"/>
    <w:rsid w:val="00EB41B8"/>
    <w:rsid w:val="00EB56B3"/>
    <w:rsid w:val="00EB6D32"/>
    <w:rsid w:val="00EC41FF"/>
    <w:rsid w:val="00EC6802"/>
    <w:rsid w:val="00ED6492"/>
    <w:rsid w:val="00ED782E"/>
    <w:rsid w:val="00EE2847"/>
    <w:rsid w:val="00EF0EFA"/>
    <w:rsid w:val="00EF2095"/>
    <w:rsid w:val="00F06866"/>
    <w:rsid w:val="00F1465E"/>
    <w:rsid w:val="00F15956"/>
    <w:rsid w:val="00F22F3C"/>
    <w:rsid w:val="00F24CFC"/>
    <w:rsid w:val="00F3170F"/>
    <w:rsid w:val="00F35B2E"/>
    <w:rsid w:val="00F47A76"/>
    <w:rsid w:val="00F7183F"/>
    <w:rsid w:val="00F73688"/>
    <w:rsid w:val="00F84D07"/>
    <w:rsid w:val="00F90B41"/>
    <w:rsid w:val="00F91EC0"/>
    <w:rsid w:val="00F92BDF"/>
    <w:rsid w:val="00F953B8"/>
    <w:rsid w:val="00F95546"/>
    <w:rsid w:val="00F976B0"/>
    <w:rsid w:val="00FA6DE7"/>
    <w:rsid w:val="00FB6992"/>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2024-03-08T19:42:00Z</dcterms:created>
  <dcterms:modified xsi:type="dcterms:W3CDTF">2024-03-08T19:42:00Z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