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4890" w:rsidRPr="00A6703F" w:rsidP="003E2856" w14:paraId="52BB20AE" w14:textId="77777777">
      <w:pPr>
        <w:pStyle w:val="Title"/>
        <w:tabs>
          <w:tab w:val="left" w:pos="8640"/>
        </w:tabs>
        <w:ind w:right="653"/>
        <w:rPr>
          <w:b w:val="0"/>
          <w:bCs w:val="0"/>
          <w:caps/>
          <w:szCs w:val="24"/>
        </w:rPr>
      </w:pPr>
      <w:r w:rsidRPr="00A6703F">
        <w:rPr>
          <w:caps/>
          <w:szCs w:val="24"/>
        </w:rPr>
        <w:t>S</w:t>
      </w:r>
      <w:r w:rsidRPr="00A6703F" w:rsidR="00DF4AB0">
        <w:rPr>
          <w:caps/>
          <w:szCs w:val="24"/>
        </w:rPr>
        <w:t>upporting</w:t>
      </w:r>
      <w:r w:rsidRPr="00A6703F">
        <w:rPr>
          <w:caps/>
          <w:szCs w:val="24"/>
        </w:rPr>
        <w:t xml:space="preserve"> Statement</w:t>
      </w:r>
    </w:p>
    <w:p w:rsidR="00DF4AB0" w:rsidRPr="00A6703F" w:rsidP="003E2856" w14:paraId="6FE1A09B" w14:textId="6BCCBC9B">
      <w:pPr>
        <w:pStyle w:val="Title"/>
        <w:tabs>
          <w:tab w:val="left" w:pos="8640"/>
        </w:tabs>
        <w:ind w:right="653"/>
        <w:rPr>
          <w:szCs w:val="24"/>
        </w:rPr>
      </w:pPr>
      <w:r>
        <w:rPr>
          <w:szCs w:val="24"/>
        </w:rPr>
        <w:t>CAPITAL ADEQUACY STANDARDS</w:t>
      </w:r>
    </w:p>
    <w:p w:rsidR="00DF4AB0" w:rsidRPr="00A6703F" w:rsidP="003E2856" w14:paraId="3DDB3BA4" w14:textId="77777777">
      <w:pPr>
        <w:pStyle w:val="Title"/>
        <w:tabs>
          <w:tab w:val="left" w:pos="8640"/>
        </w:tabs>
        <w:ind w:right="653"/>
        <w:rPr>
          <w:szCs w:val="24"/>
        </w:rPr>
      </w:pPr>
      <w:r w:rsidRPr="00A6703F">
        <w:rPr>
          <w:szCs w:val="24"/>
        </w:rPr>
        <w:t>OMB CONTROL NO. 1557-</w:t>
      </w:r>
      <w:r w:rsidR="00C43AAC">
        <w:rPr>
          <w:szCs w:val="24"/>
        </w:rPr>
        <w:t>0318</w:t>
      </w:r>
    </w:p>
    <w:p w:rsidR="00C54890" w:rsidRPr="00A6703F" w:rsidP="003E2856" w14:paraId="1E8BDA9F" w14:textId="77777777">
      <w:pPr>
        <w:tabs>
          <w:tab w:val="left" w:pos="8640"/>
        </w:tabs>
        <w:ind w:right="653"/>
        <w:jc w:val="center"/>
        <w:rPr>
          <w:b/>
          <w:bCs/>
          <w:szCs w:val="24"/>
        </w:rPr>
      </w:pPr>
    </w:p>
    <w:p w:rsidR="00546A78" w:rsidRPr="001E71DF" w:rsidP="003E2856" w14:paraId="2F1C6CA0" w14:textId="77777777">
      <w:pPr>
        <w:tabs>
          <w:tab w:val="left" w:pos="8640"/>
        </w:tabs>
        <w:ind w:right="653"/>
        <w:rPr>
          <w:bCs/>
          <w:szCs w:val="24"/>
        </w:rPr>
      </w:pPr>
    </w:p>
    <w:p w:rsidR="00C54890" w:rsidP="003E2856" w14:paraId="479AAE82" w14:textId="77777777">
      <w:pPr>
        <w:tabs>
          <w:tab w:val="left" w:pos="8640"/>
          <w:tab w:val="left" w:pos="8820"/>
        </w:tabs>
        <w:ind w:right="653"/>
        <w:rPr>
          <w:b/>
          <w:bCs/>
          <w:szCs w:val="24"/>
        </w:rPr>
      </w:pPr>
      <w:r w:rsidRPr="00A6703F">
        <w:rPr>
          <w:b/>
          <w:bCs/>
          <w:szCs w:val="24"/>
        </w:rPr>
        <w:t>A.  Justification.</w:t>
      </w:r>
    </w:p>
    <w:p w:rsidR="008C6C94" w:rsidP="003E2856" w14:paraId="14259CE7" w14:textId="77777777">
      <w:pPr>
        <w:tabs>
          <w:tab w:val="left" w:pos="8640"/>
          <w:tab w:val="left" w:pos="8820"/>
        </w:tabs>
        <w:ind w:right="653"/>
        <w:rPr>
          <w:b/>
          <w:bCs/>
          <w:szCs w:val="24"/>
        </w:rPr>
      </w:pPr>
    </w:p>
    <w:p w:rsidR="00C70D81" w:rsidRPr="00A6703F" w:rsidP="00C11531" w14:paraId="6FF3C54B" w14:textId="0A70124C">
      <w:pPr>
        <w:pStyle w:val="CommentText"/>
        <w:rPr>
          <w:szCs w:val="24"/>
        </w:rPr>
      </w:pPr>
    </w:p>
    <w:p w:rsidR="00C54890" w:rsidRPr="001950B5" w:rsidP="003E2856" w14:paraId="3F53BBA5" w14:textId="77777777">
      <w:pPr>
        <w:tabs>
          <w:tab w:val="left" w:pos="8640"/>
          <w:tab w:val="left" w:pos="8820"/>
        </w:tabs>
        <w:ind w:right="653"/>
        <w:rPr>
          <w:b/>
          <w:bCs/>
          <w:i/>
          <w:iCs/>
          <w:szCs w:val="24"/>
        </w:rPr>
      </w:pPr>
      <w:r w:rsidRPr="001950B5">
        <w:rPr>
          <w:b/>
          <w:bCs/>
          <w:i/>
          <w:iCs/>
          <w:szCs w:val="24"/>
        </w:rPr>
        <w:t>1.  Circumstances that make the collection necessary:</w:t>
      </w:r>
    </w:p>
    <w:p w:rsidR="00564D31" w:rsidRPr="00A6703F" w:rsidP="003E2856" w14:paraId="0A5277FF" w14:textId="77777777">
      <w:pPr>
        <w:tabs>
          <w:tab w:val="left" w:pos="8640"/>
          <w:tab w:val="left" w:pos="8820"/>
        </w:tabs>
        <w:rPr>
          <w:szCs w:val="24"/>
        </w:rPr>
      </w:pPr>
    </w:p>
    <w:p w:rsidR="005029ED" w:rsidRPr="007D18B6" w:rsidP="00A84A71" w14:paraId="795EAC48" w14:textId="54F7F79E">
      <w:pPr>
        <w:tabs>
          <w:tab w:val="left" w:pos="8640"/>
        </w:tabs>
        <w:ind w:firstLine="720"/>
      </w:pPr>
      <w:r w:rsidRPr="00456D4A">
        <w:rPr>
          <w:color w:val="000000"/>
        </w:rPr>
        <w:t xml:space="preserve">The Office of the Comptroller of the Currency (OCC), the Board of Governors of the Federal Reserve System (the Board), and the Federal Deposit Insurance Corporation (FDIC) are issuing a proposed rule that would substantially revise the capital requirements applicable to large banking organizations and to banking organizations with significant trading activity. The revisions set forth in the proposed rule would improve the calculation of risk-based capital requirements to better reflect the risks of these banking organizations’ exposures, reduce the complexity of the framework, enhance the consistency of requirements across these banking organizations, and facilitate more effective supervisory and market assessments of capital adequacy. Specifically, the rule would revise the information collections encompassed by this information collection by revising 12 CFR part 3, subpart </w:t>
      </w:r>
      <w:r>
        <w:rPr>
          <w:color w:val="000000"/>
        </w:rPr>
        <w:t>E</w:t>
      </w:r>
      <w:r w:rsidRPr="00456D4A">
        <w:rPr>
          <w:color w:val="000000"/>
        </w:rPr>
        <w:t xml:space="preserve"> in its entirety</w:t>
      </w:r>
      <w:r>
        <w:rPr>
          <w:color w:val="000000"/>
        </w:rPr>
        <w:t>, along with limited changes to other areas of part 3</w:t>
      </w:r>
      <w:r w:rsidRPr="00456D4A">
        <w:rPr>
          <w:color w:val="000000"/>
        </w:rPr>
        <w:t xml:space="preserve">. </w:t>
      </w:r>
      <w:r>
        <w:rPr>
          <w:color w:val="000000"/>
        </w:rPr>
        <w:t xml:space="preserve">The proposed rule would generally replace the models-based approaches in subpart E with standard supervisory formulas. </w:t>
      </w:r>
      <w:r w:rsidRPr="00456D4A">
        <w:rPr>
          <w:color w:val="000000"/>
        </w:rPr>
        <w:t>The proposed rule would not amend the capital requirements applicable to smaller, less complex banking organizations</w:t>
      </w:r>
      <w:r>
        <w:rPr>
          <w:color w:val="000000"/>
        </w:rPr>
        <w:t>.</w:t>
      </w:r>
    </w:p>
    <w:p w:rsidR="005029ED" w:rsidRPr="005662A0" w:rsidP="005029ED" w14:paraId="4004490E" w14:textId="3C8CBB4F">
      <w:pPr>
        <w:contextualSpacing/>
        <w:rPr>
          <w:rFonts w:eastAsia="Calibri"/>
        </w:rPr>
      </w:pPr>
    </w:p>
    <w:p w:rsidR="00564D31" w:rsidRPr="00A6703F" w:rsidP="003E2856" w14:paraId="4E603789" w14:textId="77777777">
      <w:pPr>
        <w:tabs>
          <w:tab w:val="left" w:pos="8640"/>
        </w:tabs>
        <w:ind w:firstLine="720"/>
        <w:rPr>
          <w:szCs w:val="24"/>
        </w:rPr>
      </w:pPr>
    </w:p>
    <w:p w:rsidR="00C54890" w:rsidRPr="001950B5" w:rsidP="003E2856" w14:paraId="5C3F71E3" w14:textId="77777777">
      <w:pPr>
        <w:pStyle w:val="BodyText"/>
        <w:tabs>
          <w:tab w:val="left" w:pos="8640"/>
        </w:tabs>
        <w:ind w:right="653"/>
        <w:rPr>
          <w:b/>
          <w:bCs/>
          <w:szCs w:val="24"/>
        </w:rPr>
      </w:pPr>
      <w:r w:rsidRPr="001950B5">
        <w:rPr>
          <w:b/>
          <w:bCs/>
          <w:szCs w:val="24"/>
        </w:rPr>
        <w:t>2.  Use of the information:</w:t>
      </w:r>
    </w:p>
    <w:p w:rsidR="00C54890" w:rsidRPr="00A6703F" w:rsidP="003E2856" w14:paraId="0900F99E" w14:textId="77777777">
      <w:pPr>
        <w:pStyle w:val="Footer"/>
        <w:tabs>
          <w:tab w:val="clear" w:pos="4320"/>
          <w:tab w:val="left" w:pos="8640"/>
        </w:tabs>
        <w:ind w:right="653"/>
        <w:rPr>
          <w:szCs w:val="24"/>
        </w:rPr>
      </w:pPr>
    </w:p>
    <w:p w:rsidR="00F506C9" w:rsidP="003E2856" w14:paraId="0574E84F" w14:textId="53DDA1EB">
      <w:pPr>
        <w:tabs>
          <w:tab w:val="left" w:pos="8640"/>
        </w:tabs>
        <w:ind w:right="653" w:firstLine="720"/>
        <w:rPr>
          <w:rStyle w:val="documentbody1"/>
          <w:rFonts w:ascii="Times New Roman" w:hAnsi="Times New Roman"/>
          <w:sz w:val="24"/>
          <w:szCs w:val="24"/>
        </w:rPr>
      </w:pPr>
      <w:r w:rsidRPr="00A6703F">
        <w:rPr>
          <w:szCs w:val="24"/>
        </w:rPr>
        <w:t xml:space="preserve">The OCC </w:t>
      </w:r>
      <w:r w:rsidRPr="00A6703F" w:rsidR="007B4A05">
        <w:rPr>
          <w:szCs w:val="24"/>
        </w:rPr>
        <w:t>use</w:t>
      </w:r>
      <w:r w:rsidRPr="00A6703F" w:rsidR="0096011F">
        <w:rPr>
          <w:szCs w:val="24"/>
        </w:rPr>
        <w:t>s</w:t>
      </w:r>
      <w:r w:rsidRPr="00A6703F" w:rsidR="007B4A05">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p>
    <w:p w:rsidR="00BE3EC1" w:rsidRPr="00A6703F" w:rsidP="003E2856" w14:paraId="7100E43B" w14:textId="77777777">
      <w:pPr>
        <w:tabs>
          <w:tab w:val="left" w:pos="8640"/>
        </w:tabs>
        <w:ind w:right="653" w:firstLine="720"/>
        <w:rPr>
          <w:rStyle w:val="documentbody1"/>
          <w:rFonts w:ascii="Times New Roman" w:hAnsi="Times New Roman"/>
          <w:sz w:val="24"/>
          <w:szCs w:val="24"/>
        </w:rPr>
      </w:pPr>
    </w:p>
    <w:p w:rsidR="00BE3EC1" w:rsidP="00BE3EC1" w14:paraId="4A409ADA" w14:textId="77777777">
      <w:pPr>
        <w:tabs>
          <w:tab w:val="left" w:pos="720"/>
          <w:tab w:val="left" w:pos="8640"/>
        </w:tabs>
        <w:rPr>
          <w:szCs w:val="24"/>
        </w:rPr>
      </w:pPr>
      <w:r>
        <w:rPr>
          <w:szCs w:val="24"/>
        </w:rPr>
        <w:t>Section-by-Section Analysis</w:t>
      </w:r>
    </w:p>
    <w:p w:rsidR="00406FB0" w:rsidP="003E2856" w14:paraId="2B817AEF" w14:textId="77777777">
      <w:pPr>
        <w:tabs>
          <w:tab w:val="left" w:pos="8640"/>
        </w:tabs>
        <w:ind w:firstLine="720"/>
        <w:rPr>
          <w:szCs w:val="24"/>
        </w:rPr>
      </w:pPr>
    </w:p>
    <w:p w:rsidR="00C43AAC" w:rsidP="003E2856" w14:paraId="2155DF38" w14:textId="396C8EEC">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rsidR="006844F7" w:rsidP="003E2856" w14:paraId="14B3C5EF" w14:textId="2151C2E2">
      <w:pPr>
        <w:pStyle w:val="BodyText"/>
        <w:tabs>
          <w:tab w:val="left" w:pos="8640"/>
        </w:tabs>
        <w:ind w:right="653"/>
        <w:rPr>
          <w:bCs/>
          <w:i w:val="0"/>
          <w:szCs w:val="24"/>
        </w:rPr>
      </w:pPr>
    </w:p>
    <w:p w:rsidR="006844F7" w:rsidRPr="00A84A71" w:rsidP="003E2856" w14:paraId="58AE17F0" w14:textId="56F45D3A">
      <w:pPr>
        <w:pStyle w:val="BodyText"/>
        <w:tabs>
          <w:tab w:val="left" w:pos="8640"/>
        </w:tabs>
        <w:ind w:right="653"/>
        <w:rPr>
          <w:bCs/>
          <w:i w:val="0"/>
          <w:szCs w:val="24"/>
        </w:rPr>
      </w:pPr>
      <w:r w:rsidRPr="00A84A71">
        <w:rPr>
          <w:bCs/>
          <w:iCs w:val="0"/>
          <w:szCs w:val="24"/>
        </w:rPr>
        <w:t>Minimum Regulatory Capital Ratios</w:t>
      </w:r>
    </w:p>
    <w:p w:rsidR="006844F7" w:rsidP="003E2856" w14:paraId="431CA345" w14:textId="02A74B90">
      <w:pPr>
        <w:pStyle w:val="BodyText"/>
        <w:tabs>
          <w:tab w:val="left" w:pos="8640"/>
        </w:tabs>
        <w:ind w:right="653"/>
        <w:rPr>
          <w:bCs/>
          <w:i w:val="0"/>
          <w:szCs w:val="24"/>
          <w:u w:val="single"/>
        </w:rPr>
      </w:pPr>
    </w:p>
    <w:p w:rsidR="006844F7" w:rsidRPr="00A84A71" w:rsidP="003E2856" w14:paraId="670A87AF" w14:textId="3E9BAAF0">
      <w:pPr>
        <w:pStyle w:val="BodyText"/>
        <w:tabs>
          <w:tab w:val="left" w:pos="8640"/>
        </w:tabs>
        <w:ind w:right="653"/>
        <w:rPr>
          <w:bCs/>
          <w:iCs w:val="0"/>
          <w:szCs w:val="24"/>
        </w:rPr>
      </w:pPr>
      <w:r w:rsidRPr="00A84A71">
        <w:rPr>
          <w:bCs/>
          <w:iCs w:val="0"/>
          <w:szCs w:val="24"/>
        </w:rPr>
        <w:t>Recordkeeping</w:t>
      </w:r>
      <w:r w:rsidR="00025BF0">
        <w:rPr>
          <w:bCs/>
          <w:iCs w:val="0"/>
          <w:szCs w:val="24"/>
        </w:rPr>
        <w:t xml:space="preserve"> Requirements</w:t>
      </w:r>
    </w:p>
    <w:p w:rsidR="00C43AAC" w:rsidRPr="00C43AAC" w:rsidP="003E2856" w14:paraId="76612A40" w14:textId="77777777">
      <w:pPr>
        <w:pStyle w:val="BodyText"/>
        <w:tabs>
          <w:tab w:val="left" w:pos="8640"/>
        </w:tabs>
        <w:ind w:right="653"/>
        <w:rPr>
          <w:bCs/>
          <w:i w:val="0"/>
          <w:szCs w:val="24"/>
        </w:rPr>
      </w:pPr>
    </w:p>
    <w:p w:rsidR="00C43AAC" w:rsidP="00A84A71" w14:paraId="089EE153" w14:textId="597258F7">
      <w:pPr>
        <w:tabs>
          <w:tab w:val="left" w:pos="8640"/>
        </w:tabs>
        <w:rPr>
          <w:szCs w:val="24"/>
        </w:rPr>
      </w:pPr>
      <w:r w:rsidRPr="00C43AAC">
        <w:rPr>
          <w:szCs w:val="24"/>
        </w:rPr>
        <w:t>Section 3.3(</w:t>
      </w:r>
      <w:r w:rsidR="00A60B96">
        <w:rPr>
          <w:szCs w:val="24"/>
        </w:rPr>
        <w:t>d</w:t>
      </w:r>
      <w:r w:rsidRPr="00C43AAC">
        <w:rPr>
          <w:szCs w:val="24"/>
        </w:rPr>
        <w:t xml:space="preserve">) allows for the recognition of </w:t>
      </w:r>
      <w:r w:rsidR="000505E0">
        <w:rPr>
          <w:szCs w:val="24"/>
        </w:rPr>
        <w:t xml:space="preserve">an agreement as a qualifying master </w:t>
      </w:r>
      <w:r w:rsidRPr="00C43AAC">
        <w:rPr>
          <w:szCs w:val="24"/>
        </w:rPr>
        <w:t xml:space="preserve">netting </w:t>
      </w:r>
      <w:r w:rsidR="00D031DE">
        <w:rPr>
          <w:szCs w:val="24"/>
        </w:rPr>
        <w:t>agreement if</w:t>
      </w:r>
      <w:r w:rsidR="00112333">
        <w:rPr>
          <w:szCs w:val="24"/>
        </w:rPr>
        <w:t xml:space="preserve"> the</w:t>
      </w:r>
      <w:r w:rsidR="00BD69C7">
        <w:rPr>
          <w:szCs w:val="24"/>
        </w:rPr>
        <w:t xml:space="preserve"> </w:t>
      </w:r>
      <w:r w:rsidR="00337216">
        <w:rPr>
          <w:szCs w:val="24"/>
        </w:rPr>
        <w:t>bank</w:t>
      </w:r>
      <w:r w:rsidR="000505E0">
        <w:rPr>
          <w:szCs w:val="24"/>
        </w:rPr>
        <w:t xml:space="preserve"> conduct</w:t>
      </w:r>
      <w:r w:rsidR="00112333">
        <w:rPr>
          <w:szCs w:val="24"/>
        </w:rPr>
        <w:t>s</w:t>
      </w:r>
      <w:r w:rsidR="000505E0">
        <w:rPr>
          <w:szCs w:val="24"/>
        </w:rPr>
        <w:t xml:space="preserve"> a sufficient legal review and maintain sufficient written documentation of that legal review.</w:t>
      </w:r>
      <w:r w:rsidR="006844F7">
        <w:rPr>
          <w:szCs w:val="24"/>
        </w:rPr>
        <w:t xml:space="preserve">  Section 3.3(d) further provides that a </w:t>
      </w:r>
      <w:r w:rsidR="00337216">
        <w:rPr>
          <w:szCs w:val="24"/>
        </w:rPr>
        <w:t xml:space="preserve">bank </w:t>
      </w:r>
      <w:r w:rsidR="000505E0">
        <w:rPr>
          <w:szCs w:val="24"/>
        </w:rPr>
        <w:t>establish</w:t>
      </w:r>
      <w:r w:rsidR="000505E0">
        <w:rPr>
          <w:szCs w:val="24"/>
        </w:rPr>
        <w:t xml:space="preserve"> and maintain written procedures</w:t>
      </w:r>
      <w:r w:rsidR="00F87CFF">
        <w:rPr>
          <w:szCs w:val="24"/>
        </w:rPr>
        <w:t>,</w:t>
      </w:r>
      <w:r w:rsidR="000505E0">
        <w:rPr>
          <w:szCs w:val="24"/>
        </w:rPr>
        <w:t xml:space="preserve"> to monitor possible changes in relevant law</w:t>
      </w:r>
      <w:r w:rsidR="00BD69C7">
        <w:rPr>
          <w:szCs w:val="24"/>
        </w:rPr>
        <w:t>,</w:t>
      </w:r>
      <w:r w:rsidR="000505E0">
        <w:rPr>
          <w:szCs w:val="24"/>
        </w:rPr>
        <w:t xml:space="preserve"> and to ensure that the agreement continues to satisfy the requirements of the definition of qualifying master netting agreement.</w:t>
      </w:r>
      <w:r w:rsidR="00A707DF">
        <w:rPr>
          <w:szCs w:val="24"/>
        </w:rPr>
        <w:t xml:space="preserve"> </w:t>
      </w:r>
    </w:p>
    <w:p w:rsidR="006844F7" w:rsidP="00A84A71" w14:paraId="55D461FC" w14:textId="2E15497E">
      <w:pPr>
        <w:tabs>
          <w:tab w:val="left" w:pos="8640"/>
        </w:tabs>
        <w:rPr>
          <w:szCs w:val="24"/>
        </w:rPr>
      </w:pPr>
    </w:p>
    <w:p w:rsidR="00143E8F" w:rsidP="00143E8F" w14:paraId="3D70A90E" w14:textId="3F396789">
      <w:pPr>
        <w:tabs>
          <w:tab w:val="left" w:pos="8640"/>
        </w:tabs>
        <w:jc w:val="both"/>
        <w:rPr>
          <w:i/>
          <w:iCs/>
          <w:szCs w:val="24"/>
        </w:rPr>
      </w:pPr>
      <w:r>
        <w:rPr>
          <w:i/>
          <w:iCs/>
          <w:szCs w:val="24"/>
        </w:rPr>
        <w:t>Reporting</w:t>
      </w:r>
      <w:r w:rsidR="00025BF0">
        <w:rPr>
          <w:i/>
          <w:iCs/>
          <w:szCs w:val="24"/>
        </w:rPr>
        <w:t xml:space="preserve"> Requirements</w:t>
      </w:r>
    </w:p>
    <w:p w:rsidR="00143E8F" w:rsidP="00143E8F" w14:paraId="2D1F1674" w14:textId="77777777">
      <w:pPr>
        <w:tabs>
          <w:tab w:val="left" w:pos="8640"/>
        </w:tabs>
        <w:jc w:val="both"/>
        <w:rPr>
          <w:i/>
          <w:iCs/>
          <w:szCs w:val="24"/>
        </w:rPr>
      </w:pPr>
    </w:p>
    <w:p w:rsidR="00143E8F" w:rsidP="00A84A71" w14:paraId="25F35804" w14:textId="09D120F4">
      <w:pPr>
        <w:tabs>
          <w:tab w:val="left" w:pos="8640"/>
        </w:tabs>
        <w:jc w:val="both"/>
        <w:rPr>
          <w:szCs w:val="24"/>
        </w:rPr>
      </w:pPr>
      <w:r w:rsidRPr="006844F7">
        <w:rPr>
          <w:szCs w:val="24"/>
        </w:rPr>
        <w:t>Section 3.22(b)(2)(iv) permits with prior notice to the OCC, a bank resulting from a merger, acquisition, or purchase transaction not subject to subpart E, “Risk-Weighted Assets-Expanded Risk-Based Approach” of 12 CFR part 3, to change its AOCI opt-out election.</w:t>
      </w:r>
    </w:p>
    <w:p w:rsidR="00143E8F" w:rsidP="00143E8F" w14:paraId="18017541" w14:textId="77777777">
      <w:pPr>
        <w:tabs>
          <w:tab w:val="left" w:pos="8640"/>
        </w:tabs>
        <w:ind w:right="432"/>
        <w:jc w:val="both"/>
        <w:rPr>
          <w:szCs w:val="24"/>
        </w:rPr>
      </w:pPr>
    </w:p>
    <w:p w:rsidR="00B4010F" w:rsidP="00143E8F" w14:paraId="3A44A0E5" w14:textId="77777777">
      <w:pPr>
        <w:tabs>
          <w:tab w:val="left" w:pos="8640"/>
        </w:tabs>
        <w:ind w:right="432"/>
        <w:jc w:val="both"/>
        <w:rPr>
          <w:szCs w:val="24"/>
        </w:rPr>
      </w:pPr>
      <w:r w:rsidRPr="006844F7">
        <w:rPr>
          <w:szCs w:val="24"/>
        </w:rPr>
        <w:t xml:space="preserve"> Section 3.22(c)(4) </w:t>
      </w:r>
      <w:r>
        <w:rPr>
          <w:szCs w:val="24"/>
        </w:rPr>
        <w:t>permits</w:t>
      </w:r>
      <w:r w:rsidRPr="006844F7">
        <w:rPr>
          <w:szCs w:val="24"/>
        </w:rPr>
        <w:t xml:space="preserve"> with the prior written approval of the OCC, that a bank </w:t>
      </w:r>
      <w:r>
        <w:rPr>
          <w:szCs w:val="24"/>
        </w:rPr>
        <w:t xml:space="preserve">that underwrites a failed underwriting, </w:t>
      </w:r>
      <w:r w:rsidRPr="006844F7">
        <w:rPr>
          <w:szCs w:val="24"/>
        </w:rPr>
        <w:t xml:space="preserve">is not required to deduct an </w:t>
      </w:r>
      <w:r>
        <w:rPr>
          <w:szCs w:val="24"/>
        </w:rPr>
        <w:t>i</w:t>
      </w:r>
      <w:r w:rsidRPr="006844F7">
        <w:rPr>
          <w:szCs w:val="24"/>
        </w:rPr>
        <w:t xml:space="preserve">nvestment in the capital of an unconsolidated financial institution </w:t>
      </w:r>
      <w:r>
        <w:rPr>
          <w:szCs w:val="24"/>
        </w:rPr>
        <w:t>to the extent the investment is related to the failed underwriting</w:t>
      </w:r>
      <w:r w:rsidRPr="006844F7">
        <w:rPr>
          <w:szCs w:val="24"/>
        </w:rPr>
        <w:t>.</w:t>
      </w:r>
    </w:p>
    <w:p w:rsidR="00B4010F" w:rsidP="00143E8F" w14:paraId="0C80CF7D" w14:textId="77777777">
      <w:pPr>
        <w:tabs>
          <w:tab w:val="left" w:pos="8640"/>
        </w:tabs>
        <w:ind w:right="432"/>
        <w:jc w:val="both"/>
        <w:rPr>
          <w:szCs w:val="24"/>
        </w:rPr>
      </w:pPr>
    </w:p>
    <w:p w:rsidR="00F348B9" w:rsidP="00143E8F" w14:paraId="2519B6CB" w14:textId="6960E56B">
      <w:pPr>
        <w:tabs>
          <w:tab w:val="left" w:pos="8640"/>
        </w:tabs>
        <w:ind w:right="432"/>
        <w:jc w:val="both"/>
        <w:rPr>
          <w:szCs w:val="24"/>
        </w:rPr>
      </w:pPr>
      <w:r w:rsidRPr="006844F7">
        <w:rPr>
          <w:szCs w:val="24"/>
        </w:rPr>
        <w:t xml:space="preserve">Section 3.22(c)(5)(i) </w:t>
      </w:r>
      <w:r w:rsidR="007172B4">
        <w:rPr>
          <w:szCs w:val="24"/>
        </w:rPr>
        <w:t>permits</w:t>
      </w:r>
      <w:r w:rsidRPr="006844F7">
        <w:rPr>
          <w:szCs w:val="24"/>
        </w:rPr>
        <w:t xml:space="preserve"> with the prior written approval of the OCC, that a bank subject to 12 CFR part 3, subpart E, </w:t>
      </w:r>
      <w:r>
        <w:rPr>
          <w:szCs w:val="24"/>
        </w:rPr>
        <w:t>t</w:t>
      </w:r>
      <w:r w:rsidRPr="00F348B9">
        <w:rPr>
          <w:szCs w:val="24"/>
        </w:rPr>
        <w:t>hat underwrites a failed underwriting, for the period of time stipulated by the OCC</w:t>
      </w:r>
      <w:r>
        <w:rPr>
          <w:szCs w:val="24"/>
        </w:rPr>
        <w:t xml:space="preserve"> </w:t>
      </w:r>
      <w:r w:rsidRPr="006844F7">
        <w:rPr>
          <w:szCs w:val="24"/>
        </w:rPr>
        <w:t xml:space="preserve">is not required to deduct from capital a non-significant investment in the capital of an unconsolidated financial institution or an investment in a covered debt instrument to the extent the investment is related to </w:t>
      </w:r>
      <w:r w:rsidR="00BD29B0">
        <w:rPr>
          <w:szCs w:val="24"/>
        </w:rPr>
        <w:t xml:space="preserve">the </w:t>
      </w:r>
      <w:r w:rsidRPr="006844F7">
        <w:rPr>
          <w:szCs w:val="24"/>
        </w:rPr>
        <w:t>failed underwriting.</w:t>
      </w:r>
    </w:p>
    <w:p w:rsidR="00F348B9" w:rsidP="00143E8F" w14:paraId="7ADBE33B" w14:textId="77777777">
      <w:pPr>
        <w:tabs>
          <w:tab w:val="left" w:pos="8640"/>
        </w:tabs>
        <w:ind w:right="432"/>
        <w:jc w:val="both"/>
        <w:rPr>
          <w:szCs w:val="24"/>
        </w:rPr>
      </w:pPr>
    </w:p>
    <w:p w:rsidR="00BD29B0" w:rsidP="00BD29B0" w14:paraId="67502903" w14:textId="213EA098">
      <w:pPr>
        <w:tabs>
          <w:tab w:val="left" w:pos="8640"/>
        </w:tabs>
        <w:jc w:val="both"/>
        <w:rPr>
          <w:szCs w:val="24"/>
        </w:rPr>
      </w:pPr>
      <w:r w:rsidRPr="006844F7">
        <w:rPr>
          <w:szCs w:val="24"/>
        </w:rPr>
        <w:t xml:space="preserve">Section 3.22(c)(6) </w:t>
      </w:r>
      <w:r w:rsidR="007172B4">
        <w:rPr>
          <w:szCs w:val="24"/>
        </w:rPr>
        <w:t>permits</w:t>
      </w:r>
      <w:r w:rsidRPr="006844F7">
        <w:rPr>
          <w:szCs w:val="24"/>
        </w:rPr>
        <w:t xml:space="preserve"> with prior written approval of the OCC, </w:t>
      </w:r>
      <w:r w:rsidRPr="00EC3FF7" w:rsidR="00EC3FF7">
        <w:rPr>
          <w:szCs w:val="24"/>
        </w:rPr>
        <w:t xml:space="preserve">for the </w:t>
      </w:r>
      <w:r w:rsidRPr="00EC3FF7" w:rsidR="00EC3FF7">
        <w:rPr>
          <w:szCs w:val="24"/>
        </w:rPr>
        <w:t>period of time</w:t>
      </w:r>
      <w:r w:rsidRPr="00EC3FF7" w:rsidR="00EC3FF7">
        <w:rPr>
          <w:szCs w:val="24"/>
        </w:rPr>
        <w:t xml:space="preserve"> stipulated by the OCC</w:t>
      </w:r>
      <w:r w:rsidR="00EC3FF7">
        <w:rPr>
          <w:szCs w:val="24"/>
        </w:rPr>
        <w:t xml:space="preserve">, </w:t>
      </w:r>
      <w:r w:rsidRPr="006844F7">
        <w:rPr>
          <w:szCs w:val="24"/>
        </w:rPr>
        <w:t xml:space="preserve">that a bank subject to 12 CFR part 3, subpart E, </w:t>
      </w:r>
      <w:r w:rsidR="00EC3FF7">
        <w:rPr>
          <w:szCs w:val="24"/>
        </w:rPr>
        <w:t xml:space="preserve">that underwrites a failed underwriting </w:t>
      </w:r>
      <w:r w:rsidRPr="006844F7">
        <w:rPr>
          <w:szCs w:val="24"/>
        </w:rPr>
        <w:t xml:space="preserve">is not required to deduct the significant investment in the capital of an unconsolidated financial institution or an investment in a covered debt instrument if such investment is related to </w:t>
      </w:r>
      <w:r w:rsidR="002E1B22">
        <w:rPr>
          <w:szCs w:val="24"/>
        </w:rPr>
        <w:t xml:space="preserve">such </w:t>
      </w:r>
      <w:r w:rsidRPr="006844F7">
        <w:rPr>
          <w:szCs w:val="24"/>
        </w:rPr>
        <w:t>failed underwriting.</w:t>
      </w:r>
    </w:p>
    <w:p w:rsidR="002A4FF1" w:rsidP="00BD29B0" w14:paraId="7AA3AF4C" w14:textId="77777777">
      <w:pPr>
        <w:tabs>
          <w:tab w:val="left" w:pos="8640"/>
        </w:tabs>
        <w:jc w:val="both"/>
        <w:rPr>
          <w:szCs w:val="24"/>
        </w:rPr>
      </w:pPr>
    </w:p>
    <w:p w:rsidR="00BD29B0" w:rsidRPr="00BD29B0" w:rsidP="00BD29B0" w14:paraId="7CFEAA20" w14:textId="5C6306C9">
      <w:pPr>
        <w:tabs>
          <w:tab w:val="left" w:pos="8640"/>
        </w:tabs>
        <w:jc w:val="both"/>
        <w:rPr>
          <w:szCs w:val="24"/>
        </w:rPr>
      </w:pPr>
      <w:r>
        <w:rPr>
          <w:szCs w:val="24"/>
        </w:rPr>
        <w:t>Section 3.22</w:t>
      </w:r>
      <w:r w:rsidRPr="00BD29B0">
        <w:rPr>
          <w:szCs w:val="24"/>
        </w:rPr>
        <w:t>(d)(2)(i)(C)</w:t>
      </w:r>
      <w:r>
        <w:rPr>
          <w:szCs w:val="24"/>
        </w:rPr>
        <w:t xml:space="preserve"> permits with </w:t>
      </w:r>
      <w:r w:rsidRPr="00BD29B0">
        <w:rPr>
          <w:szCs w:val="24"/>
        </w:rPr>
        <w:t xml:space="preserve">the prior written approval of the OCC, for the </w:t>
      </w:r>
      <w:r w:rsidRPr="00BD29B0">
        <w:rPr>
          <w:szCs w:val="24"/>
        </w:rPr>
        <w:t>period of time</w:t>
      </w:r>
      <w:r w:rsidRPr="00BD29B0">
        <w:rPr>
          <w:szCs w:val="24"/>
        </w:rPr>
        <w:t xml:space="preserve"> stipulated by the OCC, </w:t>
      </w:r>
      <w:r w:rsidR="00F10FB3">
        <w:rPr>
          <w:szCs w:val="24"/>
        </w:rPr>
        <w:t xml:space="preserve">that </w:t>
      </w:r>
      <w:r w:rsidRPr="00BD29B0">
        <w:rPr>
          <w:szCs w:val="24"/>
        </w:rPr>
        <w:t xml:space="preserve">a bank subject to </w:t>
      </w:r>
      <w:r w:rsidR="00F10FB3">
        <w:rPr>
          <w:szCs w:val="24"/>
        </w:rPr>
        <w:t xml:space="preserve">12 CFR part 3, </w:t>
      </w:r>
      <w:r w:rsidRPr="00BD29B0">
        <w:rPr>
          <w:szCs w:val="24"/>
        </w:rPr>
        <w:t>subpart E</w:t>
      </w:r>
      <w:r w:rsidR="00F10FB3">
        <w:rPr>
          <w:szCs w:val="24"/>
        </w:rPr>
        <w:t>,</w:t>
      </w:r>
      <w:r w:rsidRPr="00BD29B0">
        <w:rPr>
          <w:szCs w:val="24"/>
        </w:rPr>
        <w:t xml:space="preserve"> that underwrites a failed underwriting is not required to deduct a significant investment in the capital of an unconsolidated financial institution in the form of common stock if such investment is related to such failed underwriting.</w:t>
      </w:r>
    </w:p>
    <w:p w:rsidR="00BD29B0" w:rsidRPr="006844F7" w:rsidP="00A84A71" w14:paraId="5FC57944" w14:textId="50D198EA">
      <w:pPr>
        <w:tabs>
          <w:tab w:val="left" w:pos="8640"/>
        </w:tabs>
        <w:jc w:val="both"/>
        <w:rPr>
          <w:szCs w:val="24"/>
        </w:rPr>
      </w:pPr>
    </w:p>
    <w:p w:rsidR="00BD29B0" w:rsidP="00BD29B0" w14:paraId="3752C170" w14:textId="5D789991">
      <w:pPr>
        <w:tabs>
          <w:tab w:val="left" w:pos="8640"/>
        </w:tabs>
        <w:rPr>
          <w:szCs w:val="24"/>
        </w:rPr>
      </w:pPr>
      <w:r>
        <w:rPr>
          <w:szCs w:val="24"/>
        </w:rPr>
        <w:t>Section 3.22(d)(2)(iii) p</w:t>
      </w:r>
      <w:r w:rsidR="002058A8">
        <w:rPr>
          <w:szCs w:val="24"/>
        </w:rPr>
        <w:t>rovides that</w:t>
      </w:r>
      <w:r>
        <w:rPr>
          <w:szCs w:val="24"/>
        </w:rPr>
        <w:t xml:space="preserve"> a bank subject to 12 CFR part 3, subpart E, </w:t>
      </w:r>
      <w:r w:rsidR="00077AD5">
        <w:rPr>
          <w:szCs w:val="24"/>
        </w:rPr>
        <w:t xml:space="preserve">to change its exclusion preference </w:t>
      </w:r>
      <w:r w:rsidRPr="00077AD5" w:rsidR="00077AD5">
        <w:rPr>
          <w:szCs w:val="24"/>
        </w:rPr>
        <w:t xml:space="preserve">to exclude deferred tax assets (DTAs) </w:t>
      </w:r>
      <w:r w:rsidR="006E7638">
        <w:rPr>
          <w:szCs w:val="24"/>
        </w:rPr>
        <w:t xml:space="preserve">and deferred tax liabilities (DTLs) </w:t>
      </w:r>
      <w:r w:rsidRPr="00077AD5" w:rsidR="00077AD5">
        <w:rPr>
          <w:szCs w:val="24"/>
        </w:rPr>
        <w:t>relating to adjustments relating to common equity tier 1 capital</w:t>
      </w:r>
      <w:r w:rsidR="00077AD5">
        <w:rPr>
          <w:szCs w:val="24"/>
        </w:rPr>
        <w:t xml:space="preserve"> </w:t>
      </w:r>
      <w:r w:rsidRPr="00077AD5" w:rsidR="00077AD5">
        <w:rPr>
          <w:szCs w:val="24"/>
        </w:rPr>
        <w:t>after obtaining the prior approval of the OCC</w:t>
      </w:r>
      <w:r w:rsidR="006E7638">
        <w:rPr>
          <w:szCs w:val="24"/>
        </w:rPr>
        <w:t>.</w:t>
      </w:r>
    </w:p>
    <w:p w:rsidR="00B6793D" w:rsidP="00BD29B0" w14:paraId="4233D98D" w14:textId="5480902A">
      <w:pPr>
        <w:tabs>
          <w:tab w:val="left" w:pos="8640"/>
        </w:tabs>
        <w:rPr>
          <w:szCs w:val="24"/>
        </w:rPr>
      </w:pPr>
    </w:p>
    <w:p w:rsidR="00CF7CB9" w:rsidP="00D40A37" w14:paraId="25A12D0D" w14:textId="08DD8E03">
      <w:pPr>
        <w:tabs>
          <w:tab w:val="left" w:pos="8640"/>
        </w:tabs>
        <w:rPr>
          <w:szCs w:val="24"/>
        </w:rPr>
      </w:pPr>
      <w:r>
        <w:rPr>
          <w:szCs w:val="24"/>
        </w:rPr>
        <w:t xml:space="preserve">Section 3.22(h)(2)(iii)(A) </w:t>
      </w:r>
      <w:r w:rsidRPr="00D40A37" w:rsidR="00D40A37">
        <w:rPr>
          <w:szCs w:val="24"/>
        </w:rPr>
        <w:t>permit</w:t>
      </w:r>
      <w:r>
        <w:rPr>
          <w:szCs w:val="24"/>
        </w:rPr>
        <w:t xml:space="preserve">s the </w:t>
      </w:r>
      <w:r w:rsidRPr="00CF7CB9">
        <w:rPr>
          <w:szCs w:val="24"/>
        </w:rPr>
        <w:t xml:space="preserve">use </w:t>
      </w:r>
      <w:r>
        <w:rPr>
          <w:szCs w:val="24"/>
        </w:rPr>
        <w:t xml:space="preserve">of </w:t>
      </w:r>
      <w:r w:rsidRPr="00CF7CB9">
        <w:rPr>
          <w:szCs w:val="24"/>
        </w:rPr>
        <w:t xml:space="preserve">a conservative estimate of the amount of </w:t>
      </w:r>
      <w:r>
        <w:rPr>
          <w:szCs w:val="24"/>
        </w:rPr>
        <w:t>a bank’s</w:t>
      </w:r>
      <w:r w:rsidRPr="00CF7CB9">
        <w:rPr>
          <w:szCs w:val="24"/>
        </w:rPr>
        <w:t xml:space="preserve"> indirect investment in </w:t>
      </w:r>
      <w:r>
        <w:rPr>
          <w:szCs w:val="24"/>
        </w:rPr>
        <w:t>i</w:t>
      </w:r>
      <w:r w:rsidRPr="00CF7CB9">
        <w:rPr>
          <w:szCs w:val="24"/>
        </w:rPr>
        <w:t>t</w:t>
      </w:r>
      <w:r>
        <w:rPr>
          <w:szCs w:val="24"/>
        </w:rPr>
        <w:t>s</w:t>
      </w:r>
      <w:r w:rsidRPr="00CF7CB9">
        <w:rPr>
          <w:szCs w:val="24"/>
        </w:rPr>
        <w:t xml:space="preserve"> own capital instruments, its indirect investment in the capital of an unconsolidated financial institution, or its indirect investment in a covered debt instrument held through a position in an index, as applicable, with the prior approval of the OCC</w:t>
      </w:r>
      <w:r>
        <w:rPr>
          <w:szCs w:val="24"/>
        </w:rPr>
        <w:t>.</w:t>
      </w:r>
    </w:p>
    <w:p w:rsidR="00D40A37" w:rsidRPr="00D40A37" w:rsidP="00D40A37" w14:paraId="29FD3B47" w14:textId="77777777">
      <w:pPr>
        <w:tabs>
          <w:tab w:val="left" w:pos="8640"/>
        </w:tabs>
        <w:rPr>
          <w:szCs w:val="24"/>
        </w:rPr>
      </w:pPr>
    </w:p>
    <w:p w:rsidR="00B6793D" w:rsidRPr="00A84A71" w:rsidP="00BD29B0" w14:paraId="63278B20" w14:textId="46456E6F">
      <w:pPr>
        <w:tabs>
          <w:tab w:val="left" w:pos="8640"/>
        </w:tabs>
        <w:rPr>
          <w:i/>
          <w:iCs/>
          <w:szCs w:val="24"/>
        </w:rPr>
      </w:pPr>
      <w:r w:rsidRPr="00A84A71">
        <w:rPr>
          <w:i/>
          <w:iCs/>
          <w:szCs w:val="24"/>
        </w:rPr>
        <w:t>Standardized Approach</w:t>
      </w:r>
    </w:p>
    <w:p w:rsidR="00D37906" w:rsidP="00BD29B0" w14:paraId="18B2FDF9" w14:textId="77777777">
      <w:pPr>
        <w:tabs>
          <w:tab w:val="left" w:pos="8640"/>
        </w:tabs>
        <w:rPr>
          <w:i/>
          <w:iCs/>
          <w:szCs w:val="24"/>
        </w:rPr>
      </w:pPr>
    </w:p>
    <w:p w:rsidR="00640618" w:rsidRPr="00A84A71" w:rsidP="00B44E11" w14:paraId="42D89CF4" w14:textId="34FD4379">
      <w:pPr>
        <w:tabs>
          <w:tab w:val="left" w:pos="8640"/>
        </w:tabs>
        <w:rPr>
          <w:i/>
          <w:iCs/>
          <w:szCs w:val="24"/>
        </w:rPr>
      </w:pPr>
      <w:r>
        <w:rPr>
          <w:i/>
          <w:iCs/>
          <w:szCs w:val="24"/>
        </w:rPr>
        <w:t>Reporting</w:t>
      </w:r>
      <w:r w:rsidR="002D6E8C">
        <w:rPr>
          <w:i/>
          <w:iCs/>
          <w:szCs w:val="24"/>
        </w:rPr>
        <w:t xml:space="preserve"> Requirements</w:t>
      </w:r>
    </w:p>
    <w:p w:rsidR="00B44E11" w:rsidRPr="00B44E11" w:rsidP="00A84A71" w14:paraId="4950B005" w14:textId="77777777">
      <w:pPr>
        <w:tabs>
          <w:tab w:val="left" w:pos="8640"/>
        </w:tabs>
        <w:rPr>
          <w:szCs w:val="24"/>
        </w:rPr>
      </w:pPr>
    </w:p>
    <w:p w:rsidR="004D227B" w:rsidP="004D227B" w14:paraId="719F60AD" w14:textId="22DED12B">
      <w:pPr>
        <w:tabs>
          <w:tab w:val="left" w:pos="8640"/>
        </w:tabs>
        <w:rPr>
          <w:szCs w:val="24"/>
        </w:rPr>
      </w:pPr>
      <w:r w:rsidRPr="00B44E11">
        <w:rPr>
          <w:szCs w:val="24"/>
        </w:rPr>
        <w:t>Section 3.34(a)(1)(ii) p</w:t>
      </w:r>
      <w:r>
        <w:rPr>
          <w:szCs w:val="24"/>
        </w:rPr>
        <w:t>rovides</w:t>
      </w:r>
      <w:r w:rsidRPr="00B44E11">
        <w:rPr>
          <w:szCs w:val="24"/>
        </w:rPr>
        <w:t xml:space="preserve"> </w:t>
      </w:r>
      <w:r>
        <w:rPr>
          <w:szCs w:val="24"/>
        </w:rPr>
        <w:t xml:space="preserve">that </w:t>
      </w:r>
      <w:r w:rsidRPr="00B44E11">
        <w:rPr>
          <w:szCs w:val="24"/>
        </w:rPr>
        <w:t xml:space="preserve">a bank </w:t>
      </w:r>
      <w:r w:rsidRPr="004D227B">
        <w:rPr>
          <w:szCs w:val="24"/>
        </w:rPr>
        <w:t xml:space="preserve">not subject to </w:t>
      </w:r>
      <w:r>
        <w:rPr>
          <w:szCs w:val="24"/>
        </w:rPr>
        <w:t xml:space="preserve">12 CFR part 3, </w:t>
      </w:r>
      <w:r w:rsidRPr="004D227B">
        <w:rPr>
          <w:szCs w:val="24"/>
        </w:rPr>
        <w:t>subpart E</w:t>
      </w:r>
      <w:r>
        <w:rPr>
          <w:szCs w:val="24"/>
        </w:rPr>
        <w:t>,</w:t>
      </w:r>
      <w:r w:rsidRPr="004D227B">
        <w:rPr>
          <w:szCs w:val="24"/>
        </w:rPr>
        <w:t xml:space="preserve"> may elect to calculate the exposure amount for all its OTC derivative contracts under the standardized approach for counterparty credit risk (SA–CCR) in § 3.113</w:t>
      </w:r>
      <w:r w:rsidR="002A4FF1">
        <w:rPr>
          <w:szCs w:val="24"/>
        </w:rPr>
        <w:t>, rather than under CEM,</w:t>
      </w:r>
      <w:r w:rsidRPr="004D227B">
        <w:rPr>
          <w:szCs w:val="24"/>
        </w:rPr>
        <w:t xml:space="preserve"> by notifying </w:t>
      </w:r>
      <w:r w:rsidRPr="004D227B">
        <w:rPr>
          <w:szCs w:val="24"/>
        </w:rPr>
        <w:t xml:space="preserve">the OCC. </w:t>
      </w:r>
      <w:r>
        <w:rPr>
          <w:szCs w:val="24"/>
        </w:rPr>
        <w:t xml:space="preserve"> </w:t>
      </w:r>
      <w:r w:rsidR="002711BA">
        <w:rPr>
          <w:szCs w:val="24"/>
        </w:rPr>
        <w:t>In addition,</w:t>
      </w:r>
      <w:r>
        <w:rPr>
          <w:szCs w:val="24"/>
        </w:rPr>
        <w:t xml:space="preserve"> </w:t>
      </w:r>
      <w:r w:rsidR="002711BA">
        <w:rPr>
          <w:szCs w:val="24"/>
        </w:rPr>
        <w:t xml:space="preserve">if </w:t>
      </w:r>
      <w:r>
        <w:rPr>
          <w:szCs w:val="24"/>
        </w:rPr>
        <w:t>a</w:t>
      </w:r>
      <w:r w:rsidRPr="004D227B">
        <w:rPr>
          <w:szCs w:val="24"/>
        </w:rPr>
        <w:t xml:space="preserve"> bank not subject to </w:t>
      </w:r>
      <w:r>
        <w:rPr>
          <w:szCs w:val="24"/>
        </w:rPr>
        <w:t xml:space="preserve">12 CFR part 3, </w:t>
      </w:r>
      <w:r w:rsidRPr="004D227B">
        <w:rPr>
          <w:szCs w:val="24"/>
        </w:rPr>
        <w:t>subpart E</w:t>
      </w:r>
      <w:r>
        <w:rPr>
          <w:szCs w:val="24"/>
        </w:rPr>
        <w:t>,</w:t>
      </w:r>
      <w:r w:rsidRPr="004D227B">
        <w:rPr>
          <w:szCs w:val="24"/>
        </w:rPr>
        <w:t xml:space="preserve"> has elected to use SA–CCR under </w:t>
      </w:r>
      <w:r>
        <w:rPr>
          <w:szCs w:val="24"/>
        </w:rPr>
        <w:t>§ 3.34</w:t>
      </w:r>
      <w:r w:rsidRPr="004D227B">
        <w:rPr>
          <w:szCs w:val="24"/>
        </w:rPr>
        <w:t xml:space="preserve">(a)(1)(ii), </w:t>
      </w:r>
      <w:r w:rsidR="002A4FF1">
        <w:rPr>
          <w:szCs w:val="24"/>
        </w:rPr>
        <w:t xml:space="preserve">the bank </w:t>
      </w:r>
      <w:r w:rsidRPr="004D227B">
        <w:rPr>
          <w:szCs w:val="24"/>
        </w:rPr>
        <w:t xml:space="preserve">may </w:t>
      </w:r>
      <w:r w:rsidR="00EA1D87">
        <w:rPr>
          <w:szCs w:val="24"/>
        </w:rPr>
        <w:t xml:space="preserve">only </w:t>
      </w:r>
      <w:r w:rsidRPr="004D227B">
        <w:rPr>
          <w:szCs w:val="24"/>
        </w:rPr>
        <w:t>change its election with prior approval of the OCC.</w:t>
      </w:r>
    </w:p>
    <w:p w:rsidR="00B957C2" w:rsidP="004D227B" w14:paraId="7BD6A264" w14:textId="5374112D">
      <w:pPr>
        <w:tabs>
          <w:tab w:val="left" w:pos="8640"/>
        </w:tabs>
        <w:rPr>
          <w:szCs w:val="24"/>
        </w:rPr>
      </w:pPr>
    </w:p>
    <w:p w:rsidR="00B957C2" w:rsidRPr="00B957C2" w:rsidP="00B957C2" w14:paraId="60617362" w14:textId="3C0BA6F1">
      <w:pPr>
        <w:tabs>
          <w:tab w:val="left" w:pos="8640"/>
        </w:tabs>
        <w:rPr>
          <w:szCs w:val="24"/>
        </w:rPr>
      </w:pPr>
      <w:r w:rsidRPr="00B957C2">
        <w:rPr>
          <w:szCs w:val="24"/>
        </w:rPr>
        <w:t>Section 3.37</w:t>
      </w:r>
      <w:r w:rsidR="00735380">
        <w:rPr>
          <w:szCs w:val="24"/>
        </w:rPr>
        <w:t>(c)</w:t>
      </w:r>
      <w:r w:rsidRPr="00B957C2">
        <w:rPr>
          <w:szCs w:val="24"/>
        </w:rPr>
        <w:t>(4)(i)</w:t>
      </w:r>
      <w:r w:rsidR="00735380">
        <w:rPr>
          <w:szCs w:val="24"/>
        </w:rPr>
        <w:t>(E)</w:t>
      </w:r>
      <w:r w:rsidRPr="00B957C2">
        <w:rPr>
          <w:szCs w:val="24"/>
        </w:rPr>
        <w:t xml:space="preserve"> requires that a bank obtain the prior approval of the OCC</w:t>
      </w:r>
      <w:r>
        <w:rPr>
          <w:szCs w:val="24"/>
        </w:rPr>
        <w:t xml:space="preserve"> for</w:t>
      </w:r>
      <w:r w:rsidRPr="00B957C2">
        <w:rPr>
          <w:szCs w:val="24"/>
        </w:rPr>
        <w:t xml:space="preserve"> and notify </w:t>
      </w:r>
      <w:r>
        <w:rPr>
          <w:szCs w:val="24"/>
        </w:rPr>
        <w:t xml:space="preserve">the OCC </w:t>
      </w:r>
      <w:r w:rsidRPr="00B957C2">
        <w:rPr>
          <w:szCs w:val="24"/>
        </w:rPr>
        <w:t xml:space="preserve">if it makes any material changes to </w:t>
      </w:r>
      <w:r>
        <w:rPr>
          <w:szCs w:val="24"/>
        </w:rPr>
        <w:t xml:space="preserve">the </w:t>
      </w:r>
      <w:r w:rsidRPr="00B957C2">
        <w:rPr>
          <w:szCs w:val="24"/>
        </w:rPr>
        <w:t xml:space="preserve">policies and procedures describing how it determines the period of significant financial stress used to calculate its own internal estimates for haircuts and be able to provide empirical support for the period used.  </w:t>
      </w:r>
    </w:p>
    <w:p w:rsidR="00B957C2" w:rsidRPr="004D227B" w:rsidP="004D227B" w14:paraId="26C3C749" w14:textId="77777777">
      <w:pPr>
        <w:tabs>
          <w:tab w:val="left" w:pos="8640"/>
        </w:tabs>
        <w:rPr>
          <w:szCs w:val="24"/>
        </w:rPr>
      </w:pPr>
    </w:p>
    <w:p w:rsidR="002E500A" w:rsidRPr="002E500A" w:rsidP="002E500A" w14:paraId="1D621A1E" w14:textId="5BD679DF">
      <w:pPr>
        <w:tabs>
          <w:tab w:val="left" w:pos="8640"/>
        </w:tabs>
        <w:rPr>
          <w:bCs/>
          <w:i/>
          <w:szCs w:val="24"/>
        </w:rPr>
      </w:pPr>
      <w:r w:rsidRPr="002E500A">
        <w:rPr>
          <w:bCs/>
          <w:i/>
          <w:szCs w:val="24"/>
        </w:rPr>
        <w:t>Recordkeeping</w:t>
      </w:r>
      <w:r w:rsidR="00025BF0">
        <w:rPr>
          <w:bCs/>
          <w:i/>
          <w:szCs w:val="24"/>
        </w:rPr>
        <w:t xml:space="preserve"> </w:t>
      </w:r>
      <w:r w:rsidR="002D6E8C">
        <w:rPr>
          <w:bCs/>
          <w:i/>
          <w:szCs w:val="24"/>
        </w:rPr>
        <w:t>Requirements</w:t>
      </w:r>
    </w:p>
    <w:p w:rsidR="00B44E11" w:rsidP="00B44E11" w14:paraId="0D8D62A8" w14:textId="4F2BC1D2">
      <w:pPr>
        <w:tabs>
          <w:tab w:val="left" w:pos="8640"/>
        </w:tabs>
        <w:rPr>
          <w:szCs w:val="24"/>
        </w:rPr>
      </w:pPr>
    </w:p>
    <w:p w:rsidR="002E500A" w:rsidRPr="002E500A" w:rsidP="002E500A" w14:paraId="47D630F6" w14:textId="77777777">
      <w:pPr>
        <w:tabs>
          <w:tab w:val="left" w:pos="8640"/>
        </w:tabs>
        <w:rPr>
          <w:szCs w:val="24"/>
        </w:rPr>
      </w:pPr>
      <w:r w:rsidRPr="002E500A">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rsidR="002E500A" w:rsidRPr="00B44E11" w:rsidP="00B44E11" w14:paraId="06F3DCC7" w14:textId="77777777">
      <w:pPr>
        <w:tabs>
          <w:tab w:val="left" w:pos="8640"/>
        </w:tabs>
        <w:rPr>
          <w:szCs w:val="24"/>
        </w:rPr>
      </w:pPr>
    </w:p>
    <w:p w:rsidR="00DD43F1" w:rsidRPr="00DD43F1" w:rsidP="00DD43F1" w14:paraId="42EAC8E7" w14:textId="6D18C56A">
      <w:pPr>
        <w:tabs>
          <w:tab w:val="left" w:pos="8640"/>
        </w:tabs>
        <w:rPr>
          <w:szCs w:val="24"/>
        </w:rPr>
      </w:pPr>
      <w:r w:rsidRPr="00DD43F1">
        <w:rPr>
          <w:szCs w:val="24"/>
        </w:rPr>
        <w:t>Section 3.37</w:t>
      </w:r>
      <w:r w:rsidR="00735380">
        <w:rPr>
          <w:szCs w:val="24"/>
        </w:rPr>
        <w:t>(c)</w:t>
      </w:r>
      <w:r w:rsidRPr="00DD43F1">
        <w:rPr>
          <w:szCs w:val="24"/>
        </w:rPr>
        <w:t>(4)(i)</w:t>
      </w:r>
      <w:r w:rsidR="00735380">
        <w:rPr>
          <w:szCs w:val="24"/>
        </w:rPr>
        <w:t>(E)</w:t>
      </w:r>
      <w:r w:rsidRPr="00DD43F1">
        <w:rPr>
          <w:szCs w:val="24"/>
        </w:rPr>
        <w:t xml:space="preserve"> requires that a bank have policies and procedures describing how it determines the period of significant financial stress used to calculate its own internal estimates for haircuts and be able to provide empirical support for the period used.</w:t>
      </w:r>
      <w:r w:rsidRPr="00DD43F1" w:rsidR="002A4FF1">
        <w:rPr>
          <w:szCs w:val="24"/>
        </w:rPr>
        <w:t xml:space="preserve"> </w:t>
      </w:r>
    </w:p>
    <w:p w:rsidR="00B44E11" w14:paraId="4003CA66" w14:textId="27692D1C">
      <w:pPr>
        <w:tabs>
          <w:tab w:val="left" w:pos="8640"/>
        </w:tabs>
        <w:rPr>
          <w:szCs w:val="24"/>
        </w:rPr>
      </w:pPr>
    </w:p>
    <w:p w:rsidR="00B815ED" w:rsidRPr="00B815ED" w:rsidP="00B815ED" w14:paraId="328EFE75" w14:textId="77777777">
      <w:pPr>
        <w:tabs>
          <w:tab w:val="left" w:pos="8640"/>
        </w:tabs>
        <w:rPr>
          <w:szCs w:val="24"/>
        </w:rPr>
      </w:pPr>
      <w:r w:rsidRPr="00B815ED">
        <w:rPr>
          <w:szCs w:val="24"/>
        </w:rPr>
        <w:t xml:space="preserve">Section 3.41(b)(3), which sets forth operational requirements for securitization exposures, allows a national bank or federal savings association to recognize for risk-based capital purposes, in the case of synthetic securitizations, a credit risk mitigant to hedge underlying exposures if certain conditions are met.  Section 3.41(b)(3) includes a requirement that the national bank or federal savings association obtain a well-reasoned opinion from legal counsel that confirms the enforceability of the credit risk mitigant in all relevant jurisdictions. </w:t>
      </w:r>
    </w:p>
    <w:p w:rsidR="00C43AAC" w:rsidRPr="00C43AAC" w:rsidP="00A84A71" w14:paraId="097DF3E4" w14:textId="77777777">
      <w:pPr>
        <w:tabs>
          <w:tab w:val="left" w:pos="8640"/>
        </w:tabs>
        <w:rPr>
          <w:szCs w:val="24"/>
        </w:rPr>
      </w:pPr>
    </w:p>
    <w:p w:rsidR="00C43AAC" w:rsidP="003E2856" w14:paraId="4002235B" w14:textId="3359670D">
      <w:pPr>
        <w:tabs>
          <w:tab w:val="left" w:pos="720"/>
          <w:tab w:val="left" w:pos="8640"/>
        </w:tabs>
        <w:rPr>
          <w:szCs w:val="24"/>
        </w:rPr>
      </w:pPr>
      <w:r w:rsidRPr="00C43AAC">
        <w:rPr>
          <w:szCs w:val="24"/>
        </w:rPr>
        <w:t>Section 3.41(c)(2)(i) requires that a bank demonstrate its comprehensive understanding of a securitiza</w:t>
      </w:r>
      <w:r w:rsidR="00F9437E">
        <w:rPr>
          <w:szCs w:val="24"/>
        </w:rPr>
        <w:t xml:space="preserve">tion exposure by conducting </w:t>
      </w:r>
      <w:r w:rsidRPr="00C43AAC">
        <w:rPr>
          <w:szCs w:val="24"/>
        </w:rPr>
        <w:t xml:space="preserve">an analysis of the risk characteristics of each securitization exposure prior to its acquisition, </w:t>
      </w:r>
      <w:r w:rsidRPr="00C43AAC">
        <w:rPr>
          <w:szCs w:val="24"/>
        </w:rPr>
        <w:t>taking into account</w:t>
      </w:r>
      <w:r w:rsidRPr="00C43AAC">
        <w:rPr>
          <w:szCs w:val="24"/>
        </w:rPr>
        <w:t xml:space="preserve">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rsidR="00CA5A95" w:rsidP="003E2856" w14:paraId="351B716C" w14:textId="5568EE23">
      <w:pPr>
        <w:tabs>
          <w:tab w:val="left" w:pos="720"/>
          <w:tab w:val="left" w:pos="8640"/>
        </w:tabs>
        <w:rPr>
          <w:szCs w:val="24"/>
        </w:rPr>
      </w:pPr>
    </w:p>
    <w:p w:rsidR="00CA5A95" w:rsidP="003E2856" w14:paraId="3584A149" w14:textId="19DC80B2">
      <w:pPr>
        <w:tabs>
          <w:tab w:val="left" w:pos="720"/>
          <w:tab w:val="left" w:pos="8640"/>
        </w:tabs>
        <w:rPr>
          <w:szCs w:val="24"/>
        </w:rPr>
      </w:pPr>
      <w:r>
        <w:rPr>
          <w:szCs w:val="24"/>
        </w:rPr>
        <w:t>Sec</w:t>
      </w:r>
      <w:r w:rsidR="00724265">
        <w:rPr>
          <w:szCs w:val="24"/>
        </w:rPr>
        <w:t>tio</w:t>
      </w:r>
      <w:r>
        <w:rPr>
          <w:szCs w:val="24"/>
        </w:rPr>
        <w:t xml:space="preserve">n 3.41(c)(2)(ii) requires a bank on an on-going </w:t>
      </w:r>
      <w:r w:rsidRPr="00CA5A95">
        <w:rPr>
          <w:szCs w:val="24"/>
        </w:rPr>
        <w:t xml:space="preserve">basis (no less frequently than quarterly), </w:t>
      </w:r>
      <w:r>
        <w:rPr>
          <w:szCs w:val="24"/>
        </w:rPr>
        <w:t xml:space="preserve">to </w:t>
      </w:r>
      <w:r w:rsidRPr="00CA5A95">
        <w:rPr>
          <w:szCs w:val="24"/>
        </w:rPr>
        <w:t>evaluat</w:t>
      </w:r>
      <w:r>
        <w:rPr>
          <w:szCs w:val="24"/>
        </w:rPr>
        <w:t>e</w:t>
      </w:r>
      <w:r w:rsidRPr="00CA5A95">
        <w:rPr>
          <w:szCs w:val="24"/>
        </w:rPr>
        <w:t>, review, and updat</w:t>
      </w:r>
      <w:r>
        <w:rPr>
          <w:szCs w:val="24"/>
        </w:rPr>
        <w:t>e</w:t>
      </w:r>
      <w:r w:rsidRPr="00CA5A95">
        <w:rPr>
          <w:szCs w:val="24"/>
        </w:rPr>
        <w:t xml:space="preserve"> as appropriate the analysis required und</w:t>
      </w:r>
      <w:r w:rsidR="00724265">
        <w:rPr>
          <w:szCs w:val="24"/>
        </w:rPr>
        <w:t xml:space="preserve">er </w:t>
      </w:r>
      <w:r w:rsidR="00025BF0">
        <w:rPr>
          <w:szCs w:val="24"/>
        </w:rPr>
        <w:t xml:space="preserve">§ </w:t>
      </w:r>
      <w:r>
        <w:rPr>
          <w:szCs w:val="24"/>
        </w:rPr>
        <w:t>3.41(c)(1)</w:t>
      </w:r>
      <w:r w:rsidRPr="00CA5A95">
        <w:rPr>
          <w:szCs w:val="24"/>
        </w:rPr>
        <w:t xml:space="preserve"> for each securitization exposure.</w:t>
      </w:r>
    </w:p>
    <w:p w:rsidR="00C43AAC" w:rsidP="003E2856" w14:paraId="2D13365F" w14:textId="072C5D44">
      <w:pPr>
        <w:tabs>
          <w:tab w:val="left" w:pos="720"/>
          <w:tab w:val="left" w:pos="8640"/>
        </w:tabs>
        <w:rPr>
          <w:szCs w:val="24"/>
        </w:rPr>
      </w:pPr>
    </w:p>
    <w:p w:rsidR="00CA5A95" w:rsidRPr="00025BF0" w:rsidP="003E2856" w14:paraId="4C02BA84" w14:textId="7842C0F1">
      <w:pPr>
        <w:tabs>
          <w:tab w:val="left" w:pos="720"/>
          <w:tab w:val="left" w:pos="8640"/>
        </w:tabs>
        <w:rPr>
          <w:szCs w:val="24"/>
        </w:rPr>
      </w:pPr>
      <w:r w:rsidRPr="00A84A71">
        <w:rPr>
          <w:i/>
          <w:iCs/>
          <w:szCs w:val="24"/>
        </w:rPr>
        <w:t>Disclosure</w:t>
      </w:r>
      <w:r w:rsidR="00025BF0">
        <w:rPr>
          <w:i/>
          <w:iCs/>
          <w:szCs w:val="24"/>
        </w:rPr>
        <w:t xml:space="preserve"> Requirements</w:t>
      </w:r>
    </w:p>
    <w:p w:rsidR="00CA5A95" w:rsidRPr="00CA5A95" w:rsidP="003E2856" w14:paraId="2F0087B7" w14:textId="77777777">
      <w:pPr>
        <w:tabs>
          <w:tab w:val="left" w:pos="720"/>
          <w:tab w:val="left" w:pos="8640"/>
        </w:tabs>
        <w:rPr>
          <w:szCs w:val="24"/>
        </w:rPr>
      </w:pPr>
    </w:p>
    <w:p w:rsidR="00C43AAC" w:rsidP="00B815ED" w14:paraId="5519ABF5" w14:textId="6D487BDC">
      <w:pPr>
        <w:tabs>
          <w:tab w:val="left" w:pos="720"/>
          <w:tab w:val="left" w:pos="8640"/>
        </w:tabs>
        <w:rPr>
          <w:szCs w:val="24"/>
        </w:rPr>
      </w:pPr>
      <w:r w:rsidRPr="00C43AAC">
        <w:rPr>
          <w:szCs w:val="24"/>
        </w:rPr>
        <w:t>I</w:t>
      </w:r>
      <w:r w:rsidR="00731834">
        <w:rPr>
          <w:szCs w:val="24"/>
        </w:rPr>
        <w:t xml:space="preserve">n a case where </w:t>
      </w:r>
      <w:r w:rsidRPr="00C43AAC">
        <w:rPr>
          <w:szCs w:val="24"/>
        </w:rPr>
        <w:t>a bank provides non-contractual support to a securitization, § 3.42(e)(2) requires th</w:t>
      </w:r>
      <w:r w:rsidR="00BB071B">
        <w:rPr>
          <w:szCs w:val="24"/>
        </w:rPr>
        <w:t>e</w:t>
      </w:r>
      <w:r w:rsidRPr="00C43AAC">
        <w:rPr>
          <w:szCs w:val="24"/>
        </w:rPr>
        <w:t xml:space="preserve"> bank to publicly disclose that i</w:t>
      </w:r>
      <w:r w:rsidR="00BE3EC1">
        <w:rPr>
          <w:szCs w:val="24"/>
        </w:rPr>
        <w:t>t</w:t>
      </w:r>
      <w:r w:rsidRPr="00C43AAC">
        <w:rPr>
          <w:szCs w:val="24"/>
        </w:rPr>
        <w:t xml:space="preserve"> has provided implicit support to </w:t>
      </w:r>
      <w:r w:rsidR="00025BF0">
        <w:rPr>
          <w:szCs w:val="24"/>
        </w:rPr>
        <w:t xml:space="preserve">the </w:t>
      </w:r>
      <w:r w:rsidRPr="00C43AAC">
        <w:rPr>
          <w:szCs w:val="24"/>
        </w:rPr>
        <w:t>securitization</w:t>
      </w:r>
      <w:r>
        <w:rPr>
          <w:szCs w:val="24"/>
        </w:rPr>
        <w:t xml:space="preserve"> and the risk-based capital impact to the bank of providing such implicit support.</w:t>
      </w:r>
    </w:p>
    <w:p w:rsidR="00C43AAC" w:rsidP="00B815ED" w14:paraId="54E6C0DA" w14:textId="77777777">
      <w:pPr>
        <w:tabs>
          <w:tab w:val="left" w:pos="720"/>
          <w:tab w:val="left" w:pos="8640"/>
        </w:tabs>
        <w:rPr>
          <w:szCs w:val="24"/>
        </w:rPr>
      </w:pPr>
      <w:r>
        <w:rPr>
          <w:szCs w:val="24"/>
        </w:rPr>
        <w:t xml:space="preserve"> </w:t>
      </w:r>
    </w:p>
    <w:p w:rsidR="00731834" w:rsidP="003E2856" w14:paraId="338145C9" w14:textId="614F7F56">
      <w:pPr>
        <w:tabs>
          <w:tab w:val="left" w:pos="8640"/>
        </w:tabs>
        <w:rPr>
          <w:szCs w:val="24"/>
        </w:rPr>
      </w:pPr>
      <w:r>
        <w:rPr>
          <w:szCs w:val="24"/>
        </w:rPr>
        <w:t xml:space="preserve">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Pr="00C43AAC" w:rsidR="00504F06">
        <w:rPr>
          <w:szCs w:val="24"/>
        </w:rPr>
        <w:t>§</w:t>
      </w:r>
      <w:r>
        <w:rPr>
          <w:szCs w:val="24"/>
        </w:rPr>
        <w:t xml:space="preserve"> 3.62(a) requires quarterly disclosure of information in the applicable tables in </w:t>
      </w:r>
      <w:r w:rsidRPr="00C43AAC" w:rsidR="00504F06">
        <w:rPr>
          <w:szCs w:val="24"/>
        </w:rPr>
        <w:t>§</w:t>
      </w:r>
      <w:r>
        <w:rPr>
          <w:szCs w:val="24"/>
        </w:rPr>
        <w:t xml:space="preserve"> 3.63 and, if a significant change occurs, such that the most recent reported amounts are no longer reflective of the </w:t>
      </w:r>
      <w:r w:rsidR="00D37906">
        <w:rPr>
          <w:szCs w:val="24"/>
        </w:rPr>
        <w:t xml:space="preserve">bank’s </w:t>
      </w:r>
      <w:r>
        <w:rPr>
          <w:szCs w:val="24"/>
        </w:rPr>
        <w:t xml:space="preserve">capital adequacy and risk profile, </w:t>
      </w:r>
      <w:r w:rsidRPr="00C43AAC" w:rsidR="00504F06">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Pr>
          <w:szCs w:val="24"/>
        </w:rPr>
        <w:t xml:space="preserve">also </w:t>
      </w:r>
      <w:r>
        <w:rPr>
          <w:szCs w:val="24"/>
        </w:rPr>
        <w:t xml:space="preserve">permits annual disclosure of qualitative information that typically does not change each quarter, provided that any significant changes are disclosed in the interim.  </w:t>
      </w:r>
    </w:p>
    <w:p w:rsidR="00731834" w:rsidP="003E2856" w14:paraId="015EFAA7" w14:textId="77777777">
      <w:pPr>
        <w:tabs>
          <w:tab w:val="left" w:pos="8640"/>
        </w:tabs>
        <w:rPr>
          <w:szCs w:val="24"/>
        </w:rPr>
      </w:pPr>
    </w:p>
    <w:p w:rsidR="00FF78DF" w:rsidP="003E2856" w14:paraId="01D0A7E2" w14:textId="61E504D8">
      <w:pPr>
        <w:tabs>
          <w:tab w:val="left" w:pos="8640"/>
        </w:tabs>
        <w:rPr>
          <w:szCs w:val="24"/>
        </w:rPr>
      </w:pPr>
      <w:r>
        <w:rPr>
          <w:szCs w:val="24"/>
        </w:rPr>
        <w:t xml:space="preserve">Section 3.62(b) requires that a bank have a formal disclosure policy approved by the board of directors that addresses its approach for determining the disclosures it makes.  The policy must address the associated internal controls and disclosure controls and procedures.  </w:t>
      </w:r>
    </w:p>
    <w:p w:rsidR="00FF78DF" w:rsidP="003E2856" w14:paraId="3617D4AE" w14:textId="77777777">
      <w:pPr>
        <w:tabs>
          <w:tab w:val="left" w:pos="8640"/>
        </w:tabs>
        <w:rPr>
          <w:szCs w:val="24"/>
        </w:rPr>
      </w:pPr>
    </w:p>
    <w:p w:rsidR="00C43AAC" w:rsidP="003E2856" w14:paraId="33C288D9" w14:textId="702C970A">
      <w:pPr>
        <w:tabs>
          <w:tab w:val="left" w:pos="8640"/>
        </w:tabs>
        <w:rPr>
          <w:szCs w:val="24"/>
        </w:rPr>
      </w:pPr>
      <w:r>
        <w:rPr>
          <w:szCs w:val="24"/>
        </w:rPr>
        <w:t>Section 3.62(c) permits a bank to disclose more general information about certain subjects if the bank concludes that the specific commercial or financial information required to be disclosed under § 3.62 is exempt from disclosure under the Freedom of Informatio</w:t>
      </w:r>
      <w:r w:rsidR="00504F06">
        <w:rPr>
          <w:szCs w:val="24"/>
        </w:rPr>
        <w:t>n Act (5 U.S.C. 552)</w:t>
      </w:r>
      <w:r>
        <w:rPr>
          <w:szCs w:val="24"/>
        </w:rPr>
        <w:t xml:space="preserve"> and </w:t>
      </w:r>
      <w:r w:rsidR="00504F06">
        <w:rPr>
          <w:szCs w:val="24"/>
        </w:rPr>
        <w:t xml:space="preserve">the </w:t>
      </w:r>
      <w:r>
        <w:rPr>
          <w:szCs w:val="24"/>
        </w:rPr>
        <w:t xml:space="preserve">national bank or </w:t>
      </w:r>
      <w:r w:rsidR="00FD5AE5">
        <w:rPr>
          <w:szCs w:val="24"/>
        </w:rPr>
        <w:t>f</w:t>
      </w:r>
      <w:r>
        <w:rPr>
          <w:szCs w:val="24"/>
        </w:rPr>
        <w:t>ederal savings association provides the reason the specific items of information have not been disclosed.</w:t>
      </w:r>
    </w:p>
    <w:p w:rsidR="00C43AAC" w:rsidP="003E2856" w14:paraId="4908BECE" w14:textId="77777777">
      <w:pPr>
        <w:tabs>
          <w:tab w:val="left" w:pos="8640"/>
        </w:tabs>
        <w:rPr>
          <w:szCs w:val="24"/>
        </w:rPr>
      </w:pPr>
    </w:p>
    <w:p w:rsidR="005B67CD" w:rsidP="003E2856" w14:paraId="04D8BE81" w14:textId="79AB597C">
      <w:pPr>
        <w:tabs>
          <w:tab w:val="left" w:pos="8640"/>
        </w:tabs>
        <w:rPr>
          <w:szCs w:val="24"/>
        </w:rPr>
      </w:pPr>
      <w:r>
        <w:rPr>
          <w:szCs w:val="24"/>
        </w:rPr>
        <w:t>Currently, s</w:t>
      </w:r>
      <w:r w:rsidR="00C43AAC">
        <w:rPr>
          <w:szCs w:val="24"/>
        </w:rPr>
        <w:t xml:space="preserve">ection 3.63 sets forth the specific disclosure requirements for a non-advanced approaches national bank or </w:t>
      </w:r>
      <w:r w:rsidR="00FD5AE5">
        <w:rPr>
          <w:szCs w:val="24"/>
        </w:rPr>
        <w:t>f</w:t>
      </w:r>
      <w:r w:rsidR="00C43AAC">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sidR="00C43AAC">
        <w:rPr>
          <w:szCs w:val="24"/>
        </w:rPr>
        <w:t xml:space="preserve"> § 3.63 and in § 3.63(b) for each of the last three years beginning on the effective date of the rule.  </w:t>
      </w:r>
    </w:p>
    <w:p w:rsidR="005B67CD" w:rsidP="003E2856" w14:paraId="2DCD58BA" w14:textId="77777777">
      <w:pPr>
        <w:tabs>
          <w:tab w:val="left" w:pos="8640"/>
        </w:tabs>
        <w:rPr>
          <w:szCs w:val="24"/>
        </w:rPr>
      </w:pPr>
    </w:p>
    <w:p w:rsidR="00CC0717" w:rsidP="003E2856" w14:paraId="63B3E302" w14:textId="12284AD0">
      <w:pPr>
        <w:tabs>
          <w:tab w:val="left" w:pos="8640"/>
        </w:tabs>
        <w:rPr>
          <w:szCs w:val="24"/>
        </w:rPr>
      </w:pPr>
      <w:r>
        <w:rPr>
          <w:szCs w:val="24"/>
        </w:rPr>
        <w:t xml:space="preserve">Section 3.63(b) requires quarterly disclosure of a </w:t>
      </w:r>
      <w:r>
        <w:rPr>
          <w:szCs w:val="24"/>
        </w:rPr>
        <w:t xml:space="preserve">bank’s </w:t>
      </w:r>
      <w:r>
        <w:rPr>
          <w:szCs w:val="24"/>
        </w:rPr>
        <w:t xml:space="preserve">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w:t>
      </w:r>
    </w:p>
    <w:p w:rsidR="00CC0717" w:rsidP="003E2856" w14:paraId="4197341A" w14:textId="77777777">
      <w:pPr>
        <w:tabs>
          <w:tab w:val="left" w:pos="8640"/>
        </w:tabs>
        <w:rPr>
          <w:szCs w:val="24"/>
        </w:rPr>
      </w:pPr>
    </w:p>
    <w:p w:rsidR="00C43AAC" w:rsidP="003E2856" w14:paraId="6F8CBF3C" w14:textId="7BF9F9B6">
      <w:pPr>
        <w:tabs>
          <w:tab w:val="left" w:pos="8640"/>
        </w:tabs>
        <w:rPr>
          <w:szCs w:val="24"/>
        </w:rPr>
      </w:pPr>
      <w:r>
        <w:rPr>
          <w:szCs w:val="24"/>
        </w:rPr>
        <w:t xml:space="preserve">Tables 1 through 10 </w:t>
      </w:r>
      <w:r w:rsidR="00FD5AE5">
        <w:rPr>
          <w:szCs w:val="24"/>
        </w:rPr>
        <w:t xml:space="preserve">in </w:t>
      </w:r>
      <w:r w:rsidR="004D09EF">
        <w:rPr>
          <w:szCs w:val="24"/>
        </w:rPr>
        <w:t xml:space="preserve">§ </w:t>
      </w:r>
      <w:r>
        <w:rPr>
          <w:szCs w:val="24"/>
        </w:rPr>
        <w:t xml:space="preserve">3.63 set forth qualitative and/or quantitative </w:t>
      </w:r>
      <w:r w:rsidR="0030443D">
        <w:rPr>
          <w:szCs w:val="24"/>
        </w:rPr>
        <w:t xml:space="preserve">disclosure </w:t>
      </w:r>
      <w:r>
        <w:rPr>
          <w:szCs w:val="24"/>
        </w:rPr>
        <w:t xml:space="preserve">requirements for scope of application, capital structure, capital adequacy, capital conservation buffer, credit risk, counterparty credit risk-related exposures, credit risk mitigation, securitizations, equities not subject to </w:t>
      </w:r>
      <w:r w:rsidR="00070737">
        <w:rPr>
          <w:szCs w:val="24"/>
        </w:rPr>
        <w:t xml:space="preserve">subpart </w:t>
      </w:r>
      <w:r>
        <w:rPr>
          <w:szCs w:val="24"/>
        </w:rPr>
        <w:t>F (</w:t>
      </w:r>
      <w:r w:rsidR="0030443D">
        <w:rPr>
          <w:szCs w:val="24"/>
        </w:rPr>
        <w:t xml:space="preserve">Risk-Weighted Assets- </w:t>
      </w:r>
      <w:r>
        <w:rPr>
          <w:szCs w:val="24"/>
        </w:rPr>
        <w:t xml:space="preserve">Market Risk </w:t>
      </w:r>
      <w:r w:rsidR="0030443D">
        <w:rPr>
          <w:szCs w:val="24"/>
        </w:rPr>
        <w:t>and Credit Valuation Adjustments (CVA)</w:t>
      </w:r>
      <w:r>
        <w:rPr>
          <w:szCs w:val="24"/>
        </w:rPr>
        <w:t>) of the rule, and interest rate risk for non-trading activities.</w:t>
      </w:r>
      <w:r w:rsidR="00831013">
        <w:rPr>
          <w:szCs w:val="24"/>
        </w:rPr>
        <w:t xml:space="preserve">  </w:t>
      </w:r>
    </w:p>
    <w:p w:rsidR="00F8716A" w:rsidP="003E2856" w14:paraId="7FDDC34D" w14:textId="77777777">
      <w:pPr>
        <w:tabs>
          <w:tab w:val="left" w:pos="8640"/>
        </w:tabs>
        <w:rPr>
          <w:szCs w:val="24"/>
        </w:rPr>
      </w:pPr>
    </w:p>
    <w:p w:rsidR="00083363" w:rsidRPr="00A84A71" w:rsidP="00A84A71" w14:paraId="061FE7E8" w14:textId="5FF2B756">
      <w:pPr>
        <w:tabs>
          <w:tab w:val="left" w:pos="3780"/>
        </w:tabs>
        <w:rPr>
          <w:i/>
          <w:iCs/>
          <w:szCs w:val="24"/>
        </w:rPr>
      </w:pPr>
      <w:r w:rsidRPr="00A84A71">
        <w:rPr>
          <w:i/>
          <w:iCs/>
          <w:szCs w:val="24"/>
        </w:rPr>
        <w:t>Expanded Risk Based Approach</w:t>
      </w:r>
      <w:r w:rsidRPr="00A84A71">
        <w:rPr>
          <w:i/>
          <w:iCs/>
          <w:szCs w:val="24"/>
        </w:rPr>
        <w:tab/>
      </w:r>
    </w:p>
    <w:p w:rsidR="00F8716A" w:rsidP="003E2856" w14:paraId="33665EC9" w14:textId="27231D77">
      <w:pPr>
        <w:tabs>
          <w:tab w:val="left" w:pos="8640"/>
        </w:tabs>
        <w:rPr>
          <w:i/>
          <w:iCs/>
          <w:szCs w:val="24"/>
          <w:u w:val="single"/>
        </w:rPr>
      </w:pPr>
    </w:p>
    <w:p w:rsidR="00F8716A" w:rsidP="003E2856" w14:paraId="092E329A" w14:textId="753F1876">
      <w:pPr>
        <w:tabs>
          <w:tab w:val="left" w:pos="8640"/>
        </w:tabs>
        <w:rPr>
          <w:i/>
          <w:iCs/>
          <w:szCs w:val="24"/>
        </w:rPr>
      </w:pPr>
      <w:r>
        <w:rPr>
          <w:i/>
          <w:iCs/>
          <w:szCs w:val="24"/>
        </w:rPr>
        <w:t>Reporting Requirements</w:t>
      </w:r>
    </w:p>
    <w:p w:rsidR="00F8716A" w:rsidP="003E2856" w14:paraId="109A650D" w14:textId="7A22BD0C">
      <w:pPr>
        <w:tabs>
          <w:tab w:val="left" w:pos="8640"/>
        </w:tabs>
        <w:rPr>
          <w:i/>
          <w:iCs/>
          <w:szCs w:val="24"/>
        </w:rPr>
      </w:pPr>
    </w:p>
    <w:p w:rsidR="00F8716A" w:rsidRPr="00A84A71" w:rsidP="003E2856" w14:paraId="21BB648E" w14:textId="177937B9">
      <w:pPr>
        <w:tabs>
          <w:tab w:val="left" w:pos="8640"/>
        </w:tabs>
        <w:rPr>
          <w:szCs w:val="24"/>
        </w:rPr>
      </w:pPr>
      <w:r w:rsidRPr="00A84A71">
        <w:rPr>
          <w:szCs w:val="24"/>
        </w:rPr>
        <w:t>Section 3.113(i)(3)(ii)</w:t>
      </w:r>
      <w:r w:rsidRPr="00A84A71" w:rsidR="00144DA9">
        <w:rPr>
          <w:szCs w:val="24"/>
        </w:rPr>
        <w:t xml:space="preserve">(C) permits a bank </w:t>
      </w:r>
      <w:r w:rsidRPr="00A84A71" w:rsidR="004E037A">
        <w:rPr>
          <w:szCs w:val="24"/>
        </w:rPr>
        <w:t xml:space="preserve">to specify a value for supervisory delta </w:t>
      </w:r>
      <w:r w:rsidRPr="00A84A71" w:rsidR="00144DA9">
        <w:rPr>
          <w:szCs w:val="24"/>
        </w:rPr>
        <w:t>with the prior approval of the OCC</w:t>
      </w:r>
      <w:r w:rsidRPr="00A84A71" w:rsidR="004E037A">
        <w:rPr>
          <w:szCs w:val="24"/>
        </w:rPr>
        <w:t>.</w:t>
      </w:r>
    </w:p>
    <w:p w:rsidR="004E037A" w:rsidRPr="00A84A71" w:rsidP="003E2856" w14:paraId="205B6357" w14:textId="3790C256">
      <w:pPr>
        <w:tabs>
          <w:tab w:val="left" w:pos="8640"/>
        </w:tabs>
        <w:rPr>
          <w:szCs w:val="24"/>
        </w:rPr>
      </w:pPr>
    </w:p>
    <w:p w:rsidR="004E037A" w:rsidRPr="00A84A71" w:rsidP="003E2856" w14:paraId="477C3F06" w14:textId="11897CD3">
      <w:pPr>
        <w:tabs>
          <w:tab w:val="left" w:pos="8640"/>
        </w:tabs>
        <w:rPr>
          <w:szCs w:val="24"/>
        </w:rPr>
      </w:pPr>
      <w:r w:rsidRPr="00A84A71">
        <w:rPr>
          <w:szCs w:val="24"/>
        </w:rPr>
        <w:t>Section 3.114(d)(6)(vi)</w:t>
      </w:r>
      <w:r w:rsidRPr="00A84A71" w:rsidR="00516AF4">
        <w:rPr>
          <w:szCs w:val="24"/>
        </w:rPr>
        <w:t xml:space="preserve"> permits a bank to determine the risk-weighted asset amount for a default fund contribution to a QCCP with the prior approval of the OCC.</w:t>
      </w:r>
    </w:p>
    <w:p w:rsidR="00A15F91" w:rsidRPr="00A84A71" w:rsidP="003E2856" w14:paraId="62865F1A" w14:textId="560AACA8">
      <w:pPr>
        <w:tabs>
          <w:tab w:val="left" w:pos="8640"/>
        </w:tabs>
        <w:rPr>
          <w:szCs w:val="24"/>
        </w:rPr>
      </w:pPr>
    </w:p>
    <w:p w:rsidR="00A15F91" w:rsidRPr="00A84A71" w:rsidP="003E2856" w14:paraId="728E917B" w14:textId="2FF182D5">
      <w:pPr>
        <w:tabs>
          <w:tab w:val="left" w:pos="8640"/>
        </w:tabs>
        <w:rPr>
          <w:szCs w:val="24"/>
        </w:rPr>
      </w:pPr>
      <w:r w:rsidRPr="00A84A71">
        <w:rPr>
          <w:szCs w:val="24"/>
        </w:rPr>
        <w:t>Section 3.150(d)(5) permits a bank to exclude from the calculation of its Business Indicator any interest income, interest expense, dividend income, interest-earning assets, fee and commission income, fee and commission expense, other operating income, other operating expense, trading revenue, and net profit or loss on assets and liabilities not held for trading associated with an activity</w:t>
      </w:r>
      <w:r w:rsidRPr="00A84A71" w:rsidR="00B72A28">
        <w:rPr>
          <w:szCs w:val="24"/>
        </w:rPr>
        <w:t>,</w:t>
      </w:r>
      <w:r w:rsidRPr="00A84A71">
        <w:rPr>
          <w:szCs w:val="24"/>
        </w:rPr>
        <w:t xml:space="preserve"> with the prior approval of the OCC.  </w:t>
      </w:r>
    </w:p>
    <w:p w:rsidR="00413920" w:rsidRPr="00A84A71" w:rsidP="003E2856" w14:paraId="5F350463" w14:textId="0C91B7FB">
      <w:pPr>
        <w:tabs>
          <w:tab w:val="left" w:pos="8640"/>
        </w:tabs>
        <w:rPr>
          <w:szCs w:val="24"/>
        </w:rPr>
      </w:pPr>
    </w:p>
    <w:p w:rsidR="00413920" w:rsidRPr="00724265" w:rsidP="003E2856" w14:paraId="4D4BD925" w14:textId="236C1D0D">
      <w:pPr>
        <w:tabs>
          <w:tab w:val="left" w:pos="8640"/>
        </w:tabs>
        <w:rPr>
          <w:szCs w:val="24"/>
        </w:rPr>
      </w:pPr>
      <w:r w:rsidRPr="00A84A71">
        <w:rPr>
          <w:szCs w:val="24"/>
        </w:rPr>
        <w:t>Section 3.150(e)(3)(i)</w:t>
      </w:r>
      <w:r w:rsidRPr="00A84A71" w:rsidR="00FE5F19">
        <w:rPr>
          <w:szCs w:val="24"/>
        </w:rPr>
        <w:t xml:space="preserve"> permits </w:t>
      </w:r>
      <w:r w:rsidRPr="00A84A71">
        <w:rPr>
          <w:szCs w:val="24"/>
        </w:rPr>
        <w:t>a bank to exclude from its operational loss</w:t>
      </w:r>
      <w:r w:rsidRPr="00A84A71" w:rsidR="00C74EFB">
        <w:rPr>
          <w:szCs w:val="24"/>
        </w:rPr>
        <w:t xml:space="preserve">, the </w:t>
      </w:r>
      <w:r w:rsidRPr="00A84A71">
        <w:rPr>
          <w:szCs w:val="24"/>
        </w:rPr>
        <w:t xml:space="preserve">events associated with </w:t>
      </w:r>
      <w:r w:rsidRPr="00A84A71" w:rsidR="0047209E">
        <w:rPr>
          <w:szCs w:val="24"/>
        </w:rPr>
        <w:t xml:space="preserve">an </w:t>
      </w:r>
      <w:r w:rsidRPr="00A84A71">
        <w:rPr>
          <w:szCs w:val="24"/>
        </w:rPr>
        <w:t xml:space="preserve">activity that the </w:t>
      </w:r>
      <w:r w:rsidRPr="00A84A71" w:rsidR="00FE5F19">
        <w:rPr>
          <w:szCs w:val="24"/>
        </w:rPr>
        <w:t>bank</w:t>
      </w:r>
      <w:r w:rsidRPr="00A84A71">
        <w:rPr>
          <w:szCs w:val="24"/>
        </w:rPr>
        <w:t xml:space="preserve"> has ceased directly or indirectly </w:t>
      </w:r>
      <w:r w:rsidRPr="00A84A71" w:rsidR="00C74EFB">
        <w:rPr>
          <w:szCs w:val="24"/>
        </w:rPr>
        <w:t xml:space="preserve">to </w:t>
      </w:r>
      <w:r w:rsidRPr="00A84A71">
        <w:rPr>
          <w:szCs w:val="24"/>
        </w:rPr>
        <w:t>conduct from the calculation of annual total net operational losses</w:t>
      </w:r>
      <w:r w:rsidRPr="00A84A71" w:rsidR="00C74EFB">
        <w:rPr>
          <w:szCs w:val="24"/>
        </w:rPr>
        <w:t>, with approval from the OCC</w:t>
      </w:r>
      <w:r w:rsidRPr="00A84A71">
        <w:rPr>
          <w:szCs w:val="24"/>
        </w:rPr>
        <w:t>.</w:t>
      </w:r>
    </w:p>
    <w:p w:rsidR="00724265" w:rsidRPr="00A84A71" w:rsidP="003E2856" w14:paraId="05A34216" w14:textId="77777777">
      <w:pPr>
        <w:tabs>
          <w:tab w:val="left" w:pos="8640"/>
        </w:tabs>
        <w:rPr>
          <w:szCs w:val="24"/>
        </w:rPr>
      </w:pPr>
    </w:p>
    <w:p w:rsidR="00F8716A" w:rsidP="003E2856" w14:paraId="166FCB26" w14:textId="058A22C8">
      <w:pPr>
        <w:tabs>
          <w:tab w:val="left" w:pos="8640"/>
        </w:tabs>
        <w:rPr>
          <w:szCs w:val="24"/>
        </w:rPr>
      </w:pPr>
      <w:r>
        <w:rPr>
          <w:szCs w:val="24"/>
        </w:rPr>
        <w:t xml:space="preserve">Section 3.150(e)(3)(ii) permits a bank to </w:t>
      </w:r>
      <w:r w:rsidRPr="00724265">
        <w:rPr>
          <w:szCs w:val="24"/>
        </w:rPr>
        <w:t xml:space="preserve">exclude operational loss events that are no longer relevant to </w:t>
      </w:r>
      <w:r>
        <w:rPr>
          <w:szCs w:val="24"/>
        </w:rPr>
        <w:t>it</w:t>
      </w:r>
      <w:r w:rsidRPr="00724265">
        <w:rPr>
          <w:szCs w:val="24"/>
        </w:rPr>
        <w:t>s risk profile</w:t>
      </w:r>
      <w:r>
        <w:rPr>
          <w:szCs w:val="24"/>
        </w:rPr>
        <w:t>,</w:t>
      </w:r>
      <w:r w:rsidRPr="00724265">
        <w:rPr>
          <w:szCs w:val="24"/>
        </w:rPr>
        <w:t xml:space="preserve"> from the calculation of annual total operational losses</w:t>
      </w:r>
      <w:r>
        <w:rPr>
          <w:szCs w:val="24"/>
        </w:rPr>
        <w:t>, with approval from the OCC</w:t>
      </w:r>
      <w:r w:rsidR="0017775C">
        <w:rPr>
          <w:szCs w:val="24"/>
        </w:rPr>
        <w:t xml:space="preserve">. </w:t>
      </w:r>
    </w:p>
    <w:p w:rsidR="0017775C" w:rsidP="003E2856" w14:paraId="1F6504A3" w14:textId="66DB0BC9">
      <w:pPr>
        <w:tabs>
          <w:tab w:val="left" w:pos="8640"/>
        </w:tabs>
        <w:rPr>
          <w:szCs w:val="24"/>
        </w:rPr>
      </w:pPr>
    </w:p>
    <w:p w:rsidR="0017775C" w:rsidP="003E2856" w14:paraId="7C601BF8" w14:textId="0AFEBAF1">
      <w:pPr>
        <w:tabs>
          <w:tab w:val="left" w:pos="8640"/>
        </w:tabs>
        <w:rPr>
          <w:szCs w:val="24"/>
        </w:rPr>
      </w:pPr>
      <w:r>
        <w:rPr>
          <w:szCs w:val="24"/>
        </w:rPr>
        <w:t xml:space="preserve">Section 3.150(e)(3)(iii) </w:t>
      </w:r>
      <w:r w:rsidR="0068327C">
        <w:rPr>
          <w:szCs w:val="24"/>
        </w:rPr>
        <w:t xml:space="preserve">permits a bank to exclude operational loss events, if the operational </w:t>
      </w:r>
      <w:r w:rsidRPr="0068327C" w:rsidR="0068327C">
        <w:rPr>
          <w:szCs w:val="24"/>
        </w:rPr>
        <w:t>loss events represent a total net operational loss amount equal to five percent or more of average annual total net operational losses prior to the requested exclusion.</w:t>
      </w:r>
      <w:r w:rsidR="0068327C">
        <w:rPr>
          <w:szCs w:val="24"/>
        </w:rPr>
        <w:t>, with approval from the OCC.</w:t>
      </w:r>
    </w:p>
    <w:p w:rsidR="00724265" w:rsidP="003E2856" w14:paraId="6FEB7A49" w14:textId="6F85C852">
      <w:pPr>
        <w:tabs>
          <w:tab w:val="left" w:pos="8640"/>
        </w:tabs>
        <w:rPr>
          <w:szCs w:val="24"/>
        </w:rPr>
      </w:pPr>
    </w:p>
    <w:p w:rsidR="00724265" w:rsidP="003E2856" w14:paraId="7A62E5B3" w14:textId="0BBC967E">
      <w:pPr>
        <w:tabs>
          <w:tab w:val="left" w:pos="8640"/>
        </w:tabs>
        <w:rPr>
          <w:szCs w:val="24"/>
        </w:rPr>
      </w:pPr>
      <w:r>
        <w:rPr>
          <w:i/>
          <w:iCs/>
          <w:szCs w:val="24"/>
        </w:rPr>
        <w:t>Recordkeeping Requirements</w:t>
      </w:r>
    </w:p>
    <w:p w:rsidR="00724265" w:rsidRPr="00724265" w:rsidP="003E2856" w14:paraId="07D2A989" w14:textId="77777777">
      <w:pPr>
        <w:tabs>
          <w:tab w:val="left" w:pos="8640"/>
        </w:tabs>
        <w:rPr>
          <w:szCs w:val="24"/>
        </w:rPr>
      </w:pPr>
    </w:p>
    <w:p w:rsidR="00C43AAC" w:rsidP="00083363" w14:paraId="05915397" w14:textId="49F538BE">
      <w:pPr>
        <w:rPr>
          <w:szCs w:val="24"/>
        </w:rPr>
      </w:pPr>
      <w:r>
        <w:rPr>
          <w:szCs w:val="24"/>
        </w:rPr>
        <w:t>Section 3</w:t>
      </w:r>
      <w:r w:rsidRPr="00083363">
        <w:rPr>
          <w:szCs w:val="24"/>
        </w:rPr>
        <w:t>.114(b)(3)(i)(A)</w:t>
      </w:r>
      <w:r w:rsidR="00C968C9">
        <w:rPr>
          <w:szCs w:val="24"/>
        </w:rPr>
        <w:t xml:space="preserve"> permits a bank to assign a 2 percent risk weight to an exposure to a qualifying central counterparty</w:t>
      </w:r>
      <w:r w:rsidR="003A052D">
        <w:rPr>
          <w:szCs w:val="24"/>
        </w:rPr>
        <w:t xml:space="preserve"> (QCCP)</w:t>
      </w:r>
      <w:r w:rsidR="00C968C9">
        <w:rPr>
          <w:szCs w:val="24"/>
        </w:rPr>
        <w:t>, if the bank conducts sufficient legal review</w:t>
      </w:r>
      <w:r w:rsidR="003A052D">
        <w:rPr>
          <w:szCs w:val="24"/>
        </w:rPr>
        <w:t xml:space="preserve">, </w:t>
      </w:r>
      <w:r w:rsidR="00C968C9">
        <w:rPr>
          <w:szCs w:val="24"/>
        </w:rPr>
        <w:t>and maintains written documentation of that review</w:t>
      </w:r>
      <w:r w:rsidR="003A052D">
        <w:rPr>
          <w:szCs w:val="24"/>
        </w:rPr>
        <w:t>.</w:t>
      </w:r>
    </w:p>
    <w:p w:rsidR="00083363" w:rsidP="00083363" w14:paraId="5EAF519C" w14:textId="752DC53B">
      <w:pPr>
        <w:rPr>
          <w:szCs w:val="24"/>
        </w:rPr>
      </w:pPr>
    </w:p>
    <w:p w:rsidR="00083363" w:rsidP="00083363" w14:paraId="77F45FCB" w14:textId="5C059F8F">
      <w:pPr>
        <w:rPr>
          <w:szCs w:val="24"/>
        </w:rPr>
      </w:pPr>
      <w:r>
        <w:rPr>
          <w:szCs w:val="24"/>
        </w:rPr>
        <w:t xml:space="preserve">Section </w:t>
      </w:r>
      <w:r w:rsidR="00E7225A">
        <w:rPr>
          <w:szCs w:val="24"/>
        </w:rPr>
        <w:t>3.120(e)(1)</w:t>
      </w:r>
      <w:r w:rsidR="007A00E7">
        <w:rPr>
          <w:szCs w:val="24"/>
        </w:rPr>
        <w:t xml:space="preserve"> permits a bank to </w:t>
      </w:r>
      <w:r w:rsidR="00110AB1">
        <w:rPr>
          <w:szCs w:val="24"/>
        </w:rPr>
        <w:t xml:space="preserve">recognize an </w:t>
      </w:r>
      <w:r w:rsidRPr="00110AB1" w:rsidR="00110AB1">
        <w:rPr>
          <w:szCs w:val="24"/>
        </w:rPr>
        <w:t>eligible credit derivative that does not include as a credit event</w:t>
      </w:r>
      <w:r w:rsidR="00110AB1">
        <w:rPr>
          <w:szCs w:val="24"/>
        </w:rPr>
        <w:t>,</w:t>
      </w:r>
      <w:r w:rsidRPr="00110AB1" w:rsidR="00110AB1">
        <w:rPr>
          <w:szCs w:val="24"/>
        </w:rPr>
        <w:t xml:space="preserve"> a restructuring of the hedged exposure involving forgiveness or postponement of principal, interest, or fees that results in a credit loss event (that is, a charge-off, specific provision, or other similar debit to the profit and loss account)</w:t>
      </w:r>
      <w:r w:rsidR="002463B3">
        <w:rPr>
          <w:szCs w:val="24"/>
        </w:rPr>
        <w:t xml:space="preserve"> if the bank conducts</w:t>
      </w:r>
      <w:r w:rsidR="00110AB1">
        <w:rPr>
          <w:szCs w:val="24"/>
        </w:rPr>
        <w:t xml:space="preserve"> a  sufficient</w:t>
      </w:r>
      <w:r w:rsidR="002463B3">
        <w:rPr>
          <w:szCs w:val="24"/>
        </w:rPr>
        <w:t xml:space="preserve"> legal review and maintains documentation of that review</w:t>
      </w:r>
      <w:r w:rsidR="007F72C5">
        <w:rPr>
          <w:szCs w:val="24"/>
        </w:rPr>
        <w:t>.</w:t>
      </w:r>
    </w:p>
    <w:p w:rsidR="000C1396" w:rsidP="00083363" w14:paraId="14F86274" w14:textId="77777777">
      <w:pPr>
        <w:rPr>
          <w:szCs w:val="24"/>
        </w:rPr>
      </w:pPr>
    </w:p>
    <w:p w:rsidR="00E7225A" w:rsidP="00083363" w14:paraId="0D04F64B" w14:textId="1BC554D0">
      <w:pPr>
        <w:rPr>
          <w:szCs w:val="24"/>
        </w:rPr>
      </w:pPr>
      <w:r>
        <w:rPr>
          <w:szCs w:val="24"/>
        </w:rPr>
        <w:t>Section 3</w:t>
      </w:r>
      <w:r w:rsidRPr="00E7225A">
        <w:rPr>
          <w:szCs w:val="24"/>
        </w:rPr>
        <w:t>.121(d)(2)(ii)</w:t>
      </w:r>
      <w:r w:rsidR="00B17D1E">
        <w:rPr>
          <w:szCs w:val="24"/>
        </w:rPr>
        <w:t>(c)</w:t>
      </w:r>
      <w:r w:rsidR="00A73E75">
        <w:rPr>
          <w:szCs w:val="24"/>
        </w:rPr>
        <w:t xml:space="preserve"> requires a bank to </w:t>
      </w:r>
      <w:r w:rsidRPr="00A73E75" w:rsidR="00A73E75">
        <w:rPr>
          <w:szCs w:val="24"/>
        </w:rPr>
        <w:t>maintain sufficient written documentation</w:t>
      </w:r>
      <w:r w:rsidR="008D0BD8">
        <w:rPr>
          <w:szCs w:val="24"/>
        </w:rPr>
        <w:t>,</w:t>
      </w:r>
      <w:r w:rsidRPr="00A73E75" w:rsidR="00A73E75">
        <w:rPr>
          <w:szCs w:val="24"/>
        </w:rPr>
        <w:t xml:space="preserve"> that </w:t>
      </w:r>
      <w:r w:rsidR="00A73E75">
        <w:rPr>
          <w:szCs w:val="24"/>
        </w:rPr>
        <w:t>a</w:t>
      </w:r>
      <w:r w:rsidRPr="00A73E75" w:rsidR="00A73E75">
        <w:rPr>
          <w:szCs w:val="24"/>
        </w:rPr>
        <w:t xml:space="preserve"> transaction </w:t>
      </w:r>
      <w:r w:rsidR="008D0BD8">
        <w:rPr>
          <w:szCs w:val="24"/>
        </w:rPr>
        <w:t xml:space="preserve">in which a bank </w:t>
      </w:r>
      <w:r w:rsidRPr="008D0BD8" w:rsidR="008D0BD8">
        <w:rPr>
          <w:szCs w:val="24"/>
        </w:rPr>
        <w:t>borrows securities for the purpose of meeting a current or anticipated demand, including for delivery obligations, customer demand, or segregation requirements, and not to provide financing to the unregulated financial institution</w:t>
      </w:r>
      <w:r w:rsidR="008D0BD8">
        <w:rPr>
          <w:szCs w:val="24"/>
        </w:rPr>
        <w:t xml:space="preserve">, </w:t>
      </w:r>
      <w:r w:rsidRPr="00A73E75" w:rsidR="00A73E75">
        <w:rPr>
          <w:szCs w:val="24"/>
        </w:rPr>
        <w:t>is for the purpose of meeting a current or anticipated demand</w:t>
      </w:r>
      <w:r w:rsidR="00A73E75">
        <w:rPr>
          <w:szCs w:val="24"/>
        </w:rPr>
        <w:t>.</w:t>
      </w:r>
    </w:p>
    <w:p w:rsidR="008D0BD8" w:rsidP="00A84A71" w14:paraId="74D5983F" w14:textId="4AA33B5C">
      <w:pPr>
        <w:tabs>
          <w:tab w:val="left" w:pos="8640"/>
        </w:tabs>
        <w:rPr>
          <w:szCs w:val="24"/>
        </w:rPr>
      </w:pPr>
      <w:r w:rsidRPr="00C43AAC">
        <w:rPr>
          <w:szCs w:val="24"/>
        </w:rPr>
        <w:t>Section 3.</w:t>
      </w:r>
      <w:r>
        <w:rPr>
          <w:szCs w:val="24"/>
        </w:rPr>
        <w:t>130</w:t>
      </w:r>
      <w:r w:rsidRPr="00C43AAC">
        <w:rPr>
          <w:szCs w:val="24"/>
        </w:rPr>
        <w:t xml:space="preserve"> relates to operational criteria for recognizing the transfer of risk in connection with a securitization.  Section 3.</w:t>
      </w:r>
      <w:r>
        <w:rPr>
          <w:szCs w:val="24"/>
        </w:rPr>
        <w:t>130</w:t>
      </w:r>
      <w:r w:rsidRPr="00C43AAC">
        <w:rPr>
          <w:szCs w:val="24"/>
        </w:rPr>
        <w:t xml:space="preserve">(b)(3) requires a bank to obtain a well-reasoned legal opinion confirming the enforceability of the credit risk mitigant in all relevant jurisdictions.  </w:t>
      </w:r>
    </w:p>
    <w:p w:rsidR="008D0BD8" w:rsidP="008D0BD8" w14:paraId="7F67680E" w14:textId="77777777">
      <w:pPr>
        <w:tabs>
          <w:tab w:val="left" w:pos="8640"/>
        </w:tabs>
        <w:rPr>
          <w:szCs w:val="24"/>
        </w:rPr>
      </w:pPr>
    </w:p>
    <w:p w:rsidR="005B4B56" w:rsidP="008D0BD8" w14:paraId="65BDEF0A" w14:textId="54255DA7">
      <w:pPr>
        <w:tabs>
          <w:tab w:val="left" w:pos="8640"/>
        </w:tabs>
        <w:rPr>
          <w:szCs w:val="24"/>
        </w:rPr>
      </w:pPr>
      <w:r>
        <w:rPr>
          <w:szCs w:val="24"/>
        </w:rPr>
        <w:t>Section 3.130(c)(2)(i) requires a bank to</w:t>
      </w:r>
      <w:r w:rsidRPr="00C43AAC" w:rsidR="00237842">
        <w:rPr>
          <w:szCs w:val="24"/>
        </w:rPr>
        <w:t xml:space="preserve"> demonstrate its comprehensive understanding of a securitization exposure under § 3.</w:t>
      </w:r>
      <w:r w:rsidR="00237842">
        <w:rPr>
          <w:szCs w:val="24"/>
        </w:rPr>
        <w:t>130</w:t>
      </w:r>
      <w:r w:rsidRPr="00C43AAC" w:rsidR="00237842">
        <w:rPr>
          <w:szCs w:val="24"/>
        </w:rPr>
        <w:t>(c)(</w:t>
      </w:r>
      <w:r>
        <w:rPr>
          <w:szCs w:val="24"/>
        </w:rPr>
        <w:t>1)</w:t>
      </w:r>
      <w:r w:rsidRPr="00C43AAC" w:rsidR="00237842">
        <w:rPr>
          <w:szCs w:val="24"/>
        </w:rPr>
        <w:t xml:space="preserve"> for each securitization exposure by conducting an analysis of the risk characteristics of a securitization exposure prior to acquiring the exposure and document</w:t>
      </w:r>
      <w:r>
        <w:rPr>
          <w:szCs w:val="24"/>
        </w:rPr>
        <w:t>ing</w:t>
      </w:r>
      <w:r w:rsidRPr="00C43AAC" w:rsidR="00237842">
        <w:rPr>
          <w:szCs w:val="24"/>
        </w:rPr>
        <w:t xml:space="preserve"> such analysis within three business days after acquiring the exposure.  </w:t>
      </w:r>
    </w:p>
    <w:p w:rsidR="005B4B56" w:rsidP="008D0BD8" w14:paraId="646C664A" w14:textId="77777777">
      <w:pPr>
        <w:tabs>
          <w:tab w:val="left" w:pos="8640"/>
        </w:tabs>
        <w:rPr>
          <w:szCs w:val="24"/>
        </w:rPr>
      </w:pPr>
    </w:p>
    <w:p w:rsidR="00237842" w:rsidP="00A84A71" w14:paraId="236DBCBE" w14:textId="502FE010">
      <w:pPr>
        <w:tabs>
          <w:tab w:val="left" w:pos="8640"/>
        </w:tabs>
        <w:rPr>
          <w:szCs w:val="24"/>
        </w:rPr>
      </w:pPr>
      <w:r w:rsidRPr="00C43AAC">
        <w:rPr>
          <w:szCs w:val="24"/>
        </w:rPr>
        <w:t>Sections 3.</w:t>
      </w:r>
      <w:r>
        <w:rPr>
          <w:szCs w:val="24"/>
        </w:rPr>
        <w:t>130</w:t>
      </w:r>
      <w:r w:rsidRPr="00C43AAC">
        <w:rPr>
          <w:rStyle w:val="documentbody1"/>
          <w:rFonts w:ascii="Times New Roman" w:hAnsi="Times New Roman"/>
          <w:sz w:val="24"/>
          <w:szCs w:val="24"/>
        </w:rPr>
        <w:t>(c)(2)(ii)</w:t>
      </w:r>
      <w:r w:rsidRPr="00C43AAC">
        <w:rPr>
          <w:szCs w:val="24"/>
        </w:rPr>
        <w:t xml:space="preserve"> require that </w:t>
      </w:r>
      <w:r w:rsidR="005B4B56">
        <w:rPr>
          <w:szCs w:val="24"/>
        </w:rPr>
        <w:t>bank</w:t>
      </w:r>
      <w:r w:rsidRPr="00C43AAC">
        <w:rPr>
          <w:szCs w:val="24"/>
        </w:rPr>
        <w:t xml:space="preserve">s, on an on-going basis (at least quarterly), evaluate, review, and update as appropriate the analysis required under this section for each securitization exposure.  </w:t>
      </w:r>
    </w:p>
    <w:p w:rsidR="00726AF6" w:rsidP="001D10EE" w14:paraId="5BA0BAC8" w14:textId="77777777">
      <w:pPr>
        <w:rPr>
          <w:szCs w:val="24"/>
        </w:rPr>
      </w:pPr>
    </w:p>
    <w:p w:rsidR="00C43761" w:rsidP="00C43761" w14:paraId="51BB7AF6" w14:textId="0069FA3F">
      <w:pPr>
        <w:rPr>
          <w:szCs w:val="24"/>
        </w:rPr>
      </w:pPr>
      <w:r>
        <w:rPr>
          <w:szCs w:val="24"/>
        </w:rPr>
        <w:t>Section 3.150(f)(1) requires a bank to have an</w:t>
      </w:r>
      <w:r w:rsidR="00487AB0">
        <w:rPr>
          <w:szCs w:val="24"/>
        </w:rPr>
        <w:t xml:space="preserve">: </w:t>
      </w:r>
      <w:r w:rsidR="00AA2AA1">
        <w:rPr>
          <w:szCs w:val="24"/>
        </w:rPr>
        <w:t xml:space="preserve">(1) </w:t>
      </w:r>
      <w:r>
        <w:rPr>
          <w:szCs w:val="24"/>
        </w:rPr>
        <w:t>operational risk management function tha</w:t>
      </w:r>
      <w:r w:rsidR="00AA2AA1">
        <w:rPr>
          <w:szCs w:val="24"/>
        </w:rPr>
        <w:t>t</w:t>
      </w:r>
      <w:r>
        <w:rPr>
          <w:szCs w:val="24"/>
        </w:rPr>
        <w:t xml:space="preserve"> </w:t>
      </w:r>
      <w:r w:rsidR="00AA2AA1">
        <w:rPr>
          <w:szCs w:val="24"/>
        </w:rPr>
        <w:t xml:space="preserve">is independent of business line management and designs, implements, and oversees the bank’s internal loss event data collection processes specified in paragraph 3.150(f)(2) and the implementing processes identified in paragraph 3.150(f)(1)(ii)-(iii), (2) documented process </w:t>
      </w:r>
      <w:r w:rsidRPr="00AA2AA1" w:rsidR="00AA2AA1">
        <w:rPr>
          <w:szCs w:val="24"/>
        </w:rPr>
        <w:t xml:space="preserve">to identify, measure, monitor, and control operational risk in the </w:t>
      </w:r>
      <w:r w:rsidR="00487AB0">
        <w:rPr>
          <w:szCs w:val="24"/>
        </w:rPr>
        <w:t>bank</w:t>
      </w:r>
      <w:r w:rsidRPr="00AA2AA1" w:rsidR="00AA2AA1">
        <w:rPr>
          <w:szCs w:val="24"/>
        </w:rPr>
        <w:t>’s products, activities, processes, and systems</w:t>
      </w:r>
      <w:r w:rsidR="00487AB0">
        <w:rPr>
          <w:szCs w:val="24"/>
        </w:rPr>
        <w:t xml:space="preserve">, and (3) </w:t>
      </w:r>
      <w:r>
        <w:rPr>
          <w:szCs w:val="24"/>
        </w:rPr>
        <w:t xml:space="preserve">processes to report </w:t>
      </w:r>
      <w:r w:rsidRPr="00C43761">
        <w:rPr>
          <w:szCs w:val="24"/>
        </w:rPr>
        <w:t>operational loss events and other relevant operational risk information to business unit management, senior management, and the board of directors (or a designated committee of the board).</w:t>
      </w:r>
    </w:p>
    <w:p w:rsidR="00C43761" w:rsidP="00C43761" w14:paraId="7CB1EF77" w14:textId="3B5D3A89">
      <w:pPr>
        <w:rPr>
          <w:szCs w:val="24"/>
        </w:rPr>
      </w:pPr>
    </w:p>
    <w:p w:rsidR="00C43761" w:rsidRPr="00C43761" w:rsidP="00C43761" w14:paraId="029B5E55" w14:textId="585611BF">
      <w:pPr>
        <w:rPr>
          <w:szCs w:val="24"/>
        </w:rPr>
      </w:pPr>
      <w:r>
        <w:rPr>
          <w:szCs w:val="24"/>
        </w:rPr>
        <w:t>Section 3.150(f)(2) requires a bank to have operational loss event data collection processes that produce operational loss event data that satisfies criteria specified in paragraph 3.150(f)(2)(i)-(iv).</w:t>
      </w:r>
    </w:p>
    <w:p w:rsidR="00A548F6" w:rsidP="00A548F6" w14:paraId="44E1E86C" w14:textId="77777777">
      <w:pPr>
        <w:rPr>
          <w:szCs w:val="24"/>
        </w:rPr>
      </w:pPr>
    </w:p>
    <w:p w:rsidR="00C634C6" w:rsidP="008379E7" w14:paraId="47D3B28E" w14:textId="54EF31A7">
      <w:pPr>
        <w:tabs>
          <w:tab w:val="left" w:pos="8640"/>
        </w:tabs>
        <w:rPr>
          <w:szCs w:val="24"/>
        </w:rPr>
      </w:pPr>
      <w:r>
        <w:rPr>
          <w:szCs w:val="24"/>
        </w:rPr>
        <w:t>Section 3.16</w:t>
      </w:r>
      <w:r w:rsidR="00B71B7F">
        <w:rPr>
          <w:szCs w:val="24"/>
        </w:rPr>
        <w:t>1</w:t>
      </w:r>
      <w:r>
        <w:rPr>
          <w:szCs w:val="24"/>
        </w:rPr>
        <w:t>(b)</w:t>
      </w:r>
      <w:r w:rsidR="00B71B7F">
        <w:rPr>
          <w:szCs w:val="24"/>
        </w:rPr>
        <w:t xml:space="preserve"> </w:t>
      </w:r>
      <w:r w:rsidR="008379E7">
        <w:rPr>
          <w:szCs w:val="24"/>
        </w:rPr>
        <w:t>requires a bank to have a formal disclosure policy approved by the board of directors that addresses its approach for determining the disclosures it makes and the associated internal and disclosure controls and procedures.</w:t>
      </w:r>
    </w:p>
    <w:p w:rsidR="00726AF6" w:rsidP="008379E7" w14:paraId="7964096F" w14:textId="4D04A086">
      <w:pPr>
        <w:tabs>
          <w:tab w:val="left" w:pos="8640"/>
        </w:tabs>
        <w:rPr>
          <w:szCs w:val="24"/>
        </w:rPr>
      </w:pPr>
    </w:p>
    <w:p w:rsidR="00726AF6" w:rsidP="008379E7" w14:paraId="458F12B7" w14:textId="4ACC5B35">
      <w:pPr>
        <w:tabs>
          <w:tab w:val="left" w:pos="8640"/>
        </w:tabs>
        <w:rPr>
          <w:szCs w:val="24"/>
        </w:rPr>
      </w:pPr>
      <w:r>
        <w:rPr>
          <w:i/>
          <w:iCs/>
          <w:szCs w:val="24"/>
        </w:rPr>
        <w:t>Disclosure Requirements</w:t>
      </w:r>
    </w:p>
    <w:p w:rsidR="00726AF6" w:rsidP="008379E7" w14:paraId="04BD8633" w14:textId="05944738">
      <w:pPr>
        <w:tabs>
          <w:tab w:val="left" w:pos="8640"/>
        </w:tabs>
        <w:rPr>
          <w:szCs w:val="24"/>
        </w:rPr>
      </w:pPr>
    </w:p>
    <w:p w:rsidR="00724D1D" w:rsidP="00724D1D" w14:paraId="221ECA81" w14:textId="7EC7BD66">
      <w:pPr>
        <w:tabs>
          <w:tab w:val="left" w:pos="8640"/>
        </w:tabs>
        <w:rPr>
          <w:szCs w:val="24"/>
        </w:rPr>
      </w:pPr>
      <w:r>
        <w:rPr>
          <w:szCs w:val="24"/>
        </w:rPr>
        <w:t xml:space="preserve">Section 3.20(c)(1)(xvi) </w:t>
      </w:r>
      <w:r>
        <w:rPr>
          <w:szCs w:val="24"/>
        </w:rPr>
        <w:t>requires that</w:t>
      </w:r>
      <w:r w:rsidR="004748E4">
        <w:rPr>
          <w:szCs w:val="24"/>
        </w:rPr>
        <w:t xml:space="preserve"> a</w:t>
      </w:r>
      <w:r>
        <w:rPr>
          <w:szCs w:val="24"/>
        </w:rPr>
        <w:t xml:space="preserve"> bank</w:t>
      </w:r>
      <w:r w:rsidR="00341B0B">
        <w:rPr>
          <w:szCs w:val="24"/>
        </w:rPr>
        <w:t>, subject to subpart E (Risk-Weighted Assets</w:t>
      </w:r>
      <w:r w:rsidR="004748E4">
        <w:rPr>
          <w:szCs w:val="24"/>
        </w:rPr>
        <w:t>-Expanded Risk-Based Approach)</w:t>
      </w:r>
      <w:r>
        <w:rPr>
          <w:szCs w:val="24"/>
        </w:rPr>
        <w:t xml:space="preserve"> disclose to the holders of an offering instrument (governing agreement, offering circular, or prospectus) that they may be </w:t>
      </w:r>
      <w:r w:rsidRPr="00724D1D">
        <w:rPr>
          <w:szCs w:val="24"/>
        </w:rPr>
        <w:t xml:space="preserve">fully subordinated to interests held by the U.S. government </w:t>
      </w:r>
      <w:r w:rsidRPr="00724D1D">
        <w:rPr>
          <w:szCs w:val="24"/>
        </w:rPr>
        <w:t>in the event that</w:t>
      </w:r>
      <w:r w:rsidRPr="00724D1D">
        <w:rPr>
          <w:szCs w:val="24"/>
        </w:rPr>
        <w:t xml:space="preserve"> the </w:t>
      </w:r>
      <w:r w:rsidR="005A0BCC">
        <w:rPr>
          <w:szCs w:val="24"/>
        </w:rPr>
        <w:t xml:space="preserve">bank </w:t>
      </w:r>
      <w:r w:rsidRPr="00724D1D">
        <w:rPr>
          <w:szCs w:val="24"/>
        </w:rPr>
        <w:t>enters into a receivership, insolvency, liquidation, or similar proceeding.</w:t>
      </w:r>
    </w:p>
    <w:p w:rsidR="005A0BCC" w:rsidRPr="00724D1D" w:rsidP="00724D1D" w14:paraId="3DCE5E0A" w14:textId="77777777">
      <w:pPr>
        <w:tabs>
          <w:tab w:val="left" w:pos="8640"/>
        </w:tabs>
        <w:rPr>
          <w:szCs w:val="24"/>
        </w:rPr>
      </w:pPr>
    </w:p>
    <w:p w:rsidR="00726AF6" w:rsidRPr="00726AF6" w:rsidP="00A84A71" w14:paraId="247CD4A9" w14:textId="25E32145">
      <w:pPr>
        <w:tabs>
          <w:tab w:val="left" w:pos="8640"/>
        </w:tabs>
        <w:rPr>
          <w:szCs w:val="24"/>
        </w:rPr>
      </w:pPr>
      <w:r>
        <w:rPr>
          <w:szCs w:val="24"/>
        </w:rPr>
        <w:t xml:space="preserve">Section 3.20(d)(1)(xi) </w:t>
      </w:r>
      <w:r w:rsidRPr="004748E4" w:rsidR="004748E4">
        <w:rPr>
          <w:szCs w:val="24"/>
        </w:rPr>
        <w:t xml:space="preserve">requires that a bank, subject to subpart E (Risk-Weighted Assets-Expanded Risk-Based Approach) disclose to the holders of an offering instrument (governing agreement, offering circular, or prospectus) that they may be fully subordinated to interests held by the U.S. government </w:t>
      </w:r>
      <w:r w:rsidRPr="004748E4" w:rsidR="004748E4">
        <w:rPr>
          <w:szCs w:val="24"/>
        </w:rPr>
        <w:t>in the event that</w:t>
      </w:r>
      <w:r w:rsidRPr="004748E4" w:rsidR="004748E4">
        <w:rPr>
          <w:szCs w:val="24"/>
        </w:rPr>
        <w:t xml:space="preserve"> the bank enters into a receivership, insolvency, liquidation, or similar proceeding.</w:t>
      </w:r>
    </w:p>
    <w:p w:rsidR="00C634C6" w:rsidRPr="00C43AAC" w:rsidP="00C634C6" w14:paraId="1F75B9D2" w14:textId="77777777">
      <w:pPr>
        <w:tabs>
          <w:tab w:val="left" w:pos="8640"/>
        </w:tabs>
        <w:ind w:firstLine="720"/>
        <w:rPr>
          <w:szCs w:val="24"/>
        </w:rPr>
      </w:pPr>
    </w:p>
    <w:p w:rsidR="00257A00" w:rsidRPr="00807955" w:rsidP="00A84A71" w14:paraId="2DA84F7C" w14:textId="2A4A9EE1">
      <w:pPr>
        <w:tabs>
          <w:tab w:val="left" w:pos="8640"/>
        </w:tabs>
        <w:rPr>
          <w:iCs/>
          <w:szCs w:val="24"/>
        </w:rPr>
      </w:pPr>
      <w:r>
        <w:rPr>
          <w:szCs w:val="24"/>
        </w:rPr>
        <w:t>Section</w:t>
      </w:r>
      <w:r w:rsidR="00C634C6">
        <w:rPr>
          <w:szCs w:val="24"/>
        </w:rPr>
        <w:t xml:space="preserve"> </w:t>
      </w:r>
      <w:r w:rsidRPr="00C43AAC" w:rsidR="00C634C6">
        <w:rPr>
          <w:szCs w:val="24"/>
        </w:rPr>
        <w:t>3.1</w:t>
      </w:r>
      <w:r w:rsidR="005715AA">
        <w:rPr>
          <w:szCs w:val="24"/>
        </w:rPr>
        <w:t>62</w:t>
      </w:r>
      <w:r w:rsidRPr="00C43AAC" w:rsidR="00C634C6">
        <w:rPr>
          <w:szCs w:val="24"/>
        </w:rPr>
        <w:t xml:space="preserve"> require</w:t>
      </w:r>
      <w:r w:rsidR="005715AA">
        <w:rPr>
          <w:szCs w:val="24"/>
        </w:rPr>
        <w:t>s</w:t>
      </w:r>
      <w:r w:rsidRPr="00C43AAC" w:rsidR="00C634C6">
        <w:rPr>
          <w:szCs w:val="24"/>
        </w:rPr>
        <w:t xml:space="preserve"> </w:t>
      </w:r>
      <w:r w:rsidR="005715AA">
        <w:rPr>
          <w:szCs w:val="24"/>
        </w:rPr>
        <w:t xml:space="preserve">a bank subject to subpart E </w:t>
      </w:r>
      <w:r w:rsidRPr="005715AA" w:rsidR="005715AA">
        <w:rPr>
          <w:szCs w:val="24"/>
        </w:rPr>
        <w:t xml:space="preserve">(Risk-Weighted Assets-Expanded Risk-Based Approach) </w:t>
      </w:r>
      <w:r w:rsidR="005715AA">
        <w:rPr>
          <w:szCs w:val="24"/>
        </w:rPr>
        <w:t xml:space="preserve">to make the </w:t>
      </w:r>
      <w:r w:rsidR="00EC04D0">
        <w:rPr>
          <w:szCs w:val="24"/>
        </w:rPr>
        <w:t xml:space="preserve">qualitative </w:t>
      </w:r>
      <w:r w:rsidR="005715AA">
        <w:rPr>
          <w:szCs w:val="24"/>
        </w:rPr>
        <w:t xml:space="preserve">disclosures described in Tables 1 through 14. </w:t>
      </w:r>
      <w:r w:rsidRPr="00C43AAC" w:rsidR="00C634C6">
        <w:rPr>
          <w:szCs w:val="24"/>
        </w:rPr>
        <w:t xml:space="preserve"> </w:t>
      </w:r>
      <w:r w:rsidR="005715AA">
        <w:rPr>
          <w:szCs w:val="24"/>
        </w:rPr>
        <w:t xml:space="preserve">The bank must </w:t>
      </w:r>
      <w:r w:rsidR="005715AA">
        <w:rPr>
          <w:szCs w:val="24"/>
        </w:rPr>
        <w:t xml:space="preserve">make these </w:t>
      </w:r>
      <w:r>
        <w:rPr>
          <w:szCs w:val="24"/>
        </w:rPr>
        <w:t xml:space="preserve">disclosures publicly available for each </w:t>
      </w:r>
      <w:r w:rsidRPr="00BC52C6">
        <w:rPr>
          <w:iCs/>
          <w:szCs w:val="24"/>
        </w:rPr>
        <w:t>of the last twelve quarters, or such shorter period beginning in the quarter in which the</w:t>
      </w:r>
      <w:r>
        <w:rPr>
          <w:iCs/>
          <w:szCs w:val="24"/>
        </w:rPr>
        <w:t xml:space="preserve"> bank</w:t>
      </w:r>
      <w:r w:rsidRPr="00BC52C6">
        <w:rPr>
          <w:iCs/>
          <w:szCs w:val="24"/>
        </w:rPr>
        <w:t xml:space="preserve"> becomes subject to subpart E</w:t>
      </w:r>
      <w:r w:rsidR="00EC04D0">
        <w:rPr>
          <w:iCs/>
          <w:szCs w:val="24"/>
        </w:rPr>
        <w:t>.</w:t>
      </w:r>
      <w:r>
        <w:rPr>
          <w:iCs/>
          <w:szCs w:val="24"/>
        </w:rPr>
        <w:t xml:space="preserve"> The </w:t>
      </w:r>
      <w:r w:rsidR="00807955">
        <w:rPr>
          <w:iCs/>
          <w:szCs w:val="24"/>
        </w:rPr>
        <w:t xml:space="preserve">tables require public </w:t>
      </w:r>
      <w:r>
        <w:rPr>
          <w:iCs/>
          <w:szCs w:val="24"/>
        </w:rPr>
        <w:t>disclosures</w:t>
      </w:r>
      <w:r w:rsidR="001179FD">
        <w:rPr>
          <w:iCs/>
          <w:szCs w:val="24"/>
        </w:rPr>
        <w:t xml:space="preserve"> </w:t>
      </w:r>
      <w:r w:rsidR="00070737">
        <w:rPr>
          <w:iCs/>
          <w:szCs w:val="24"/>
        </w:rPr>
        <w:t>fo</w:t>
      </w:r>
      <w:r w:rsidR="00807955">
        <w:rPr>
          <w:iCs/>
          <w:szCs w:val="24"/>
        </w:rPr>
        <w:t xml:space="preserve">r </w:t>
      </w:r>
      <w:r w:rsidRPr="00807955" w:rsidR="00807955">
        <w:rPr>
          <w:iCs/>
          <w:szCs w:val="24"/>
        </w:rPr>
        <w:t>scope of application</w:t>
      </w:r>
      <w:r w:rsidR="00807955">
        <w:rPr>
          <w:iCs/>
          <w:szCs w:val="24"/>
        </w:rPr>
        <w:t xml:space="preserve">, </w:t>
      </w:r>
      <w:r w:rsidRPr="00807955" w:rsidR="00807955">
        <w:rPr>
          <w:iCs/>
          <w:szCs w:val="24"/>
        </w:rPr>
        <w:t>capital structure</w:t>
      </w:r>
      <w:r w:rsidR="00807955">
        <w:rPr>
          <w:iCs/>
          <w:szCs w:val="24"/>
        </w:rPr>
        <w:t>,</w:t>
      </w:r>
      <w:r w:rsidRPr="00807955" w:rsidR="00807955">
        <w:rPr>
          <w:szCs w:val="24"/>
        </w:rPr>
        <w:t xml:space="preserve"> </w:t>
      </w:r>
      <w:r w:rsidRPr="00807955" w:rsidR="00807955">
        <w:rPr>
          <w:iCs/>
          <w:szCs w:val="24"/>
        </w:rPr>
        <w:t xml:space="preserve">capital </w:t>
      </w:r>
      <w:r w:rsidR="00807955">
        <w:rPr>
          <w:iCs/>
          <w:szCs w:val="24"/>
        </w:rPr>
        <w:t xml:space="preserve">adequacy, </w:t>
      </w:r>
      <w:r w:rsidRPr="00807955" w:rsidR="00807955">
        <w:rPr>
          <w:iCs/>
          <w:szCs w:val="24"/>
        </w:rPr>
        <w:t>countercyclical capital buffer</w:t>
      </w:r>
      <w:r w:rsidR="00807955">
        <w:rPr>
          <w:iCs/>
          <w:szCs w:val="24"/>
        </w:rPr>
        <w:t xml:space="preserve">, </w:t>
      </w:r>
      <w:r w:rsidRPr="00807955" w:rsidR="00807955">
        <w:rPr>
          <w:iCs/>
          <w:szCs w:val="24"/>
        </w:rPr>
        <w:t>general disclosures related to credit risk</w:t>
      </w:r>
      <w:r w:rsidR="00807955">
        <w:rPr>
          <w:iCs/>
          <w:szCs w:val="24"/>
        </w:rPr>
        <w:t xml:space="preserve">, </w:t>
      </w:r>
      <w:r w:rsidRPr="00807955" w:rsidR="00807955">
        <w:rPr>
          <w:iCs/>
          <w:szCs w:val="24"/>
        </w:rPr>
        <w:t>general disclosures related to counterparty credit risk-related exposures</w:t>
      </w:r>
      <w:r w:rsidR="00807955">
        <w:rPr>
          <w:iCs/>
          <w:szCs w:val="24"/>
        </w:rPr>
        <w:t xml:space="preserve">, </w:t>
      </w:r>
      <w:r w:rsidRPr="00807955" w:rsidR="00807955">
        <w:rPr>
          <w:iCs/>
          <w:szCs w:val="24"/>
        </w:rPr>
        <w:t>credit risk mitigation</w:t>
      </w:r>
      <w:r w:rsidR="00807955">
        <w:rPr>
          <w:iCs/>
          <w:szCs w:val="24"/>
        </w:rPr>
        <w:t xml:space="preserve">, </w:t>
      </w:r>
      <w:r w:rsidRPr="00807955" w:rsidR="00807955">
        <w:rPr>
          <w:iCs/>
          <w:szCs w:val="24"/>
        </w:rPr>
        <w:t>securitization</w:t>
      </w:r>
      <w:r w:rsidR="00807955">
        <w:rPr>
          <w:iCs/>
          <w:szCs w:val="24"/>
        </w:rPr>
        <w:t xml:space="preserve">, </w:t>
      </w:r>
      <w:r w:rsidRPr="00807955" w:rsidR="00807955">
        <w:rPr>
          <w:iCs/>
          <w:szCs w:val="24"/>
        </w:rPr>
        <w:t xml:space="preserve"> </w:t>
      </w:r>
      <w:r w:rsidRPr="00807955" w:rsidR="00807955">
        <w:rPr>
          <w:iCs/>
          <w:szCs w:val="24"/>
        </w:rPr>
        <w:t xml:space="preserve">equities not subject to </w:t>
      </w:r>
      <w:r w:rsidR="00807955">
        <w:rPr>
          <w:iCs/>
          <w:szCs w:val="24"/>
        </w:rPr>
        <w:t>s</w:t>
      </w:r>
      <w:r w:rsidRPr="00807955" w:rsidR="00807955">
        <w:rPr>
          <w:iCs/>
          <w:szCs w:val="24"/>
        </w:rPr>
        <w:t>ubpart F</w:t>
      </w:r>
      <w:r w:rsidR="00807955">
        <w:rPr>
          <w:iCs/>
          <w:szCs w:val="24"/>
        </w:rPr>
        <w:t>,</w:t>
      </w:r>
      <w:r w:rsidR="001179FD">
        <w:rPr>
          <w:iCs/>
          <w:szCs w:val="24"/>
        </w:rPr>
        <w:t xml:space="preserve"> </w:t>
      </w:r>
      <w:r w:rsidRPr="00807955" w:rsidR="00807955">
        <w:rPr>
          <w:iCs/>
          <w:szCs w:val="24"/>
        </w:rPr>
        <w:t>interest rate risk for non-trading activities</w:t>
      </w:r>
      <w:r w:rsidR="001179FD">
        <w:rPr>
          <w:iCs/>
          <w:szCs w:val="24"/>
        </w:rPr>
        <w:t>,</w:t>
      </w:r>
      <w:r w:rsidRPr="001179FD" w:rsidR="001179FD">
        <w:rPr>
          <w:szCs w:val="24"/>
        </w:rPr>
        <w:t xml:space="preserve"> </w:t>
      </w:r>
      <w:r w:rsidRPr="001179FD" w:rsidR="001179FD">
        <w:rPr>
          <w:iCs/>
          <w:szCs w:val="24"/>
        </w:rPr>
        <w:t>additional disclosure related to the credit quality of assets</w:t>
      </w:r>
      <w:r w:rsidR="001179FD">
        <w:rPr>
          <w:iCs/>
          <w:szCs w:val="24"/>
        </w:rPr>
        <w:t xml:space="preserve">, </w:t>
      </w:r>
      <w:r w:rsidRPr="001179FD" w:rsidR="001179FD">
        <w:rPr>
          <w:iCs/>
          <w:szCs w:val="24"/>
        </w:rPr>
        <w:t>general qualitative disclosure requirements related to CVA</w:t>
      </w:r>
      <w:r w:rsidR="001179FD">
        <w:rPr>
          <w:iCs/>
          <w:szCs w:val="24"/>
        </w:rPr>
        <w:t xml:space="preserve">,  </w:t>
      </w:r>
      <w:r w:rsidRPr="001179FD" w:rsidR="001179FD">
        <w:rPr>
          <w:szCs w:val="24"/>
        </w:rPr>
        <w:t xml:space="preserve"> qualitative disclosures for banks using the SA-CVA</w:t>
      </w:r>
      <w:r w:rsidR="001179FD">
        <w:rPr>
          <w:szCs w:val="24"/>
        </w:rPr>
        <w:t xml:space="preserve">, and </w:t>
      </w:r>
      <w:r w:rsidRPr="001179FD" w:rsidR="001179FD">
        <w:rPr>
          <w:szCs w:val="24"/>
        </w:rPr>
        <w:t>general qualitative information on operational risk framework</w:t>
      </w:r>
      <w:r w:rsidR="001179FD">
        <w:rPr>
          <w:szCs w:val="24"/>
        </w:rPr>
        <w:t xml:space="preserve">. </w:t>
      </w:r>
    </w:p>
    <w:p w:rsidR="00C43AAC" w:rsidRPr="00C43AAC" w:rsidP="00A84A71" w14:paraId="672BCAC8" w14:textId="77777777"/>
    <w:p w:rsidR="00C54890" w:rsidRPr="001950B5" w:rsidP="003E2856" w14:paraId="09E14C51" w14:textId="77777777">
      <w:pPr>
        <w:tabs>
          <w:tab w:val="left" w:pos="8640"/>
        </w:tabs>
        <w:ind w:right="653"/>
        <w:rPr>
          <w:b/>
          <w:bCs/>
          <w:i/>
          <w:iCs/>
          <w:szCs w:val="24"/>
        </w:rPr>
      </w:pPr>
      <w:r w:rsidRPr="001950B5">
        <w:rPr>
          <w:b/>
          <w:bCs/>
          <w:i/>
          <w:iCs/>
          <w:szCs w:val="24"/>
        </w:rPr>
        <w:t>3.  Consideration of the use of improved information technology:</w:t>
      </w:r>
    </w:p>
    <w:p w:rsidR="00C54890" w:rsidRPr="00C43AAC" w:rsidP="003E2856" w14:paraId="2339778D" w14:textId="77777777">
      <w:pPr>
        <w:tabs>
          <w:tab w:val="left" w:pos="8640"/>
        </w:tabs>
        <w:ind w:right="653"/>
        <w:rPr>
          <w:szCs w:val="24"/>
        </w:rPr>
      </w:pPr>
    </w:p>
    <w:p w:rsidR="00C54890" w:rsidRPr="00C43AAC" w:rsidP="003E2856" w14:paraId="6EAC1192" w14:textId="69B84C9D">
      <w:pPr>
        <w:pStyle w:val="BodyText"/>
        <w:tabs>
          <w:tab w:val="left" w:pos="8640"/>
        </w:tabs>
        <w:ind w:right="653" w:firstLine="720"/>
        <w:rPr>
          <w:i w:val="0"/>
          <w:iCs w:val="0"/>
          <w:szCs w:val="24"/>
        </w:rPr>
      </w:pPr>
      <w:r w:rsidRPr="00C43AAC">
        <w:rPr>
          <w:i w:val="0"/>
          <w:iCs w:val="0"/>
          <w:szCs w:val="24"/>
        </w:rPr>
        <w:t>National banks</w:t>
      </w:r>
      <w:r w:rsidRPr="00C43AAC">
        <w:rPr>
          <w:i w:val="0"/>
          <w:iCs w:val="0"/>
          <w:szCs w:val="24"/>
        </w:rPr>
        <w:t xml:space="preserve"> </w:t>
      </w:r>
      <w:r w:rsidRPr="00C43AAC" w:rsidR="007E6B0A">
        <w:rPr>
          <w:i w:val="0"/>
          <w:iCs w:val="0"/>
          <w:szCs w:val="24"/>
        </w:rPr>
        <w:t>and</w:t>
      </w:r>
      <w:r w:rsidR="00876EB1">
        <w:rPr>
          <w:i w:val="0"/>
          <w:iCs w:val="0"/>
          <w:szCs w:val="24"/>
        </w:rPr>
        <w:t xml:space="preserve"> F</w:t>
      </w:r>
      <w:r w:rsidRPr="00C43AAC" w:rsidR="007E6B0A">
        <w:rPr>
          <w:i w:val="0"/>
          <w:iCs w:val="0"/>
          <w:szCs w:val="24"/>
        </w:rPr>
        <w:t xml:space="preserve">ederal savings associations </w:t>
      </w:r>
      <w:r w:rsidRPr="00C43AAC">
        <w:rPr>
          <w:i w:val="0"/>
          <w:iCs w:val="0"/>
          <w:szCs w:val="24"/>
        </w:rPr>
        <w:t>may use any information technology that permits review by OCC examiners.</w:t>
      </w:r>
    </w:p>
    <w:p w:rsidR="00C54890" w:rsidRPr="00C43AAC" w:rsidP="003E2856" w14:paraId="5A2AF477" w14:textId="77777777">
      <w:pPr>
        <w:tabs>
          <w:tab w:val="left" w:pos="8640"/>
        </w:tabs>
        <w:ind w:right="653"/>
        <w:rPr>
          <w:szCs w:val="24"/>
        </w:rPr>
      </w:pPr>
    </w:p>
    <w:p w:rsidR="00C54890" w:rsidRPr="001950B5" w:rsidP="003E2856" w14:paraId="3CF15EC2" w14:textId="77777777">
      <w:pPr>
        <w:tabs>
          <w:tab w:val="left" w:pos="8640"/>
        </w:tabs>
        <w:ind w:right="653"/>
        <w:rPr>
          <w:b/>
          <w:bCs/>
          <w:i/>
          <w:iCs/>
          <w:szCs w:val="24"/>
        </w:rPr>
      </w:pPr>
      <w:r w:rsidRPr="001950B5">
        <w:rPr>
          <w:b/>
          <w:bCs/>
          <w:i/>
          <w:iCs/>
          <w:szCs w:val="24"/>
        </w:rPr>
        <w:t>4.  Efforts to identify duplication:</w:t>
      </w:r>
    </w:p>
    <w:p w:rsidR="00C54890" w:rsidRPr="00C43AAC" w:rsidP="003E2856" w14:paraId="12CD170A" w14:textId="77777777">
      <w:pPr>
        <w:tabs>
          <w:tab w:val="left" w:pos="8640"/>
        </w:tabs>
        <w:ind w:right="653"/>
        <w:rPr>
          <w:szCs w:val="24"/>
        </w:rPr>
      </w:pPr>
    </w:p>
    <w:p w:rsidR="00C54890" w:rsidRPr="00C43AAC" w:rsidP="003E2856" w14:paraId="60F996F3" w14:textId="77777777">
      <w:pPr>
        <w:tabs>
          <w:tab w:val="left" w:pos="8640"/>
        </w:tabs>
        <w:ind w:right="653" w:firstLine="720"/>
        <w:rPr>
          <w:szCs w:val="24"/>
        </w:rPr>
      </w:pPr>
      <w:r w:rsidRPr="00C43AAC">
        <w:rPr>
          <w:szCs w:val="24"/>
        </w:rPr>
        <w:t>The required information is unique and is not duplicative of any other information already collected.</w:t>
      </w:r>
      <w:r w:rsidRPr="00C43AAC" w:rsidR="00645D36">
        <w:rPr>
          <w:szCs w:val="24"/>
        </w:rPr>
        <w:t xml:space="preserve">  </w:t>
      </w:r>
    </w:p>
    <w:p w:rsidR="00F94A9E" w:rsidP="003E2856" w14:paraId="6220CA95" w14:textId="77777777">
      <w:pPr>
        <w:pStyle w:val="BodyText"/>
        <w:widowControl w:val="0"/>
        <w:ind w:left="100" w:right="861"/>
        <w:rPr>
          <w:b/>
          <w:bCs/>
        </w:rPr>
      </w:pPr>
    </w:p>
    <w:p w:rsidR="006779FF" w:rsidP="003E2856" w14:paraId="1F089BF5"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6779FF" w:rsidP="003E2856" w14:paraId="2853DA13" w14:textId="77777777"/>
    <w:p w:rsidR="006779FF" w:rsidP="003E2856" w14:paraId="33E1DD1A" w14:textId="77777777">
      <w:pPr>
        <w:ind w:firstLine="720"/>
        <w:rPr>
          <w:color w:val="000000"/>
        </w:rPr>
      </w:pPr>
      <w:r>
        <w:rPr>
          <w:color w:val="000000"/>
        </w:rPr>
        <w:t>There are no alternatives that would result in lowering the burden on small institutions, while still accomplishing the purpose of the rule.</w:t>
      </w:r>
    </w:p>
    <w:p w:rsidR="00C54890" w:rsidRPr="00A6703F" w:rsidP="003E2856" w14:paraId="7AEBEBE2" w14:textId="77777777">
      <w:pPr>
        <w:tabs>
          <w:tab w:val="left" w:pos="8640"/>
        </w:tabs>
        <w:ind w:right="653"/>
        <w:rPr>
          <w:szCs w:val="24"/>
        </w:rPr>
      </w:pPr>
    </w:p>
    <w:p w:rsidR="00C54890" w:rsidRPr="001950B5" w:rsidP="003E2856" w14:paraId="47C53B35" w14:textId="77777777">
      <w:pPr>
        <w:pStyle w:val="BodyText"/>
        <w:tabs>
          <w:tab w:val="left" w:pos="8640"/>
        </w:tabs>
        <w:ind w:right="653"/>
        <w:rPr>
          <w:b/>
          <w:bCs/>
          <w:szCs w:val="24"/>
        </w:rPr>
      </w:pPr>
      <w:r w:rsidRPr="001950B5">
        <w:rPr>
          <w:b/>
          <w:bCs/>
          <w:szCs w:val="24"/>
        </w:rPr>
        <w:t>6.  Consequences to the Federal program if the collection were conducted less frequently:</w:t>
      </w:r>
    </w:p>
    <w:p w:rsidR="00C54890" w:rsidRPr="00A6703F" w:rsidP="003E2856" w14:paraId="747D2EB3" w14:textId="77777777">
      <w:pPr>
        <w:tabs>
          <w:tab w:val="left" w:pos="8640"/>
        </w:tabs>
        <w:ind w:right="653"/>
        <w:rPr>
          <w:szCs w:val="24"/>
        </w:rPr>
      </w:pPr>
    </w:p>
    <w:p w:rsidR="00C54890" w:rsidRPr="00A6703F" w:rsidP="003E2856" w14:paraId="0175900D" w14:textId="77777777">
      <w:pPr>
        <w:tabs>
          <w:tab w:val="left" w:pos="8640"/>
        </w:tabs>
        <w:ind w:right="653" w:firstLine="720"/>
        <w:rPr>
          <w:szCs w:val="24"/>
        </w:rPr>
      </w:pPr>
      <w:r w:rsidRPr="00A6703F">
        <w:rPr>
          <w:szCs w:val="24"/>
        </w:rPr>
        <w:t xml:space="preserve">The OCC will not be able to adequately monitor capital levels </w:t>
      </w:r>
      <w:r w:rsidRPr="00A6703F" w:rsidR="00D61564">
        <w:rPr>
          <w:szCs w:val="24"/>
        </w:rPr>
        <w:t>and ensure safety and soundness if the collection were conducted less frequently.</w:t>
      </w:r>
    </w:p>
    <w:p w:rsidR="008C2ED6" w:rsidP="003E2856" w14:paraId="07C454B0" w14:textId="77777777">
      <w:pPr>
        <w:pStyle w:val="BodyText"/>
        <w:tabs>
          <w:tab w:val="left" w:pos="8640"/>
        </w:tabs>
        <w:ind w:right="653"/>
        <w:rPr>
          <w:b/>
          <w:bCs/>
          <w:szCs w:val="24"/>
        </w:rPr>
      </w:pPr>
    </w:p>
    <w:p w:rsidR="00C54890" w:rsidRPr="001950B5" w:rsidP="003E2856" w14:paraId="7E803EFD" w14:textId="5B6D362D">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rsidR="00C54890" w:rsidRPr="00A6703F" w:rsidP="003E2856" w14:paraId="18FD637D" w14:textId="77777777">
      <w:pPr>
        <w:tabs>
          <w:tab w:val="left" w:pos="8640"/>
        </w:tabs>
        <w:ind w:right="653"/>
        <w:rPr>
          <w:szCs w:val="24"/>
        </w:rPr>
      </w:pPr>
    </w:p>
    <w:p w:rsidR="00C54890" w:rsidRPr="00A6703F" w:rsidP="003E2856" w14:paraId="4BDE801C" w14:textId="6BDDD015">
      <w:pPr>
        <w:tabs>
          <w:tab w:val="left" w:pos="8640"/>
        </w:tabs>
        <w:ind w:right="653" w:firstLine="720"/>
        <w:rPr>
          <w:szCs w:val="24"/>
        </w:rPr>
      </w:pPr>
      <w:r w:rsidRPr="00A6703F">
        <w:rPr>
          <w:szCs w:val="24"/>
        </w:rPr>
        <w:t xml:space="preserve">The information collection </w:t>
      </w:r>
      <w:r w:rsidR="00F45985">
        <w:rPr>
          <w:szCs w:val="24"/>
        </w:rPr>
        <w:t>is</w:t>
      </w:r>
      <w:r w:rsidRPr="00A6703F">
        <w:rPr>
          <w:szCs w:val="24"/>
        </w:rPr>
        <w:t xml:space="preserve"> conducted in a manner consist</w:t>
      </w:r>
      <w:r w:rsidR="00047199">
        <w:rPr>
          <w:szCs w:val="24"/>
        </w:rPr>
        <w:t>ent with 5 CFR p</w:t>
      </w:r>
      <w:r w:rsidRPr="00A6703F">
        <w:rPr>
          <w:szCs w:val="24"/>
        </w:rPr>
        <w:t>art 1320.</w:t>
      </w:r>
    </w:p>
    <w:p w:rsidR="00C54890" w:rsidRPr="00A6703F" w:rsidP="003E2856" w14:paraId="31E599E0" w14:textId="77777777">
      <w:pPr>
        <w:pStyle w:val="BodyText"/>
        <w:tabs>
          <w:tab w:val="left" w:pos="8640"/>
        </w:tabs>
        <w:ind w:right="653"/>
        <w:rPr>
          <w:b/>
          <w:bCs/>
          <w:i w:val="0"/>
          <w:szCs w:val="24"/>
        </w:rPr>
      </w:pPr>
    </w:p>
    <w:p w:rsidR="00C54890" w:rsidRPr="001950B5" w:rsidP="003E2856" w14:paraId="504CE8D6" w14:textId="77777777">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rsidR="00C54890" w:rsidRPr="00A6703F" w:rsidP="003E2856" w14:paraId="318D3801" w14:textId="77777777">
      <w:pPr>
        <w:tabs>
          <w:tab w:val="left" w:pos="8640"/>
        </w:tabs>
        <w:autoSpaceDE w:val="0"/>
        <w:autoSpaceDN w:val="0"/>
        <w:adjustRightInd w:val="0"/>
        <w:ind w:right="653"/>
        <w:rPr>
          <w:szCs w:val="24"/>
        </w:rPr>
      </w:pPr>
    </w:p>
    <w:p w:rsidR="00CB2517" w:rsidP="00F45985" w14:paraId="4C2C7569" w14:textId="5DD7420C">
      <w:pPr>
        <w:pStyle w:val="Default"/>
        <w:ind w:firstLine="720"/>
        <w:rPr>
          <w:rFonts w:ascii="Times New Roman" w:hAnsi="Times New Roman" w:cs="Times New Roman"/>
        </w:rPr>
      </w:pPr>
      <w:r>
        <w:rPr>
          <w:rFonts w:ascii="Times New Roman" w:hAnsi="Times New Roman" w:cs="Times New Roman"/>
        </w:rPr>
        <w:t xml:space="preserve">The OCC along with the FDIC and Federal Reserve Board issued a notice of proposed rulemaking for the collection in the Federal Register (88 FR 64028, September 18, 2023). </w:t>
      </w:r>
    </w:p>
    <w:p w:rsidR="00F45985" w:rsidP="00F45985" w14:paraId="59C2A0D8" w14:textId="77777777">
      <w:pPr>
        <w:pStyle w:val="Default"/>
        <w:ind w:firstLine="720"/>
      </w:pPr>
    </w:p>
    <w:p w:rsidR="00C54890" w:rsidRPr="001950B5" w14:paraId="60A12179" w14:textId="77777777">
      <w:pPr>
        <w:pStyle w:val="BodyText"/>
        <w:tabs>
          <w:tab w:val="left" w:pos="8640"/>
        </w:tabs>
        <w:ind w:right="653"/>
        <w:rPr>
          <w:b/>
          <w:bCs/>
          <w:szCs w:val="24"/>
        </w:rPr>
      </w:pPr>
      <w:r w:rsidRPr="001950B5">
        <w:rPr>
          <w:b/>
          <w:bCs/>
          <w:szCs w:val="24"/>
        </w:rPr>
        <w:t>9.  Payment or gift to respondents:</w:t>
      </w:r>
    </w:p>
    <w:p w:rsidR="00C54890" w:rsidRPr="00A6703F" w14:paraId="208E011E" w14:textId="77777777">
      <w:pPr>
        <w:tabs>
          <w:tab w:val="left" w:pos="8640"/>
        </w:tabs>
        <w:ind w:right="653"/>
        <w:rPr>
          <w:szCs w:val="24"/>
        </w:rPr>
      </w:pPr>
    </w:p>
    <w:p w:rsidR="00C54890" w:rsidRPr="00A6703F" w14:paraId="02CD8D6E" w14:textId="77777777">
      <w:pPr>
        <w:tabs>
          <w:tab w:val="left" w:pos="8640"/>
        </w:tabs>
        <w:ind w:right="653" w:firstLine="720"/>
        <w:rPr>
          <w:szCs w:val="24"/>
        </w:rPr>
      </w:pPr>
      <w:r w:rsidRPr="00A6703F">
        <w:rPr>
          <w:szCs w:val="24"/>
        </w:rPr>
        <w:t>None.</w:t>
      </w:r>
    </w:p>
    <w:p w:rsidR="00C54890" w:rsidRPr="00A6703F" w14:paraId="22B76AE9" w14:textId="77777777">
      <w:pPr>
        <w:tabs>
          <w:tab w:val="left" w:pos="8640"/>
        </w:tabs>
        <w:ind w:right="653"/>
        <w:rPr>
          <w:szCs w:val="24"/>
        </w:rPr>
      </w:pPr>
    </w:p>
    <w:p w:rsidR="00C54890" w:rsidRPr="001950B5" w14:paraId="718D3E17" w14:textId="77777777">
      <w:pPr>
        <w:pStyle w:val="BodyText"/>
        <w:tabs>
          <w:tab w:val="left" w:pos="8640"/>
        </w:tabs>
        <w:ind w:right="653"/>
        <w:rPr>
          <w:b/>
          <w:bCs/>
          <w:szCs w:val="24"/>
        </w:rPr>
      </w:pPr>
      <w:r w:rsidRPr="001950B5">
        <w:rPr>
          <w:b/>
          <w:bCs/>
          <w:szCs w:val="24"/>
        </w:rPr>
        <w:t>10.  Any assurance of confidentiality:</w:t>
      </w:r>
    </w:p>
    <w:p w:rsidR="00C54890" w:rsidRPr="00A6703F" w14:paraId="5293FA35" w14:textId="77777777">
      <w:pPr>
        <w:tabs>
          <w:tab w:val="left" w:pos="8640"/>
        </w:tabs>
        <w:ind w:right="653"/>
        <w:rPr>
          <w:szCs w:val="24"/>
        </w:rPr>
      </w:pPr>
    </w:p>
    <w:p w:rsidR="00C54890" w:rsidRPr="00A6703F" w14:paraId="11F294DB" w14:textId="74740E70">
      <w:pPr>
        <w:tabs>
          <w:tab w:val="left" w:pos="8640"/>
        </w:tabs>
        <w:ind w:right="653" w:firstLine="720"/>
        <w:rPr>
          <w:szCs w:val="24"/>
        </w:rPr>
      </w:pPr>
      <w:r>
        <w:rPr>
          <w:szCs w:val="24"/>
        </w:rPr>
        <w:t xml:space="preserve">While certain disclosures are required to be made public, most of the collection requirements involve confidential supervisory information and </w:t>
      </w:r>
      <w:r w:rsidRPr="00A6703F">
        <w:rPr>
          <w:szCs w:val="24"/>
        </w:rPr>
        <w:t xml:space="preserve">will be kept </w:t>
      </w:r>
      <w:r>
        <w:rPr>
          <w:szCs w:val="24"/>
        </w:rPr>
        <w:t xml:space="preserve">confidential </w:t>
      </w:r>
      <w:r w:rsidR="00E877DE">
        <w:rPr>
          <w:szCs w:val="24"/>
        </w:rPr>
        <w:t>to the extent permitted by law.</w:t>
      </w:r>
    </w:p>
    <w:p w:rsidR="00F9437E" w14:paraId="2245419E" w14:textId="77777777">
      <w:pPr>
        <w:pStyle w:val="BodyText"/>
        <w:tabs>
          <w:tab w:val="left" w:pos="8640"/>
        </w:tabs>
        <w:ind w:right="653"/>
        <w:rPr>
          <w:b/>
          <w:bCs/>
          <w:i w:val="0"/>
          <w:szCs w:val="24"/>
        </w:rPr>
      </w:pPr>
    </w:p>
    <w:p w:rsidR="00C54890" w:rsidRPr="001950B5" w14:paraId="55F31CBE" w14:textId="77777777">
      <w:pPr>
        <w:pStyle w:val="BodyText"/>
        <w:tabs>
          <w:tab w:val="left" w:pos="8640"/>
        </w:tabs>
        <w:ind w:right="653"/>
        <w:rPr>
          <w:b/>
          <w:bCs/>
          <w:szCs w:val="24"/>
        </w:rPr>
      </w:pPr>
      <w:r w:rsidRPr="001950B5">
        <w:rPr>
          <w:b/>
          <w:bCs/>
          <w:szCs w:val="24"/>
        </w:rPr>
        <w:t>11.  Justification for questions of a sensitive nature:</w:t>
      </w:r>
    </w:p>
    <w:p w:rsidR="00C54890" w:rsidRPr="00A6703F" w14:paraId="6AA296C3" w14:textId="77777777">
      <w:pPr>
        <w:tabs>
          <w:tab w:val="left" w:pos="8640"/>
        </w:tabs>
        <w:ind w:right="653"/>
        <w:rPr>
          <w:szCs w:val="24"/>
        </w:rPr>
      </w:pPr>
    </w:p>
    <w:p w:rsidR="008C2ED6" w14:paraId="7A7EACB3" w14:textId="6F3B4D10">
      <w:pPr>
        <w:tabs>
          <w:tab w:val="left" w:pos="8640"/>
        </w:tabs>
        <w:ind w:right="653" w:firstLine="720"/>
        <w:rPr>
          <w:szCs w:val="24"/>
        </w:rPr>
      </w:pPr>
      <w:r w:rsidRPr="00A6703F">
        <w:rPr>
          <w:szCs w:val="24"/>
        </w:rPr>
        <w:t xml:space="preserve">There are no </w:t>
      </w:r>
      <w:r w:rsidRPr="00A6703F" w:rsidR="00D61564">
        <w:rPr>
          <w:szCs w:val="24"/>
        </w:rPr>
        <w:t>questions of a sensitive nature in the information collection.</w:t>
      </w:r>
    </w:p>
    <w:p w:rsidR="00C54890" w:rsidRPr="00A6703F" w:rsidP="00A84A71" w14:paraId="7AA6E20F" w14:textId="77777777">
      <w:pPr>
        <w:rPr>
          <w:szCs w:val="24"/>
        </w:rPr>
      </w:pPr>
    </w:p>
    <w:p w:rsidR="00AE31F3" w14:paraId="201899F3" w14:textId="77777777">
      <w:pPr>
        <w:rPr>
          <w:b/>
          <w:bCs/>
          <w:i/>
          <w:szCs w:val="24"/>
        </w:rPr>
      </w:pPr>
    </w:p>
    <w:p w:rsidR="00A61077" w14:paraId="66B54E99" w14:textId="77777777">
      <w:pPr>
        <w:rPr>
          <w:b/>
          <w:bCs/>
          <w:i/>
          <w:szCs w:val="24"/>
        </w:rPr>
      </w:pPr>
      <w:r w:rsidRPr="001950B5">
        <w:rPr>
          <w:b/>
          <w:bCs/>
          <w:i/>
          <w:szCs w:val="24"/>
        </w:rPr>
        <w:t>12.  Burden estimate:</w:t>
      </w:r>
    </w:p>
    <w:p w:rsidR="00967E66" w14:paraId="54952AD5" w14:textId="77777777">
      <w:pPr>
        <w:rPr>
          <w:b/>
          <w:bCs/>
          <w:i/>
          <w:szCs w:val="24"/>
        </w:rPr>
      </w:pPr>
    </w:p>
    <w:p w:rsidR="00967E66" w:rsidRPr="00A6703F" w:rsidP="00967E66" w14:paraId="799912C1" w14:textId="77777777">
      <w:pPr>
        <w:pStyle w:val="BodyText"/>
        <w:tabs>
          <w:tab w:val="left" w:pos="8640"/>
        </w:tabs>
        <w:ind w:right="653"/>
        <w:rPr>
          <w:b/>
          <w:bCs/>
          <w:i w:val="0"/>
          <w:szCs w:val="24"/>
        </w:rPr>
      </w:pPr>
    </w:p>
    <w:tbl>
      <w:tblPr>
        <w:tblStyle w:val="TableGrid1"/>
        <w:tblW w:w="10260" w:type="dxa"/>
        <w:tblInd w:w="-95" w:type="dxa"/>
        <w:tblLayout w:type="fixed"/>
        <w:tblLook w:val="04A0"/>
      </w:tblPr>
      <w:tblGrid>
        <w:gridCol w:w="1890"/>
        <w:gridCol w:w="1080"/>
        <w:gridCol w:w="1710"/>
        <w:gridCol w:w="1440"/>
        <w:gridCol w:w="1260"/>
        <w:gridCol w:w="1260"/>
        <w:gridCol w:w="1620"/>
      </w:tblGrid>
      <w:tr w14:paraId="625BD1D8" w14:textId="77777777" w:rsidTr="00A84A71">
        <w:tblPrEx>
          <w:tblW w:w="10260" w:type="dxa"/>
          <w:tblInd w:w="-95" w:type="dxa"/>
          <w:tblLayout w:type="fixed"/>
          <w:tblLook w:val="04A0"/>
        </w:tblPrEx>
        <w:tc>
          <w:tcPr>
            <w:tcW w:w="1890" w:type="dxa"/>
            <w:shd w:val="pct20" w:color="auto" w:fill="auto"/>
          </w:tcPr>
          <w:p w:rsidR="00876EB1" w:rsidRPr="00DE3184" w:rsidP="00637286" w14:paraId="2229A999"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Section</w:t>
            </w:r>
          </w:p>
        </w:tc>
        <w:tc>
          <w:tcPr>
            <w:tcW w:w="1080" w:type="dxa"/>
            <w:shd w:val="pct20" w:color="auto" w:fill="auto"/>
          </w:tcPr>
          <w:p w:rsidR="00876EB1" w:rsidRPr="00DE3184" w:rsidP="00637286" w14:paraId="335C0682"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One-time</w:t>
            </w:r>
          </w:p>
          <w:p w:rsidR="00876EB1" w:rsidRPr="00DE3184" w:rsidP="00637286" w14:paraId="6C727E58"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v.</w:t>
            </w:r>
          </w:p>
          <w:p w:rsidR="00876EB1" w:rsidRPr="00DE3184" w:rsidP="00637286" w14:paraId="7F65DCFE"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Ongoing</w:t>
            </w:r>
          </w:p>
        </w:tc>
        <w:tc>
          <w:tcPr>
            <w:tcW w:w="1710" w:type="dxa"/>
            <w:shd w:val="pct20" w:color="auto" w:fill="auto"/>
          </w:tcPr>
          <w:p w:rsidR="00876EB1" w:rsidRPr="00DE3184" w:rsidP="00637286" w14:paraId="01DBF330"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Burden</w:t>
            </w:r>
          </w:p>
          <w:p w:rsidR="00876EB1" w:rsidRPr="00DE3184" w:rsidP="00637286" w14:paraId="6E0D361A"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Type</w:t>
            </w:r>
          </w:p>
        </w:tc>
        <w:tc>
          <w:tcPr>
            <w:tcW w:w="1440" w:type="dxa"/>
            <w:shd w:val="pct20" w:color="auto" w:fill="auto"/>
          </w:tcPr>
          <w:p w:rsidR="00876EB1" w:rsidRPr="00DE3184" w:rsidP="00637286" w14:paraId="0BE17019"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Number of</w:t>
            </w:r>
          </w:p>
          <w:p w:rsidR="00876EB1" w:rsidRPr="00DE3184" w:rsidP="00637286" w14:paraId="629621CF"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Respondents</w:t>
            </w:r>
          </w:p>
        </w:tc>
        <w:tc>
          <w:tcPr>
            <w:tcW w:w="1260" w:type="dxa"/>
            <w:shd w:val="pct20" w:color="auto" w:fill="auto"/>
          </w:tcPr>
          <w:p w:rsidR="00876EB1" w:rsidRPr="00DE3184" w:rsidP="00637286" w14:paraId="349BDAEA"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Responses</w:t>
            </w:r>
          </w:p>
          <w:p w:rsidR="00876EB1" w:rsidRPr="00DE3184" w:rsidP="00637286" w14:paraId="5A2A1F3E"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per</w:t>
            </w:r>
          </w:p>
          <w:p w:rsidR="00876EB1" w:rsidRPr="00DE3184" w:rsidP="00637286" w14:paraId="1CFD7E5E"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Respondent</w:t>
            </w:r>
          </w:p>
        </w:tc>
        <w:tc>
          <w:tcPr>
            <w:tcW w:w="1260" w:type="dxa"/>
            <w:shd w:val="pct20" w:color="auto" w:fill="auto"/>
          </w:tcPr>
          <w:p w:rsidR="00876EB1" w:rsidRPr="00DE3184" w:rsidP="00637286" w14:paraId="43E5A4C1"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Hours</w:t>
            </w:r>
          </w:p>
          <w:p w:rsidR="00876EB1" w:rsidRPr="00DE3184" w:rsidP="00637286" w14:paraId="5BEE5A53"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per</w:t>
            </w:r>
          </w:p>
          <w:p w:rsidR="00876EB1" w:rsidRPr="00DE3184" w:rsidP="00637286" w14:paraId="620C16AA"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Response</w:t>
            </w:r>
          </w:p>
        </w:tc>
        <w:tc>
          <w:tcPr>
            <w:tcW w:w="1620" w:type="dxa"/>
            <w:shd w:val="pct20" w:color="auto" w:fill="auto"/>
          </w:tcPr>
          <w:p w:rsidR="00876EB1" w:rsidRPr="00DE3184" w:rsidP="00637286" w14:paraId="04CE62E9"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Total</w:t>
            </w:r>
          </w:p>
          <w:p w:rsidR="00876EB1" w:rsidRPr="00DE3184" w:rsidP="00637286" w14:paraId="7CB52E60" w14:textId="77777777">
            <w:pPr>
              <w:jc w:val="center"/>
              <w:rPr>
                <w:rFonts w:ascii="Times New Roman" w:hAnsi="Times New Roman" w:cs="Times New Roman"/>
                <w:b/>
                <w:bCs/>
                <w:sz w:val="20"/>
                <w:szCs w:val="20"/>
              </w:rPr>
            </w:pPr>
            <w:r w:rsidRPr="00DE3184">
              <w:rPr>
                <w:rFonts w:ascii="Times New Roman" w:hAnsi="Times New Roman" w:cs="Times New Roman"/>
                <w:b/>
                <w:bCs/>
                <w:sz w:val="20"/>
                <w:szCs w:val="20"/>
              </w:rPr>
              <w:t>Hours</w:t>
            </w:r>
          </w:p>
        </w:tc>
      </w:tr>
      <w:tr w14:paraId="511C9BEE" w14:textId="77777777" w:rsidTr="00A84A71">
        <w:tblPrEx>
          <w:tblW w:w="10260" w:type="dxa"/>
          <w:tblInd w:w="-95" w:type="dxa"/>
          <w:tblLayout w:type="fixed"/>
          <w:tblLook w:val="04A0"/>
        </w:tblPrEx>
        <w:tc>
          <w:tcPr>
            <w:tcW w:w="1890" w:type="dxa"/>
            <w:shd w:val="pct20" w:color="auto" w:fill="auto"/>
          </w:tcPr>
          <w:p w:rsidR="00876EB1" w:rsidRPr="00DE3184" w:rsidP="00637286" w14:paraId="778E3B09" w14:textId="77777777">
            <w:pPr>
              <w:jc w:val="center"/>
              <w:rPr>
                <w:rFonts w:ascii="Times New Roman" w:hAnsi="Times New Roman" w:cs="Times New Roman"/>
                <w:b/>
                <w:bCs/>
                <w:sz w:val="20"/>
                <w:szCs w:val="20"/>
              </w:rPr>
            </w:pPr>
            <w:r w:rsidRPr="00DE3184">
              <w:rPr>
                <w:rFonts w:ascii="Times New Roman" w:hAnsi="Times New Roman" w:cs="Times New Roman"/>
                <w:b/>
                <w:bCs/>
                <w:i/>
                <w:iCs/>
                <w:sz w:val="20"/>
                <w:szCs w:val="20"/>
              </w:rPr>
              <w:t>Minimum Regulatory Capital Ratios:</w:t>
            </w:r>
          </w:p>
        </w:tc>
        <w:tc>
          <w:tcPr>
            <w:tcW w:w="1080" w:type="dxa"/>
            <w:shd w:val="pct20" w:color="auto" w:fill="auto"/>
          </w:tcPr>
          <w:p w:rsidR="00876EB1" w:rsidRPr="00DE3184" w:rsidP="00637286" w14:paraId="267BB3DE" w14:textId="77777777">
            <w:pPr>
              <w:jc w:val="center"/>
              <w:rPr>
                <w:rFonts w:ascii="Times New Roman" w:hAnsi="Times New Roman" w:cs="Times New Roman"/>
                <w:b/>
                <w:bCs/>
                <w:sz w:val="20"/>
                <w:szCs w:val="20"/>
              </w:rPr>
            </w:pPr>
          </w:p>
        </w:tc>
        <w:tc>
          <w:tcPr>
            <w:tcW w:w="1710" w:type="dxa"/>
            <w:shd w:val="pct20" w:color="auto" w:fill="auto"/>
          </w:tcPr>
          <w:p w:rsidR="00876EB1" w:rsidRPr="00DE3184" w:rsidP="00637286" w14:paraId="72B01F31" w14:textId="77777777">
            <w:pPr>
              <w:jc w:val="center"/>
              <w:rPr>
                <w:rFonts w:ascii="Times New Roman" w:hAnsi="Times New Roman" w:cs="Times New Roman"/>
                <w:b/>
                <w:bCs/>
                <w:sz w:val="20"/>
                <w:szCs w:val="20"/>
              </w:rPr>
            </w:pPr>
          </w:p>
        </w:tc>
        <w:tc>
          <w:tcPr>
            <w:tcW w:w="1440" w:type="dxa"/>
            <w:shd w:val="pct20" w:color="auto" w:fill="auto"/>
          </w:tcPr>
          <w:p w:rsidR="00876EB1" w:rsidRPr="00DE3184" w:rsidP="00637286" w14:paraId="69A988F1" w14:textId="77777777">
            <w:pPr>
              <w:jc w:val="center"/>
              <w:rPr>
                <w:rFonts w:ascii="Times New Roman" w:hAnsi="Times New Roman" w:cs="Times New Roman"/>
                <w:b/>
                <w:bCs/>
                <w:sz w:val="20"/>
                <w:szCs w:val="20"/>
              </w:rPr>
            </w:pPr>
          </w:p>
        </w:tc>
        <w:tc>
          <w:tcPr>
            <w:tcW w:w="1260" w:type="dxa"/>
            <w:shd w:val="pct20" w:color="auto" w:fill="auto"/>
          </w:tcPr>
          <w:p w:rsidR="00876EB1" w:rsidRPr="00DE3184" w:rsidP="00637286" w14:paraId="27F7865B" w14:textId="77777777">
            <w:pPr>
              <w:jc w:val="center"/>
              <w:rPr>
                <w:rFonts w:ascii="Times New Roman" w:hAnsi="Times New Roman" w:cs="Times New Roman"/>
                <w:b/>
                <w:bCs/>
                <w:sz w:val="20"/>
                <w:szCs w:val="20"/>
              </w:rPr>
            </w:pPr>
          </w:p>
        </w:tc>
        <w:tc>
          <w:tcPr>
            <w:tcW w:w="1260" w:type="dxa"/>
            <w:shd w:val="pct20" w:color="auto" w:fill="auto"/>
          </w:tcPr>
          <w:p w:rsidR="00876EB1" w:rsidRPr="00DE3184" w:rsidP="00637286" w14:paraId="5DEA0DC0" w14:textId="77777777">
            <w:pPr>
              <w:jc w:val="center"/>
              <w:rPr>
                <w:rFonts w:ascii="Times New Roman" w:hAnsi="Times New Roman" w:cs="Times New Roman"/>
                <w:b/>
                <w:bCs/>
                <w:sz w:val="20"/>
                <w:szCs w:val="20"/>
              </w:rPr>
            </w:pPr>
          </w:p>
        </w:tc>
        <w:tc>
          <w:tcPr>
            <w:tcW w:w="1620" w:type="dxa"/>
            <w:shd w:val="pct20" w:color="auto" w:fill="auto"/>
          </w:tcPr>
          <w:p w:rsidR="00876EB1" w:rsidRPr="00DE3184" w:rsidP="00637286" w14:paraId="771E5D88" w14:textId="77777777">
            <w:pPr>
              <w:jc w:val="center"/>
              <w:rPr>
                <w:rFonts w:ascii="Times New Roman" w:hAnsi="Times New Roman" w:cs="Times New Roman"/>
                <w:b/>
                <w:bCs/>
                <w:sz w:val="20"/>
                <w:szCs w:val="20"/>
              </w:rPr>
            </w:pPr>
          </w:p>
        </w:tc>
      </w:tr>
      <w:tr w14:paraId="05284D30" w14:textId="77777777" w:rsidTr="00A84A71">
        <w:tblPrEx>
          <w:tblW w:w="10260" w:type="dxa"/>
          <w:tblInd w:w="-95" w:type="dxa"/>
          <w:tblLayout w:type="fixed"/>
          <w:tblLook w:val="04A0"/>
        </w:tblPrEx>
        <w:tc>
          <w:tcPr>
            <w:tcW w:w="1890" w:type="dxa"/>
          </w:tcPr>
          <w:p w:rsidR="00876EB1" w:rsidRPr="00DE3184" w:rsidP="00637286" w14:paraId="5196E954" w14:textId="77777777">
            <w:pPr>
              <w:rPr>
                <w:rFonts w:ascii="Times New Roman" w:hAnsi="Times New Roman" w:cs="Times New Roman"/>
                <w:sz w:val="20"/>
                <w:szCs w:val="20"/>
              </w:rPr>
            </w:pPr>
            <w:r w:rsidRPr="00DE3184">
              <w:rPr>
                <w:rFonts w:ascii="Times New Roman" w:hAnsi="Times New Roman" w:cs="Times New Roman"/>
                <w:sz w:val="20"/>
                <w:szCs w:val="20"/>
              </w:rPr>
              <w:t>Counterparty Credit Risk Operational Requirements -- Legal Opinion --</w:t>
            </w:r>
          </w:p>
          <w:p w:rsidR="00876EB1" w:rsidRPr="00DE3184" w:rsidP="00637286" w14:paraId="25821CA0" w14:textId="77777777">
            <w:pPr>
              <w:rPr>
                <w:rFonts w:ascii="Times New Roman" w:hAnsi="Times New Roman" w:cs="Times New Roman"/>
                <w:sz w:val="20"/>
                <w:szCs w:val="20"/>
              </w:rPr>
            </w:pPr>
            <w:r w:rsidRPr="00DE3184">
              <w:rPr>
                <w:rFonts w:ascii="Times New Roman" w:hAnsi="Times New Roman" w:cs="Times New Roman"/>
                <w:sz w:val="20"/>
                <w:szCs w:val="20"/>
              </w:rPr>
              <w:t>Section: _.3(d)</w:t>
            </w:r>
          </w:p>
        </w:tc>
        <w:tc>
          <w:tcPr>
            <w:tcW w:w="1080" w:type="dxa"/>
          </w:tcPr>
          <w:p w:rsidR="00876EB1" w:rsidRPr="00DE3184" w:rsidP="00637286" w14:paraId="0B90E930" w14:textId="77777777">
            <w:pPr>
              <w:jc w:val="center"/>
              <w:rPr>
                <w:rFonts w:ascii="Times New Roman" w:hAnsi="Times New Roman" w:cs="Times New Roman"/>
                <w:b/>
                <w:bCs/>
                <w:sz w:val="20"/>
                <w:szCs w:val="20"/>
              </w:rPr>
            </w:pPr>
            <w:r w:rsidRPr="00DE3184">
              <w:rPr>
                <w:rFonts w:ascii="Times New Roman" w:hAnsi="Times New Roman" w:cs="Times New Roman"/>
                <w:sz w:val="20"/>
                <w:szCs w:val="20"/>
              </w:rPr>
              <w:t>Ongoing</w:t>
            </w:r>
          </w:p>
        </w:tc>
        <w:tc>
          <w:tcPr>
            <w:tcW w:w="1710" w:type="dxa"/>
          </w:tcPr>
          <w:p w:rsidR="00876EB1" w:rsidRPr="00DE3184" w:rsidP="00637286" w14:paraId="514E9FB7" w14:textId="77777777">
            <w:pPr>
              <w:jc w:val="center"/>
              <w:rPr>
                <w:rFonts w:ascii="Times New Roman" w:hAnsi="Times New Roman" w:cs="Times New Roman"/>
                <w:b/>
                <w:bCs/>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5052220C"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79F0F5C8"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2C11E82D" w14:textId="77777777">
            <w:pPr>
              <w:jc w:val="center"/>
              <w:rPr>
                <w:rFonts w:ascii="Times New Roman" w:hAnsi="Times New Roman" w:cs="Times New Roman"/>
                <w:sz w:val="20"/>
                <w:szCs w:val="20"/>
              </w:rPr>
            </w:pPr>
            <w:r w:rsidRPr="00DE3184">
              <w:rPr>
                <w:rFonts w:ascii="Times New Roman" w:hAnsi="Times New Roman" w:cs="Times New Roman"/>
                <w:sz w:val="20"/>
                <w:szCs w:val="20"/>
              </w:rPr>
              <w:t>8</w:t>
            </w:r>
          </w:p>
        </w:tc>
        <w:tc>
          <w:tcPr>
            <w:tcW w:w="1620" w:type="dxa"/>
          </w:tcPr>
          <w:p w:rsidR="00876EB1" w:rsidRPr="00DE3184" w:rsidP="00637286" w14:paraId="4604DD31" w14:textId="77777777">
            <w:pPr>
              <w:jc w:val="center"/>
              <w:rPr>
                <w:rFonts w:ascii="Times New Roman" w:hAnsi="Times New Roman" w:cs="Times New Roman"/>
                <w:sz w:val="20"/>
                <w:szCs w:val="20"/>
              </w:rPr>
            </w:pPr>
            <w:r w:rsidRPr="00DE3184">
              <w:rPr>
                <w:rFonts w:ascii="Times New Roman" w:hAnsi="Times New Roman" w:cs="Times New Roman"/>
                <w:sz w:val="20"/>
                <w:szCs w:val="20"/>
              </w:rPr>
              <w:t>384</w:t>
            </w:r>
          </w:p>
        </w:tc>
      </w:tr>
      <w:tr w14:paraId="4AD50A1D" w14:textId="77777777" w:rsidTr="00A84A71">
        <w:tblPrEx>
          <w:tblW w:w="10260" w:type="dxa"/>
          <w:tblInd w:w="-95" w:type="dxa"/>
          <w:tblLayout w:type="fixed"/>
          <w:tblLook w:val="04A0"/>
        </w:tblPrEx>
        <w:tc>
          <w:tcPr>
            <w:tcW w:w="1890" w:type="dxa"/>
          </w:tcPr>
          <w:p w:rsidR="00876EB1" w:rsidRPr="00651572" w:rsidP="00637286" w14:paraId="7625E6C0" w14:textId="77777777">
            <w:pPr>
              <w:rPr>
                <w:rFonts w:ascii="Times New Roman" w:hAnsi="Times New Roman" w:cs="Times New Roman"/>
                <w:sz w:val="20"/>
                <w:szCs w:val="20"/>
              </w:rPr>
            </w:pPr>
            <w:r w:rsidRPr="00651572">
              <w:rPr>
                <w:rFonts w:ascii="Times New Roman" w:hAnsi="Times New Roman" w:cs="Times New Roman"/>
                <w:sz w:val="20"/>
                <w:szCs w:val="20"/>
              </w:rPr>
              <w:t xml:space="preserve">Regulatory Capital Adjustments and Deductions -- Prior Approval </w:t>
            </w:r>
          </w:p>
          <w:p w:rsidR="00876EB1" w:rsidRPr="00DE3184" w:rsidP="00637286" w14:paraId="27125C6C" w14:textId="77777777">
            <w:pPr>
              <w:rPr>
                <w:rFonts w:ascii="Times New Roman" w:hAnsi="Times New Roman" w:cs="Times New Roman"/>
                <w:b/>
                <w:bCs/>
                <w:sz w:val="20"/>
                <w:szCs w:val="20"/>
              </w:rPr>
            </w:pPr>
            <w:r w:rsidRPr="00651572">
              <w:rPr>
                <w:rFonts w:ascii="Times New Roman" w:hAnsi="Times New Roman" w:cs="Times New Roman"/>
                <w:sz w:val="20"/>
                <w:szCs w:val="20"/>
              </w:rPr>
              <w:t>Sections: _.22</w:t>
            </w:r>
            <w:r w:rsidRPr="00E11313">
              <w:rPr>
                <w:rFonts w:ascii="Times New Roman" w:hAnsi="Times New Roman" w:cs="Times New Roman"/>
                <w:sz w:val="20"/>
                <w:szCs w:val="20"/>
              </w:rPr>
              <w:t>(b)(2)(iv)</w:t>
            </w:r>
            <w:r w:rsidRPr="00651572">
              <w:rPr>
                <w:rFonts w:ascii="Times New Roman" w:hAnsi="Times New Roman" w:cs="Times New Roman"/>
                <w:sz w:val="20"/>
                <w:szCs w:val="20"/>
              </w:rPr>
              <w:t xml:space="preserve">, </w:t>
            </w:r>
            <w:r w:rsidRPr="00E11313">
              <w:rPr>
                <w:rFonts w:ascii="Times New Roman" w:hAnsi="Times New Roman" w:cs="Times New Roman"/>
                <w:sz w:val="20"/>
                <w:szCs w:val="20"/>
              </w:rPr>
              <w:t>(c)(4)</w:t>
            </w:r>
            <w:r w:rsidRPr="00651572">
              <w:rPr>
                <w:rFonts w:ascii="Times New Roman" w:hAnsi="Times New Roman" w:cs="Times New Roman"/>
                <w:sz w:val="20"/>
                <w:szCs w:val="20"/>
              </w:rPr>
              <w:t xml:space="preserve">, (c)(5)(i), (c)(6), (d)(2)(i)(C), </w:t>
            </w:r>
            <w:r w:rsidRPr="00E11313">
              <w:rPr>
                <w:rFonts w:ascii="Times New Roman" w:hAnsi="Times New Roman" w:cs="Times New Roman"/>
                <w:sz w:val="20"/>
                <w:szCs w:val="20"/>
              </w:rPr>
              <w:t>(d)(2)(iii)</w:t>
            </w:r>
          </w:p>
        </w:tc>
        <w:tc>
          <w:tcPr>
            <w:tcW w:w="1080" w:type="dxa"/>
          </w:tcPr>
          <w:p w:rsidR="00876EB1" w:rsidRPr="00DE3184" w:rsidP="00637286" w14:paraId="06705AB4" w14:textId="77777777">
            <w:pPr>
              <w:jc w:val="center"/>
              <w:rPr>
                <w:rFonts w:ascii="Times New Roman" w:hAnsi="Times New Roman" w:cs="Times New Roman"/>
                <w:b/>
                <w:bCs/>
                <w:sz w:val="20"/>
                <w:szCs w:val="20"/>
              </w:rPr>
            </w:pPr>
            <w:r w:rsidRPr="00DE3184">
              <w:rPr>
                <w:rFonts w:ascii="Times New Roman" w:hAnsi="Times New Roman" w:cs="Times New Roman"/>
                <w:sz w:val="20"/>
                <w:szCs w:val="20"/>
              </w:rPr>
              <w:t>Ongoing</w:t>
            </w:r>
          </w:p>
        </w:tc>
        <w:tc>
          <w:tcPr>
            <w:tcW w:w="1710" w:type="dxa"/>
          </w:tcPr>
          <w:p w:rsidR="00876EB1" w:rsidRPr="00DE3184" w:rsidP="00637286" w14:paraId="1F545919" w14:textId="77777777">
            <w:pPr>
              <w:jc w:val="center"/>
              <w:rPr>
                <w:rFonts w:ascii="Times New Roman" w:hAnsi="Times New Roman" w:cs="Times New Roman"/>
                <w:b/>
                <w:bCs/>
                <w:sz w:val="20"/>
                <w:szCs w:val="20"/>
              </w:rPr>
            </w:pPr>
            <w:r w:rsidRPr="00DE3184">
              <w:rPr>
                <w:rFonts w:ascii="Times New Roman" w:hAnsi="Times New Roman" w:cs="Times New Roman"/>
                <w:sz w:val="20"/>
                <w:szCs w:val="20"/>
              </w:rPr>
              <w:t>Reporting</w:t>
            </w:r>
          </w:p>
        </w:tc>
        <w:tc>
          <w:tcPr>
            <w:tcW w:w="1440" w:type="dxa"/>
          </w:tcPr>
          <w:p w:rsidR="00876EB1" w:rsidRPr="00DE3184" w:rsidP="00637286" w14:paraId="01EAE648"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2B911599"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77F66653" w14:textId="77777777">
            <w:pPr>
              <w:jc w:val="center"/>
              <w:rPr>
                <w:rFonts w:ascii="Times New Roman" w:hAnsi="Times New Roman" w:cs="Times New Roman"/>
                <w:sz w:val="20"/>
                <w:szCs w:val="20"/>
              </w:rPr>
            </w:pPr>
            <w:r w:rsidRPr="00DE3184">
              <w:rPr>
                <w:rFonts w:ascii="Times New Roman" w:hAnsi="Times New Roman" w:cs="Times New Roman"/>
                <w:sz w:val="20"/>
                <w:szCs w:val="20"/>
              </w:rPr>
              <w:t>6</w:t>
            </w:r>
          </w:p>
        </w:tc>
        <w:tc>
          <w:tcPr>
            <w:tcW w:w="1620" w:type="dxa"/>
          </w:tcPr>
          <w:p w:rsidR="00876EB1" w:rsidRPr="00DE3184" w:rsidP="00637286" w14:paraId="42C06388" w14:textId="77777777">
            <w:pPr>
              <w:jc w:val="center"/>
              <w:rPr>
                <w:rFonts w:ascii="Times New Roman" w:hAnsi="Times New Roman" w:cs="Times New Roman"/>
                <w:sz w:val="20"/>
                <w:szCs w:val="20"/>
              </w:rPr>
            </w:pPr>
            <w:r w:rsidRPr="00DE3184">
              <w:rPr>
                <w:rFonts w:ascii="Times New Roman" w:hAnsi="Times New Roman" w:cs="Times New Roman"/>
                <w:sz w:val="20"/>
                <w:szCs w:val="20"/>
              </w:rPr>
              <w:t>288</w:t>
            </w:r>
          </w:p>
        </w:tc>
      </w:tr>
      <w:tr w14:paraId="175B6296" w14:textId="77777777" w:rsidTr="00A84A71">
        <w:tblPrEx>
          <w:tblW w:w="10260" w:type="dxa"/>
          <w:tblInd w:w="-95" w:type="dxa"/>
          <w:tblLayout w:type="fixed"/>
          <w:tblLook w:val="04A0"/>
        </w:tblPrEx>
        <w:tc>
          <w:tcPr>
            <w:tcW w:w="1890" w:type="dxa"/>
          </w:tcPr>
          <w:p w:rsidR="00876EB1" w:rsidRPr="00DE3184" w:rsidP="00637286" w14:paraId="69F1DABE" w14:textId="77777777">
            <w:pPr>
              <w:rPr>
                <w:rFonts w:ascii="Times New Roman" w:hAnsi="Times New Roman" w:cs="Times New Roman"/>
                <w:sz w:val="20"/>
                <w:szCs w:val="20"/>
              </w:rPr>
            </w:pPr>
            <w:r w:rsidRPr="00DE3184">
              <w:rPr>
                <w:rFonts w:ascii="Times New Roman" w:hAnsi="Times New Roman" w:cs="Times New Roman"/>
                <w:sz w:val="20"/>
                <w:szCs w:val="20"/>
              </w:rPr>
              <w:t>Regulatory Capital Adjustments and Deductions -- Prior Approval</w:t>
            </w:r>
          </w:p>
          <w:p w:rsidR="00876EB1" w:rsidRPr="00DE3184" w:rsidP="00637286" w14:paraId="7E618D8D" w14:textId="77777777">
            <w:pPr>
              <w:rPr>
                <w:rFonts w:ascii="Times New Roman" w:hAnsi="Times New Roman" w:cs="Times New Roman"/>
                <w:b/>
                <w:bCs/>
                <w:sz w:val="20"/>
                <w:szCs w:val="20"/>
              </w:rPr>
            </w:pPr>
            <w:r w:rsidRPr="00DE3184">
              <w:rPr>
                <w:rFonts w:ascii="Times New Roman" w:hAnsi="Times New Roman" w:cs="Times New Roman"/>
                <w:sz w:val="20"/>
                <w:szCs w:val="20"/>
              </w:rPr>
              <w:t>Section: _.22(h)(2)(iii)(A)</w:t>
            </w:r>
          </w:p>
        </w:tc>
        <w:tc>
          <w:tcPr>
            <w:tcW w:w="1080" w:type="dxa"/>
          </w:tcPr>
          <w:p w:rsidR="00876EB1" w:rsidRPr="00DE3184" w:rsidP="00637286" w14:paraId="7F8054F4" w14:textId="77777777">
            <w:pPr>
              <w:jc w:val="center"/>
              <w:rPr>
                <w:rFonts w:ascii="Times New Roman" w:hAnsi="Times New Roman" w:cs="Times New Roman"/>
                <w:b/>
                <w:bCs/>
                <w:sz w:val="20"/>
                <w:szCs w:val="20"/>
              </w:rPr>
            </w:pPr>
            <w:r w:rsidRPr="00DE3184">
              <w:rPr>
                <w:rFonts w:ascii="Times New Roman" w:hAnsi="Times New Roman" w:cs="Times New Roman"/>
                <w:sz w:val="20"/>
                <w:szCs w:val="20"/>
              </w:rPr>
              <w:t>Ongoing</w:t>
            </w:r>
          </w:p>
        </w:tc>
        <w:tc>
          <w:tcPr>
            <w:tcW w:w="1710" w:type="dxa"/>
          </w:tcPr>
          <w:p w:rsidR="00876EB1" w:rsidRPr="00DE3184" w:rsidP="00637286" w14:paraId="794802DB" w14:textId="77777777">
            <w:pPr>
              <w:jc w:val="center"/>
              <w:rPr>
                <w:rFonts w:ascii="Times New Roman" w:hAnsi="Times New Roman" w:cs="Times New Roman"/>
                <w:b/>
                <w:bCs/>
                <w:sz w:val="20"/>
                <w:szCs w:val="20"/>
              </w:rPr>
            </w:pPr>
            <w:r w:rsidRPr="00DE3184">
              <w:rPr>
                <w:rFonts w:ascii="Times New Roman" w:hAnsi="Times New Roman" w:cs="Times New Roman"/>
                <w:sz w:val="20"/>
                <w:szCs w:val="20"/>
              </w:rPr>
              <w:t>Reporting</w:t>
            </w:r>
          </w:p>
        </w:tc>
        <w:tc>
          <w:tcPr>
            <w:tcW w:w="1440" w:type="dxa"/>
          </w:tcPr>
          <w:p w:rsidR="00876EB1" w:rsidRPr="00DE3184" w:rsidP="00637286" w14:paraId="5AA29341"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29F7FCA8"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29A47CEB" w14:textId="77777777">
            <w:pPr>
              <w:jc w:val="center"/>
              <w:rPr>
                <w:rFonts w:ascii="Times New Roman" w:hAnsi="Times New Roman" w:cs="Times New Roman"/>
                <w:sz w:val="20"/>
                <w:szCs w:val="20"/>
              </w:rPr>
            </w:pPr>
            <w:r w:rsidRPr="00DE3184">
              <w:rPr>
                <w:rFonts w:ascii="Times New Roman" w:hAnsi="Times New Roman" w:cs="Times New Roman"/>
                <w:sz w:val="20"/>
                <w:szCs w:val="20"/>
              </w:rPr>
              <w:t>2</w:t>
            </w:r>
          </w:p>
        </w:tc>
        <w:tc>
          <w:tcPr>
            <w:tcW w:w="1620" w:type="dxa"/>
          </w:tcPr>
          <w:p w:rsidR="00876EB1" w:rsidRPr="00DE3184" w:rsidP="00637286" w14:paraId="26590C94" w14:textId="77777777">
            <w:pPr>
              <w:jc w:val="center"/>
              <w:rPr>
                <w:rFonts w:ascii="Times New Roman" w:hAnsi="Times New Roman" w:cs="Times New Roman"/>
                <w:sz w:val="20"/>
                <w:szCs w:val="20"/>
              </w:rPr>
            </w:pPr>
            <w:r w:rsidRPr="00DE3184">
              <w:rPr>
                <w:rFonts w:ascii="Times New Roman" w:hAnsi="Times New Roman" w:cs="Times New Roman"/>
                <w:sz w:val="20"/>
                <w:szCs w:val="20"/>
              </w:rPr>
              <w:t>96</w:t>
            </w:r>
          </w:p>
        </w:tc>
      </w:tr>
      <w:tr w14:paraId="2F159AD3" w14:textId="77777777" w:rsidTr="00A84A71">
        <w:tblPrEx>
          <w:tblW w:w="10260" w:type="dxa"/>
          <w:tblInd w:w="-95" w:type="dxa"/>
          <w:tblLayout w:type="fixed"/>
          <w:tblLook w:val="04A0"/>
        </w:tblPrEx>
        <w:tc>
          <w:tcPr>
            <w:tcW w:w="1890" w:type="dxa"/>
            <w:shd w:val="clear" w:color="auto" w:fill="BFBFBF" w:themeFill="background1" w:themeFillShade="BF"/>
          </w:tcPr>
          <w:p w:rsidR="00876EB1" w:rsidRPr="00DE3184" w:rsidP="00637286" w14:paraId="27E1D3E2" w14:textId="77777777">
            <w:pPr>
              <w:jc w:val="center"/>
              <w:rPr>
                <w:rFonts w:ascii="Times New Roman" w:hAnsi="Times New Roman" w:cs="Times New Roman"/>
                <w:sz w:val="20"/>
                <w:szCs w:val="20"/>
              </w:rPr>
            </w:pPr>
            <w:r w:rsidRPr="00DE3184">
              <w:rPr>
                <w:rFonts w:ascii="Times New Roman" w:hAnsi="Times New Roman" w:cs="Times New Roman"/>
                <w:b/>
                <w:bCs/>
                <w:i/>
                <w:iCs/>
                <w:sz w:val="20"/>
                <w:szCs w:val="20"/>
              </w:rPr>
              <w:t>Standardized Approach:</w:t>
            </w:r>
          </w:p>
        </w:tc>
        <w:tc>
          <w:tcPr>
            <w:tcW w:w="1080" w:type="dxa"/>
            <w:shd w:val="clear" w:color="auto" w:fill="BFBFBF" w:themeFill="background1" w:themeFillShade="BF"/>
          </w:tcPr>
          <w:p w:rsidR="00876EB1" w:rsidRPr="00DE3184" w:rsidP="00637286" w14:paraId="1D8A5235" w14:textId="77777777">
            <w:pPr>
              <w:jc w:val="center"/>
              <w:rPr>
                <w:rFonts w:ascii="Times New Roman" w:hAnsi="Times New Roman" w:cs="Times New Roman"/>
                <w:sz w:val="20"/>
                <w:szCs w:val="20"/>
              </w:rPr>
            </w:pPr>
          </w:p>
        </w:tc>
        <w:tc>
          <w:tcPr>
            <w:tcW w:w="1710" w:type="dxa"/>
            <w:shd w:val="clear" w:color="auto" w:fill="BFBFBF" w:themeFill="background1" w:themeFillShade="BF"/>
          </w:tcPr>
          <w:p w:rsidR="00876EB1" w:rsidRPr="00DE3184" w:rsidP="00637286" w14:paraId="5E806B35" w14:textId="77777777">
            <w:pPr>
              <w:jc w:val="center"/>
              <w:rPr>
                <w:rFonts w:ascii="Times New Roman" w:hAnsi="Times New Roman" w:cs="Times New Roman"/>
                <w:sz w:val="20"/>
                <w:szCs w:val="20"/>
              </w:rPr>
            </w:pPr>
          </w:p>
        </w:tc>
        <w:tc>
          <w:tcPr>
            <w:tcW w:w="1440" w:type="dxa"/>
            <w:shd w:val="clear" w:color="auto" w:fill="BFBFBF" w:themeFill="background1" w:themeFillShade="BF"/>
          </w:tcPr>
          <w:p w:rsidR="00876EB1" w:rsidRPr="00DE3184" w:rsidP="00637286" w14:paraId="7F9DB3AE" w14:textId="77777777">
            <w:pPr>
              <w:jc w:val="center"/>
              <w:rPr>
                <w:rFonts w:ascii="Times New Roman" w:hAnsi="Times New Roman" w:cs="Times New Roman"/>
                <w:sz w:val="20"/>
                <w:szCs w:val="20"/>
                <w:highlight w:val="yellow"/>
              </w:rPr>
            </w:pPr>
          </w:p>
        </w:tc>
        <w:tc>
          <w:tcPr>
            <w:tcW w:w="1260" w:type="dxa"/>
            <w:shd w:val="clear" w:color="auto" w:fill="BFBFBF" w:themeFill="background1" w:themeFillShade="BF"/>
          </w:tcPr>
          <w:p w:rsidR="00876EB1" w:rsidRPr="00DE3184" w:rsidP="00637286" w14:paraId="60031BD6" w14:textId="77777777">
            <w:pPr>
              <w:jc w:val="center"/>
              <w:rPr>
                <w:rFonts w:ascii="Times New Roman" w:hAnsi="Times New Roman" w:cs="Times New Roman"/>
                <w:sz w:val="20"/>
                <w:szCs w:val="20"/>
                <w:highlight w:val="yellow"/>
              </w:rPr>
            </w:pPr>
          </w:p>
        </w:tc>
        <w:tc>
          <w:tcPr>
            <w:tcW w:w="1260" w:type="dxa"/>
            <w:shd w:val="clear" w:color="auto" w:fill="BFBFBF" w:themeFill="background1" w:themeFillShade="BF"/>
          </w:tcPr>
          <w:p w:rsidR="00876EB1" w:rsidRPr="00DE3184" w:rsidP="00637286" w14:paraId="724FC3DF" w14:textId="77777777">
            <w:pPr>
              <w:jc w:val="center"/>
              <w:rPr>
                <w:rFonts w:ascii="Times New Roman" w:hAnsi="Times New Roman" w:cs="Times New Roman"/>
                <w:sz w:val="20"/>
                <w:szCs w:val="20"/>
                <w:highlight w:val="yellow"/>
              </w:rPr>
            </w:pPr>
          </w:p>
        </w:tc>
        <w:tc>
          <w:tcPr>
            <w:tcW w:w="1620" w:type="dxa"/>
            <w:shd w:val="clear" w:color="auto" w:fill="BFBFBF" w:themeFill="background1" w:themeFillShade="BF"/>
          </w:tcPr>
          <w:p w:rsidR="00876EB1" w:rsidRPr="00DE3184" w:rsidP="00637286" w14:paraId="791A27C3" w14:textId="77777777">
            <w:pPr>
              <w:jc w:val="center"/>
              <w:rPr>
                <w:rFonts w:ascii="Times New Roman" w:hAnsi="Times New Roman" w:cs="Times New Roman"/>
                <w:sz w:val="20"/>
                <w:szCs w:val="20"/>
                <w:highlight w:val="yellow"/>
              </w:rPr>
            </w:pPr>
          </w:p>
        </w:tc>
      </w:tr>
      <w:tr w14:paraId="0F90A30F" w14:textId="77777777" w:rsidTr="00A84A71">
        <w:tblPrEx>
          <w:tblW w:w="10260" w:type="dxa"/>
          <w:tblInd w:w="-95" w:type="dxa"/>
          <w:tblLayout w:type="fixed"/>
          <w:tblLook w:val="04A0"/>
        </w:tblPrEx>
        <w:tc>
          <w:tcPr>
            <w:tcW w:w="1890" w:type="dxa"/>
            <w:shd w:val="clear" w:color="auto" w:fill="auto"/>
          </w:tcPr>
          <w:p w:rsidR="00876EB1" w:rsidRPr="00E11313" w:rsidP="00637286" w14:paraId="6AE16F82" w14:textId="77777777">
            <w:pPr>
              <w:rPr>
                <w:rFonts w:ascii="Times New Roman" w:hAnsi="Times New Roman" w:cs="Times New Roman"/>
                <w:sz w:val="20"/>
                <w:szCs w:val="20"/>
              </w:rPr>
            </w:pPr>
            <w:r w:rsidRPr="00E11313">
              <w:rPr>
                <w:rFonts w:ascii="Times New Roman" w:hAnsi="Times New Roman" w:cs="Times New Roman"/>
                <w:sz w:val="20"/>
                <w:szCs w:val="20"/>
              </w:rPr>
              <w:t>Derivative Contracts --Exposure Amount Methodology</w:t>
            </w:r>
          </w:p>
          <w:p w:rsidR="00876EB1" w:rsidRPr="00DE3184" w:rsidP="00637286" w14:paraId="657FCCC7" w14:textId="77777777">
            <w:pPr>
              <w:rPr>
                <w:rFonts w:ascii="Times New Roman" w:hAnsi="Times New Roman" w:cs="Times New Roman"/>
                <w:color w:val="FF0000"/>
                <w:sz w:val="20"/>
                <w:szCs w:val="20"/>
              </w:rPr>
            </w:pPr>
            <w:r w:rsidRPr="00E11313">
              <w:rPr>
                <w:rFonts w:ascii="Times New Roman" w:hAnsi="Times New Roman" w:cs="Times New Roman"/>
                <w:sz w:val="20"/>
                <w:szCs w:val="20"/>
              </w:rPr>
              <w:t>Section: _.34(a)(1)(ii)</w:t>
            </w:r>
          </w:p>
        </w:tc>
        <w:tc>
          <w:tcPr>
            <w:tcW w:w="1080" w:type="dxa"/>
            <w:shd w:val="clear" w:color="auto" w:fill="auto"/>
          </w:tcPr>
          <w:p w:rsidR="00876EB1" w:rsidRPr="00DE3184" w:rsidP="00637286" w14:paraId="72DFE68D"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shd w:val="clear" w:color="auto" w:fill="auto"/>
          </w:tcPr>
          <w:p w:rsidR="00876EB1" w:rsidRPr="00DE3184" w:rsidP="00637286" w14:paraId="129C9D85" w14:textId="77777777">
            <w:pPr>
              <w:jc w:val="center"/>
              <w:rPr>
                <w:rFonts w:ascii="Times New Roman" w:hAnsi="Times New Roman" w:cs="Times New Roman"/>
                <w:sz w:val="20"/>
                <w:szCs w:val="20"/>
              </w:rPr>
            </w:pPr>
            <w:r w:rsidRPr="00DE3184">
              <w:rPr>
                <w:rFonts w:ascii="Times New Roman" w:hAnsi="Times New Roman" w:cs="Times New Roman"/>
                <w:sz w:val="20"/>
                <w:szCs w:val="20"/>
              </w:rPr>
              <w:t>Reporting</w:t>
            </w:r>
          </w:p>
        </w:tc>
        <w:tc>
          <w:tcPr>
            <w:tcW w:w="1440" w:type="dxa"/>
            <w:shd w:val="clear" w:color="auto" w:fill="auto"/>
          </w:tcPr>
          <w:p w:rsidR="00876EB1" w:rsidRPr="00DE3184" w:rsidP="00637286" w14:paraId="1D53B92E"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2FF3E697"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3AE1F045" w14:textId="77777777">
            <w:pPr>
              <w:jc w:val="center"/>
              <w:rPr>
                <w:rFonts w:ascii="Times New Roman" w:hAnsi="Times New Roman" w:cs="Times New Roman"/>
                <w:sz w:val="20"/>
                <w:szCs w:val="20"/>
              </w:rPr>
            </w:pPr>
            <w:r w:rsidRPr="00DE3184">
              <w:rPr>
                <w:rFonts w:ascii="Times New Roman" w:hAnsi="Times New Roman" w:cs="Times New Roman"/>
                <w:sz w:val="20"/>
                <w:szCs w:val="20"/>
              </w:rPr>
              <w:t>2</w:t>
            </w:r>
          </w:p>
        </w:tc>
        <w:tc>
          <w:tcPr>
            <w:tcW w:w="1620" w:type="dxa"/>
            <w:shd w:val="clear" w:color="auto" w:fill="auto"/>
          </w:tcPr>
          <w:p w:rsidR="00876EB1" w:rsidRPr="00DE3184" w:rsidP="00637286" w14:paraId="08CB5080"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2</w:t>
            </w:r>
          </w:p>
        </w:tc>
      </w:tr>
      <w:tr w14:paraId="35AA0057" w14:textId="77777777" w:rsidTr="00A84A71">
        <w:tblPrEx>
          <w:tblW w:w="10260" w:type="dxa"/>
          <w:tblInd w:w="-95" w:type="dxa"/>
          <w:tblLayout w:type="fixed"/>
          <w:tblLook w:val="04A0"/>
        </w:tblPrEx>
        <w:tc>
          <w:tcPr>
            <w:tcW w:w="1890" w:type="dxa"/>
            <w:shd w:val="clear" w:color="auto" w:fill="auto"/>
          </w:tcPr>
          <w:p w:rsidR="00876EB1" w:rsidRPr="00DE3184" w:rsidP="00637286" w14:paraId="3ACC3D7B" w14:textId="77777777">
            <w:pPr>
              <w:rPr>
                <w:rFonts w:ascii="Times New Roman" w:hAnsi="Times New Roman" w:cs="Times New Roman"/>
                <w:sz w:val="20"/>
                <w:szCs w:val="20"/>
              </w:rPr>
            </w:pPr>
            <w:r w:rsidRPr="00DE3184">
              <w:rPr>
                <w:rFonts w:ascii="Times New Roman" w:hAnsi="Times New Roman" w:cs="Times New Roman"/>
                <w:sz w:val="20"/>
                <w:szCs w:val="20"/>
              </w:rPr>
              <w:t xml:space="preserve">Cleared Transactions --Cleared Transaction </w:t>
            </w:r>
            <w:r w:rsidRPr="00DE3184">
              <w:rPr>
                <w:rFonts w:ascii="Times New Roman" w:hAnsi="Times New Roman" w:cs="Times New Roman"/>
                <w:sz w:val="20"/>
                <w:szCs w:val="20"/>
              </w:rPr>
              <w:t>with a QCCP Risk Weights</w:t>
            </w:r>
          </w:p>
          <w:p w:rsidR="00876EB1" w:rsidRPr="00DE3184" w:rsidP="00637286" w14:paraId="485F7904" w14:textId="77777777">
            <w:pPr>
              <w:rPr>
                <w:rFonts w:ascii="Times New Roman" w:hAnsi="Times New Roman" w:cs="Times New Roman"/>
                <w:sz w:val="20"/>
                <w:szCs w:val="20"/>
              </w:rPr>
            </w:pPr>
            <w:r w:rsidRPr="00DE3184">
              <w:rPr>
                <w:rFonts w:ascii="Times New Roman" w:hAnsi="Times New Roman" w:cs="Times New Roman"/>
                <w:sz w:val="20"/>
                <w:szCs w:val="20"/>
              </w:rPr>
              <w:t>Section: _.35(b)(3)(i)(A)</w:t>
            </w:r>
          </w:p>
        </w:tc>
        <w:tc>
          <w:tcPr>
            <w:tcW w:w="1080" w:type="dxa"/>
            <w:shd w:val="clear" w:color="auto" w:fill="auto"/>
          </w:tcPr>
          <w:p w:rsidR="00876EB1" w:rsidRPr="00DE3184" w:rsidP="00637286" w14:paraId="11B2666C" w14:textId="77777777">
            <w:pPr>
              <w:jc w:val="center"/>
              <w:rPr>
                <w:rFonts w:ascii="Times New Roman" w:hAnsi="Times New Roman" w:cs="Times New Roman"/>
                <w:sz w:val="20"/>
                <w:szCs w:val="20"/>
              </w:rPr>
            </w:pPr>
            <w:r w:rsidRPr="00DE3184">
              <w:rPr>
                <w:rFonts w:ascii="Times New Roman" w:hAnsi="Times New Roman" w:cs="Times New Roman"/>
                <w:sz w:val="20"/>
                <w:szCs w:val="20"/>
              </w:rPr>
              <w:t>One-time</w:t>
            </w:r>
          </w:p>
        </w:tc>
        <w:tc>
          <w:tcPr>
            <w:tcW w:w="1710" w:type="dxa"/>
            <w:shd w:val="clear" w:color="auto" w:fill="auto"/>
          </w:tcPr>
          <w:p w:rsidR="00876EB1" w:rsidRPr="00DE3184" w:rsidP="00637286" w14:paraId="040FFA28"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shd w:val="clear" w:color="auto" w:fill="auto"/>
          </w:tcPr>
          <w:p w:rsidR="00876EB1" w:rsidRPr="00DE3184" w:rsidP="00637286" w14:paraId="73FC777E"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shd w:val="clear" w:color="auto" w:fill="auto"/>
          </w:tcPr>
          <w:p w:rsidR="00876EB1" w:rsidRPr="00DE3184" w:rsidP="00637286" w14:paraId="378107FF"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6C1C98C7"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2</w:t>
            </w:r>
          </w:p>
        </w:tc>
        <w:tc>
          <w:tcPr>
            <w:tcW w:w="1620" w:type="dxa"/>
            <w:shd w:val="clear" w:color="auto" w:fill="auto"/>
          </w:tcPr>
          <w:p w:rsidR="00876EB1" w:rsidRPr="00DE3184" w:rsidP="00637286" w14:paraId="201DEDA6" w14:textId="77777777">
            <w:pPr>
              <w:jc w:val="center"/>
              <w:rPr>
                <w:rFonts w:ascii="Times New Roman" w:hAnsi="Times New Roman" w:cs="Times New Roman"/>
                <w:sz w:val="20"/>
                <w:szCs w:val="20"/>
              </w:rPr>
            </w:pPr>
            <w:r w:rsidRPr="00DE3184">
              <w:rPr>
                <w:rFonts w:ascii="Times New Roman" w:hAnsi="Times New Roman" w:cs="Times New Roman"/>
                <w:sz w:val="20"/>
                <w:szCs w:val="20"/>
              </w:rPr>
              <w:t>96</w:t>
            </w:r>
          </w:p>
        </w:tc>
      </w:tr>
      <w:tr w14:paraId="2F66E982" w14:textId="77777777" w:rsidTr="00A84A71">
        <w:tblPrEx>
          <w:tblW w:w="10260" w:type="dxa"/>
          <w:tblInd w:w="-95" w:type="dxa"/>
          <w:tblLayout w:type="fixed"/>
          <w:tblLook w:val="04A0"/>
        </w:tblPrEx>
        <w:tc>
          <w:tcPr>
            <w:tcW w:w="1890" w:type="dxa"/>
            <w:shd w:val="clear" w:color="auto" w:fill="auto"/>
          </w:tcPr>
          <w:p w:rsidR="00876EB1" w:rsidRPr="00DE3184" w:rsidP="00637286" w14:paraId="55DBC912" w14:textId="77777777">
            <w:pPr>
              <w:rPr>
                <w:rFonts w:ascii="Times New Roman" w:hAnsi="Times New Roman" w:cs="Times New Roman"/>
                <w:sz w:val="20"/>
                <w:szCs w:val="20"/>
              </w:rPr>
            </w:pPr>
            <w:r w:rsidRPr="00DE3184">
              <w:rPr>
                <w:rFonts w:ascii="Times New Roman" w:hAnsi="Times New Roman" w:cs="Times New Roman"/>
                <w:sz w:val="20"/>
                <w:szCs w:val="20"/>
              </w:rPr>
              <w:t>Cleared Transactions --Cleared Transaction with a QCCP Risk Weights</w:t>
            </w:r>
          </w:p>
          <w:p w:rsidR="00876EB1" w:rsidRPr="00DE3184" w:rsidP="00637286" w14:paraId="6BBD8B9B" w14:textId="77777777">
            <w:pPr>
              <w:rPr>
                <w:rFonts w:ascii="Times New Roman" w:hAnsi="Times New Roman" w:cs="Times New Roman"/>
                <w:sz w:val="20"/>
                <w:szCs w:val="20"/>
              </w:rPr>
            </w:pPr>
            <w:r w:rsidRPr="00DE3184">
              <w:rPr>
                <w:rFonts w:ascii="Times New Roman" w:hAnsi="Times New Roman" w:cs="Times New Roman"/>
                <w:sz w:val="20"/>
                <w:szCs w:val="20"/>
              </w:rPr>
              <w:t>Section: _.35(b)(3)(i)(A)</w:t>
            </w:r>
          </w:p>
        </w:tc>
        <w:tc>
          <w:tcPr>
            <w:tcW w:w="1080" w:type="dxa"/>
            <w:shd w:val="clear" w:color="auto" w:fill="auto"/>
          </w:tcPr>
          <w:p w:rsidR="00876EB1" w:rsidRPr="00DE3184" w:rsidP="00637286" w14:paraId="61A1B1DE"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shd w:val="clear" w:color="auto" w:fill="auto"/>
          </w:tcPr>
          <w:p w:rsidR="00876EB1" w:rsidRPr="00DE3184" w:rsidP="00637286" w14:paraId="13317588"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shd w:val="clear" w:color="auto" w:fill="auto"/>
          </w:tcPr>
          <w:p w:rsidR="00876EB1" w:rsidRPr="00DE3184" w:rsidP="00637286" w14:paraId="6B769AC0"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shd w:val="clear" w:color="auto" w:fill="auto"/>
          </w:tcPr>
          <w:p w:rsidR="00876EB1" w:rsidRPr="00DE3184" w:rsidP="00637286" w14:paraId="401BA85E"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0016F84B"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2</w:t>
            </w:r>
          </w:p>
        </w:tc>
        <w:tc>
          <w:tcPr>
            <w:tcW w:w="1620" w:type="dxa"/>
            <w:shd w:val="clear" w:color="auto" w:fill="auto"/>
          </w:tcPr>
          <w:p w:rsidR="00876EB1" w:rsidRPr="00DE3184" w:rsidP="00637286" w14:paraId="0C3FF611" w14:textId="77777777">
            <w:pPr>
              <w:jc w:val="center"/>
              <w:rPr>
                <w:rFonts w:ascii="Times New Roman" w:hAnsi="Times New Roman" w:cs="Times New Roman"/>
                <w:sz w:val="20"/>
                <w:szCs w:val="20"/>
              </w:rPr>
            </w:pPr>
            <w:r w:rsidRPr="00DE3184">
              <w:rPr>
                <w:rFonts w:ascii="Times New Roman" w:hAnsi="Times New Roman" w:cs="Times New Roman"/>
                <w:sz w:val="20"/>
                <w:szCs w:val="20"/>
              </w:rPr>
              <w:t>96</w:t>
            </w:r>
          </w:p>
        </w:tc>
      </w:tr>
      <w:tr w14:paraId="55C8EE75" w14:textId="77777777" w:rsidTr="00A84A71">
        <w:tblPrEx>
          <w:tblW w:w="10260" w:type="dxa"/>
          <w:tblInd w:w="-95" w:type="dxa"/>
          <w:tblLayout w:type="fixed"/>
          <w:tblLook w:val="04A0"/>
        </w:tblPrEx>
        <w:tc>
          <w:tcPr>
            <w:tcW w:w="1890" w:type="dxa"/>
            <w:shd w:val="clear" w:color="auto" w:fill="auto"/>
          </w:tcPr>
          <w:p w:rsidR="00876EB1" w:rsidRPr="00DE3184" w:rsidP="00637286" w14:paraId="1A18E6E3" w14:textId="77777777">
            <w:pPr>
              <w:rPr>
                <w:rFonts w:ascii="Times New Roman" w:hAnsi="Times New Roman" w:cs="Times New Roman"/>
                <w:sz w:val="20"/>
                <w:szCs w:val="20"/>
              </w:rPr>
            </w:pPr>
            <w:r w:rsidRPr="00DE3184">
              <w:rPr>
                <w:rFonts w:ascii="Times New Roman" w:hAnsi="Times New Roman" w:cs="Times New Roman"/>
                <w:sz w:val="20"/>
                <w:szCs w:val="20"/>
              </w:rPr>
              <w:t xml:space="preserve">Collateralized Transactions </w:t>
            </w:r>
            <w:r w:rsidRPr="00DE3184">
              <w:rPr>
                <w:rFonts w:ascii="Times New Roman" w:hAnsi="Times New Roman" w:cs="Times New Roman"/>
                <w:sz w:val="18"/>
                <w:szCs w:val="18"/>
              </w:rPr>
              <w:t>--</w:t>
            </w:r>
            <w:r w:rsidRPr="00DE3184">
              <w:rPr>
                <w:rFonts w:ascii="Times New Roman" w:hAnsi="Times New Roman" w:cs="Times New Roman"/>
                <w:sz w:val="20"/>
                <w:szCs w:val="20"/>
              </w:rPr>
              <w:t xml:space="preserve"> Internal Estimates for Haircuts</w:t>
            </w:r>
          </w:p>
          <w:p w:rsidR="00876EB1" w:rsidRPr="00DE3184" w:rsidP="00637286" w14:paraId="485E50F4" w14:textId="77777777">
            <w:pPr>
              <w:rPr>
                <w:rFonts w:ascii="Times New Roman" w:hAnsi="Times New Roman" w:cs="Times New Roman"/>
                <w:sz w:val="20"/>
                <w:szCs w:val="20"/>
              </w:rPr>
            </w:pPr>
            <w:r w:rsidRPr="00DE3184">
              <w:rPr>
                <w:rFonts w:ascii="Times New Roman" w:hAnsi="Times New Roman" w:cs="Times New Roman"/>
                <w:sz w:val="20"/>
                <w:szCs w:val="20"/>
              </w:rPr>
              <w:t>Section: _.37(c)(4)(i)(E)</w:t>
            </w:r>
          </w:p>
        </w:tc>
        <w:tc>
          <w:tcPr>
            <w:tcW w:w="1080" w:type="dxa"/>
            <w:shd w:val="clear" w:color="auto" w:fill="auto"/>
          </w:tcPr>
          <w:p w:rsidR="00876EB1" w:rsidRPr="00DE3184" w:rsidP="00637286" w14:paraId="65548D36" w14:textId="77777777">
            <w:pPr>
              <w:jc w:val="center"/>
              <w:rPr>
                <w:rFonts w:ascii="Times New Roman" w:hAnsi="Times New Roman" w:cs="Times New Roman"/>
                <w:sz w:val="20"/>
                <w:szCs w:val="20"/>
              </w:rPr>
            </w:pPr>
            <w:r w:rsidRPr="00DE3184">
              <w:rPr>
                <w:rFonts w:ascii="Times New Roman" w:hAnsi="Times New Roman" w:cs="Times New Roman"/>
                <w:sz w:val="20"/>
                <w:szCs w:val="20"/>
              </w:rPr>
              <w:t>One-time</w:t>
            </w:r>
          </w:p>
        </w:tc>
        <w:tc>
          <w:tcPr>
            <w:tcW w:w="1710" w:type="dxa"/>
            <w:shd w:val="clear" w:color="auto" w:fill="auto"/>
          </w:tcPr>
          <w:p w:rsidR="00876EB1" w:rsidRPr="00DE3184" w:rsidP="00637286" w14:paraId="77BA3205"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shd w:val="clear" w:color="auto" w:fill="auto"/>
          </w:tcPr>
          <w:p w:rsidR="00876EB1" w:rsidRPr="00DE3184" w:rsidP="00637286" w14:paraId="3D1DEF1D"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406B0AC5"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6588FC3C"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80</w:t>
            </w:r>
          </w:p>
        </w:tc>
        <w:tc>
          <w:tcPr>
            <w:tcW w:w="1620" w:type="dxa"/>
            <w:shd w:val="clear" w:color="auto" w:fill="auto"/>
          </w:tcPr>
          <w:p w:rsidR="00876EB1" w:rsidRPr="00DE3184" w:rsidP="00637286" w14:paraId="53416D60" w14:textId="77777777">
            <w:pPr>
              <w:jc w:val="center"/>
              <w:rPr>
                <w:rFonts w:ascii="Times New Roman" w:hAnsi="Times New Roman" w:cs="Times New Roman"/>
                <w:sz w:val="20"/>
                <w:szCs w:val="20"/>
              </w:rPr>
            </w:pPr>
            <w:r w:rsidRPr="00DE3184">
              <w:rPr>
                <w:rFonts w:ascii="Times New Roman" w:hAnsi="Times New Roman" w:cs="Times New Roman"/>
                <w:sz w:val="20"/>
                <w:szCs w:val="20"/>
              </w:rPr>
              <w:t>80</w:t>
            </w:r>
          </w:p>
        </w:tc>
      </w:tr>
      <w:tr w14:paraId="3048C366" w14:textId="77777777" w:rsidTr="00A84A71">
        <w:tblPrEx>
          <w:tblW w:w="10260" w:type="dxa"/>
          <w:tblInd w:w="-95" w:type="dxa"/>
          <w:tblLayout w:type="fixed"/>
          <w:tblLook w:val="04A0"/>
        </w:tblPrEx>
        <w:tc>
          <w:tcPr>
            <w:tcW w:w="1890" w:type="dxa"/>
            <w:shd w:val="clear" w:color="auto" w:fill="auto"/>
          </w:tcPr>
          <w:p w:rsidR="00876EB1" w:rsidRPr="00DE3184" w:rsidP="00637286" w14:paraId="1870CF94" w14:textId="77777777">
            <w:pPr>
              <w:rPr>
                <w:rFonts w:ascii="Times New Roman" w:hAnsi="Times New Roman" w:cs="Times New Roman"/>
                <w:sz w:val="20"/>
                <w:szCs w:val="20"/>
              </w:rPr>
            </w:pPr>
            <w:r w:rsidRPr="00DE3184">
              <w:rPr>
                <w:rFonts w:ascii="Times New Roman" w:hAnsi="Times New Roman" w:cs="Times New Roman"/>
                <w:sz w:val="20"/>
                <w:szCs w:val="20"/>
              </w:rPr>
              <w:t>Collateralized Transactions -- Internal Estimates for Haircuts</w:t>
            </w:r>
          </w:p>
          <w:p w:rsidR="00876EB1" w:rsidRPr="00DE3184" w:rsidP="00637286" w14:paraId="3AD828C6" w14:textId="77777777">
            <w:pPr>
              <w:rPr>
                <w:rFonts w:ascii="Times New Roman" w:hAnsi="Times New Roman" w:cs="Times New Roman"/>
                <w:sz w:val="20"/>
                <w:szCs w:val="20"/>
              </w:rPr>
            </w:pPr>
            <w:r w:rsidRPr="00DE3184">
              <w:rPr>
                <w:rFonts w:ascii="Times New Roman" w:hAnsi="Times New Roman" w:cs="Times New Roman"/>
                <w:sz w:val="20"/>
                <w:szCs w:val="20"/>
              </w:rPr>
              <w:t>Section: _.37(c)(4)(i)(E)</w:t>
            </w:r>
          </w:p>
        </w:tc>
        <w:tc>
          <w:tcPr>
            <w:tcW w:w="1080" w:type="dxa"/>
            <w:shd w:val="clear" w:color="auto" w:fill="auto"/>
          </w:tcPr>
          <w:p w:rsidR="00876EB1" w:rsidRPr="00DE3184" w:rsidP="00637286" w14:paraId="11A0FCC3"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shd w:val="clear" w:color="auto" w:fill="auto"/>
          </w:tcPr>
          <w:p w:rsidR="00876EB1" w:rsidRPr="00DE3184" w:rsidP="00637286" w14:paraId="680D8D98"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shd w:val="clear" w:color="auto" w:fill="auto"/>
          </w:tcPr>
          <w:p w:rsidR="00876EB1" w:rsidRPr="00DE3184" w:rsidP="00637286" w14:paraId="6AFDE85E"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29C84A6C"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03DBD6D9"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16</w:t>
            </w:r>
          </w:p>
        </w:tc>
        <w:tc>
          <w:tcPr>
            <w:tcW w:w="1620" w:type="dxa"/>
            <w:shd w:val="clear" w:color="auto" w:fill="auto"/>
          </w:tcPr>
          <w:p w:rsidR="00876EB1" w:rsidRPr="00DE3184" w:rsidP="00637286" w14:paraId="23CDEC7F" w14:textId="77777777">
            <w:pPr>
              <w:jc w:val="center"/>
              <w:rPr>
                <w:rFonts w:ascii="Times New Roman" w:hAnsi="Times New Roman" w:cs="Times New Roman"/>
                <w:sz w:val="20"/>
                <w:szCs w:val="20"/>
              </w:rPr>
            </w:pPr>
            <w:r w:rsidRPr="00DE3184">
              <w:rPr>
                <w:rFonts w:ascii="Times New Roman" w:hAnsi="Times New Roman" w:cs="Times New Roman"/>
                <w:sz w:val="20"/>
                <w:szCs w:val="20"/>
              </w:rPr>
              <w:t>16</w:t>
            </w:r>
          </w:p>
        </w:tc>
      </w:tr>
      <w:tr w14:paraId="0E35B871" w14:textId="77777777" w:rsidTr="00A84A71">
        <w:tblPrEx>
          <w:tblW w:w="10260" w:type="dxa"/>
          <w:tblInd w:w="-95" w:type="dxa"/>
          <w:tblLayout w:type="fixed"/>
          <w:tblLook w:val="04A0"/>
        </w:tblPrEx>
        <w:tc>
          <w:tcPr>
            <w:tcW w:w="1890" w:type="dxa"/>
            <w:shd w:val="clear" w:color="auto" w:fill="auto"/>
          </w:tcPr>
          <w:p w:rsidR="00876EB1" w:rsidRPr="00DE3184" w:rsidP="00637286" w14:paraId="727CF1B9" w14:textId="77777777">
            <w:pPr>
              <w:rPr>
                <w:rFonts w:ascii="Times New Roman" w:hAnsi="Times New Roman" w:cs="Times New Roman"/>
                <w:sz w:val="20"/>
                <w:szCs w:val="20"/>
              </w:rPr>
            </w:pPr>
            <w:r w:rsidRPr="00DE3184">
              <w:rPr>
                <w:rFonts w:ascii="Times New Roman" w:hAnsi="Times New Roman" w:cs="Times New Roman"/>
                <w:sz w:val="20"/>
                <w:szCs w:val="20"/>
              </w:rPr>
              <w:t>Operational Requirements for Securitization Exposures --</w:t>
            </w:r>
          </w:p>
          <w:p w:rsidR="00876EB1" w:rsidRPr="00DE3184" w:rsidP="00637286" w14:paraId="3E5245F6" w14:textId="77777777">
            <w:pPr>
              <w:rPr>
                <w:rFonts w:ascii="Times New Roman" w:hAnsi="Times New Roman" w:cs="Times New Roman"/>
                <w:sz w:val="20"/>
                <w:szCs w:val="20"/>
              </w:rPr>
            </w:pPr>
            <w:r w:rsidRPr="00DE3184">
              <w:rPr>
                <w:rFonts w:ascii="Times New Roman" w:hAnsi="Times New Roman" w:cs="Times New Roman"/>
                <w:sz w:val="20"/>
                <w:szCs w:val="20"/>
              </w:rPr>
              <w:t>Legal Opinion Regarding Operational Criteria for Synthetic Securitizations Section: _.41(b)(3)</w:t>
            </w:r>
          </w:p>
          <w:p w:rsidR="00876EB1" w:rsidRPr="00DE3184" w:rsidP="00637286" w14:paraId="7552BCAA" w14:textId="77777777">
            <w:pPr>
              <w:rPr>
                <w:rFonts w:ascii="Times New Roman" w:hAnsi="Times New Roman" w:cs="Times New Roman"/>
                <w:sz w:val="20"/>
                <w:szCs w:val="20"/>
              </w:rPr>
            </w:pPr>
            <w:r w:rsidRPr="00DE3184">
              <w:rPr>
                <w:rFonts w:ascii="Times New Roman" w:hAnsi="Times New Roman" w:cs="Times New Roman"/>
                <w:sz w:val="20"/>
                <w:szCs w:val="20"/>
              </w:rPr>
              <w:t>Document Analysis of Operational Criteria for Synthetic Securitizations Section: _.41(c)(2)(i)</w:t>
            </w:r>
          </w:p>
        </w:tc>
        <w:tc>
          <w:tcPr>
            <w:tcW w:w="1080" w:type="dxa"/>
            <w:shd w:val="clear" w:color="auto" w:fill="auto"/>
          </w:tcPr>
          <w:p w:rsidR="00876EB1" w:rsidRPr="00DE3184" w:rsidP="00637286" w14:paraId="021CBED9" w14:textId="77777777">
            <w:pPr>
              <w:jc w:val="center"/>
              <w:rPr>
                <w:rFonts w:ascii="Times New Roman" w:hAnsi="Times New Roman" w:cs="Times New Roman"/>
                <w:sz w:val="20"/>
                <w:szCs w:val="20"/>
              </w:rPr>
            </w:pPr>
            <w:r w:rsidRPr="00DE3184">
              <w:rPr>
                <w:rFonts w:ascii="Times New Roman" w:hAnsi="Times New Roman" w:cs="Times New Roman"/>
                <w:sz w:val="20"/>
                <w:szCs w:val="20"/>
              </w:rPr>
              <w:t>One-time</w:t>
            </w:r>
          </w:p>
        </w:tc>
        <w:tc>
          <w:tcPr>
            <w:tcW w:w="1710" w:type="dxa"/>
            <w:shd w:val="clear" w:color="auto" w:fill="auto"/>
          </w:tcPr>
          <w:p w:rsidR="00876EB1" w:rsidRPr="00DE3184" w:rsidP="00637286" w14:paraId="23D22C54"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shd w:val="clear" w:color="auto" w:fill="auto"/>
          </w:tcPr>
          <w:p w:rsidR="00876EB1" w:rsidRPr="00DE3184" w:rsidP="00637286" w14:paraId="50FB4D69"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shd w:val="clear" w:color="auto" w:fill="auto"/>
          </w:tcPr>
          <w:p w:rsidR="00876EB1" w:rsidRPr="00DE3184" w:rsidP="00637286" w14:paraId="53D59D25"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44FA72C7"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40</w:t>
            </w:r>
          </w:p>
        </w:tc>
        <w:tc>
          <w:tcPr>
            <w:tcW w:w="1620" w:type="dxa"/>
            <w:shd w:val="clear" w:color="auto" w:fill="auto"/>
          </w:tcPr>
          <w:p w:rsidR="00876EB1" w:rsidRPr="00DE3184" w:rsidP="00637286" w14:paraId="57120A11" w14:textId="77777777">
            <w:pPr>
              <w:jc w:val="center"/>
              <w:rPr>
                <w:rFonts w:ascii="Times New Roman" w:hAnsi="Times New Roman" w:cs="Times New Roman"/>
                <w:sz w:val="20"/>
                <w:szCs w:val="20"/>
              </w:rPr>
            </w:pPr>
            <w:r w:rsidRPr="00DE3184">
              <w:rPr>
                <w:rFonts w:ascii="Times New Roman" w:hAnsi="Times New Roman" w:cs="Times New Roman"/>
                <w:sz w:val="20"/>
                <w:szCs w:val="20"/>
              </w:rPr>
              <w:t>1,920</w:t>
            </w:r>
          </w:p>
        </w:tc>
      </w:tr>
      <w:tr w14:paraId="760A17CF" w14:textId="77777777" w:rsidTr="00A84A71">
        <w:tblPrEx>
          <w:tblW w:w="10260" w:type="dxa"/>
          <w:tblInd w:w="-95" w:type="dxa"/>
          <w:tblLayout w:type="fixed"/>
          <w:tblLook w:val="04A0"/>
        </w:tblPrEx>
        <w:tc>
          <w:tcPr>
            <w:tcW w:w="1890" w:type="dxa"/>
            <w:shd w:val="clear" w:color="auto" w:fill="auto"/>
          </w:tcPr>
          <w:p w:rsidR="00876EB1" w:rsidRPr="00DE3184" w:rsidP="00637286" w14:paraId="3DF18F5B" w14:textId="77777777">
            <w:pPr>
              <w:rPr>
                <w:rFonts w:ascii="Times New Roman" w:hAnsi="Times New Roman" w:cs="Times New Roman"/>
                <w:sz w:val="20"/>
                <w:szCs w:val="20"/>
              </w:rPr>
            </w:pPr>
            <w:r w:rsidRPr="00DE3184">
              <w:rPr>
                <w:rFonts w:ascii="Times New Roman" w:hAnsi="Times New Roman" w:cs="Times New Roman"/>
                <w:sz w:val="20"/>
                <w:szCs w:val="20"/>
              </w:rPr>
              <w:t xml:space="preserve">Operational Requirements for Securitization Exposures -- </w:t>
            </w:r>
          </w:p>
          <w:p w:rsidR="00876EB1" w:rsidRPr="00DE3184" w:rsidP="00637286" w14:paraId="77157AC2" w14:textId="77777777">
            <w:pPr>
              <w:rPr>
                <w:rFonts w:ascii="Times New Roman" w:hAnsi="Times New Roman" w:cs="Times New Roman"/>
                <w:sz w:val="20"/>
                <w:szCs w:val="20"/>
              </w:rPr>
            </w:pPr>
            <w:r w:rsidRPr="00DE3184">
              <w:rPr>
                <w:rFonts w:ascii="Times New Roman" w:hAnsi="Times New Roman" w:cs="Times New Roman"/>
                <w:sz w:val="20"/>
                <w:szCs w:val="20"/>
              </w:rPr>
              <w:t>Document Analysis of Operational Criteria for Synthetic Securitizations</w:t>
            </w:r>
          </w:p>
          <w:p w:rsidR="00876EB1" w:rsidRPr="00DE3184" w:rsidP="00637286" w14:paraId="0E13697A" w14:textId="77777777">
            <w:pPr>
              <w:rPr>
                <w:rFonts w:ascii="Times New Roman" w:hAnsi="Times New Roman" w:cs="Times New Roman"/>
                <w:sz w:val="20"/>
                <w:szCs w:val="20"/>
              </w:rPr>
            </w:pPr>
            <w:r w:rsidRPr="00DE3184">
              <w:rPr>
                <w:rFonts w:ascii="Times New Roman" w:hAnsi="Times New Roman" w:cs="Times New Roman"/>
                <w:sz w:val="20"/>
                <w:szCs w:val="20"/>
              </w:rPr>
              <w:t>Section: _.41(c)(2)(ii)</w:t>
            </w:r>
          </w:p>
        </w:tc>
        <w:tc>
          <w:tcPr>
            <w:tcW w:w="1080" w:type="dxa"/>
            <w:shd w:val="clear" w:color="auto" w:fill="auto"/>
          </w:tcPr>
          <w:p w:rsidR="00876EB1" w:rsidRPr="00DE3184" w:rsidP="00637286" w14:paraId="19C230AF"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shd w:val="clear" w:color="auto" w:fill="auto"/>
          </w:tcPr>
          <w:p w:rsidR="00876EB1" w:rsidRPr="00DE3184" w:rsidP="00637286" w14:paraId="49D2685D"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shd w:val="clear" w:color="auto" w:fill="auto"/>
          </w:tcPr>
          <w:p w:rsidR="00876EB1" w:rsidRPr="00DE3184" w:rsidP="00637286" w14:paraId="27FA99DE"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shd w:val="clear" w:color="auto" w:fill="auto"/>
          </w:tcPr>
          <w:p w:rsidR="00876EB1" w:rsidRPr="00DE3184" w:rsidP="00637286" w14:paraId="53EDAA92"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4</w:t>
            </w:r>
          </w:p>
        </w:tc>
        <w:tc>
          <w:tcPr>
            <w:tcW w:w="1260" w:type="dxa"/>
            <w:shd w:val="clear" w:color="auto" w:fill="auto"/>
          </w:tcPr>
          <w:p w:rsidR="00876EB1" w:rsidRPr="00DE3184" w:rsidP="00637286" w14:paraId="5FB58378"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2</w:t>
            </w:r>
          </w:p>
        </w:tc>
        <w:tc>
          <w:tcPr>
            <w:tcW w:w="1620" w:type="dxa"/>
            <w:shd w:val="clear" w:color="auto" w:fill="auto"/>
          </w:tcPr>
          <w:p w:rsidR="00876EB1" w:rsidRPr="00DE3184" w:rsidP="00637286" w14:paraId="51818A07" w14:textId="77777777">
            <w:pPr>
              <w:jc w:val="center"/>
              <w:rPr>
                <w:rFonts w:ascii="Times New Roman" w:hAnsi="Times New Roman" w:cs="Times New Roman"/>
                <w:sz w:val="20"/>
                <w:szCs w:val="20"/>
              </w:rPr>
            </w:pPr>
            <w:r w:rsidRPr="00DE3184">
              <w:rPr>
                <w:rFonts w:ascii="Times New Roman" w:hAnsi="Times New Roman" w:cs="Times New Roman"/>
                <w:sz w:val="20"/>
                <w:szCs w:val="20"/>
              </w:rPr>
              <w:t>384</w:t>
            </w:r>
          </w:p>
        </w:tc>
      </w:tr>
      <w:tr w14:paraId="7BC5FED3" w14:textId="77777777" w:rsidTr="00A84A71">
        <w:tblPrEx>
          <w:tblW w:w="10260" w:type="dxa"/>
          <w:tblInd w:w="-95" w:type="dxa"/>
          <w:tblLayout w:type="fixed"/>
          <w:tblLook w:val="04A0"/>
        </w:tblPrEx>
        <w:tc>
          <w:tcPr>
            <w:tcW w:w="1890" w:type="dxa"/>
            <w:shd w:val="clear" w:color="auto" w:fill="auto"/>
          </w:tcPr>
          <w:p w:rsidR="00876EB1" w:rsidRPr="00DE3184" w:rsidP="00637286" w14:paraId="7C404C18" w14:textId="77777777">
            <w:pPr>
              <w:rPr>
                <w:rFonts w:ascii="Times New Roman" w:hAnsi="Times New Roman" w:cs="Times New Roman"/>
                <w:sz w:val="20"/>
                <w:szCs w:val="20"/>
              </w:rPr>
            </w:pPr>
            <w:r w:rsidRPr="00DE3184">
              <w:rPr>
                <w:rFonts w:ascii="Times New Roman" w:hAnsi="Times New Roman" w:cs="Times New Roman"/>
                <w:sz w:val="20"/>
                <w:szCs w:val="20"/>
              </w:rPr>
              <w:t>Collateralized Transactions -- Internal Estimates for Haircuts --</w:t>
            </w:r>
          </w:p>
          <w:p w:rsidR="00876EB1" w:rsidRPr="00DE3184" w:rsidP="00637286" w14:paraId="49B42423" w14:textId="77777777">
            <w:pPr>
              <w:rPr>
                <w:rFonts w:ascii="Times New Roman" w:hAnsi="Times New Roman" w:cs="Times New Roman"/>
                <w:sz w:val="20"/>
                <w:szCs w:val="20"/>
              </w:rPr>
            </w:pPr>
            <w:r w:rsidRPr="00DE3184">
              <w:rPr>
                <w:rFonts w:ascii="Times New Roman" w:hAnsi="Times New Roman" w:cs="Times New Roman"/>
                <w:sz w:val="20"/>
                <w:szCs w:val="20"/>
              </w:rPr>
              <w:t>Section _.37(c)(4)(i)(E)</w:t>
            </w:r>
          </w:p>
        </w:tc>
        <w:tc>
          <w:tcPr>
            <w:tcW w:w="1080" w:type="dxa"/>
            <w:shd w:val="clear" w:color="auto" w:fill="auto"/>
          </w:tcPr>
          <w:p w:rsidR="00876EB1" w:rsidRPr="00DE3184" w:rsidP="00637286" w14:paraId="1EDB3074"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shd w:val="clear" w:color="auto" w:fill="auto"/>
          </w:tcPr>
          <w:p w:rsidR="00876EB1" w:rsidRPr="00DE3184" w:rsidP="00637286" w14:paraId="59DE8E88" w14:textId="77777777">
            <w:pPr>
              <w:jc w:val="center"/>
              <w:rPr>
                <w:rFonts w:ascii="Times New Roman" w:hAnsi="Times New Roman" w:cs="Times New Roman"/>
                <w:sz w:val="20"/>
                <w:szCs w:val="20"/>
              </w:rPr>
            </w:pPr>
            <w:r w:rsidRPr="00DE3184">
              <w:rPr>
                <w:rFonts w:ascii="Times New Roman" w:hAnsi="Times New Roman" w:cs="Times New Roman"/>
                <w:sz w:val="20"/>
                <w:szCs w:val="20"/>
              </w:rPr>
              <w:t>Reporting</w:t>
            </w:r>
          </w:p>
        </w:tc>
        <w:tc>
          <w:tcPr>
            <w:tcW w:w="1440" w:type="dxa"/>
            <w:shd w:val="clear" w:color="auto" w:fill="auto"/>
          </w:tcPr>
          <w:p w:rsidR="00876EB1" w:rsidRPr="00DE3184" w:rsidP="00637286" w14:paraId="4A0EE0AE"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37CE54EB"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019C8FD2"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620" w:type="dxa"/>
            <w:shd w:val="clear" w:color="auto" w:fill="auto"/>
          </w:tcPr>
          <w:p w:rsidR="00876EB1" w:rsidRPr="00DE3184" w:rsidP="00637286" w14:paraId="6E461399"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r>
      <w:tr w14:paraId="1DF1CD4E" w14:textId="77777777" w:rsidTr="00A84A71">
        <w:tblPrEx>
          <w:tblW w:w="10260" w:type="dxa"/>
          <w:tblInd w:w="-95" w:type="dxa"/>
          <w:tblLayout w:type="fixed"/>
          <w:tblLook w:val="04A0"/>
        </w:tblPrEx>
        <w:tc>
          <w:tcPr>
            <w:tcW w:w="1890" w:type="dxa"/>
            <w:shd w:val="clear" w:color="auto" w:fill="auto"/>
          </w:tcPr>
          <w:p w:rsidR="00876EB1" w:rsidRPr="00DE3184" w:rsidP="00637286" w14:paraId="75CDD890" w14:textId="77777777">
            <w:pPr>
              <w:rPr>
                <w:rFonts w:ascii="Times New Roman" w:hAnsi="Times New Roman" w:cs="Times New Roman"/>
                <w:sz w:val="20"/>
                <w:szCs w:val="20"/>
              </w:rPr>
            </w:pPr>
            <w:r w:rsidRPr="00DE3184">
              <w:rPr>
                <w:rFonts w:ascii="Times New Roman" w:hAnsi="Times New Roman" w:cs="Times New Roman"/>
                <w:sz w:val="20"/>
                <w:szCs w:val="20"/>
              </w:rPr>
              <w:t>Risk-Weighted Assets for Securitization Exposures -- Implicit Support Disclosure Section: _.42(e)(2)</w:t>
            </w:r>
          </w:p>
          <w:p w:rsidR="00876EB1" w:rsidRPr="00DE3184" w:rsidP="00637286" w14:paraId="74FA0C83" w14:textId="77777777">
            <w:pPr>
              <w:rPr>
                <w:rFonts w:ascii="Times New Roman" w:hAnsi="Times New Roman" w:cs="Times New Roman"/>
                <w:sz w:val="20"/>
                <w:szCs w:val="20"/>
              </w:rPr>
            </w:pPr>
            <w:r w:rsidRPr="00DE3184">
              <w:rPr>
                <w:rFonts w:ascii="Times New Roman" w:hAnsi="Times New Roman" w:cs="Times New Roman"/>
                <w:sz w:val="20"/>
                <w:szCs w:val="20"/>
              </w:rPr>
              <w:t>Credit Risk -- Disclosures Sections: _.62(a)-(c)</w:t>
            </w:r>
          </w:p>
          <w:p w:rsidR="00876EB1" w:rsidRPr="00DE3184" w:rsidP="00637286" w14:paraId="37BEF5B3" w14:textId="77777777">
            <w:pPr>
              <w:rPr>
                <w:rFonts w:ascii="Times New Roman" w:hAnsi="Times New Roman" w:cs="Times New Roman"/>
                <w:sz w:val="20"/>
                <w:szCs w:val="20"/>
              </w:rPr>
            </w:pPr>
            <w:r w:rsidRPr="00DE3184">
              <w:rPr>
                <w:rFonts w:ascii="Times New Roman" w:hAnsi="Times New Roman" w:cs="Times New Roman"/>
                <w:sz w:val="20"/>
                <w:szCs w:val="20"/>
              </w:rPr>
              <w:t>Credit Risk -- Quantitative and Qualitative Disclosures Sections: _.63(a)-(b) and _.63 Tables</w:t>
            </w:r>
          </w:p>
        </w:tc>
        <w:tc>
          <w:tcPr>
            <w:tcW w:w="1080" w:type="dxa"/>
            <w:shd w:val="clear" w:color="auto" w:fill="auto"/>
          </w:tcPr>
          <w:p w:rsidR="00876EB1" w:rsidRPr="00DE3184" w:rsidP="00637286" w14:paraId="33E4B476" w14:textId="77777777">
            <w:pPr>
              <w:jc w:val="center"/>
              <w:rPr>
                <w:rFonts w:ascii="Times New Roman" w:hAnsi="Times New Roman" w:cs="Times New Roman"/>
                <w:sz w:val="20"/>
                <w:szCs w:val="20"/>
              </w:rPr>
            </w:pPr>
            <w:r w:rsidRPr="00DE3184">
              <w:rPr>
                <w:rFonts w:ascii="Times New Roman" w:hAnsi="Times New Roman" w:cs="Times New Roman"/>
                <w:sz w:val="20"/>
                <w:szCs w:val="20"/>
              </w:rPr>
              <w:t>One-time</w:t>
            </w:r>
          </w:p>
        </w:tc>
        <w:tc>
          <w:tcPr>
            <w:tcW w:w="1710" w:type="dxa"/>
            <w:shd w:val="clear" w:color="auto" w:fill="auto"/>
          </w:tcPr>
          <w:p w:rsidR="00876EB1" w:rsidRPr="00DE3184" w:rsidP="00637286" w14:paraId="67EBE3F0" w14:textId="77777777">
            <w:pPr>
              <w:jc w:val="center"/>
              <w:rPr>
                <w:rFonts w:ascii="Times New Roman" w:hAnsi="Times New Roman" w:cs="Times New Roman"/>
                <w:sz w:val="20"/>
                <w:szCs w:val="20"/>
              </w:rPr>
            </w:pPr>
            <w:r w:rsidRPr="00DE3184">
              <w:rPr>
                <w:rFonts w:ascii="Times New Roman" w:hAnsi="Times New Roman" w:cs="Times New Roman"/>
                <w:sz w:val="20"/>
                <w:szCs w:val="20"/>
              </w:rPr>
              <w:t>Disclosure</w:t>
            </w:r>
          </w:p>
        </w:tc>
        <w:tc>
          <w:tcPr>
            <w:tcW w:w="1440" w:type="dxa"/>
            <w:shd w:val="clear" w:color="auto" w:fill="auto"/>
          </w:tcPr>
          <w:p w:rsidR="00876EB1" w:rsidRPr="00DE3184" w:rsidP="00637286" w14:paraId="5F945C8E"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59AFA2C7"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42049B69"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226.25</w:t>
            </w:r>
          </w:p>
        </w:tc>
        <w:tc>
          <w:tcPr>
            <w:tcW w:w="1620" w:type="dxa"/>
            <w:shd w:val="clear" w:color="auto" w:fill="auto"/>
          </w:tcPr>
          <w:p w:rsidR="00876EB1" w:rsidRPr="00DE3184" w:rsidP="00637286" w14:paraId="45CAF34B" w14:textId="77777777">
            <w:pPr>
              <w:jc w:val="center"/>
              <w:rPr>
                <w:rFonts w:ascii="Times New Roman" w:hAnsi="Times New Roman" w:cs="Times New Roman"/>
                <w:sz w:val="20"/>
                <w:szCs w:val="20"/>
              </w:rPr>
            </w:pPr>
            <w:r w:rsidRPr="00DE3184">
              <w:rPr>
                <w:rFonts w:ascii="Times New Roman" w:hAnsi="Times New Roman" w:cs="Times New Roman"/>
                <w:sz w:val="20"/>
                <w:szCs w:val="20"/>
              </w:rPr>
              <w:t>226</w:t>
            </w:r>
          </w:p>
        </w:tc>
      </w:tr>
      <w:tr w14:paraId="2BD9B390" w14:textId="77777777" w:rsidTr="00A84A71">
        <w:tblPrEx>
          <w:tblW w:w="10260" w:type="dxa"/>
          <w:tblInd w:w="-95" w:type="dxa"/>
          <w:tblLayout w:type="fixed"/>
          <w:tblLook w:val="04A0"/>
        </w:tblPrEx>
        <w:tc>
          <w:tcPr>
            <w:tcW w:w="1890" w:type="dxa"/>
            <w:shd w:val="clear" w:color="auto" w:fill="auto"/>
          </w:tcPr>
          <w:p w:rsidR="00876EB1" w:rsidRPr="00DE3184" w:rsidP="00637286" w14:paraId="605DEC65" w14:textId="77777777">
            <w:pPr>
              <w:rPr>
                <w:rFonts w:ascii="Times New Roman" w:hAnsi="Times New Roman" w:cs="Times New Roman"/>
                <w:sz w:val="20"/>
                <w:szCs w:val="20"/>
              </w:rPr>
            </w:pPr>
            <w:r w:rsidRPr="00DE3184">
              <w:rPr>
                <w:rFonts w:ascii="Times New Roman" w:hAnsi="Times New Roman" w:cs="Times New Roman"/>
                <w:sz w:val="20"/>
                <w:szCs w:val="20"/>
              </w:rPr>
              <w:t>Risk-Weighted Assets for Securitization Exposures -- Implicit Support Disclosure Section: _.42(e)(2)</w:t>
            </w:r>
          </w:p>
          <w:p w:rsidR="00876EB1" w:rsidRPr="00DE3184" w:rsidP="00637286" w14:paraId="0E42CE57" w14:textId="77777777">
            <w:pPr>
              <w:rPr>
                <w:rFonts w:ascii="Times New Roman" w:hAnsi="Times New Roman" w:cs="Times New Roman"/>
                <w:sz w:val="20"/>
                <w:szCs w:val="20"/>
              </w:rPr>
            </w:pPr>
          </w:p>
        </w:tc>
        <w:tc>
          <w:tcPr>
            <w:tcW w:w="1080" w:type="dxa"/>
            <w:shd w:val="clear" w:color="auto" w:fill="auto"/>
          </w:tcPr>
          <w:p w:rsidR="00876EB1" w:rsidRPr="00DE3184" w:rsidP="00637286" w14:paraId="33F28572"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shd w:val="clear" w:color="auto" w:fill="auto"/>
          </w:tcPr>
          <w:p w:rsidR="00876EB1" w:rsidRPr="00DE3184" w:rsidP="00637286" w14:paraId="79F635D6" w14:textId="77777777">
            <w:pPr>
              <w:jc w:val="center"/>
              <w:rPr>
                <w:rFonts w:ascii="Times New Roman" w:hAnsi="Times New Roman" w:cs="Times New Roman"/>
                <w:sz w:val="20"/>
                <w:szCs w:val="20"/>
              </w:rPr>
            </w:pPr>
            <w:r w:rsidRPr="00DE3184">
              <w:rPr>
                <w:rFonts w:ascii="Times New Roman" w:hAnsi="Times New Roman" w:cs="Times New Roman"/>
                <w:sz w:val="20"/>
                <w:szCs w:val="20"/>
              </w:rPr>
              <w:t>Disclosure</w:t>
            </w:r>
          </w:p>
        </w:tc>
        <w:tc>
          <w:tcPr>
            <w:tcW w:w="1440" w:type="dxa"/>
            <w:shd w:val="clear" w:color="auto" w:fill="auto"/>
          </w:tcPr>
          <w:p w:rsidR="00876EB1" w:rsidRPr="00DE3184" w:rsidP="00637286" w14:paraId="757C4142"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3AE07E2F"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515598A1" w14:textId="77777777">
            <w:pPr>
              <w:jc w:val="center"/>
              <w:rPr>
                <w:rFonts w:ascii="Times New Roman" w:hAnsi="Times New Roman" w:cs="Times New Roman"/>
                <w:sz w:val="20"/>
                <w:szCs w:val="20"/>
              </w:rPr>
            </w:pPr>
            <w:r w:rsidRPr="00DE3184">
              <w:rPr>
                <w:rFonts w:ascii="Times New Roman" w:hAnsi="Times New Roman" w:cs="Times New Roman"/>
                <w:sz w:val="20"/>
                <w:szCs w:val="20"/>
              </w:rPr>
              <w:t>20</w:t>
            </w:r>
          </w:p>
        </w:tc>
        <w:tc>
          <w:tcPr>
            <w:tcW w:w="1620" w:type="dxa"/>
            <w:shd w:val="clear" w:color="auto" w:fill="auto"/>
          </w:tcPr>
          <w:p w:rsidR="00876EB1" w:rsidRPr="00DE3184" w:rsidP="00637286" w14:paraId="5BCD443C" w14:textId="77777777">
            <w:pPr>
              <w:jc w:val="center"/>
              <w:rPr>
                <w:rFonts w:ascii="Times New Roman" w:hAnsi="Times New Roman" w:cs="Times New Roman"/>
                <w:sz w:val="20"/>
                <w:szCs w:val="20"/>
              </w:rPr>
            </w:pPr>
            <w:r w:rsidRPr="00DE3184">
              <w:rPr>
                <w:rFonts w:ascii="Times New Roman" w:hAnsi="Times New Roman" w:cs="Times New Roman"/>
                <w:sz w:val="20"/>
                <w:szCs w:val="20"/>
              </w:rPr>
              <w:t>20</w:t>
            </w:r>
          </w:p>
        </w:tc>
      </w:tr>
      <w:tr w14:paraId="5005F504" w14:textId="77777777" w:rsidTr="00A84A71">
        <w:tblPrEx>
          <w:tblW w:w="10260" w:type="dxa"/>
          <w:tblInd w:w="-95" w:type="dxa"/>
          <w:tblLayout w:type="fixed"/>
          <w:tblLook w:val="04A0"/>
        </w:tblPrEx>
        <w:tc>
          <w:tcPr>
            <w:tcW w:w="1890" w:type="dxa"/>
            <w:shd w:val="clear" w:color="auto" w:fill="auto"/>
          </w:tcPr>
          <w:p w:rsidR="00876EB1" w:rsidRPr="00DE3184" w:rsidP="00637286" w14:paraId="59CA571B" w14:textId="77777777">
            <w:pPr>
              <w:rPr>
                <w:rFonts w:ascii="Times New Roman" w:hAnsi="Times New Roman" w:cs="Times New Roman"/>
                <w:sz w:val="20"/>
                <w:szCs w:val="20"/>
              </w:rPr>
            </w:pPr>
            <w:r w:rsidRPr="00DE3184">
              <w:rPr>
                <w:rFonts w:ascii="Times New Roman" w:hAnsi="Times New Roman" w:cs="Times New Roman"/>
                <w:sz w:val="20"/>
                <w:szCs w:val="20"/>
              </w:rPr>
              <w:t>Credit Risk -- Disclosures Sections: _.62(a)-(c)</w:t>
            </w:r>
          </w:p>
          <w:p w:rsidR="00876EB1" w:rsidRPr="00DE3184" w:rsidP="00637286" w14:paraId="427C7EB3" w14:textId="77777777">
            <w:pPr>
              <w:rPr>
                <w:rFonts w:ascii="Times New Roman" w:hAnsi="Times New Roman" w:cs="Times New Roman"/>
                <w:sz w:val="20"/>
                <w:szCs w:val="20"/>
              </w:rPr>
            </w:pPr>
            <w:r w:rsidRPr="00DE3184">
              <w:rPr>
                <w:rFonts w:ascii="Times New Roman" w:hAnsi="Times New Roman" w:cs="Times New Roman"/>
                <w:sz w:val="20"/>
                <w:szCs w:val="20"/>
              </w:rPr>
              <w:t>Credit Risk -- Quantitative and Qualitative Disclosures Sections: _.63(a)-(b) and _.63 Tables</w:t>
            </w:r>
          </w:p>
        </w:tc>
        <w:tc>
          <w:tcPr>
            <w:tcW w:w="1080" w:type="dxa"/>
            <w:shd w:val="clear" w:color="auto" w:fill="auto"/>
          </w:tcPr>
          <w:p w:rsidR="00876EB1" w:rsidRPr="00DE3184" w:rsidP="00637286" w14:paraId="3D157557"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shd w:val="clear" w:color="auto" w:fill="auto"/>
          </w:tcPr>
          <w:p w:rsidR="00876EB1" w:rsidRPr="00DE3184" w:rsidP="00637286" w14:paraId="7B435C0D" w14:textId="77777777">
            <w:pPr>
              <w:jc w:val="center"/>
              <w:rPr>
                <w:rFonts w:ascii="Times New Roman" w:hAnsi="Times New Roman" w:cs="Times New Roman"/>
                <w:sz w:val="20"/>
                <w:szCs w:val="20"/>
              </w:rPr>
            </w:pPr>
            <w:r w:rsidRPr="00DE3184">
              <w:rPr>
                <w:rFonts w:ascii="Times New Roman" w:hAnsi="Times New Roman" w:cs="Times New Roman"/>
                <w:sz w:val="20"/>
                <w:szCs w:val="20"/>
              </w:rPr>
              <w:t>Disclosure</w:t>
            </w:r>
          </w:p>
        </w:tc>
        <w:tc>
          <w:tcPr>
            <w:tcW w:w="1440" w:type="dxa"/>
            <w:shd w:val="clear" w:color="auto" w:fill="auto"/>
          </w:tcPr>
          <w:p w:rsidR="00876EB1" w:rsidRPr="00DE3184" w:rsidP="00637286" w14:paraId="622F4992"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shd w:val="clear" w:color="auto" w:fill="auto"/>
          </w:tcPr>
          <w:p w:rsidR="00876EB1" w:rsidRPr="00DE3184" w:rsidP="00637286" w14:paraId="4B2640C7"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4</w:t>
            </w:r>
          </w:p>
        </w:tc>
        <w:tc>
          <w:tcPr>
            <w:tcW w:w="1260" w:type="dxa"/>
            <w:shd w:val="clear" w:color="auto" w:fill="auto"/>
          </w:tcPr>
          <w:p w:rsidR="00876EB1" w:rsidRPr="00DE3184" w:rsidP="00637286" w14:paraId="158FEADC" w14:textId="77777777">
            <w:pPr>
              <w:jc w:val="center"/>
              <w:rPr>
                <w:rFonts w:ascii="Times New Roman" w:hAnsi="Times New Roman" w:cs="Times New Roman"/>
                <w:sz w:val="20"/>
                <w:szCs w:val="20"/>
                <w:highlight w:val="yellow"/>
              </w:rPr>
            </w:pPr>
            <w:r w:rsidRPr="00DE3184">
              <w:rPr>
                <w:rFonts w:ascii="Times New Roman" w:hAnsi="Times New Roman" w:cs="Times New Roman"/>
                <w:sz w:val="20"/>
                <w:szCs w:val="20"/>
              </w:rPr>
              <w:t>1</w:t>
            </w:r>
            <w:r>
              <w:rPr>
                <w:rFonts w:ascii="Times New Roman" w:hAnsi="Times New Roman" w:cs="Times New Roman"/>
                <w:sz w:val="20"/>
                <w:szCs w:val="20"/>
              </w:rPr>
              <w:t>1</w:t>
            </w:r>
            <w:r w:rsidRPr="00DE3184">
              <w:rPr>
                <w:rFonts w:ascii="Times New Roman" w:hAnsi="Times New Roman" w:cs="Times New Roman"/>
                <w:sz w:val="20"/>
                <w:szCs w:val="20"/>
              </w:rPr>
              <w:t>1.25</w:t>
            </w:r>
          </w:p>
        </w:tc>
        <w:tc>
          <w:tcPr>
            <w:tcW w:w="1620" w:type="dxa"/>
            <w:shd w:val="clear" w:color="auto" w:fill="auto"/>
          </w:tcPr>
          <w:p w:rsidR="00876EB1" w:rsidRPr="00DE3184" w:rsidP="00637286" w14:paraId="4D31C839" w14:textId="77777777">
            <w:pPr>
              <w:jc w:val="center"/>
              <w:rPr>
                <w:rFonts w:ascii="Times New Roman" w:hAnsi="Times New Roman" w:cs="Times New Roman"/>
                <w:sz w:val="20"/>
                <w:szCs w:val="20"/>
              </w:rPr>
            </w:pPr>
            <w:r>
              <w:rPr>
                <w:rFonts w:ascii="Times New Roman" w:hAnsi="Times New Roman" w:cs="Times New Roman"/>
                <w:sz w:val="20"/>
                <w:szCs w:val="20"/>
              </w:rPr>
              <w:t>445</w:t>
            </w:r>
          </w:p>
        </w:tc>
      </w:tr>
      <w:tr w14:paraId="452210F6" w14:textId="77777777" w:rsidTr="00A84A71">
        <w:tblPrEx>
          <w:tblW w:w="10260" w:type="dxa"/>
          <w:tblInd w:w="-95" w:type="dxa"/>
          <w:tblLayout w:type="fixed"/>
          <w:tblLook w:val="04A0"/>
        </w:tblPrEx>
        <w:trPr>
          <w:trHeight w:val="647"/>
        </w:trPr>
        <w:tc>
          <w:tcPr>
            <w:tcW w:w="1890" w:type="dxa"/>
            <w:shd w:val="clear" w:color="auto" w:fill="BFBFBF" w:themeFill="background1" w:themeFillShade="BF"/>
          </w:tcPr>
          <w:p w:rsidR="00876EB1" w:rsidRPr="00DE3184" w:rsidP="00637286" w14:paraId="0F956E60" w14:textId="77777777">
            <w:pPr>
              <w:rPr>
                <w:rFonts w:ascii="Times New Roman" w:hAnsi="Times New Roman" w:cs="Times New Roman"/>
                <w:b/>
                <w:bCs/>
                <w:i/>
                <w:iCs/>
                <w:sz w:val="20"/>
                <w:szCs w:val="20"/>
              </w:rPr>
            </w:pPr>
          </w:p>
          <w:p w:rsidR="00876EB1" w:rsidRPr="00DE3184" w:rsidP="00637286" w14:paraId="72B81D22" w14:textId="77777777">
            <w:pPr>
              <w:jc w:val="center"/>
              <w:rPr>
                <w:rFonts w:ascii="Times New Roman" w:hAnsi="Times New Roman" w:cs="Times New Roman"/>
                <w:b/>
                <w:bCs/>
                <w:i/>
                <w:iCs/>
                <w:sz w:val="20"/>
                <w:szCs w:val="20"/>
              </w:rPr>
            </w:pPr>
            <w:r>
              <w:rPr>
                <w:rFonts w:ascii="Times New Roman" w:hAnsi="Times New Roman" w:cs="Times New Roman"/>
                <w:b/>
                <w:bCs/>
                <w:i/>
                <w:iCs/>
                <w:sz w:val="20"/>
                <w:szCs w:val="20"/>
              </w:rPr>
              <w:t>Expanded Risk Based Approach</w:t>
            </w:r>
            <w:r w:rsidRPr="00DE3184">
              <w:rPr>
                <w:rFonts w:ascii="Times New Roman" w:hAnsi="Times New Roman" w:cs="Times New Roman"/>
                <w:b/>
                <w:bCs/>
                <w:i/>
                <w:iCs/>
                <w:sz w:val="20"/>
                <w:szCs w:val="20"/>
              </w:rPr>
              <w:t>:</w:t>
            </w:r>
          </w:p>
        </w:tc>
        <w:tc>
          <w:tcPr>
            <w:tcW w:w="1080" w:type="dxa"/>
            <w:shd w:val="clear" w:color="auto" w:fill="BFBFBF" w:themeFill="background1" w:themeFillShade="BF"/>
          </w:tcPr>
          <w:p w:rsidR="00876EB1" w:rsidRPr="00DE3184" w:rsidP="00637286" w14:paraId="1C428D67" w14:textId="77777777">
            <w:pPr>
              <w:jc w:val="center"/>
              <w:rPr>
                <w:rFonts w:ascii="Times New Roman" w:hAnsi="Times New Roman" w:cs="Times New Roman"/>
                <w:b/>
                <w:bCs/>
                <w:sz w:val="20"/>
                <w:szCs w:val="20"/>
              </w:rPr>
            </w:pPr>
          </w:p>
        </w:tc>
        <w:tc>
          <w:tcPr>
            <w:tcW w:w="1710" w:type="dxa"/>
            <w:shd w:val="clear" w:color="auto" w:fill="BFBFBF" w:themeFill="background1" w:themeFillShade="BF"/>
          </w:tcPr>
          <w:p w:rsidR="00876EB1" w:rsidRPr="00DE3184" w:rsidP="00637286" w14:paraId="40375932" w14:textId="77777777">
            <w:pPr>
              <w:jc w:val="center"/>
              <w:rPr>
                <w:rFonts w:ascii="Times New Roman" w:hAnsi="Times New Roman" w:cs="Times New Roman"/>
                <w:b/>
                <w:bCs/>
                <w:sz w:val="20"/>
                <w:szCs w:val="20"/>
              </w:rPr>
            </w:pPr>
          </w:p>
        </w:tc>
        <w:tc>
          <w:tcPr>
            <w:tcW w:w="1440" w:type="dxa"/>
            <w:shd w:val="clear" w:color="auto" w:fill="BFBFBF" w:themeFill="background1" w:themeFillShade="BF"/>
          </w:tcPr>
          <w:p w:rsidR="00876EB1" w:rsidRPr="00DE3184" w:rsidP="00637286" w14:paraId="2665B685" w14:textId="77777777">
            <w:pPr>
              <w:jc w:val="center"/>
              <w:rPr>
                <w:rFonts w:ascii="Times New Roman" w:hAnsi="Times New Roman" w:cs="Times New Roman"/>
                <w:sz w:val="20"/>
                <w:szCs w:val="20"/>
              </w:rPr>
            </w:pPr>
          </w:p>
        </w:tc>
        <w:tc>
          <w:tcPr>
            <w:tcW w:w="1260" w:type="dxa"/>
            <w:shd w:val="clear" w:color="auto" w:fill="BFBFBF" w:themeFill="background1" w:themeFillShade="BF"/>
          </w:tcPr>
          <w:p w:rsidR="00876EB1" w:rsidRPr="00DE3184" w:rsidP="00637286" w14:paraId="2717E09D" w14:textId="77777777">
            <w:pPr>
              <w:jc w:val="center"/>
              <w:rPr>
                <w:rFonts w:ascii="Times New Roman" w:hAnsi="Times New Roman" w:cs="Times New Roman"/>
                <w:b/>
                <w:bCs/>
                <w:sz w:val="20"/>
                <w:szCs w:val="20"/>
              </w:rPr>
            </w:pPr>
          </w:p>
        </w:tc>
        <w:tc>
          <w:tcPr>
            <w:tcW w:w="1260" w:type="dxa"/>
            <w:shd w:val="clear" w:color="auto" w:fill="BFBFBF" w:themeFill="background1" w:themeFillShade="BF"/>
          </w:tcPr>
          <w:p w:rsidR="00876EB1" w:rsidRPr="00DE3184" w:rsidP="00637286" w14:paraId="5A10A7C6" w14:textId="77777777">
            <w:pPr>
              <w:jc w:val="center"/>
              <w:rPr>
                <w:rFonts w:ascii="Times New Roman" w:hAnsi="Times New Roman" w:cs="Times New Roman"/>
                <w:b/>
                <w:bCs/>
                <w:sz w:val="20"/>
                <w:szCs w:val="20"/>
              </w:rPr>
            </w:pPr>
          </w:p>
        </w:tc>
        <w:tc>
          <w:tcPr>
            <w:tcW w:w="1620" w:type="dxa"/>
            <w:shd w:val="clear" w:color="auto" w:fill="BFBFBF" w:themeFill="background1" w:themeFillShade="BF"/>
          </w:tcPr>
          <w:p w:rsidR="00876EB1" w:rsidRPr="00DE3184" w:rsidP="00637286" w14:paraId="4C012E5F" w14:textId="77777777">
            <w:pPr>
              <w:jc w:val="center"/>
              <w:rPr>
                <w:rFonts w:ascii="Times New Roman" w:hAnsi="Times New Roman" w:cs="Times New Roman"/>
                <w:b/>
                <w:bCs/>
                <w:sz w:val="20"/>
                <w:szCs w:val="20"/>
              </w:rPr>
            </w:pPr>
          </w:p>
        </w:tc>
      </w:tr>
      <w:tr w14:paraId="69605830" w14:textId="77777777" w:rsidTr="00A84A71">
        <w:tblPrEx>
          <w:tblW w:w="10260" w:type="dxa"/>
          <w:tblInd w:w="-95" w:type="dxa"/>
          <w:tblLayout w:type="fixed"/>
          <w:tblLook w:val="04A0"/>
        </w:tblPrEx>
        <w:trPr>
          <w:trHeight w:val="647"/>
        </w:trPr>
        <w:tc>
          <w:tcPr>
            <w:tcW w:w="1890" w:type="dxa"/>
            <w:shd w:val="clear" w:color="auto" w:fill="auto"/>
          </w:tcPr>
          <w:p w:rsidR="00876EB1" w:rsidRPr="00261335" w:rsidP="00637286" w14:paraId="46F176B9" w14:textId="77777777">
            <w:pPr>
              <w:rPr>
                <w:rFonts w:ascii="Times New Roman" w:hAnsi="Times New Roman" w:cs="Times New Roman"/>
                <w:sz w:val="20"/>
                <w:szCs w:val="20"/>
              </w:rPr>
            </w:pPr>
            <w:r w:rsidRPr="00261335">
              <w:rPr>
                <w:rFonts w:ascii="Times New Roman" w:hAnsi="Times New Roman" w:cs="Times New Roman"/>
                <w:sz w:val="20"/>
                <w:szCs w:val="20"/>
              </w:rPr>
              <w:t>Adjusted Derivative Amount</w:t>
            </w:r>
            <w:r>
              <w:rPr>
                <w:rFonts w:ascii="Times New Roman" w:hAnsi="Times New Roman" w:cs="Times New Roman"/>
                <w:sz w:val="20"/>
                <w:szCs w:val="20"/>
              </w:rPr>
              <w:t xml:space="preserve"> -- </w:t>
            </w:r>
            <w:r w:rsidRPr="00261335">
              <w:rPr>
                <w:rFonts w:ascii="Times New Roman" w:hAnsi="Times New Roman" w:cs="Times New Roman"/>
                <w:sz w:val="20"/>
                <w:szCs w:val="20"/>
              </w:rPr>
              <w:t>Prior Approval Regarding Supervisory Delta</w:t>
            </w:r>
            <w:r>
              <w:rPr>
                <w:rFonts w:ascii="Times New Roman" w:hAnsi="Times New Roman" w:cs="Times New Roman"/>
                <w:sz w:val="20"/>
                <w:szCs w:val="20"/>
              </w:rPr>
              <w:t xml:space="preserve"> </w:t>
            </w:r>
            <w:r w:rsidRPr="00261335">
              <w:rPr>
                <w:rFonts w:ascii="Times New Roman" w:hAnsi="Times New Roman" w:cs="Times New Roman"/>
                <w:sz w:val="20"/>
                <w:szCs w:val="20"/>
              </w:rPr>
              <w:t>Adjustment</w:t>
            </w:r>
            <w:r>
              <w:rPr>
                <w:rFonts w:ascii="Times New Roman" w:hAnsi="Times New Roman" w:cs="Times New Roman"/>
                <w:sz w:val="20"/>
                <w:szCs w:val="20"/>
              </w:rPr>
              <w:t xml:space="preserve"> --</w:t>
            </w:r>
            <w:r w:rsidRPr="00261335">
              <w:rPr>
                <w:rFonts w:ascii="Times New Roman" w:hAnsi="Times New Roman" w:cs="Times New Roman"/>
                <w:sz w:val="20"/>
                <w:szCs w:val="20"/>
              </w:rPr>
              <w:br/>
              <w:t>Section</w:t>
            </w:r>
            <w:r>
              <w:rPr>
                <w:rFonts w:ascii="Times New Roman" w:hAnsi="Times New Roman" w:cs="Times New Roman"/>
                <w:sz w:val="20"/>
                <w:szCs w:val="20"/>
              </w:rPr>
              <w:t xml:space="preserve">: </w:t>
            </w:r>
            <w:r w:rsidRPr="00261335">
              <w:rPr>
                <w:rFonts w:ascii="Times New Roman" w:hAnsi="Times New Roman" w:cs="Times New Roman"/>
                <w:sz w:val="20"/>
                <w:szCs w:val="20"/>
              </w:rPr>
              <w:t>_.113(i)(3)(ii)(</w:t>
            </w:r>
            <w:r>
              <w:rPr>
                <w:rFonts w:ascii="Times New Roman" w:hAnsi="Times New Roman" w:cs="Times New Roman"/>
                <w:sz w:val="20"/>
                <w:szCs w:val="20"/>
              </w:rPr>
              <w:t>C</w:t>
            </w:r>
            <w:r w:rsidRPr="00261335">
              <w:rPr>
                <w:rFonts w:ascii="Times New Roman" w:hAnsi="Times New Roman" w:cs="Times New Roman"/>
                <w:sz w:val="20"/>
                <w:szCs w:val="20"/>
              </w:rPr>
              <w:t>)</w:t>
            </w:r>
            <w:r w:rsidRPr="00261335">
              <w:rPr>
                <w:rFonts w:ascii="Times New Roman" w:hAnsi="Times New Roman" w:cs="Times New Roman"/>
                <w:sz w:val="20"/>
                <w:szCs w:val="20"/>
              </w:rPr>
              <w:br/>
            </w:r>
          </w:p>
        </w:tc>
        <w:tc>
          <w:tcPr>
            <w:tcW w:w="1080" w:type="dxa"/>
            <w:shd w:val="clear" w:color="auto" w:fill="auto"/>
          </w:tcPr>
          <w:p w:rsidR="00876EB1" w:rsidRPr="007677AE" w:rsidP="00637286" w14:paraId="38646A61" w14:textId="77777777">
            <w:pPr>
              <w:jc w:val="center"/>
              <w:rPr>
                <w:rFonts w:ascii="Times New Roman" w:hAnsi="Times New Roman" w:cs="Times New Roman"/>
                <w:sz w:val="20"/>
                <w:szCs w:val="20"/>
              </w:rPr>
            </w:pPr>
            <w:r w:rsidRPr="00261335">
              <w:rPr>
                <w:rFonts w:ascii="Times New Roman" w:hAnsi="Times New Roman" w:cs="Times New Roman"/>
                <w:sz w:val="20"/>
                <w:szCs w:val="20"/>
              </w:rPr>
              <w:t>Ongoing</w:t>
            </w:r>
          </w:p>
        </w:tc>
        <w:tc>
          <w:tcPr>
            <w:tcW w:w="1710" w:type="dxa"/>
            <w:shd w:val="clear" w:color="auto" w:fill="auto"/>
          </w:tcPr>
          <w:p w:rsidR="00876EB1" w:rsidRPr="007677AE" w:rsidP="00637286" w14:paraId="7F51D68A" w14:textId="77777777">
            <w:pPr>
              <w:jc w:val="center"/>
              <w:rPr>
                <w:rFonts w:ascii="Times New Roman" w:hAnsi="Times New Roman" w:cs="Times New Roman"/>
                <w:sz w:val="20"/>
                <w:szCs w:val="20"/>
              </w:rPr>
            </w:pPr>
            <w:r w:rsidRPr="00261335">
              <w:rPr>
                <w:rFonts w:ascii="Times New Roman" w:hAnsi="Times New Roman" w:cs="Times New Roman"/>
                <w:sz w:val="20"/>
                <w:szCs w:val="20"/>
              </w:rPr>
              <w:t>Reporting</w:t>
            </w:r>
          </w:p>
        </w:tc>
        <w:tc>
          <w:tcPr>
            <w:tcW w:w="1440" w:type="dxa"/>
            <w:shd w:val="clear" w:color="auto" w:fill="auto"/>
          </w:tcPr>
          <w:p w:rsidR="00876EB1" w:rsidRPr="007677AE" w:rsidP="00637286" w14:paraId="01A05B08" w14:textId="77777777">
            <w:pPr>
              <w:jc w:val="center"/>
              <w:rPr>
                <w:rFonts w:ascii="Times New Roman" w:hAnsi="Times New Roman" w:cs="Times New Roman"/>
                <w:sz w:val="20"/>
                <w:szCs w:val="20"/>
              </w:rPr>
            </w:pPr>
            <w:r>
              <w:rPr>
                <w:rFonts w:ascii="Times New Roman" w:hAnsi="Times New Roman" w:cs="Times New Roman"/>
                <w:sz w:val="20"/>
                <w:szCs w:val="20"/>
              </w:rPr>
              <w:t>48</w:t>
            </w:r>
          </w:p>
        </w:tc>
        <w:tc>
          <w:tcPr>
            <w:tcW w:w="1260" w:type="dxa"/>
            <w:shd w:val="clear" w:color="auto" w:fill="auto"/>
          </w:tcPr>
          <w:p w:rsidR="00876EB1" w:rsidRPr="007677AE" w:rsidP="00637286" w14:paraId="7FD0EEC9" w14:textId="77777777">
            <w:pPr>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shd w:val="clear" w:color="auto" w:fill="auto"/>
          </w:tcPr>
          <w:p w:rsidR="00876EB1" w:rsidRPr="007677AE" w:rsidP="00637286" w14:paraId="0D658DA9" w14:textId="77777777">
            <w:pPr>
              <w:jc w:val="center"/>
              <w:rPr>
                <w:rFonts w:ascii="Times New Roman" w:hAnsi="Times New Roman" w:cs="Times New Roman"/>
                <w:sz w:val="20"/>
                <w:szCs w:val="20"/>
              </w:rPr>
            </w:pPr>
            <w:r>
              <w:rPr>
                <w:rFonts w:ascii="Times New Roman" w:hAnsi="Times New Roman" w:cs="Times New Roman"/>
                <w:sz w:val="20"/>
                <w:szCs w:val="20"/>
              </w:rPr>
              <w:t>2</w:t>
            </w:r>
          </w:p>
        </w:tc>
        <w:tc>
          <w:tcPr>
            <w:tcW w:w="1620" w:type="dxa"/>
            <w:shd w:val="clear" w:color="auto" w:fill="auto"/>
          </w:tcPr>
          <w:p w:rsidR="00876EB1" w:rsidRPr="007677AE" w:rsidP="00637286" w14:paraId="0BF835FC" w14:textId="77777777">
            <w:pPr>
              <w:jc w:val="center"/>
              <w:rPr>
                <w:rFonts w:ascii="Times New Roman" w:hAnsi="Times New Roman" w:cs="Times New Roman"/>
                <w:sz w:val="20"/>
                <w:szCs w:val="20"/>
              </w:rPr>
            </w:pPr>
            <w:r>
              <w:rPr>
                <w:rFonts w:ascii="Times New Roman" w:hAnsi="Times New Roman" w:cs="Times New Roman"/>
                <w:sz w:val="20"/>
                <w:szCs w:val="20"/>
              </w:rPr>
              <w:t>96</w:t>
            </w:r>
          </w:p>
        </w:tc>
      </w:tr>
      <w:tr w14:paraId="28764E92" w14:textId="77777777" w:rsidTr="00A84A71">
        <w:tblPrEx>
          <w:tblW w:w="10260" w:type="dxa"/>
          <w:tblInd w:w="-95" w:type="dxa"/>
          <w:tblLayout w:type="fixed"/>
          <w:tblLook w:val="04A0"/>
        </w:tblPrEx>
        <w:tc>
          <w:tcPr>
            <w:tcW w:w="1890" w:type="dxa"/>
          </w:tcPr>
          <w:p w:rsidR="00876EB1" w:rsidRPr="00DE3184" w:rsidP="00637286" w14:paraId="3024200D" w14:textId="77777777">
            <w:pPr>
              <w:rPr>
                <w:rFonts w:ascii="Times New Roman" w:hAnsi="Times New Roman" w:cs="Times New Roman"/>
                <w:sz w:val="20"/>
                <w:szCs w:val="20"/>
              </w:rPr>
            </w:pPr>
            <w:r w:rsidRPr="00DE3184">
              <w:rPr>
                <w:rFonts w:ascii="Times New Roman" w:hAnsi="Times New Roman" w:cs="Times New Roman"/>
                <w:sz w:val="20"/>
                <w:szCs w:val="20"/>
              </w:rPr>
              <w:t>Cleared Transactions -- Documentation of Legal Review Regarding Risk Weight</w:t>
            </w:r>
          </w:p>
          <w:p w:rsidR="00876EB1" w:rsidRPr="00DE3184" w:rsidP="00637286" w14:paraId="74EE5ACD"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E11313">
              <w:rPr>
                <w:rFonts w:ascii="Times New Roman" w:hAnsi="Times New Roman" w:cs="Times New Roman"/>
                <w:sz w:val="20"/>
                <w:szCs w:val="20"/>
              </w:rPr>
              <w:t>_.114(b)(3)(i)(A)</w:t>
            </w:r>
          </w:p>
          <w:p w:rsidR="00876EB1" w:rsidRPr="00DE3184" w:rsidP="00637286" w14:paraId="771E60A2" w14:textId="77777777">
            <w:pPr>
              <w:rPr>
                <w:rFonts w:ascii="Times New Roman" w:hAnsi="Times New Roman" w:cs="Times New Roman"/>
                <w:b/>
                <w:bCs/>
                <w:sz w:val="20"/>
                <w:szCs w:val="20"/>
              </w:rPr>
            </w:pPr>
          </w:p>
        </w:tc>
        <w:tc>
          <w:tcPr>
            <w:tcW w:w="1080" w:type="dxa"/>
          </w:tcPr>
          <w:p w:rsidR="00876EB1" w:rsidRPr="00DE3184" w:rsidP="00637286" w14:paraId="636E11EC"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10B27A4E"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2A0AC792"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7A96FF95"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0DD7E547"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620" w:type="dxa"/>
          </w:tcPr>
          <w:p w:rsidR="00876EB1" w:rsidRPr="00DE3184" w:rsidP="00637286" w14:paraId="2E8388DF"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r>
      <w:tr w14:paraId="24E0CAB1" w14:textId="77777777" w:rsidTr="00A84A71">
        <w:tblPrEx>
          <w:tblW w:w="10260" w:type="dxa"/>
          <w:tblInd w:w="-95" w:type="dxa"/>
          <w:tblLayout w:type="fixed"/>
          <w:tblLook w:val="04A0"/>
        </w:tblPrEx>
        <w:tc>
          <w:tcPr>
            <w:tcW w:w="1890" w:type="dxa"/>
          </w:tcPr>
          <w:p w:rsidR="00876EB1" w:rsidRPr="00DE3184" w:rsidP="00637286" w14:paraId="5DB10CFB" w14:textId="77777777">
            <w:pPr>
              <w:rPr>
                <w:rFonts w:ascii="Times New Roman" w:hAnsi="Times New Roman" w:cs="Times New Roman"/>
                <w:sz w:val="20"/>
                <w:szCs w:val="20"/>
              </w:rPr>
            </w:pPr>
            <w:r w:rsidRPr="0023301D">
              <w:rPr>
                <w:rFonts w:ascii="Times New Roman" w:hAnsi="Times New Roman" w:cs="Times New Roman"/>
                <w:sz w:val="20"/>
                <w:szCs w:val="20"/>
              </w:rPr>
              <w:t>Cleared Transactions</w:t>
            </w:r>
            <w:r>
              <w:rPr>
                <w:rFonts w:ascii="Times New Roman" w:hAnsi="Times New Roman" w:cs="Times New Roman"/>
                <w:sz w:val="20"/>
                <w:szCs w:val="20"/>
              </w:rPr>
              <w:t xml:space="preserve"> -- </w:t>
            </w:r>
            <w:r w:rsidRPr="0023301D">
              <w:rPr>
                <w:rFonts w:ascii="Times New Roman" w:hAnsi="Times New Roman" w:cs="Times New Roman"/>
                <w:sz w:val="20"/>
                <w:szCs w:val="20"/>
              </w:rPr>
              <w:t>Prior Approval Regarding Exposure Amount of a QCCP to a Clearing Member</w:t>
            </w:r>
            <w:r>
              <w:rPr>
                <w:rFonts w:ascii="Times New Roman" w:hAnsi="Times New Roman" w:cs="Times New Roman"/>
                <w:sz w:val="20"/>
                <w:szCs w:val="20"/>
              </w:rPr>
              <w:t xml:space="preserve"> --</w:t>
            </w:r>
            <w:r w:rsidRPr="0023301D">
              <w:rPr>
                <w:rFonts w:ascii="Times New Roman" w:hAnsi="Times New Roman" w:cs="Times New Roman"/>
                <w:sz w:val="20"/>
                <w:szCs w:val="20"/>
              </w:rPr>
              <w:br/>
              <w:t>Section</w:t>
            </w:r>
            <w:r>
              <w:rPr>
                <w:rFonts w:ascii="Times New Roman" w:hAnsi="Times New Roman" w:cs="Times New Roman"/>
                <w:sz w:val="20"/>
                <w:szCs w:val="20"/>
              </w:rPr>
              <w:t xml:space="preserve">: </w:t>
            </w:r>
            <w:r w:rsidRPr="0023301D">
              <w:rPr>
                <w:rFonts w:ascii="Times New Roman" w:hAnsi="Times New Roman" w:cs="Times New Roman"/>
                <w:sz w:val="20"/>
                <w:szCs w:val="20"/>
              </w:rPr>
              <w:t xml:space="preserve"> _.11</w:t>
            </w:r>
            <w:r>
              <w:rPr>
                <w:rFonts w:ascii="Times New Roman" w:hAnsi="Times New Roman" w:cs="Times New Roman"/>
                <w:sz w:val="20"/>
                <w:szCs w:val="20"/>
              </w:rPr>
              <w:t>4</w:t>
            </w:r>
            <w:r w:rsidRPr="0023301D">
              <w:rPr>
                <w:rFonts w:ascii="Times New Roman" w:hAnsi="Times New Roman" w:cs="Times New Roman"/>
                <w:sz w:val="20"/>
                <w:szCs w:val="20"/>
              </w:rPr>
              <w:t>(</w:t>
            </w:r>
            <w:r>
              <w:rPr>
                <w:rFonts w:ascii="Times New Roman" w:hAnsi="Times New Roman" w:cs="Times New Roman"/>
                <w:sz w:val="20"/>
                <w:szCs w:val="20"/>
              </w:rPr>
              <w:t>d</w:t>
            </w:r>
            <w:r w:rsidRPr="0023301D">
              <w:rPr>
                <w:rFonts w:ascii="Times New Roman" w:hAnsi="Times New Roman" w:cs="Times New Roman"/>
                <w:sz w:val="20"/>
                <w:szCs w:val="20"/>
              </w:rPr>
              <w:t>)(</w:t>
            </w:r>
            <w:r>
              <w:rPr>
                <w:rFonts w:ascii="Times New Roman" w:hAnsi="Times New Roman" w:cs="Times New Roman"/>
                <w:sz w:val="20"/>
                <w:szCs w:val="20"/>
              </w:rPr>
              <w:t>6</w:t>
            </w:r>
            <w:r w:rsidRPr="0023301D">
              <w:rPr>
                <w:rFonts w:ascii="Times New Roman" w:hAnsi="Times New Roman" w:cs="Times New Roman"/>
                <w:sz w:val="20"/>
                <w:szCs w:val="20"/>
              </w:rPr>
              <w:t>)(</w:t>
            </w:r>
            <w:r>
              <w:rPr>
                <w:rFonts w:ascii="Times New Roman" w:hAnsi="Times New Roman" w:cs="Times New Roman"/>
                <w:sz w:val="20"/>
                <w:szCs w:val="20"/>
              </w:rPr>
              <w:t>v</w:t>
            </w:r>
            <w:r w:rsidRPr="0023301D">
              <w:rPr>
                <w:rFonts w:ascii="Times New Roman" w:hAnsi="Times New Roman" w:cs="Times New Roman"/>
                <w:sz w:val="20"/>
                <w:szCs w:val="20"/>
              </w:rPr>
              <w:t xml:space="preserve">i) </w:t>
            </w:r>
          </w:p>
        </w:tc>
        <w:tc>
          <w:tcPr>
            <w:tcW w:w="1080" w:type="dxa"/>
          </w:tcPr>
          <w:p w:rsidR="00876EB1" w:rsidRPr="00DE3184" w:rsidP="00637286" w14:paraId="6C4BE022" w14:textId="77777777">
            <w:pPr>
              <w:jc w:val="center"/>
              <w:rPr>
                <w:rFonts w:ascii="Times New Roman" w:hAnsi="Times New Roman" w:cs="Times New Roman"/>
                <w:sz w:val="20"/>
                <w:szCs w:val="20"/>
              </w:rPr>
            </w:pPr>
            <w:r w:rsidRPr="00153ACC">
              <w:rPr>
                <w:rFonts w:ascii="Times New Roman" w:hAnsi="Times New Roman" w:cs="Times New Roman"/>
                <w:sz w:val="20"/>
                <w:szCs w:val="20"/>
              </w:rPr>
              <w:t>Ongoing</w:t>
            </w:r>
          </w:p>
        </w:tc>
        <w:tc>
          <w:tcPr>
            <w:tcW w:w="1710" w:type="dxa"/>
          </w:tcPr>
          <w:p w:rsidR="00876EB1" w:rsidRPr="00DE3184" w:rsidP="00637286" w14:paraId="35E26838" w14:textId="77777777">
            <w:pPr>
              <w:jc w:val="center"/>
              <w:rPr>
                <w:rFonts w:ascii="Times New Roman" w:hAnsi="Times New Roman" w:cs="Times New Roman"/>
                <w:sz w:val="20"/>
                <w:szCs w:val="20"/>
              </w:rPr>
            </w:pPr>
            <w:r>
              <w:rPr>
                <w:rFonts w:ascii="Times New Roman" w:hAnsi="Times New Roman" w:cs="Times New Roman"/>
                <w:sz w:val="20"/>
                <w:szCs w:val="20"/>
              </w:rPr>
              <w:t>Reporting</w:t>
            </w:r>
          </w:p>
        </w:tc>
        <w:tc>
          <w:tcPr>
            <w:tcW w:w="1440" w:type="dxa"/>
          </w:tcPr>
          <w:p w:rsidR="00876EB1" w:rsidRPr="00DE3184" w:rsidP="00637286" w14:paraId="49C50D87" w14:textId="77777777">
            <w:pPr>
              <w:jc w:val="center"/>
              <w:rPr>
                <w:rFonts w:ascii="Times New Roman" w:hAnsi="Times New Roman" w:cs="Times New Roman"/>
                <w:sz w:val="20"/>
                <w:szCs w:val="20"/>
              </w:rPr>
            </w:pPr>
            <w:r>
              <w:rPr>
                <w:rFonts w:ascii="Times New Roman" w:hAnsi="Times New Roman" w:cs="Times New Roman"/>
                <w:sz w:val="20"/>
                <w:szCs w:val="20"/>
              </w:rPr>
              <w:t>48</w:t>
            </w:r>
          </w:p>
        </w:tc>
        <w:tc>
          <w:tcPr>
            <w:tcW w:w="1260" w:type="dxa"/>
          </w:tcPr>
          <w:p w:rsidR="00876EB1" w:rsidRPr="00DE3184" w:rsidP="00637286" w14:paraId="27A4BE13" w14:textId="77777777">
            <w:pPr>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tcPr>
          <w:p w:rsidR="00876EB1" w:rsidRPr="00DE3184" w:rsidP="00637286" w14:paraId="761CA40F" w14:textId="77777777">
            <w:pPr>
              <w:jc w:val="center"/>
              <w:rPr>
                <w:rFonts w:ascii="Times New Roman" w:hAnsi="Times New Roman" w:cs="Times New Roman"/>
                <w:sz w:val="20"/>
                <w:szCs w:val="20"/>
              </w:rPr>
            </w:pPr>
            <w:r>
              <w:rPr>
                <w:rFonts w:ascii="Times New Roman" w:hAnsi="Times New Roman" w:cs="Times New Roman"/>
                <w:sz w:val="20"/>
                <w:szCs w:val="20"/>
              </w:rPr>
              <w:t>2</w:t>
            </w:r>
          </w:p>
        </w:tc>
        <w:tc>
          <w:tcPr>
            <w:tcW w:w="1620" w:type="dxa"/>
          </w:tcPr>
          <w:p w:rsidR="00876EB1" w:rsidRPr="00DE3184" w:rsidP="00637286" w14:paraId="43CEC664" w14:textId="77777777">
            <w:pPr>
              <w:jc w:val="center"/>
              <w:rPr>
                <w:rFonts w:ascii="Times New Roman" w:hAnsi="Times New Roman" w:cs="Times New Roman"/>
                <w:sz w:val="20"/>
                <w:szCs w:val="20"/>
              </w:rPr>
            </w:pPr>
            <w:r>
              <w:rPr>
                <w:rFonts w:ascii="Times New Roman" w:hAnsi="Times New Roman" w:cs="Times New Roman"/>
                <w:sz w:val="20"/>
                <w:szCs w:val="20"/>
              </w:rPr>
              <w:t>96</w:t>
            </w:r>
          </w:p>
        </w:tc>
      </w:tr>
      <w:tr w14:paraId="6BBBD068" w14:textId="77777777" w:rsidTr="00A84A71">
        <w:tblPrEx>
          <w:tblW w:w="10260" w:type="dxa"/>
          <w:tblInd w:w="-95" w:type="dxa"/>
          <w:tblLayout w:type="fixed"/>
          <w:tblLook w:val="04A0"/>
        </w:tblPrEx>
        <w:tc>
          <w:tcPr>
            <w:tcW w:w="1890" w:type="dxa"/>
          </w:tcPr>
          <w:p w:rsidR="00876EB1" w:rsidRPr="00DE3184" w:rsidP="00637286" w14:paraId="5ECCAE6F" w14:textId="77777777">
            <w:pPr>
              <w:rPr>
                <w:rFonts w:ascii="Times New Roman" w:hAnsi="Times New Roman" w:cs="Times New Roman"/>
                <w:sz w:val="20"/>
                <w:szCs w:val="20"/>
              </w:rPr>
            </w:pPr>
            <w:r w:rsidRPr="00DE3184">
              <w:rPr>
                <w:rFonts w:ascii="Times New Roman" w:hAnsi="Times New Roman" w:cs="Times New Roman"/>
                <w:sz w:val="20"/>
                <w:szCs w:val="20"/>
              </w:rPr>
              <w:t xml:space="preserve">Guarantees and Credit </w:t>
            </w:r>
            <w:r w:rsidRPr="00DE3184">
              <w:rPr>
                <w:rFonts w:ascii="Times New Roman" w:hAnsi="Times New Roman" w:cs="Times New Roman"/>
                <w:sz w:val="20"/>
                <w:szCs w:val="20"/>
              </w:rPr>
              <w:t>Derivatives_Substitution</w:t>
            </w:r>
            <w:r w:rsidRPr="00DE3184">
              <w:rPr>
                <w:rFonts w:ascii="Times New Roman" w:hAnsi="Times New Roman" w:cs="Times New Roman"/>
                <w:sz w:val="20"/>
                <w:szCs w:val="20"/>
              </w:rPr>
              <w:t xml:space="preserve"> Approach -- Documentation of Legal Review of Adjustment for Credit Derivatives Without Restructuring as a Credit Event</w:t>
            </w:r>
          </w:p>
          <w:p w:rsidR="00876EB1" w:rsidRPr="00DE3184" w:rsidP="00637286" w14:paraId="6D4CB2C3"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E11313">
              <w:rPr>
                <w:rFonts w:ascii="Times New Roman" w:hAnsi="Times New Roman" w:cs="Times New Roman"/>
                <w:sz w:val="20"/>
                <w:szCs w:val="20"/>
              </w:rPr>
              <w:t>_.120(e)(1)</w:t>
            </w:r>
          </w:p>
        </w:tc>
        <w:tc>
          <w:tcPr>
            <w:tcW w:w="1080" w:type="dxa"/>
          </w:tcPr>
          <w:p w:rsidR="00876EB1" w:rsidRPr="00DE3184" w:rsidP="00637286" w14:paraId="3272C5E5" w14:textId="77777777">
            <w:pPr>
              <w:jc w:val="center"/>
              <w:rPr>
                <w:rFonts w:ascii="Times New Roman" w:hAnsi="Times New Roman" w:cs="Times New Roman"/>
                <w:sz w:val="20"/>
                <w:szCs w:val="20"/>
              </w:rPr>
            </w:pPr>
            <w:r w:rsidRPr="00DE3184">
              <w:rPr>
                <w:rFonts w:ascii="Times New Roman" w:hAnsi="Times New Roman" w:cs="Times New Roman"/>
                <w:sz w:val="20"/>
                <w:szCs w:val="20"/>
              </w:rPr>
              <w:t>One-time</w:t>
            </w:r>
          </w:p>
        </w:tc>
        <w:tc>
          <w:tcPr>
            <w:tcW w:w="1710" w:type="dxa"/>
          </w:tcPr>
          <w:p w:rsidR="00876EB1" w:rsidRPr="00DE3184" w:rsidP="00637286" w14:paraId="781EC11F"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4EE3C7C9"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137437E0"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6C903549" w14:textId="77777777">
            <w:pPr>
              <w:jc w:val="center"/>
              <w:rPr>
                <w:rFonts w:ascii="Times New Roman" w:hAnsi="Times New Roman" w:cs="Times New Roman"/>
                <w:sz w:val="20"/>
                <w:szCs w:val="20"/>
              </w:rPr>
            </w:pPr>
            <w:r w:rsidRPr="00DE3184">
              <w:rPr>
                <w:rFonts w:ascii="Times New Roman" w:hAnsi="Times New Roman" w:cs="Times New Roman"/>
                <w:sz w:val="20"/>
                <w:szCs w:val="20"/>
              </w:rPr>
              <w:t>40</w:t>
            </w:r>
          </w:p>
        </w:tc>
        <w:tc>
          <w:tcPr>
            <w:tcW w:w="1620" w:type="dxa"/>
          </w:tcPr>
          <w:p w:rsidR="00876EB1" w:rsidRPr="00DE3184" w:rsidP="00637286" w14:paraId="73591219" w14:textId="77777777">
            <w:pPr>
              <w:jc w:val="center"/>
              <w:rPr>
                <w:rFonts w:ascii="Times New Roman" w:hAnsi="Times New Roman" w:cs="Times New Roman"/>
                <w:sz w:val="20"/>
                <w:szCs w:val="20"/>
              </w:rPr>
            </w:pPr>
            <w:r w:rsidRPr="00DE3184">
              <w:rPr>
                <w:rFonts w:ascii="Times New Roman" w:hAnsi="Times New Roman" w:cs="Times New Roman"/>
                <w:sz w:val="20"/>
                <w:szCs w:val="20"/>
              </w:rPr>
              <w:t>1,920</w:t>
            </w:r>
          </w:p>
        </w:tc>
      </w:tr>
      <w:tr w14:paraId="63E7C589" w14:textId="77777777" w:rsidTr="00A84A71">
        <w:tblPrEx>
          <w:tblW w:w="10260" w:type="dxa"/>
          <w:tblInd w:w="-95" w:type="dxa"/>
          <w:tblLayout w:type="fixed"/>
          <w:tblLook w:val="04A0"/>
        </w:tblPrEx>
        <w:tc>
          <w:tcPr>
            <w:tcW w:w="1890" w:type="dxa"/>
          </w:tcPr>
          <w:p w:rsidR="00876EB1" w:rsidRPr="00DE3184" w:rsidP="00637286" w14:paraId="1F370A1D" w14:textId="77777777">
            <w:pPr>
              <w:rPr>
                <w:rFonts w:ascii="Times New Roman" w:hAnsi="Times New Roman" w:cs="Times New Roman"/>
                <w:sz w:val="20"/>
                <w:szCs w:val="20"/>
              </w:rPr>
            </w:pPr>
            <w:r w:rsidRPr="00DE3184">
              <w:rPr>
                <w:rFonts w:ascii="Times New Roman" w:hAnsi="Times New Roman" w:cs="Times New Roman"/>
                <w:sz w:val="20"/>
                <w:szCs w:val="20"/>
              </w:rPr>
              <w:t xml:space="preserve">Guarantees and Credit </w:t>
            </w:r>
            <w:r w:rsidRPr="00DE3184">
              <w:rPr>
                <w:rFonts w:ascii="Times New Roman" w:hAnsi="Times New Roman" w:cs="Times New Roman"/>
                <w:sz w:val="20"/>
                <w:szCs w:val="20"/>
              </w:rPr>
              <w:t>Derivatives_Substitution</w:t>
            </w:r>
            <w:r w:rsidRPr="00DE3184">
              <w:rPr>
                <w:rFonts w:ascii="Times New Roman" w:hAnsi="Times New Roman" w:cs="Times New Roman"/>
                <w:sz w:val="20"/>
                <w:szCs w:val="20"/>
              </w:rPr>
              <w:t xml:space="preserve"> Approach -- Documentation of Legal Review of Adjustment for Credit Derivatives Without Restructuring as a Credit Event</w:t>
            </w:r>
          </w:p>
          <w:p w:rsidR="00876EB1" w:rsidRPr="00DE3184" w:rsidP="00637286" w14:paraId="1D8BB668"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E11313">
              <w:rPr>
                <w:rFonts w:ascii="Times New Roman" w:hAnsi="Times New Roman" w:cs="Times New Roman"/>
                <w:sz w:val="20"/>
                <w:szCs w:val="20"/>
              </w:rPr>
              <w:t>_.120(e)(1)</w:t>
            </w:r>
          </w:p>
        </w:tc>
        <w:tc>
          <w:tcPr>
            <w:tcW w:w="1080" w:type="dxa"/>
          </w:tcPr>
          <w:p w:rsidR="00876EB1" w:rsidRPr="00DE3184" w:rsidP="00637286" w14:paraId="13E16C48"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4A03B7FC"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0BB6105F"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629ECD79"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013D874F"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620" w:type="dxa"/>
          </w:tcPr>
          <w:p w:rsidR="00876EB1" w:rsidRPr="00DE3184" w:rsidP="00637286" w14:paraId="307C87D7" w14:textId="77777777">
            <w:pPr>
              <w:jc w:val="center"/>
              <w:rPr>
                <w:rFonts w:ascii="Times New Roman" w:hAnsi="Times New Roman" w:cs="Times New Roman"/>
                <w:sz w:val="20"/>
                <w:szCs w:val="20"/>
              </w:rPr>
            </w:pPr>
            <w:r w:rsidRPr="00DE3184">
              <w:rPr>
                <w:rFonts w:ascii="Times New Roman" w:hAnsi="Times New Roman" w:cs="Times New Roman"/>
                <w:sz w:val="20"/>
                <w:szCs w:val="20"/>
              </w:rPr>
              <w:t xml:space="preserve"> 48</w:t>
            </w:r>
          </w:p>
        </w:tc>
      </w:tr>
      <w:tr w14:paraId="00189C0C" w14:textId="77777777" w:rsidTr="00A84A71">
        <w:tblPrEx>
          <w:tblW w:w="10260" w:type="dxa"/>
          <w:tblInd w:w="-95" w:type="dxa"/>
          <w:tblLayout w:type="fixed"/>
          <w:tblLook w:val="04A0"/>
        </w:tblPrEx>
        <w:trPr>
          <w:trHeight w:val="1385"/>
        </w:trPr>
        <w:tc>
          <w:tcPr>
            <w:tcW w:w="1890" w:type="dxa"/>
          </w:tcPr>
          <w:p w:rsidR="00876EB1" w:rsidRPr="00DE3184" w:rsidP="00637286" w14:paraId="4D91F1EF" w14:textId="77777777">
            <w:pPr>
              <w:rPr>
                <w:rFonts w:ascii="Times New Roman" w:hAnsi="Times New Roman" w:cs="Times New Roman"/>
                <w:sz w:val="20"/>
                <w:szCs w:val="20"/>
              </w:rPr>
            </w:pPr>
            <w:r w:rsidRPr="00DE3184">
              <w:rPr>
                <w:rFonts w:ascii="Times New Roman" w:hAnsi="Times New Roman" w:cs="Times New Roman"/>
                <w:sz w:val="20"/>
                <w:szCs w:val="20"/>
              </w:rPr>
              <w:t xml:space="preserve">Collateralized Transactions -- Maintain Written Documentation for Transactions Subject to the Minimum Haircut Floors </w:t>
            </w:r>
          </w:p>
          <w:p w:rsidR="00876EB1" w:rsidRPr="00DE3184" w:rsidP="00637286" w14:paraId="72FB3D81"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DE3184">
              <w:rPr>
                <w:rFonts w:ascii="Times New Roman" w:hAnsi="Times New Roman" w:cs="Times New Roman"/>
                <w:color w:val="C00000"/>
                <w:sz w:val="20"/>
                <w:szCs w:val="20"/>
              </w:rPr>
              <w:t>_</w:t>
            </w:r>
            <w:r w:rsidRPr="00E11313">
              <w:rPr>
                <w:rFonts w:ascii="Times New Roman" w:hAnsi="Times New Roman" w:cs="Times New Roman"/>
                <w:sz w:val="20"/>
                <w:szCs w:val="20"/>
              </w:rPr>
              <w:t>_.121(d)(2)(ii)(C)</w:t>
            </w:r>
          </w:p>
        </w:tc>
        <w:tc>
          <w:tcPr>
            <w:tcW w:w="1080" w:type="dxa"/>
          </w:tcPr>
          <w:p w:rsidR="00876EB1" w:rsidRPr="00DE3184" w:rsidP="00637286" w14:paraId="2B737C58"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087606D3"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32F091BD"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5213C545"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5B83B817"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620" w:type="dxa"/>
          </w:tcPr>
          <w:p w:rsidR="00876EB1" w:rsidRPr="00DE3184" w:rsidP="00637286" w14:paraId="673A23E5"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r>
      <w:tr w14:paraId="7EE17FA3" w14:textId="77777777" w:rsidTr="00A84A71">
        <w:tblPrEx>
          <w:tblW w:w="10260" w:type="dxa"/>
          <w:tblInd w:w="-95" w:type="dxa"/>
          <w:tblLayout w:type="fixed"/>
          <w:tblLook w:val="04A0"/>
        </w:tblPrEx>
        <w:tc>
          <w:tcPr>
            <w:tcW w:w="1890" w:type="dxa"/>
          </w:tcPr>
          <w:p w:rsidR="00876EB1" w:rsidRPr="00DE3184" w:rsidP="00637286" w14:paraId="4B2723AB" w14:textId="77777777">
            <w:pPr>
              <w:rPr>
                <w:rFonts w:ascii="Times New Roman" w:hAnsi="Times New Roman" w:cs="Times New Roman"/>
                <w:sz w:val="20"/>
                <w:szCs w:val="20"/>
              </w:rPr>
            </w:pPr>
            <w:r w:rsidRPr="00DE3184">
              <w:rPr>
                <w:rFonts w:ascii="Times New Roman" w:hAnsi="Times New Roman" w:cs="Times New Roman"/>
                <w:sz w:val="20"/>
                <w:szCs w:val="20"/>
              </w:rPr>
              <w:t>Operational Criteria for Recognizing the Transfer of Risk -- Legal Opinion</w:t>
            </w:r>
          </w:p>
          <w:p w:rsidR="00876EB1" w:rsidRPr="00DE3184" w:rsidP="00637286" w14:paraId="37903083"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E11313">
              <w:rPr>
                <w:rFonts w:ascii="Times New Roman" w:hAnsi="Times New Roman" w:cs="Times New Roman"/>
                <w:sz w:val="20"/>
                <w:szCs w:val="20"/>
              </w:rPr>
              <w:t>_.130(b)(3)</w:t>
            </w:r>
          </w:p>
        </w:tc>
        <w:tc>
          <w:tcPr>
            <w:tcW w:w="1080" w:type="dxa"/>
          </w:tcPr>
          <w:p w:rsidR="00876EB1" w:rsidRPr="00DE3184" w:rsidP="00637286" w14:paraId="31A1ED74"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2C1F4924"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4745C74A"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5AFB3A39"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72F57C76" w14:textId="77777777">
            <w:pPr>
              <w:jc w:val="center"/>
              <w:rPr>
                <w:rFonts w:ascii="Times New Roman" w:hAnsi="Times New Roman" w:cs="Times New Roman"/>
                <w:sz w:val="20"/>
                <w:szCs w:val="20"/>
              </w:rPr>
            </w:pPr>
            <w:r w:rsidRPr="00DE3184">
              <w:rPr>
                <w:rFonts w:ascii="Times New Roman" w:hAnsi="Times New Roman" w:cs="Times New Roman"/>
                <w:sz w:val="20"/>
                <w:szCs w:val="20"/>
              </w:rPr>
              <w:t>39</w:t>
            </w:r>
          </w:p>
        </w:tc>
        <w:tc>
          <w:tcPr>
            <w:tcW w:w="1620" w:type="dxa"/>
          </w:tcPr>
          <w:p w:rsidR="00876EB1" w:rsidRPr="00DE3184" w:rsidP="00637286" w14:paraId="4EB4C050" w14:textId="77777777">
            <w:pPr>
              <w:jc w:val="center"/>
              <w:rPr>
                <w:rFonts w:ascii="Times New Roman" w:hAnsi="Times New Roman" w:cs="Times New Roman"/>
                <w:sz w:val="20"/>
                <w:szCs w:val="20"/>
              </w:rPr>
            </w:pPr>
            <w:r w:rsidRPr="00DE3184">
              <w:rPr>
                <w:rFonts w:ascii="Times New Roman" w:hAnsi="Times New Roman" w:cs="Times New Roman"/>
                <w:sz w:val="20"/>
                <w:szCs w:val="20"/>
              </w:rPr>
              <w:t>1,872</w:t>
            </w:r>
          </w:p>
        </w:tc>
      </w:tr>
      <w:tr w14:paraId="63682538" w14:textId="77777777" w:rsidTr="00A84A71">
        <w:tblPrEx>
          <w:tblW w:w="10260" w:type="dxa"/>
          <w:tblInd w:w="-95" w:type="dxa"/>
          <w:tblLayout w:type="fixed"/>
          <w:tblLook w:val="04A0"/>
        </w:tblPrEx>
        <w:tc>
          <w:tcPr>
            <w:tcW w:w="1890" w:type="dxa"/>
          </w:tcPr>
          <w:p w:rsidR="00876EB1" w:rsidRPr="00DE3184" w:rsidP="00637286" w14:paraId="2BEA7A77" w14:textId="77777777">
            <w:pPr>
              <w:rPr>
                <w:rFonts w:ascii="Times New Roman" w:hAnsi="Times New Roman" w:cs="Times New Roman"/>
                <w:color w:val="FF0000"/>
                <w:sz w:val="20"/>
                <w:szCs w:val="20"/>
              </w:rPr>
            </w:pPr>
            <w:r w:rsidRPr="00DE3184">
              <w:rPr>
                <w:rFonts w:ascii="Times New Roman" w:hAnsi="Times New Roman" w:cs="Times New Roman"/>
                <w:sz w:val="20"/>
                <w:szCs w:val="20"/>
              </w:rPr>
              <w:t>Operational Criteria for Recognizing the Transfer of Risk -- Documentation of Analysis of Risk of Securitization Exposure Section:</w:t>
            </w:r>
            <w:r w:rsidRPr="00E11313">
              <w:rPr>
                <w:rFonts w:ascii="Times New Roman" w:hAnsi="Times New Roman" w:cs="Times New Roman"/>
                <w:sz w:val="20"/>
                <w:szCs w:val="20"/>
              </w:rPr>
              <w:t xml:space="preserve"> _.130(c)(2)(i)-(ii)</w:t>
            </w:r>
          </w:p>
        </w:tc>
        <w:tc>
          <w:tcPr>
            <w:tcW w:w="1080" w:type="dxa"/>
          </w:tcPr>
          <w:p w:rsidR="00876EB1" w:rsidRPr="00DE3184" w:rsidP="00637286" w14:paraId="5D68F095" w14:textId="77777777">
            <w:pPr>
              <w:jc w:val="center"/>
              <w:rPr>
                <w:rFonts w:ascii="Times New Roman" w:hAnsi="Times New Roman" w:cs="Times New Roman"/>
                <w:sz w:val="20"/>
                <w:szCs w:val="20"/>
              </w:rPr>
            </w:pPr>
            <w:r w:rsidRPr="00DE3184">
              <w:rPr>
                <w:rFonts w:ascii="Times New Roman" w:hAnsi="Times New Roman" w:cs="Times New Roman"/>
                <w:sz w:val="20"/>
                <w:szCs w:val="20"/>
              </w:rPr>
              <w:t>One-time</w:t>
            </w:r>
          </w:p>
        </w:tc>
        <w:tc>
          <w:tcPr>
            <w:tcW w:w="1710" w:type="dxa"/>
          </w:tcPr>
          <w:p w:rsidR="00876EB1" w:rsidRPr="00DE3184" w:rsidP="00637286" w14:paraId="1DE27DAA"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14FBAE10"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16516459"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4B835737" w14:textId="77777777">
            <w:pPr>
              <w:jc w:val="center"/>
              <w:rPr>
                <w:rFonts w:ascii="Times New Roman" w:hAnsi="Times New Roman" w:cs="Times New Roman"/>
                <w:sz w:val="20"/>
                <w:szCs w:val="20"/>
              </w:rPr>
            </w:pPr>
            <w:r w:rsidRPr="00DE3184">
              <w:rPr>
                <w:rFonts w:ascii="Times New Roman" w:hAnsi="Times New Roman" w:cs="Times New Roman"/>
                <w:sz w:val="20"/>
                <w:szCs w:val="20"/>
              </w:rPr>
              <w:t>81</w:t>
            </w:r>
          </w:p>
        </w:tc>
        <w:tc>
          <w:tcPr>
            <w:tcW w:w="1620" w:type="dxa"/>
          </w:tcPr>
          <w:p w:rsidR="00876EB1" w:rsidRPr="00DE3184" w:rsidP="00637286" w14:paraId="08B5AB41" w14:textId="77777777">
            <w:pPr>
              <w:jc w:val="center"/>
              <w:rPr>
                <w:rFonts w:ascii="Times New Roman" w:hAnsi="Times New Roman" w:cs="Times New Roman"/>
                <w:sz w:val="20"/>
                <w:szCs w:val="20"/>
              </w:rPr>
            </w:pPr>
            <w:r w:rsidRPr="00DE3184">
              <w:rPr>
                <w:rFonts w:ascii="Times New Roman" w:hAnsi="Times New Roman" w:cs="Times New Roman"/>
                <w:sz w:val="20"/>
                <w:szCs w:val="20"/>
              </w:rPr>
              <w:t>3,888</w:t>
            </w:r>
          </w:p>
        </w:tc>
      </w:tr>
      <w:tr w14:paraId="5DA2BC08" w14:textId="77777777" w:rsidTr="00A84A71">
        <w:tblPrEx>
          <w:tblW w:w="10260" w:type="dxa"/>
          <w:tblInd w:w="-95" w:type="dxa"/>
          <w:tblLayout w:type="fixed"/>
          <w:tblLook w:val="04A0"/>
        </w:tblPrEx>
        <w:tc>
          <w:tcPr>
            <w:tcW w:w="1890" w:type="dxa"/>
          </w:tcPr>
          <w:p w:rsidR="00876EB1" w:rsidRPr="00DE3184" w:rsidP="00637286" w14:paraId="2D68D1E0" w14:textId="77777777">
            <w:pPr>
              <w:rPr>
                <w:rFonts w:ascii="Times New Roman" w:hAnsi="Times New Roman" w:cs="Times New Roman"/>
                <w:sz w:val="20"/>
                <w:szCs w:val="20"/>
              </w:rPr>
            </w:pPr>
            <w:r w:rsidRPr="00DE3184">
              <w:rPr>
                <w:rFonts w:ascii="Times New Roman" w:hAnsi="Times New Roman" w:cs="Times New Roman"/>
                <w:sz w:val="20"/>
                <w:szCs w:val="20"/>
              </w:rPr>
              <w:t xml:space="preserve">Operational Criteria for Recognizing the </w:t>
            </w:r>
            <w:r w:rsidRPr="00DE3184">
              <w:rPr>
                <w:rFonts w:ascii="Times New Roman" w:hAnsi="Times New Roman" w:cs="Times New Roman"/>
                <w:sz w:val="20"/>
                <w:szCs w:val="20"/>
              </w:rPr>
              <w:t>Transfer of Risk -- Updating Analysis for Each Securitization Exposure</w:t>
            </w:r>
          </w:p>
          <w:p w:rsidR="00876EB1" w:rsidRPr="00DE3184" w:rsidP="00637286" w14:paraId="294853DF"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E11313">
              <w:rPr>
                <w:rFonts w:ascii="Times New Roman" w:hAnsi="Times New Roman" w:cs="Times New Roman"/>
                <w:sz w:val="20"/>
                <w:szCs w:val="20"/>
              </w:rPr>
              <w:t>_.130(c)(2)(ii)</w:t>
            </w:r>
          </w:p>
        </w:tc>
        <w:tc>
          <w:tcPr>
            <w:tcW w:w="1080" w:type="dxa"/>
          </w:tcPr>
          <w:p w:rsidR="00876EB1" w:rsidRPr="00DE3184" w:rsidP="00637286" w14:paraId="56C64F27"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10D76D67"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338CC0EA"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39D1A933" w14:textId="77777777">
            <w:pPr>
              <w:jc w:val="center"/>
              <w:rPr>
                <w:rFonts w:ascii="Times New Roman" w:hAnsi="Times New Roman" w:cs="Times New Roman"/>
                <w:sz w:val="20"/>
                <w:szCs w:val="20"/>
              </w:rPr>
            </w:pPr>
            <w:r w:rsidRPr="00DE3184">
              <w:rPr>
                <w:rFonts w:ascii="Times New Roman" w:hAnsi="Times New Roman" w:cs="Times New Roman"/>
                <w:sz w:val="20"/>
                <w:szCs w:val="20"/>
              </w:rPr>
              <w:t>4</w:t>
            </w:r>
          </w:p>
        </w:tc>
        <w:tc>
          <w:tcPr>
            <w:tcW w:w="1260" w:type="dxa"/>
          </w:tcPr>
          <w:p w:rsidR="00876EB1" w:rsidRPr="00DE3184" w:rsidP="00637286" w14:paraId="3B54DB5A" w14:textId="77777777">
            <w:pPr>
              <w:jc w:val="center"/>
              <w:rPr>
                <w:rFonts w:ascii="Times New Roman" w:hAnsi="Times New Roman" w:cs="Times New Roman"/>
                <w:sz w:val="20"/>
                <w:szCs w:val="20"/>
              </w:rPr>
            </w:pPr>
            <w:r w:rsidRPr="00DE3184">
              <w:rPr>
                <w:rFonts w:ascii="Times New Roman" w:hAnsi="Times New Roman" w:cs="Times New Roman"/>
                <w:sz w:val="20"/>
                <w:szCs w:val="20"/>
              </w:rPr>
              <w:t>2</w:t>
            </w:r>
          </w:p>
        </w:tc>
        <w:tc>
          <w:tcPr>
            <w:tcW w:w="1620" w:type="dxa"/>
          </w:tcPr>
          <w:p w:rsidR="00876EB1" w:rsidRPr="00DE3184" w:rsidP="00637286" w14:paraId="416FCCA9" w14:textId="77777777">
            <w:pPr>
              <w:jc w:val="center"/>
              <w:rPr>
                <w:rFonts w:ascii="Times New Roman" w:hAnsi="Times New Roman" w:cs="Times New Roman"/>
                <w:sz w:val="20"/>
                <w:szCs w:val="20"/>
              </w:rPr>
            </w:pPr>
            <w:r w:rsidRPr="00DE3184">
              <w:rPr>
                <w:rFonts w:ascii="Times New Roman" w:hAnsi="Times New Roman" w:cs="Times New Roman"/>
                <w:sz w:val="20"/>
                <w:szCs w:val="20"/>
              </w:rPr>
              <w:t>384</w:t>
            </w:r>
          </w:p>
        </w:tc>
      </w:tr>
      <w:tr w14:paraId="75A325EF" w14:textId="77777777" w:rsidTr="00A84A71">
        <w:tblPrEx>
          <w:tblW w:w="10260" w:type="dxa"/>
          <w:tblInd w:w="-95" w:type="dxa"/>
          <w:tblLayout w:type="fixed"/>
          <w:tblLook w:val="04A0"/>
        </w:tblPrEx>
        <w:tc>
          <w:tcPr>
            <w:tcW w:w="1890" w:type="dxa"/>
          </w:tcPr>
          <w:p w:rsidR="00876EB1" w:rsidRPr="00DE3184" w:rsidP="00637286" w14:paraId="471463E9" w14:textId="77777777">
            <w:pPr>
              <w:rPr>
                <w:rFonts w:ascii="Times New Roman" w:hAnsi="Times New Roman" w:cs="Times New Roman"/>
                <w:sz w:val="20"/>
                <w:szCs w:val="20"/>
              </w:rPr>
            </w:pPr>
            <w:r w:rsidRPr="00DE3184">
              <w:rPr>
                <w:rFonts w:ascii="Times New Roman" w:hAnsi="Times New Roman" w:cs="Times New Roman"/>
                <w:sz w:val="20"/>
                <w:szCs w:val="20"/>
              </w:rPr>
              <w:t>Operational Risk Capital -- Prior Approval of Business Indicator Exclusions</w:t>
            </w:r>
          </w:p>
          <w:p w:rsidR="00876EB1" w:rsidRPr="00DE3184" w:rsidP="00637286" w14:paraId="7449B5C9"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E11313">
              <w:rPr>
                <w:rFonts w:ascii="Times New Roman" w:hAnsi="Times New Roman" w:cs="Times New Roman"/>
                <w:sz w:val="20"/>
                <w:szCs w:val="20"/>
              </w:rPr>
              <w:t>_.150(d)(5)</w:t>
            </w:r>
          </w:p>
        </w:tc>
        <w:tc>
          <w:tcPr>
            <w:tcW w:w="1080" w:type="dxa"/>
          </w:tcPr>
          <w:p w:rsidR="00876EB1" w:rsidRPr="00DE3184" w:rsidP="00637286" w14:paraId="4ACFDF8C"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23BFDDB2" w14:textId="77777777">
            <w:pPr>
              <w:jc w:val="center"/>
              <w:rPr>
                <w:rFonts w:ascii="Times New Roman" w:hAnsi="Times New Roman" w:cs="Times New Roman"/>
                <w:sz w:val="20"/>
                <w:szCs w:val="20"/>
              </w:rPr>
            </w:pPr>
            <w:r w:rsidRPr="00DE3184">
              <w:rPr>
                <w:rFonts w:ascii="Times New Roman" w:hAnsi="Times New Roman" w:cs="Times New Roman"/>
                <w:sz w:val="20"/>
                <w:szCs w:val="20"/>
              </w:rPr>
              <w:t>Reporting</w:t>
            </w:r>
          </w:p>
        </w:tc>
        <w:tc>
          <w:tcPr>
            <w:tcW w:w="1440" w:type="dxa"/>
          </w:tcPr>
          <w:p w:rsidR="00876EB1" w:rsidRPr="00DE3184" w:rsidP="00637286" w14:paraId="12A8B55B"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6D4226AB"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1DD25A52" w14:textId="77777777">
            <w:pPr>
              <w:jc w:val="center"/>
              <w:rPr>
                <w:rFonts w:ascii="Times New Roman" w:hAnsi="Times New Roman" w:cs="Times New Roman"/>
                <w:sz w:val="20"/>
                <w:szCs w:val="20"/>
              </w:rPr>
            </w:pPr>
            <w:r w:rsidRPr="00DE3184">
              <w:rPr>
                <w:rFonts w:ascii="Times New Roman" w:hAnsi="Times New Roman" w:cs="Times New Roman"/>
                <w:sz w:val="20"/>
                <w:szCs w:val="20"/>
              </w:rPr>
              <w:t>20</w:t>
            </w:r>
          </w:p>
        </w:tc>
        <w:tc>
          <w:tcPr>
            <w:tcW w:w="1620" w:type="dxa"/>
            <w:shd w:val="clear" w:color="auto" w:fill="auto"/>
          </w:tcPr>
          <w:p w:rsidR="00876EB1" w:rsidRPr="00404DDB" w:rsidP="00637286" w14:paraId="29DFBA5B" w14:textId="77777777">
            <w:pPr>
              <w:jc w:val="center"/>
              <w:rPr>
                <w:rFonts w:ascii="Times New Roman" w:hAnsi="Times New Roman" w:cs="Times New Roman"/>
                <w:sz w:val="20"/>
                <w:szCs w:val="20"/>
              </w:rPr>
            </w:pPr>
            <w:r w:rsidRPr="00404DDB">
              <w:rPr>
                <w:rFonts w:ascii="Times New Roman" w:hAnsi="Times New Roman" w:cs="Times New Roman"/>
                <w:sz w:val="20"/>
                <w:szCs w:val="20"/>
              </w:rPr>
              <w:t>960</w:t>
            </w:r>
          </w:p>
        </w:tc>
      </w:tr>
      <w:tr w14:paraId="5A309338" w14:textId="77777777" w:rsidTr="00A84A71">
        <w:tblPrEx>
          <w:tblW w:w="10260" w:type="dxa"/>
          <w:tblInd w:w="-95" w:type="dxa"/>
          <w:tblLayout w:type="fixed"/>
          <w:tblLook w:val="04A0"/>
        </w:tblPrEx>
        <w:tc>
          <w:tcPr>
            <w:tcW w:w="1890" w:type="dxa"/>
          </w:tcPr>
          <w:p w:rsidR="00876EB1" w:rsidRPr="00DE3184" w:rsidP="00637286" w14:paraId="0EF343D4" w14:textId="77777777">
            <w:pPr>
              <w:rPr>
                <w:rFonts w:ascii="Times New Roman" w:hAnsi="Times New Roman" w:cs="Times New Roman"/>
                <w:sz w:val="20"/>
                <w:szCs w:val="20"/>
              </w:rPr>
            </w:pPr>
            <w:r w:rsidRPr="00DE3184">
              <w:rPr>
                <w:rFonts w:ascii="Times New Roman" w:hAnsi="Times New Roman" w:cs="Times New Roman"/>
                <w:sz w:val="20"/>
                <w:szCs w:val="20"/>
              </w:rPr>
              <w:t>Operational Risk Capital -- Prior Approval of Operational Loss Events Exclusion</w:t>
            </w:r>
          </w:p>
          <w:p w:rsidR="00876EB1" w:rsidRPr="00DE3184" w:rsidP="00637286" w14:paraId="257DD530"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E11313">
              <w:rPr>
                <w:rFonts w:ascii="Times New Roman" w:hAnsi="Times New Roman" w:cs="Times New Roman"/>
                <w:sz w:val="20"/>
                <w:szCs w:val="20"/>
              </w:rPr>
              <w:t>_.150(e)(3)(i)-(ii)</w:t>
            </w:r>
          </w:p>
        </w:tc>
        <w:tc>
          <w:tcPr>
            <w:tcW w:w="1080" w:type="dxa"/>
          </w:tcPr>
          <w:p w:rsidR="00876EB1" w:rsidRPr="00DE3184" w:rsidP="00637286" w14:paraId="67685C9D"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29B5EC7F" w14:textId="77777777">
            <w:pPr>
              <w:jc w:val="center"/>
              <w:rPr>
                <w:rFonts w:ascii="Times New Roman" w:hAnsi="Times New Roman" w:cs="Times New Roman"/>
                <w:sz w:val="20"/>
                <w:szCs w:val="20"/>
              </w:rPr>
            </w:pPr>
            <w:r w:rsidRPr="00DE3184">
              <w:rPr>
                <w:rFonts w:ascii="Times New Roman" w:hAnsi="Times New Roman" w:cs="Times New Roman"/>
                <w:sz w:val="20"/>
                <w:szCs w:val="20"/>
              </w:rPr>
              <w:t>Reporting</w:t>
            </w:r>
          </w:p>
        </w:tc>
        <w:tc>
          <w:tcPr>
            <w:tcW w:w="1440" w:type="dxa"/>
          </w:tcPr>
          <w:p w:rsidR="00876EB1" w:rsidRPr="00DE3184" w:rsidP="00637286" w14:paraId="433E8879"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5106569C"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7B35718A" w14:textId="77777777">
            <w:pPr>
              <w:jc w:val="center"/>
              <w:rPr>
                <w:rFonts w:ascii="Times New Roman" w:hAnsi="Times New Roman" w:cs="Times New Roman"/>
                <w:sz w:val="20"/>
                <w:szCs w:val="20"/>
              </w:rPr>
            </w:pPr>
            <w:r w:rsidRPr="00DE3184">
              <w:rPr>
                <w:rFonts w:ascii="Times New Roman" w:hAnsi="Times New Roman" w:cs="Times New Roman"/>
                <w:sz w:val="20"/>
                <w:szCs w:val="20"/>
              </w:rPr>
              <w:t>40</w:t>
            </w:r>
          </w:p>
        </w:tc>
        <w:tc>
          <w:tcPr>
            <w:tcW w:w="1620" w:type="dxa"/>
          </w:tcPr>
          <w:p w:rsidR="00876EB1" w:rsidRPr="00DE3184" w:rsidP="00637286" w14:paraId="4C51B74A" w14:textId="77777777">
            <w:pPr>
              <w:jc w:val="center"/>
              <w:rPr>
                <w:rFonts w:ascii="Times New Roman" w:hAnsi="Times New Roman" w:cs="Times New Roman"/>
                <w:sz w:val="20"/>
                <w:szCs w:val="20"/>
              </w:rPr>
            </w:pPr>
            <w:r w:rsidRPr="00DE3184">
              <w:rPr>
                <w:rFonts w:ascii="Times New Roman" w:hAnsi="Times New Roman" w:cs="Times New Roman"/>
                <w:sz w:val="20"/>
                <w:szCs w:val="20"/>
              </w:rPr>
              <w:t>1,920</w:t>
            </w:r>
          </w:p>
        </w:tc>
      </w:tr>
      <w:tr w14:paraId="064B04DC" w14:textId="77777777" w:rsidTr="00A84A71">
        <w:tblPrEx>
          <w:tblW w:w="10260" w:type="dxa"/>
          <w:tblInd w:w="-95" w:type="dxa"/>
          <w:tblLayout w:type="fixed"/>
          <w:tblLook w:val="04A0"/>
        </w:tblPrEx>
        <w:tc>
          <w:tcPr>
            <w:tcW w:w="1890" w:type="dxa"/>
          </w:tcPr>
          <w:p w:rsidR="00876EB1" w:rsidRPr="00DE3184" w:rsidP="00637286" w14:paraId="148CBC30" w14:textId="77777777">
            <w:pPr>
              <w:rPr>
                <w:rFonts w:ascii="Times New Roman" w:hAnsi="Times New Roman" w:cs="Times New Roman"/>
                <w:sz w:val="20"/>
                <w:szCs w:val="20"/>
              </w:rPr>
            </w:pPr>
            <w:r w:rsidRPr="00DE3184">
              <w:rPr>
                <w:rFonts w:ascii="Times New Roman" w:hAnsi="Times New Roman" w:cs="Times New Roman"/>
                <w:sz w:val="20"/>
                <w:szCs w:val="20"/>
              </w:rPr>
              <w:t>Operational Risk Capital -- Operational Risk Management and Operational Loss Event Data Collection Processes Documentation</w:t>
            </w:r>
          </w:p>
          <w:p w:rsidR="00876EB1" w:rsidRPr="00DE3184" w:rsidP="00637286" w14:paraId="761C460A"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E11313">
              <w:rPr>
                <w:rFonts w:ascii="Times New Roman" w:hAnsi="Times New Roman" w:cs="Times New Roman"/>
                <w:sz w:val="20"/>
                <w:szCs w:val="20"/>
              </w:rPr>
              <w:t>_.150(f)(1)-(2)</w:t>
            </w:r>
          </w:p>
        </w:tc>
        <w:tc>
          <w:tcPr>
            <w:tcW w:w="1080" w:type="dxa"/>
          </w:tcPr>
          <w:p w:rsidR="00876EB1" w:rsidRPr="00DE3184" w:rsidP="00637286" w14:paraId="35B7EE36" w14:textId="77777777">
            <w:pPr>
              <w:jc w:val="center"/>
              <w:rPr>
                <w:rFonts w:ascii="Times New Roman" w:hAnsi="Times New Roman" w:cs="Times New Roman"/>
                <w:sz w:val="20"/>
                <w:szCs w:val="20"/>
              </w:rPr>
            </w:pPr>
            <w:r w:rsidRPr="00DE3184">
              <w:rPr>
                <w:rFonts w:ascii="Times New Roman" w:hAnsi="Times New Roman" w:cs="Times New Roman"/>
                <w:sz w:val="20"/>
                <w:szCs w:val="20"/>
              </w:rPr>
              <w:t>One-time</w:t>
            </w:r>
          </w:p>
        </w:tc>
        <w:tc>
          <w:tcPr>
            <w:tcW w:w="1710" w:type="dxa"/>
          </w:tcPr>
          <w:p w:rsidR="00876EB1" w:rsidRPr="00DE3184" w:rsidP="00637286" w14:paraId="6C3A5BC4"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15DF595A"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3473A1F2"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531888FF" w14:textId="77777777">
            <w:pPr>
              <w:jc w:val="center"/>
              <w:rPr>
                <w:rFonts w:ascii="Times New Roman" w:hAnsi="Times New Roman" w:cs="Times New Roman"/>
                <w:sz w:val="20"/>
                <w:szCs w:val="20"/>
              </w:rPr>
            </w:pPr>
            <w:r w:rsidRPr="00DE3184">
              <w:rPr>
                <w:rFonts w:ascii="Times New Roman" w:hAnsi="Times New Roman" w:cs="Times New Roman"/>
                <w:sz w:val="20"/>
                <w:szCs w:val="20"/>
              </w:rPr>
              <w:t>70</w:t>
            </w:r>
          </w:p>
        </w:tc>
        <w:tc>
          <w:tcPr>
            <w:tcW w:w="1620" w:type="dxa"/>
          </w:tcPr>
          <w:p w:rsidR="00876EB1" w:rsidRPr="00DE3184" w:rsidP="00637286" w14:paraId="6F4C6E6F" w14:textId="77777777">
            <w:pPr>
              <w:jc w:val="center"/>
              <w:rPr>
                <w:rFonts w:ascii="Times New Roman" w:hAnsi="Times New Roman" w:cs="Times New Roman"/>
                <w:sz w:val="20"/>
                <w:szCs w:val="20"/>
              </w:rPr>
            </w:pPr>
            <w:r w:rsidRPr="00DE3184">
              <w:rPr>
                <w:rFonts w:ascii="Times New Roman" w:hAnsi="Times New Roman" w:cs="Times New Roman"/>
                <w:sz w:val="20"/>
                <w:szCs w:val="20"/>
              </w:rPr>
              <w:t>3,360</w:t>
            </w:r>
          </w:p>
        </w:tc>
      </w:tr>
      <w:tr w14:paraId="6023653E" w14:textId="77777777" w:rsidTr="00A84A71">
        <w:tblPrEx>
          <w:tblW w:w="10260" w:type="dxa"/>
          <w:tblInd w:w="-95" w:type="dxa"/>
          <w:tblLayout w:type="fixed"/>
          <w:tblLook w:val="04A0"/>
        </w:tblPrEx>
        <w:trPr>
          <w:trHeight w:val="1475"/>
        </w:trPr>
        <w:tc>
          <w:tcPr>
            <w:tcW w:w="1890" w:type="dxa"/>
          </w:tcPr>
          <w:p w:rsidR="00876EB1" w:rsidRPr="00987C5F" w:rsidP="00637286" w14:paraId="0706107E" w14:textId="77777777">
            <w:pPr>
              <w:rPr>
                <w:rFonts w:ascii="Times New Roman" w:hAnsi="Times New Roman" w:cs="Times New Roman"/>
                <w:sz w:val="20"/>
                <w:szCs w:val="20"/>
              </w:rPr>
            </w:pPr>
            <w:r w:rsidRPr="00987C5F">
              <w:rPr>
                <w:rFonts w:ascii="Times New Roman" w:hAnsi="Times New Roman" w:cs="Times New Roman"/>
                <w:sz w:val="20"/>
                <w:szCs w:val="20"/>
              </w:rPr>
              <w:t>Operational Risk Capital -- Operational Risk Management and Operational Loss Event Data Collection Processes Documentation</w:t>
            </w:r>
          </w:p>
          <w:p w:rsidR="00876EB1" w:rsidRPr="00987C5F" w:rsidP="00637286" w14:paraId="0EB35777" w14:textId="77777777">
            <w:pPr>
              <w:rPr>
                <w:rFonts w:ascii="Times New Roman" w:hAnsi="Times New Roman" w:cs="Times New Roman"/>
                <w:sz w:val="20"/>
                <w:szCs w:val="20"/>
              </w:rPr>
            </w:pPr>
            <w:r w:rsidRPr="00987C5F">
              <w:rPr>
                <w:rFonts w:ascii="Times New Roman" w:hAnsi="Times New Roman" w:cs="Times New Roman"/>
                <w:sz w:val="20"/>
                <w:szCs w:val="20"/>
              </w:rPr>
              <w:t>Section:</w:t>
            </w:r>
            <w:r w:rsidRPr="00E11313">
              <w:rPr>
                <w:rFonts w:ascii="Times New Roman" w:hAnsi="Times New Roman" w:cs="Times New Roman"/>
                <w:sz w:val="20"/>
                <w:szCs w:val="20"/>
              </w:rPr>
              <w:t xml:space="preserve"> _.150(f)(1)-(2)</w:t>
            </w:r>
          </w:p>
        </w:tc>
        <w:tc>
          <w:tcPr>
            <w:tcW w:w="1080" w:type="dxa"/>
          </w:tcPr>
          <w:p w:rsidR="00876EB1" w:rsidRPr="00DE3184" w:rsidP="00637286" w14:paraId="112F31B9"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5A93303E"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5BAE908A"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52EBEC0D"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3FCB9A78" w14:textId="77777777">
            <w:pPr>
              <w:jc w:val="center"/>
              <w:rPr>
                <w:rFonts w:ascii="Times New Roman" w:hAnsi="Times New Roman" w:cs="Times New Roman"/>
                <w:sz w:val="20"/>
                <w:szCs w:val="20"/>
              </w:rPr>
            </w:pPr>
            <w:r w:rsidRPr="00DE3184">
              <w:rPr>
                <w:rFonts w:ascii="Times New Roman" w:hAnsi="Times New Roman" w:cs="Times New Roman"/>
                <w:sz w:val="20"/>
                <w:szCs w:val="20"/>
              </w:rPr>
              <w:t>22</w:t>
            </w:r>
          </w:p>
        </w:tc>
        <w:tc>
          <w:tcPr>
            <w:tcW w:w="1620" w:type="dxa"/>
          </w:tcPr>
          <w:p w:rsidR="00876EB1" w:rsidRPr="00DE3184" w:rsidP="00637286" w14:paraId="00F1CF14" w14:textId="77777777">
            <w:pPr>
              <w:jc w:val="center"/>
              <w:rPr>
                <w:rFonts w:ascii="Times New Roman" w:hAnsi="Times New Roman" w:cs="Times New Roman"/>
                <w:sz w:val="20"/>
                <w:szCs w:val="20"/>
              </w:rPr>
            </w:pPr>
            <w:r w:rsidRPr="00DE3184">
              <w:rPr>
                <w:rFonts w:ascii="Times New Roman" w:hAnsi="Times New Roman" w:cs="Times New Roman"/>
                <w:sz w:val="20"/>
                <w:szCs w:val="20"/>
              </w:rPr>
              <w:t>1,056</w:t>
            </w:r>
          </w:p>
        </w:tc>
      </w:tr>
      <w:tr w14:paraId="5BE0B759" w14:textId="77777777" w:rsidTr="00A84A71">
        <w:tblPrEx>
          <w:tblW w:w="10260" w:type="dxa"/>
          <w:tblInd w:w="-95" w:type="dxa"/>
          <w:tblLayout w:type="fixed"/>
          <w:tblLook w:val="04A0"/>
        </w:tblPrEx>
        <w:tc>
          <w:tcPr>
            <w:tcW w:w="1890" w:type="dxa"/>
          </w:tcPr>
          <w:p w:rsidR="00876EB1" w:rsidRPr="00DE3184" w:rsidP="00637286" w14:paraId="48EFEC5D" w14:textId="77777777">
            <w:pPr>
              <w:rPr>
                <w:rFonts w:ascii="Times New Roman" w:hAnsi="Times New Roman" w:cs="Times New Roman"/>
                <w:sz w:val="20"/>
                <w:szCs w:val="20"/>
              </w:rPr>
            </w:pPr>
            <w:r w:rsidRPr="00DE3184">
              <w:rPr>
                <w:rFonts w:ascii="Times New Roman" w:hAnsi="Times New Roman" w:cs="Times New Roman"/>
                <w:sz w:val="20"/>
                <w:szCs w:val="20"/>
              </w:rPr>
              <w:t>Disclosure Requirements -- Disclosure Policy</w:t>
            </w:r>
          </w:p>
          <w:p w:rsidR="00876EB1" w:rsidRPr="00DE3184" w:rsidP="00637286" w14:paraId="374B9AC1" w14:textId="77777777">
            <w:pPr>
              <w:rPr>
                <w:rFonts w:ascii="Times New Roman" w:hAnsi="Times New Roman" w:cs="Times New Roman"/>
                <w:sz w:val="20"/>
                <w:szCs w:val="20"/>
              </w:rPr>
            </w:pPr>
            <w:r w:rsidRPr="00DE3184">
              <w:rPr>
                <w:rFonts w:ascii="Times New Roman" w:hAnsi="Times New Roman" w:cs="Times New Roman"/>
                <w:sz w:val="20"/>
                <w:szCs w:val="20"/>
              </w:rPr>
              <w:t xml:space="preserve">Section: </w:t>
            </w:r>
            <w:r w:rsidRPr="00E11313">
              <w:rPr>
                <w:rFonts w:ascii="Times New Roman" w:hAnsi="Times New Roman" w:cs="Times New Roman"/>
                <w:sz w:val="20"/>
                <w:szCs w:val="20"/>
              </w:rPr>
              <w:t>_.161(b)</w:t>
            </w:r>
          </w:p>
        </w:tc>
        <w:tc>
          <w:tcPr>
            <w:tcW w:w="1080" w:type="dxa"/>
          </w:tcPr>
          <w:p w:rsidR="00876EB1" w:rsidRPr="00DE3184" w:rsidP="00637286" w14:paraId="6A7CB853"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4DB83CAA" w14:textId="77777777">
            <w:pPr>
              <w:jc w:val="center"/>
              <w:rPr>
                <w:rFonts w:ascii="Times New Roman" w:hAnsi="Times New Roman" w:cs="Times New Roman"/>
                <w:sz w:val="20"/>
                <w:szCs w:val="20"/>
              </w:rPr>
            </w:pPr>
            <w:r w:rsidRPr="00DE3184">
              <w:rPr>
                <w:rFonts w:ascii="Times New Roman" w:hAnsi="Times New Roman" w:cs="Times New Roman"/>
                <w:sz w:val="20"/>
                <w:szCs w:val="20"/>
              </w:rPr>
              <w:t>Recordkeeping</w:t>
            </w:r>
          </w:p>
        </w:tc>
        <w:tc>
          <w:tcPr>
            <w:tcW w:w="1440" w:type="dxa"/>
          </w:tcPr>
          <w:p w:rsidR="00876EB1" w:rsidRPr="00DE3184" w:rsidP="00637286" w14:paraId="2FFC30E8"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78ED0460"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37CDDDBF"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620" w:type="dxa"/>
          </w:tcPr>
          <w:p w:rsidR="00876EB1" w:rsidRPr="00DE3184" w:rsidP="00637286" w14:paraId="6FC0C06D"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r>
      <w:tr w14:paraId="207AB100" w14:textId="77777777" w:rsidTr="00A84A71">
        <w:tblPrEx>
          <w:tblW w:w="10260" w:type="dxa"/>
          <w:tblInd w:w="-95" w:type="dxa"/>
          <w:tblLayout w:type="fixed"/>
          <w:tblLook w:val="04A0"/>
        </w:tblPrEx>
        <w:tc>
          <w:tcPr>
            <w:tcW w:w="1890" w:type="dxa"/>
          </w:tcPr>
          <w:p w:rsidR="00876EB1" w:rsidRPr="00E11313" w:rsidP="00637286" w14:paraId="56E6CAF1" w14:textId="77777777">
            <w:pPr>
              <w:rPr>
                <w:rFonts w:ascii="Times New Roman" w:hAnsi="Times New Roman" w:cs="Times New Roman"/>
                <w:sz w:val="20"/>
                <w:szCs w:val="20"/>
              </w:rPr>
            </w:pPr>
            <w:r w:rsidRPr="00E11313">
              <w:rPr>
                <w:rFonts w:ascii="Times New Roman" w:hAnsi="Times New Roman" w:cs="Times New Roman"/>
                <w:sz w:val="20"/>
                <w:szCs w:val="20"/>
              </w:rPr>
              <w:t>Disclosure --</w:t>
            </w:r>
          </w:p>
          <w:p w:rsidR="00876EB1" w:rsidRPr="00DE3184" w:rsidP="00637286" w14:paraId="6F0451D2" w14:textId="77777777">
            <w:pPr>
              <w:rPr>
                <w:rFonts w:ascii="Times New Roman" w:hAnsi="Times New Roman" w:cs="Times New Roman"/>
                <w:sz w:val="20"/>
                <w:szCs w:val="20"/>
              </w:rPr>
            </w:pPr>
            <w:r w:rsidRPr="00E11313">
              <w:rPr>
                <w:rFonts w:ascii="Times New Roman" w:hAnsi="Times New Roman" w:cs="Times New Roman"/>
                <w:sz w:val="20"/>
                <w:szCs w:val="20"/>
              </w:rPr>
              <w:t>Section: _.20(c)(1)(xiv), (d)(1)(xi)</w:t>
            </w:r>
          </w:p>
        </w:tc>
        <w:tc>
          <w:tcPr>
            <w:tcW w:w="1080" w:type="dxa"/>
          </w:tcPr>
          <w:p w:rsidR="00876EB1" w:rsidRPr="00DE3184" w:rsidP="00637286" w14:paraId="13C3D011" w14:textId="77777777">
            <w:pPr>
              <w:jc w:val="center"/>
              <w:rPr>
                <w:rFonts w:ascii="Times New Roman" w:hAnsi="Times New Roman" w:cs="Times New Roman"/>
                <w:sz w:val="20"/>
                <w:szCs w:val="20"/>
              </w:rPr>
            </w:pPr>
            <w:r>
              <w:rPr>
                <w:rFonts w:ascii="Times New Roman" w:hAnsi="Times New Roman" w:cs="Times New Roman"/>
                <w:sz w:val="20"/>
                <w:szCs w:val="20"/>
              </w:rPr>
              <w:t>Ongoing</w:t>
            </w:r>
          </w:p>
        </w:tc>
        <w:tc>
          <w:tcPr>
            <w:tcW w:w="1710" w:type="dxa"/>
          </w:tcPr>
          <w:p w:rsidR="00876EB1" w:rsidRPr="00DE3184" w:rsidP="00637286" w14:paraId="5A11C982" w14:textId="77777777">
            <w:pPr>
              <w:jc w:val="center"/>
              <w:rPr>
                <w:rFonts w:ascii="Times New Roman" w:hAnsi="Times New Roman" w:cs="Times New Roman"/>
                <w:sz w:val="20"/>
                <w:szCs w:val="20"/>
              </w:rPr>
            </w:pPr>
            <w:r w:rsidRPr="00DE3184">
              <w:rPr>
                <w:rFonts w:ascii="Times New Roman" w:hAnsi="Times New Roman" w:cs="Times New Roman"/>
                <w:sz w:val="20"/>
                <w:szCs w:val="20"/>
              </w:rPr>
              <w:t>Disclosure</w:t>
            </w:r>
          </w:p>
        </w:tc>
        <w:tc>
          <w:tcPr>
            <w:tcW w:w="1440" w:type="dxa"/>
          </w:tcPr>
          <w:p w:rsidR="00876EB1" w:rsidRPr="00DE3184" w:rsidP="00637286" w14:paraId="776C55F1" w14:textId="77777777">
            <w:pPr>
              <w:jc w:val="center"/>
              <w:rPr>
                <w:rFonts w:ascii="Times New Roman" w:hAnsi="Times New Roman" w:cs="Times New Roman"/>
                <w:sz w:val="20"/>
                <w:szCs w:val="20"/>
              </w:rPr>
            </w:pPr>
            <w:r w:rsidRPr="00DE3184">
              <w:rPr>
                <w:rFonts w:ascii="Times New Roman" w:hAnsi="Times New Roman" w:cs="Times New Roman"/>
                <w:sz w:val="20"/>
                <w:szCs w:val="20"/>
              </w:rPr>
              <w:t>48</w:t>
            </w:r>
          </w:p>
        </w:tc>
        <w:tc>
          <w:tcPr>
            <w:tcW w:w="1260" w:type="dxa"/>
          </w:tcPr>
          <w:p w:rsidR="00876EB1" w:rsidRPr="00DE3184" w:rsidP="00637286" w14:paraId="1229F6F7"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6EF4114F" w14:textId="77777777">
            <w:pPr>
              <w:jc w:val="center"/>
              <w:rPr>
                <w:rFonts w:ascii="Times New Roman" w:hAnsi="Times New Roman" w:cs="Times New Roman"/>
                <w:sz w:val="20"/>
                <w:szCs w:val="20"/>
              </w:rPr>
            </w:pPr>
            <w:r w:rsidRPr="00DE3184">
              <w:rPr>
                <w:rFonts w:ascii="Times New Roman" w:hAnsi="Times New Roman" w:cs="Times New Roman"/>
                <w:sz w:val="20"/>
                <w:szCs w:val="20"/>
              </w:rPr>
              <w:t>2</w:t>
            </w:r>
          </w:p>
        </w:tc>
        <w:tc>
          <w:tcPr>
            <w:tcW w:w="1620" w:type="dxa"/>
          </w:tcPr>
          <w:p w:rsidR="00876EB1" w:rsidRPr="00DE3184" w:rsidP="00637286" w14:paraId="2448EAA7" w14:textId="77777777">
            <w:pPr>
              <w:jc w:val="center"/>
              <w:rPr>
                <w:rFonts w:ascii="Times New Roman" w:hAnsi="Times New Roman" w:cs="Times New Roman"/>
                <w:sz w:val="20"/>
                <w:szCs w:val="20"/>
              </w:rPr>
            </w:pPr>
            <w:r w:rsidRPr="00DE3184">
              <w:rPr>
                <w:rFonts w:ascii="Times New Roman" w:hAnsi="Times New Roman" w:cs="Times New Roman"/>
                <w:sz w:val="20"/>
                <w:szCs w:val="20"/>
              </w:rPr>
              <w:t>96</w:t>
            </w:r>
          </w:p>
        </w:tc>
      </w:tr>
      <w:tr w14:paraId="079B9917" w14:textId="77777777" w:rsidTr="00A84A71">
        <w:tblPrEx>
          <w:tblW w:w="10260" w:type="dxa"/>
          <w:tblInd w:w="-95" w:type="dxa"/>
          <w:tblLayout w:type="fixed"/>
          <w:tblLook w:val="04A0"/>
        </w:tblPrEx>
        <w:tc>
          <w:tcPr>
            <w:tcW w:w="1890" w:type="dxa"/>
          </w:tcPr>
          <w:p w:rsidR="00876EB1" w:rsidRPr="00E11313" w:rsidP="00637286" w14:paraId="1DE51575" w14:textId="77777777">
            <w:pPr>
              <w:rPr>
                <w:rFonts w:ascii="Times New Roman" w:hAnsi="Times New Roman" w:cs="Times New Roman"/>
                <w:sz w:val="20"/>
                <w:szCs w:val="20"/>
              </w:rPr>
            </w:pPr>
            <w:r w:rsidRPr="00E11313">
              <w:rPr>
                <w:rFonts w:ascii="Times New Roman" w:hAnsi="Times New Roman" w:cs="Times New Roman"/>
                <w:sz w:val="20"/>
                <w:szCs w:val="20"/>
              </w:rPr>
              <w:t>Section: _.162</w:t>
            </w:r>
          </w:p>
          <w:p w:rsidR="00876EB1" w:rsidRPr="00987C5F" w:rsidP="00637286" w14:paraId="7874F5C7" w14:textId="77777777">
            <w:pPr>
              <w:rPr>
                <w:rFonts w:ascii="Times New Roman" w:hAnsi="Times New Roman" w:cs="Times New Roman"/>
                <w:sz w:val="20"/>
                <w:szCs w:val="20"/>
              </w:rPr>
            </w:pPr>
          </w:p>
          <w:p w:rsidR="00876EB1" w:rsidRPr="00987C5F" w:rsidP="00637286" w14:paraId="3A05D00D"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1-</w:t>
            </w:r>
            <w:r w:rsidRPr="00987C5F">
              <w:rPr>
                <w:rFonts w:ascii="Times New Roman" w:hAnsi="Times New Roman" w:cs="Times New Roman"/>
                <w:sz w:val="20"/>
                <w:szCs w:val="20"/>
              </w:rPr>
              <w:t xml:space="preserve"> Scope of Application Disclosures </w:t>
            </w:r>
          </w:p>
          <w:p w:rsidR="00876EB1" w:rsidRPr="00987C5F" w:rsidP="00637286" w14:paraId="0C0B46D6" w14:textId="77777777">
            <w:pPr>
              <w:rPr>
                <w:rFonts w:ascii="Times New Roman" w:hAnsi="Times New Roman" w:cs="Times New Roman"/>
                <w:sz w:val="20"/>
                <w:szCs w:val="20"/>
              </w:rPr>
            </w:pPr>
            <w:r w:rsidRPr="00987C5F">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87C5F" w:rsidP="00637286" w14:paraId="27A9377E"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2-</w:t>
            </w:r>
            <w:r w:rsidRPr="00987C5F">
              <w:rPr>
                <w:rFonts w:ascii="Times New Roman" w:hAnsi="Times New Roman" w:cs="Times New Roman"/>
                <w:sz w:val="20"/>
                <w:szCs w:val="20"/>
              </w:rPr>
              <w:t xml:space="preserve"> Capital Structure Disclosures </w:t>
            </w:r>
          </w:p>
          <w:p w:rsidR="00876EB1" w:rsidRPr="00987C5F" w:rsidP="00637286" w14:paraId="21C295A5" w14:textId="77777777">
            <w:pPr>
              <w:rPr>
                <w:rFonts w:ascii="Times New Roman" w:hAnsi="Times New Roman" w:cs="Times New Roman"/>
                <w:sz w:val="20"/>
                <w:szCs w:val="20"/>
              </w:rPr>
            </w:pPr>
            <w:r w:rsidRPr="00987C5F">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87C5F" w:rsidP="00637286" w14:paraId="40F3AF9C"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3 -</w:t>
            </w:r>
            <w:r w:rsidRPr="00987C5F">
              <w:rPr>
                <w:rFonts w:ascii="Times New Roman" w:hAnsi="Times New Roman" w:cs="Times New Roman"/>
                <w:sz w:val="20"/>
                <w:szCs w:val="20"/>
              </w:rPr>
              <w:t xml:space="preserve"> Capital Adequacy Disclosures</w:t>
            </w:r>
          </w:p>
          <w:p w:rsidR="00876EB1" w:rsidRPr="00E11313" w:rsidP="00637286" w14:paraId="5FA4D740" w14:textId="77777777">
            <w:pPr>
              <w:rPr>
                <w:rFonts w:ascii="Times New Roman" w:hAnsi="Times New Roman" w:cs="Times New Roman"/>
                <w:sz w:val="20"/>
                <w:szCs w:val="20"/>
              </w:rPr>
            </w:pPr>
            <w:r w:rsidRPr="00987C5F">
              <w:rPr>
                <w:rFonts w:ascii="Times New Roman" w:hAnsi="Times New Roman" w:cs="Times New Roman"/>
                <w:sz w:val="20"/>
                <w:szCs w:val="20"/>
              </w:rPr>
              <w:t xml:space="preserve">Section: </w:t>
            </w:r>
            <w:r w:rsidRPr="00E11313">
              <w:rPr>
                <w:rFonts w:ascii="Times New Roman" w:hAnsi="Times New Roman" w:cs="Times New Roman"/>
                <w:sz w:val="20"/>
                <w:szCs w:val="20"/>
              </w:rPr>
              <w:t xml:space="preserve">_.162 </w:t>
            </w:r>
          </w:p>
          <w:p w:rsidR="00876EB1" w:rsidRPr="00987C5F" w:rsidP="00637286" w14:paraId="51E29B73"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4-</w:t>
            </w:r>
            <w:r w:rsidRPr="00987C5F">
              <w:rPr>
                <w:rFonts w:ascii="Times New Roman" w:hAnsi="Times New Roman" w:cs="Times New Roman"/>
                <w:sz w:val="20"/>
                <w:szCs w:val="20"/>
              </w:rPr>
              <w:t xml:space="preserve"> Countercyclical Capital Buffer Disclosures Section: </w:t>
            </w:r>
            <w:r w:rsidRPr="00E11313">
              <w:rPr>
                <w:rFonts w:ascii="Times New Roman" w:hAnsi="Times New Roman" w:cs="Times New Roman"/>
                <w:sz w:val="20"/>
                <w:szCs w:val="20"/>
              </w:rPr>
              <w:t>_.162</w:t>
            </w:r>
          </w:p>
          <w:p w:rsidR="00876EB1" w:rsidRPr="00987C5F" w:rsidP="00637286" w14:paraId="7D726583"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5-</w:t>
            </w:r>
            <w:r w:rsidRPr="00987C5F">
              <w:rPr>
                <w:rFonts w:ascii="Times New Roman" w:hAnsi="Times New Roman" w:cs="Times New Roman"/>
                <w:sz w:val="20"/>
                <w:szCs w:val="20"/>
              </w:rPr>
              <w:t xml:space="preserve"> Credit Risk: General Disclosures </w:t>
            </w:r>
          </w:p>
          <w:p w:rsidR="00876EB1" w:rsidRPr="00E11313" w:rsidP="00637286" w14:paraId="28AD5185" w14:textId="77777777">
            <w:pPr>
              <w:rPr>
                <w:rFonts w:ascii="Times New Roman" w:hAnsi="Times New Roman" w:cs="Times New Roman"/>
                <w:sz w:val="20"/>
                <w:szCs w:val="20"/>
              </w:rPr>
            </w:pPr>
            <w:r w:rsidRPr="00987C5F">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87C5F" w:rsidP="00637286" w14:paraId="1C1D29C5"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6-</w:t>
            </w:r>
            <w:r w:rsidRPr="00987C5F">
              <w:rPr>
                <w:rFonts w:ascii="Times New Roman" w:hAnsi="Times New Roman" w:cs="Times New Roman"/>
                <w:sz w:val="20"/>
                <w:szCs w:val="20"/>
              </w:rPr>
              <w:t xml:space="preserve"> General Disclosure for Counterparty Credit Risk-Related Exposures</w:t>
            </w:r>
          </w:p>
          <w:p w:rsidR="00876EB1" w:rsidRPr="00987C5F" w:rsidP="00637286" w14:paraId="25D824DD" w14:textId="77777777">
            <w:pPr>
              <w:rPr>
                <w:rFonts w:ascii="Times New Roman" w:hAnsi="Times New Roman" w:cs="Times New Roman"/>
                <w:sz w:val="20"/>
                <w:szCs w:val="20"/>
              </w:rPr>
            </w:pPr>
            <w:r w:rsidRPr="00987C5F">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87C5F" w:rsidP="00637286" w14:paraId="700AF1E6"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7-</w:t>
            </w:r>
            <w:r w:rsidRPr="00987C5F">
              <w:rPr>
                <w:rFonts w:ascii="Times New Roman" w:hAnsi="Times New Roman" w:cs="Times New Roman"/>
                <w:sz w:val="20"/>
                <w:szCs w:val="20"/>
              </w:rPr>
              <w:t xml:space="preserve"> Credit Risk Mitigation Disclosures Section: </w:t>
            </w:r>
            <w:r w:rsidRPr="00E11313">
              <w:rPr>
                <w:rFonts w:ascii="Times New Roman" w:hAnsi="Times New Roman" w:cs="Times New Roman"/>
                <w:sz w:val="20"/>
                <w:szCs w:val="20"/>
              </w:rPr>
              <w:t>_.162</w:t>
            </w:r>
          </w:p>
          <w:p w:rsidR="00876EB1" w:rsidRPr="00987C5F" w:rsidP="00637286" w14:paraId="6EEEE68F"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8-</w:t>
            </w:r>
            <w:r w:rsidRPr="00987C5F">
              <w:rPr>
                <w:rFonts w:ascii="Times New Roman" w:hAnsi="Times New Roman" w:cs="Times New Roman"/>
                <w:sz w:val="20"/>
                <w:szCs w:val="20"/>
              </w:rPr>
              <w:t xml:space="preserve"> Securitization Disclosures </w:t>
            </w:r>
          </w:p>
          <w:p w:rsidR="00876EB1" w:rsidRPr="00987C5F" w:rsidP="00637286" w14:paraId="5E0FEC44" w14:textId="77777777">
            <w:pPr>
              <w:rPr>
                <w:rFonts w:ascii="Times New Roman" w:hAnsi="Times New Roman" w:cs="Times New Roman"/>
                <w:sz w:val="20"/>
                <w:szCs w:val="20"/>
              </w:rPr>
            </w:pPr>
            <w:r w:rsidRPr="00987C5F">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87C5F" w:rsidP="00637286" w14:paraId="23E7D155"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9-</w:t>
            </w:r>
            <w:r w:rsidRPr="00987C5F">
              <w:rPr>
                <w:rFonts w:ascii="Times New Roman" w:hAnsi="Times New Roman" w:cs="Times New Roman"/>
                <w:sz w:val="20"/>
                <w:szCs w:val="20"/>
              </w:rPr>
              <w:t xml:space="preserve"> Equities Not Subject to Subpart F Disclosure Section: </w:t>
            </w:r>
            <w:r w:rsidRPr="00E11313">
              <w:rPr>
                <w:rFonts w:ascii="Times New Roman" w:hAnsi="Times New Roman" w:cs="Times New Roman"/>
                <w:sz w:val="20"/>
                <w:szCs w:val="20"/>
              </w:rPr>
              <w:t xml:space="preserve">_.162 </w:t>
            </w:r>
          </w:p>
          <w:p w:rsidR="00876EB1" w:rsidRPr="00987C5F" w:rsidP="00637286" w14:paraId="0F56818C"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10-</w:t>
            </w:r>
            <w:r w:rsidRPr="00987C5F">
              <w:rPr>
                <w:rFonts w:ascii="Times New Roman" w:hAnsi="Times New Roman" w:cs="Times New Roman"/>
                <w:sz w:val="20"/>
                <w:szCs w:val="20"/>
              </w:rPr>
              <w:t xml:space="preserve"> Interest Rate Risk for Non-Trading Activities Disclosures</w:t>
            </w:r>
          </w:p>
          <w:p w:rsidR="00876EB1" w:rsidRPr="00987C5F" w:rsidP="00637286" w14:paraId="04B49F45" w14:textId="77777777">
            <w:pPr>
              <w:rPr>
                <w:rFonts w:ascii="Times New Roman" w:hAnsi="Times New Roman" w:cs="Times New Roman"/>
                <w:sz w:val="20"/>
                <w:szCs w:val="20"/>
              </w:rPr>
            </w:pPr>
            <w:r w:rsidRPr="00987C5F">
              <w:rPr>
                <w:rFonts w:ascii="Times New Roman" w:hAnsi="Times New Roman" w:cs="Times New Roman"/>
                <w:sz w:val="20"/>
                <w:szCs w:val="20"/>
              </w:rPr>
              <w:t xml:space="preserve">Section: </w:t>
            </w:r>
            <w:r w:rsidRPr="00E11313">
              <w:rPr>
                <w:rFonts w:ascii="Times New Roman" w:hAnsi="Times New Roman" w:cs="Times New Roman"/>
                <w:sz w:val="20"/>
                <w:szCs w:val="20"/>
              </w:rPr>
              <w:t xml:space="preserve">_.162 </w:t>
            </w:r>
          </w:p>
          <w:p w:rsidR="00876EB1" w:rsidRPr="00987C5F" w:rsidP="00637286" w14:paraId="204ED184" w14:textId="77777777">
            <w:pPr>
              <w:rPr>
                <w:rFonts w:ascii="Times New Roman" w:hAnsi="Times New Roman" w:cs="Times New Roman"/>
                <w:sz w:val="20"/>
                <w:szCs w:val="20"/>
                <w:u w:val="single"/>
              </w:rPr>
            </w:pPr>
            <w:r w:rsidRPr="00987C5F">
              <w:rPr>
                <w:rFonts w:ascii="Times New Roman" w:hAnsi="Times New Roman" w:cs="Times New Roman"/>
                <w:sz w:val="20"/>
                <w:szCs w:val="20"/>
                <w:u w:val="single"/>
              </w:rPr>
              <w:t>Table 11-</w:t>
            </w:r>
            <w:r w:rsidRPr="00987C5F">
              <w:rPr>
                <w:rFonts w:ascii="Times New Roman" w:hAnsi="Times New Roman" w:cs="Times New Roman"/>
                <w:sz w:val="20"/>
                <w:szCs w:val="20"/>
              </w:rPr>
              <w:t xml:space="preserve"> Additional Disclosure Related to the Credit Quality of Assets Section: </w:t>
            </w:r>
            <w:r w:rsidRPr="00E11313">
              <w:rPr>
                <w:rFonts w:ascii="Times New Roman" w:hAnsi="Times New Roman" w:cs="Times New Roman"/>
                <w:sz w:val="20"/>
                <w:szCs w:val="20"/>
              </w:rPr>
              <w:t>_.162</w:t>
            </w:r>
          </w:p>
          <w:p w:rsidR="00876EB1" w:rsidRPr="00987C5F" w:rsidP="00637286" w14:paraId="0AC87851"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12-</w:t>
            </w:r>
            <w:r w:rsidRPr="00987C5F">
              <w:rPr>
                <w:rFonts w:ascii="Times New Roman" w:hAnsi="Times New Roman" w:cs="Times New Roman"/>
                <w:sz w:val="20"/>
                <w:szCs w:val="20"/>
              </w:rPr>
              <w:t xml:space="preserve"> General Qualitative Disclosure Requirements Related To CVA</w:t>
            </w:r>
          </w:p>
          <w:p w:rsidR="00876EB1" w:rsidRPr="00987C5F" w:rsidP="00637286" w14:paraId="47BC7A37" w14:textId="77777777">
            <w:pPr>
              <w:rPr>
                <w:rFonts w:ascii="Times New Roman" w:hAnsi="Times New Roman" w:cs="Times New Roman"/>
                <w:sz w:val="20"/>
                <w:szCs w:val="20"/>
              </w:rPr>
            </w:pPr>
            <w:r w:rsidRPr="00987C5F">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87C5F" w:rsidP="00637286" w14:paraId="24A97210" w14:textId="77777777">
            <w:pPr>
              <w:rPr>
                <w:rFonts w:ascii="Times New Roman" w:hAnsi="Times New Roman" w:cs="Times New Roman"/>
                <w:sz w:val="20"/>
                <w:szCs w:val="20"/>
              </w:rPr>
            </w:pPr>
            <w:r w:rsidRPr="00987C5F">
              <w:rPr>
                <w:rFonts w:ascii="Times New Roman" w:hAnsi="Times New Roman" w:cs="Times New Roman"/>
                <w:sz w:val="20"/>
                <w:szCs w:val="20"/>
                <w:u w:val="single"/>
              </w:rPr>
              <w:t>Table 13-</w:t>
            </w:r>
            <w:r w:rsidRPr="00987C5F">
              <w:rPr>
                <w:rFonts w:ascii="Times New Roman" w:hAnsi="Times New Roman" w:cs="Times New Roman"/>
                <w:sz w:val="20"/>
                <w:szCs w:val="20"/>
              </w:rPr>
              <w:t xml:space="preserve"> Qualitative Disclosures for </w:t>
            </w:r>
            <w:r w:rsidRPr="00987C5F">
              <w:rPr>
                <w:rFonts w:ascii="Times New Roman" w:hAnsi="Times New Roman" w:cs="Times New Roman"/>
                <w:sz w:val="20"/>
                <w:szCs w:val="20"/>
              </w:rPr>
              <w:t>Banks Using the SA-CVA</w:t>
            </w:r>
          </w:p>
          <w:p w:rsidR="00876EB1" w:rsidRPr="00987C5F" w:rsidP="00637286" w14:paraId="1389A0BD" w14:textId="77777777">
            <w:pPr>
              <w:rPr>
                <w:rFonts w:ascii="Times New Roman" w:hAnsi="Times New Roman" w:cs="Times New Roman"/>
                <w:sz w:val="20"/>
                <w:szCs w:val="20"/>
              </w:rPr>
            </w:pPr>
            <w:r w:rsidRPr="00987C5F">
              <w:rPr>
                <w:rFonts w:ascii="Times New Roman" w:hAnsi="Times New Roman" w:cs="Times New Roman"/>
                <w:sz w:val="20"/>
                <w:szCs w:val="20"/>
              </w:rPr>
              <w:t xml:space="preserve">Section: </w:t>
            </w:r>
            <w:r w:rsidRPr="00E11313">
              <w:rPr>
                <w:rFonts w:ascii="Times New Roman" w:hAnsi="Times New Roman" w:cs="Times New Roman"/>
                <w:sz w:val="20"/>
                <w:szCs w:val="20"/>
              </w:rPr>
              <w:t xml:space="preserve">_.162 </w:t>
            </w:r>
          </w:p>
          <w:p w:rsidR="00876EB1" w:rsidRPr="00DE3184" w:rsidP="00637286" w14:paraId="21E82CBB" w14:textId="77777777">
            <w:pPr>
              <w:rPr>
                <w:rFonts w:ascii="Times New Roman" w:hAnsi="Times New Roman" w:cs="Times New Roman"/>
                <w:sz w:val="20"/>
                <w:szCs w:val="20"/>
                <w:highlight w:val="yellow"/>
              </w:rPr>
            </w:pPr>
            <w:r w:rsidRPr="00987C5F">
              <w:rPr>
                <w:rFonts w:ascii="Times New Roman" w:hAnsi="Times New Roman" w:cs="Times New Roman"/>
                <w:sz w:val="20"/>
                <w:szCs w:val="20"/>
                <w:u w:val="single"/>
              </w:rPr>
              <w:t>Table 14-</w:t>
            </w:r>
            <w:r w:rsidRPr="00987C5F">
              <w:rPr>
                <w:rFonts w:ascii="Times New Roman" w:hAnsi="Times New Roman" w:cs="Times New Roman"/>
                <w:sz w:val="20"/>
                <w:szCs w:val="20"/>
              </w:rPr>
              <w:t xml:space="preserve"> General Qualitative Information on Operational Risk Framework D</w:t>
            </w:r>
            <w:r w:rsidRPr="00DE3184">
              <w:rPr>
                <w:rFonts w:ascii="Times New Roman" w:hAnsi="Times New Roman" w:cs="Times New Roman"/>
                <w:sz w:val="20"/>
                <w:szCs w:val="20"/>
              </w:rPr>
              <w:t>isclosure Section:</w:t>
            </w:r>
            <w:r w:rsidRPr="00987C5F">
              <w:rPr>
                <w:rFonts w:ascii="Times New Roman" w:hAnsi="Times New Roman" w:cs="Times New Roman"/>
                <w:sz w:val="20"/>
                <w:szCs w:val="20"/>
              </w:rPr>
              <w:t xml:space="preserve"> </w:t>
            </w:r>
            <w:r w:rsidRPr="00E11313">
              <w:rPr>
                <w:rFonts w:ascii="Times New Roman" w:hAnsi="Times New Roman" w:cs="Times New Roman"/>
                <w:sz w:val="20"/>
                <w:szCs w:val="20"/>
              </w:rPr>
              <w:t>_.162</w:t>
            </w:r>
          </w:p>
        </w:tc>
        <w:tc>
          <w:tcPr>
            <w:tcW w:w="1080" w:type="dxa"/>
          </w:tcPr>
          <w:p w:rsidR="00876EB1" w:rsidRPr="00DE3184" w:rsidP="00637286" w14:paraId="6308D301" w14:textId="77777777">
            <w:pPr>
              <w:jc w:val="center"/>
              <w:rPr>
                <w:rFonts w:ascii="Times New Roman" w:hAnsi="Times New Roman" w:cs="Times New Roman"/>
                <w:sz w:val="20"/>
                <w:szCs w:val="20"/>
              </w:rPr>
            </w:pPr>
            <w:r w:rsidRPr="00DE3184">
              <w:rPr>
                <w:rFonts w:ascii="Times New Roman" w:hAnsi="Times New Roman" w:cs="Times New Roman"/>
                <w:sz w:val="20"/>
                <w:szCs w:val="20"/>
              </w:rPr>
              <w:t>One-time</w:t>
            </w:r>
          </w:p>
        </w:tc>
        <w:tc>
          <w:tcPr>
            <w:tcW w:w="1710" w:type="dxa"/>
          </w:tcPr>
          <w:p w:rsidR="00876EB1" w:rsidRPr="00DE3184" w:rsidP="00637286" w14:paraId="6493BBBB" w14:textId="77777777">
            <w:pPr>
              <w:jc w:val="center"/>
              <w:rPr>
                <w:rFonts w:ascii="Times New Roman" w:hAnsi="Times New Roman" w:cs="Times New Roman"/>
                <w:sz w:val="20"/>
                <w:szCs w:val="20"/>
              </w:rPr>
            </w:pPr>
            <w:r w:rsidRPr="00DE3184">
              <w:rPr>
                <w:rFonts w:ascii="Times New Roman" w:hAnsi="Times New Roman" w:cs="Times New Roman"/>
                <w:sz w:val="20"/>
                <w:szCs w:val="20"/>
              </w:rPr>
              <w:t>Disclosure</w:t>
            </w:r>
          </w:p>
        </w:tc>
        <w:tc>
          <w:tcPr>
            <w:tcW w:w="1440" w:type="dxa"/>
          </w:tcPr>
          <w:p w:rsidR="00876EB1" w:rsidRPr="00DE3184" w:rsidP="00637286" w14:paraId="1295E421"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1B5D8EBF"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6F39F72C" w14:textId="77777777">
            <w:pPr>
              <w:jc w:val="center"/>
              <w:rPr>
                <w:rFonts w:ascii="Times New Roman" w:hAnsi="Times New Roman" w:cs="Times New Roman"/>
                <w:sz w:val="20"/>
                <w:szCs w:val="20"/>
              </w:rPr>
            </w:pPr>
            <w:r w:rsidRPr="00DE3184">
              <w:rPr>
                <w:rFonts w:ascii="Times New Roman" w:hAnsi="Times New Roman" w:cs="Times New Roman"/>
                <w:sz w:val="20"/>
                <w:szCs w:val="20"/>
              </w:rPr>
              <w:t>328</w:t>
            </w:r>
          </w:p>
        </w:tc>
        <w:tc>
          <w:tcPr>
            <w:tcW w:w="1620" w:type="dxa"/>
          </w:tcPr>
          <w:p w:rsidR="00876EB1" w:rsidRPr="00DE3184" w:rsidP="00637286" w14:paraId="1DCC3F42" w14:textId="77777777">
            <w:pPr>
              <w:jc w:val="center"/>
              <w:rPr>
                <w:rFonts w:ascii="Times New Roman" w:hAnsi="Times New Roman" w:cs="Times New Roman"/>
                <w:sz w:val="20"/>
                <w:szCs w:val="20"/>
              </w:rPr>
            </w:pPr>
            <w:r w:rsidRPr="00DE3184">
              <w:rPr>
                <w:rFonts w:ascii="Times New Roman" w:hAnsi="Times New Roman" w:cs="Times New Roman"/>
                <w:sz w:val="20"/>
                <w:szCs w:val="20"/>
              </w:rPr>
              <w:t>328</w:t>
            </w:r>
          </w:p>
        </w:tc>
      </w:tr>
      <w:tr w14:paraId="1828F074" w14:textId="77777777" w:rsidTr="00A84A71">
        <w:tblPrEx>
          <w:tblW w:w="10260" w:type="dxa"/>
          <w:tblInd w:w="-95" w:type="dxa"/>
          <w:tblLayout w:type="fixed"/>
          <w:tblLook w:val="04A0"/>
        </w:tblPrEx>
        <w:trPr>
          <w:trHeight w:val="5300"/>
        </w:trPr>
        <w:tc>
          <w:tcPr>
            <w:tcW w:w="1890" w:type="dxa"/>
          </w:tcPr>
          <w:p w:rsidR="00876EB1" w:rsidRPr="00E11313" w:rsidP="00637286" w14:paraId="774CA8EC" w14:textId="77777777">
            <w:pPr>
              <w:rPr>
                <w:rFonts w:ascii="Times New Roman" w:hAnsi="Times New Roman" w:cs="Times New Roman"/>
                <w:sz w:val="20"/>
                <w:szCs w:val="20"/>
              </w:rPr>
            </w:pPr>
            <w:r w:rsidRPr="00E11313">
              <w:rPr>
                <w:rFonts w:ascii="Times New Roman" w:hAnsi="Times New Roman" w:cs="Times New Roman"/>
                <w:sz w:val="20"/>
                <w:szCs w:val="20"/>
              </w:rPr>
              <w:t>Section: _.162</w:t>
            </w:r>
          </w:p>
          <w:p w:rsidR="00876EB1" w:rsidRPr="00E11313" w:rsidP="00637286" w14:paraId="52F94DF5" w14:textId="77777777">
            <w:pPr>
              <w:rPr>
                <w:rFonts w:ascii="Times New Roman" w:hAnsi="Times New Roman" w:cs="Times New Roman"/>
                <w:sz w:val="20"/>
                <w:szCs w:val="20"/>
              </w:rPr>
            </w:pPr>
          </w:p>
          <w:p w:rsidR="00876EB1" w:rsidRPr="00996427" w:rsidP="00637286" w14:paraId="4130A352"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1-</w:t>
            </w:r>
            <w:r w:rsidRPr="00996427">
              <w:rPr>
                <w:rFonts w:ascii="Times New Roman" w:hAnsi="Times New Roman" w:cs="Times New Roman"/>
                <w:sz w:val="20"/>
                <w:szCs w:val="20"/>
              </w:rPr>
              <w:t xml:space="preserve"> Scope of Application Disclosures </w:t>
            </w:r>
          </w:p>
          <w:p w:rsidR="00876EB1" w:rsidRPr="00996427" w:rsidP="00637286" w14:paraId="01F6492D" w14:textId="77777777">
            <w:pPr>
              <w:rPr>
                <w:rFonts w:ascii="Times New Roman" w:hAnsi="Times New Roman" w:cs="Times New Roman"/>
                <w:sz w:val="20"/>
                <w:szCs w:val="20"/>
              </w:rPr>
            </w:pPr>
            <w:r w:rsidRPr="00996427">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96427" w:rsidP="00637286" w14:paraId="6061E24B"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2-</w:t>
            </w:r>
            <w:r w:rsidRPr="00996427">
              <w:rPr>
                <w:rFonts w:ascii="Times New Roman" w:hAnsi="Times New Roman" w:cs="Times New Roman"/>
                <w:sz w:val="20"/>
                <w:szCs w:val="20"/>
              </w:rPr>
              <w:t xml:space="preserve"> Capital Structure Disclosures </w:t>
            </w:r>
          </w:p>
          <w:p w:rsidR="00876EB1" w:rsidRPr="00996427" w:rsidP="00637286" w14:paraId="263331C4" w14:textId="77777777">
            <w:pPr>
              <w:rPr>
                <w:rFonts w:ascii="Times New Roman" w:hAnsi="Times New Roman" w:cs="Times New Roman"/>
                <w:sz w:val="20"/>
                <w:szCs w:val="20"/>
              </w:rPr>
            </w:pPr>
            <w:r w:rsidRPr="00996427">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96427" w:rsidP="00637286" w14:paraId="1508E082"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3 -</w:t>
            </w:r>
            <w:r w:rsidRPr="00996427">
              <w:rPr>
                <w:rFonts w:ascii="Times New Roman" w:hAnsi="Times New Roman" w:cs="Times New Roman"/>
                <w:sz w:val="20"/>
                <w:szCs w:val="20"/>
              </w:rPr>
              <w:t xml:space="preserve"> Capital Adequacy Disclosures</w:t>
            </w:r>
          </w:p>
          <w:p w:rsidR="00876EB1" w:rsidRPr="00E11313" w:rsidP="00637286" w14:paraId="10998677" w14:textId="77777777">
            <w:pPr>
              <w:rPr>
                <w:rFonts w:ascii="Times New Roman" w:hAnsi="Times New Roman" w:cs="Times New Roman"/>
                <w:sz w:val="20"/>
                <w:szCs w:val="20"/>
              </w:rPr>
            </w:pPr>
            <w:r w:rsidRPr="00996427">
              <w:rPr>
                <w:rFonts w:ascii="Times New Roman" w:hAnsi="Times New Roman" w:cs="Times New Roman"/>
                <w:sz w:val="20"/>
                <w:szCs w:val="20"/>
              </w:rPr>
              <w:t xml:space="preserve">Section: </w:t>
            </w:r>
            <w:r w:rsidRPr="00E11313">
              <w:rPr>
                <w:rFonts w:ascii="Times New Roman" w:hAnsi="Times New Roman" w:cs="Times New Roman"/>
                <w:sz w:val="20"/>
                <w:szCs w:val="20"/>
              </w:rPr>
              <w:t xml:space="preserve">_.162 </w:t>
            </w:r>
          </w:p>
          <w:p w:rsidR="00876EB1" w:rsidRPr="00996427" w:rsidP="00637286" w14:paraId="6CC82F49"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4-</w:t>
            </w:r>
            <w:r w:rsidRPr="00996427">
              <w:rPr>
                <w:rFonts w:ascii="Times New Roman" w:hAnsi="Times New Roman" w:cs="Times New Roman"/>
                <w:sz w:val="20"/>
                <w:szCs w:val="20"/>
              </w:rPr>
              <w:t xml:space="preserve"> Countercyclical Capital Buffer Disclosures Section: </w:t>
            </w:r>
            <w:r w:rsidRPr="00E11313">
              <w:rPr>
                <w:rFonts w:ascii="Times New Roman" w:hAnsi="Times New Roman" w:cs="Times New Roman"/>
                <w:sz w:val="20"/>
                <w:szCs w:val="20"/>
              </w:rPr>
              <w:t>_.162</w:t>
            </w:r>
          </w:p>
          <w:p w:rsidR="00876EB1" w:rsidRPr="00996427" w:rsidP="00637286" w14:paraId="56CAFC3A"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5-</w:t>
            </w:r>
            <w:r w:rsidRPr="00996427">
              <w:rPr>
                <w:rFonts w:ascii="Times New Roman" w:hAnsi="Times New Roman" w:cs="Times New Roman"/>
                <w:sz w:val="20"/>
                <w:szCs w:val="20"/>
              </w:rPr>
              <w:t xml:space="preserve"> Credit Risk: General Disclosures </w:t>
            </w:r>
          </w:p>
          <w:p w:rsidR="00876EB1" w:rsidRPr="00E11313" w:rsidP="00637286" w14:paraId="443B2EE3" w14:textId="77777777">
            <w:pPr>
              <w:rPr>
                <w:rFonts w:ascii="Times New Roman" w:hAnsi="Times New Roman" w:cs="Times New Roman"/>
                <w:sz w:val="20"/>
                <w:szCs w:val="20"/>
              </w:rPr>
            </w:pPr>
            <w:r w:rsidRPr="00996427">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96427" w:rsidP="00637286" w14:paraId="2D8290EF"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6-</w:t>
            </w:r>
            <w:r w:rsidRPr="00996427">
              <w:rPr>
                <w:rFonts w:ascii="Times New Roman" w:hAnsi="Times New Roman" w:cs="Times New Roman"/>
                <w:sz w:val="20"/>
                <w:szCs w:val="20"/>
              </w:rPr>
              <w:t xml:space="preserve"> General Disclosure for Counterparty Credit Risk-Related Exposures</w:t>
            </w:r>
          </w:p>
          <w:p w:rsidR="00876EB1" w:rsidRPr="00996427" w:rsidP="00637286" w14:paraId="04FEEBD5" w14:textId="77777777">
            <w:pPr>
              <w:rPr>
                <w:rFonts w:ascii="Times New Roman" w:hAnsi="Times New Roman" w:cs="Times New Roman"/>
                <w:sz w:val="20"/>
                <w:szCs w:val="20"/>
              </w:rPr>
            </w:pPr>
            <w:r w:rsidRPr="00996427">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96427" w:rsidP="00637286" w14:paraId="42A9F709"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7-</w:t>
            </w:r>
            <w:r w:rsidRPr="00996427">
              <w:rPr>
                <w:rFonts w:ascii="Times New Roman" w:hAnsi="Times New Roman" w:cs="Times New Roman"/>
                <w:sz w:val="20"/>
                <w:szCs w:val="20"/>
              </w:rPr>
              <w:t xml:space="preserve"> Credit Risk Mitigation Disclosures Section: </w:t>
            </w:r>
            <w:r w:rsidRPr="00E11313">
              <w:rPr>
                <w:rFonts w:ascii="Times New Roman" w:hAnsi="Times New Roman" w:cs="Times New Roman"/>
                <w:sz w:val="20"/>
                <w:szCs w:val="20"/>
              </w:rPr>
              <w:t>_.162</w:t>
            </w:r>
          </w:p>
          <w:p w:rsidR="00876EB1" w:rsidRPr="00996427" w:rsidP="00637286" w14:paraId="0D76F801"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8-</w:t>
            </w:r>
            <w:r w:rsidRPr="00996427">
              <w:rPr>
                <w:rFonts w:ascii="Times New Roman" w:hAnsi="Times New Roman" w:cs="Times New Roman"/>
                <w:sz w:val="20"/>
                <w:szCs w:val="20"/>
              </w:rPr>
              <w:t xml:space="preserve"> Securitization Disclosures </w:t>
            </w:r>
          </w:p>
          <w:p w:rsidR="00876EB1" w:rsidRPr="00996427" w:rsidP="00637286" w14:paraId="2814E8C6" w14:textId="77777777">
            <w:pPr>
              <w:rPr>
                <w:rFonts w:ascii="Times New Roman" w:hAnsi="Times New Roman" w:cs="Times New Roman"/>
                <w:sz w:val="20"/>
                <w:szCs w:val="20"/>
              </w:rPr>
            </w:pPr>
            <w:r w:rsidRPr="00996427">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96427" w:rsidP="00637286" w14:paraId="4532C66D"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9-</w:t>
            </w:r>
            <w:r w:rsidRPr="00996427">
              <w:rPr>
                <w:rFonts w:ascii="Times New Roman" w:hAnsi="Times New Roman" w:cs="Times New Roman"/>
                <w:sz w:val="20"/>
                <w:szCs w:val="20"/>
              </w:rPr>
              <w:t xml:space="preserve"> Equities Not Subject to Subpart F Disclosure Section: </w:t>
            </w:r>
            <w:r w:rsidRPr="00E11313">
              <w:rPr>
                <w:rFonts w:ascii="Times New Roman" w:hAnsi="Times New Roman" w:cs="Times New Roman"/>
                <w:sz w:val="20"/>
                <w:szCs w:val="20"/>
              </w:rPr>
              <w:t xml:space="preserve">_.162 </w:t>
            </w:r>
          </w:p>
          <w:p w:rsidR="00876EB1" w:rsidRPr="00996427" w:rsidP="00637286" w14:paraId="47F31CE9"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10-</w:t>
            </w:r>
            <w:r w:rsidRPr="00996427">
              <w:rPr>
                <w:rFonts w:ascii="Times New Roman" w:hAnsi="Times New Roman" w:cs="Times New Roman"/>
                <w:sz w:val="20"/>
                <w:szCs w:val="20"/>
              </w:rPr>
              <w:t xml:space="preserve"> Interest Rate Risk for Non-Trading Activities Disclosures</w:t>
            </w:r>
          </w:p>
          <w:p w:rsidR="00876EB1" w:rsidRPr="00996427" w:rsidP="00637286" w14:paraId="54A90444" w14:textId="77777777">
            <w:pPr>
              <w:rPr>
                <w:rFonts w:ascii="Times New Roman" w:hAnsi="Times New Roman" w:cs="Times New Roman"/>
                <w:sz w:val="20"/>
                <w:szCs w:val="20"/>
              </w:rPr>
            </w:pPr>
            <w:r w:rsidRPr="00996427">
              <w:rPr>
                <w:rFonts w:ascii="Times New Roman" w:hAnsi="Times New Roman" w:cs="Times New Roman"/>
                <w:sz w:val="20"/>
                <w:szCs w:val="20"/>
              </w:rPr>
              <w:t xml:space="preserve">Section: </w:t>
            </w:r>
            <w:r w:rsidRPr="00E11313">
              <w:rPr>
                <w:rFonts w:ascii="Times New Roman" w:hAnsi="Times New Roman" w:cs="Times New Roman"/>
                <w:sz w:val="20"/>
                <w:szCs w:val="20"/>
              </w:rPr>
              <w:t xml:space="preserve">_.162 </w:t>
            </w:r>
          </w:p>
          <w:p w:rsidR="00876EB1" w:rsidRPr="00996427" w:rsidP="00637286" w14:paraId="73157493" w14:textId="77777777">
            <w:pPr>
              <w:rPr>
                <w:rFonts w:ascii="Times New Roman" w:hAnsi="Times New Roman" w:cs="Times New Roman"/>
                <w:sz w:val="20"/>
                <w:szCs w:val="20"/>
                <w:u w:val="single"/>
              </w:rPr>
            </w:pPr>
            <w:r w:rsidRPr="00996427">
              <w:rPr>
                <w:rFonts w:ascii="Times New Roman" w:hAnsi="Times New Roman" w:cs="Times New Roman"/>
                <w:sz w:val="20"/>
                <w:szCs w:val="20"/>
                <w:u w:val="single"/>
              </w:rPr>
              <w:t>Table 11-</w:t>
            </w:r>
            <w:r w:rsidRPr="00996427">
              <w:rPr>
                <w:rFonts w:ascii="Times New Roman" w:hAnsi="Times New Roman" w:cs="Times New Roman"/>
                <w:sz w:val="20"/>
                <w:szCs w:val="20"/>
              </w:rPr>
              <w:t xml:space="preserve"> Additional Disclosure Related to the Credit Quality of Assets Section: </w:t>
            </w:r>
            <w:r w:rsidRPr="00E11313">
              <w:rPr>
                <w:rFonts w:ascii="Times New Roman" w:hAnsi="Times New Roman" w:cs="Times New Roman"/>
                <w:sz w:val="20"/>
                <w:szCs w:val="20"/>
              </w:rPr>
              <w:t>_.162</w:t>
            </w:r>
          </w:p>
          <w:p w:rsidR="00876EB1" w:rsidRPr="00996427" w:rsidP="00637286" w14:paraId="19261D5F"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12-</w:t>
            </w:r>
            <w:r w:rsidRPr="00996427">
              <w:rPr>
                <w:rFonts w:ascii="Times New Roman" w:hAnsi="Times New Roman" w:cs="Times New Roman"/>
                <w:sz w:val="20"/>
                <w:szCs w:val="20"/>
              </w:rPr>
              <w:t xml:space="preserve"> General Qualitative Disclosure Requirements Related To CVA</w:t>
            </w:r>
          </w:p>
          <w:p w:rsidR="00876EB1" w:rsidRPr="00996427" w:rsidP="00637286" w14:paraId="664183A0" w14:textId="77777777">
            <w:pPr>
              <w:rPr>
                <w:rFonts w:ascii="Times New Roman" w:hAnsi="Times New Roman" w:cs="Times New Roman"/>
                <w:sz w:val="20"/>
                <w:szCs w:val="20"/>
              </w:rPr>
            </w:pPr>
            <w:r w:rsidRPr="00996427">
              <w:rPr>
                <w:rFonts w:ascii="Times New Roman" w:hAnsi="Times New Roman" w:cs="Times New Roman"/>
                <w:sz w:val="20"/>
                <w:szCs w:val="20"/>
              </w:rPr>
              <w:t xml:space="preserve">Section: </w:t>
            </w:r>
            <w:r w:rsidRPr="00E11313">
              <w:rPr>
                <w:rFonts w:ascii="Times New Roman" w:hAnsi="Times New Roman" w:cs="Times New Roman"/>
                <w:sz w:val="20"/>
                <w:szCs w:val="20"/>
              </w:rPr>
              <w:t>_.162</w:t>
            </w:r>
          </w:p>
          <w:p w:rsidR="00876EB1" w:rsidRPr="00996427" w:rsidP="00637286" w14:paraId="7A638137" w14:textId="77777777">
            <w:pPr>
              <w:rPr>
                <w:rFonts w:ascii="Times New Roman" w:hAnsi="Times New Roman" w:cs="Times New Roman"/>
                <w:sz w:val="20"/>
                <w:szCs w:val="20"/>
              </w:rPr>
            </w:pPr>
            <w:r w:rsidRPr="00996427">
              <w:rPr>
                <w:rFonts w:ascii="Times New Roman" w:hAnsi="Times New Roman" w:cs="Times New Roman"/>
                <w:sz w:val="20"/>
                <w:szCs w:val="20"/>
                <w:u w:val="single"/>
              </w:rPr>
              <w:t>Table 13-</w:t>
            </w:r>
            <w:r w:rsidRPr="00996427">
              <w:rPr>
                <w:rFonts w:ascii="Times New Roman" w:hAnsi="Times New Roman" w:cs="Times New Roman"/>
                <w:sz w:val="20"/>
                <w:szCs w:val="20"/>
              </w:rPr>
              <w:t xml:space="preserve"> Qualitative Disclosures for Banks Using the SA-CVA</w:t>
            </w:r>
          </w:p>
          <w:p w:rsidR="00876EB1" w:rsidRPr="00996427" w:rsidP="00637286" w14:paraId="566110FE" w14:textId="77777777">
            <w:pPr>
              <w:rPr>
                <w:rFonts w:ascii="Times New Roman" w:hAnsi="Times New Roman" w:cs="Times New Roman"/>
                <w:sz w:val="20"/>
                <w:szCs w:val="20"/>
              </w:rPr>
            </w:pPr>
            <w:r w:rsidRPr="00996427">
              <w:rPr>
                <w:rFonts w:ascii="Times New Roman" w:hAnsi="Times New Roman" w:cs="Times New Roman"/>
                <w:sz w:val="20"/>
                <w:szCs w:val="20"/>
              </w:rPr>
              <w:t xml:space="preserve">Section: </w:t>
            </w:r>
            <w:r w:rsidRPr="00E11313">
              <w:rPr>
                <w:rFonts w:ascii="Times New Roman" w:hAnsi="Times New Roman" w:cs="Times New Roman"/>
                <w:sz w:val="20"/>
                <w:szCs w:val="20"/>
              </w:rPr>
              <w:t xml:space="preserve">_.162 </w:t>
            </w:r>
          </w:p>
          <w:p w:rsidR="00876EB1" w:rsidRPr="00996427" w:rsidP="00637286" w14:paraId="64D5BD68" w14:textId="77777777">
            <w:pPr>
              <w:rPr>
                <w:rFonts w:ascii="Times New Roman" w:hAnsi="Times New Roman" w:cs="Times New Roman"/>
                <w:sz w:val="20"/>
                <w:szCs w:val="20"/>
                <w:highlight w:val="yellow"/>
              </w:rPr>
            </w:pPr>
            <w:r w:rsidRPr="00996427">
              <w:rPr>
                <w:rFonts w:ascii="Times New Roman" w:hAnsi="Times New Roman" w:cs="Times New Roman"/>
                <w:sz w:val="20"/>
                <w:szCs w:val="20"/>
                <w:u w:val="single"/>
              </w:rPr>
              <w:t>Table 14-</w:t>
            </w:r>
            <w:r w:rsidRPr="00996427">
              <w:rPr>
                <w:rFonts w:ascii="Times New Roman" w:hAnsi="Times New Roman" w:cs="Times New Roman"/>
                <w:sz w:val="20"/>
                <w:szCs w:val="20"/>
              </w:rPr>
              <w:t xml:space="preserve"> General Qualitative Information on Operational Risk Framework Disclosure Section: </w:t>
            </w:r>
            <w:r w:rsidRPr="00E11313">
              <w:rPr>
                <w:rFonts w:ascii="Times New Roman" w:hAnsi="Times New Roman" w:cs="Times New Roman"/>
                <w:sz w:val="20"/>
                <w:szCs w:val="20"/>
              </w:rPr>
              <w:t>_.162</w:t>
            </w:r>
          </w:p>
        </w:tc>
        <w:tc>
          <w:tcPr>
            <w:tcW w:w="1080" w:type="dxa"/>
          </w:tcPr>
          <w:p w:rsidR="00876EB1" w:rsidRPr="00DE3184" w:rsidP="00637286" w14:paraId="76D03683" w14:textId="77777777">
            <w:pPr>
              <w:jc w:val="center"/>
              <w:rPr>
                <w:rFonts w:ascii="Times New Roman" w:hAnsi="Times New Roman" w:cs="Times New Roman"/>
                <w:sz w:val="20"/>
                <w:szCs w:val="20"/>
              </w:rPr>
            </w:pPr>
            <w:r w:rsidRPr="00DE3184">
              <w:rPr>
                <w:rFonts w:ascii="Times New Roman" w:hAnsi="Times New Roman" w:cs="Times New Roman"/>
                <w:sz w:val="20"/>
                <w:szCs w:val="20"/>
              </w:rPr>
              <w:t>Ongoing</w:t>
            </w:r>
          </w:p>
        </w:tc>
        <w:tc>
          <w:tcPr>
            <w:tcW w:w="1710" w:type="dxa"/>
          </w:tcPr>
          <w:p w:rsidR="00876EB1" w:rsidRPr="00DE3184" w:rsidP="00637286" w14:paraId="2CC849D6" w14:textId="77777777">
            <w:pPr>
              <w:jc w:val="center"/>
              <w:rPr>
                <w:rFonts w:ascii="Times New Roman" w:hAnsi="Times New Roman" w:cs="Times New Roman"/>
                <w:sz w:val="20"/>
                <w:szCs w:val="20"/>
              </w:rPr>
            </w:pPr>
            <w:r w:rsidRPr="00DE3184">
              <w:rPr>
                <w:rFonts w:ascii="Times New Roman" w:hAnsi="Times New Roman" w:cs="Times New Roman"/>
                <w:sz w:val="20"/>
                <w:szCs w:val="20"/>
              </w:rPr>
              <w:t>Disclosure</w:t>
            </w:r>
          </w:p>
        </w:tc>
        <w:tc>
          <w:tcPr>
            <w:tcW w:w="1440" w:type="dxa"/>
          </w:tcPr>
          <w:p w:rsidR="00876EB1" w:rsidRPr="00DE3184" w:rsidP="00637286" w14:paraId="1AC54F2A" w14:textId="77777777">
            <w:pPr>
              <w:jc w:val="center"/>
              <w:rPr>
                <w:rFonts w:ascii="Times New Roman" w:hAnsi="Times New Roman" w:cs="Times New Roman"/>
                <w:sz w:val="20"/>
                <w:szCs w:val="20"/>
              </w:rPr>
            </w:pPr>
            <w:r w:rsidRPr="00DE3184">
              <w:rPr>
                <w:rFonts w:ascii="Times New Roman" w:hAnsi="Times New Roman" w:cs="Times New Roman"/>
                <w:sz w:val="20"/>
                <w:szCs w:val="20"/>
              </w:rPr>
              <w:t>1</w:t>
            </w:r>
          </w:p>
        </w:tc>
        <w:tc>
          <w:tcPr>
            <w:tcW w:w="1260" w:type="dxa"/>
          </w:tcPr>
          <w:p w:rsidR="00876EB1" w:rsidRPr="00DE3184" w:rsidP="00637286" w14:paraId="1E7ACF7C" w14:textId="77777777">
            <w:pPr>
              <w:jc w:val="center"/>
              <w:rPr>
                <w:rFonts w:ascii="Times New Roman" w:hAnsi="Times New Roman" w:cs="Times New Roman"/>
                <w:sz w:val="20"/>
                <w:szCs w:val="20"/>
              </w:rPr>
            </w:pPr>
            <w:r w:rsidRPr="00DE3184">
              <w:rPr>
                <w:rFonts w:ascii="Times New Roman" w:hAnsi="Times New Roman" w:cs="Times New Roman"/>
                <w:sz w:val="20"/>
                <w:szCs w:val="20"/>
              </w:rPr>
              <w:t>4</w:t>
            </w:r>
          </w:p>
        </w:tc>
        <w:tc>
          <w:tcPr>
            <w:tcW w:w="1260" w:type="dxa"/>
          </w:tcPr>
          <w:p w:rsidR="00876EB1" w:rsidRPr="00DE3184" w:rsidP="00637286" w14:paraId="687677A0" w14:textId="77777777">
            <w:pPr>
              <w:jc w:val="center"/>
              <w:rPr>
                <w:rFonts w:ascii="Times New Roman" w:hAnsi="Times New Roman" w:cs="Times New Roman"/>
                <w:sz w:val="20"/>
                <w:szCs w:val="20"/>
              </w:rPr>
            </w:pPr>
            <w:r w:rsidRPr="00DE3184">
              <w:rPr>
                <w:rFonts w:ascii="Times New Roman" w:hAnsi="Times New Roman" w:cs="Times New Roman"/>
                <w:sz w:val="20"/>
                <w:szCs w:val="20"/>
              </w:rPr>
              <w:t>90</w:t>
            </w:r>
          </w:p>
        </w:tc>
        <w:tc>
          <w:tcPr>
            <w:tcW w:w="1620" w:type="dxa"/>
          </w:tcPr>
          <w:p w:rsidR="00876EB1" w:rsidRPr="00DE3184" w:rsidP="00637286" w14:paraId="23D81C14" w14:textId="77777777">
            <w:pPr>
              <w:jc w:val="center"/>
              <w:rPr>
                <w:rFonts w:ascii="Times New Roman" w:hAnsi="Times New Roman" w:cs="Times New Roman"/>
                <w:sz w:val="20"/>
                <w:szCs w:val="20"/>
              </w:rPr>
            </w:pPr>
            <w:r w:rsidRPr="00DE3184">
              <w:rPr>
                <w:rFonts w:ascii="Times New Roman" w:hAnsi="Times New Roman" w:cs="Times New Roman"/>
                <w:sz w:val="20"/>
                <w:szCs w:val="20"/>
              </w:rPr>
              <w:t>360</w:t>
            </w:r>
          </w:p>
        </w:tc>
      </w:tr>
      <w:tr w14:paraId="2E39C3FC" w14:textId="77777777" w:rsidTr="00A84A71">
        <w:tblPrEx>
          <w:tblW w:w="10260" w:type="dxa"/>
          <w:tblInd w:w="-95" w:type="dxa"/>
          <w:tblLayout w:type="fixed"/>
          <w:tblLook w:val="04A0"/>
        </w:tblPrEx>
        <w:trPr>
          <w:trHeight w:val="395"/>
        </w:trPr>
        <w:tc>
          <w:tcPr>
            <w:tcW w:w="1890" w:type="dxa"/>
          </w:tcPr>
          <w:p w:rsidR="00876EB1" w:rsidRPr="003B2A05" w:rsidP="00637286" w14:paraId="759D4923" w14:textId="77777777">
            <w:pPr>
              <w:rPr>
                <w:rFonts w:ascii="Times New Roman" w:hAnsi="Times New Roman" w:cs="Times New Roman"/>
                <w:sz w:val="20"/>
                <w:szCs w:val="20"/>
              </w:rPr>
            </w:pPr>
            <w:r w:rsidRPr="003B2A05">
              <w:rPr>
                <w:rFonts w:ascii="Times New Roman" w:hAnsi="Times New Roman" w:cs="Times New Roman"/>
                <w:b/>
                <w:bCs/>
                <w:sz w:val="20"/>
                <w:szCs w:val="20"/>
              </w:rPr>
              <w:t>TOTAL</w:t>
            </w:r>
          </w:p>
        </w:tc>
        <w:tc>
          <w:tcPr>
            <w:tcW w:w="1080" w:type="dxa"/>
          </w:tcPr>
          <w:p w:rsidR="00876EB1" w:rsidRPr="003B2A05" w:rsidP="00637286" w14:paraId="2E0BA9FE" w14:textId="77777777">
            <w:pPr>
              <w:jc w:val="center"/>
              <w:rPr>
                <w:rFonts w:ascii="Times New Roman" w:hAnsi="Times New Roman" w:cs="Times New Roman"/>
                <w:sz w:val="20"/>
                <w:szCs w:val="20"/>
              </w:rPr>
            </w:pPr>
          </w:p>
        </w:tc>
        <w:tc>
          <w:tcPr>
            <w:tcW w:w="1710" w:type="dxa"/>
          </w:tcPr>
          <w:p w:rsidR="00876EB1" w:rsidRPr="003B2A05" w:rsidP="00637286" w14:paraId="10854CDE" w14:textId="77777777">
            <w:pPr>
              <w:jc w:val="center"/>
              <w:rPr>
                <w:rFonts w:ascii="Times New Roman" w:hAnsi="Times New Roman" w:cs="Times New Roman"/>
                <w:sz w:val="20"/>
                <w:szCs w:val="20"/>
              </w:rPr>
            </w:pPr>
          </w:p>
        </w:tc>
        <w:tc>
          <w:tcPr>
            <w:tcW w:w="1440" w:type="dxa"/>
          </w:tcPr>
          <w:p w:rsidR="00876EB1" w:rsidRPr="00A84A71" w:rsidP="00637286" w14:paraId="64E2A116" w14:textId="77777777">
            <w:pPr>
              <w:jc w:val="center"/>
              <w:rPr>
                <w:rFonts w:ascii="Times New Roman" w:hAnsi="Times New Roman" w:cs="Times New Roman"/>
                <w:sz w:val="20"/>
                <w:szCs w:val="20"/>
              </w:rPr>
            </w:pPr>
            <w:r w:rsidRPr="00A84A71">
              <w:rPr>
                <w:rFonts w:ascii="Times New Roman" w:hAnsi="Times New Roman" w:cs="Times New Roman"/>
                <w:sz w:val="20"/>
              </w:rPr>
              <w:t>48</w:t>
            </w:r>
          </w:p>
        </w:tc>
        <w:tc>
          <w:tcPr>
            <w:tcW w:w="1260" w:type="dxa"/>
          </w:tcPr>
          <w:p w:rsidR="00876EB1" w:rsidRPr="00A84A71" w:rsidP="00637286" w14:paraId="654AAAEC" w14:textId="77777777">
            <w:pPr>
              <w:jc w:val="center"/>
              <w:rPr>
                <w:rFonts w:ascii="Times New Roman" w:hAnsi="Times New Roman" w:cs="Times New Roman"/>
                <w:sz w:val="20"/>
                <w:szCs w:val="20"/>
              </w:rPr>
            </w:pPr>
          </w:p>
        </w:tc>
        <w:tc>
          <w:tcPr>
            <w:tcW w:w="1260" w:type="dxa"/>
          </w:tcPr>
          <w:p w:rsidR="00876EB1" w:rsidRPr="00A84A71" w:rsidP="00637286" w14:paraId="7C8C0915" w14:textId="77777777">
            <w:pPr>
              <w:jc w:val="center"/>
              <w:rPr>
                <w:rFonts w:ascii="Times New Roman" w:hAnsi="Times New Roman" w:cs="Times New Roman"/>
                <w:sz w:val="20"/>
                <w:szCs w:val="20"/>
              </w:rPr>
            </w:pPr>
          </w:p>
        </w:tc>
        <w:tc>
          <w:tcPr>
            <w:tcW w:w="1620" w:type="dxa"/>
          </w:tcPr>
          <w:p w:rsidR="00876EB1" w:rsidRPr="00A84A71" w:rsidP="00637286" w14:paraId="2345534E" w14:textId="77777777">
            <w:pPr>
              <w:jc w:val="center"/>
              <w:rPr>
                <w:rFonts w:ascii="Times New Roman" w:hAnsi="Times New Roman" w:cs="Times New Roman"/>
                <w:sz w:val="20"/>
                <w:szCs w:val="20"/>
              </w:rPr>
            </w:pPr>
            <w:r w:rsidRPr="00A84A71">
              <w:rPr>
                <w:rFonts w:ascii="Times New Roman" w:hAnsi="Times New Roman" w:cs="Times New Roman"/>
                <w:sz w:val="20"/>
              </w:rPr>
              <w:t>20,535</w:t>
            </w:r>
          </w:p>
        </w:tc>
      </w:tr>
    </w:tbl>
    <w:p w:rsidR="00967E66" w:rsidP="00967E66" w14:paraId="10AC8333" w14:textId="77777777"/>
    <w:p w:rsidR="00C54890" w14:paraId="4531E8EF" w14:textId="45049E4F">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rsidR="00392BB9" w14:paraId="26C1F583" w14:textId="77777777">
      <w:pPr>
        <w:rPr>
          <w:b/>
          <w:bCs/>
          <w:iCs/>
          <w:szCs w:val="24"/>
        </w:rPr>
      </w:pPr>
    </w:p>
    <w:p w:rsidR="00392BB9" w:rsidRPr="00242BD6" w:rsidP="00C37C0A" w14:paraId="79F47083" w14:textId="6A5A670C">
      <w:r w:rsidRPr="00901E7F">
        <w:rPr>
          <w:iCs/>
          <w:szCs w:val="24"/>
        </w:rPr>
        <w:t xml:space="preserve">20,535 hours </w:t>
      </w:r>
      <w:r w:rsidRPr="00901E7F" w:rsidR="00DB7131">
        <w:rPr>
          <w:iCs/>
          <w:szCs w:val="24"/>
        </w:rPr>
        <w:t xml:space="preserve">x </w:t>
      </w:r>
      <w:r w:rsidRPr="00901E7F">
        <w:rPr>
          <w:iCs/>
          <w:szCs w:val="24"/>
        </w:rPr>
        <w:t>$</w:t>
      </w:r>
      <w:r w:rsidRPr="00901E7F" w:rsidR="009F00BA">
        <w:rPr>
          <w:iCs/>
          <w:szCs w:val="24"/>
        </w:rPr>
        <w:t>128</w:t>
      </w:r>
      <w:r w:rsidRPr="00901E7F" w:rsidR="008110E4">
        <w:rPr>
          <w:iCs/>
          <w:szCs w:val="24"/>
        </w:rPr>
        <w:t>.</w:t>
      </w:r>
      <w:r w:rsidRPr="00901E7F" w:rsidR="009F00BA">
        <w:rPr>
          <w:iCs/>
          <w:szCs w:val="24"/>
        </w:rPr>
        <w:t>05</w:t>
      </w:r>
      <w:r w:rsidRPr="00901E7F" w:rsidR="00640618">
        <w:rPr>
          <w:iCs/>
          <w:szCs w:val="24"/>
        </w:rPr>
        <w:t xml:space="preserve"> per hour</w:t>
      </w:r>
      <w:r w:rsidR="0002412D">
        <w:rPr>
          <w:b/>
          <w:bCs/>
          <w:iCs/>
          <w:szCs w:val="24"/>
        </w:rPr>
        <w:t xml:space="preserve"> = </w:t>
      </w:r>
      <w:r w:rsidRPr="00242BD6" w:rsidR="008C2ED6">
        <w:rPr>
          <w:iCs/>
          <w:szCs w:val="24"/>
        </w:rPr>
        <w:t>$</w:t>
      </w:r>
      <w:r w:rsidRPr="00242BD6">
        <w:rPr>
          <w:iCs/>
          <w:szCs w:val="24"/>
        </w:rPr>
        <w:t>2,629,50</w:t>
      </w:r>
      <w:r w:rsidR="002A4FF1">
        <w:rPr>
          <w:iCs/>
          <w:szCs w:val="24"/>
        </w:rPr>
        <w:t>7</w:t>
      </w:r>
    </w:p>
    <w:p w:rsidR="00C54890" w:rsidRPr="00A6703F" w:rsidP="00A84A71" w14:paraId="318D4E32" w14:textId="77777777">
      <w:pPr>
        <w:tabs>
          <w:tab w:val="left" w:pos="8640"/>
        </w:tabs>
        <w:rPr>
          <w:b/>
          <w:bCs/>
          <w:szCs w:val="24"/>
        </w:rPr>
      </w:pPr>
    </w:p>
    <w:p w:rsidR="009F00BA" w:rsidRPr="009F00BA" w:rsidP="00A84A71" w14:paraId="3EAFAFE2" w14:textId="77777777">
      <w:pPr>
        <w:tabs>
          <w:tab w:val="left" w:pos="8640"/>
        </w:tabs>
        <w:rPr>
          <w:color w:val="000000"/>
          <w:szCs w:val="24"/>
        </w:rPr>
      </w:pPr>
      <w:r w:rsidRPr="009F00BA">
        <w:rPr>
          <w:color w:val="000000"/>
          <w:szCs w:val="24"/>
        </w:rPr>
        <w:t>To estimate wages the OCC reviewed May 2022 data for wages (by industry and occupation) from the U.S. Bureau of Labor Statistics (BLS) for credit intermediation and related activities (NAICS 5220A1).  To estimate compensation costs associated with the rule, the OCC uses $128.05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A82649" w:rsidRPr="00A82649" w14:paraId="6370A961" w14:textId="77777777">
      <w:pPr>
        <w:rPr>
          <w:szCs w:val="24"/>
        </w:rPr>
      </w:pPr>
    </w:p>
    <w:p w:rsidR="00C54890" w:rsidRPr="001950B5" w14:paraId="741ECCB8" w14:textId="77777777">
      <w:pPr>
        <w:pStyle w:val="BodyText"/>
        <w:tabs>
          <w:tab w:val="left" w:pos="8640"/>
        </w:tabs>
        <w:ind w:right="653"/>
        <w:rPr>
          <w:b/>
          <w:bCs/>
          <w:szCs w:val="24"/>
        </w:rPr>
      </w:pPr>
      <w:r w:rsidRPr="001950B5">
        <w:rPr>
          <w:b/>
          <w:bCs/>
          <w:szCs w:val="24"/>
        </w:rPr>
        <w:t>13.  Estimate of total annual costs to respondents (excluding cost of hour burden in Item #12):</w:t>
      </w:r>
    </w:p>
    <w:p w:rsidR="00C54890" w14:paraId="5CA0B0EB" w14:textId="77777777">
      <w:pPr>
        <w:tabs>
          <w:tab w:val="left" w:pos="8640"/>
        </w:tabs>
        <w:ind w:right="653"/>
        <w:rPr>
          <w:szCs w:val="24"/>
        </w:rPr>
      </w:pPr>
    </w:p>
    <w:p w:rsidR="00196EA5" w14:paraId="1BB00DCD" w14:textId="77777777">
      <w:pPr>
        <w:ind w:firstLine="720"/>
        <w:rPr>
          <w:szCs w:val="24"/>
        </w:rPr>
      </w:pPr>
      <w:r>
        <w:rPr>
          <w:szCs w:val="24"/>
        </w:rPr>
        <w:t>Not applicable.</w:t>
      </w:r>
    </w:p>
    <w:p w:rsidR="00196EA5" w:rsidRPr="00A6703F" w14:paraId="4C0E3090" w14:textId="77777777">
      <w:pPr>
        <w:tabs>
          <w:tab w:val="left" w:pos="8640"/>
        </w:tabs>
        <w:ind w:right="653"/>
        <w:rPr>
          <w:szCs w:val="24"/>
        </w:rPr>
      </w:pPr>
    </w:p>
    <w:p w:rsidR="00C54890" w:rsidRPr="001950B5" w14:paraId="5769DBE7" w14:textId="77777777">
      <w:pPr>
        <w:pStyle w:val="BodyText"/>
        <w:tabs>
          <w:tab w:val="left" w:pos="8640"/>
        </w:tabs>
        <w:ind w:right="653"/>
        <w:rPr>
          <w:b/>
          <w:bCs/>
          <w:szCs w:val="24"/>
        </w:rPr>
      </w:pPr>
      <w:r w:rsidRPr="001950B5">
        <w:rPr>
          <w:b/>
          <w:bCs/>
          <w:szCs w:val="24"/>
        </w:rPr>
        <w:t>14.  Estimate of annualized costs to the Federal government:</w:t>
      </w:r>
    </w:p>
    <w:p w:rsidR="00C54890" w:rsidRPr="00A6703F" w14:paraId="132613B9" w14:textId="77777777">
      <w:pPr>
        <w:pStyle w:val="Footer"/>
        <w:tabs>
          <w:tab w:val="clear" w:pos="4320"/>
          <w:tab w:val="left" w:pos="8640"/>
        </w:tabs>
        <w:ind w:right="653"/>
        <w:rPr>
          <w:szCs w:val="24"/>
        </w:rPr>
      </w:pPr>
    </w:p>
    <w:p w:rsidR="00C54890" w:rsidRPr="00A6703F" w14:paraId="36CF5BC7" w14:textId="77777777">
      <w:pPr>
        <w:tabs>
          <w:tab w:val="left" w:pos="8640"/>
        </w:tabs>
        <w:ind w:right="653" w:firstLine="720"/>
        <w:rPr>
          <w:szCs w:val="24"/>
        </w:rPr>
      </w:pPr>
      <w:r w:rsidRPr="00A6703F">
        <w:rPr>
          <w:szCs w:val="24"/>
        </w:rPr>
        <w:t>Not applicable.</w:t>
      </w:r>
    </w:p>
    <w:p w:rsidR="00C54890" w:rsidRPr="00A6703F" w14:paraId="4C00A447" w14:textId="77777777">
      <w:pPr>
        <w:pStyle w:val="BodyText"/>
        <w:tabs>
          <w:tab w:val="left" w:pos="8640"/>
        </w:tabs>
        <w:ind w:right="653"/>
        <w:rPr>
          <w:b/>
          <w:bCs/>
          <w:i w:val="0"/>
          <w:szCs w:val="24"/>
        </w:rPr>
      </w:pPr>
    </w:p>
    <w:p w:rsidR="00C54890" w:rsidRPr="005E61DD" w14:paraId="4FAB2078" w14:textId="77777777">
      <w:pPr>
        <w:rPr>
          <w:b/>
          <w:bCs/>
          <w:iCs/>
          <w:szCs w:val="24"/>
        </w:rPr>
      </w:pPr>
      <w:r w:rsidRPr="00A6703F">
        <w:rPr>
          <w:b/>
          <w:bCs/>
          <w:i/>
          <w:szCs w:val="24"/>
        </w:rPr>
        <w:t>15.  Change in burden:</w:t>
      </w:r>
    </w:p>
    <w:p w:rsidR="001A1087" w:rsidP="00640618" w14:paraId="66628657" w14:textId="77777777">
      <w:pPr>
        <w:tabs>
          <w:tab w:val="left" w:pos="8640"/>
        </w:tabs>
        <w:rPr>
          <w:szCs w:val="24"/>
        </w:rPr>
      </w:pPr>
    </w:p>
    <w:p w:rsidR="00C37C0A" w:rsidRPr="00A6703F" w:rsidP="00A84A71" w14:paraId="2A64AB31" w14:textId="6B19F691">
      <w:pPr>
        <w:tabs>
          <w:tab w:val="left" w:pos="8640"/>
        </w:tabs>
        <w:rPr>
          <w:szCs w:val="24"/>
        </w:rPr>
      </w:pPr>
      <w:r w:rsidRPr="00C37C0A">
        <w:rPr>
          <w:szCs w:val="24"/>
        </w:rPr>
        <w:t>The NPR modifies the reporting, recordkeeping, and disclosure requirements of the regulatory capital rules by adding new requirements and revising existing reporting, recordkeeping, and disclosure requirements.</w:t>
      </w:r>
      <w:r w:rsidR="002A4FF1">
        <w:rPr>
          <w:szCs w:val="24"/>
        </w:rPr>
        <w:t xml:space="preserve"> In particular, a number of model approval requirements and disclosure tables in the current rule would be discontinued.</w:t>
      </w:r>
      <w:r w:rsidRPr="00C37C0A">
        <w:rPr>
          <w:szCs w:val="24"/>
        </w:rPr>
        <w:t xml:space="preserve"> As a result, there is a</w:t>
      </w:r>
      <w:r w:rsidR="006B68C7">
        <w:rPr>
          <w:szCs w:val="24"/>
        </w:rPr>
        <w:t xml:space="preserve"> de</w:t>
      </w:r>
      <w:r w:rsidRPr="00C37C0A">
        <w:rPr>
          <w:szCs w:val="24"/>
        </w:rPr>
        <w:t>crease in burden hours of</w:t>
      </w:r>
      <w:r w:rsidR="006B68C7">
        <w:rPr>
          <w:szCs w:val="24"/>
        </w:rPr>
        <w:t xml:space="preserve"> 45,570</w:t>
      </w:r>
      <w:r w:rsidRPr="00C37C0A" w:rsidR="006B68C7">
        <w:rPr>
          <w:szCs w:val="24"/>
        </w:rPr>
        <w:t xml:space="preserve"> hours</w:t>
      </w:r>
      <w:r w:rsidRPr="00C37C0A">
        <w:rPr>
          <w:szCs w:val="24"/>
        </w:rPr>
        <w:t>.</w:t>
      </w:r>
    </w:p>
    <w:p w:rsidR="006C4F12" w:rsidRPr="00A6703F" w14:paraId="231804EF" w14:textId="4D759896">
      <w:pPr>
        <w:tabs>
          <w:tab w:val="left" w:pos="8640"/>
        </w:tabs>
        <w:ind w:right="653"/>
        <w:rPr>
          <w:szCs w:val="24"/>
        </w:rPr>
      </w:pPr>
      <w:r>
        <w:rPr>
          <w:iCs/>
          <w:szCs w:val="24"/>
        </w:rPr>
        <w:t xml:space="preserve">          </w:t>
      </w:r>
    </w:p>
    <w:p w:rsidR="00C54890" w:rsidRPr="001950B5" w14:paraId="3F138A2F" w14:textId="336B9A0B">
      <w:pPr>
        <w:pStyle w:val="BodyText"/>
        <w:tabs>
          <w:tab w:val="left" w:pos="8640"/>
        </w:tabs>
        <w:ind w:right="653"/>
        <w:rPr>
          <w:b/>
          <w:bCs/>
          <w:szCs w:val="24"/>
        </w:rPr>
      </w:pPr>
      <w:r w:rsidRPr="001950B5">
        <w:rPr>
          <w:b/>
          <w:bCs/>
          <w:szCs w:val="24"/>
        </w:rPr>
        <w:t>16.  Information regarding collections whose results are to be published for statistical</w:t>
      </w:r>
      <w:r w:rsidR="00640618">
        <w:rPr>
          <w:b/>
          <w:bCs/>
          <w:szCs w:val="24"/>
        </w:rPr>
        <w:t xml:space="preserve"> </w:t>
      </w:r>
      <w:r w:rsidRPr="001950B5">
        <w:rPr>
          <w:b/>
          <w:bCs/>
          <w:szCs w:val="24"/>
        </w:rPr>
        <w:t>use:</w:t>
      </w:r>
    </w:p>
    <w:p w:rsidR="00C54890" w:rsidRPr="00A6703F" w14:paraId="6BA90710" w14:textId="77777777">
      <w:pPr>
        <w:tabs>
          <w:tab w:val="left" w:pos="8640"/>
        </w:tabs>
        <w:ind w:right="653"/>
        <w:rPr>
          <w:szCs w:val="24"/>
        </w:rPr>
      </w:pPr>
    </w:p>
    <w:p w:rsidR="00C54890" w:rsidRPr="00A6703F" w14:paraId="4E80D06C" w14:textId="77777777">
      <w:pPr>
        <w:tabs>
          <w:tab w:val="left" w:pos="8640"/>
        </w:tabs>
        <w:ind w:right="653" w:firstLine="720"/>
        <w:rPr>
          <w:szCs w:val="24"/>
        </w:rPr>
      </w:pPr>
      <w:r>
        <w:rPr>
          <w:szCs w:val="24"/>
        </w:rPr>
        <w:t>Not applicable.</w:t>
      </w:r>
    </w:p>
    <w:p w:rsidR="00C54890" w:rsidRPr="00A6703F" w14:paraId="3EC89062" w14:textId="77777777">
      <w:pPr>
        <w:tabs>
          <w:tab w:val="left" w:pos="8640"/>
        </w:tabs>
        <w:ind w:right="653"/>
        <w:rPr>
          <w:szCs w:val="24"/>
        </w:rPr>
      </w:pPr>
    </w:p>
    <w:p w:rsidR="00C54890" w:rsidRPr="001950B5" w14:paraId="2F57CE94" w14:textId="77777777">
      <w:pPr>
        <w:pStyle w:val="BodyText"/>
        <w:tabs>
          <w:tab w:val="left" w:pos="8640"/>
        </w:tabs>
        <w:ind w:right="653"/>
        <w:rPr>
          <w:b/>
          <w:bCs/>
          <w:szCs w:val="24"/>
        </w:rPr>
      </w:pPr>
      <w:r w:rsidRPr="001950B5">
        <w:rPr>
          <w:b/>
          <w:bCs/>
          <w:szCs w:val="24"/>
        </w:rPr>
        <w:t>17.  Reasons for not displaying OMB approval expiration date:</w:t>
      </w:r>
    </w:p>
    <w:p w:rsidR="00C54890" w:rsidRPr="00A6703F" w14:paraId="569CC879" w14:textId="77777777">
      <w:pPr>
        <w:tabs>
          <w:tab w:val="left" w:pos="8640"/>
        </w:tabs>
        <w:ind w:right="653"/>
        <w:rPr>
          <w:szCs w:val="24"/>
        </w:rPr>
      </w:pPr>
    </w:p>
    <w:p w:rsidR="00C54890" w:rsidRPr="00A6703F" w14:paraId="57C3B973" w14:textId="77777777">
      <w:pPr>
        <w:tabs>
          <w:tab w:val="left" w:pos="8640"/>
        </w:tabs>
        <w:ind w:right="653" w:firstLine="720"/>
        <w:rPr>
          <w:szCs w:val="24"/>
        </w:rPr>
      </w:pPr>
      <w:r>
        <w:rPr>
          <w:szCs w:val="24"/>
        </w:rPr>
        <w:t>Not applicable.</w:t>
      </w:r>
    </w:p>
    <w:p w:rsidR="00803977" w14:paraId="0AAE5569" w14:textId="77777777">
      <w:pPr>
        <w:pStyle w:val="BodyText"/>
        <w:tabs>
          <w:tab w:val="left" w:pos="8640"/>
        </w:tabs>
        <w:ind w:right="653"/>
        <w:rPr>
          <w:b/>
          <w:bCs/>
          <w:i w:val="0"/>
          <w:szCs w:val="24"/>
        </w:rPr>
      </w:pPr>
    </w:p>
    <w:p w:rsidR="00C54890" w:rsidRPr="00392BB9" w14:paraId="5D0F4E72" w14:textId="77777777">
      <w:pPr>
        <w:pStyle w:val="BodyText"/>
        <w:tabs>
          <w:tab w:val="left" w:pos="8640"/>
        </w:tabs>
        <w:ind w:right="653"/>
        <w:rPr>
          <w:b/>
          <w:bCs/>
          <w:szCs w:val="24"/>
        </w:rPr>
      </w:pPr>
      <w:r w:rsidRPr="00392BB9">
        <w:rPr>
          <w:b/>
          <w:bCs/>
          <w:szCs w:val="24"/>
        </w:rPr>
        <w:t>18.  Exceptions to the certification statement:</w:t>
      </w:r>
    </w:p>
    <w:p w:rsidR="00C54890" w:rsidRPr="00A6703F" w14:paraId="2F41592F" w14:textId="77777777">
      <w:pPr>
        <w:tabs>
          <w:tab w:val="left" w:pos="8640"/>
        </w:tabs>
        <w:ind w:right="653"/>
        <w:rPr>
          <w:szCs w:val="24"/>
        </w:rPr>
      </w:pPr>
    </w:p>
    <w:p w:rsidR="003378C0" w:rsidRPr="00A6703F" w14:paraId="79073DE2" w14:textId="77777777">
      <w:pPr>
        <w:tabs>
          <w:tab w:val="left" w:pos="8640"/>
        </w:tabs>
        <w:ind w:right="653" w:firstLine="720"/>
        <w:rPr>
          <w:szCs w:val="24"/>
        </w:rPr>
      </w:pPr>
      <w:r w:rsidRPr="00A6703F">
        <w:rPr>
          <w:szCs w:val="24"/>
        </w:rPr>
        <w:t>None.</w:t>
      </w:r>
    </w:p>
    <w:p w:rsidR="003378C0" w:rsidRPr="00A6703F" w14:paraId="25DDF0D4" w14:textId="77777777">
      <w:pPr>
        <w:tabs>
          <w:tab w:val="left" w:pos="8640"/>
        </w:tabs>
        <w:ind w:right="653"/>
        <w:rPr>
          <w:b/>
          <w:bCs/>
          <w:szCs w:val="24"/>
        </w:rPr>
      </w:pPr>
    </w:p>
    <w:p w:rsidR="00C54890" w:rsidRPr="00A6703F" w14:paraId="4E6CB3E1" w14:textId="77777777">
      <w:pPr>
        <w:tabs>
          <w:tab w:val="left" w:pos="8640"/>
        </w:tabs>
        <w:ind w:right="653"/>
        <w:rPr>
          <w:szCs w:val="24"/>
        </w:rPr>
      </w:pPr>
      <w:r w:rsidRPr="00A6703F">
        <w:rPr>
          <w:b/>
          <w:bCs/>
          <w:szCs w:val="24"/>
        </w:rPr>
        <w:t>B.  Collections of Information Employing Statistical Methods.</w:t>
      </w:r>
    </w:p>
    <w:p w:rsidR="00C54890" w:rsidRPr="00A6703F" w14:paraId="3B3DA7CA" w14:textId="77777777">
      <w:pPr>
        <w:tabs>
          <w:tab w:val="left" w:pos="8640"/>
        </w:tabs>
        <w:ind w:right="653"/>
        <w:rPr>
          <w:szCs w:val="24"/>
        </w:rPr>
      </w:pPr>
    </w:p>
    <w:p w:rsidR="00C54890" w:rsidRPr="00A6703F" w14:paraId="475ABD2F" w14:textId="77777777">
      <w:pPr>
        <w:tabs>
          <w:tab w:val="left" w:pos="8640"/>
        </w:tabs>
        <w:ind w:right="653" w:firstLine="720"/>
        <w:rPr>
          <w:szCs w:val="24"/>
        </w:rPr>
      </w:pPr>
      <w:r w:rsidRPr="00A6703F">
        <w:rPr>
          <w:szCs w:val="24"/>
        </w:rPr>
        <w:t>Not applicable.</w:t>
      </w:r>
    </w:p>
    <w:p w:rsidR="00C54890" w14:paraId="7F1894E1" w14:textId="77777777">
      <w:pPr>
        <w:tabs>
          <w:tab w:val="left" w:pos="8640"/>
        </w:tabs>
        <w:ind w:right="653"/>
      </w:pPr>
    </w:p>
    <w:p w:rsidR="00C54890" w14:paraId="6D146FA6" w14:textId="77777777">
      <w:pPr>
        <w:tabs>
          <w:tab w:val="left" w:pos="8640"/>
        </w:tabs>
        <w:ind w:right="653"/>
      </w:pPr>
    </w:p>
    <w:p w:rsidR="00C54890" w14:paraId="440C3382" w14:textId="77777777">
      <w:pPr>
        <w:tabs>
          <w:tab w:val="left" w:pos="8640"/>
        </w:tabs>
        <w:ind w:right="653"/>
        <w:jc w:val="center"/>
      </w:pPr>
    </w:p>
    <w:sectPr w:rsidSect="004D2352">
      <w:footerReference w:type="even" r:id="rId5"/>
      <w:footerReference w:type="default" r:id="rId6"/>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941" w14:paraId="77210AD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1941" w14:paraId="49AA1A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941" w14:paraId="4B7FB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72D">
      <w:rPr>
        <w:rStyle w:val="PageNumber"/>
        <w:noProof/>
      </w:rPr>
      <w:t>2</w:t>
    </w:r>
    <w:r>
      <w:rPr>
        <w:rStyle w:val="PageNumber"/>
      </w:rPr>
      <w:fldChar w:fldCharType="end"/>
    </w:r>
  </w:p>
  <w:p w:rsidR="00451941" w14:paraId="7C95E8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6503047"/>
    <w:multiLevelType w:val="hybridMultilevel"/>
    <w:tmpl w:val="B60A0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5F9A5538"/>
    <w:multiLevelType w:val="hybridMultilevel"/>
    <w:tmpl w:val="8988A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26600207">
    <w:abstractNumId w:val="0"/>
  </w:num>
  <w:num w:numId="2" w16cid:durableId="1618219031">
    <w:abstractNumId w:val="5"/>
  </w:num>
  <w:num w:numId="3" w16cid:durableId="1193304771">
    <w:abstractNumId w:val="3"/>
  </w:num>
  <w:num w:numId="4" w16cid:durableId="1316185249">
    <w:abstractNumId w:val="3"/>
  </w:num>
  <w:num w:numId="5" w16cid:durableId="1189759559">
    <w:abstractNumId w:val="1"/>
  </w:num>
  <w:num w:numId="6" w16cid:durableId="2069456193">
    <w:abstractNumId w:val="1"/>
  </w:num>
  <w:num w:numId="7" w16cid:durableId="1131821906">
    <w:abstractNumId w:val="1"/>
  </w:num>
  <w:num w:numId="8" w16cid:durableId="1224831421">
    <w:abstractNumId w:val="1"/>
  </w:num>
  <w:num w:numId="9" w16cid:durableId="140002872">
    <w:abstractNumId w:val="1"/>
  </w:num>
  <w:num w:numId="10" w16cid:durableId="1634676613">
    <w:abstractNumId w:val="1"/>
  </w:num>
  <w:num w:numId="11" w16cid:durableId="746651771">
    <w:abstractNumId w:val="1"/>
  </w:num>
  <w:num w:numId="12" w16cid:durableId="305403952">
    <w:abstractNumId w:val="1"/>
  </w:num>
  <w:num w:numId="13" w16cid:durableId="582691504">
    <w:abstractNumId w:val="3"/>
  </w:num>
  <w:num w:numId="14" w16cid:durableId="774400419">
    <w:abstractNumId w:val="3"/>
  </w:num>
  <w:num w:numId="15" w16cid:durableId="1624994599">
    <w:abstractNumId w:val="3"/>
  </w:num>
  <w:num w:numId="16" w16cid:durableId="2023241079">
    <w:abstractNumId w:val="3"/>
  </w:num>
  <w:num w:numId="17" w16cid:durableId="806124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8281882">
    <w:abstractNumId w:val="4"/>
  </w:num>
  <w:num w:numId="19" w16cid:durableId="155652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04"/>
    <w:rsid w:val="00000139"/>
    <w:rsid w:val="000035FD"/>
    <w:rsid w:val="00006114"/>
    <w:rsid w:val="00016879"/>
    <w:rsid w:val="00016FAB"/>
    <w:rsid w:val="0002412D"/>
    <w:rsid w:val="00025BF0"/>
    <w:rsid w:val="00033194"/>
    <w:rsid w:val="00033C2E"/>
    <w:rsid w:val="00036382"/>
    <w:rsid w:val="00037653"/>
    <w:rsid w:val="00047199"/>
    <w:rsid w:val="000505E0"/>
    <w:rsid w:val="000530B7"/>
    <w:rsid w:val="00053277"/>
    <w:rsid w:val="00054F00"/>
    <w:rsid w:val="00055239"/>
    <w:rsid w:val="00056824"/>
    <w:rsid w:val="00061686"/>
    <w:rsid w:val="00062E70"/>
    <w:rsid w:val="00070737"/>
    <w:rsid w:val="00072C33"/>
    <w:rsid w:val="000758CE"/>
    <w:rsid w:val="0007666F"/>
    <w:rsid w:val="00077AD5"/>
    <w:rsid w:val="00077C89"/>
    <w:rsid w:val="000818B6"/>
    <w:rsid w:val="00083363"/>
    <w:rsid w:val="00085BA4"/>
    <w:rsid w:val="00087984"/>
    <w:rsid w:val="00090450"/>
    <w:rsid w:val="00093B3A"/>
    <w:rsid w:val="000B01FF"/>
    <w:rsid w:val="000B4155"/>
    <w:rsid w:val="000B6EA4"/>
    <w:rsid w:val="000C0273"/>
    <w:rsid w:val="000C108A"/>
    <w:rsid w:val="000C1396"/>
    <w:rsid w:val="000C28D8"/>
    <w:rsid w:val="000C321F"/>
    <w:rsid w:val="000D253B"/>
    <w:rsid w:val="000F11D3"/>
    <w:rsid w:val="000F42A1"/>
    <w:rsid w:val="000F4498"/>
    <w:rsid w:val="00101841"/>
    <w:rsid w:val="001101C1"/>
    <w:rsid w:val="00110AB1"/>
    <w:rsid w:val="00112333"/>
    <w:rsid w:val="00114564"/>
    <w:rsid w:val="001179FD"/>
    <w:rsid w:val="0013753D"/>
    <w:rsid w:val="0013774D"/>
    <w:rsid w:val="001402B5"/>
    <w:rsid w:val="0014161C"/>
    <w:rsid w:val="00143E8F"/>
    <w:rsid w:val="00144DA9"/>
    <w:rsid w:val="001470CA"/>
    <w:rsid w:val="00153ACC"/>
    <w:rsid w:val="00157056"/>
    <w:rsid w:val="00160B40"/>
    <w:rsid w:val="00167F34"/>
    <w:rsid w:val="00174B1D"/>
    <w:rsid w:val="0017775C"/>
    <w:rsid w:val="001830DE"/>
    <w:rsid w:val="00183EB6"/>
    <w:rsid w:val="0019346B"/>
    <w:rsid w:val="001950B5"/>
    <w:rsid w:val="00196EA5"/>
    <w:rsid w:val="001A1087"/>
    <w:rsid w:val="001A3C65"/>
    <w:rsid w:val="001B086A"/>
    <w:rsid w:val="001C2188"/>
    <w:rsid w:val="001C7E01"/>
    <w:rsid w:val="001D10EE"/>
    <w:rsid w:val="001D6776"/>
    <w:rsid w:val="001E35DF"/>
    <w:rsid w:val="001E44D9"/>
    <w:rsid w:val="001E71DF"/>
    <w:rsid w:val="001E7734"/>
    <w:rsid w:val="001F1DFF"/>
    <w:rsid w:val="001F3A13"/>
    <w:rsid w:val="001F789B"/>
    <w:rsid w:val="002058A8"/>
    <w:rsid w:val="00206EEC"/>
    <w:rsid w:val="00231110"/>
    <w:rsid w:val="0023301D"/>
    <w:rsid w:val="0023653D"/>
    <w:rsid w:val="002369EB"/>
    <w:rsid w:val="00237842"/>
    <w:rsid w:val="00242457"/>
    <w:rsid w:val="00242BD6"/>
    <w:rsid w:val="002463B3"/>
    <w:rsid w:val="002556ED"/>
    <w:rsid w:val="00257A00"/>
    <w:rsid w:val="0026035F"/>
    <w:rsid w:val="00261335"/>
    <w:rsid w:val="00261817"/>
    <w:rsid w:val="002711BA"/>
    <w:rsid w:val="00271DD7"/>
    <w:rsid w:val="002760D4"/>
    <w:rsid w:val="00276343"/>
    <w:rsid w:val="00277132"/>
    <w:rsid w:val="00283D29"/>
    <w:rsid w:val="0028491D"/>
    <w:rsid w:val="0029337C"/>
    <w:rsid w:val="002964EC"/>
    <w:rsid w:val="002A4FF1"/>
    <w:rsid w:val="002B2013"/>
    <w:rsid w:val="002B3242"/>
    <w:rsid w:val="002B3762"/>
    <w:rsid w:val="002B78AB"/>
    <w:rsid w:val="002C39A8"/>
    <w:rsid w:val="002C5C23"/>
    <w:rsid w:val="002D5A5A"/>
    <w:rsid w:val="002D6E8C"/>
    <w:rsid w:val="002E141F"/>
    <w:rsid w:val="002E1B22"/>
    <w:rsid w:val="002E407A"/>
    <w:rsid w:val="002E500A"/>
    <w:rsid w:val="002E5FD2"/>
    <w:rsid w:val="002F1B62"/>
    <w:rsid w:val="002F5C34"/>
    <w:rsid w:val="002F710D"/>
    <w:rsid w:val="002F73B4"/>
    <w:rsid w:val="0030443D"/>
    <w:rsid w:val="0031769E"/>
    <w:rsid w:val="00337216"/>
    <w:rsid w:val="003378C0"/>
    <w:rsid w:val="00337EDA"/>
    <w:rsid w:val="0034135E"/>
    <w:rsid w:val="00341B0B"/>
    <w:rsid w:val="00357010"/>
    <w:rsid w:val="003603FC"/>
    <w:rsid w:val="00360740"/>
    <w:rsid w:val="00362DD2"/>
    <w:rsid w:val="0036670B"/>
    <w:rsid w:val="00371DE9"/>
    <w:rsid w:val="00374795"/>
    <w:rsid w:val="00377B1E"/>
    <w:rsid w:val="00384371"/>
    <w:rsid w:val="00391F16"/>
    <w:rsid w:val="00392BB9"/>
    <w:rsid w:val="003A052D"/>
    <w:rsid w:val="003A0ACC"/>
    <w:rsid w:val="003B2A05"/>
    <w:rsid w:val="003C208A"/>
    <w:rsid w:val="003C3498"/>
    <w:rsid w:val="003C53CB"/>
    <w:rsid w:val="003D602A"/>
    <w:rsid w:val="003D686F"/>
    <w:rsid w:val="003E0D3D"/>
    <w:rsid w:val="003E2856"/>
    <w:rsid w:val="003E7F6C"/>
    <w:rsid w:val="003F5364"/>
    <w:rsid w:val="00404DDB"/>
    <w:rsid w:val="00406FB0"/>
    <w:rsid w:val="004118AF"/>
    <w:rsid w:val="004135DA"/>
    <w:rsid w:val="00413920"/>
    <w:rsid w:val="004158F7"/>
    <w:rsid w:val="00420D71"/>
    <w:rsid w:val="004215FA"/>
    <w:rsid w:val="00422DA1"/>
    <w:rsid w:val="00423D6A"/>
    <w:rsid w:val="004312CD"/>
    <w:rsid w:val="00451941"/>
    <w:rsid w:val="00455DC8"/>
    <w:rsid w:val="00456D4A"/>
    <w:rsid w:val="00461E02"/>
    <w:rsid w:val="0047209E"/>
    <w:rsid w:val="004735B3"/>
    <w:rsid w:val="004748E4"/>
    <w:rsid w:val="00484165"/>
    <w:rsid w:val="00486C24"/>
    <w:rsid w:val="00487942"/>
    <w:rsid w:val="00487AB0"/>
    <w:rsid w:val="0049072D"/>
    <w:rsid w:val="004932C6"/>
    <w:rsid w:val="004B071C"/>
    <w:rsid w:val="004B215B"/>
    <w:rsid w:val="004B5E23"/>
    <w:rsid w:val="004D079B"/>
    <w:rsid w:val="004D09EF"/>
    <w:rsid w:val="004D0F63"/>
    <w:rsid w:val="004D227B"/>
    <w:rsid w:val="004D2352"/>
    <w:rsid w:val="004D61C0"/>
    <w:rsid w:val="004D7909"/>
    <w:rsid w:val="004E037A"/>
    <w:rsid w:val="004E22F2"/>
    <w:rsid w:val="004E36DE"/>
    <w:rsid w:val="004E3B98"/>
    <w:rsid w:val="004E6C28"/>
    <w:rsid w:val="004F11D2"/>
    <w:rsid w:val="00501038"/>
    <w:rsid w:val="005029ED"/>
    <w:rsid w:val="00503083"/>
    <w:rsid w:val="00504F06"/>
    <w:rsid w:val="00505EC2"/>
    <w:rsid w:val="005125ED"/>
    <w:rsid w:val="005143F9"/>
    <w:rsid w:val="00516AF4"/>
    <w:rsid w:val="00521B27"/>
    <w:rsid w:val="005230C3"/>
    <w:rsid w:val="00523AFA"/>
    <w:rsid w:val="00523E4C"/>
    <w:rsid w:val="00534392"/>
    <w:rsid w:val="00546A78"/>
    <w:rsid w:val="00546DA5"/>
    <w:rsid w:val="00550131"/>
    <w:rsid w:val="005527ED"/>
    <w:rsid w:val="005530E8"/>
    <w:rsid w:val="00557AA0"/>
    <w:rsid w:val="00564D31"/>
    <w:rsid w:val="005662A0"/>
    <w:rsid w:val="00567533"/>
    <w:rsid w:val="005715AA"/>
    <w:rsid w:val="005721F6"/>
    <w:rsid w:val="00574627"/>
    <w:rsid w:val="00584482"/>
    <w:rsid w:val="00590338"/>
    <w:rsid w:val="00590A63"/>
    <w:rsid w:val="00591886"/>
    <w:rsid w:val="005924A1"/>
    <w:rsid w:val="00593896"/>
    <w:rsid w:val="00596017"/>
    <w:rsid w:val="005A0BCC"/>
    <w:rsid w:val="005B4B56"/>
    <w:rsid w:val="005B5F48"/>
    <w:rsid w:val="005B63F5"/>
    <w:rsid w:val="005B67CD"/>
    <w:rsid w:val="005B79A2"/>
    <w:rsid w:val="005C0C41"/>
    <w:rsid w:val="005D15E0"/>
    <w:rsid w:val="005D1C3C"/>
    <w:rsid w:val="005D415D"/>
    <w:rsid w:val="005D5C1B"/>
    <w:rsid w:val="005D78C5"/>
    <w:rsid w:val="005E61DD"/>
    <w:rsid w:val="005E6F07"/>
    <w:rsid w:val="005F1439"/>
    <w:rsid w:val="005F7576"/>
    <w:rsid w:val="00602AAD"/>
    <w:rsid w:val="006116B4"/>
    <w:rsid w:val="00611F57"/>
    <w:rsid w:val="006243C6"/>
    <w:rsid w:val="00634EB2"/>
    <w:rsid w:val="00637286"/>
    <w:rsid w:val="00640618"/>
    <w:rsid w:val="00641F85"/>
    <w:rsid w:val="00645D36"/>
    <w:rsid w:val="00647A32"/>
    <w:rsid w:val="00651391"/>
    <w:rsid w:val="00651572"/>
    <w:rsid w:val="0065411D"/>
    <w:rsid w:val="006551FE"/>
    <w:rsid w:val="006632BC"/>
    <w:rsid w:val="0066386E"/>
    <w:rsid w:val="00671C4B"/>
    <w:rsid w:val="0067334A"/>
    <w:rsid w:val="00674E37"/>
    <w:rsid w:val="00675C02"/>
    <w:rsid w:val="006779FF"/>
    <w:rsid w:val="006822BC"/>
    <w:rsid w:val="0068327C"/>
    <w:rsid w:val="00683936"/>
    <w:rsid w:val="006844F7"/>
    <w:rsid w:val="00685B83"/>
    <w:rsid w:val="00692BC7"/>
    <w:rsid w:val="006A2526"/>
    <w:rsid w:val="006A4DCB"/>
    <w:rsid w:val="006A6C6F"/>
    <w:rsid w:val="006B5B68"/>
    <w:rsid w:val="006B68C7"/>
    <w:rsid w:val="006C25DC"/>
    <w:rsid w:val="006C28CB"/>
    <w:rsid w:val="006C4F12"/>
    <w:rsid w:val="006C6A96"/>
    <w:rsid w:val="006C77C9"/>
    <w:rsid w:val="006E505C"/>
    <w:rsid w:val="006E7638"/>
    <w:rsid w:val="006F0860"/>
    <w:rsid w:val="0070060E"/>
    <w:rsid w:val="0070438E"/>
    <w:rsid w:val="0071419F"/>
    <w:rsid w:val="007172B4"/>
    <w:rsid w:val="00720459"/>
    <w:rsid w:val="00724265"/>
    <w:rsid w:val="00724D1D"/>
    <w:rsid w:val="007256B7"/>
    <w:rsid w:val="0072589C"/>
    <w:rsid w:val="00726AF6"/>
    <w:rsid w:val="00730C29"/>
    <w:rsid w:val="00731834"/>
    <w:rsid w:val="0073536B"/>
    <w:rsid w:val="00735380"/>
    <w:rsid w:val="00745D88"/>
    <w:rsid w:val="00746A20"/>
    <w:rsid w:val="00750F3B"/>
    <w:rsid w:val="007534CE"/>
    <w:rsid w:val="007554A2"/>
    <w:rsid w:val="00760813"/>
    <w:rsid w:val="007664D7"/>
    <w:rsid w:val="007670F6"/>
    <w:rsid w:val="007677AE"/>
    <w:rsid w:val="00777D99"/>
    <w:rsid w:val="00781D9A"/>
    <w:rsid w:val="00786794"/>
    <w:rsid w:val="0079039C"/>
    <w:rsid w:val="00790762"/>
    <w:rsid w:val="00791A33"/>
    <w:rsid w:val="00792773"/>
    <w:rsid w:val="007A00E7"/>
    <w:rsid w:val="007A26BD"/>
    <w:rsid w:val="007A2DD7"/>
    <w:rsid w:val="007A3651"/>
    <w:rsid w:val="007A40C2"/>
    <w:rsid w:val="007A6F3B"/>
    <w:rsid w:val="007A74C3"/>
    <w:rsid w:val="007B1D9E"/>
    <w:rsid w:val="007B4A05"/>
    <w:rsid w:val="007B547C"/>
    <w:rsid w:val="007B5B2F"/>
    <w:rsid w:val="007C0311"/>
    <w:rsid w:val="007D041E"/>
    <w:rsid w:val="007D18B6"/>
    <w:rsid w:val="007D3DF1"/>
    <w:rsid w:val="007D6730"/>
    <w:rsid w:val="007E6B0A"/>
    <w:rsid w:val="007F72C5"/>
    <w:rsid w:val="00803386"/>
    <w:rsid w:val="00803977"/>
    <w:rsid w:val="0080784C"/>
    <w:rsid w:val="00807955"/>
    <w:rsid w:val="008110E4"/>
    <w:rsid w:val="008132DF"/>
    <w:rsid w:val="00816436"/>
    <w:rsid w:val="00825632"/>
    <w:rsid w:val="0082675E"/>
    <w:rsid w:val="00827067"/>
    <w:rsid w:val="00831013"/>
    <w:rsid w:val="008344B2"/>
    <w:rsid w:val="008379E7"/>
    <w:rsid w:val="008418DE"/>
    <w:rsid w:val="0084206D"/>
    <w:rsid w:val="008430F9"/>
    <w:rsid w:val="0084409E"/>
    <w:rsid w:val="008444C0"/>
    <w:rsid w:val="00844EA8"/>
    <w:rsid w:val="00850624"/>
    <w:rsid w:val="00860CA9"/>
    <w:rsid w:val="008631B7"/>
    <w:rsid w:val="00863851"/>
    <w:rsid w:val="00865925"/>
    <w:rsid w:val="00866B10"/>
    <w:rsid w:val="00867D21"/>
    <w:rsid w:val="0087080E"/>
    <w:rsid w:val="008740C3"/>
    <w:rsid w:val="00876EB1"/>
    <w:rsid w:val="00885DA7"/>
    <w:rsid w:val="00895CBA"/>
    <w:rsid w:val="00896126"/>
    <w:rsid w:val="008A06E2"/>
    <w:rsid w:val="008A7E66"/>
    <w:rsid w:val="008B109C"/>
    <w:rsid w:val="008B1A5D"/>
    <w:rsid w:val="008B72AB"/>
    <w:rsid w:val="008C2849"/>
    <w:rsid w:val="008C2ED6"/>
    <w:rsid w:val="008C6C94"/>
    <w:rsid w:val="008D0BD8"/>
    <w:rsid w:val="008D248C"/>
    <w:rsid w:val="008D5FEA"/>
    <w:rsid w:val="008D6098"/>
    <w:rsid w:val="008D77DC"/>
    <w:rsid w:val="008E01B0"/>
    <w:rsid w:val="008E01CD"/>
    <w:rsid w:val="008E351F"/>
    <w:rsid w:val="008E3647"/>
    <w:rsid w:val="008E489E"/>
    <w:rsid w:val="008F1D85"/>
    <w:rsid w:val="008F3239"/>
    <w:rsid w:val="009012C1"/>
    <w:rsid w:val="00901E7F"/>
    <w:rsid w:val="00903E12"/>
    <w:rsid w:val="009169D7"/>
    <w:rsid w:val="009323AF"/>
    <w:rsid w:val="0093374A"/>
    <w:rsid w:val="00936984"/>
    <w:rsid w:val="0093741A"/>
    <w:rsid w:val="009401FA"/>
    <w:rsid w:val="00947E53"/>
    <w:rsid w:val="009540D7"/>
    <w:rsid w:val="00955412"/>
    <w:rsid w:val="009570D4"/>
    <w:rsid w:val="00957AE5"/>
    <w:rsid w:val="0096011F"/>
    <w:rsid w:val="009602CA"/>
    <w:rsid w:val="009603EF"/>
    <w:rsid w:val="009615A5"/>
    <w:rsid w:val="00967E66"/>
    <w:rsid w:val="009703A4"/>
    <w:rsid w:val="00971F2E"/>
    <w:rsid w:val="009843DB"/>
    <w:rsid w:val="00985652"/>
    <w:rsid w:val="00985693"/>
    <w:rsid w:val="00987C5F"/>
    <w:rsid w:val="00996427"/>
    <w:rsid w:val="009A2506"/>
    <w:rsid w:val="009A421E"/>
    <w:rsid w:val="009B4F8D"/>
    <w:rsid w:val="009B6AAE"/>
    <w:rsid w:val="009D50C3"/>
    <w:rsid w:val="009D6043"/>
    <w:rsid w:val="009D6BD4"/>
    <w:rsid w:val="009E0F75"/>
    <w:rsid w:val="009E1DB5"/>
    <w:rsid w:val="009E27F5"/>
    <w:rsid w:val="009E64E9"/>
    <w:rsid w:val="009F00BA"/>
    <w:rsid w:val="009F273A"/>
    <w:rsid w:val="00A00E9B"/>
    <w:rsid w:val="00A043A5"/>
    <w:rsid w:val="00A078E7"/>
    <w:rsid w:val="00A11DE5"/>
    <w:rsid w:val="00A15F91"/>
    <w:rsid w:val="00A22105"/>
    <w:rsid w:val="00A23562"/>
    <w:rsid w:val="00A25905"/>
    <w:rsid w:val="00A33CA4"/>
    <w:rsid w:val="00A351A1"/>
    <w:rsid w:val="00A433A0"/>
    <w:rsid w:val="00A47A84"/>
    <w:rsid w:val="00A51902"/>
    <w:rsid w:val="00A5327D"/>
    <w:rsid w:val="00A548F6"/>
    <w:rsid w:val="00A5638B"/>
    <w:rsid w:val="00A60B96"/>
    <w:rsid w:val="00A61077"/>
    <w:rsid w:val="00A62FA6"/>
    <w:rsid w:val="00A63DB8"/>
    <w:rsid w:val="00A6703F"/>
    <w:rsid w:val="00A707DF"/>
    <w:rsid w:val="00A73E75"/>
    <w:rsid w:val="00A747EA"/>
    <w:rsid w:val="00A7513C"/>
    <w:rsid w:val="00A77B34"/>
    <w:rsid w:val="00A82649"/>
    <w:rsid w:val="00A84A71"/>
    <w:rsid w:val="00A871D9"/>
    <w:rsid w:val="00A900CB"/>
    <w:rsid w:val="00A95823"/>
    <w:rsid w:val="00A96CF7"/>
    <w:rsid w:val="00A971D2"/>
    <w:rsid w:val="00A97A95"/>
    <w:rsid w:val="00A97C10"/>
    <w:rsid w:val="00AA2AA1"/>
    <w:rsid w:val="00AA6104"/>
    <w:rsid w:val="00AB0185"/>
    <w:rsid w:val="00AB300B"/>
    <w:rsid w:val="00AB5F31"/>
    <w:rsid w:val="00AB7766"/>
    <w:rsid w:val="00AC568A"/>
    <w:rsid w:val="00AC63CE"/>
    <w:rsid w:val="00AD0BE6"/>
    <w:rsid w:val="00AE0F67"/>
    <w:rsid w:val="00AE31F3"/>
    <w:rsid w:val="00AE3263"/>
    <w:rsid w:val="00AE5BE7"/>
    <w:rsid w:val="00AE6716"/>
    <w:rsid w:val="00AF0FB1"/>
    <w:rsid w:val="00AF2E8C"/>
    <w:rsid w:val="00AF3F86"/>
    <w:rsid w:val="00AF6309"/>
    <w:rsid w:val="00AF6AD4"/>
    <w:rsid w:val="00B00897"/>
    <w:rsid w:val="00B038E5"/>
    <w:rsid w:val="00B03A55"/>
    <w:rsid w:val="00B12F9F"/>
    <w:rsid w:val="00B17D1E"/>
    <w:rsid w:val="00B17DB1"/>
    <w:rsid w:val="00B34E7A"/>
    <w:rsid w:val="00B4010F"/>
    <w:rsid w:val="00B44E11"/>
    <w:rsid w:val="00B460BE"/>
    <w:rsid w:val="00B5599C"/>
    <w:rsid w:val="00B60422"/>
    <w:rsid w:val="00B608DA"/>
    <w:rsid w:val="00B61BF4"/>
    <w:rsid w:val="00B634D0"/>
    <w:rsid w:val="00B65214"/>
    <w:rsid w:val="00B6793D"/>
    <w:rsid w:val="00B70F5F"/>
    <w:rsid w:val="00B71B7F"/>
    <w:rsid w:val="00B72A28"/>
    <w:rsid w:val="00B758EB"/>
    <w:rsid w:val="00B8060E"/>
    <w:rsid w:val="00B815ED"/>
    <w:rsid w:val="00B91B7C"/>
    <w:rsid w:val="00B93217"/>
    <w:rsid w:val="00B93F45"/>
    <w:rsid w:val="00B957C2"/>
    <w:rsid w:val="00BA1407"/>
    <w:rsid w:val="00BA424D"/>
    <w:rsid w:val="00BB071B"/>
    <w:rsid w:val="00BB1223"/>
    <w:rsid w:val="00BB35BD"/>
    <w:rsid w:val="00BC327B"/>
    <w:rsid w:val="00BC46DF"/>
    <w:rsid w:val="00BC52C6"/>
    <w:rsid w:val="00BC7C37"/>
    <w:rsid w:val="00BD29B0"/>
    <w:rsid w:val="00BD69C7"/>
    <w:rsid w:val="00BE3EC1"/>
    <w:rsid w:val="00BE7318"/>
    <w:rsid w:val="00BF04B4"/>
    <w:rsid w:val="00BF1E0D"/>
    <w:rsid w:val="00BF463C"/>
    <w:rsid w:val="00C00D97"/>
    <w:rsid w:val="00C01015"/>
    <w:rsid w:val="00C0301C"/>
    <w:rsid w:val="00C03196"/>
    <w:rsid w:val="00C108A0"/>
    <w:rsid w:val="00C11531"/>
    <w:rsid w:val="00C1202B"/>
    <w:rsid w:val="00C12183"/>
    <w:rsid w:val="00C17218"/>
    <w:rsid w:val="00C27CA6"/>
    <w:rsid w:val="00C30C6A"/>
    <w:rsid w:val="00C37C0A"/>
    <w:rsid w:val="00C43761"/>
    <w:rsid w:val="00C43A04"/>
    <w:rsid w:val="00C43AAC"/>
    <w:rsid w:val="00C453D4"/>
    <w:rsid w:val="00C47FE0"/>
    <w:rsid w:val="00C5096C"/>
    <w:rsid w:val="00C51CDF"/>
    <w:rsid w:val="00C540D4"/>
    <w:rsid w:val="00C54890"/>
    <w:rsid w:val="00C604EC"/>
    <w:rsid w:val="00C62BD8"/>
    <w:rsid w:val="00C634C6"/>
    <w:rsid w:val="00C67C50"/>
    <w:rsid w:val="00C70D81"/>
    <w:rsid w:val="00C71281"/>
    <w:rsid w:val="00C71DC2"/>
    <w:rsid w:val="00C74E1C"/>
    <w:rsid w:val="00C74EFB"/>
    <w:rsid w:val="00C75BB8"/>
    <w:rsid w:val="00C77101"/>
    <w:rsid w:val="00C77ADF"/>
    <w:rsid w:val="00C80914"/>
    <w:rsid w:val="00C82B24"/>
    <w:rsid w:val="00C833B9"/>
    <w:rsid w:val="00C879A0"/>
    <w:rsid w:val="00C94696"/>
    <w:rsid w:val="00C968C9"/>
    <w:rsid w:val="00C971C9"/>
    <w:rsid w:val="00CA0FB8"/>
    <w:rsid w:val="00CA245C"/>
    <w:rsid w:val="00CA5A95"/>
    <w:rsid w:val="00CB0D46"/>
    <w:rsid w:val="00CB2517"/>
    <w:rsid w:val="00CB6F63"/>
    <w:rsid w:val="00CC0717"/>
    <w:rsid w:val="00CC4017"/>
    <w:rsid w:val="00CC4466"/>
    <w:rsid w:val="00CD622E"/>
    <w:rsid w:val="00CE71E6"/>
    <w:rsid w:val="00CF23E7"/>
    <w:rsid w:val="00CF774D"/>
    <w:rsid w:val="00CF7CB9"/>
    <w:rsid w:val="00D031DE"/>
    <w:rsid w:val="00D040FA"/>
    <w:rsid w:val="00D055D7"/>
    <w:rsid w:val="00D10630"/>
    <w:rsid w:val="00D146EC"/>
    <w:rsid w:val="00D17373"/>
    <w:rsid w:val="00D22D3A"/>
    <w:rsid w:val="00D31A53"/>
    <w:rsid w:val="00D31F63"/>
    <w:rsid w:val="00D328ED"/>
    <w:rsid w:val="00D37586"/>
    <w:rsid w:val="00D37906"/>
    <w:rsid w:val="00D40A37"/>
    <w:rsid w:val="00D42ED6"/>
    <w:rsid w:val="00D45696"/>
    <w:rsid w:val="00D50824"/>
    <w:rsid w:val="00D55D4E"/>
    <w:rsid w:val="00D563CD"/>
    <w:rsid w:val="00D56A49"/>
    <w:rsid w:val="00D61564"/>
    <w:rsid w:val="00D61CD1"/>
    <w:rsid w:val="00D62883"/>
    <w:rsid w:val="00D70F00"/>
    <w:rsid w:val="00D71B59"/>
    <w:rsid w:val="00D8498F"/>
    <w:rsid w:val="00D90B0B"/>
    <w:rsid w:val="00D971A2"/>
    <w:rsid w:val="00DA0B54"/>
    <w:rsid w:val="00DB6D53"/>
    <w:rsid w:val="00DB7131"/>
    <w:rsid w:val="00DC48B6"/>
    <w:rsid w:val="00DD065A"/>
    <w:rsid w:val="00DD43F1"/>
    <w:rsid w:val="00DD67E4"/>
    <w:rsid w:val="00DD7DAC"/>
    <w:rsid w:val="00DE3184"/>
    <w:rsid w:val="00DE4F8C"/>
    <w:rsid w:val="00DF19A2"/>
    <w:rsid w:val="00DF4AB0"/>
    <w:rsid w:val="00DF62B1"/>
    <w:rsid w:val="00E00DEA"/>
    <w:rsid w:val="00E0490B"/>
    <w:rsid w:val="00E067B3"/>
    <w:rsid w:val="00E11313"/>
    <w:rsid w:val="00E12177"/>
    <w:rsid w:val="00E175EE"/>
    <w:rsid w:val="00E17FB8"/>
    <w:rsid w:val="00E21C6E"/>
    <w:rsid w:val="00E23F7B"/>
    <w:rsid w:val="00E26908"/>
    <w:rsid w:val="00E400F7"/>
    <w:rsid w:val="00E43C36"/>
    <w:rsid w:val="00E43E8E"/>
    <w:rsid w:val="00E45F7F"/>
    <w:rsid w:val="00E4752E"/>
    <w:rsid w:val="00E60BCE"/>
    <w:rsid w:val="00E62C46"/>
    <w:rsid w:val="00E653EA"/>
    <w:rsid w:val="00E65A88"/>
    <w:rsid w:val="00E704C7"/>
    <w:rsid w:val="00E7095C"/>
    <w:rsid w:val="00E7225A"/>
    <w:rsid w:val="00E844BE"/>
    <w:rsid w:val="00E872A3"/>
    <w:rsid w:val="00E877DE"/>
    <w:rsid w:val="00E90404"/>
    <w:rsid w:val="00E91768"/>
    <w:rsid w:val="00E93365"/>
    <w:rsid w:val="00E93A82"/>
    <w:rsid w:val="00EA0BB5"/>
    <w:rsid w:val="00EA1D87"/>
    <w:rsid w:val="00EB10E9"/>
    <w:rsid w:val="00EB1287"/>
    <w:rsid w:val="00EB3FFB"/>
    <w:rsid w:val="00EC04D0"/>
    <w:rsid w:val="00EC27CB"/>
    <w:rsid w:val="00EC3D3D"/>
    <w:rsid w:val="00EC3FF7"/>
    <w:rsid w:val="00EC404E"/>
    <w:rsid w:val="00EC7E24"/>
    <w:rsid w:val="00EE0786"/>
    <w:rsid w:val="00EE7CD5"/>
    <w:rsid w:val="00EF2556"/>
    <w:rsid w:val="00EF3280"/>
    <w:rsid w:val="00EF6C49"/>
    <w:rsid w:val="00EF6CC7"/>
    <w:rsid w:val="00EF7D56"/>
    <w:rsid w:val="00F000C2"/>
    <w:rsid w:val="00F01771"/>
    <w:rsid w:val="00F02A5C"/>
    <w:rsid w:val="00F10785"/>
    <w:rsid w:val="00F10FB3"/>
    <w:rsid w:val="00F156EC"/>
    <w:rsid w:val="00F17C6E"/>
    <w:rsid w:val="00F20063"/>
    <w:rsid w:val="00F20230"/>
    <w:rsid w:val="00F25F0C"/>
    <w:rsid w:val="00F26804"/>
    <w:rsid w:val="00F348B9"/>
    <w:rsid w:val="00F35EDD"/>
    <w:rsid w:val="00F4329E"/>
    <w:rsid w:val="00F45985"/>
    <w:rsid w:val="00F506C9"/>
    <w:rsid w:val="00F50E21"/>
    <w:rsid w:val="00F54EAB"/>
    <w:rsid w:val="00F57763"/>
    <w:rsid w:val="00F63000"/>
    <w:rsid w:val="00F65F04"/>
    <w:rsid w:val="00F70783"/>
    <w:rsid w:val="00F724E8"/>
    <w:rsid w:val="00F7479B"/>
    <w:rsid w:val="00F747CC"/>
    <w:rsid w:val="00F802B9"/>
    <w:rsid w:val="00F804D3"/>
    <w:rsid w:val="00F84F39"/>
    <w:rsid w:val="00F862C9"/>
    <w:rsid w:val="00F8716A"/>
    <w:rsid w:val="00F87CFF"/>
    <w:rsid w:val="00F918E8"/>
    <w:rsid w:val="00F941AF"/>
    <w:rsid w:val="00F9437E"/>
    <w:rsid w:val="00F94A9E"/>
    <w:rsid w:val="00FA7CC2"/>
    <w:rsid w:val="00FB2788"/>
    <w:rsid w:val="00FB3BCA"/>
    <w:rsid w:val="00FC00C4"/>
    <w:rsid w:val="00FC2D6D"/>
    <w:rsid w:val="00FC2EE5"/>
    <w:rsid w:val="00FC68A3"/>
    <w:rsid w:val="00FD5AE5"/>
    <w:rsid w:val="00FD6152"/>
    <w:rsid w:val="00FE1669"/>
    <w:rsid w:val="00FE3BC3"/>
    <w:rsid w:val="00FE5F19"/>
    <w:rsid w:val="00FE63CC"/>
    <w:rsid w:val="00FE64F9"/>
    <w:rsid w:val="00FF3546"/>
    <w:rsid w:val="00FF41E6"/>
    <w:rsid w:val="00FF44F2"/>
    <w:rsid w:val="00FF78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EE35EA"/>
  <w15:docId w15:val="{5B811CEE-8085-4AF1-9A59-D61CA48E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rsid w:val="00337EDA"/>
    <w:rPr>
      <w:vertAlign w:val="superscript"/>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Car Char,Footnote Text Char Char Char,Footnote Text Char Char Char Char Char Char Char Char Char Char Char Char Char Char Char Char Char Char,Footnote Text Char1 Char,Footnote Text Char1 Char Char Char,Style 15 Char,fn Char,ft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96126"/>
    <w:rPr>
      <w:sz w:val="16"/>
      <w:szCs w:val="16"/>
    </w:rPr>
  </w:style>
  <w:style w:type="paragraph" w:styleId="CommentText">
    <w:name w:val="annotation text"/>
    <w:basedOn w:val="Normal"/>
    <w:link w:val="CommentTextChar"/>
    <w:uiPriority w:val="99"/>
    <w:unhideWhenUsed/>
    <w:rsid w:val="00896126"/>
    <w:rPr>
      <w:sz w:val="20"/>
    </w:rPr>
  </w:style>
  <w:style w:type="character" w:customStyle="1" w:styleId="CommentTextChar">
    <w:name w:val="Comment Text Char"/>
    <w:basedOn w:val="DefaultParagraphFont"/>
    <w:link w:val="CommentText"/>
    <w:uiPriority w:val="99"/>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 w:type="paragraph" w:styleId="ListParagraph">
    <w:name w:val="List Paragraph"/>
    <w:basedOn w:val="Normal"/>
    <w:link w:val="ListParagraphChar"/>
    <w:uiPriority w:val="34"/>
    <w:qFormat/>
    <w:rsid w:val="00546A78"/>
    <w:pPr>
      <w:spacing w:line="480" w:lineRule="auto"/>
      <w:ind w:left="720" w:firstLine="720"/>
      <w:contextualSpacing/>
    </w:pPr>
    <w:rPr>
      <w:rFonts w:eastAsiaTheme="minorHAnsi" w:cstheme="minorBidi"/>
      <w:szCs w:val="22"/>
    </w:rPr>
  </w:style>
  <w:style w:type="character" w:customStyle="1" w:styleId="ListParagraphChar">
    <w:name w:val="List Paragraph Char"/>
    <w:basedOn w:val="DefaultParagraphFont"/>
    <w:link w:val="ListParagraph"/>
    <w:uiPriority w:val="34"/>
    <w:rsid w:val="00546A78"/>
    <w:rPr>
      <w:rFonts w:eastAsiaTheme="minorHAnsi" w:cstheme="minorBidi"/>
      <w:sz w:val="24"/>
      <w:szCs w:val="22"/>
    </w:rPr>
  </w:style>
  <w:style w:type="paragraph" w:styleId="Revision">
    <w:name w:val="Revision"/>
    <w:hidden/>
    <w:uiPriority w:val="99"/>
    <w:semiHidden/>
    <w:rsid w:val="00033194"/>
    <w:rPr>
      <w:sz w:val="24"/>
    </w:rPr>
  </w:style>
  <w:style w:type="character" w:styleId="UnresolvedMention">
    <w:name w:val="Unresolved Mention"/>
    <w:basedOn w:val="DefaultParagraphFont"/>
    <w:uiPriority w:val="99"/>
    <w:semiHidden/>
    <w:unhideWhenUsed/>
    <w:rsid w:val="00CA5A95"/>
    <w:rPr>
      <w:color w:val="605E5C"/>
      <w:shd w:val="clear" w:color="auto" w:fill="E1DFDD"/>
    </w:rPr>
  </w:style>
  <w:style w:type="table" w:customStyle="1" w:styleId="TableGrid1">
    <w:name w:val="Table Grid1"/>
    <w:basedOn w:val="TableNormal"/>
    <w:next w:val="TableGrid"/>
    <w:uiPriority w:val="39"/>
    <w:rsid w:val="00876E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8820-4892-433C-B0AB-83E11D43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4075</Words>
  <Characters>24465</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Merritt, Shaquita</cp:lastModifiedBy>
  <cp:revision>3</cp:revision>
  <cp:lastPrinted>2019-10-08T15:59:00Z</cp:lastPrinted>
  <dcterms:created xsi:type="dcterms:W3CDTF">2023-11-08T18:31:00Z</dcterms:created>
  <dcterms:modified xsi:type="dcterms:W3CDTF">2023-11-14T18:15:00Z</dcterms:modified>
</cp:coreProperties>
</file>